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Default="00375CB0" w:rsidP="004A6040">
      <w:pPr>
        <w:pStyle w:val="1-MainHeading"/>
      </w:pPr>
      <w:bookmarkStart w:id="0" w:name="_Toc62045104"/>
      <w:r>
        <w:t>5.17</w:t>
      </w:r>
      <w:r w:rsidR="00163F66">
        <w:tab/>
      </w:r>
      <w:r w:rsidR="00D73853">
        <w:t>TUCATINIB</w:t>
      </w:r>
      <w:r w:rsidR="00163F66">
        <w:t>,</w:t>
      </w:r>
      <w:r w:rsidR="00163F66">
        <w:br/>
      </w:r>
      <w:r w:rsidR="00574FDE">
        <w:t>T</w:t>
      </w:r>
      <w:r w:rsidR="00D73853">
        <w:t>ablet</w:t>
      </w:r>
      <w:r w:rsidR="00AD6D1B">
        <w:t xml:space="preserve"> </w:t>
      </w:r>
      <w:r w:rsidR="00D73853">
        <w:t>50</w:t>
      </w:r>
      <w:r w:rsidR="00DC7C28">
        <w:t xml:space="preserve"> </w:t>
      </w:r>
      <w:r w:rsidR="00D73853">
        <w:t xml:space="preserve">mg, </w:t>
      </w:r>
      <w:r w:rsidR="007B7ECE">
        <w:t xml:space="preserve">Tablet </w:t>
      </w:r>
      <w:r w:rsidR="00D73853">
        <w:t>150</w:t>
      </w:r>
      <w:r w:rsidR="00DC7C28">
        <w:t xml:space="preserve"> </w:t>
      </w:r>
      <w:r w:rsidR="00D73853">
        <w:t>mg</w:t>
      </w:r>
      <w:r w:rsidR="00163F66">
        <w:t>,</w:t>
      </w:r>
      <w:r w:rsidR="00163F66">
        <w:br/>
      </w:r>
      <w:r w:rsidR="00D73853">
        <w:t>TUKYSA</w:t>
      </w:r>
      <w:r w:rsidR="00B60939" w:rsidRPr="004A6040">
        <w:rPr>
          <w:vertAlign w:val="superscript"/>
        </w:rPr>
        <w:t>®</w:t>
      </w:r>
      <w:r w:rsidR="004A6040" w:rsidRPr="004A6040">
        <w:t>,</w:t>
      </w:r>
      <w:r w:rsidR="004A6040" w:rsidRPr="004A6040">
        <w:br/>
      </w:r>
      <w:r w:rsidR="00A85745">
        <w:t>Luc</w:t>
      </w:r>
      <w:r w:rsidR="009F1258">
        <w:t>id</w:t>
      </w:r>
      <w:r w:rsidR="00A85745">
        <w:t xml:space="preserve"> Health Consulting</w:t>
      </w:r>
      <w:bookmarkEnd w:id="0"/>
      <w:r w:rsidR="00574FDE">
        <w:t xml:space="preserve"> </w:t>
      </w:r>
      <w:r w:rsidR="00F51F7F">
        <w:t>Pty Ltd</w:t>
      </w:r>
    </w:p>
    <w:p w:rsidR="00B50DB8" w:rsidRPr="00407F2D" w:rsidRDefault="00B50DB8" w:rsidP="004A6040">
      <w:pPr>
        <w:pStyle w:val="2-SectionHeading"/>
      </w:pPr>
      <w:bookmarkStart w:id="1" w:name="_Toc62045106"/>
      <w:r w:rsidRPr="00407F2D">
        <w:t xml:space="preserve">Purpose of </w:t>
      </w:r>
      <w:r w:rsidR="00CD7193">
        <w:t>s</w:t>
      </w:r>
      <w:r w:rsidR="00BB3A45">
        <w:t>ubmission</w:t>
      </w:r>
      <w:bookmarkEnd w:id="1"/>
    </w:p>
    <w:p w:rsidR="00162D77" w:rsidRPr="00592600" w:rsidRDefault="007170DA" w:rsidP="00162D77">
      <w:pPr>
        <w:pStyle w:val="3-BodyText"/>
      </w:pPr>
      <w:r>
        <w:t xml:space="preserve">The submission </w:t>
      </w:r>
      <w:r w:rsidRPr="004E18E9">
        <w:t xml:space="preserve">requested </w:t>
      </w:r>
      <w:r w:rsidR="00292A7F">
        <w:t>General Schedule Section 85</w:t>
      </w:r>
      <w:r w:rsidR="008B1757" w:rsidRPr="004E18E9">
        <w:t xml:space="preserve"> listing for </w:t>
      </w:r>
      <w:r w:rsidR="009F1258">
        <w:t>t</w:t>
      </w:r>
      <w:r w:rsidR="00F807B0">
        <w:t>ucatinib</w:t>
      </w:r>
      <w:r w:rsidR="00292A7F">
        <w:t xml:space="preserve"> in combination with </w:t>
      </w:r>
      <w:r w:rsidR="00292A7F">
        <w:rPr>
          <w:lang w:val="en-GB"/>
        </w:rPr>
        <w:t xml:space="preserve">trastuzumab and capecitabine for </w:t>
      </w:r>
      <w:r w:rsidR="00292A7F">
        <w:t xml:space="preserve">the management </w:t>
      </w:r>
      <w:r w:rsidR="00010CCA">
        <w:t>of</w:t>
      </w:r>
      <w:r w:rsidR="00292A7F">
        <w:rPr>
          <w:lang w:val="en-GB"/>
        </w:rPr>
        <w:t xml:space="preserve"> </w:t>
      </w:r>
      <w:r w:rsidR="00292A7F">
        <w:t xml:space="preserve">HER2-positive (HER2+) </w:t>
      </w:r>
      <w:r w:rsidR="00292A7F">
        <w:rPr>
          <w:lang w:val="en-GB"/>
        </w:rPr>
        <w:t>metastatic breast cancer (mBC)</w:t>
      </w:r>
      <w:r w:rsidR="00010CCA">
        <w:rPr>
          <w:lang w:val="en-GB"/>
        </w:rPr>
        <w:t>,</w:t>
      </w:r>
      <w:r w:rsidR="00292A7F">
        <w:rPr>
          <w:lang w:val="en-GB"/>
        </w:rPr>
        <w:t xml:space="preserve"> </w:t>
      </w:r>
      <w:r w:rsidR="00292A7F">
        <w:t>including patients with brain metastases</w:t>
      </w:r>
      <w:r w:rsidR="00292A7F">
        <w:rPr>
          <w:lang w:val="en-GB"/>
        </w:rPr>
        <w:t>.</w:t>
      </w:r>
      <w:r w:rsidR="008B1757" w:rsidRPr="004E18E9">
        <w:t xml:space="preserve"> </w:t>
      </w:r>
      <w:r w:rsidR="0043662D" w:rsidRPr="00EA3D88">
        <w:t>This</w:t>
      </w:r>
      <w:r w:rsidR="00162D77" w:rsidRPr="00EA3D88">
        <w:t xml:space="preserve"> is the first application to PBAC for the use of tucatinib.</w:t>
      </w:r>
      <w:r w:rsidR="00592600">
        <w:rPr>
          <w:i/>
          <w:iCs/>
        </w:rPr>
        <w:t xml:space="preserve"> </w:t>
      </w:r>
    </w:p>
    <w:p w:rsidR="00C2778B" w:rsidRPr="00592600" w:rsidRDefault="005750C5" w:rsidP="004E18E9">
      <w:pPr>
        <w:pStyle w:val="3-BodyText"/>
        <w:rPr>
          <w:i/>
          <w:iCs/>
        </w:rPr>
      </w:pPr>
      <w:r w:rsidRPr="005750C5">
        <w:t xml:space="preserve">Listing was requested on the basis of a </w:t>
      </w:r>
      <w:r>
        <w:t>cost-effectiveness</w:t>
      </w:r>
      <w:r w:rsidRPr="005750C5">
        <w:t xml:space="preserve"> analysis </w:t>
      </w:r>
      <w:r w:rsidR="00592600">
        <w:t>of tucatinib in combin</w:t>
      </w:r>
      <w:r w:rsidR="00592600" w:rsidRPr="00592600">
        <w:t>ation with trastuzumab and capecitabine</w:t>
      </w:r>
      <w:r w:rsidR="00592600">
        <w:t xml:space="preserve"> compared</w:t>
      </w:r>
      <w:r w:rsidR="00592600" w:rsidRPr="00592600">
        <w:t xml:space="preserve"> with</w:t>
      </w:r>
      <w:r w:rsidR="003E3A48">
        <w:t xml:space="preserve"> placebo plus</w:t>
      </w:r>
      <w:r w:rsidR="00592600" w:rsidRPr="00592600">
        <w:t xml:space="preserve"> trastuzumab and capecitabine</w:t>
      </w:r>
      <w:r w:rsidR="00592600" w:rsidRPr="00592600">
        <w:rPr>
          <w:i/>
          <w:iCs/>
        </w:rPr>
        <w:t>.</w:t>
      </w:r>
      <w:r w:rsidR="004C0777">
        <w:rPr>
          <w:i/>
          <w:iCs/>
        </w:rPr>
        <w:t xml:space="preserve"> </w:t>
      </w:r>
      <w:r w:rsidR="004C0777">
        <w:t>The key components of the clinical issue presented in the submission are summarised in Table 1.</w:t>
      </w:r>
    </w:p>
    <w:p w:rsidR="008B1757" w:rsidRPr="004A6040" w:rsidRDefault="00D11394" w:rsidP="004A6040">
      <w:pPr>
        <w:pStyle w:val="TableFigureHeading"/>
        <w:rPr>
          <w:rStyle w:val="CommentReference"/>
          <w:b/>
          <w:szCs w:val="24"/>
        </w:rPr>
      </w:pPr>
      <w:r>
        <w:rPr>
          <w:rStyle w:val="CommentReference"/>
          <w:b/>
          <w:szCs w:val="24"/>
        </w:rPr>
        <w:t>Table 1</w:t>
      </w:r>
      <w:r w:rsidR="00E30241">
        <w:rPr>
          <w:rStyle w:val="CommentReference"/>
          <w:b/>
          <w:szCs w:val="24"/>
        </w:rP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7D1750" w:rsidRPr="00691913" w:rsidTr="00025A31">
        <w:trPr>
          <w:cantSplit/>
          <w:tblHeader/>
        </w:trPr>
        <w:tc>
          <w:tcPr>
            <w:tcW w:w="705" w:type="pct"/>
            <w:shd w:val="clear" w:color="auto" w:fill="auto"/>
          </w:tcPr>
          <w:p w:rsidR="007D1750" w:rsidRPr="008B1757" w:rsidRDefault="007D1750" w:rsidP="00561F87">
            <w:pPr>
              <w:pStyle w:val="In-tableHeading"/>
              <w:rPr>
                <w:szCs w:val="20"/>
              </w:rPr>
            </w:pPr>
            <w:r w:rsidRPr="008B1757">
              <w:t>Component</w:t>
            </w:r>
          </w:p>
        </w:tc>
        <w:tc>
          <w:tcPr>
            <w:tcW w:w="4295" w:type="pct"/>
            <w:shd w:val="clear" w:color="auto" w:fill="auto"/>
          </w:tcPr>
          <w:p w:rsidR="007D1750" w:rsidRPr="008B1757" w:rsidRDefault="007D1750" w:rsidP="00561F87">
            <w:pPr>
              <w:pStyle w:val="In-tableHeading"/>
            </w:pPr>
            <w:r w:rsidRPr="008B1757">
              <w:t>Description</w:t>
            </w:r>
          </w:p>
        </w:tc>
      </w:tr>
      <w:tr w:rsidR="007D1750" w:rsidRPr="00AB7F42" w:rsidTr="00025A31">
        <w:trPr>
          <w:cantSplit/>
        </w:trPr>
        <w:tc>
          <w:tcPr>
            <w:tcW w:w="705" w:type="pct"/>
            <w:shd w:val="clear" w:color="auto" w:fill="auto"/>
          </w:tcPr>
          <w:p w:rsidR="007D1750" w:rsidRPr="00691913" w:rsidRDefault="007D1750" w:rsidP="00AF0B4A">
            <w:pPr>
              <w:pStyle w:val="TableText0"/>
            </w:pPr>
            <w:r w:rsidRPr="00691913">
              <w:t>Population</w:t>
            </w:r>
          </w:p>
        </w:tc>
        <w:tc>
          <w:tcPr>
            <w:tcW w:w="4295" w:type="pct"/>
            <w:shd w:val="clear" w:color="auto" w:fill="auto"/>
          </w:tcPr>
          <w:p w:rsidR="004A073A" w:rsidRPr="00AB7F42" w:rsidRDefault="004A073A" w:rsidP="004A073A">
            <w:pPr>
              <w:pStyle w:val="TableText0"/>
              <w:rPr>
                <w:szCs w:val="20"/>
              </w:rPr>
            </w:pPr>
            <w:r w:rsidRPr="00AB7F42">
              <w:rPr>
                <w:szCs w:val="20"/>
              </w:rPr>
              <w:t>Stage IV metastatic HER2+ breast cancer, including patients with brain metastases</w:t>
            </w:r>
            <w:r w:rsidR="00783D8B" w:rsidRPr="00AB7F42">
              <w:rPr>
                <w:szCs w:val="20"/>
              </w:rPr>
              <w:t>.</w:t>
            </w:r>
          </w:p>
          <w:p w:rsidR="00204A13" w:rsidRPr="00AB7F42" w:rsidRDefault="00204A13" w:rsidP="00204A13">
            <w:pPr>
              <w:pStyle w:val="TableText0"/>
              <w:rPr>
                <w:szCs w:val="20"/>
              </w:rPr>
            </w:pPr>
            <w:r w:rsidRPr="00AB7F42">
              <w:rPr>
                <w:szCs w:val="20"/>
              </w:rPr>
              <w:t>The PSCR clarified that the intended population comprises patients who have progressed following:</w:t>
            </w:r>
          </w:p>
          <w:p w:rsidR="00204A13" w:rsidRPr="00AB7F42" w:rsidRDefault="00204A13" w:rsidP="00204A13">
            <w:pPr>
              <w:pStyle w:val="TableText0"/>
              <w:rPr>
                <w:szCs w:val="20"/>
              </w:rPr>
            </w:pPr>
            <w:r w:rsidRPr="00AB7F42">
              <w:rPr>
                <w:szCs w:val="20"/>
              </w:rPr>
              <w:t>• ≥ 2 prior lines of HER2-directed therapy</w:t>
            </w:r>
            <w:r w:rsidR="00436EF2" w:rsidRPr="00AB7F42">
              <w:rPr>
                <w:szCs w:val="20"/>
              </w:rPr>
              <w:t xml:space="preserve"> in metastatic </w:t>
            </w:r>
            <w:r w:rsidR="000A27F1">
              <w:rPr>
                <w:szCs w:val="20"/>
              </w:rPr>
              <w:t>disease (3rd or later-line mBC</w:t>
            </w:r>
            <w:r w:rsidRPr="00AB7F42">
              <w:rPr>
                <w:szCs w:val="20"/>
              </w:rPr>
              <w:t xml:space="preserve">); or </w:t>
            </w:r>
          </w:p>
          <w:p w:rsidR="007D1750" w:rsidRPr="00AB7F42" w:rsidRDefault="00204A13" w:rsidP="000A27F1">
            <w:pPr>
              <w:pStyle w:val="TableText0"/>
              <w:rPr>
                <w:szCs w:val="20"/>
              </w:rPr>
            </w:pPr>
            <w:r w:rsidRPr="00AB7F42">
              <w:rPr>
                <w:szCs w:val="20"/>
              </w:rPr>
              <w:t xml:space="preserve">• 1 prior line of HER2-directed therapy </w:t>
            </w:r>
            <w:r w:rsidR="000A27F1">
              <w:rPr>
                <w:szCs w:val="20"/>
              </w:rPr>
              <w:t>for</w:t>
            </w:r>
            <w:r w:rsidRPr="00AB7F42">
              <w:rPr>
                <w:szCs w:val="20"/>
              </w:rPr>
              <w:t xml:space="preserve"> metastatic </w:t>
            </w:r>
            <w:r w:rsidR="000A27F1">
              <w:rPr>
                <w:szCs w:val="20"/>
              </w:rPr>
              <w:t>disease</w:t>
            </w:r>
            <w:r w:rsidRPr="00AB7F42">
              <w:rPr>
                <w:szCs w:val="20"/>
              </w:rPr>
              <w:t xml:space="preserve"> where the patient has previously received T-DM1 </w:t>
            </w:r>
            <w:r w:rsidR="000A27F1">
              <w:rPr>
                <w:szCs w:val="20"/>
              </w:rPr>
              <w:t xml:space="preserve">for </w:t>
            </w:r>
            <w:r w:rsidRPr="00AB7F42">
              <w:rPr>
                <w:szCs w:val="20"/>
              </w:rPr>
              <w:t xml:space="preserve">either adjuvant or metastatic </w:t>
            </w:r>
            <w:r w:rsidR="000A27F1">
              <w:rPr>
                <w:szCs w:val="20"/>
              </w:rPr>
              <w:t>disease</w:t>
            </w:r>
            <w:r w:rsidRPr="00AB7F42">
              <w:rPr>
                <w:szCs w:val="20"/>
              </w:rPr>
              <w:t xml:space="preserve"> (</w:t>
            </w:r>
            <w:r w:rsidR="000A27F1">
              <w:rPr>
                <w:szCs w:val="20"/>
              </w:rPr>
              <w:t>2nd line mBC and adjuvant T-DM1</w:t>
            </w:r>
            <w:r w:rsidRPr="00AB7F42">
              <w:rPr>
                <w:szCs w:val="20"/>
              </w:rPr>
              <w:t xml:space="preserve">). </w:t>
            </w:r>
          </w:p>
        </w:tc>
      </w:tr>
      <w:tr w:rsidR="007D1750" w:rsidRPr="00691913" w:rsidTr="00025A31">
        <w:trPr>
          <w:cantSplit/>
        </w:trPr>
        <w:tc>
          <w:tcPr>
            <w:tcW w:w="705" w:type="pct"/>
            <w:shd w:val="clear" w:color="auto" w:fill="auto"/>
          </w:tcPr>
          <w:p w:rsidR="007D1750" w:rsidRPr="00691913" w:rsidRDefault="007D1750" w:rsidP="00561F87">
            <w:pPr>
              <w:pStyle w:val="TableText0"/>
            </w:pPr>
            <w:r w:rsidRPr="00691913">
              <w:t>Intervention</w:t>
            </w:r>
          </w:p>
        </w:tc>
        <w:tc>
          <w:tcPr>
            <w:tcW w:w="4295" w:type="pct"/>
            <w:shd w:val="clear" w:color="auto" w:fill="auto"/>
          </w:tcPr>
          <w:p w:rsidR="007D1750" w:rsidRPr="005A01E8" w:rsidRDefault="007D1750" w:rsidP="00561F87">
            <w:pPr>
              <w:rPr>
                <w:rFonts w:ascii="Arial Narrow" w:hAnsi="Arial Narrow"/>
                <w:sz w:val="20"/>
                <w:szCs w:val="20"/>
              </w:rPr>
            </w:pPr>
            <w:r w:rsidRPr="005A01E8">
              <w:rPr>
                <w:rFonts w:ascii="Arial Narrow" w:hAnsi="Arial Narrow"/>
                <w:sz w:val="20"/>
                <w:szCs w:val="20"/>
              </w:rPr>
              <w:t>Tucatinib 300 mg twice daily</w:t>
            </w:r>
          </w:p>
          <w:p w:rsidR="007D1750" w:rsidRPr="005A01E8" w:rsidRDefault="007D1750" w:rsidP="00561F87">
            <w:pPr>
              <w:rPr>
                <w:rFonts w:ascii="Arial Narrow" w:hAnsi="Arial Narrow"/>
                <w:sz w:val="20"/>
                <w:szCs w:val="20"/>
              </w:rPr>
            </w:pPr>
            <w:r w:rsidRPr="005A01E8">
              <w:rPr>
                <w:rFonts w:ascii="Arial Narrow" w:hAnsi="Arial Narrow"/>
                <w:sz w:val="20"/>
                <w:szCs w:val="20"/>
              </w:rPr>
              <w:t>Capecitabine 1000 mg/m</w:t>
            </w:r>
            <w:r w:rsidRPr="005A01E8">
              <w:rPr>
                <w:rFonts w:ascii="Arial Narrow" w:hAnsi="Arial Narrow"/>
                <w:sz w:val="20"/>
                <w:szCs w:val="20"/>
                <w:vertAlign w:val="superscript"/>
              </w:rPr>
              <w:t>2</w:t>
            </w:r>
            <w:r w:rsidRPr="005A01E8">
              <w:rPr>
                <w:rFonts w:ascii="Arial Narrow" w:hAnsi="Arial Narrow"/>
                <w:sz w:val="20"/>
                <w:szCs w:val="20"/>
              </w:rPr>
              <w:t xml:space="preserve"> for days 1-14 only of a 21-day cycle</w:t>
            </w:r>
          </w:p>
          <w:p w:rsidR="007D1750" w:rsidRPr="005A01E8" w:rsidRDefault="007D1750" w:rsidP="00561F87">
            <w:pPr>
              <w:rPr>
                <w:rFonts w:ascii="Arial Narrow" w:hAnsi="Arial Narrow"/>
                <w:sz w:val="20"/>
                <w:szCs w:val="20"/>
              </w:rPr>
            </w:pPr>
            <w:r w:rsidRPr="005A01E8">
              <w:rPr>
                <w:rFonts w:ascii="Arial Narrow" w:hAnsi="Arial Narrow"/>
                <w:sz w:val="20"/>
                <w:szCs w:val="20"/>
              </w:rPr>
              <w:t>Trastuzumab 8 mg/kg on the first day of the initial 21-day cycle, followed by 6 mg/kg on the first day of each subsequent 21-day cycle OR 600</w:t>
            </w:r>
            <w:r w:rsidR="00B14BF0" w:rsidRPr="005A01E8">
              <w:rPr>
                <w:rFonts w:ascii="Arial Narrow" w:hAnsi="Arial Narrow"/>
                <w:sz w:val="20"/>
                <w:szCs w:val="20"/>
              </w:rPr>
              <w:t xml:space="preserve"> m</w:t>
            </w:r>
            <w:r w:rsidRPr="005A01E8">
              <w:rPr>
                <w:rFonts w:ascii="Arial Narrow" w:hAnsi="Arial Narrow"/>
                <w:sz w:val="20"/>
                <w:szCs w:val="20"/>
              </w:rPr>
              <w:t>g subcut Day 1 every 21 days</w:t>
            </w:r>
          </w:p>
          <w:p w:rsidR="007D1750" w:rsidRPr="005A01E8" w:rsidRDefault="007D1750" w:rsidP="00561F87">
            <w:pPr>
              <w:pStyle w:val="TableText0"/>
              <w:rPr>
                <w:szCs w:val="20"/>
              </w:rPr>
            </w:pPr>
            <w:r w:rsidRPr="005A01E8">
              <w:rPr>
                <w:szCs w:val="20"/>
              </w:rPr>
              <w:t>Treatment to continue until disease progression or intolerance.</w:t>
            </w:r>
          </w:p>
        </w:tc>
      </w:tr>
      <w:tr w:rsidR="007D1750" w:rsidRPr="00691913" w:rsidTr="00025A31">
        <w:trPr>
          <w:cantSplit/>
        </w:trPr>
        <w:tc>
          <w:tcPr>
            <w:tcW w:w="705" w:type="pct"/>
            <w:shd w:val="clear" w:color="auto" w:fill="auto"/>
          </w:tcPr>
          <w:p w:rsidR="007D1750" w:rsidRPr="00691913" w:rsidRDefault="007D1750" w:rsidP="00561F87">
            <w:pPr>
              <w:pStyle w:val="TableText0"/>
            </w:pPr>
            <w:r w:rsidRPr="00691913">
              <w:t>Comparator</w:t>
            </w:r>
          </w:p>
        </w:tc>
        <w:tc>
          <w:tcPr>
            <w:tcW w:w="4295" w:type="pct"/>
            <w:shd w:val="clear" w:color="auto" w:fill="auto"/>
          </w:tcPr>
          <w:p w:rsidR="007D1750" w:rsidRPr="005A01E8" w:rsidRDefault="007D1750" w:rsidP="007D1750">
            <w:pPr>
              <w:rPr>
                <w:rFonts w:ascii="Arial Narrow" w:hAnsi="Arial Narrow"/>
                <w:sz w:val="20"/>
                <w:szCs w:val="20"/>
              </w:rPr>
            </w:pPr>
            <w:r w:rsidRPr="005A01E8">
              <w:rPr>
                <w:rFonts w:ascii="Arial Narrow" w:hAnsi="Arial Narrow"/>
                <w:sz w:val="20"/>
                <w:szCs w:val="20"/>
              </w:rPr>
              <w:t>Capecitabine 1000 mg/m</w:t>
            </w:r>
            <w:r w:rsidRPr="005A01E8">
              <w:rPr>
                <w:rFonts w:ascii="Arial Narrow" w:hAnsi="Arial Narrow"/>
                <w:sz w:val="20"/>
                <w:szCs w:val="20"/>
                <w:vertAlign w:val="superscript"/>
              </w:rPr>
              <w:t>2</w:t>
            </w:r>
            <w:r w:rsidRPr="005A01E8">
              <w:rPr>
                <w:rFonts w:ascii="Arial Narrow" w:hAnsi="Arial Narrow"/>
                <w:sz w:val="20"/>
                <w:szCs w:val="20"/>
              </w:rPr>
              <w:t xml:space="preserve"> for days 1-14 only of a 21-day cycle</w:t>
            </w:r>
          </w:p>
          <w:p w:rsidR="007D1750" w:rsidRPr="005A01E8" w:rsidRDefault="007D1750" w:rsidP="007D1750">
            <w:pPr>
              <w:rPr>
                <w:rFonts w:ascii="Arial Narrow" w:hAnsi="Arial Narrow"/>
                <w:sz w:val="20"/>
                <w:szCs w:val="20"/>
              </w:rPr>
            </w:pPr>
            <w:r w:rsidRPr="005A01E8">
              <w:rPr>
                <w:rFonts w:ascii="Arial Narrow" w:hAnsi="Arial Narrow"/>
                <w:sz w:val="20"/>
                <w:szCs w:val="20"/>
              </w:rPr>
              <w:t>Trastuzumab 8 mg/kg on the first day of the initial 21-day cycle, followed by 6 mg/kg on the first day of each subsequent 21-day cycle OR 600</w:t>
            </w:r>
            <w:r w:rsidR="00B14BF0" w:rsidRPr="005A01E8">
              <w:rPr>
                <w:rFonts w:ascii="Arial Narrow" w:hAnsi="Arial Narrow"/>
                <w:sz w:val="20"/>
                <w:szCs w:val="20"/>
              </w:rPr>
              <w:t xml:space="preserve"> m</w:t>
            </w:r>
            <w:r w:rsidRPr="005A01E8">
              <w:rPr>
                <w:rFonts w:ascii="Arial Narrow" w:hAnsi="Arial Narrow"/>
                <w:sz w:val="20"/>
                <w:szCs w:val="20"/>
              </w:rPr>
              <w:t>g subcut Day 1 every 21 days</w:t>
            </w:r>
          </w:p>
          <w:p w:rsidR="007D1750" w:rsidRPr="005A01E8" w:rsidRDefault="007D1750" w:rsidP="00561F87">
            <w:pPr>
              <w:pStyle w:val="TableText0"/>
              <w:rPr>
                <w:szCs w:val="20"/>
              </w:rPr>
            </w:pPr>
            <w:r w:rsidRPr="005A01E8">
              <w:rPr>
                <w:szCs w:val="20"/>
              </w:rPr>
              <w:t>Treatment to continue until disease progression or intolerance.</w:t>
            </w:r>
          </w:p>
        </w:tc>
      </w:tr>
      <w:tr w:rsidR="007D1750" w:rsidRPr="00691913" w:rsidTr="00025A31">
        <w:trPr>
          <w:cantSplit/>
        </w:trPr>
        <w:tc>
          <w:tcPr>
            <w:tcW w:w="705" w:type="pct"/>
            <w:shd w:val="clear" w:color="auto" w:fill="auto"/>
          </w:tcPr>
          <w:p w:rsidR="007D1750" w:rsidRPr="00691913" w:rsidRDefault="007D1750" w:rsidP="00561F87">
            <w:pPr>
              <w:pStyle w:val="TableText0"/>
            </w:pPr>
            <w:r w:rsidRPr="00691913">
              <w:t>Outcomes</w:t>
            </w:r>
          </w:p>
        </w:tc>
        <w:tc>
          <w:tcPr>
            <w:tcW w:w="4295" w:type="pct"/>
            <w:shd w:val="clear" w:color="auto" w:fill="auto"/>
          </w:tcPr>
          <w:p w:rsidR="007D1750" w:rsidRPr="005A01E8" w:rsidRDefault="007D1750" w:rsidP="00561F87">
            <w:pPr>
              <w:pStyle w:val="TableText0"/>
              <w:rPr>
                <w:szCs w:val="20"/>
              </w:rPr>
            </w:pPr>
            <w:r w:rsidRPr="005A01E8">
              <w:rPr>
                <w:szCs w:val="20"/>
              </w:rPr>
              <w:t xml:space="preserve">Primary endpoint: PFS on first 480 patients randomised; </w:t>
            </w:r>
          </w:p>
          <w:p w:rsidR="007D1750" w:rsidRPr="005A01E8" w:rsidRDefault="004A073A" w:rsidP="00620B5C">
            <w:pPr>
              <w:pStyle w:val="TableText0"/>
              <w:rPr>
                <w:rFonts w:eastAsia="Times New Roman" w:cs="Arial"/>
                <w:bCs w:val="0"/>
                <w:snapToGrid w:val="0"/>
                <w:color w:val="0066FF"/>
                <w:szCs w:val="20"/>
              </w:rPr>
            </w:pPr>
            <w:r w:rsidRPr="005A01E8">
              <w:rPr>
                <w:rFonts w:cs="Arial"/>
                <w:szCs w:val="20"/>
              </w:rPr>
              <w:t>Secondary endpoints, assessed in the total population (612 patients),</w:t>
            </w:r>
            <w:r w:rsidR="00D33C2B">
              <w:rPr>
                <w:rFonts w:cs="Arial"/>
                <w:szCs w:val="20"/>
                <w:vertAlign w:val="superscript"/>
              </w:rPr>
              <w:t>a</w:t>
            </w:r>
            <w:r w:rsidRPr="005A01E8">
              <w:rPr>
                <w:rFonts w:cs="Arial"/>
                <w:szCs w:val="20"/>
              </w:rPr>
              <w:t xml:space="preserve"> included </w:t>
            </w:r>
            <w:r w:rsidR="00620B5C">
              <w:rPr>
                <w:rFonts w:cs="Arial"/>
                <w:szCs w:val="20"/>
              </w:rPr>
              <w:t>OS</w:t>
            </w:r>
            <w:r w:rsidRPr="005A01E8">
              <w:rPr>
                <w:rFonts w:cs="Arial"/>
                <w:szCs w:val="20"/>
              </w:rPr>
              <w:t xml:space="preserve">, </w:t>
            </w:r>
            <w:r w:rsidR="00620B5C">
              <w:rPr>
                <w:rFonts w:cs="Arial"/>
                <w:szCs w:val="20"/>
              </w:rPr>
              <w:t>PFS</w:t>
            </w:r>
            <w:r w:rsidRPr="005A01E8">
              <w:rPr>
                <w:rFonts w:cs="Arial"/>
                <w:szCs w:val="20"/>
              </w:rPr>
              <w:t xml:space="preserve"> among patients with brain metastases, confirmed objective response rate, quality of life as measured by EQ-5D-5L questionnaire, and safety.</w:t>
            </w:r>
          </w:p>
        </w:tc>
      </w:tr>
      <w:tr w:rsidR="007D1750" w:rsidRPr="00691913" w:rsidTr="00025A31">
        <w:trPr>
          <w:cantSplit/>
        </w:trPr>
        <w:tc>
          <w:tcPr>
            <w:tcW w:w="705" w:type="pct"/>
            <w:shd w:val="clear" w:color="auto" w:fill="auto"/>
          </w:tcPr>
          <w:p w:rsidR="007D1750" w:rsidRPr="00691913" w:rsidRDefault="007D1750" w:rsidP="00561F87">
            <w:pPr>
              <w:pStyle w:val="TableText0"/>
            </w:pPr>
            <w:r w:rsidRPr="00691913">
              <w:t>Clinical claim</w:t>
            </w:r>
          </w:p>
        </w:tc>
        <w:tc>
          <w:tcPr>
            <w:tcW w:w="4295" w:type="pct"/>
            <w:shd w:val="clear" w:color="auto" w:fill="auto"/>
          </w:tcPr>
          <w:p w:rsidR="007D1750" w:rsidRPr="005A01E8" w:rsidRDefault="007D1750" w:rsidP="00561F87">
            <w:pPr>
              <w:pStyle w:val="TableText0"/>
              <w:rPr>
                <w:rFonts w:eastAsia="Times New Roman" w:cs="Arial"/>
                <w:bCs w:val="0"/>
                <w:snapToGrid w:val="0"/>
                <w:color w:val="0066FF"/>
                <w:szCs w:val="20"/>
              </w:rPr>
            </w:pPr>
            <w:r w:rsidRPr="005A01E8">
              <w:rPr>
                <w:szCs w:val="20"/>
              </w:rPr>
              <w:t>In previously treated patients with HER2+ mBC, including those with brain metastases,</w:t>
            </w:r>
            <w:r w:rsidRPr="005A01E8">
              <w:rPr>
                <w:rFonts w:cs="Arial"/>
                <w:szCs w:val="20"/>
              </w:rPr>
              <w:t xml:space="preserve"> tucatinib added to trastuzumab and capecitabine is superior in efficacy and inferior in safety, when compared with trastuzumab and capecitabine. </w:t>
            </w:r>
            <w:r w:rsidRPr="005A01E8">
              <w:rPr>
                <w:rFonts w:eastAsia="Times New Roman" w:cs="Arial"/>
                <w:bCs w:val="0"/>
                <w:snapToGrid w:val="0"/>
                <w:color w:val="000000" w:themeColor="text1"/>
                <w:szCs w:val="20"/>
              </w:rPr>
              <w:t>The addition of tucatinib result</w:t>
            </w:r>
            <w:r w:rsidR="004E4A8D" w:rsidRPr="005A01E8">
              <w:rPr>
                <w:rFonts w:eastAsia="Times New Roman" w:cs="Arial"/>
                <w:bCs w:val="0"/>
                <w:snapToGrid w:val="0"/>
                <w:color w:val="000000" w:themeColor="text1"/>
                <w:szCs w:val="20"/>
              </w:rPr>
              <w:t>s</w:t>
            </w:r>
            <w:r w:rsidRPr="005A01E8">
              <w:rPr>
                <w:rFonts w:eastAsia="Times New Roman" w:cs="Arial"/>
                <w:bCs w:val="0"/>
                <w:snapToGrid w:val="0"/>
                <w:color w:val="000000" w:themeColor="text1"/>
                <w:szCs w:val="20"/>
              </w:rPr>
              <w:t xml:space="preserve"> in an inferior but manageable safety profile.</w:t>
            </w:r>
          </w:p>
        </w:tc>
      </w:tr>
    </w:tbl>
    <w:p w:rsidR="0026751C" w:rsidRDefault="0026751C" w:rsidP="0026751C">
      <w:pPr>
        <w:pStyle w:val="TableFooter"/>
      </w:pPr>
      <w:r>
        <w:t>Source: Table 1.</w:t>
      </w:r>
      <w:r w:rsidR="004A073A">
        <w:t>1</w:t>
      </w:r>
      <w:r>
        <w:t xml:space="preserve"> p2</w:t>
      </w:r>
      <w:r w:rsidR="004A073A">
        <w:t>0-1</w:t>
      </w:r>
      <w:r>
        <w:t xml:space="preserve"> of the submission</w:t>
      </w:r>
      <w:r w:rsidR="004A073A">
        <w:t>.</w:t>
      </w:r>
    </w:p>
    <w:p w:rsidR="00620B5C" w:rsidRDefault="00620B5C" w:rsidP="0026751C">
      <w:pPr>
        <w:pStyle w:val="TableFooter"/>
      </w:pPr>
      <w:r>
        <w:t xml:space="preserve">HER2+ = </w:t>
      </w:r>
      <w:r>
        <w:rPr>
          <w:snapToGrid w:val="0"/>
        </w:rPr>
        <w:t>h</w:t>
      </w:r>
      <w:r w:rsidRPr="00EE0A76">
        <w:rPr>
          <w:snapToGrid w:val="0"/>
        </w:rPr>
        <w:t>uman epidermal growth factor receptor 2</w:t>
      </w:r>
      <w:r>
        <w:t xml:space="preserve"> positive; ITT = intention to treat; IV = intravenous; mBC = metastatic breast cancer; OS = overall survival; PFS = progression free survival; PSCR = pre-Sub-Committee response; subcut = subcutaneously; </w:t>
      </w:r>
      <w:r w:rsidRPr="00EE0A76">
        <w:rPr>
          <w:snapToGrid w:val="0"/>
        </w:rPr>
        <w:t>T-DM1 = ado-trastuzumab emtansine</w:t>
      </w:r>
    </w:p>
    <w:p w:rsidR="00956E35" w:rsidRPr="00A0294B" w:rsidRDefault="00956E35" w:rsidP="0026751C">
      <w:pPr>
        <w:pStyle w:val="TableFooter"/>
      </w:pPr>
      <w:r w:rsidRPr="007561D2">
        <w:rPr>
          <w:vertAlign w:val="superscript"/>
        </w:rPr>
        <w:t>a</w:t>
      </w:r>
      <w:r w:rsidRPr="007561D2">
        <w:t xml:space="preserve"> The submission stated key secondary outcomes were assessed in all randomised patients but PFS among patients with brain metastases was a prespecified subgroup (48% of the ITT-OS population), confirmed objective response rate was undertaken in the subgroup of the ITT-OS population with measurable disease (87% of the ITT-OS population), and quality of life data collection was only undertaken in 54% of the ITT-OS population follo</w:t>
      </w:r>
      <w:r w:rsidR="00A0294B">
        <w:t>wing a late protocol amendment.</w:t>
      </w:r>
    </w:p>
    <w:p w:rsidR="005C25FF" w:rsidRPr="00407F2D" w:rsidRDefault="005C25FF" w:rsidP="004A6040">
      <w:pPr>
        <w:pStyle w:val="2-SectionHeading"/>
      </w:pPr>
      <w:bookmarkStart w:id="2" w:name="_Toc62045107"/>
      <w:r w:rsidRPr="00407F2D">
        <w:lastRenderedPageBreak/>
        <w:t>Background</w:t>
      </w:r>
      <w:bookmarkEnd w:id="2"/>
    </w:p>
    <w:p w:rsidR="00701BF9" w:rsidRPr="00701BF9" w:rsidRDefault="005C25FF" w:rsidP="00701BF9">
      <w:pPr>
        <w:rPr>
          <w:b/>
          <w:bCs/>
          <w:sz w:val="28"/>
          <w:szCs w:val="28"/>
        </w:rPr>
      </w:pPr>
      <w:bookmarkStart w:id="3" w:name="_Toc22897638"/>
      <w:r w:rsidRPr="00701BF9">
        <w:rPr>
          <w:b/>
          <w:bCs/>
          <w:sz w:val="28"/>
          <w:szCs w:val="28"/>
        </w:rPr>
        <w:t>Registration status</w:t>
      </w:r>
      <w:bookmarkEnd w:id="3"/>
    </w:p>
    <w:p w:rsidR="00925846" w:rsidRPr="00925846" w:rsidRDefault="00925846" w:rsidP="00925846">
      <w:pPr>
        <w:pStyle w:val="3-BodyText"/>
        <w:rPr>
          <w:lang w:val="en-GB"/>
        </w:rPr>
      </w:pPr>
      <w:r>
        <w:t>Tucatinib</w:t>
      </w:r>
      <w:r w:rsidR="005C25FF" w:rsidRPr="004E18E9">
        <w:t xml:space="preserve"> was TGA registered on </w:t>
      </w:r>
      <w:r>
        <w:t xml:space="preserve">13 August 2020 following a priority review, </w:t>
      </w:r>
      <w:r w:rsidR="005C25FF" w:rsidRPr="004E18E9">
        <w:t xml:space="preserve">for </w:t>
      </w:r>
      <w:r>
        <w:t>the following indication: “</w:t>
      </w:r>
      <w:r w:rsidRPr="00925846">
        <w:rPr>
          <w:lang w:val="en-GB"/>
        </w:rPr>
        <w:t>TUKYSA is indicated in combination with trastuzumab and capecitabine for treatment of patients with advanced unresectable or metastatic HER2-positive breast cancer, including patients with brain metastases, who have received one or more prior anti-HER2-based regimens in the metastatic setting.</w:t>
      </w:r>
      <w:r>
        <w:rPr>
          <w:lang w:val="en-GB"/>
        </w:rPr>
        <w:t>”</w:t>
      </w:r>
      <w:r w:rsidRPr="00925846">
        <w:rPr>
          <w:lang w:val="en-GB"/>
        </w:rPr>
        <w:t xml:space="preserve"> </w:t>
      </w:r>
    </w:p>
    <w:p w:rsidR="00925846" w:rsidRPr="008C1387" w:rsidRDefault="00C22057" w:rsidP="00C22057">
      <w:pPr>
        <w:pStyle w:val="3-BodyText"/>
        <w:rPr>
          <w:lang w:val="en-GB"/>
        </w:rPr>
      </w:pPr>
      <w:r w:rsidRPr="00C22057">
        <w:rPr>
          <w:lang w:val="en-GB"/>
        </w:rPr>
        <w:t>The</w:t>
      </w:r>
      <w:r>
        <w:rPr>
          <w:lang w:val="en-GB"/>
        </w:rPr>
        <w:t xml:space="preserve"> TGA</w:t>
      </w:r>
      <w:r w:rsidRPr="00C22057">
        <w:rPr>
          <w:lang w:val="en-GB"/>
        </w:rPr>
        <w:t xml:space="preserve"> evaluation of this submission was completed as a ‘Project Orbis’ collaboration between the FDA, Health Canada, Swissmedic, HSA (Singapore) and TGA. A document that reflects this collaborative review (the “Multi-Discipline Review”) is publicly available on the FDA website</w:t>
      </w:r>
      <w:r>
        <w:rPr>
          <w:rStyle w:val="FootnoteReference"/>
          <w:lang w:val="en-GB"/>
        </w:rPr>
        <w:footnoteReference w:id="1"/>
      </w:r>
      <w:r w:rsidRPr="00C22057">
        <w:rPr>
          <w:lang w:val="en-GB"/>
        </w:rPr>
        <w:t xml:space="preserve">. </w:t>
      </w:r>
    </w:p>
    <w:p w:rsidR="008C1387" w:rsidRPr="008C1387" w:rsidRDefault="008C1387" w:rsidP="008C1387">
      <w:pPr>
        <w:pStyle w:val="3-BodyText"/>
        <w:numPr>
          <w:ilvl w:val="0"/>
          <w:numId w:val="0"/>
        </w:numPr>
        <w:ind w:left="720"/>
        <w:rPr>
          <w:i/>
          <w:lang w:val="en-GB"/>
        </w:rPr>
      </w:pPr>
      <w:r w:rsidRPr="008C1387">
        <w:rPr>
          <w:i/>
        </w:rPr>
        <w:t>For more detail on PBAC’s view, see section 7 PBAC outcome.</w:t>
      </w:r>
    </w:p>
    <w:p w:rsidR="00617E12" w:rsidRDefault="00B50DB8" w:rsidP="00617E12">
      <w:pPr>
        <w:pStyle w:val="2-SectionHeading"/>
      </w:pPr>
      <w:bookmarkStart w:id="4" w:name="_Toc62045108"/>
      <w:r w:rsidRPr="00407F2D">
        <w:t>Requested listing</w:t>
      </w:r>
      <w:bookmarkEnd w:id="4"/>
    </w:p>
    <w:p w:rsidR="00F358B2" w:rsidRDefault="008D5CA1" w:rsidP="00310F19">
      <w:pPr>
        <w:pStyle w:val="3-BodyText"/>
        <w:spacing w:after="240"/>
      </w:pPr>
      <w:r w:rsidRPr="007C22B8">
        <w:t xml:space="preserve">The restriction proposed in the submission </w:t>
      </w:r>
      <w:r w:rsidR="00204A13" w:rsidRPr="007C22B8">
        <w:t xml:space="preserve">is outlined below, </w:t>
      </w:r>
      <w:r w:rsidR="007C22B8" w:rsidRPr="007C22B8">
        <w:t xml:space="preserve">with </w:t>
      </w:r>
      <w:r w:rsidR="00204A13" w:rsidRPr="007C22B8">
        <w:t xml:space="preserve">amendments proposed in the </w:t>
      </w:r>
      <w:r w:rsidRPr="007C22B8">
        <w:t>Pre-Sub-Committee Response (PSCR)</w:t>
      </w:r>
      <w:r w:rsidR="00204A13" w:rsidRPr="007C22B8">
        <w:t xml:space="preserve"> in italics</w:t>
      </w:r>
      <w:r w:rsidRPr="007C22B8">
        <w:t xml:space="preserve">. </w:t>
      </w:r>
    </w:p>
    <w:p w:rsidR="00F358B2" w:rsidRDefault="00F358B2">
      <w:pPr>
        <w:jc w:val="left"/>
        <w:rPr>
          <w:rFonts w:cs="Arial"/>
          <w:snapToGrid w:val="0"/>
          <w:lang w:eastAsia="en-AU"/>
        </w:rPr>
      </w:pPr>
      <w:r>
        <w:br w:type="page"/>
      </w:r>
    </w:p>
    <w:tbl>
      <w:tblPr>
        <w:tblW w:w="5000" w:type="pct"/>
        <w:tblCellMar>
          <w:left w:w="28" w:type="dxa"/>
          <w:right w:w="28" w:type="dxa"/>
        </w:tblCellMar>
        <w:tblLook w:val="0000" w:firstRow="0" w:lastRow="0" w:firstColumn="0" w:lastColumn="0" w:noHBand="0" w:noVBand="0"/>
      </w:tblPr>
      <w:tblGrid>
        <w:gridCol w:w="2129"/>
        <w:gridCol w:w="850"/>
        <w:gridCol w:w="1275"/>
        <w:gridCol w:w="2677"/>
        <w:gridCol w:w="756"/>
        <w:gridCol w:w="1340"/>
      </w:tblGrid>
      <w:tr w:rsidR="00267BA0" w:rsidRPr="00413860" w:rsidTr="00F358B2">
        <w:trPr>
          <w:cantSplit/>
          <w:trHeight w:val="463"/>
        </w:trPr>
        <w:tc>
          <w:tcPr>
            <w:tcW w:w="1179" w:type="pct"/>
            <w:tcBorders>
              <w:top w:val="single" w:sz="4" w:space="0" w:color="auto"/>
              <w:bottom w:val="single" w:sz="4" w:space="0" w:color="auto"/>
            </w:tcBorders>
            <w:vAlign w:val="center"/>
          </w:tcPr>
          <w:p w:rsidR="00E2087D" w:rsidRPr="00C7151A" w:rsidRDefault="00E2087D" w:rsidP="008F388B">
            <w:pPr>
              <w:keepNext/>
              <w:rPr>
                <w:rFonts w:ascii="Arial Narrow" w:hAnsi="Arial Narrow"/>
                <w:b/>
                <w:sz w:val="20"/>
              </w:rPr>
            </w:pPr>
            <w:r w:rsidRPr="00C7151A">
              <w:rPr>
                <w:rFonts w:ascii="Arial Narrow" w:hAnsi="Arial Narrow"/>
                <w:b/>
                <w:sz w:val="20"/>
              </w:rPr>
              <w:t>N</w:t>
            </w:r>
            <w:r w:rsidR="00105DA8">
              <w:rPr>
                <w:rFonts w:ascii="Arial Narrow" w:hAnsi="Arial Narrow"/>
                <w:b/>
                <w:sz w:val="20"/>
              </w:rPr>
              <w:t>ame</w:t>
            </w:r>
            <w:r w:rsidRPr="00C7151A">
              <w:rPr>
                <w:rFonts w:ascii="Arial Narrow" w:hAnsi="Arial Narrow"/>
                <w:b/>
                <w:sz w:val="20"/>
              </w:rPr>
              <w:t>, Restriction,</w:t>
            </w:r>
          </w:p>
          <w:p w:rsidR="00E2087D" w:rsidRPr="00C7151A" w:rsidRDefault="00E2087D" w:rsidP="008F388B">
            <w:pPr>
              <w:keepNext/>
              <w:rPr>
                <w:rFonts w:ascii="Arial Narrow" w:hAnsi="Arial Narrow"/>
                <w:b/>
                <w:sz w:val="20"/>
              </w:rPr>
            </w:pPr>
            <w:r w:rsidRPr="00C7151A">
              <w:rPr>
                <w:rFonts w:ascii="Arial Narrow" w:hAnsi="Arial Narrow"/>
                <w:b/>
                <w:sz w:val="20"/>
              </w:rPr>
              <w:t>Manner of administration and form</w:t>
            </w:r>
          </w:p>
        </w:tc>
        <w:tc>
          <w:tcPr>
            <w:tcW w:w="471" w:type="pct"/>
            <w:tcBorders>
              <w:top w:val="single" w:sz="4" w:space="0" w:color="auto"/>
              <w:bottom w:val="single" w:sz="4" w:space="0" w:color="auto"/>
            </w:tcBorders>
            <w:vAlign w:val="center"/>
          </w:tcPr>
          <w:p w:rsidR="00E2087D" w:rsidRPr="00C7151A" w:rsidRDefault="00E2087D" w:rsidP="008F388B">
            <w:pPr>
              <w:keepNext/>
              <w:jc w:val="center"/>
              <w:rPr>
                <w:rFonts w:ascii="Arial Narrow" w:hAnsi="Arial Narrow"/>
                <w:b/>
                <w:sz w:val="20"/>
              </w:rPr>
            </w:pPr>
            <w:r w:rsidRPr="00C7151A">
              <w:rPr>
                <w:rFonts w:ascii="Arial Narrow" w:hAnsi="Arial Narrow"/>
                <w:b/>
                <w:sz w:val="20"/>
              </w:rPr>
              <w:t>Max.</w:t>
            </w:r>
          </w:p>
          <w:p w:rsidR="00E2087D" w:rsidRPr="00C7151A" w:rsidRDefault="00E2087D" w:rsidP="00105DA8">
            <w:pPr>
              <w:keepNext/>
              <w:jc w:val="center"/>
              <w:rPr>
                <w:rFonts w:ascii="Arial Narrow" w:hAnsi="Arial Narrow"/>
                <w:b/>
                <w:sz w:val="20"/>
              </w:rPr>
            </w:pPr>
            <w:r w:rsidRPr="00C7151A">
              <w:rPr>
                <w:rFonts w:ascii="Arial Narrow" w:hAnsi="Arial Narrow"/>
                <w:b/>
                <w:sz w:val="20"/>
              </w:rPr>
              <w:t xml:space="preserve">Qty </w:t>
            </w:r>
          </w:p>
        </w:tc>
        <w:tc>
          <w:tcPr>
            <w:tcW w:w="706" w:type="pct"/>
            <w:tcBorders>
              <w:top w:val="single" w:sz="4" w:space="0" w:color="auto"/>
              <w:bottom w:val="single" w:sz="4" w:space="0" w:color="auto"/>
            </w:tcBorders>
            <w:vAlign w:val="center"/>
          </w:tcPr>
          <w:p w:rsidR="00E2087D" w:rsidRPr="00C7151A" w:rsidRDefault="00E2087D" w:rsidP="008F388B">
            <w:pPr>
              <w:keepNext/>
              <w:jc w:val="center"/>
              <w:rPr>
                <w:rFonts w:ascii="Arial Narrow" w:hAnsi="Arial Narrow"/>
                <w:b/>
                <w:sz w:val="20"/>
              </w:rPr>
            </w:pPr>
            <w:r w:rsidRPr="00C7151A">
              <w:rPr>
                <w:rFonts w:ascii="Arial Narrow" w:hAnsi="Arial Narrow"/>
                <w:b/>
                <w:sz w:val="20"/>
              </w:rPr>
              <w:t>№.of</w:t>
            </w:r>
          </w:p>
          <w:p w:rsidR="00E2087D" w:rsidRPr="00C7151A" w:rsidRDefault="00E2087D" w:rsidP="008F388B">
            <w:pPr>
              <w:keepNext/>
              <w:jc w:val="center"/>
              <w:rPr>
                <w:rFonts w:ascii="Arial Narrow" w:hAnsi="Arial Narrow"/>
                <w:b/>
                <w:sz w:val="20"/>
              </w:rPr>
            </w:pPr>
            <w:r w:rsidRPr="00C7151A">
              <w:rPr>
                <w:rFonts w:ascii="Arial Narrow" w:hAnsi="Arial Narrow"/>
                <w:b/>
                <w:sz w:val="20"/>
              </w:rPr>
              <w:t>Rpts</w:t>
            </w:r>
          </w:p>
        </w:tc>
        <w:tc>
          <w:tcPr>
            <w:tcW w:w="1483" w:type="pct"/>
            <w:tcBorders>
              <w:top w:val="single" w:sz="4" w:space="0" w:color="auto"/>
              <w:bottom w:val="single" w:sz="4" w:space="0" w:color="auto"/>
            </w:tcBorders>
            <w:vAlign w:val="center"/>
          </w:tcPr>
          <w:p w:rsidR="00E2087D" w:rsidRPr="00C7151A" w:rsidRDefault="00E2087D" w:rsidP="00105DA8">
            <w:pPr>
              <w:keepNext/>
              <w:jc w:val="center"/>
              <w:rPr>
                <w:rFonts w:ascii="Arial Narrow" w:hAnsi="Arial Narrow"/>
                <w:b/>
                <w:sz w:val="20"/>
              </w:rPr>
            </w:pPr>
            <w:r w:rsidRPr="00C7151A">
              <w:rPr>
                <w:rFonts w:ascii="Arial Narrow" w:hAnsi="Arial Narrow"/>
                <w:b/>
                <w:sz w:val="20"/>
              </w:rPr>
              <w:t xml:space="preserve">Dispensed Price for Max. Qty </w:t>
            </w:r>
          </w:p>
        </w:tc>
        <w:tc>
          <w:tcPr>
            <w:tcW w:w="1161" w:type="pct"/>
            <w:gridSpan w:val="2"/>
            <w:tcBorders>
              <w:top w:val="single" w:sz="4" w:space="0" w:color="auto"/>
              <w:bottom w:val="single" w:sz="4" w:space="0" w:color="auto"/>
            </w:tcBorders>
            <w:vAlign w:val="center"/>
          </w:tcPr>
          <w:p w:rsidR="00E2087D" w:rsidRPr="00C7151A" w:rsidRDefault="00E2087D" w:rsidP="008F388B">
            <w:pPr>
              <w:keepNext/>
              <w:jc w:val="center"/>
              <w:rPr>
                <w:rFonts w:ascii="Arial Narrow" w:hAnsi="Arial Narrow"/>
                <w:b/>
                <w:sz w:val="20"/>
                <w:lang w:val="fr-FR"/>
              </w:rPr>
            </w:pPr>
            <w:r w:rsidRPr="00C7151A">
              <w:rPr>
                <w:rFonts w:ascii="Arial Narrow" w:hAnsi="Arial Narrow"/>
                <w:b/>
                <w:sz w:val="20"/>
              </w:rPr>
              <w:t>Proprietary Name and Manufacturer</w:t>
            </w:r>
          </w:p>
        </w:tc>
      </w:tr>
      <w:tr w:rsidR="00267BA0" w:rsidRPr="00413860" w:rsidTr="00F358B2">
        <w:trPr>
          <w:cantSplit/>
          <w:trHeight w:val="567"/>
        </w:trPr>
        <w:tc>
          <w:tcPr>
            <w:tcW w:w="1179" w:type="pct"/>
            <w:vAlign w:val="center"/>
          </w:tcPr>
          <w:p w:rsidR="00E2087D" w:rsidRPr="00591957" w:rsidRDefault="00E2087D" w:rsidP="008F388B">
            <w:pPr>
              <w:keepNext/>
              <w:rPr>
                <w:rFonts w:ascii="Arial Narrow" w:hAnsi="Arial Narrow"/>
                <w:sz w:val="20"/>
              </w:rPr>
            </w:pPr>
            <w:r>
              <w:rPr>
                <w:rFonts w:ascii="Arial Narrow" w:hAnsi="Arial Narrow"/>
                <w:smallCaps/>
                <w:sz w:val="20"/>
              </w:rPr>
              <w:t>Tucatinib</w:t>
            </w:r>
          </w:p>
          <w:p w:rsidR="00E2087D" w:rsidRPr="00591957" w:rsidRDefault="00E2087D" w:rsidP="008F388B">
            <w:pPr>
              <w:keepNext/>
              <w:rPr>
                <w:rFonts w:ascii="Arial Narrow" w:hAnsi="Arial Narrow"/>
                <w:sz w:val="20"/>
              </w:rPr>
            </w:pPr>
            <w:r>
              <w:rPr>
                <w:rFonts w:ascii="Arial Narrow" w:hAnsi="Arial Narrow"/>
                <w:sz w:val="20"/>
              </w:rPr>
              <w:t>Tablets</w:t>
            </w:r>
            <w:r w:rsidRPr="00591957">
              <w:rPr>
                <w:rFonts w:ascii="Arial Narrow" w:hAnsi="Arial Narrow"/>
                <w:sz w:val="20"/>
              </w:rPr>
              <w:t xml:space="preserve"> </w:t>
            </w:r>
            <w:r>
              <w:rPr>
                <w:rFonts w:ascii="Arial Narrow" w:hAnsi="Arial Narrow"/>
                <w:sz w:val="20"/>
              </w:rPr>
              <w:t>150mg (84)</w:t>
            </w:r>
          </w:p>
        </w:tc>
        <w:tc>
          <w:tcPr>
            <w:tcW w:w="471" w:type="pct"/>
            <w:vAlign w:val="center"/>
          </w:tcPr>
          <w:p w:rsidR="00E2087D" w:rsidRPr="00591957" w:rsidRDefault="00E2087D" w:rsidP="00E2087D">
            <w:pPr>
              <w:keepNext/>
              <w:jc w:val="center"/>
              <w:rPr>
                <w:rFonts w:ascii="Arial Narrow" w:hAnsi="Arial Narrow"/>
                <w:sz w:val="20"/>
              </w:rPr>
            </w:pPr>
            <w:r>
              <w:rPr>
                <w:rFonts w:ascii="Arial Narrow" w:hAnsi="Arial Narrow"/>
                <w:sz w:val="20"/>
              </w:rPr>
              <w:t>168</w:t>
            </w:r>
          </w:p>
        </w:tc>
        <w:tc>
          <w:tcPr>
            <w:tcW w:w="706" w:type="pct"/>
            <w:vAlign w:val="center"/>
          </w:tcPr>
          <w:p w:rsidR="00E2087D" w:rsidRDefault="00E2087D" w:rsidP="00E2087D">
            <w:pPr>
              <w:keepNext/>
              <w:jc w:val="center"/>
              <w:rPr>
                <w:rFonts w:ascii="Arial Narrow" w:hAnsi="Arial Narrow"/>
                <w:sz w:val="20"/>
              </w:rPr>
            </w:pPr>
            <w:r>
              <w:rPr>
                <w:rFonts w:ascii="Arial Narrow" w:hAnsi="Arial Narrow"/>
                <w:sz w:val="20"/>
              </w:rPr>
              <w:t>1 (initial)</w:t>
            </w:r>
          </w:p>
          <w:p w:rsidR="00267BA0" w:rsidRPr="00591957" w:rsidRDefault="00267BA0" w:rsidP="00E2087D">
            <w:pPr>
              <w:keepNext/>
              <w:jc w:val="center"/>
              <w:rPr>
                <w:rFonts w:ascii="Arial Narrow" w:hAnsi="Arial Narrow"/>
                <w:sz w:val="20"/>
              </w:rPr>
            </w:pPr>
            <w:r>
              <w:rPr>
                <w:rFonts w:ascii="Arial Narrow" w:hAnsi="Arial Narrow"/>
                <w:sz w:val="20"/>
              </w:rPr>
              <w:t>0(continuing)</w:t>
            </w:r>
          </w:p>
        </w:tc>
        <w:tc>
          <w:tcPr>
            <w:tcW w:w="1483" w:type="pct"/>
            <w:vAlign w:val="center"/>
          </w:tcPr>
          <w:p w:rsidR="00267BA0" w:rsidRPr="00105DA8" w:rsidRDefault="00267BA0" w:rsidP="00267BA0">
            <w:pPr>
              <w:pStyle w:val="In-tableHeading"/>
              <w:rPr>
                <w:b w:val="0"/>
                <w:bCs/>
              </w:rPr>
            </w:pPr>
            <w:r w:rsidRPr="00105DA8">
              <w:rPr>
                <w:b w:val="0"/>
                <w:bCs/>
              </w:rPr>
              <w:t>Published Price (SPA)</w:t>
            </w:r>
          </w:p>
          <w:p w:rsidR="00267BA0" w:rsidRPr="00105DA8" w:rsidRDefault="00267BA0" w:rsidP="00267BA0">
            <w:pPr>
              <w:pStyle w:val="In-tableHeading"/>
              <w:rPr>
                <w:b w:val="0"/>
                <w:bCs/>
              </w:rPr>
            </w:pPr>
            <w:r w:rsidRPr="00105DA8">
              <w:rPr>
                <w:b w:val="0"/>
                <w:bCs/>
              </w:rPr>
              <w:t>AEMP</w:t>
            </w:r>
            <w:r w:rsidR="00627797" w:rsidRPr="00105DA8">
              <w:rPr>
                <w:b w:val="0"/>
                <w:bCs/>
              </w:rPr>
              <w:t xml:space="preserve"> per pack </w:t>
            </w:r>
            <w:r w:rsidRPr="00105DA8">
              <w:rPr>
                <w:b w:val="0"/>
                <w:bCs/>
              </w:rPr>
              <w:t>$</w:t>
            </w:r>
            <w:r w:rsidR="002A79BC">
              <w:rPr>
                <w:b w:val="0"/>
                <w:bCs/>
                <w:noProof/>
                <w:color w:val="000000"/>
                <w:highlight w:val="black"/>
              </w:rPr>
              <w:t>''''''''''''''''''''''</w:t>
            </w:r>
          </w:p>
          <w:p w:rsidR="00267BA0" w:rsidRPr="00105DA8" w:rsidRDefault="00267BA0" w:rsidP="00267BA0">
            <w:pPr>
              <w:pStyle w:val="In-tableHeading"/>
              <w:rPr>
                <w:b w:val="0"/>
                <w:bCs/>
              </w:rPr>
            </w:pPr>
            <w:r w:rsidRPr="00105DA8">
              <w:rPr>
                <w:b w:val="0"/>
                <w:bCs/>
              </w:rPr>
              <w:t>DPMQ $</w:t>
            </w:r>
            <w:r w:rsidR="002A79BC">
              <w:rPr>
                <w:b w:val="0"/>
                <w:bCs/>
                <w:noProof/>
                <w:color w:val="000000"/>
                <w:highlight w:val="black"/>
              </w:rPr>
              <w:t>'''''''''''''''''''''</w:t>
            </w:r>
          </w:p>
          <w:p w:rsidR="00267BA0" w:rsidRPr="00105DA8" w:rsidRDefault="00267BA0" w:rsidP="00267BA0">
            <w:pPr>
              <w:pStyle w:val="In-tableHeading"/>
              <w:rPr>
                <w:b w:val="0"/>
                <w:bCs/>
              </w:rPr>
            </w:pPr>
            <w:r w:rsidRPr="00105DA8">
              <w:rPr>
                <w:b w:val="0"/>
                <w:bCs/>
              </w:rPr>
              <w:t>Effective Price</w:t>
            </w:r>
          </w:p>
          <w:p w:rsidR="00267BA0" w:rsidRPr="00105DA8" w:rsidRDefault="00267BA0" w:rsidP="00267BA0">
            <w:pPr>
              <w:pStyle w:val="In-tableHeading"/>
              <w:rPr>
                <w:b w:val="0"/>
                <w:bCs/>
              </w:rPr>
            </w:pPr>
            <w:r w:rsidRPr="00105DA8">
              <w:rPr>
                <w:b w:val="0"/>
                <w:bCs/>
              </w:rPr>
              <w:t xml:space="preserve">AEMP </w:t>
            </w:r>
            <w:r w:rsidR="00627797" w:rsidRPr="00105DA8">
              <w:rPr>
                <w:b w:val="0"/>
                <w:bCs/>
              </w:rPr>
              <w:t xml:space="preserve">per pack </w:t>
            </w:r>
            <w:r w:rsidRPr="00105DA8">
              <w:rPr>
                <w:b w:val="0"/>
                <w:bCs/>
              </w:rPr>
              <w:t>$</w:t>
            </w:r>
            <w:r w:rsidR="002A79BC">
              <w:rPr>
                <w:b w:val="0"/>
                <w:bCs/>
                <w:noProof/>
                <w:color w:val="000000"/>
                <w:highlight w:val="black"/>
              </w:rPr>
              <w:t>'''''''''''''''''''''</w:t>
            </w:r>
          </w:p>
          <w:p w:rsidR="00E2087D" w:rsidRPr="00105DA8" w:rsidRDefault="00267BA0" w:rsidP="00267BA0">
            <w:pPr>
              <w:pStyle w:val="In-tableHeading"/>
              <w:rPr>
                <w:b w:val="0"/>
                <w:bCs/>
              </w:rPr>
            </w:pPr>
            <w:r w:rsidRPr="00105DA8">
              <w:rPr>
                <w:b w:val="0"/>
                <w:bCs/>
              </w:rPr>
              <w:t>DPMQ $</w:t>
            </w:r>
            <w:r w:rsidR="002A79BC">
              <w:rPr>
                <w:b w:val="0"/>
                <w:bCs/>
                <w:noProof/>
                <w:color w:val="000000"/>
                <w:highlight w:val="black"/>
              </w:rPr>
              <w:t>'''''''''''''''''''''''</w:t>
            </w:r>
          </w:p>
        </w:tc>
        <w:tc>
          <w:tcPr>
            <w:tcW w:w="419" w:type="pct"/>
            <w:vAlign w:val="center"/>
          </w:tcPr>
          <w:p w:rsidR="00E2087D" w:rsidRPr="00591957" w:rsidRDefault="00E2087D" w:rsidP="008F388B">
            <w:pPr>
              <w:keepNext/>
              <w:jc w:val="center"/>
              <w:rPr>
                <w:rFonts w:ascii="Arial Narrow" w:hAnsi="Arial Narrow"/>
                <w:sz w:val="20"/>
              </w:rPr>
            </w:pPr>
            <w:r>
              <w:rPr>
                <w:rFonts w:ascii="Arial Narrow" w:hAnsi="Arial Narrow"/>
                <w:sz w:val="20"/>
              </w:rPr>
              <w:t>TUKYSA</w:t>
            </w:r>
          </w:p>
        </w:tc>
        <w:tc>
          <w:tcPr>
            <w:tcW w:w="742" w:type="pct"/>
            <w:vAlign w:val="center"/>
          </w:tcPr>
          <w:p w:rsidR="00E2087D" w:rsidRPr="002A79BC" w:rsidRDefault="002630EB" w:rsidP="008475F1">
            <w:pPr>
              <w:keepNext/>
              <w:jc w:val="center"/>
              <w:rPr>
                <w:rFonts w:ascii="Arial Narrow" w:hAnsi="Arial Narrow"/>
                <w:sz w:val="20"/>
              </w:rPr>
            </w:pPr>
            <w:r w:rsidRPr="002A79BC">
              <w:rPr>
                <w:rFonts w:ascii="Arial Narrow" w:hAnsi="Arial Narrow"/>
                <w:sz w:val="20"/>
              </w:rPr>
              <w:t>Sea</w:t>
            </w:r>
            <w:r w:rsidR="008475F1" w:rsidRPr="002A79BC">
              <w:rPr>
                <w:rFonts w:ascii="Arial Narrow" w:hAnsi="Arial Narrow"/>
                <w:sz w:val="20"/>
              </w:rPr>
              <w:t>gen Inc.</w:t>
            </w:r>
          </w:p>
        </w:tc>
      </w:tr>
      <w:tr w:rsidR="00267BA0" w:rsidRPr="00413860" w:rsidTr="00F358B2">
        <w:trPr>
          <w:cantSplit/>
          <w:trHeight w:val="567"/>
        </w:trPr>
        <w:tc>
          <w:tcPr>
            <w:tcW w:w="1179" w:type="pct"/>
            <w:vAlign w:val="center"/>
          </w:tcPr>
          <w:p w:rsidR="00267BA0" w:rsidRDefault="00267BA0" w:rsidP="00267BA0">
            <w:pPr>
              <w:keepNext/>
              <w:rPr>
                <w:rFonts w:ascii="Arial Narrow" w:hAnsi="Arial Narrow"/>
                <w:smallCaps/>
                <w:sz w:val="20"/>
              </w:rPr>
            </w:pPr>
            <w:r w:rsidRPr="00E2087D">
              <w:rPr>
                <w:rFonts w:ascii="Arial Narrow" w:hAnsi="Arial Narrow"/>
                <w:sz w:val="20"/>
                <w:szCs w:val="20"/>
              </w:rPr>
              <w:t>Tablets 50mg</w:t>
            </w:r>
            <w:r>
              <w:rPr>
                <w:rFonts w:ascii="Arial Narrow" w:hAnsi="Arial Narrow"/>
                <w:smallCaps/>
                <w:sz w:val="20"/>
              </w:rPr>
              <w:t xml:space="preserve"> (88)</w:t>
            </w:r>
          </w:p>
        </w:tc>
        <w:tc>
          <w:tcPr>
            <w:tcW w:w="471" w:type="pct"/>
            <w:vAlign w:val="center"/>
          </w:tcPr>
          <w:p w:rsidR="00267BA0" w:rsidRDefault="00267BA0" w:rsidP="00267BA0">
            <w:pPr>
              <w:keepNext/>
              <w:jc w:val="center"/>
              <w:rPr>
                <w:rFonts w:ascii="Arial Narrow" w:hAnsi="Arial Narrow"/>
                <w:sz w:val="20"/>
              </w:rPr>
            </w:pPr>
            <w:r>
              <w:rPr>
                <w:rFonts w:ascii="Arial Narrow" w:hAnsi="Arial Narrow"/>
                <w:sz w:val="20"/>
              </w:rPr>
              <w:t>176</w:t>
            </w:r>
          </w:p>
        </w:tc>
        <w:tc>
          <w:tcPr>
            <w:tcW w:w="706" w:type="pct"/>
            <w:vAlign w:val="center"/>
          </w:tcPr>
          <w:p w:rsidR="00267BA0" w:rsidRDefault="00267BA0" w:rsidP="00267BA0">
            <w:pPr>
              <w:keepNext/>
              <w:jc w:val="center"/>
              <w:rPr>
                <w:rFonts w:ascii="Arial Narrow" w:hAnsi="Arial Narrow"/>
                <w:sz w:val="20"/>
              </w:rPr>
            </w:pPr>
            <w:r>
              <w:rPr>
                <w:rFonts w:ascii="Arial Narrow" w:hAnsi="Arial Narrow"/>
                <w:sz w:val="20"/>
              </w:rPr>
              <w:t>1 (initial)</w:t>
            </w:r>
          </w:p>
          <w:p w:rsidR="00267BA0" w:rsidRDefault="00267BA0" w:rsidP="00267BA0">
            <w:pPr>
              <w:keepNext/>
              <w:jc w:val="center"/>
              <w:rPr>
                <w:rFonts w:ascii="Arial Narrow" w:hAnsi="Arial Narrow"/>
                <w:sz w:val="20"/>
              </w:rPr>
            </w:pPr>
            <w:r>
              <w:rPr>
                <w:rFonts w:ascii="Arial Narrow" w:hAnsi="Arial Narrow"/>
                <w:sz w:val="20"/>
              </w:rPr>
              <w:t>0(continuing)</w:t>
            </w:r>
          </w:p>
        </w:tc>
        <w:tc>
          <w:tcPr>
            <w:tcW w:w="1483" w:type="pct"/>
            <w:vAlign w:val="center"/>
          </w:tcPr>
          <w:p w:rsidR="00267BA0" w:rsidRPr="00105DA8" w:rsidRDefault="00267BA0" w:rsidP="00267BA0">
            <w:pPr>
              <w:pStyle w:val="In-tableHeading"/>
              <w:rPr>
                <w:b w:val="0"/>
                <w:bCs/>
              </w:rPr>
            </w:pPr>
            <w:r w:rsidRPr="00105DA8">
              <w:rPr>
                <w:b w:val="0"/>
                <w:bCs/>
              </w:rPr>
              <w:t>Published Price (SPA)</w:t>
            </w:r>
          </w:p>
          <w:p w:rsidR="00267BA0" w:rsidRPr="00105DA8" w:rsidRDefault="00267BA0" w:rsidP="00267BA0">
            <w:pPr>
              <w:pStyle w:val="In-tableHeading"/>
              <w:rPr>
                <w:b w:val="0"/>
                <w:bCs/>
              </w:rPr>
            </w:pPr>
            <w:r w:rsidRPr="00105DA8">
              <w:rPr>
                <w:b w:val="0"/>
                <w:bCs/>
              </w:rPr>
              <w:t xml:space="preserve">AEMP </w:t>
            </w:r>
            <w:r w:rsidR="00627797" w:rsidRPr="00105DA8">
              <w:rPr>
                <w:b w:val="0"/>
                <w:bCs/>
              </w:rPr>
              <w:t>per pack</w:t>
            </w:r>
            <w:r w:rsidRPr="00105DA8">
              <w:rPr>
                <w:b w:val="0"/>
                <w:bCs/>
              </w:rPr>
              <w:t xml:space="preserve"> $</w:t>
            </w:r>
            <w:r w:rsidR="002A79BC">
              <w:rPr>
                <w:b w:val="0"/>
                <w:bCs/>
                <w:noProof/>
                <w:color w:val="000000"/>
                <w:highlight w:val="black"/>
              </w:rPr>
              <w:t>''''''''''''''''''''</w:t>
            </w:r>
          </w:p>
          <w:p w:rsidR="00267BA0" w:rsidRPr="00105DA8" w:rsidRDefault="00267BA0" w:rsidP="00267BA0">
            <w:pPr>
              <w:pStyle w:val="In-tableHeading"/>
              <w:rPr>
                <w:b w:val="0"/>
                <w:bCs/>
              </w:rPr>
            </w:pPr>
            <w:r w:rsidRPr="00105DA8">
              <w:rPr>
                <w:b w:val="0"/>
                <w:bCs/>
              </w:rPr>
              <w:t>Public DPMQ $</w:t>
            </w:r>
            <w:r w:rsidR="002A79BC">
              <w:rPr>
                <w:b w:val="0"/>
                <w:bCs/>
                <w:noProof/>
                <w:color w:val="000000"/>
                <w:highlight w:val="black"/>
              </w:rPr>
              <w:t>'''''''''''''''''''''''</w:t>
            </w:r>
          </w:p>
          <w:p w:rsidR="00267BA0" w:rsidRPr="00105DA8" w:rsidRDefault="00267BA0" w:rsidP="00267BA0">
            <w:pPr>
              <w:pStyle w:val="In-tableHeading"/>
              <w:rPr>
                <w:b w:val="0"/>
                <w:bCs/>
              </w:rPr>
            </w:pPr>
            <w:r w:rsidRPr="00105DA8">
              <w:rPr>
                <w:b w:val="0"/>
                <w:bCs/>
              </w:rPr>
              <w:t>Effective Price</w:t>
            </w:r>
          </w:p>
          <w:p w:rsidR="00267BA0" w:rsidRPr="002A79BC" w:rsidRDefault="00267BA0" w:rsidP="00267BA0">
            <w:pPr>
              <w:pStyle w:val="In-tableHeading"/>
              <w:rPr>
                <w:b w:val="0"/>
                <w:bCs/>
              </w:rPr>
            </w:pPr>
            <w:r w:rsidRPr="00105DA8">
              <w:rPr>
                <w:b w:val="0"/>
                <w:bCs/>
              </w:rPr>
              <w:t>AEMP</w:t>
            </w:r>
            <w:r w:rsidR="00627797" w:rsidRPr="00105DA8">
              <w:rPr>
                <w:b w:val="0"/>
                <w:bCs/>
              </w:rPr>
              <w:t xml:space="preserve"> per pack </w:t>
            </w:r>
            <w:r w:rsidRPr="00105DA8">
              <w:rPr>
                <w:b w:val="0"/>
                <w:bCs/>
              </w:rPr>
              <w:t>$</w:t>
            </w:r>
            <w:r w:rsidR="002A79BC">
              <w:rPr>
                <w:b w:val="0"/>
                <w:bCs/>
                <w:noProof/>
                <w:color w:val="000000"/>
                <w:highlight w:val="black"/>
              </w:rPr>
              <w:t>''''''''''''''''''''''</w:t>
            </w:r>
          </w:p>
          <w:p w:rsidR="00267BA0" w:rsidRPr="00105DA8" w:rsidRDefault="00267BA0" w:rsidP="00267BA0">
            <w:pPr>
              <w:pStyle w:val="In-tableHeading"/>
              <w:rPr>
                <w:b w:val="0"/>
                <w:bCs/>
              </w:rPr>
            </w:pPr>
            <w:r w:rsidRPr="00105DA8">
              <w:rPr>
                <w:b w:val="0"/>
                <w:bCs/>
              </w:rPr>
              <w:t>Public DPMQ $</w:t>
            </w:r>
            <w:r w:rsidR="002A79BC">
              <w:rPr>
                <w:b w:val="0"/>
                <w:bCs/>
                <w:noProof/>
                <w:color w:val="000000"/>
                <w:highlight w:val="black"/>
              </w:rPr>
              <w:t>'''''''''''''''''''</w:t>
            </w:r>
          </w:p>
        </w:tc>
        <w:tc>
          <w:tcPr>
            <w:tcW w:w="419" w:type="pct"/>
            <w:vAlign w:val="center"/>
          </w:tcPr>
          <w:p w:rsidR="00267BA0" w:rsidRDefault="00267BA0" w:rsidP="00267BA0">
            <w:pPr>
              <w:keepNext/>
              <w:jc w:val="center"/>
              <w:rPr>
                <w:rFonts w:ascii="Arial Narrow" w:hAnsi="Arial Narrow"/>
                <w:sz w:val="20"/>
              </w:rPr>
            </w:pPr>
            <w:r>
              <w:rPr>
                <w:rFonts w:ascii="Arial Narrow" w:hAnsi="Arial Narrow"/>
                <w:sz w:val="20"/>
              </w:rPr>
              <w:t>TUKYSA</w:t>
            </w:r>
          </w:p>
        </w:tc>
        <w:tc>
          <w:tcPr>
            <w:tcW w:w="742" w:type="pct"/>
            <w:vAlign w:val="center"/>
          </w:tcPr>
          <w:p w:rsidR="00267BA0" w:rsidRPr="002A79BC" w:rsidRDefault="002630EB" w:rsidP="008475F1">
            <w:pPr>
              <w:keepNext/>
              <w:jc w:val="center"/>
              <w:rPr>
                <w:rFonts w:ascii="Arial Narrow" w:hAnsi="Arial Narrow"/>
                <w:sz w:val="20"/>
              </w:rPr>
            </w:pPr>
            <w:r w:rsidRPr="002A79BC">
              <w:rPr>
                <w:rFonts w:ascii="Arial Narrow" w:hAnsi="Arial Narrow"/>
                <w:sz w:val="20"/>
              </w:rPr>
              <w:t>Sea</w:t>
            </w:r>
            <w:r w:rsidR="008475F1" w:rsidRPr="002A79BC">
              <w:rPr>
                <w:rFonts w:ascii="Arial Narrow" w:hAnsi="Arial Narrow"/>
                <w:sz w:val="20"/>
              </w:rPr>
              <w:t>gen Inc.</w:t>
            </w:r>
          </w:p>
        </w:tc>
      </w:tr>
    </w:tbl>
    <w:p w:rsidR="00A3444F" w:rsidRDefault="0043662D" w:rsidP="00A3444F">
      <w:pPr>
        <w:pStyle w:val="TableFooter"/>
      </w:pPr>
      <w:r>
        <w:t>Source Table</w:t>
      </w:r>
      <w:r w:rsidR="00A3444F">
        <w:t xml:space="preserve"> 1.8 p46 </w:t>
      </w:r>
      <w:r w:rsidR="00A3444F" w:rsidRPr="00D13A3E">
        <w:t xml:space="preserve">of the </w:t>
      </w:r>
      <w:r w:rsidR="00A3444F">
        <w:t>submission.</w:t>
      </w:r>
    </w:p>
    <w:p w:rsidR="00F1634B" w:rsidRDefault="00F1634B" w:rsidP="00A3444F">
      <w:pPr>
        <w:pStyle w:val="TableFooter"/>
      </w:pPr>
    </w:p>
    <w:p w:rsidR="00F1634B" w:rsidRPr="007C609A" w:rsidRDefault="00F1634B" w:rsidP="00A3444F">
      <w:pPr>
        <w:pStyle w:val="TableFooter"/>
      </w:pPr>
    </w:p>
    <w:tbl>
      <w:tblPr>
        <w:tblW w:w="5000" w:type="pct"/>
        <w:tblLook w:val="0000" w:firstRow="0" w:lastRow="0" w:firstColumn="0" w:lastColumn="0" w:noHBand="0" w:noVBand="0"/>
      </w:tblPr>
      <w:tblGrid>
        <w:gridCol w:w="1749"/>
        <w:gridCol w:w="7268"/>
      </w:tblGrid>
      <w:tr w:rsidR="008F388B" w:rsidTr="004E2803">
        <w:trPr>
          <w:trHeight w:val="57"/>
        </w:trPr>
        <w:tc>
          <w:tcPr>
            <w:tcW w:w="97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keepNext/>
              <w:rPr>
                <w:rFonts w:ascii="Arial Narrow" w:hAnsi="Arial Narrow"/>
                <w:b/>
                <w:sz w:val="20"/>
                <w:szCs w:val="20"/>
              </w:rPr>
            </w:pPr>
            <w:r w:rsidRPr="00FC789B">
              <w:rPr>
                <w:rFonts w:ascii="Arial Narrow" w:hAnsi="Arial Narrow"/>
                <w:b/>
                <w:sz w:val="20"/>
                <w:szCs w:val="20"/>
              </w:rPr>
              <w:t>Category / Program</w:t>
            </w:r>
          </w:p>
        </w:tc>
        <w:tc>
          <w:tcPr>
            <w:tcW w:w="4030" w:type="pct"/>
            <w:tcBorders>
              <w:top w:val="single" w:sz="4" w:space="0" w:color="auto"/>
              <w:left w:val="single" w:sz="4" w:space="0" w:color="auto"/>
              <w:bottom w:val="single" w:sz="4" w:space="0" w:color="auto"/>
              <w:right w:val="single" w:sz="4" w:space="0" w:color="auto"/>
            </w:tcBorders>
          </w:tcPr>
          <w:p w:rsidR="008F388B" w:rsidRDefault="008F388B" w:rsidP="000A27F1">
            <w:pPr>
              <w:pStyle w:val="TableText0"/>
            </w:pPr>
            <w:r>
              <w:t>General schedule Section 85</w:t>
            </w:r>
          </w:p>
        </w:tc>
      </w:tr>
      <w:tr w:rsidR="008F388B" w:rsidTr="004E2803">
        <w:trPr>
          <w:trHeight w:val="57"/>
        </w:trPr>
        <w:tc>
          <w:tcPr>
            <w:tcW w:w="97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keepNext/>
              <w:rPr>
                <w:rFonts w:ascii="Arial Narrow" w:hAnsi="Arial Narrow"/>
                <w:b/>
                <w:sz w:val="20"/>
                <w:szCs w:val="20"/>
              </w:rPr>
            </w:pPr>
            <w:r w:rsidRPr="00FC789B">
              <w:rPr>
                <w:rFonts w:ascii="Arial Narrow" w:hAnsi="Arial Narrow"/>
                <w:b/>
                <w:sz w:val="20"/>
                <w:szCs w:val="20"/>
              </w:rPr>
              <w:t>Prescriber type:</w:t>
            </w:r>
          </w:p>
        </w:tc>
        <w:tc>
          <w:tcPr>
            <w:tcW w:w="4030" w:type="pct"/>
            <w:tcBorders>
              <w:top w:val="single" w:sz="4" w:space="0" w:color="auto"/>
              <w:left w:val="single" w:sz="4" w:space="0" w:color="auto"/>
              <w:bottom w:val="single" w:sz="4" w:space="0" w:color="auto"/>
              <w:right w:val="single" w:sz="4" w:space="0" w:color="auto"/>
            </w:tcBorders>
          </w:tcPr>
          <w:p w:rsidR="008F388B" w:rsidRDefault="008F388B" w:rsidP="000A27F1">
            <w:pPr>
              <w:pStyle w:val="TableText0"/>
            </w:pPr>
            <w:r>
              <w:fldChar w:fldCharType="begin">
                <w:ffData>
                  <w:name w:val=""/>
                  <w:enabled/>
                  <w:calcOnExit w:val="0"/>
                  <w:checkBox>
                    <w:sizeAuto/>
                    <w:default w:val="1"/>
                  </w:checkBox>
                </w:ffData>
              </w:fldChar>
            </w:r>
            <w:r>
              <w:instrText xml:space="preserve"> FORMCHECKBOX </w:instrText>
            </w:r>
            <w:r w:rsidR="00E44E8B">
              <w:fldChar w:fldCharType="separate"/>
            </w:r>
            <w:r>
              <w:fldChar w:fldCharType="end"/>
            </w:r>
            <w:r>
              <w:t xml:space="preserve">Medical Practitioners  </w:t>
            </w:r>
          </w:p>
        </w:tc>
      </w:tr>
      <w:tr w:rsidR="008F388B" w:rsidTr="004E2803">
        <w:trPr>
          <w:trHeight w:val="57"/>
        </w:trPr>
        <w:tc>
          <w:tcPr>
            <w:tcW w:w="97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keepNext/>
              <w:rPr>
                <w:rFonts w:ascii="Arial Narrow" w:hAnsi="Arial Narrow"/>
                <w:b/>
                <w:sz w:val="20"/>
                <w:szCs w:val="20"/>
              </w:rPr>
            </w:pPr>
            <w:r w:rsidRPr="00FC789B">
              <w:rPr>
                <w:rFonts w:ascii="Arial Narrow" w:hAnsi="Arial Narrow"/>
                <w:b/>
                <w:sz w:val="20"/>
                <w:szCs w:val="20"/>
              </w:rPr>
              <w:t>PBS Indication:</w:t>
            </w:r>
          </w:p>
        </w:tc>
        <w:tc>
          <w:tcPr>
            <w:tcW w:w="4030" w:type="pct"/>
            <w:tcBorders>
              <w:top w:val="single" w:sz="4" w:space="0" w:color="auto"/>
              <w:left w:val="single" w:sz="4" w:space="0" w:color="auto"/>
              <w:bottom w:val="single" w:sz="4" w:space="0" w:color="auto"/>
              <w:right w:val="single" w:sz="4" w:space="0" w:color="auto"/>
            </w:tcBorders>
          </w:tcPr>
          <w:p w:rsidR="008F388B" w:rsidRDefault="008F388B" w:rsidP="000A27F1">
            <w:pPr>
              <w:pStyle w:val="TableText0"/>
              <w:rPr>
                <w:iCs/>
              </w:rPr>
            </w:pPr>
            <w:r>
              <w:rPr>
                <w:iCs/>
              </w:rPr>
              <w:t>Metastatic (Stage IV) HER2 positive breast cancer</w:t>
            </w:r>
          </w:p>
        </w:tc>
      </w:tr>
      <w:tr w:rsidR="008F388B" w:rsidTr="004E2803">
        <w:trPr>
          <w:trHeight w:val="57"/>
        </w:trPr>
        <w:tc>
          <w:tcPr>
            <w:tcW w:w="97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keepNext/>
              <w:rPr>
                <w:rFonts w:ascii="Arial Narrow" w:hAnsi="Arial Narrow"/>
                <w:b/>
                <w:sz w:val="20"/>
                <w:szCs w:val="20"/>
              </w:rPr>
            </w:pPr>
            <w:r w:rsidRPr="00FC789B">
              <w:rPr>
                <w:rFonts w:ascii="Arial Narrow" w:hAnsi="Arial Narrow"/>
                <w:b/>
                <w:sz w:val="20"/>
                <w:szCs w:val="20"/>
              </w:rPr>
              <w:t>Treatment phase:</w:t>
            </w:r>
          </w:p>
        </w:tc>
        <w:tc>
          <w:tcPr>
            <w:tcW w:w="4030" w:type="pct"/>
            <w:tcBorders>
              <w:top w:val="single" w:sz="4" w:space="0" w:color="auto"/>
              <w:left w:val="single" w:sz="4" w:space="0" w:color="auto"/>
              <w:bottom w:val="single" w:sz="4" w:space="0" w:color="auto"/>
              <w:right w:val="single" w:sz="4" w:space="0" w:color="auto"/>
            </w:tcBorders>
          </w:tcPr>
          <w:p w:rsidR="008F388B" w:rsidRDefault="008F388B" w:rsidP="000A27F1">
            <w:pPr>
              <w:pStyle w:val="TableText0"/>
              <w:rPr>
                <w:iCs/>
              </w:rPr>
            </w:pPr>
            <w:r>
              <w:rPr>
                <w:iCs/>
                <w:lang w:val="en-US"/>
              </w:rPr>
              <w:t>Initial</w:t>
            </w:r>
          </w:p>
        </w:tc>
      </w:tr>
      <w:tr w:rsidR="008F388B" w:rsidTr="004E2803">
        <w:trPr>
          <w:trHeight w:val="57"/>
        </w:trPr>
        <w:tc>
          <w:tcPr>
            <w:tcW w:w="97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keepNext/>
              <w:rPr>
                <w:rFonts w:ascii="Arial Narrow" w:hAnsi="Arial Narrow"/>
                <w:b/>
                <w:sz w:val="20"/>
                <w:szCs w:val="20"/>
              </w:rPr>
            </w:pPr>
            <w:r w:rsidRPr="00FC789B">
              <w:rPr>
                <w:rFonts w:ascii="Arial Narrow" w:hAnsi="Arial Narrow"/>
                <w:b/>
                <w:sz w:val="20"/>
                <w:szCs w:val="20"/>
              </w:rPr>
              <w:t xml:space="preserve">Restriction </w:t>
            </w:r>
            <w:r w:rsidR="00F62B72">
              <w:rPr>
                <w:rFonts w:ascii="Arial Narrow" w:hAnsi="Arial Narrow"/>
                <w:b/>
                <w:sz w:val="20"/>
                <w:szCs w:val="20"/>
              </w:rPr>
              <w:t>type</w:t>
            </w:r>
            <w:r w:rsidRPr="00FC789B">
              <w:rPr>
                <w:rFonts w:ascii="Arial Narrow" w:hAnsi="Arial Narrow"/>
                <w:b/>
                <w:sz w:val="20"/>
                <w:szCs w:val="20"/>
              </w:rPr>
              <w:t>:</w:t>
            </w:r>
          </w:p>
        </w:tc>
        <w:tc>
          <w:tcPr>
            <w:tcW w:w="4030" w:type="pct"/>
            <w:tcBorders>
              <w:top w:val="single" w:sz="4" w:space="0" w:color="auto"/>
              <w:left w:val="single" w:sz="4" w:space="0" w:color="auto"/>
              <w:bottom w:val="single" w:sz="4" w:space="0" w:color="auto"/>
              <w:right w:val="single" w:sz="4" w:space="0" w:color="auto"/>
            </w:tcBorders>
          </w:tcPr>
          <w:p w:rsidR="008F388B" w:rsidRPr="00FC789B" w:rsidRDefault="008F388B" w:rsidP="000A27F1">
            <w:pPr>
              <w:pStyle w:val="TableText0"/>
            </w:pPr>
            <w:r w:rsidRPr="00FC789B">
              <w:fldChar w:fldCharType="begin">
                <w:ffData>
                  <w:name w:val=""/>
                  <w:enabled/>
                  <w:calcOnExit w:val="0"/>
                  <w:checkBox>
                    <w:sizeAuto/>
                    <w:default w:val="1"/>
                  </w:checkBox>
                </w:ffData>
              </w:fldChar>
            </w:r>
            <w:r w:rsidRPr="00FC789B">
              <w:instrText xml:space="preserve"> FORMCHECKBOX </w:instrText>
            </w:r>
            <w:r w:rsidR="00E44E8B">
              <w:fldChar w:fldCharType="separate"/>
            </w:r>
            <w:r w:rsidRPr="00FC789B">
              <w:fldChar w:fldCharType="end"/>
            </w:r>
            <w:r w:rsidRPr="00FC789B">
              <w:t xml:space="preserve">Authority Required </w:t>
            </w:r>
            <w:r w:rsidR="00F62B72">
              <w:t>(immediate/real-time assessment by Services Australia)</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FC789B" w:rsidRDefault="00F62B72" w:rsidP="000A27F1">
            <w:pPr>
              <w:keepNext/>
              <w:rPr>
                <w:rFonts w:ascii="Arial Narrow" w:hAnsi="Arial Narrow"/>
                <w:b/>
                <w:sz w:val="20"/>
                <w:szCs w:val="20"/>
              </w:rPr>
            </w:pPr>
            <w:r w:rsidRPr="00FC789B">
              <w:rPr>
                <w:rFonts w:ascii="Arial Narrow" w:hAnsi="Arial Narrow"/>
                <w:b/>
                <w:sz w:val="20"/>
                <w:szCs w:val="20"/>
              </w:rPr>
              <w:t>Clinical criteria:</w:t>
            </w:r>
          </w:p>
          <w:p w:rsidR="00F62B72" w:rsidRPr="00EA4E40" w:rsidRDefault="00F62B72" w:rsidP="000A27F1">
            <w:pPr>
              <w:pStyle w:val="TableText0"/>
            </w:pPr>
            <w:r w:rsidRPr="00EA4E40">
              <w:t>Patient must have evidence of human epidermal growth factor receptor 2 (HER2) gene amplification as demonstrated by in situ hybridisation (ISH) either in the primary tumour or a metastatic lesion</w:t>
            </w:r>
          </w:p>
          <w:p w:rsidR="00F62B72" w:rsidRPr="00EA4E40" w:rsidRDefault="00F62B72" w:rsidP="000A27F1">
            <w:pPr>
              <w:pStyle w:val="TableText0"/>
            </w:pPr>
            <w:r w:rsidRPr="00EA4E40">
              <w:t>AND</w:t>
            </w:r>
          </w:p>
          <w:p w:rsidR="00F62B72" w:rsidRPr="00EA4E40" w:rsidRDefault="00F62B72" w:rsidP="000A27F1">
            <w:pPr>
              <w:pStyle w:val="TableText0"/>
              <w:rPr>
                <w:bCs w:val="0"/>
              </w:rPr>
            </w:pPr>
            <w:r w:rsidRPr="00EA4E40">
              <w:rPr>
                <w:bCs w:val="0"/>
              </w:rPr>
              <w:t xml:space="preserve">The condition must have progressed following treatment with at least two prior HER2-directed </w:t>
            </w:r>
            <w:r w:rsidRPr="00BC0E58">
              <w:rPr>
                <w:bCs w:val="0"/>
                <w:i/>
              </w:rPr>
              <w:t>regimens</w:t>
            </w:r>
            <w:r w:rsidRPr="00EA4E40">
              <w:rPr>
                <w:bCs w:val="0"/>
              </w:rPr>
              <w:t xml:space="preserve"> for metastatic breast cancer</w:t>
            </w:r>
          </w:p>
          <w:p w:rsidR="00F62B72" w:rsidRPr="00EA4E40" w:rsidRDefault="00F62B72" w:rsidP="000A27F1">
            <w:pPr>
              <w:pStyle w:val="TableText0"/>
              <w:rPr>
                <w:bCs w:val="0"/>
              </w:rPr>
            </w:pPr>
            <w:r w:rsidRPr="00EA4E40">
              <w:rPr>
                <w:bCs w:val="0"/>
              </w:rPr>
              <w:t>OR</w:t>
            </w:r>
          </w:p>
          <w:p w:rsidR="00F62B72" w:rsidRPr="00CD1067" w:rsidRDefault="00F62B72" w:rsidP="000A27F1">
            <w:pPr>
              <w:pStyle w:val="TableText0"/>
              <w:rPr>
                <w:bCs w:val="0"/>
                <w:i/>
              </w:rPr>
            </w:pPr>
            <w:r w:rsidRPr="00EA4E40">
              <w:rPr>
                <w:bCs w:val="0"/>
              </w:rPr>
              <w:t xml:space="preserve">The condition must have progressed following treatment with one prior HER2-directed </w:t>
            </w:r>
            <w:r w:rsidRPr="00BC0E58">
              <w:rPr>
                <w:bCs w:val="0"/>
                <w:i/>
              </w:rPr>
              <w:t xml:space="preserve">regimen </w:t>
            </w:r>
            <w:r w:rsidRPr="00EA4E40">
              <w:rPr>
                <w:bCs w:val="0"/>
              </w:rPr>
              <w:t xml:space="preserve">for metastatic breast cancer in circumstance </w:t>
            </w:r>
            <w:r>
              <w:rPr>
                <w:bCs w:val="0"/>
              </w:rPr>
              <w:t>that</w:t>
            </w:r>
            <w:r w:rsidRPr="00EA4E40">
              <w:rPr>
                <w:bCs w:val="0"/>
              </w:rPr>
              <w:t xml:space="preserve"> T-DM1 </w:t>
            </w:r>
            <w:r w:rsidRPr="00BC0E58">
              <w:rPr>
                <w:bCs w:val="0"/>
                <w:i/>
              </w:rPr>
              <w:t>has been used in the adjuvant or metastatic setting</w:t>
            </w:r>
            <w:r w:rsidRPr="00EA4E40">
              <w:rPr>
                <w:bCs w:val="0"/>
              </w:rPr>
              <w:t xml:space="preserve"> </w:t>
            </w:r>
          </w:p>
          <w:p w:rsidR="00F62B72" w:rsidRPr="00EA4E40" w:rsidRDefault="00F62B72" w:rsidP="000A27F1">
            <w:pPr>
              <w:pStyle w:val="TableText0"/>
              <w:rPr>
                <w:bCs w:val="0"/>
              </w:rPr>
            </w:pPr>
            <w:r w:rsidRPr="00EA4E40">
              <w:rPr>
                <w:bCs w:val="0"/>
              </w:rPr>
              <w:t>AND</w:t>
            </w:r>
          </w:p>
          <w:p w:rsidR="00F62B72" w:rsidRPr="00EA4E40" w:rsidRDefault="00F62B72" w:rsidP="000A27F1">
            <w:pPr>
              <w:pStyle w:val="TableText0"/>
            </w:pPr>
            <w:r w:rsidRPr="00EA4E40">
              <w:t>Patient must have a WHO performance status of 0 or 1</w:t>
            </w:r>
          </w:p>
          <w:p w:rsidR="00F62B72" w:rsidRPr="00EA4E40" w:rsidRDefault="00F62B72" w:rsidP="000A27F1">
            <w:pPr>
              <w:pStyle w:val="TableText0"/>
            </w:pPr>
            <w:r w:rsidRPr="00EA4E40">
              <w:t>AND</w:t>
            </w:r>
          </w:p>
          <w:p w:rsidR="00F62B72" w:rsidRPr="00EA4E40" w:rsidRDefault="00F62B72" w:rsidP="000A27F1">
            <w:pPr>
              <w:pStyle w:val="TableText0"/>
            </w:pPr>
            <w:r w:rsidRPr="00EA4E40">
              <w:t>The treatment must be in combination with trastuzumab and capecitabine</w:t>
            </w:r>
          </w:p>
          <w:p w:rsidR="00F62B72" w:rsidRPr="00EA4E40" w:rsidRDefault="00F62B72" w:rsidP="000A27F1">
            <w:pPr>
              <w:pStyle w:val="TableText0"/>
            </w:pPr>
            <w:r w:rsidRPr="00EA4E40">
              <w:t>AND</w:t>
            </w:r>
          </w:p>
          <w:p w:rsidR="00F62B72" w:rsidRPr="00EA4E40" w:rsidRDefault="00F62B72" w:rsidP="000A27F1">
            <w:pPr>
              <w:pStyle w:val="TableText0"/>
            </w:pPr>
            <w:r w:rsidRPr="00EA4E40">
              <w:t>The treatment must not be used in a patient with a left ventricular ejection fraction (LVEF) of less than 45% and/or with symptomatic heart failure.</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FC789B" w:rsidRDefault="00F62B72" w:rsidP="008F388B">
            <w:pPr>
              <w:rPr>
                <w:rFonts w:ascii="Arial Narrow" w:hAnsi="Arial Narrow"/>
                <w:b/>
                <w:sz w:val="20"/>
                <w:szCs w:val="20"/>
              </w:rPr>
            </w:pPr>
            <w:r w:rsidRPr="00FC789B">
              <w:rPr>
                <w:rFonts w:ascii="Arial Narrow" w:hAnsi="Arial Narrow"/>
                <w:b/>
                <w:sz w:val="20"/>
                <w:szCs w:val="20"/>
              </w:rPr>
              <w:t>Prescriber Instructions</w:t>
            </w:r>
          </w:p>
          <w:p w:rsidR="00F62B72" w:rsidRPr="008F388B" w:rsidRDefault="00F62B72" w:rsidP="008F388B">
            <w:pPr>
              <w:pStyle w:val="TableText0"/>
            </w:pPr>
            <w:r w:rsidRPr="008F388B">
              <w:t>Cardiac function must be tested by echocardiography (ECHO) or multigated acquisition (MUGA), prior to seeking the initial authority approval</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FC789B" w:rsidRDefault="00F62B72" w:rsidP="008F388B">
            <w:pPr>
              <w:rPr>
                <w:rFonts w:ascii="Arial Narrow" w:hAnsi="Arial Narrow"/>
                <w:b/>
                <w:sz w:val="20"/>
                <w:szCs w:val="20"/>
              </w:rPr>
            </w:pPr>
            <w:r w:rsidRPr="00FC789B">
              <w:rPr>
                <w:rFonts w:ascii="Arial Narrow" w:hAnsi="Arial Narrow"/>
                <w:b/>
                <w:sz w:val="20"/>
                <w:szCs w:val="20"/>
              </w:rPr>
              <w:t>Administrative Advice</w:t>
            </w:r>
          </w:p>
          <w:p w:rsidR="00F62B72" w:rsidRPr="00F62B72" w:rsidRDefault="00F62B72" w:rsidP="008F388B">
            <w:pPr>
              <w:pStyle w:val="TableText0"/>
              <w:rPr>
                <w:u w:val="single"/>
              </w:rPr>
            </w:pPr>
            <w:r w:rsidRPr="00F62B72">
              <w:rPr>
                <w:u w:val="single"/>
              </w:rPr>
              <w:t>Note</w:t>
            </w:r>
          </w:p>
          <w:p w:rsidR="00F62B72" w:rsidRDefault="00F62B72" w:rsidP="008F388B">
            <w:pPr>
              <w:pStyle w:val="TableText0"/>
            </w:pPr>
            <w:r w:rsidRPr="000827B1">
              <w:t>Special Pricing Arrangements Apply</w:t>
            </w:r>
          </w:p>
          <w:p w:rsidR="00F62B72" w:rsidRDefault="00F62B72" w:rsidP="008F388B">
            <w:pPr>
              <w:pStyle w:val="TableText0"/>
            </w:pPr>
          </w:p>
          <w:p w:rsidR="00F62B72" w:rsidRPr="00F62B72" w:rsidRDefault="00F62B72" w:rsidP="008F388B">
            <w:pPr>
              <w:pStyle w:val="TableText0"/>
              <w:rPr>
                <w:u w:val="single"/>
              </w:rPr>
            </w:pPr>
            <w:r w:rsidRPr="00F62B72">
              <w:rPr>
                <w:u w:val="single"/>
              </w:rPr>
              <w:t>Note</w:t>
            </w:r>
          </w:p>
          <w:p w:rsidR="00F62B72" w:rsidRPr="008F388B" w:rsidRDefault="00F62B72" w:rsidP="008F388B">
            <w:pPr>
              <w:pStyle w:val="TableText0"/>
            </w:pPr>
            <w:r w:rsidRPr="008F388B">
              <w:t>Any queries concerning the arrangements to prescribe may be directed to the Department of Human Services on 1800 700 270 (hours of operation 8 a.m. to 5 p.m. EST Monday to Friday).</w:t>
            </w:r>
          </w:p>
          <w:p w:rsidR="00F62B72" w:rsidRPr="008F388B" w:rsidRDefault="00F62B72" w:rsidP="008F388B">
            <w:pPr>
              <w:pStyle w:val="TableText0"/>
            </w:pPr>
            <w:r w:rsidRPr="008F388B">
              <w:t>Prescribing information (including Authority Application forms and other relevant documentation as applicable) is available on the Department of Human Services website at www.humanservices.gov.au</w:t>
            </w:r>
          </w:p>
          <w:p w:rsidR="00F62B72" w:rsidRPr="008F388B" w:rsidRDefault="00F62B72" w:rsidP="008F388B">
            <w:pPr>
              <w:pStyle w:val="TableText0"/>
            </w:pPr>
            <w:r w:rsidRPr="008F388B">
              <w:t>Applications for authority to prescribe should be forwarded to:</w:t>
            </w:r>
          </w:p>
          <w:p w:rsidR="00F62B72" w:rsidRPr="008F388B" w:rsidRDefault="00F62B72" w:rsidP="008F388B">
            <w:pPr>
              <w:pStyle w:val="TableText0"/>
            </w:pPr>
            <w:r w:rsidRPr="008F388B">
              <w:t xml:space="preserve">Department of Human Services </w:t>
            </w:r>
          </w:p>
          <w:p w:rsidR="00F62B72" w:rsidRPr="008F388B" w:rsidRDefault="00F62B72" w:rsidP="008F388B">
            <w:pPr>
              <w:pStyle w:val="TableText0"/>
            </w:pPr>
            <w:r w:rsidRPr="008F388B">
              <w:t>Complex Drugs</w:t>
            </w:r>
          </w:p>
          <w:p w:rsidR="00F62B72" w:rsidRPr="008F388B" w:rsidRDefault="00F62B72" w:rsidP="008F388B">
            <w:pPr>
              <w:pStyle w:val="TableText0"/>
            </w:pPr>
            <w:r w:rsidRPr="008F388B">
              <w:t>Reply Paid 9826</w:t>
            </w:r>
          </w:p>
          <w:p w:rsidR="00F62B72" w:rsidRPr="008F388B" w:rsidRDefault="00F62B72" w:rsidP="008F388B">
            <w:pPr>
              <w:pStyle w:val="TableText0"/>
            </w:pPr>
            <w:r w:rsidRPr="008F388B">
              <w:t>HOBART TAS 7001</w:t>
            </w:r>
          </w:p>
        </w:tc>
      </w:tr>
    </w:tbl>
    <w:p w:rsidR="00F1634B" w:rsidRPr="000A27F1" w:rsidRDefault="00F1634B" w:rsidP="00080FA0">
      <w:pPr>
        <w:pStyle w:val="TableFooter"/>
      </w:pPr>
      <w:r>
        <w:t>Source: Table 1.10, p51 of the submission</w:t>
      </w:r>
      <w:r w:rsidR="00BC0E58">
        <w:t xml:space="preserve"> </w:t>
      </w:r>
      <w:r w:rsidR="00BC0E58" w:rsidRPr="000A27F1">
        <w:t>and pp 1-2 of the PSCR</w:t>
      </w:r>
      <w:r w:rsidRPr="000A27F1">
        <w:t>.</w:t>
      </w:r>
    </w:p>
    <w:p w:rsidR="00F61D2E" w:rsidRPr="000A27F1" w:rsidRDefault="00F61D2E" w:rsidP="00080FA0">
      <w:pPr>
        <w:pStyle w:val="TableFooter"/>
      </w:pPr>
    </w:p>
    <w:tbl>
      <w:tblPr>
        <w:tblW w:w="5000" w:type="pct"/>
        <w:tblLook w:val="0000" w:firstRow="0" w:lastRow="0" w:firstColumn="0" w:lastColumn="0" w:noHBand="0" w:noVBand="0"/>
      </w:tblPr>
      <w:tblGrid>
        <w:gridCol w:w="1751"/>
        <w:gridCol w:w="7266"/>
      </w:tblGrid>
      <w:tr w:rsidR="008F388B" w:rsidTr="004E2803">
        <w:trPr>
          <w:trHeight w:val="57"/>
        </w:trPr>
        <w:tc>
          <w:tcPr>
            <w:tcW w:w="971" w:type="pct"/>
            <w:tcBorders>
              <w:top w:val="single" w:sz="4" w:space="0" w:color="auto"/>
              <w:left w:val="single" w:sz="4" w:space="0" w:color="auto"/>
              <w:bottom w:val="single" w:sz="4" w:space="0" w:color="auto"/>
              <w:right w:val="single" w:sz="4" w:space="0" w:color="auto"/>
            </w:tcBorders>
          </w:tcPr>
          <w:p w:rsidR="008F388B" w:rsidRPr="00DC7C28" w:rsidRDefault="008F388B" w:rsidP="008F388B">
            <w:pPr>
              <w:pStyle w:val="TableText0"/>
              <w:rPr>
                <w:b/>
              </w:rPr>
            </w:pPr>
            <w:r w:rsidRPr="00DC7C28">
              <w:rPr>
                <w:b/>
              </w:rPr>
              <w:t>Category / Program</w:t>
            </w:r>
          </w:p>
        </w:tc>
        <w:tc>
          <w:tcPr>
            <w:tcW w:w="4029" w:type="pct"/>
            <w:tcBorders>
              <w:top w:val="single" w:sz="4" w:space="0" w:color="auto"/>
              <w:left w:val="single" w:sz="4" w:space="0" w:color="auto"/>
              <w:bottom w:val="single" w:sz="4" w:space="0" w:color="auto"/>
              <w:right w:val="single" w:sz="4" w:space="0" w:color="auto"/>
            </w:tcBorders>
          </w:tcPr>
          <w:p w:rsidR="008F388B" w:rsidRDefault="008F388B" w:rsidP="008F388B">
            <w:pPr>
              <w:pStyle w:val="TableText0"/>
            </w:pPr>
            <w:r>
              <w:t>General schedule Section 85</w:t>
            </w:r>
          </w:p>
        </w:tc>
      </w:tr>
      <w:tr w:rsidR="008F388B" w:rsidTr="004E2803">
        <w:trPr>
          <w:trHeight w:val="57"/>
        </w:trPr>
        <w:tc>
          <w:tcPr>
            <w:tcW w:w="971" w:type="pct"/>
            <w:tcBorders>
              <w:top w:val="single" w:sz="4" w:space="0" w:color="auto"/>
              <w:left w:val="single" w:sz="4" w:space="0" w:color="auto"/>
              <w:bottom w:val="single" w:sz="4" w:space="0" w:color="auto"/>
              <w:right w:val="single" w:sz="4" w:space="0" w:color="auto"/>
            </w:tcBorders>
          </w:tcPr>
          <w:p w:rsidR="008F388B" w:rsidRPr="00DC7C28" w:rsidRDefault="008F388B" w:rsidP="008F388B">
            <w:pPr>
              <w:pStyle w:val="TableText0"/>
              <w:rPr>
                <w:b/>
              </w:rPr>
            </w:pPr>
            <w:r w:rsidRPr="00DC7C28">
              <w:rPr>
                <w:b/>
              </w:rPr>
              <w:t>Prescriber type:</w:t>
            </w:r>
          </w:p>
        </w:tc>
        <w:tc>
          <w:tcPr>
            <w:tcW w:w="4029" w:type="pct"/>
            <w:tcBorders>
              <w:top w:val="single" w:sz="4" w:space="0" w:color="auto"/>
              <w:left w:val="single" w:sz="4" w:space="0" w:color="auto"/>
              <w:bottom w:val="single" w:sz="4" w:space="0" w:color="auto"/>
              <w:right w:val="single" w:sz="4" w:space="0" w:color="auto"/>
            </w:tcBorders>
          </w:tcPr>
          <w:p w:rsidR="008F388B" w:rsidRDefault="008F388B" w:rsidP="00F967B6">
            <w:pPr>
              <w:pStyle w:val="TableText0"/>
            </w:pPr>
            <w:r>
              <w:fldChar w:fldCharType="begin">
                <w:ffData>
                  <w:name w:val=""/>
                  <w:enabled/>
                  <w:calcOnExit w:val="0"/>
                  <w:checkBox>
                    <w:sizeAuto/>
                    <w:default w:val="1"/>
                  </w:checkBox>
                </w:ffData>
              </w:fldChar>
            </w:r>
            <w:r>
              <w:instrText xml:space="preserve"> FORMCHECKBOX </w:instrText>
            </w:r>
            <w:r w:rsidR="00E44E8B">
              <w:fldChar w:fldCharType="separate"/>
            </w:r>
            <w:r>
              <w:fldChar w:fldCharType="end"/>
            </w:r>
            <w:r>
              <w:t xml:space="preserve">Medical Practitioners  </w:t>
            </w:r>
          </w:p>
        </w:tc>
      </w:tr>
      <w:tr w:rsidR="008F388B" w:rsidTr="004E2803">
        <w:trPr>
          <w:trHeight w:val="57"/>
        </w:trPr>
        <w:tc>
          <w:tcPr>
            <w:tcW w:w="971" w:type="pct"/>
            <w:tcBorders>
              <w:top w:val="single" w:sz="4" w:space="0" w:color="auto"/>
              <w:left w:val="single" w:sz="4" w:space="0" w:color="auto"/>
              <w:bottom w:val="single" w:sz="4" w:space="0" w:color="auto"/>
              <w:right w:val="single" w:sz="4" w:space="0" w:color="auto"/>
            </w:tcBorders>
          </w:tcPr>
          <w:p w:rsidR="008F388B" w:rsidRPr="00DC7C28" w:rsidRDefault="008F388B" w:rsidP="008F388B">
            <w:pPr>
              <w:pStyle w:val="TableText0"/>
              <w:rPr>
                <w:b/>
              </w:rPr>
            </w:pPr>
            <w:r w:rsidRPr="00DC7C28">
              <w:rPr>
                <w:b/>
              </w:rPr>
              <w:t>PBS Indication:</w:t>
            </w:r>
          </w:p>
        </w:tc>
        <w:tc>
          <w:tcPr>
            <w:tcW w:w="4029" w:type="pct"/>
            <w:tcBorders>
              <w:top w:val="single" w:sz="4" w:space="0" w:color="auto"/>
              <w:left w:val="single" w:sz="4" w:space="0" w:color="auto"/>
              <w:bottom w:val="single" w:sz="4" w:space="0" w:color="auto"/>
              <w:right w:val="single" w:sz="4" w:space="0" w:color="auto"/>
            </w:tcBorders>
          </w:tcPr>
          <w:p w:rsidR="008F388B" w:rsidRDefault="008F388B" w:rsidP="008F388B">
            <w:pPr>
              <w:pStyle w:val="TableText0"/>
              <w:rPr>
                <w:iCs/>
              </w:rPr>
            </w:pPr>
            <w:r>
              <w:rPr>
                <w:iCs/>
              </w:rPr>
              <w:t>Metastatic (Stage IV) HER2 positive breast cancer</w:t>
            </w:r>
          </w:p>
        </w:tc>
      </w:tr>
      <w:tr w:rsidR="008F388B" w:rsidTr="004E2803">
        <w:trPr>
          <w:trHeight w:val="57"/>
        </w:trPr>
        <w:tc>
          <w:tcPr>
            <w:tcW w:w="971" w:type="pct"/>
            <w:tcBorders>
              <w:top w:val="single" w:sz="4" w:space="0" w:color="auto"/>
              <w:left w:val="single" w:sz="4" w:space="0" w:color="auto"/>
              <w:bottom w:val="single" w:sz="4" w:space="0" w:color="auto"/>
              <w:right w:val="single" w:sz="4" w:space="0" w:color="auto"/>
            </w:tcBorders>
          </w:tcPr>
          <w:p w:rsidR="008F388B" w:rsidRPr="00DC7C28" w:rsidRDefault="008F388B" w:rsidP="008F388B">
            <w:pPr>
              <w:pStyle w:val="TableText0"/>
              <w:rPr>
                <w:b/>
              </w:rPr>
            </w:pPr>
            <w:r w:rsidRPr="00DC7C28">
              <w:rPr>
                <w:b/>
              </w:rPr>
              <w:t>Treatment phase:</w:t>
            </w:r>
          </w:p>
        </w:tc>
        <w:tc>
          <w:tcPr>
            <w:tcW w:w="4029" w:type="pct"/>
            <w:tcBorders>
              <w:top w:val="single" w:sz="4" w:space="0" w:color="auto"/>
              <w:left w:val="single" w:sz="4" w:space="0" w:color="auto"/>
              <w:bottom w:val="single" w:sz="4" w:space="0" w:color="auto"/>
              <w:right w:val="single" w:sz="4" w:space="0" w:color="auto"/>
            </w:tcBorders>
          </w:tcPr>
          <w:p w:rsidR="008F388B" w:rsidRDefault="008F388B" w:rsidP="008F388B">
            <w:pPr>
              <w:pStyle w:val="TableText0"/>
              <w:rPr>
                <w:iCs/>
              </w:rPr>
            </w:pPr>
            <w:r>
              <w:rPr>
                <w:iCs/>
              </w:rPr>
              <w:t>Continuing</w:t>
            </w:r>
          </w:p>
        </w:tc>
      </w:tr>
      <w:tr w:rsidR="008F388B" w:rsidTr="004E2803">
        <w:trPr>
          <w:trHeight w:val="57"/>
        </w:trPr>
        <w:tc>
          <w:tcPr>
            <w:tcW w:w="971" w:type="pct"/>
            <w:tcBorders>
              <w:top w:val="single" w:sz="4" w:space="0" w:color="auto"/>
              <w:left w:val="single" w:sz="4" w:space="0" w:color="auto"/>
              <w:bottom w:val="single" w:sz="4" w:space="0" w:color="auto"/>
              <w:right w:val="single" w:sz="4" w:space="0" w:color="auto"/>
            </w:tcBorders>
          </w:tcPr>
          <w:p w:rsidR="008F388B" w:rsidRPr="00DC7C28" w:rsidRDefault="002579C0" w:rsidP="00F62B72">
            <w:pPr>
              <w:pStyle w:val="TableText0"/>
              <w:rPr>
                <w:b/>
              </w:rPr>
            </w:pPr>
            <w:r w:rsidRPr="00DC7C28">
              <w:rPr>
                <w:b/>
              </w:rPr>
              <w:t>Restriction</w:t>
            </w:r>
            <w:r>
              <w:rPr>
                <w:b/>
              </w:rPr>
              <w:t xml:space="preserve"> type</w:t>
            </w:r>
            <w:r w:rsidR="008F388B" w:rsidRPr="00DC7C28">
              <w:rPr>
                <w:b/>
              </w:rPr>
              <w:t>:</w:t>
            </w:r>
          </w:p>
        </w:tc>
        <w:tc>
          <w:tcPr>
            <w:tcW w:w="4029" w:type="pct"/>
            <w:tcBorders>
              <w:top w:val="single" w:sz="4" w:space="0" w:color="auto"/>
              <w:left w:val="single" w:sz="4" w:space="0" w:color="auto"/>
              <w:bottom w:val="single" w:sz="4" w:space="0" w:color="auto"/>
              <w:right w:val="single" w:sz="4" w:space="0" w:color="auto"/>
            </w:tcBorders>
          </w:tcPr>
          <w:p w:rsidR="008F388B" w:rsidRPr="00FC789B" w:rsidRDefault="008F388B" w:rsidP="008F388B">
            <w:pPr>
              <w:pStyle w:val="TableText0"/>
            </w:pPr>
            <w:r w:rsidRPr="00FC789B">
              <w:fldChar w:fldCharType="begin">
                <w:ffData>
                  <w:name w:val=""/>
                  <w:enabled/>
                  <w:calcOnExit w:val="0"/>
                  <w:checkBox>
                    <w:sizeAuto/>
                    <w:default w:val="1"/>
                  </w:checkBox>
                </w:ffData>
              </w:fldChar>
            </w:r>
            <w:r w:rsidRPr="00FC789B">
              <w:instrText xml:space="preserve"> FORMCHECKBOX </w:instrText>
            </w:r>
            <w:r w:rsidR="00E44E8B">
              <w:fldChar w:fldCharType="separate"/>
            </w:r>
            <w:r w:rsidRPr="00FC789B">
              <w:fldChar w:fldCharType="end"/>
            </w:r>
            <w:r w:rsidRPr="00FC789B">
              <w:t>Authority Required - Streamlined</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DC7C28" w:rsidRDefault="00F62B72" w:rsidP="008F388B">
            <w:pPr>
              <w:pStyle w:val="TableText0"/>
              <w:rPr>
                <w:b/>
              </w:rPr>
            </w:pPr>
            <w:r w:rsidRPr="00DC7C28">
              <w:rPr>
                <w:b/>
              </w:rPr>
              <w:t>Clinical criteria:</w:t>
            </w:r>
          </w:p>
          <w:p w:rsidR="00F62B72" w:rsidRDefault="00F62B72" w:rsidP="008F388B">
            <w:pPr>
              <w:pStyle w:val="TableText0"/>
              <w:rPr>
                <w:iCs/>
              </w:rPr>
            </w:pPr>
            <w:r>
              <w:rPr>
                <w:iCs/>
              </w:rPr>
              <w:t>Patient must have previously received PBS-subsidised treatment with this drug for metastatic (Stage IV) HER2 positive breast cancer</w:t>
            </w:r>
          </w:p>
          <w:p w:rsidR="00F62B72" w:rsidRDefault="00F62B72" w:rsidP="008F388B">
            <w:pPr>
              <w:pStyle w:val="TableText0"/>
              <w:rPr>
                <w:iCs/>
              </w:rPr>
            </w:pPr>
            <w:r>
              <w:rPr>
                <w:iCs/>
              </w:rPr>
              <w:t>AND</w:t>
            </w:r>
          </w:p>
          <w:p w:rsidR="00F62B72" w:rsidRDefault="00F62B72" w:rsidP="008F388B">
            <w:pPr>
              <w:pStyle w:val="TableText0"/>
              <w:rPr>
                <w:iCs/>
              </w:rPr>
            </w:pPr>
            <w:r>
              <w:rPr>
                <w:iCs/>
              </w:rPr>
              <w:t>Patient must not receive PBS-subsidised treatment with this drug if progressive disease develops while on this drug,</w:t>
            </w:r>
          </w:p>
          <w:p w:rsidR="00F62B72" w:rsidRDefault="00F62B72" w:rsidP="008F388B">
            <w:pPr>
              <w:pStyle w:val="TableText0"/>
              <w:rPr>
                <w:iCs/>
              </w:rPr>
            </w:pPr>
            <w:r>
              <w:rPr>
                <w:iCs/>
              </w:rPr>
              <w:t>AND</w:t>
            </w:r>
          </w:p>
          <w:p w:rsidR="00F62B72" w:rsidRDefault="00F62B72" w:rsidP="008F388B">
            <w:pPr>
              <w:pStyle w:val="TableText0"/>
              <w:rPr>
                <w:iCs/>
              </w:rPr>
            </w:pPr>
            <w:r>
              <w:rPr>
                <w:iCs/>
              </w:rPr>
              <w:t>The treatment must be in combination with trastuzumab and capecitabine</w:t>
            </w:r>
          </w:p>
          <w:p w:rsidR="00F62B72" w:rsidRDefault="00F62B72" w:rsidP="008F388B">
            <w:pPr>
              <w:pStyle w:val="TableText0"/>
              <w:rPr>
                <w:iCs/>
              </w:rPr>
            </w:pPr>
            <w:r>
              <w:rPr>
                <w:iCs/>
              </w:rPr>
              <w:t>AND</w:t>
            </w:r>
          </w:p>
          <w:p w:rsidR="00F62B72" w:rsidRDefault="00F62B72" w:rsidP="008F388B">
            <w:pPr>
              <w:pStyle w:val="TableText0"/>
              <w:rPr>
                <w:iCs/>
              </w:rPr>
            </w:pPr>
            <w:r>
              <w:rPr>
                <w:iCs/>
              </w:rPr>
              <w:t>The treatment must not be used in a patient with a left ventricular ejection fraction (LVEF) of less than 45% and/or with symptomatic heart failure.</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DC7C28" w:rsidRDefault="00F62B72" w:rsidP="008F388B">
            <w:pPr>
              <w:pStyle w:val="TableText0"/>
              <w:rPr>
                <w:b/>
              </w:rPr>
            </w:pPr>
            <w:r w:rsidRPr="00DC7C28">
              <w:rPr>
                <w:b/>
              </w:rPr>
              <w:t>Prescriber Instructions</w:t>
            </w:r>
          </w:p>
          <w:p w:rsidR="00F62B72" w:rsidRDefault="00F62B72" w:rsidP="008F388B">
            <w:pPr>
              <w:pStyle w:val="TableText0"/>
              <w:rPr>
                <w:iCs/>
              </w:rPr>
            </w:pPr>
            <w:r>
              <w:rPr>
                <w:iCs/>
              </w:rPr>
              <w:t>A patient who has progressive disease when treated with this drug is no longer eligible for PBS-subsidised treatment with this drug.</w:t>
            </w:r>
          </w:p>
          <w:p w:rsidR="00F62B72" w:rsidRDefault="00F62B72" w:rsidP="008F388B">
            <w:pPr>
              <w:pStyle w:val="TableText0"/>
              <w:rPr>
                <w:iCs/>
              </w:rPr>
            </w:pPr>
            <w:r>
              <w:rPr>
                <w:iCs/>
              </w:rPr>
              <w:t>The treatment must not exceed a lifetime total of one continuous course for this PBS indication.</w:t>
            </w:r>
          </w:p>
        </w:tc>
      </w:tr>
      <w:tr w:rsidR="00F62B72" w:rsidTr="00F967B6">
        <w:trPr>
          <w:trHeight w:val="57"/>
        </w:trPr>
        <w:tc>
          <w:tcPr>
            <w:tcW w:w="5000" w:type="pct"/>
            <w:gridSpan w:val="2"/>
            <w:tcBorders>
              <w:top w:val="single" w:sz="4" w:space="0" w:color="auto"/>
              <w:left w:val="single" w:sz="4" w:space="0" w:color="auto"/>
              <w:bottom w:val="single" w:sz="4" w:space="0" w:color="auto"/>
              <w:right w:val="single" w:sz="4" w:space="0" w:color="auto"/>
            </w:tcBorders>
          </w:tcPr>
          <w:p w:rsidR="00F62B72" w:rsidRPr="00DC7C28" w:rsidRDefault="00F62B72" w:rsidP="008F388B">
            <w:pPr>
              <w:pStyle w:val="TableText0"/>
              <w:rPr>
                <w:b/>
              </w:rPr>
            </w:pPr>
            <w:r w:rsidRPr="00DC7C28">
              <w:rPr>
                <w:b/>
              </w:rPr>
              <w:t>Administrative Advice</w:t>
            </w:r>
          </w:p>
          <w:p w:rsidR="00F62B72" w:rsidRPr="00F62B72" w:rsidRDefault="00F62B72" w:rsidP="00EA4E40">
            <w:pPr>
              <w:pStyle w:val="TableText0"/>
              <w:rPr>
                <w:u w:val="single"/>
              </w:rPr>
            </w:pPr>
            <w:r>
              <w:rPr>
                <w:u w:val="single"/>
              </w:rPr>
              <w:t>Note</w:t>
            </w:r>
          </w:p>
          <w:p w:rsidR="00F62B72" w:rsidRDefault="00F62B72" w:rsidP="00EA4E40">
            <w:pPr>
              <w:pStyle w:val="TableText0"/>
            </w:pPr>
            <w:r w:rsidRPr="000827B1">
              <w:t>Special Pricing Arrangements Apply</w:t>
            </w:r>
          </w:p>
          <w:p w:rsidR="00F62B72" w:rsidRDefault="00F62B72" w:rsidP="008F388B">
            <w:pPr>
              <w:pStyle w:val="TableText0"/>
              <w:rPr>
                <w:u w:val="single"/>
              </w:rPr>
            </w:pPr>
          </w:p>
          <w:p w:rsidR="00F62B72" w:rsidRPr="00FC789B" w:rsidRDefault="00F62B72" w:rsidP="008F388B">
            <w:pPr>
              <w:pStyle w:val="TableText0"/>
            </w:pPr>
            <w:r w:rsidRPr="00FC789B">
              <w:rPr>
                <w:u w:val="single"/>
              </w:rPr>
              <w:t>Note</w:t>
            </w:r>
          </w:p>
          <w:p w:rsidR="00F62B72" w:rsidRPr="00FC789B" w:rsidRDefault="00F62B72" w:rsidP="008F388B">
            <w:pPr>
              <w:pStyle w:val="TableText0"/>
            </w:pPr>
            <w:r w:rsidRPr="00FC789B">
              <w:t>Any queries concerning the arrangements to prescribe may be directed to the Department of Human Services on 1800 700 270 (hours of operation 8 a.m. to 5 p.m. EST Monday to Friday).</w:t>
            </w:r>
          </w:p>
          <w:p w:rsidR="00F62B72" w:rsidRPr="00FC789B" w:rsidRDefault="00F62B72" w:rsidP="008F388B">
            <w:pPr>
              <w:pStyle w:val="TableText0"/>
            </w:pPr>
            <w:r w:rsidRPr="00FC789B">
              <w:t>Prescribing information (including Authority Application forms and other relevant documentation as applicable) is available on the Department of Human Services website at www.humanservices.gov.au</w:t>
            </w:r>
          </w:p>
          <w:p w:rsidR="00F62B72" w:rsidRPr="00FC789B" w:rsidRDefault="00F62B72" w:rsidP="008F388B">
            <w:pPr>
              <w:pStyle w:val="TableText0"/>
            </w:pPr>
            <w:r w:rsidRPr="00FC789B">
              <w:t>Applications for authority to prescribe should be forwarded to:</w:t>
            </w:r>
          </w:p>
          <w:p w:rsidR="00F62B72" w:rsidRPr="00FC789B" w:rsidRDefault="00F62B72" w:rsidP="008F388B">
            <w:pPr>
              <w:pStyle w:val="TableText0"/>
            </w:pPr>
            <w:r w:rsidRPr="00FC789B">
              <w:t xml:space="preserve">Department of Human Services </w:t>
            </w:r>
          </w:p>
          <w:p w:rsidR="00F62B72" w:rsidRPr="00FC789B" w:rsidRDefault="00F62B72" w:rsidP="008F388B">
            <w:pPr>
              <w:pStyle w:val="TableText0"/>
            </w:pPr>
            <w:r w:rsidRPr="00FC789B">
              <w:t>Complex Drugs</w:t>
            </w:r>
          </w:p>
          <w:p w:rsidR="00F62B72" w:rsidRPr="00FC789B" w:rsidRDefault="00F62B72" w:rsidP="008F388B">
            <w:pPr>
              <w:pStyle w:val="TableText0"/>
            </w:pPr>
            <w:r w:rsidRPr="00FC789B">
              <w:t>Reply Paid 9826</w:t>
            </w:r>
          </w:p>
          <w:p w:rsidR="00F62B72" w:rsidRPr="00FC789B" w:rsidRDefault="00F62B72" w:rsidP="008F388B">
            <w:pPr>
              <w:pStyle w:val="TableText0"/>
            </w:pPr>
            <w:r w:rsidRPr="00FC789B">
              <w:t>HOBART TAS 7001</w:t>
            </w:r>
          </w:p>
        </w:tc>
      </w:tr>
    </w:tbl>
    <w:p w:rsidR="00AF751A" w:rsidRDefault="00080FA0" w:rsidP="00080FA0">
      <w:pPr>
        <w:pStyle w:val="TableFooter"/>
      </w:pPr>
      <w:r>
        <w:t xml:space="preserve">Source: </w:t>
      </w:r>
      <w:r w:rsidR="00F1634B">
        <w:t xml:space="preserve">Table </w:t>
      </w:r>
      <w:r>
        <w:t>1.11, p</w:t>
      </w:r>
      <w:r w:rsidR="00C6001C">
        <w:t>5</w:t>
      </w:r>
      <w:r>
        <w:t>2 of the submission</w:t>
      </w:r>
      <w:r w:rsidR="00F1634B">
        <w:t>.</w:t>
      </w:r>
    </w:p>
    <w:p w:rsidR="00355616" w:rsidRPr="00BC0E58" w:rsidRDefault="00355616" w:rsidP="004013B4">
      <w:pPr>
        <w:pStyle w:val="Tabletext"/>
        <w:rPr>
          <w:i/>
        </w:rPr>
      </w:pPr>
    </w:p>
    <w:p w:rsidR="00B45E6E" w:rsidRPr="00B45E6E" w:rsidRDefault="00B45E6E" w:rsidP="00F37333">
      <w:pPr>
        <w:pStyle w:val="3-BodyText"/>
        <w:rPr>
          <w:i/>
          <w:iCs/>
        </w:rPr>
      </w:pPr>
      <w:r>
        <w:rPr>
          <w:iCs/>
        </w:rPr>
        <w:t xml:space="preserve">The </w:t>
      </w:r>
      <w:r w:rsidR="008B1B17">
        <w:rPr>
          <w:iCs/>
        </w:rPr>
        <w:t xml:space="preserve">pre-PBAC response, </w:t>
      </w:r>
      <w:r>
        <w:rPr>
          <w:iCs/>
        </w:rPr>
        <w:t>not</w:t>
      </w:r>
      <w:r w:rsidR="008B1B17">
        <w:rPr>
          <w:iCs/>
        </w:rPr>
        <w:t>ing</w:t>
      </w:r>
      <w:r>
        <w:rPr>
          <w:iCs/>
        </w:rPr>
        <w:t xml:space="preserve"> that the cycle length of treatment with tucatinib, trastuzumab and capecitabine is 21 days, </w:t>
      </w:r>
      <w:r w:rsidR="008B1B17">
        <w:rPr>
          <w:iCs/>
        </w:rPr>
        <w:t>stated that the maximum quantities for both strengths of tucatinib should correspond to 21 days of therapy (i.e. the maximum quantity should be 1 pack, rather than 2).</w:t>
      </w:r>
      <w:r w:rsidR="0060477D">
        <w:rPr>
          <w:iCs/>
        </w:rPr>
        <w:t xml:space="preserve"> The PBAC noted that PBS </w:t>
      </w:r>
      <w:r w:rsidR="00F62B72">
        <w:rPr>
          <w:iCs/>
        </w:rPr>
        <w:t xml:space="preserve">listings </w:t>
      </w:r>
      <w:r w:rsidR="0060477D">
        <w:rPr>
          <w:iCs/>
        </w:rPr>
        <w:t>generally supply 28 or 30 days of therapy per dispensing.</w:t>
      </w:r>
    </w:p>
    <w:p w:rsidR="00436EF2" w:rsidRDefault="00436EF2" w:rsidP="00F37333">
      <w:pPr>
        <w:pStyle w:val="3-BodyText"/>
        <w:rPr>
          <w:i/>
          <w:iCs/>
        </w:rPr>
      </w:pPr>
      <w:r>
        <w:rPr>
          <w:rFonts w:eastAsia="TimesNewRoman"/>
        </w:rPr>
        <w:t>I</w:t>
      </w:r>
      <w:r w:rsidRPr="007561D2">
        <w:rPr>
          <w:rFonts w:eastAsia="TimesNewRoman"/>
        </w:rPr>
        <w:t xml:space="preserve">n the key </w:t>
      </w:r>
      <w:r w:rsidR="00B2513D">
        <w:rPr>
          <w:rFonts w:eastAsia="TimesNewRoman"/>
        </w:rPr>
        <w:t>trial</w:t>
      </w:r>
      <w:r w:rsidRPr="007561D2">
        <w:rPr>
          <w:rFonts w:eastAsia="TimesNewRoman"/>
        </w:rPr>
        <w:t xml:space="preserve">, HER2CLIMB, </w:t>
      </w:r>
      <w:r>
        <w:rPr>
          <w:rFonts w:eastAsia="TimesNewRoman"/>
        </w:rPr>
        <w:t xml:space="preserve">patients </w:t>
      </w:r>
      <w:r w:rsidRPr="007561D2">
        <w:rPr>
          <w:rFonts w:eastAsia="TimesNewRoman" w:hint="eastAsia"/>
        </w:rPr>
        <w:t>were required to have received prior trastuzumab, pertuzumab and T-DM1</w:t>
      </w:r>
      <w:r w:rsidRPr="007561D2">
        <w:rPr>
          <w:rFonts w:eastAsia="TimesNewRoman"/>
        </w:rPr>
        <w:t xml:space="preserve"> (</w:t>
      </w:r>
      <w:r w:rsidR="00CD1067">
        <w:rPr>
          <w:rFonts w:eastAsia="TimesNewRoman"/>
        </w:rPr>
        <w:t>for the treatment of</w:t>
      </w:r>
      <w:r w:rsidRPr="007561D2">
        <w:t xml:space="preserve"> adjuvant, neoadjuvant or metastatic </w:t>
      </w:r>
      <w:r w:rsidR="00CD1067">
        <w:t>disease</w:t>
      </w:r>
      <w:r w:rsidRPr="007561D2">
        <w:t>)</w:t>
      </w:r>
      <w:r w:rsidRPr="007561D2">
        <w:rPr>
          <w:rFonts w:eastAsia="TimesNewRoman" w:hint="eastAsia"/>
        </w:rPr>
        <w:t>.</w:t>
      </w:r>
    </w:p>
    <w:p w:rsidR="00F37333" w:rsidRPr="00AB7F42" w:rsidRDefault="00F37333" w:rsidP="00F37333">
      <w:pPr>
        <w:pStyle w:val="3-BodyText"/>
        <w:rPr>
          <w:iCs/>
        </w:rPr>
      </w:pPr>
      <w:r w:rsidRPr="00AB7F42">
        <w:rPr>
          <w:iCs/>
        </w:rPr>
        <w:t xml:space="preserve">The PSCR </w:t>
      </w:r>
      <w:r w:rsidR="00B2513D" w:rsidRPr="00AB7F42">
        <w:rPr>
          <w:iCs/>
        </w:rPr>
        <w:t>stat</w:t>
      </w:r>
      <w:r w:rsidRPr="00AB7F42">
        <w:rPr>
          <w:iCs/>
        </w:rPr>
        <w:t>ed that the requested listing is intended to allow use of tucatinib in patients with HER2+ mBC who have progressed following treatment with:</w:t>
      </w:r>
    </w:p>
    <w:p w:rsidR="00F37333" w:rsidRPr="00AB7F42" w:rsidRDefault="00F37333" w:rsidP="0070501F">
      <w:pPr>
        <w:pStyle w:val="3-BodyText"/>
        <w:numPr>
          <w:ilvl w:val="0"/>
          <w:numId w:val="19"/>
        </w:numPr>
        <w:spacing w:after="0"/>
        <w:ind w:left="1134" w:hanging="425"/>
        <w:rPr>
          <w:iCs/>
        </w:rPr>
      </w:pPr>
      <w:r w:rsidRPr="00AB7F42">
        <w:rPr>
          <w:iCs/>
        </w:rPr>
        <w:t xml:space="preserve">at least two prior lines of HER2-directed therapy </w:t>
      </w:r>
      <w:r w:rsidR="006B1B2D">
        <w:rPr>
          <w:iCs/>
        </w:rPr>
        <w:t xml:space="preserve">for </w:t>
      </w:r>
      <w:r w:rsidR="00436EF2" w:rsidRPr="00AB7F42">
        <w:rPr>
          <w:iCs/>
        </w:rPr>
        <w:t xml:space="preserve">metastatic </w:t>
      </w:r>
      <w:r w:rsidR="006B1B2D">
        <w:rPr>
          <w:iCs/>
        </w:rPr>
        <w:t xml:space="preserve">disease </w:t>
      </w:r>
      <w:r w:rsidRPr="00AB7F42">
        <w:rPr>
          <w:iCs/>
        </w:rPr>
        <w:t>(3rd or later-line mBC</w:t>
      </w:r>
      <w:r w:rsidR="00CD1067">
        <w:rPr>
          <w:iCs/>
        </w:rPr>
        <w:t xml:space="preserve"> </w:t>
      </w:r>
      <w:r w:rsidR="006B1B2D">
        <w:rPr>
          <w:iCs/>
        </w:rPr>
        <w:t>treatment</w:t>
      </w:r>
      <w:r w:rsidRPr="00AB7F42">
        <w:rPr>
          <w:iCs/>
        </w:rPr>
        <w:t xml:space="preserve">); or </w:t>
      </w:r>
    </w:p>
    <w:p w:rsidR="00E72A94" w:rsidRPr="00AB7F42" w:rsidRDefault="00F37333" w:rsidP="0070501F">
      <w:pPr>
        <w:pStyle w:val="3-BodyText"/>
        <w:numPr>
          <w:ilvl w:val="0"/>
          <w:numId w:val="19"/>
        </w:numPr>
        <w:ind w:left="1134" w:hanging="425"/>
      </w:pPr>
      <w:r w:rsidRPr="00AB7F42">
        <w:rPr>
          <w:iCs/>
        </w:rPr>
        <w:t xml:space="preserve">one prior line of HER2-directed therapy </w:t>
      </w:r>
      <w:r w:rsidR="006B1B2D">
        <w:rPr>
          <w:iCs/>
        </w:rPr>
        <w:t xml:space="preserve">for </w:t>
      </w:r>
      <w:r w:rsidRPr="00AB7F42">
        <w:rPr>
          <w:iCs/>
        </w:rPr>
        <w:t xml:space="preserve">metastatic </w:t>
      </w:r>
      <w:r w:rsidR="006B1B2D">
        <w:rPr>
          <w:iCs/>
        </w:rPr>
        <w:t xml:space="preserve">disease </w:t>
      </w:r>
      <w:r w:rsidRPr="00AB7F42">
        <w:rPr>
          <w:iCs/>
        </w:rPr>
        <w:t xml:space="preserve">where the patient has previously been treated with </w:t>
      </w:r>
      <w:r w:rsidR="00E72A94" w:rsidRPr="00AB7F42">
        <w:t xml:space="preserve">trastuzumab emtansine (T-DM1) </w:t>
      </w:r>
      <w:r w:rsidR="006B1B2D">
        <w:rPr>
          <w:iCs/>
        </w:rPr>
        <w:t xml:space="preserve">as </w:t>
      </w:r>
      <w:r w:rsidRPr="00AB7F42">
        <w:rPr>
          <w:iCs/>
        </w:rPr>
        <w:t xml:space="preserve">either adjuvant </w:t>
      </w:r>
      <w:r w:rsidR="006B1B2D">
        <w:rPr>
          <w:iCs/>
        </w:rPr>
        <w:t xml:space="preserve">treatment </w:t>
      </w:r>
      <w:r w:rsidRPr="00AB7F42">
        <w:rPr>
          <w:iCs/>
        </w:rPr>
        <w:t xml:space="preserve">or </w:t>
      </w:r>
      <w:r w:rsidR="006B1B2D">
        <w:rPr>
          <w:iCs/>
        </w:rPr>
        <w:t xml:space="preserve">for </w:t>
      </w:r>
      <w:r w:rsidRPr="00AB7F42">
        <w:rPr>
          <w:iCs/>
        </w:rPr>
        <w:t xml:space="preserve">metastatic </w:t>
      </w:r>
      <w:r w:rsidR="006B1B2D">
        <w:rPr>
          <w:iCs/>
        </w:rPr>
        <w:t xml:space="preserve">disease </w:t>
      </w:r>
      <w:r w:rsidRPr="00AB7F42">
        <w:rPr>
          <w:iCs/>
        </w:rPr>
        <w:t xml:space="preserve">(2nd line </w:t>
      </w:r>
      <w:r w:rsidR="006B1B2D">
        <w:rPr>
          <w:iCs/>
        </w:rPr>
        <w:t xml:space="preserve">treatment of </w:t>
      </w:r>
      <w:r w:rsidRPr="00AB7F42">
        <w:rPr>
          <w:iCs/>
        </w:rPr>
        <w:t>mBC and adjuvant T-DM1</w:t>
      </w:r>
      <w:r w:rsidR="006B1B2D">
        <w:rPr>
          <w:iCs/>
        </w:rPr>
        <w:t>treatment</w:t>
      </w:r>
      <w:r w:rsidRPr="00AB7F42">
        <w:rPr>
          <w:iCs/>
        </w:rPr>
        <w:t>).</w:t>
      </w:r>
      <w:r w:rsidRPr="00AB7F42">
        <w:t xml:space="preserve"> </w:t>
      </w:r>
    </w:p>
    <w:p w:rsidR="00B2513D" w:rsidRPr="00AB7F42" w:rsidRDefault="00E72A94" w:rsidP="00436EF2">
      <w:pPr>
        <w:pStyle w:val="3-BodyText"/>
      </w:pPr>
      <w:r w:rsidRPr="00AB7F42">
        <w:t xml:space="preserve">The </w:t>
      </w:r>
      <w:r w:rsidR="00373B86" w:rsidRPr="00AB7F42">
        <w:t xml:space="preserve">second </w:t>
      </w:r>
      <w:r w:rsidRPr="00AB7F42">
        <w:t>dot point</w:t>
      </w:r>
      <w:r w:rsidR="00436EF2" w:rsidRPr="00AB7F42">
        <w:t xml:space="preserve"> and the proposed restriction</w:t>
      </w:r>
      <w:r w:rsidR="00B2513D" w:rsidRPr="00AB7F42">
        <w:t xml:space="preserve"> are</w:t>
      </w:r>
      <w:r w:rsidR="00436EF2" w:rsidRPr="00AB7F42">
        <w:t xml:space="preserve"> inconsistent with the clinical trial </w:t>
      </w:r>
      <w:r w:rsidR="00B2513D" w:rsidRPr="00AB7F42">
        <w:t>as they do</w:t>
      </w:r>
      <w:r w:rsidR="00436EF2" w:rsidRPr="00AB7F42">
        <w:t xml:space="preserve"> not require patients to have received prior pertuzumab</w:t>
      </w:r>
      <w:r w:rsidR="00B2513D" w:rsidRPr="00AB7F42">
        <w:t xml:space="preserve">. For example patients would be eligible for tucatinib </w:t>
      </w:r>
      <w:r w:rsidR="00F62B72">
        <w:t xml:space="preserve">as </w:t>
      </w:r>
      <w:r w:rsidR="00B2513D" w:rsidRPr="00AB7F42">
        <w:t xml:space="preserve">second-line </w:t>
      </w:r>
      <w:r w:rsidR="00F62B72">
        <w:t xml:space="preserve">treatment for </w:t>
      </w:r>
      <w:r w:rsidR="00B2513D" w:rsidRPr="00AB7F42">
        <w:t xml:space="preserve">metastatic </w:t>
      </w:r>
      <w:r w:rsidR="00F62B72">
        <w:t xml:space="preserve">disease </w:t>
      </w:r>
      <w:r w:rsidR="00B2513D" w:rsidRPr="00AB7F42">
        <w:t>without prior pertuzumab if they received T-DM1</w:t>
      </w:r>
      <w:r w:rsidR="00E146CA">
        <w:t xml:space="preserve"> in the following circumstances</w:t>
      </w:r>
      <w:r w:rsidR="00B2513D" w:rsidRPr="00AB7F42">
        <w:t>:</w:t>
      </w:r>
    </w:p>
    <w:p w:rsidR="00B2513D" w:rsidRPr="00AB7F42" w:rsidRDefault="00E146CA" w:rsidP="0070501F">
      <w:pPr>
        <w:pStyle w:val="3-BodyText"/>
        <w:numPr>
          <w:ilvl w:val="0"/>
          <w:numId w:val="19"/>
        </w:numPr>
        <w:spacing w:after="0"/>
        <w:ind w:left="1134" w:hanging="425"/>
      </w:pPr>
      <w:r>
        <w:t xml:space="preserve">for </w:t>
      </w:r>
      <w:r w:rsidR="00E72A94" w:rsidRPr="00AB7F42">
        <w:t>first-line metastatic</w:t>
      </w:r>
      <w:r w:rsidR="00656FB6">
        <w:t xml:space="preserve"> </w:t>
      </w:r>
      <w:r>
        <w:rPr>
          <w:iCs/>
          <w:color w:val="000000" w:themeColor="text1"/>
        </w:rPr>
        <w:t>disease</w:t>
      </w:r>
      <w:r w:rsidR="00B2513D" w:rsidRPr="00AB7F42">
        <w:rPr>
          <w:iCs/>
          <w:color w:val="000000" w:themeColor="text1"/>
        </w:rPr>
        <w:t>; or</w:t>
      </w:r>
      <w:r w:rsidR="00436EF2" w:rsidRPr="00AB7F42">
        <w:t xml:space="preserve"> </w:t>
      </w:r>
    </w:p>
    <w:p w:rsidR="00F37333" w:rsidRDefault="00E146CA" w:rsidP="0070501F">
      <w:pPr>
        <w:pStyle w:val="3-BodyText"/>
        <w:numPr>
          <w:ilvl w:val="0"/>
          <w:numId w:val="19"/>
        </w:numPr>
        <w:ind w:left="1134" w:hanging="425"/>
      </w:pPr>
      <w:r>
        <w:t xml:space="preserve">as </w:t>
      </w:r>
      <w:r w:rsidR="00B2513D" w:rsidRPr="00AB7F42">
        <w:t xml:space="preserve">adjuvant </w:t>
      </w:r>
      <w:r>
        <w:t xml:space="preserve">treatment </w:t>
      </w:r>
      <w:r w:rsidR="00436EF2" w:rsidRPr="00AB7F42">
        <w:t>follow</w:t>
      </w:r>
      <w:r w:rsidR="00B2513D" w:rsidRPr="00AB7F42">
        <w:t>ed by</w:t>
      </w:r>
      <w:r w:rsidR="00436EF2" w:rsidRPr="00AB7F42">
        <w:t xml:space="preserve"> single agent trastuzumab </w:t>
      </w:r>
      <w:r>
        <w:t xml:space="preserve">as </w:t>
      </w:r>
      <w:r w:rsidR="00B2513D" w:rsidRPr="00AB7F42">
        <w:t xml:space="preserve">first-line </w:t>
      </w:r>
      <w:r>
        <w:t xml:space="preserve">treatment for </w:t>
      </w:r>
      <w:r w:rsidR="00B2513D" w:rsidRPr="00AB7F42">
        <w:t xml:space="preserve">metastatic </w:t>
      </w:r>
      <w:r>
        <w:t xml:space="preserve"> disease</w:t>
      </w:r>
      <w:r w:rsidR="00436EF2" w:rsidRPr="00AB7F42">
        <w:t>.</w:t>
      </w:r>
    </w:p>
    <w:p w:rsidR="002D45DF" w:rsidRPr="00AB7F42" w:rsidRDefault="002D45DF" w:rsidP="002D45DF">
      <w:pPr>
        <w:pStyle w:val="3-BodyText"/>
        <w:numPr>
          <w:ilvl w:val="0"/>
          <w:numId w:val="0"/>
        </w:numPr>
        <w:ind w:left="709"/>
      </w:pPr>
      <w:r>
        <w:t xml:space="preserve">The pre-PBAC response </w:t>
      </w:r>
      <w:r w:rsidR="000729B2">
        <w:t xml:space="preserve">stated that patients most likely would have </w:t>
      </w:r>
      <w:r w:rsidR="00E146CA">
        <w:t xml:space="preserve">had </w:t>
      </w:r>
      <w:r w:rsidR="000729B2">
        <w:t xml:space="preserve">prior pertuzumab neoadjuvant </w:t>
      </w:r>
      <w:r w:rsidR="00E146CA">
        <w:t xml:space="preserve">treatment </w:t>
      </w:r>
      <w:r w:rsidR="000729B2">
        <w:t xml:space="preserve">either by the Special Access Program or self-funded. The PBAC considered that only patients at highest risk of relapse would be likely to self-fund pertuzumab, particularly given the availability of </w:t>
      </w:r>
      <w:r w:rsidR="00656FB6">
        <w:t xml:space="preserve">adjuvant </w:t>
      </w:r>
      <w:r w:rsidR="000729B2">
        <w:t xml:space="preserve">T-DM1 (see </w:t>
      </w:r>
      <w:r w:rsidR="000729B2" w:rsidRPr="00CE506E">
        <w:t>paragraph 3.</w:t>
      </w:r>
      <w:r w:rsidR="00475072" w:rsidRPr="00CE506E">
        <w:t>9</w:t>
      </w:r>
      <w:r w:rsidR="000729B2" w:rsidRPr="00CE506E">
        <w:t>).</w:t>
      </w:r>
    </w:p>
    <w:p w:rsidR="00735ECA" w:rsidRPr="00AB7F42" w:rsidRDefault="00B2513D" w:rsidP="00475072">
      <w:pPr>
        <w:pStyle w:val="3-BodyText"/>
      </w:pPr>
      <w:r w:rsidRPr="00AB7F42">
        <w:rPr>
          <w:iCs/>
        </w:rPr>
        <w:t xml:space="preserve">The </w:t>
      </w:r>
      <w:r w:rsidR="00B56CB6" w:rsidRPr="00AB7F42">
        <w:rPr>
          <w:iCs/>
        </w:rPr>
        <w:t>evaluation</w:t>
      </w:r>
      <w:r w:rsidRPr="00AB7F42">
        <w:rPr>
          <w:iCs/>
        </w:rPr>
        <w:t xml:space="preserve"> considered that specifying the </w:t>
      </w:r>
      <w:r w:rsidR="00166EA2" w:rsidRPr="00AB7F42">
        <w:rPr>
          <w:iCs/>
        </w:rPr>
        <w:t xml:space="preserve">required </w:t>
      </w:r>
      <w:r w:rsidRPr="00AB7F42">
        <w:rPr>
          <w:iCs/>
        </w:rPr>
        <w:t xml:space="preserve">prior HER2-directed therapies would add clarity to the restriction. </w:t>
      </w:r>
      <w:r w:rsidRPr="00AB7F42">
        <w:t xml:space="preserve">The PSCR stated that the therapies were not named as the treatment landscape may change over time, however the ESC considered that </w:t>
      </w:r>
      <w:r w:rsidR="00202F29">
        <w:t>it</w:t>
      </w:r>
      <w:r w:rsidR="00202F29" w:rsidRPr="00AB7F42">
        <w:t xml:space="preserve"> </w:t>
      </w:r>
      <w:r w:rsidRPr="00AB7F42">
        <w:t xml:space="preserve">may be </w:t>
      </w:r>
      <w:r w:rsidR="00166EA2" w:rsidRPr="00AB7F42">
        <w:t xml:space="preserve">reasonable to specify the required prior therapies </w:t>
      </w:r>
      <w:r w:rsidR="00373B86" w:rsidRPr="00AB7F42">
        <w:t>(</w:t>
      </w:r>
      <w:r w:rsidR="00166EA2" w:rsidRPr="00AB7F42">
        <w:rPr>
          <w:rFonts w:eastAsia="TimesNewRoman" w:hint="eastAsia"/>
        </w:rPr>
        <w:t>trastuzumab, pertuzumab and T-DM1</w:t>
      </w:r>
      <w:r w:rsidR="00166EA2" w:rsidRPr="00AB7F42">
        <w:rPr>
          <w:rFonts w:eastAsia="TimesNewRoman"/>
        </w:rPr>
        <w:t xml:space="preserve">) </w:t>
      </w:r>
      <w:r w:rsidR="00166EA2" w:rsidRPr="00AB7F42">
        <w:t>in this case.</w:t>
      </w:r>
    </w:p>
    <w:p w:rsidR="00832242" w:rsidRPr="007561D2" w:rsidRDefault="008A72CF" w:rsidP="00506983">
      <w:pPr>
        <w:pStyle w:val="3-BodyText"/>
      </w:pPr>
      <w:r>
        <w:rPr>
          <w:rFonts w:eastAsia="TimesNewRoman"/>
        </w:rPr>
        <w:t xml:space="preserve">The </w:t>
      </w:r>
      <w:r w:rsidR="008D5028" w:rsidRPr="007561D2">
        <w:rPr>
          <w:rFonts w:eastAsia="TimesNewRoman"/>
        </w:rPr>
        <w:t>HER2CLIMB</w:t>
      </w:r>
      <w:r w:rsidR="00076EA3" w:rsidRPr="007561D2">
        <w:rPr>
          <w:rFonts w:eastAsia="TimesNewRoman" w:hint="eastAsia"/>
        </w:rPr>
        <w:t xml:space="preserve"> </w:t>
      </w:r>
      <w:r>
        <w:rPr>
          <w:rFonts w:eastAsia="TimesNewRoman"/>
        </w:rPr>
        <w:t xml:space="preserve">eligibility criteria </w:t>
      </w:r>
      <w:r w:rsidR="00D27313" w:rsidRPr="006F3BDA">
        <w:rPr>
          <w:lang w:val="en-GB"/>
        </w:rPr>
        <w:t xml:space="preserve">did not specify the setting, in terms of </w:t>
      </w:r>
      <w:r w:rsidR="00E146CA">
        <w:rPr>
          <w:lang w:val="en-GB"/>
        </w:rPr>
        <w:t xml:space="preserve">use as </w:t>
      </w:r>
      <w:r w:rsidR="00D27313" w:rsidRPr="006F3BDA">
        <w:rPr>
          <w:lang w:val="en-GB"/>
        </w:rPr>
        <w:t>adjuvant</w:t>
      </w:r>
      <w:r w:rsidR="00E146CA">
        <w:rPr>
          <w:lang w:val="en-GB"/>
        </w:rPr>
        <w:t>/</w:t>
      </w:r>
      <w:r w:rsidR="00D27313" w:rsidRPr="006F3BDA">
        <w:rPr>
          <w:lang w:val="en-GB"/>
        </w:rPr>
        <w:t xml:space="preserve">neoadjuvant </w:t>
      </w:r>
      <w:r w:rsidR="00E146CA">
        <w:rPr>
          <w:lang w:val="en-GB"/>
        </w:rPr>
        <w:t xml:space="preserve">treatment, </w:t>
      </w:r>
      <w:r w:rsidR="00D27313" w:rsidRPr="006F3BDA">
        <w:rPr>
          <w:lang w:val="en-GB"/>
        </w:rPr>
        <w:t>or</w:t>
      </w:r>
      <w:r w:rsidR="00E146CA">
        <w:rPr>
          <w:lang w:val="en-GB"/>
        </w:rPr>
        <w:t>, for</w:t>
      </w:r>
      <w:r w:rsidR="00D27313" w:rsidRPr="006F3BDA">
        <w:rPr>
          <w:lang w:val="en-GB"/>
        </w:rPr>
        <w:t xml:space="preserve"> metastatic</w:t>
      </w:r>
      <w:r w:rsidR="00E146CA">
        <w:rPr>
          <w:lang w:val="en-GB"/>
        </w:rPr>
        <w:t>/non metastatic disease</w:t>
      </w:r>
      <w:r w:rsidR="00D27313" w:rsidRPr="006F3BDA">
        <w:rPr>
          <w:lang w:val="en-GB"/>
        </w:rPr>
        <w:t xml:space="preserve">, </w:t>
      </w:r>
      <w:r w:rsidR="00D27313">
        <w:rPr>
          <w:lang w:val="en-GB"/>
        </w:rPr>
        <w:t xml:space="preserve">in which </w:t>
      </w:r>
      <w:r w:rsidR="00D27313">
        <w:rPr>
          <w:rFonts w:eastAsia="TimesNewRoman"/>
        </w:rPr>
        <w:t xml:space="preserve">patients </w:t>
      </w:r>
      <w:r w:rsidR="00D07935">
        <w:rPr>
          <w:rFonts w:eastAsia="TimesNewRoman"/>
        </w:rPr>
        <w:t>were required to have</w:t>
      </w:r>
      <w:r w:rsidR="00076EA3" w:rsidRPr="007561D2">
        <w:rPr>
          <w:rFonts w:eastAsia="TimesNewRoman" w:hint="eastAsia"/>
        </w:rPr>
        <w:t xml:space="preserve"> </w:t>
      </w:r>
      <w:r w:rsidR="00735ECA">
        <w:rPr>
          <w:rFonts w:eastAsia="TimesNewRoman"/>
        </w:rPr>
        <w:t xml:space="preserve">received </w:t>
      </w:r>
      <w:r w:rsidR="00076EA3" w:rsidRPr="007561D2">
        <w:rPr>
          <w:rFonts w:eastAsia="TimesNewRoman" w:hint="eastAsia"/>
        </w:rPr>
        <w:t xml:space="preserve">prior trastuzumab, pertuzumab and T-DM1. While the majority </w:t>
      </w:r>
      <w:r w:rsidR="00166EA2">
        <w:rPr>
          <w:rFonts w:eastAsia="TimesNewRoman"/>
        </w:rPr>
        <w:t xml:space="preserve">of patients in the trial </w:t>
      </w:r>
      <w:r w:rsidR="00076EA3" w:rsidRPr="007561D2">
        <w:rPr>
          <w:rFonts w:eastAsia="TimesNewRoman" w:hint="eastAsia"/>
        </w:rPr>
        <w:t xml:space="preserve">received these therapies </w:t>
      </w:r>
      <w:r w:rsidR="00E146CA">
        <w:rPr>
          <w:rFonts w:eastAsia="TimesNewRoman"/>
        </w:rPr>
        <w:t xml:space="preserve">for </w:t>
      </w:r>
      <w:r w:rsidR="00076EA3" w:rsidRPr="007561D2">
        <w:rPr>
          <w:rFonts w:eastAsia="TimesNewRoman" w:hint="eastAsia"/>
        </w:rPr>
        <w:t xml:space="preserve">metastatic </w:t>
      </w:r>
      <w:r w:rsidR="00E146CA">
        <w:rPr>
          <w:rFonts w:eastAsia="TimesNewRoman"/>
        </w:rPr>
        <w:t xml:space="preserve">disease </w:t>
      </w:r>
      <w:r w:rsidR="00076EA3" w:rsidRPr="007561D2">
        <w:rPr>
          <w:rFonts w:eastAsia="TimesNewRoman" w:hint="eastAsia"/>
        </w:rPr>
        <w:t>only (59.8%, 86.7%, and 98.8%, respectively</w:t>
      </w:r>
      <w:r w:rsidR="006F3BDA">
        <w:rPr>
          <w:rFonts w:eastAsia="TimesNewRoman"/>
        </w:rPr>
        <w:t>,</w:t>
      </w:r>
      <w:r w:rsidR="00D07935" w:rsidRPr="00D07935">
        <w:rPr>
          <w:rFonts w:eastAsia="TimesNewRoman"/>
        </w:rPr>
        <w:t xml:space="preserve"> </w:t>
      </w:r>
      <w:r w:rsidR="00D07935" w:rsidRPr="007561D2">
        <w:rPr>
          <w:rFonts w:eastAsia="TimesNewRoman"/>
        </w:rPr>
        <w:t>in</w:t>
      </w:r>
      <w:r w:rsidR="00D07935" w:rsidRPr="007561D2">
        <w:rPr>
          <w:rFonts w:eastAsia="TimesNewRoman" w:hint="eastAsia"/>
        </w:rPr>
        <w:t xml:space="preserve"> the ITT-PFS population</w:t>
      </w:r>
      <w:r w:rsidR="00076EA3" w:rsidRPr="007561D2">
        <w:rPr>
          <w:rFonts w:eastAsia="TimesNewRoman" w:hint="eastAsia"/>
        </w:rPr>
        <w:t xml:space="preserve">), some </w:t>
      </w:r>
      <w:r w:rsidR="00076EA3" w:rsidRPr="007561D2">
        <w:rPr>
          <w:rFonts w:eastAsia="TimesNewRoman"/>
        </w:rPr>
        <w:t>patients</w:t>
      </w:r>
      <w:r w:rsidR="00076EA3" w:rsidRPr="007561D2">
        <w:rPr>
          <w:rFonts w:eastAsia="TimesNewRoman" w:hint="eastAsia"/>
        </w:rPr>
        <w:t xml:space="preserve"> received these </w:t>
      </w:r>
      <w:r w:rsidR="006F3BDA">
        <w:rPr>
          <w:rFonts w:eastAsia="TimesNewRoman"/>
        </w:rPr>
        <w:t>therapies</w:t>
      </w:r>
      <w:r w:rsidR="006F3BDA" w:rsidRPr="007561D2">
        <w:rPr>
          <w:rFonts w:eastAsia="TimesNewRoman" w:hint="eastAsia"/>
        </w:rPr>
        <w:t xml:space="preserve"> </w:t>
      </w:r>
      <w:r w:rsidR="00E146CA">
        <w:rPr>
          <w:rFonts w:eastAsia="TimesNewRoman"/>
        </w:rPr>
        <w:t xml:space="preserve">for </w:t>
      </w:r>
      <w:r w:rsidR="00076EA3" w:rsidRPr="007561D2">
        <w:rPr>
          <w:rFonts w:eastAsia="TimesNewRoman" w:hint="eastAsia"/>
        </w:rPr>
        <w:t>both metastatic</w:t>
      </w:r>
      <w:r w:rsidR="00E146CA">
        <w:rPr>
          <w:rFonts w:eastAsia="TimesNewRoman"/>
        </w:rPr>
        <w:t xml:space="preserve"> disease</w:t>
      </w:r>
      <w:r w:rsidR="00076EA3" w:rsidRPr="007561D2">
        <w:rPr>
          <w:rFonts w:eastAsia="TimesNewRoman" w:hint="eastAsia"/>
        </w:rPr>
        <w:t xml:space="preserve"> and </w:t>
      </w:r>
      <w:r w:rsidR="00E146CA">
        <w:rPr>
          <w:rFonts w:eastAsia="TimesNewRoman"/>
        </w:rPr>
        <w:t xml:space="preserve">as </w:t>
      </w:r>
      <w:r w:rsidR="00076EA3" w:rsidRPr="007561D2">
        <w:rPr>
          <w:rFonts w:eastAsia="TimesNewRoman" w:hint="eastAsia"/>
        </w:rPr>
        <w:t xml:space="preserve">neoadjuvant/adjuvant </w:t>
      </w:r>
      <w:r w:rsidR="00E146CA">
        <w:rPr>
          <w:rFonts w:eastAsia="TimesNewRoman"/>
        </w:rPr>
        <w:t xml:space="preserve">treatment </w:t>
      </w:r>
      <w:r w:rsidR="00076EA3" w:rsidRPr="007561D2">
        <w:rPr>
          <w:rFonts w:eastAsia="TimesNewRoman" w:hint="eastAsia"/>
        </w:rPr>
        <w:t xml:space="preserve">(33.3%, 4.0%, and 0.2%, respectively), and some received </w:t>
      </w:r>
      <w:r w:rsidR="006F3BDA">
        <w:rPr>
          <w:rFonts w:eastAsia="TimesNewRoman"/>
        </w:rPr>
        <w:t>them</w:t>
      </w:r>
      <w:r w:rsidR="00076EA3" w:rsidRPr="007561D2">
        <w:rPr>
          <w:rFonts w:eastAsia="TimesNewRoman" w:hint="eastAsia"/>
        </w:rPr>
        <w:t xml:space="preserve"> </w:t>
      </w:r>
      <w:r w:rsidR="00E146CA">
        <w:rPr>
          <w:rFonts w:eastAsia="TimesNewRoman"/>
        </w:rPr>
        <w:t xml:space="preserve">as </w:t>
      </w:r>
      <w:r w:rsidR="00076EA3" w:rsidRPr="007561D2">
        <w:rPr>
          <w:rFonts w:eastAsia="TimesNewRoman" w:hint="eastAsia"/>
        </w:rPr>
        <w:t xml:space="preserve">neoadjuvant/adjuvant </w:t>
      </w:r>
      <w:r w:rsidR="00E146CA">
        <w:rPr>
          <w:rFonts w:eastAsia="TimesNewRoman"/>
        </w:rPr>
        <w:t xml:space="preserve">treatment </w:t>
      </w:r>
      <w:r w:rsidR="00076EA3" w:rsidRPr="007561D2">
        <w:rPr>
          <w:rFonts w:eastAsia="TimesNewRoman" w:hint="eastAsia"/>
        </w:rPr>
        <w:t>only (6.9%, 9.2%, and 1.0%, respectively)</w:t>
      </w:r>
      <w:r w:rsidR="00076EA3" w:rsidRPr="007561D2">
        <w:rPr>
          <w:rFonts w:eastAsia="TimesNewRoman"/>
        </w:rPr>
        <w:t>.</w:t>
      </w:r>
      <w:r w:rsidR="000008DB" w:rsidRPr="007561D2">
        <w:rPr>
          <w:rFonts w:eastAsia="TimesNewRoman"/>
        </w:rPr>
        <w:t xml:space="preserve"> </w:t>
      </w:r>
      <w:r w:rsidR="00832242" w:rsidRPr="007561D2">
        <w:rPr>
          <w:rFonts w:eastAsia="TimesNewRoman"/>
        </w:rPr>
        <w:t xml:space="preserve">In practice, clinicians would be unlikely to re-treat patients with T-DM1 or pertuzumab </w:t>
      </w:r>
      <w:r w:rsidR="00E146CA">
        <w:rPr>
          <w:rFonts w:eastAsia="TimesNewRoman"/>
        </w:rPr>
        <w:t xml:space="preserve">for </w:t>
      </w:r>
      <w:r w:rsidR="00832242" w:rsidRPr="007561D2">
        <w:rPr>
          <w:rFonts w:eastAsia="TimesNewRoman"/>
        </w:rPr>
        <w:t xml:space="preserve">metastatic </w:t>
      </w:r>
      <w:r w:rsidR="00E146CA">
        <w:rPr>
          <w:rFonts w:eastAsia="TimesNewRoman"/>
        </w:rPr>
        <w:t xml:space="preserve">disease </w:t>
      </w:r>
      <w:r w:rsidR="00832242" w:rsidRPr="007561D2">
        <w:rPr>
          <w:rFonts w:eastAsia="TimesNewRoman"/>
        </w:rPr>
        <w:t xml:space="preserve">after receiving these agents </w:t>
      </w:r>
      <w:r w:rsidR="00E146CA">
        <w:rPr>
          <w:rFonts w:eastAsia="TimesNewRoman"/>
        </w:rPr>
        <w:t xml:space="preserve">as </w:t>
      </w:r>
      <w:r w:rsidR="00832242" w:rsidRPr="007561D2">
        <w:rPr>
          <w:rFonts w:eastAsia="TimesNewRoman"/>
        </w:rPr>
        <w:t>neoadjuvant or adjuvant</w:t>
      </w:r>
      <w:r w:rsidR="000A27F1">
        <w:rPr>
          <w:rFonts w:eastAsia="TimesNewRoman"/>
        </w:rPr>
        <w:t xml:space="preserve"> </w:t>
      </w:r>
      <w:r w:rsidR="00E146CA">
        <w:rPr>
          <w:rFonts w:eastAsia="TimesNewRoman"/>
        </w:rPr>
        <w:t>treatment</w:t>
      </w:r>
      <w:r w:rsidR="006E2B23" w:rsidRPr="007561D2">
        <w:rPr>
          <w:rFonts w:eastAsia="TimesNewRoman"/>
          <w:iCs/>
        </w:rPr>
        <w:t>.</w:t>
      </w:r>
      <w:r w:rsidR="00832242" w:rsidRPr="007561D2">
        <w:rPr>
          <w:rFonts w:eastAsia="TimesNewRoman"/>
        </w:rPr>
        <w:t xml:space="preserve"> </w:t>
      </w:r>
      <w:r w:rsidR="006E2B23" w:rsidRPr="007561D2">
        <w:rPr>
          <w:rFonts w:eastAsia="TimesNewRoman"/>
        </w:rPr>
        <w:t xml:space="preserve">However, </w:t>
      </w:r>
      <w:r w:rsidR="00E146CA">
        <w:rPr>
          <w:rFonts w:eastAsia="TimesNewRoman"/>
        </w:rPr>
        <w:t xml:space="preserve">the PBAC considered </w:t>
      </w:r>
      <w:r w:rsidR="00832242" w:rsidRPr="007561D2">
        <w:rPr>
          <w:rFonts w:eastAsia="TimesNewRoman"/>
        </w:rPr>
        <w:t>re-treatment with trastuzumab, particularly in combination with different chemotherapy or targeted therapies, upon relapse</w:t>
      </w:r>
      <w:r w:rsidR="00E146CA">
        <w:rPr>
          <w:rFonts w:eastAsia="TimesNewRoman"/>
        </w:rPr>
        <w:t>,</w:t>
      </w:r>
      <w:r w:rsidR="00832242" w:rsidRPr="007561D2">
        <w:rPr>
          <w:rFonts w:eastAsia="TimesNewRoman"/>
        </w:rPr>
        <w:t xml:space="preserve"> is accepted clinical practice</w:t>
      </w:r>
      <w:r w:rsidR="006E2B23" w:rsidRPr="007561D2">
        <w:rPr>
          <w:rFonts w:eastAsia="TimesNewRoman"/>
        </w:rPr>
        <w:t>.</w:t>
      </w:r>
    </w:p>
    <w:p w:rsidR="00F1785E" w:rsidRPr="007561D2" w:rsidRDefault="003E6B37" w:rsidP="00D27313">
      <w:pPr>
        <w:pStyle w:val="3-BodyText"/>
      </w:pPr>
      <w:r w:rsidRPr="007561D2">
        <w:t>The</w:t>
      </w:r>
      <w:r w:rsidR="00F1785E" w:rsidRPr="007561D2">
        <w:t xml:space="preserve"> proposed restriction allows use </w:t>
      </w:r>
      <w:r w:rsidR="006F3BDA">
        <w:t xml:space="preserve">of tucatinib </w:t>
      </w:r>
      <w:r w:rsidR="00E146CA">
        <w:t xml:space="preserve">as </w:t>
      </w:r>
      <w:r w:rsidR="007172A6" w:rsidRPr="007561D2">
        <w:t>second</w:t>
      </w:r>
      <w:r w:rsidR="009B3384" w:rsidRPr="007561D2">
        <w:t xml:space="preserve">-line </w:t>
      </w:r>
      <w:r w:rsidR="00E146CA">
        <w:t xml:space="preserve">treatment for </w:t>
      </w:r>
      <w:r w:rsidR="009B3384" w:rsidRPr="007561D2">
        <w:t xml:space="preserve">metastatic </w:t>
      </w:r>
      <w:r w:rsidR="00E146CA">
        <w:t xml:space="preserve">disease </w:t>
      </w:r>
      <w:r w:rsidR="009B3384" w:rsidRPr="007561D2">
        <w:t>in</w:t>
      </w:r>
      <w:r w:rsidR="00F1785E" w:rsidRPr="007561D2">
        <w:t xml:space="preserve"> patients </w:t>
      </w:r>
      <w:r w:rsidR="009B3384" w:rsidRPr="007561D2">
        <w:t>who received</w:t>
      </w:r>
      <w:r w:rsidR="00F1785E" w:rsidRPr="007561D2">
        <w:t xml:space="preserve"> T-DM1 adjuvant </w:t>
      </w:r>
      <w:r w:rsidR="001817CA">
        <w:t>treatment</w:t>
      </w:r>
      <w:r w:rsidR="00F1785E" w:rsidRPr="007561D2">
        <w:rPr>
          <w:lang w:val="en-GB"/>
        </w:rPr>
        <w:t>.</w:t>
      </w:r>
      <w:r w:rsidR="006F3BDA" w:rsidRPr="006F3BDA">
        <w:rPr>
          <w:lang w:val="en-GB"/>
        </w:rPr>
        <w:t xml:space="preserve"> </w:t>
      </w:r>
      <w:r w:rsidR="00373B86">
        <w:rPr>
          <w:lang w:val="en-GB"/>
        </w:rPr>
        <w:t>Although</w:t>
      </w:r>
      <w:r w:rsidR="00373B86" w:rsidRPr="007561D2">
        <w:rPr>
          <w:lang w:val="en-GB"/>
        </w:rPr>
        <w:t xml:space="preserve"> </w:t>
      </w:r>
      <w:r w:rsidR="001B0746" w:rsidRPr="007561D2">
        <w:rPr>
          <w:lang w:val="en-GB"/>
        </w:rPr>
        <w:t xml:space="preserve">only </w:t>
      </w:r>
      <w:r w:rsidR="00BD0623" w:rsidRPr="007561D2">
        <w:rPr>
          <w:lang w:val="en-GB"/>
        </w:rPr>
        <w:t>1</w:t>
      </w:r>
      <w:r w:rsidR="001B0746" w:rsidRPr="007561D2">
        <w:rPr>
          <w:lang w:val="en-GB"/>
        </w:rPr>
        <w:t>% of</w:t>
      </w:r>
      <w:r w:rsidR="00F1785E" w:rsidRPr="007561D2">
        <w:rPr>
          <w:lang w:val="en-GB"/>
        </w:rPr>
        <w:t xml:space="preserve"> patients in the HER2CLIMB study had received T-DM1 </w:t>
      </w:r>
      <w:r w:rsidR="002579C0" w:rsidRPr="007561D2">
        <w:rPr>
          <w:lang w:val="en-GB"/>
        </w:rPr>
        <w:t xml:space="preserve">adjuvant </w:t>
      </w:r>
      <w:r w:rsidR="002579C0">
        <w:rPr>
          <w:lang w:val="en-GB"/>
        </w:rPr>
        <w:t>treatment</w:t>
      </w:r>
      <w:r w:rsidR="00F14142" w:rsidRPr="007561D2">
        <w:rPr>
          <w:lang w:val="en-GB"/>
        </w:rPr>
        <w:t xml:space="preserve"> (and only 6% of patients</w:t>
      </w:r>
      <w:r w:rsidR="00F14142" w:rsidRPr="007561D2">
        <w:t xml:space="preserve"> </w:t>
      </w:r>
      <w:r w:rsidR="00F14142" w:rsidRPr="007561D2">
        <w:rPr>
          <w:lang w:val="en-GB"/>
        </w:rPr>
        <w:t xml:space="preserve">in HER2CLIMB </w:t>
      </w:r>
      <w:r w:rsidR="001817CA">
        <w:rPr>
          <w:lang w:val="en-GB"/>
        </w:rPr>
        <w:t xml:space="preserve">received </w:t>
      </w:r>
      <w:r w:rsidR="00F14142" w:rsidRPr="007561D2">
        <w:rPr>
          <w:lang w:val="en-GB"/>
        </w:rPr>
        <w:t>second-line</w:t>
      </w:r>
      <w:r w:rsidR="001817CA">
        <w:rPr>
          <w:lang w:val="en-GB"/>
        </w:rPr>
        <w:t xml:space="preserve"> treatment for</w:t>
      </w:r>
      <w:r w:rsidR="00F14142" w:rsidRPr="007561D2">
        <w:rPr>
          <w:lang w:val="en-GB"/>
        </w:rPr>
        <w:t xml:space="preserve"> metastatic</w:t>
      </w:r>
      <w:r w:rsidR="00CD1067">
        <w:rPr>
          <w:lang w:val="en-GB"/>
        </w:rPr>
        <w:t xml:space="preserve"> </w:t>
      </w:r>
      <w:r w:rsidR="001817CA">
        <w:rPr>
          <w:lang w:val="en-GB"/>
        </w:rPr>
        <w:t>disease</w:t>
      </w:r>
      <w:r w:rsidR="00F14142" w:rsidRPr="007561D2">
        <w:rPr>
          <w:lang w:val="en-GB"/>
        </w:rPr>
        <w:t>)</w:t>
      </w:r>
      <w:r w:rsidR="001B0746" w:rsidRPr="007561D2">
        <w:rPr>
          <w:lang w:val="en-GB"/>
        </w:rPr>
        <w:t>, this was because</w:t>
      </w:r>
      <w:r w:rsidR="00F1785E" w:rsidRPr="007561D2">
        <w:rPr>
          <w:lang w:val="en-GB"/>
        </w:rPr>
        <w:t xml:space="preserve"> the study design pre</w:t>
      </w:r>
      <w:r w:rsidR="00166EA2">
        <w:rPr>
          <w:lang w:val="en-GB"/>
        </w:rPr>
        <w:t>-</w:t>
      </w:r>
      <w:r w:rsidR="00F1785E" w:rsidRPr="007561D2">
        <w:rPr>
          <w:lang w:val="en-GB"/>
        </w:rPr>
        <w:t>dated the release of results from the pivotal study of T-DM1 in this setting (the KATHERINE study</w:t>
      </w:r>
      <w:r w:rsidR="001B0746" w:rsidRPr="007561D2">
        <w:rPr>
          <w:lang w:val="en-GB"/>
        </w:rPr>
        <w:t>)</w:t>
      </w:r>
      <w:r w:rsidR="009B3384" w:rsidRPr="007561D2">
        <w:rPr>
          <w:lang w:val="en-GB"/>
        </w:rPr>
        <w:t xml:space="preserve">. </w:t>
      </w:r>
      <w:r w:rsidR="001817CA">
        <w:rPr>
          <w:lang w:val="en-GB"/>
        </w:rPr>
        <w:t xml:space="preserve">Adjuvant </w:t>
      </w:r>
      <w:r w:rsidR="009B3384" w:rsidRPr="007561D2">
        <w:rPr>
          <w:iCs/>
        </w:rPr>
        <w:t xml:space="preserve">T-DM1 use was TGA-approved in 2019 and PBS-listed in April 2020, and is now standard of care </w:t>
      </w:r>
      <w:r w:rsidR="00F1785E" w:rsidRPr="007561D2">
        <w:rPr>
          <w:lang w:val="en-GB"/>
        </w:rPr>
        <w:t xml:space="preserve">for those patients </w:t>
      </w:r>
      <w:r w:rsidR="006F3BDA">
        <w:rPr>
          <w:lang w:val="en-GB"/>
        </w:rPr>
        <w:t xml:space="preserve">who do </w:t>
      </w:r>
      <w:r w:rsidR="00F1785E" w:rsidRPr="007561D2">
        <w:rPr>
          <w:lang w:val="en-GB"/>
        </w:rPr>
        <w:t>not achiev</w:t>
      </w:r>
      <w:r w:rsidR="006F3BDA">
        <w:rPr>
          <w:lang w:val="en-GB"/>
        </w:rPr>
        <w:t xml:space="preserve">e </w:t>
      </w:r>
      <w:r w:rsidR="00F1785E" w:rsidRPr="007561D2">
        <w:rPr>
          <w:lang w:val="en-GB"/>
        </w:rPr>
        <w:t>a pathological complete response following</w:t>
      </w:r>
      <w:r w:rsidR="006F3BDA">
        <w:rPr>
          <w:lang w:val="en-GB"/>
        </w:rPr>
        <w:t xml:space="preserve"> </w:t>
      </w:r>
      <w:r w:rsidR="00F1785E" w:rsidRPr="007561D2">
        <w:rPr>
          <w:lang w:val="en-GB"/>
        </w:rPr>
        <w:t xml:space="preserve">neoadjuvant </w:t>
      </w:r>
      <w:r w:rsidR="00D27313">
        <w:rPr>
          <w:lang w:val="en-GB"/>
        </w:rPr>
        <w:t>therapy t</w:t>
      </w:r>
      <w:r w:rsidR="00D27313" w:rsidRPr="00D27313">
        <w:rPr>
          <w:lang w:val="en-GB"/>
        </w:rPr>
        <w:t>hat included trastuzumab and taxane-based chemotherapy</w:t>
      </w:r>
      <w:r w:rsidR="00D27313">
        <w:rPr>
          <w:lang w:val="en-GB"/>
        </w:rPr>
        <w:t xml:space="preserve">. </w:t>
      </w:r>
    </w:p>
    <w:p w:rsidR="00035939" w:rsidRDefault="009B3384" w:rsidP="00166EA2">
      <w:pPr>
        <w:pStyle w:val="3-BodyText"/>
        <w:rPr>
          <w:iCs/>
          <w:color w:val="000000" w:themeColor="text1"/>
        </w:rPr>
      </w:pPr>
      <w:r w:rsidRPr="007561D2">
        <w:rPr>
          <w:iCs/>
          <w:color w:val="000000" w:themeColor="text1"/>
        </w:rPr>
        <w:t xml:space="preserve">The requested restriction does not </w:t>
      </w:r>
      <w:r w:rsidR="00166EA2">
        <w:rPr>
          <w:iCs/>
          <w:color w:val="000000" w:themeColor="text1"/>
        </w:rPr>
        <w:t xml:space="preserve">account for use of </w:t>
      </w:r>
      <w:r w:rsidR="001817CA">
        <w:rPr>
          <w:iCs/>
          <w:color w:val="000000" w:themeColor="text1"/>
        </w:rPr>
        <w:t xml:space="preserve">neoadjuvant </w:t>
      </w:r>
      <w:r w:rsidR="00166EA2">
        <w:rPr>
          <w:iCs/>
          <w:color w:val="000000" w:themeColor="text1"/>
        </w:rPr>
        <w:t xml:space="preserve">pertuzumab. </w:t>
      </w:r>
      <w:r w:rsidR="001817CA">
        <w:rPr>
          <w:iCs/>
          <w:color w:val="000000" w:themeColor="text1"/>
        </w:rPr>
        <w:t>Neoadjuvant p</w:t>
      </w:r>
      <w:r w:rsidR="00166EA2" w:rsidRPr="00166EA2">
        <w:rPr>
          <w:iCs/>
          <w:color w:val="000000" w:themeColor="text1"/>
        </w:rPr>
        <w:t xml:space="preserve">ertuzumab is not PBS-listed and the proportion of patients who self-fund pertuzumab </w:t>
      </w:r>
      <w:r w:rsidR="001817CA">
        <w:rPr>
          <w:iCs/>
          <w:color w:val="000000" w:themeColor="text1"/>
        </w:rPr>
        <w:t>wa</w:t>
      </w:r>
      <w:r w:rsidR="00166EA2" w:rsidRPr="00166EA2">
        <w:rPr>
          <w:iCs/>
          <w:color w:val="000000" w:themeColor="text1"/>
        </w:rPr>
        <w:t>s unclear</w:t>
      </w:r>
      <w:r w:rsidR="001817CA">
        <w:rPr>
          <w:iCs/>
          <w:color w:val="000000" w:themeColor="text1"/>
        </w:rPr>
        <w:t>,</w:t>
      </w:r>
      <w:r w:rsidR="00166EA2" w:rsidRPr="00166EA2">
        <w:rPr>
          <w:iCs/>
          <w:color w:val="000000" w:themeColor="text1"/>
        </w:rPr>
        <w:t xml:space="preserve"> but was estimated (by the sponsor of pertuzumab) to be 20% prior to the PBS listing of T-DM1 (paragraph 6.49, T-DM1 Public Summary Document (PSD), November 2019). While neoadjuvant pertuzumab is more likely to be recommended to patients at the greatest risk of developing metastatic disease, the availability of </w:t>
      </w:r>
      <w:r w:rsidR="001817CA">
        <w:rPr>
          <w:iCs/>
          <w:color w:val="000000" w:themeColor="text1"/>
        </w:rPr>
        <w:t xml:space="preserve">adjuvant </w:t>
      </w:r>
      <w:r w:rsidR="00166EA2" w:rsidRPr="00166EA2">
        <w:rPr>
          <w:iCs/>
          <w:color w:val="000000" w:themeColor="text1"/>
        </w:rPr>
        <w:t xml:space="preserve">T-DM1 may influence </w:t>
      </w:r>
      <w:r w:rsidR="00656FB6">
        <w:rPr>
          <w:iCs/>
          <w:color w:val="000000" w:themeColor="text1"/>
        </w:rPr>
        <w:t xml:space="preserve">and lower </w:t>
      </w:r>
      <w:r w:rsidR="00166EA2" w:rsidRPr="00166EA2">
        <w:rPr>
          <w:iCs/>
          <w:color w:val="000000" w:themeColor="text1"/>
        </w:rPr>
        <w:t xml:space="preserve">uptake. </w:t>
      </w:r>
    </w:p>
    <w:p w:rsidR="00035939" w:rsidRPr="00AB7F42" w:rsidRDefault="00035939" w:rsidP="00035939">
      <w:pPr>
        <w:pStyle w:val="3-BodyText"/>
        <w:rPr>
          <w:iCs/>
          <w:color w:val="000000" w:themeColor="text1"/>
        </w:rPr>
      </w:pPr>
      <w:r>
        <w:rPr>
          <w:iCs/>
          <w:color w:val="000000" w:themeColor="text1"/>
        </w:rPr>
        <w:t xml:space="preserve">Specifically, the proposed restriction does not </w:t>
      </w:r>
      <w:r w:rsidRPr="007561D2">
        <w:rPr>
          <w:iCs/>
          <w:color w:val="000000" w:themeColor="text1"/>
        </w:rPr>
        <w:t xml:space="preserve">allow use of tucatinib </w:t>
      </w:r>
      <w:r w:rsidR="001817CA">
        <w:rPr>
          <w:iCs/>
          <w:color w:val="000000" w:themeColor="text1"/>
        </w:rPr>
        <w:t xml:space="preserve">as </w:t>
      </w:r>
      <w:r w:rsidRPr="00035939">
        <w:rPr>
          <w:iCs/>
          <w:color w:val="000000" w:themeColor="text1"/>
        </w:rPr>
        <w:t xml:space="preserve">second-line </w:t>
      </w:r>
      <w:r w:rsidR="001817CA">
        <w:rPr>
          <w:iCs/>
          <w:color w:val="000000" w:themeColor="text1"/>
        </w:rPr>
        <w:t xml:space="preserve">treatment for </w:t>
      </w:r>
      <w:r w:rsidR="002579C0" w:rsidRPr="00035939">
        <w:rPr>
          <w:iCs/>
          <w:color w:val="000000" w:themeColor="text1"/>
        </w:rPr>
        <w:t>metastatic disease</w:t>
      </w:r>
      <w:r w:rsidR="001817CA">
        <w:rPr>
          <w:iCs/>
          <w:color w:val="000000" w:themeColor="text1"/>
        </w:rPr>
        <w:t xml:space="preserve"> </w:t>
      </w:r>
      <w:r w:rsidRPr="00035939">
        <w:rPr>
          <w:iCs/>
          <w:color w:val="000000" w:themeColor="text1"/>
        </w:rPr>
        <w:t xml:space="preserve">in patients who relapse following a neoadjuvant pertuzumab + trastuzumab based regimen (noting these patients would </w:t>
      </w:r>
      <w:r w:rsidR="00B56CB6">
        <w:rPr>
          <w:iCs/>
          <w:color w:val="000000" w:themeColor="text1"/>
        </w:rPr>
        <w:t>meet</w:t>
      </w:r>
      <w:r w:rsidRPr="00035939">
        <w:rPr>
          <w:iCs/>
          <w:color w:val="000000" w:themeColor="text1"/>
        </w:rPr>
        <w:t xml:space="preserve"> the HER2CLIMB eligibility criteria with just T-DM1  </w:t>
      </w:r>
      <w:r w:rsidR="001817CA">
        <w:rPr>
          <w:iCs/>
          <w:color w:val="000000" w:themeColor="text1"/>
        </w:rPr>
        <w:t xml:space="preserve">for </w:t>
      </w:r>
      <w:r w:rsidRPr="00035939">
        <w:rPr>
          <w:iCs/>
          <w:color w:val="000000" w:themeColor="text1"/>
        </w:rPr>
        <w:t xml:space="preserve">metastatic </w:t>
      </w:r>
      <w:r w:rsidR="001817CA">
        <w:rPr>
          <w:iCs/>
          <w:color w:val="000000" w:themeColor="text1"/>
        </w:rPr>
        <w:t>disease</w:t>
      </w:r>
      <w:r w:rsidRPr="00035939">
        <w:rPr>
          <w:iCs/>
          <w:color w:val="000000" w:themeColor="text1"/>
        </w:rPr>
        <w:t xml:space="preserve">). About 6% of patients who enrolled in HER2CLIMB received tucatinib </w:t>
      </w:r>
      <w:r w:rsidR="001817CA">
        <w:rPr>
          <w:iCs/>
          <w:color w:val="000000" w:themeColor="text1"/>
        </w:rPr>
        <w:t xml:space="preserve">as </w:t>
      </w:r>
      <w:r w:rsidRPr="00035939">
        <w:rPr>
          <w:iCs/>
          <w:color w:val="000000" w:themeColor="text1"/>
        </w:rPr>
        <w:t>second-line</w:t>
      </w:r>
      <w:r w:rsidR="001817CA">
        <w:rPr>
          <w:iCs/>
          <w:color w:val="000000" w:themeColor="text1"/>
        </w:rPr>
        <w:t xml:space="preserve"> treatment for</w:t>
      </w:r>
      <w:r w:rsidRPr="00035939">
        <w:rPr>
          <w:iCs/>
          <w:color w:val="000000" w:themeColor="text1"/>
        </w:rPr>
        <w:t xml:space="preserve"> </w:t>
      </w:r>
      <w:r w:rsidR="002579C0" w:rsidRPr="00035939">
        <w:rPr>
          <w:iCs/>
          <w:color w:val="000000" w:themeColor="text1"/>
        </w:rPr>
        <w:t xml:space="preserve">metastatic </w:t>
      </w:r>
      <w:r w:rsidR="002579C0">
        <w:rPr>
          <w:iCs/>
          <w:color w:val="000000" w:themeColor="text1"/>
        </w:rPr>
        <w:t>disease</w:t>
      </w:r>
      <w:r w:rsidRPr="00035939">
        <w:rPr>
          <w:iCs/>
          <w:color w:val="000000" w:themeColor="text1"/>
        </w:rPr>
        <w:t xml:space="preserve">, comprising predominantly of those who received neoadjuvant pertuzumab. </w:t>
      </w:r>
      <w:r w:rsidR="00B56CB6" w:rsidRPr="00AB7F42">
        <w:rPr>
          <w:iCs/>
          <w:color w:val="000000" w:themeColor="text1"/>
        </w:rPr>
        <w:t xml:space="preserve">The PSCR stated that the sponsor is amenable to allowing tucatinib to be used in this situation. </w:t>
      </w:r>
      <w:r w:rsidRPr="00AB7F42">
        <w:rPr>
          <w:iCs/>
          <w:color w:val="000000" w:themeColor="text1"/>
        </w:rPr>
        <w:t xml:space="preserve">The ESC considered that it would be reasonable to allow patients who relapse following self-funded neoadjuvant pertuzumab to access tucatinib </w:t>
      </w:r>
      <w:r w:rsidR="001817CA">
        <w:rPr>
          <w:iCs/>
          <w:color w:val="000000" w:themeColor="text1"/>
        </w:rPr>
        <w:t xml:space="preserve">as </w:t>
      </w:r>
      <w:r w:rsidRPr="00AB7F42">
        <w:rPr>
          <w:iCs/>
          <w:color w:val="000000" w:themeColor="text1"/>
        </w:rPr>
        <w:t xml:space="preserve">second-line </w:t>
      </w:r>
      <w:r w:rsidR="001817CA">
        <w:rPr>
          <w:iCs/>
          <w:color w:val="000000" w:themeColor="text1"/>
        </w:rPr>
        <w:t xml:space="preserve">treatment for </w:t>
      </w:r>
      <w:r w:rsidR="002579C0" w:rsidRPr="00AB7F42">
        <w:rPr>
          <w:iCs/>
          <w:color w:val="000000" w:themeColor="text1"/>
        </w:rPr>
        <w:t xml:space="preserve">metastatic </w:t>
      </w:r>
      <w:r w:rsidR="002579C0">
        <w:rPr>
          <w:iCs/>
          <w:color w:val="000000" w:themeColor="text1"/>
        </w:rPr>
        <w:t>disease</w:t>
      </w:r>
      <w:r w:rsidRPr="00AB7F42">
        <w:rPr>
          <w:iCs/>
          <w:color w:val="000000" w:themeColor="text1"/>
        </w:rPr>
        <w:t xml:space="preserve">. </w:t>
      </w:r>
    </w:p>
    <w:p w:rsidR="006F3BDA" w:rsidRPr="00AB7F42" w:rsidRDefault="00035939" w:rsidP="00035939">
      <w:pPr>
        <w:pStyle w:val="3-BodyText"/>
        <w:rPr>
          <w:iCs/>
          <w:color w:val="000000" w:themeColor="text1"/>
        </w:rPr>
      </w:pPr>
      <w:r>
        <w:rPr>
          <w:iCs/>
          <w:color w:val="000000" w:themeColor="text1"/>
        </w:rPr>
        <w:t xml:space="preserve">The </w:t>
      </w:r>
      <w:r w:rsidR="00B56CB6">
        <w:rPr>
          <w:iCs/>
          <w:color w:val="000000" w:themeColor="text1"/>
        </w:rPr>
        <w:t>evaluation</w:t>
      </w:r>
      <w:r>
        <w:rPr>
          <w:iCs/>
          <w:color w:val="000000" w:themeColor="text1"/>
        </w:rPr>
        <w:t xml:space="preserve"> also noted that the proposed restriction does not allow use of tucatinib </w:t>
      </w:r>
      <w:r w:rsidR="001817CA">
        <w:rPr>
          <w:iCs/>
          <w:color w:val="000000" w:themeColor="text1"/>
        </w:rPr>
        <w:t xml:space="preserve">as </w:t>
      </w:r>
      <w:r w:rsidR="006F3BDA" w:rsidRPr="007561D2">
        <w:rPr>
          <w:iCs/>
          <w:color w:val="000000" w:themeColor="text1"/>
        </w:rPr>
        <w:t xml:space="preserve">first-line </w:t>
      </w:r>
      <w:r w:rsidR="001817CA">
        <w:rPr>
          <w:iCs/>
          <w:color w:val="000000" w:themeColor="text1"/>
        </w:rPr>
        <w:t xml:space="preserve">treatment of </w:t>
      </w:r>
      <w:r w:rsidR="002579C0" w:rsidRPr="007561D2">
        <w:rPr>
          <w:iCs/>
          <w:color w:val="000000" w:themeColor="text1"/>
        </w:rPr>
        <w:t>metastatic disease</w:t>
      </w:r>
      <w:r w:rsidR="001817CA">
        <w:rPr>
          <w:iCs/>
          <w:color w:val="000000" w:themeColor="text1"/>
        </w:rPr>
        <w:t xml:space="preserve"> </w:t>
      </w:r>
      <w:r w:rsidR="006F3BDA" w:rsidRPr="007561D2">
        <w:rPr>
          <w:iCs/>
          <w:color w:val="000000" w:themeColor="text1"/>
        </w:rPr>
        <w:t xml:space="preserve">in patients who experienced disease progression following neoadjuvant pertuzumab </w:t>
      </w:r>
      <w:r w:rsidR="002F48C7">
        <w:rPr>
          <w:iCs/>
          <w:color w:val="000000" w:themeColor="text1"/>
        </w:rPr>
        <w:t>and</w:t>
      </w:r>
      <w:r w:rsidR="006F3BDA" w:rsidRPr="007561D2">
        <w:rPr>
          <w:iCs/>
          <w:color w:val="000000" w:themeColor="text1"/>
        </w:rPr>
        <w:t xml:space="preserve"> </w:t>
      </w:r>
      <w:r w:rsidR="00D27313">
        <w:rPr>
          <w:iCs/>
          <w:color w:val="000000" w:themeColor="text1"/>
        </w:rPr>
        <w:t>adjuvant</w:t>
      </w:r>
      <w:r w:rsidR="006F3BDA" w:rsidRPr="007561D2">
        <w:rPr>
          <w:iCs/>
          <w:color w:val="000000" w:themeColor="text1"/>
        </w:rPr>
        <w:t xml:space="preserve"> T-DM1 (i.e. prior to the detection of metastatic disease). Such use would be outside the TGA indication and </w:t>
      </w:r>
      <w:r w:rsidR="005841E6">
        <w:rPr>
          <w:iCs/>
          <w:color w:val="000000" w:themeColor="text1"/>
        </w:rPr>
        <w:t>inconsistent with</w:t>
      </w:r>
      <w:r w:rsidR="006F3BDA" w:rsidRPr="007561D2">
        <w:rPr>
          <w:iCs/>
          <w:color w:val="000000" w:themeColor="text1"/>
        </w:rPr>
        <w:t xml:space="preserve"> HER2CLIMB </w:t>
      </w:r>
      <w:r w:rsidR="005841E6">
        <w:rPr>
          <w:iCs/>
          <w:color w:val="000000" w:themeColor="text1"/>
        </w:rPr>
        <w:t>in which all patients</w:t>
      </w:r>
      <w:r w:rsidR="006F3BDA" w:rsidRPr="007561D2">
        <w:rPr>
          <w:iCs/>
          <w:color w:val="000000" w:themeColor="text1"/>
        </w:rPr>
        <w:t xml:space="preserve"> received at least one line of therapy </w:t>
      </w:r>
      <w:r w:rsidR="001817CA">
        <w:rPr>
          <w:iCs/>
          <w:color w:val="000000" w:themeColor="text1"/>
        </w:rPr>
        <w:t xml:space="preserve">for </w:t>
      </w:r>
      <w:r w:rsidR="006F3BDA" w:rsidRPr="007561D2">
        <w:rPr>
          <w:iCs/>
          <w:color w:val="000000" w:themeColor="text1"/>
        </w:rPr>
        <w:t xml:space="preserve">metastatic </w:t>
      </w:r>
      <w:r w:rsidR="001817CA">
        <w:rPr>
          <w:iCs/>
          <w:color w:val="000000" w:themeColor="text1"/>
        </w:rPr>
        <w:t>disease</w:t>
      </w:r>
      <w:r w:rsidR="006F3BDA" w:rsidRPr="007561D2">
        <w:rPr>
          <w:iCs/>
          <w:color w:val="000000" w:themeColor="text1"/>
        </w:rPr>
        <w:t>.</w:t>
      </w:r>
      <w:r w:rsidR="006F3BDA">
        <w:rPr>
          <w:iCs/>
          <w:color w:val="000000" w:themeColor="text1"/>
        </w:rPr>
        <w:t xml:space="preserve"> </w:t>
      </w:r>
      <w:r w:rsidR="006F3BDA" w:rsidRPr="00AB7F42">
        <w:rPr>
          <w:iCs/>
          <w:color w:val="000000" w:themeColor="text1"/>
        </w:rPr>
        <w:t xml:space="preserve">The PSCR </w:t>
      </w:r>
      <w:r w:rsidR="001817CA">
        <w:rPr>
          <w:iCs/>
          <w:color w:val="000000" w:themeColor="text1"/>
        </w:rPr>
        <w:t xml:space="preserve">clarified </w:t>
      </w:r>
      <w:r w:rsidR="006F3BDA" w:rsidRPr="00AB7F42">
        <w:rPr>
          <w:iCs/>
          <w:color w:val="000000" w:themeColor="text1"/>
        </w:rPr>
        <w:t xml:space="preserve">that listing </w:t>
      </w:r>
      <w:r w:rsidR="001817CA">
        <w:rPr>
          <w:iCs/>
          <w:color w:val="000000" w:themeColor="text1"/>
        </w:rPr>
        <w:t>wa</w:t>
      </w:r>
      <w:r w:rsidR="006F3BDA" w:rsidRPr="00AB7F42">
        <w:rPr>
          <w:iCs/>
          <w:color w:val="000000" w:themeColor="text1"/>
        </w:rPr>
        <w:t xml:space="preserve">s not sought </w:t>
      </w:r>
      <w:r w:rsidR="001817CA">
        <w:rPr>
          <w:iCs/>
          <w:color w:val="000000" w:themeColor="text1"/>
        </w:rPr>
        <w:t xml:space="preserve">for </w:t>
      </w:r>
      <w:r w:rsidR="006F3BDA" w:rsidRPr="00AB7F42">
        <w:rPr>
          <w:iCs/>
          <w:color w:val="000000" w:themeColor="text1"/>
        </w:rPr>
        <w:t>first-line</w:t>
      </w:r>
      <w:r w:rsidR="001817CA">
        <w:rPr>
          <w:iCs/>
          <w:color w:val="000000" w:themeColor="text1"/>
        </w:rPr>
        <w:t xml:space="preserve"> treatment of</w:t>
      </w:r>
      <w:r w:rsidR="006F3BDA" w:rsidRPr="00AB7F42">
        <w:rPr>
          <w:iCs/>
          <w:color w:val="000000" w:themeColor="text1"/>
        </w:rPr>
        <w:t xml:space="preserve"> metastatic </w:t>
      </w:r>
      <w:r w:rsidR="001817CA">
        <w:rPr>
          <w:iCs/>
          <w:color w:val="000000" w:themeColor="text1"/>
        </w:rPr>
        <w:t>disease</w:t>
      </w:r>
      <w:r w:rsidR="006B7E73" w:rsidRPr="00AB7F42">
        <w:rPr>
          <w:iCs/>
          <w:color w:val="000000" w:themeColor="text1"/>
        </w:rPr>
        <w:t>.</w:t>
      </w:r>
    </w:p>
    <w:p w:rsidR="00AF751A" w:rsidRPr="008C1387" w:rsidRDefault="001A7142" w:rsidP="001D5899">
      <w:pPr>
        <w:pStyle w:val="3-BodyText"/>
      </w:pPr>
      <w:r>
        <w:rPr>
          <w:lang w:val="en-GB"/>
        </w:rPr>
        <w:t>There is a risk of l</w:t>
      </w:r>
      <w:r w:rsidR="00155AFB" w:rsidRPr="007561D2">
        <w:rPr>
          <w:lang w:val="en-GB"/>
        </w:rPr>
        <w:t xml:space="preserve">eakage of tucatinib to an earlier line of therapy </w:t>
      </w:r>
      <w:r>
        <w:rPr>
          <w:lang w:val="en-GB"/>
        </w:rPr>
        <w:t xml:space="preserve">in </w:t>
      </w:r>
      <w:r w:rsidR="00720181" w:rsidRPr="007561D2">
        <w:rPr>
          <w:lang w:val="en-GB"/>
        </w:rPr>
        <w:t>patients with brain metastases not amenable to</w:t>
      </w:r>
      <w:r w:rsidR="00240D79" w:rsidRPr="007561D2">
        <w:rPr>
          <w:lang w:val="en-GB"/>
        </w:rPr>
        <w:t xml:space="preserve"> treatment with, or who are seeking </w:t>
      </w:r>
      <w:r w:rsidR="000C47FE" w:rsidRPr="007561D2">
        <w:rPr>
          <w:lang w:val="en-GB"/>
        </w:rPr>
        <w:t xml:space="preserve">to </w:t>
      </w:r>
      <w:r w:rsidR="00240D79" w:rsidRPr="007561D2">
        <w:rPr>
          <w:lang w:val="en-GB"/>
        </w:rPr>
        <w:t>delay/avoid</w:t>
      </w:r>
      <w:r w:rsidR="000C47FE" w:rsidRPr="007561D2">
        <w:rPr>
          <w:lang w:val="en-GB"/>
        </w:rPr>
        <w:t>,</w:t>
      </w:r>
      <w:r w:rsidR="00240D79" w:rsidRPr="007561D2">
        <w:rPr>
          <w:lang w:val="en-GB"/>
        </w:rPr>
        <w:t xml:space="preserve"> other</w:t>
      </w:r>
      <w:r w:rsidR="00735B5C" w:rsidRPr="007561D2">
        <w:rPr>
          <w:lang w:val="en-GB"/>
        </w:rPr>
        <w:t xml:space="preserve"> interventions such as </w:t>
      </w:r>
      <w:r w:rsidR="00720181" w:rsidRPr="007561D2">
        <w:rPr>
          <w:lang w:val="en-GB"/>
        </w:rPr>
        <w:t>surgery or radiation therapy</w:t>
      </w:r>
      <w:r w:rsidR="0088045E">
        <w:rPr>
          <w:lang w:val="en-GB"/>
        </w:rPr>
        <w:t xml:space="preserve"> </w:t>
      </w:r>
      <w:r w:rsidR="0088045E" w:rsidRPr="007561D2">
        <w:rPr>
          <w:rFonts w:cstheme="minorHAnsi"/>
          <w:iCs/>
        </w:rPr>
        <w:t>and other systemic therapies which have limited efficacy</w:t>
      </w:r>
      <w:r w:rsidR="00735B5C" w:rsidRPr="007561D2">
        <w:rPr>
          <w:lang w:val="en-GB"/>
        </w:rPr>
        <w:t>.</w:t>
      </w:r>
      <w:r w:rsidR="004D40A2" w:rsidRPr="007561D2">
        <w:rPr>
          <w:lang w:val="en-GB"/>
        </w:rPr>
        <w:t xml:space="preserve"> </w:t>
      </w:r>
    </w:p>
    <w:p w:rsidR="008C1387" w:rsidRPr="008C1387" w:rsidRDefault="008C1387" w:rsidP="008C1387">
      <w:pPr>
        <w:pStyle w:val="3-BodyText"/>
        <w:numPr>
          <w:ilvl w:val="0"/>
          <w:numId w:val="0"/>
        </w:numPr>
        <w:ind w:left="720"/>
        <w:rPr>
          <w:i/>
        </w:rPr>
      </w:pPr>
      <w:r w:rsidRPr="008C1387">
        <w:rPr>
          <w:i/>
          <w:lang w:val="en-GB"/>
        </w:rPr>
        <w:t>For more detail on PBAC’s view, see section 7 PBAC outcome.</w:t>
      </w:r>
    </w:p>
    <w:p w:rsidR="00B50DB8" w:rsidRPr="00407F2D" w:rsidRDefault="00203181" w:rsidP="004E18E9">
      <w:pPr>
        <w:pStyle w:val="2-SectionHeading"/>
      </w:pPr>
      <w:bookmarkStart w:id="5" w:name="_Toc62045109"/>
      <w:r>
        <w:t xml:space="preserve">Population and </w:t>
      </w:r>
      <w:r w:rsidR="008E0D3C">
        <w:t>d</w:t>
      </w:r>
      <w:r>
        <w:t>isease</w:t>
      </w:r>
      <w:bookmarkEnd w:id="5"/>
    </w:p>
    <w:p w:rsidR="008536B4" w:rsidRPr="00D47EF0" w:rsidRDefault="00925846" w:rsidP="008536B4">
      <w:pPr>
        <w:pStyle w:val="3-BodyText"/>
        <w:rPr>
          <w:lang w:eastAsia="ja-JP"/>
        </w:rPr>
      </w:pPr>
      <w:r w:rsidRPr="00D47EF0">
        <w:t>HER2</w:t>
      </w:r>
      <w:r w:rsidR="00F13793">
        <w:t>+</w:t>
      </w:r>
      <w:r w:rsidRPr="00D47EF0">
        <w:t xml:space="preserve"> breast cancer is an aggressive subtype with a propensity for early relapse following adjuvant therapy</w:t>
      </w:r>
      <w:r w:rsidR="004D606A">
        <w:t xml:space="preserve">. </w:t>
      </w:r>
      <w:r w:rsidR="007E01C9">
        <w:t xml:space="preserve">Visceral metastases (and in particular, liver metastases) are more common in those </w:t>
      </w:r>
      <w:r w:rsidR="00AA0374">
        <w:t>with</w:t>
      </w:r>
      <w:r w:rsidR="007E01C9">
        <w:t xml:space="preserve"> HER2+ mBC than other breast cancer subtypes, and </w:t>
      </w:r>
      <w:r w:rsidR="007E01C9">
        <w:rPr>
          <w:lang w:eastAsia="ja-JP"/>
        </w:rPr>
        <w:t xml:space="preserve">up to 50% of patients with HER2+ mBC develop brain metastases at some point in the course of their disease. </w:t>
      </w:r>
      <w:r w:rsidR="008536B4" w:rsidRPr="00D47EF0">
        <w:rPr>
          <w:lang w:eastAsia="ja-JP"/>
        </w:rPr>
        <w:t>HER2</w:t>
      </w:r>
      <w:r w:rsidR="00F13793">
        <w:rPr>
          <w:lang w:eastAsia="ja-JP"/>
        </w:rPr>
        <w:t>+</w:t>
      </w:r>
      <w:r w:rsidR="008536B4" w:rsidRPr="00D47EF0">
        <w:rPr>
          <w:lang w:eastAsia="ja-JP"/>
        </w:rPr>
        <w:t xml:space="preserve"> breast cancer accounts for approximately 15-20% of all new breast cancer diagnoses. </w:t>
      </w:r>
      <w:r w:rsidR="00426BC4">
        <w:rPr>
          <w:lang w:eastAsia="ja-JP"/>
        </w:rPr>
        <w:t>There is significant unmet need for an effective systemic therapy that treats brain metastases, as most approved regimens have very limited efficacy.</w:t>
      </w:r>
    </w:p>
    <w:p w:rsidR="005841E6" w:rsidRDefault="008536B4" w:rsidP="008536B4">
      <w:pPr>
        <w:pStyle w:val="3-BodyText"/>
        <w:rPr>
          <w:lang w:eastAsia="ja-JP"/>
        </w:rPr>
      </w:pPr>
      <w:r w:rsidRPr="009D0D19">
        <w:t xml:space="preserve">The </w:t>
      </w:r>
      <w:r w:rsidR="005841E6">
        <w:t xml:space="preserve">proposed </w:t>
      </w:r>
      <w:r w:rsidRPr="009D0D19">
        <w:t xml:space="preserve">population </w:t>
      </w:r>
      <w:r w:rsidR="002D339B">
        <w:t xml:space="preserve">is made up of two groups: </w:t>
      </w:r>
    </w:p>
    <w:p w:rsidR="005841E6" w:rsidRDefault="002D339B" w:rsidP="0070501F">
      <w:pPr>
        <w:pStyle w:val="3-BodyText"/>
        <w:numPr>
          <w:ilvl w:val="0"/>
          <w:numId w:val="18"/>
        </w:numPr>
        <w:spacing w:after="0"/>
        <w:ind w:left="1077" w:hanging="357"/>
        <w:rPr>
          <w:lang w:eastAsia="ja-JP"/>
        </w:rPr>
      </w:pPr>
      <w:r w:rsidRPr="005841E6">
        <w:rPr>
          <w:iCs/>
          <w:color w:val="000000" w:themeColor="text1"/>
        </w:rPr>
        <w:t>those</w:t>
      </w:r>
      <w:r>
        <w:t xml:space="preserve"> </w:t>
      </w:r>
      <w:r w:rsidR="008536B4" w:rsidRPr="009D0D19">
        <w:t>with</w:t>
      </w:r>
      <w:r w:rsidR="00580AAF">
        <w:t xml:space="preserve"> relapse following diagnosis</w:t>
      </w:r>
      <w:r w:rsidR="00222746">
        <w:t xml:space="preserve"> of their breast cancer</w:t>
      </w:r>
      <w:r w:rsidR="00580AAF">
        <w:t xml:space="preserve"> at an earlier stage of disease </w:t>
      </w:r>
      <w:r w:rsidR="00A63A0F">
        <w:t xml:space="preserve">who </w:t>
      </w:r>
      <w:r w:rsidR="0081431F">
        <w:t xml:space="preserve">would </w:t>
      </w:r>
      <w:r w:rsidR="00A63A0F">
        <w:t xml:space="preserve">usually </w:t>
      </w:r>
      <w:r w:rsidR="0081431F">
        <w:t xml:space="preserve">have </w:t>
      </w:r>
      <w:r w:rsidR="0033034F">
        <w:t>received</w:t>
      </w:r>
      <w:r w:rsidR="00A63A0F">
        <w:t xml:space="preserve"> </w:t>
      </w:r>
      <w:r w:rsidR="00580AAF">
        <w:t xml:space="preserve">adjuvant treatment, </w:t>
      </w:r>
      <w:r w:rsidR="00781185">
        <w:t>and</w:t>
      </w:r>
      <w:r>
        <w:t xml:space="preserve"> </w:t>
      </w:r>
    </w:p>
    <w:p w:rsidR="00222746" w:rsidRDefault="002D339B" w:rsidP="0070501F">
      <w:pPr>
        <w:pStyle w:val="3-BodyText"/>
        <w:numPr>
          <w:ilvl w:val="0"/>
          <w:numId w:val="18"/>
        </w:numPr>
        <w:rPr>
          <w:lang w:eastAsia="ja-JP"/>
        </w:rPr>
      </w:pPr>
      <w:r w:rsidRPr="005841E6">
        <w:rPr>
          <w:iCs/>
          <w:color w:val="000000" w:themeColor="text1"/>
        </w:rPr>
        <w:t>those</w:t>
      </w:r>
      <w:r>
        <w:t xml:space="preserve"> </w:t>
      </w:r>
      <w:r w:rsidR="00781185">
        <w:t xml:space="preserve">presenting </w:t>
      </w:r>
      <w:r>
        <w:t>with</w:t>
      </w:r>
      <w:r w:rsidR="00580AAF">
        <w:t xml:space="preserve"> metastatic disease at the</w:t>
      </w:r>
      <w:r w:rsidR="00222746">
        <w:t xml:space="preserve"> ti</w:t>
      </w:r>
      <w:r w:rsidR="00580AAF">
        <w:t>me of their initial diagnosis</w:t>
      </w:r>
      <w:r>
        <w:t xml:space="preserve"> (known as ‘</w:t>
      </w:r>
      <w:r w:rsidRPr="00506163">
        <w:rPr>
          <w:i/>
          <w:iCs/>
        </w:rPr>
        <w:t>de novo</w:t>
      </w:r>
      <w:r>
        <w:rPr>
          <w:i/>
          <w:iCs/>
        </w:rPr>
        <w:t xml:space="preserve">’ </w:t>
      </w:r>
      <w:r w:rsidRPr="009D0D19">
        <w:t>metastatic disease</w:t>
      </w:r>
      <w:r>
        <w:t>) who</w:t>
      </w:r>
      <w:r w:rsidR="00A63A0F">
        <w:t xml:space="preserve"> </w:t>
      </w:r>
      <w:r>
        <w:t>have n</w:t>
      </w:r>
      <w:r w:rsidR="0081431F">
        <w:t>ot</w:t>
      </w:r>
      <w:r>
        <w:t xml:space="preserve"> received any prior systemic therapies</w:t>
      </w:r>
      <w:r w:rsidR="00222746">
        <w:t>.</w:t>
      </w:r>
      <w:r w:rsidR="00580AAF">
        <w:t xml:space="preserve"> </w:t>
      </w:r>
    </w:p>
    <w:p w:rsidR="008536B4" w:rsidRDefault="00222746" w:rsidP="00764E0B">
      <w:pPr>
        <w:pStyle w:val="3-BodyText"/>
        <w:rPr>
          <w:lang w:eastAsia="ja-JP"/>
        </w:rPr>
      </w:pPr>
      <w:r>
        <w:t xml:space="preserve">Patients </w:t>
      </w:r>
      <w:r w:rsidR="005841E6">
        <w:t>in the first group</w:t>
      </w:r>
      <w:r w:rsidR="009D0D19" w:rsidRPr="009D0D19">
        <w:t xml:space="preserve"> will</w:t>
      </w:r>
      <w:r w:rsidR="005E236B">
        <w:t xml:space="preserve"> almost</w:t>
      </w:r>
      <w:r w:rsidR="005E236B">
        <w:rPr>
          <w:lang w:eastAsia="ja-JP"/>
        </w:rPr>
        <w:t xml:space="preserve"> always</w:t>
      </w:r>
      <w:r w:rsidR="009D0D19" w:rsidRPr="009D0D19">
        <w:rPr>
          <w:lang w:eastAsia="ja-JP"/>
        </w:rPr>
        <w:t xml:space="preserve"> have</w:t>
      </w:r>
      <w:r>
        <w:rPr>
          <w:lang w:eastAsia="ja-JP"/>
        </w:rPr>
        <w:t xml:space="preserve"> received adjuvant therapy with curative intent -</w:t>
      </w:r>
      <w:r w:rsidR="009D0D19" w:rsidRPr="009D0D19">
        <w:rPr>
          <w:lang w:eastAsia="ja-JP"/>
        </w:rPr>
        <w:t xml:space="preserve"> either </w:t>
      </w:r>
      <w:r>
        <w:rPr>
          <w:lang w:eastAsia="ja-JP"/>
        </w:rPr>
        <w:t>a</w:t>
      </w:r>
      <w:r w:rsidR="009D0D19" w:rsidRPr="009D0D19">
        <w:rPr>
          <w:lang w:eastAsia="ja-JP"/>
        </w:rPr>
        <w:t xml:space="preserve"> trastuzumab</w:t>
      </w:r>
      <w:r>
        <w:rPr>
          <w:lang w:eastAsia="ja-JP"/>
        </w:rPr>
        <w:t>-based</w:t>
      </w:r>
      <w:r w:rsidR="009D0D19" w:rsidRPr="009D0D19">
        <w:rPr>
          <w:lang w:eastAsia="ja-JP"/>
        </w:rPr>
        <w:t xml:space="preserve"> </w:t>
      </w:r>
      <w:r>
        <w:rPr>
          <w:lang w:eastAsia="ja-JP"/>
        </w:rPr>
        <w:t xml:space="preserve">regimen as </w:t>
      </w:r>
      <w:r w:rsidR="009D0D19" w:rsidRPr="009D0D19">
        <w:rPr>
          <w:lang w:eastAsia="ja-JP"/>
        </w:rPr>
        <w:t>(neo)adjuvant therapy or a combination of neoadjuvant trastuzumab with a switch to postoperative T</w:t>
      </w:r>
      <w:r w:rsidR="00ED2E59">
        <w:rPr>
          <w:lang w:eastAsia="ja-JP"/>
        </w:rPr>
        <w:t>-</w:t>
      </w:r>
      <w:r w:rsidR="009D0D19" w:rsidRPr="009D0D19">
        <w:rPr>
          <w:lang w:eastAsia="ja-JP"/>
        </w:rPr>
        <w:t xml:space="preserve">DM1 for completion, and a small proportion may have elected to self-fund pertuzumab or accessed other experimental HER2-directed therapies </w:t>
      </w:r>
      <w:r>
        <w:rPr>
          <w:lang w:eastAsia="ja-JP"/>
        </w:rPr>
        <w:t>in early disease</w:t>
      </w:r>
      <w:r w:rsidR="009D0D19" w:rsidRPr="009D0D19">
        <w:rPr>
          <w:lang w:eastAsia="ja-JP"/>
        </w:rPr>
        <w:t xml:space="preserve">. </w:t>
      </w:r>
      <w:r w:rsidR="009D0D19">
        <w:rPr>
          <w:lang w:eastAsia="ja-JP"/>
        </w:rPr>
        <w:t>Of those relapsing after adjuvant therapy</w:t>
      </w:r>
      <w:r>
        <w:rPr>
          <w:lang w:eastAsia="ja-JP"/>
        </w:rPr>
        <w:t xml:space="preserve"> with</w:t>
      </w:r>
      <w:r w:rsidR="00ED2E59">
        <w:rPr>
          <w:lang w:eastAsia="ja-JP"/>
        </w:rPr>
        <w:t xml:space="preserve"> T-DM1</w:t>
      </w:r>
      <w:r w:rsidR="009D0D19">
        <w:rPr>
          <w:lang w:eastAsia="ja-JP"/>
        </w:rPr>
        <w:t>, approximately</w:t>
      </w:r>
      <w:r w:rsidR="00B5265F">
        <w:rPr>
          <w:lang w:eastAsia="ja-JP"/>
        </w:rPr>
        <w:t xml:space="preserve"> up to </w:t>
      </w:r>
      <w:r w:rsidR="009D0D19">
        <w:rPr>
          <w:lang w:eastAsia="ja-JP"/>
        </w:rPr>
        <w:t xml:space="preserve">6% will present with CNS </w:t>
      </w:r>
      <w:r w:rsidR="00B5265F">
        <w:rPr>
          <w:lang w:eastAsia="ja-JP"/>
        </w:rPr>
        <w:t>recurrence</w:t>
      </w:r>
      <w:r w:rsidR="009D0D19">
        <w:rPr>
          <w:lang w:eastAsia="ja-JP"/>
        </w:rPr>
        <w:t xml:space="preserve"> as their first site of relapse (</w:t>
      </w:r>
      <w:r w:rsidR="00B5265F">
        <w:rPr>
          <w:lang w:eastAsia="ja-JP"/>
        </w:rPr>
        <w:t>von Minckwitz et al, 2019</w:t>
      </w:r>
      <w:r w:rsidR="009D0D19">
        <w:rPr>
          <w:lang w:eastAsia="ja-JP"/>
        </w:rPr>
        <w:t>)</w:t>
      </w:r>
      <w:r w:rsidR="00B5265F">
        <w:rPr>
          <w:rStyle w:val="FootnoteReference"/>
          <w:lang w:eastAsia="ja-JP"/>
        </w:rPr>
        <w:footnoteReference w:id="2"/>
      </w:r>
      <w:r w:rsidR="009D0D19">
        <w:rPr>
          <w:lang w:eastAsia="ja-JP"/>
        </w:rPr>
        <w:t>.</w:t>
      </w:r>
      <w:r w:rsidR="007E01C9">
        <w:rPr>
          <w:lang w:eastAsia="ja-JP"/>
        </w:rPr>
        <w:t xml:space="preserve"> </w:t>
      </w:r>
      <w:r w:rsidR="00B34E9C">
        <w:rPr>
          <w:lang w:eastAsia="ja-JP"/>
        </w:rPr>
        <w:t xml:space="preserve"> </w:t>
      </w:r>
    </w:p>
    <w:p w:rsidR="003D0048" w:rsidRPr="009D0D19" w:rsidRDefault="003D0048" w:rsidP="00764E0B">
      <w:pPr>
        <w:pStyle w:val="3-BodyText"/>
        <w:rPr>
          <w:lang w:eastAsia="ja-JP"/>
        </w:rPr>
      </w:pPr>
      <w:r>
        <w:t>Those</w:t>
      </w:r>
      <w:r>
        <w:rPr>
          <w:lang w:eastAsia="ja-JP"/>
        </w:rPr>
        <w:t xml:space="preserve"> presenting with metastatic disease at the time of their initial diagnosis have received no prior treatment and have a higher likelihood of developing brain metastases earlier in the course of their disease. Despite this, their response rate to therapies is likely to be higher and their prognosis is better than those</w:t>
      </w:r>
      <w:r w:rsidR="00EE188E">
        <w:rPr>
          <w:lang w:eastAsia="ja-JP"/>
        </w:rPr>
        <w:t xml:space="preserve"> with the same disease burden</w:t>
      </w:r>
      <w:r>
        <w:rPr>
          <w:lang w:eastAsia="ja-JP"/>
        </w:rPr>
        <w:t xml:space="preserve"> who have received systemic treatment for early breast cancer.</w:t>
      </w:r>
    </w:p>
    <w:p w:rsidR="00A924DA" w:rsidRPr="00147CDA" w:rsidRDefault="00A924DA" w:rsidP="008D5028">
      <w:pPr>
        <w:keepNext/>
        <w:keepLines/>
        <w:rPr>
          <w:rFonts w:ascii="Arial Narrow" w:hAnsi="Arial Narrow" w:cs="Arial"/>
          <w:b/>
          <w:bCs/>
          <w:sz w:val="20"/>
          <w:szCs w:val="20"/>
        </w:rPr>
      </w:pPr>
      <w:r w:rsidRPr="00147CDA">
        <w:rPr>
          <w:rFonts w:ascii="Arial Narrow" w:hAnsi="Arial Narrow" w:cs="Arial"/>
          <w:b/>
          <w:bCs/>
          <w:sz w:val="20"/>
          <w:szCs w:val="20"/>
        </w:rPr>
        <w:t xml:space="preserve">Figure </w:t>
      </w:r>
      <w:r>
        <w:rPr>
          <w:rFonts w:ascii="Arial Narrow" w:hAnsi="Arial Narrow" w:cs="Arial"/>
          <w:b/>
          <w:bCs/>
          <w:sz w:val="20"/>
          <w:szCs w:val="20"/>
        </w:rPr>
        <w:t>1:</w:t>
      </w:r>
      <w:r w:rsidRPr="00147CDA">
        <w:rPr>
          <w:rFonts w:ascii="Arial Narrow" w:hAnsi="Arial Narrow" w:cs="Arial"/>
          <w:b/>
          <w:bCs/>
          <w:sz w:val="20"/>
          <w:szCs w:val="20"/>
        </w:rPr>
        <w:t xml:space="preserve">  Proposed use of tucatinib for the treatment of HER2+ metastatic breast cancer under PBS listing</w:t>
      </w:r>
    </w:p>
    <w:p w:rsidR="00EE0A76" w:rsidRDefault="00EE0A76" w:rsidP="008D5028">
      <w:pPr>
        <w:keepNext/>
        <w:keepLines/>
        <w:rPr>
          <w:color w:val="000000" w:themeColor="text1"/>
          <w:sz w:val="16"/>
          <w:szCs w:val="16"/>
        </w:rPr>
      </w:pPr>
      <w:r w:rsidRPr="007C7C7E">
        <w:rPr>
          <w:noProof/>
          <w:lang w:eastAsia="en-AU"/>
        </w:rPr>
        <w:drawing>
          <wp:inline distT="0" distB="0" distL="0" distR="0" wp14:anchorId="77AC2F20" wp14:editId="76B2A5E5">
            <wp:extent cx="5467469" cy="3975640"/>
            <wp:effectExtent l="19050" t="19050" r="19050" b="25400"/>
            <wp:docPr id="19" name="Picture 6" title="Figure 1:  Proposed use of tucatinib for the treatment of HER2+ metastatic breast cancer under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77021" cy="3982586"/>
                    </a:xfrm>
                    <a:prstGeom prst="rect">
                      <a:avLst/>
                    </a:prstGeom>
                    <a:noFill/>
                    <a:ln>
                      <a:solidFill>
                        <a:schemeClr val="tx1"/>
                      </a:solidFill>
                    </a:ln>
                  </pic:spPr>
                </pic:pic>
              </a:graphicData>
            </a:graphic>
          </wp:inline>
        </w:drawing>
      </w:r>
    </w:p>
    <w:p w:rsidR="00EE0A76" w:rsidRDefault="00EE0A76" w:rsidP="008D5028">
      <w:pPr>
        <w:pStyle w:val="TableFooter"/>
        <w:keepNext/>
        <w:keepLines/>
        <w:rPr>
          <w:snapToGrid w:val="0"/>
        </w:rPr>
      </w:pPr>
      <w:r>
        <w:rPr>
          <w:snapToGrid w:val="0"/>
        </w:rPr>
        <w:t>Source Figure 1.6, p43 of the submission.</w:t>
      </w:r>
    </w:p>
    <w:p w:rsidR="00AF04E7" w:rsidRDefault="00620B5C" w:rsidP="002F48C7">
      <w:pPr>
        <w:pStyle w:val="TableFooter"/>
        <w:spacing w:after="240"/>
        <w:contextualSpacing/>
        <w:rPr>
          <w:snapToGrid w:val="0"/>
        </w:rPr>
      </w:pPr>
      <w:r w:rsidRPr="00EE0A76">
        <w:rPr>
          <w:snapToGrid w:val="0"/>
        </w:rPr>
        <w:t xml:space="preserve">cth = chemotherapy; ET = endocrine therapy </w:t>
      </w:r>
      <w:r>
        <w:rPr>
          <w:snapToGrid w:val="0"/>
        </w:rPr>
        <w:t>(</w:t>
      </w:r>
      <w:r w:rsidRPr="00EE0A76">
        <w:rPr>
          <w:snapToGrid w:val="0"/>
        </w:rPr>
        <w:t>estrogen receptor and progesterone receptor</w:t>
      </w:r>
      <w:r>
        <w:rPr>
          <w:snapToGrid w:val="0"/>
        </w:rPr>
        <w:t xml:space="preserve">); </w:t>
      </w:r>
      <w:r w:rsidR="00EE0A76" w:rsidRPr="00EE0A76">
        <w:rPr>
          <w:snapToGrid w:val="0"/>
        </w:rPr>
        <w:t xml:space="preserve">HER2+ = </w:t>
      </w:r>
      <w:r>
        <w:rPr>
          <w:snapToGrid w:val="0"/>
        </w:rPr>
        <w:t>h</w:t>
      </w:r>
      <w:r w:rsidR="00EE0A76" w:rsidRPr="00EE0A76">
        <w:rPr>
          <w:snapToGrid w:val="0"/>
        </w:rPr>
        <w:t>uman epidermal growth factor receptor 2 positive; T-DM1 = ado-trastuzumab emtansine</w:t>
      </w:r>
    </w:p>
    <w:p w:rsidR="00EE0A76" w:rsidRDefault="00EE0A76" w:rsidP="002F48C7">
      <w:pPr>
        <w:pStyle w:val="TableFooter"/>
        <w:spacing w:after="240"/>
        <w:contextualSpacing/>
        <w:rPr>
          <w:snapToGrid w:val="0"/>
        </w:rPr>
      </w:pPr>
      <w:r w:rsidRPr="00EE0A76">
        <w:rPr>
          <w:snapToGrid w:val="0"/>
        </w:rPr>
        <w:t xml:space="preserve"> </w:t>
      </w:r>
    </w:p>
    <w:p w:rsidR="00B93EE0" w:rsidRPr="00EE0A76" w:rsidRDefault="00B93EE0" w:rsidP="008D5028">
      <w:pPr>
        <w:pStyle w:val="TableFooter"/>
        <w:keepNext/>
        <w:keepLines/>
        <w:rPr>
          <w:snapToGrid w:val="0"/>
        </w:rPr>
      </w:pPr>
    </w:p>
    <w:p w:rsidR="00EE0A76" w:rsidRPr="007561D2" w:rsidRDefault="00B93EE0" w:rsidP="00B93EE0">
      <w:pPr>
        <w:pStyle w:val="3-BodyText"/>
        <w:rPr>
          <w:color w:val="000000" w:themeColor="text1"/>
          <w:lang w:val="en-GB"/>
        </w:rPr>
      </w:pPr>
      <w:r w:rsidRPr="007561D2">
        <w:rPr>
          <w:color w:val="000000" w:themeColor="text1"/>
          <w:lang w:val="en-GB"/>
        </w:rPr>
        <w:t xml:space="preserve">The clinical algorithm </w:t>
      </w:r>
      <w:r w:rsidR="00E06CE8" w:rsidRPr="007561D2">
        <w:rPr>
          <w:color w:val="000000" w:themeColor="text1"/>
          <w:lang w:val="en-GB"/>
        </w:rPr>
        <w:t xml:space="preserve">(Figure 1, above) </w:t>
      </w:r>
      <w:r w:rsidRPr="007561D2">
        <w:rPr>
          <w:color w:val="000000" w:themeColor="text1"/>
          <w:lang w:val="en-GB"/>
        </w:rPr>
        <w:t xml:space="preserve">would appear to allow patients to receive tucatinib </w:t>
      </w:r>
      <w:r w:rsidR="00CD1067">
        <w:rPr>
          <w:color w:val="000000" w:themeColor="text1"/>
          <w:lang w:val="en-GB"/>
        </w:rPr>
        <w:t>for third-line metastatic disease</w:t>
      </w:r>
      <w:r w:rsidRPr="007561D2">
        <w:rPr>
          <w:color w:val="000000" w:themeColor="text1"/>
          <w:lang w:val="en-GB"/>
        </w:rPr>
        <w:t xml:space="preserve"> without prior pertuzumab or T-DM1. For example, </w:t>
      </w:r>
      <w:r w:rsidR="00CD1067">
        <w:rPr>
          <w:color w:val="000000" w:themeColor="text1"/>
          <w:lang w:val="en-GB"/>
        </w:rPr>
        <w:t>for</w:t>
      </w:r>
      <w:r w:rsidRPr="007561D2">
        <w:rPr>
          <w:color w:val="000000" w:themeColor="text1"/>
          <w:lang w:val="en-GB"/>
        </w:rPr>
        <w:t xml:space="preserve"> first-line metastatic </w:t>
      </w:r>
      <w:r w:rsidR="00CD1067">
        <w:rPr>
          <w:color w:val="000000" w:themeColor="text1"/>
          <w:lang w:val="en-GB"/>
        </w:rPr>
        <w:t>disease</w:t>
      </w:r>
      <w:r w:rsidRPr="007561D2">
        <w:rPr>
          <w:color w:val="000000" w:themeColor="text1"/>
          <w:lang w:val="en-GB"/>
        </w:rPr>
        <w:t xml:space="preserve">, the algorithm allows use of endocrine therapy + trastuzumab </w:t>
      </w:r>
      <w:r w:rsidRPr="007561D2">
        <w:rPr>
          <w:color w:val="000000" w:themeColor="text1"/>
          <w:u w:val="single"/>
          <w:lang w:val="en-GB"/>
        </w:rPr>
        <w:t>or</w:t>
      </w:r>
      <w:r w:rsidRPr="007561D2">
        <w:rPr>
          <w:color w:val="000000" w:themeColor="text1"/>
          <w:lang w:val="en-GB"/>
        </w:rPr>
        <w:t xml:space="preserve"> endocrine therapy + dual blockage (trastuzumab + pertuzumab), and as such does not require patients to have received prior pertuzumab. This is not consistent with the</w:t>
      </w:r>
      <w:r w:rsidR="00AC4D16" w:rsidRPr="007561D2">
        <w:rPr>
          <w:color w:val="000000" w:themeColor="text1"/>
          <w:lang w:val="en-GB"/>
        </w:rPr>
        <w:t xml:space="preserve"> proposed restriction or the</w:t>
      </w:r>
      <w:r w:rsidRPr="007561D2">
        <w:rPr>
          <w:color w:val="000000" w:themeColor="text1"/>
          <w:lang w:val="en-GB"/>
        </w:rPr>
        <w:t xml:space="preserve"> clinical evidence presented</w:t>
      </w:r>
      <w:r w:rsidR="00AC4D16" w:rsidRPr="007561D2">
        <w:rPr>
          <w:color w:val="000000" w:themeColor="text1"/>
          <w:lang w:val="en-GB"/>
        </w:rPr>
        <w:t>, with the latter requiring</w:t>
      </w:r>
      <w:r w:rsidRPr="007561D2">
        <w:rPr>
          <w:color w:val="000000" w:themeColor="text1"/>
          <w:lang w:val="en-GB"/>
        </w:rPr>
        <w:t xml:space="preserve"> patients to have received prior pertuzumab, trastuzumab and T-DM1 (</w:t>
      </w:r>
      <w:r w:rsidR="00CD1067">
        <w:rPr>
          <w:color w:val="000000" w:themeColor="text1"/>
          <w:lang w:val="en-GB"/>
        </w:rPr>
        <w:t xml:space="preserve">for the treatment of </w:t>
      </w:r>
      <w:r w:rsidRPr="007561D2">
        <w:rPr>
          <w:color w:val="000000" w:themeColor="text1"/>
          <w:lang w:val="en-GB"/>
        </w:rPr>
        <w:t xml:space="preserve">adjuvant, neoadjuvant or metastatic </w:t>
      </w:r>
      <w:r w:rsidR="00CD1067">
        <w:rPr>
          <w:color w:val="000000" w:themeColor="text1"/>
          <w:lang w:val="en-GB"/>
        </w:rPr>
        <w:t>disease</w:t>
      </w:r>
      <w:r w:rsidRPr="007561D2">
        <w:rPr>
          <w:color w:val="000000" w:themeColor="text1"/>
          <w:lang w:val="en-GB"/>
        </w:rPr>
        <w:t>).</w:t>
      </w:r>
    </w:p>
    <w:p w:rsidR="006B55DC" w:rsidRDefault="006B55DC" w:rsidP="006B55DC">
      <w:pPr>
        <w:pStyle w:val="3-BodyText"/>
        <w:rPr>
          <w:color w:val="000000" w:themeColor="text1"/>
          <w:lang w:val="en-GB"/>
        </w:rPr>
      </w:pPr>
      <w:r w:rsidRPr="007561D2">
        <w:rPr>
          <w:color w:val="000000" w:themeColor="text1"/>
          <w:lang w:val="en-GB"/>
        </w:rPr>
        <w:t xml:space="preserve">Tucatinib is a tyrosine kinase inhibitor of HER2. </w:t>
      </w:r>
    </w:p>
    <w:p w:rsidR="008C1387" w:rsidRPr="008C1387" w:rsidRDefault="008C1387" w:rsidP="008C1387">
      <w:pPr>
        <w:pStyle w:val="3-BodyText"/>
        <w:numPr>
          <w:ilvl w:val="0"/>
          <w:numId w:val="0"/>
        </w:numPr>
        <w:ind w:left="720"/>
        <w:rPr>
          <w:i/>
          <w:color w:val="000000" w:themeColor="text1"/>
          <w:lang w:val="en-GB"/>
        </w:rPr>
      </w:pPr>
      <w:r w:rsidRPr="008C1387">
        <w:rPr>
          <w:i/>
          <w:color w:val="000000" w:themeColor="text1"/>
          <w:lang w:val="en-GB"/>
        </w:rPr>
        <w:t>For more detail on PBAC’s view, see section 7 PBAC outcome.</w:t>
      </w:r>
    </w:p>
    <w:p w:rsidR="00B50DB8" w:rsidRPr="00407F2D" w:rsidRDefault="00B50DB8" w:rsidP="004E18E9">
      <w:pPr>
        <w:pStyle w:val="2-SectionHeading"/>
      </w:pPr>
      <w:bookmarkStart w:id="6" w:name="_Toc62045110"/>
      <w:r w:rsidRPr="00407F2D">
        <w:t>Comparator</w:t>
      </w:r>
      <w:bookmarkEnd w:id="6"/>
    </w:p>
    <w:p w:rsidR="000B0813" w:rsidRPr="007561D2" w:rsidRDefault="00426BC4" w:rsidP="000B0813">
      <w:pPr>
        <w:pStyle w:val="3-BodyText"/>
      </w:pPr>
      <w:r w:rsidRPr="007561D2">
        <w:t>As tucatinib is an add-on to the established regimen of trastuzumab plus capecitabine, t</w:t>
      </w:r>
      <w:r w:rsidR="000B0813" w:rsidRPr="007561D2">
        <w:t xml:space="preserve">he submission nominated trastuzumab plus capecitabine as the comparator. </w:t>
      </w:r>
    </w:p>
    <w:p w:rsidR="00C07DFB" w:rsidRDefault="00C619E5" w:rsidP="00882E3C">
      <w:pPr>
        <w:pStyle w:val="3-BodyText"/>
        <w:rPr>
          <w:iCs/>
          <w:snapToGrid/>
          <w:color w:val="000000" w:themeColor="text1"/>
          <w:lang w:val="en-US"/>
        </w:rPr>
      </w:pPr>
      <w:r w:rsidRPr="007561D2">
        <w:rPr>
          <w:iCs/>
          <w:color w:val="000000" w:themeColor="text1"/>
        </w:rPr>
        <w:t>There is</w:t>
      </w:r>
      <w:r w:rsidR="0004275A" w:rsidRPr="007561D2">
        <w:rPr>
          <w:iCs/>
          <w:color w:val="000000" w:themeColor="text1"/>
        </w:rPr>
        <w:t xml:space="preserve"> no third-line standard of care following progression</w:t>
      </w:r>
      <w:r w:rsidR="00E311EF" w:rsidRPr="007561D2">
        <w:rPr>
          <w:iCs/>
          <w:snapToGrid/>
          <w:color w:val="000000" w:themeColor="text1"/>
          <w:lang w:val="en-US"/>
        </w:rPr>
        <w:t xml:space="preserve"> </w:t>
      </w:r>
      <w:r w:rsidR="0004275A" w:rsidRPr="007561D2">
        <w:rPr>
          <w:iCs/>
          <w:snapToGrid/>
          <w:color w:val="000000" w:themeColor="text1"/>
          <w:lang w:val="en-US"/>
        </w:rPr>
        <w:t>on a pertuzumab-based regimen and T-DM1</w:t>
      </w:r>
      <w:r w:rsidRPr="007561D2">
        <w:rPr>
          <w:iCs/>
          <w:snapToGrid/>
          <w:color w:val="000000" w:themeColor="text1"/>
          <w:lang w:val="en-US"/>
        </w:rPr>
        <w:t>,</w:t>
      </w:r>
      <w:r w:rsidR="00540278" w:rsidRPr="007561D2">
        <w:rPr>
          <w:iCs/>
          <w:snapToGrid/>
          <w:color w:val="000000" w:themeColor="text1"/>
          <w:lang w:val="en-US"/>
        </w:rPr>
        <w:t xml:space="preserve"> but continuation of an anti-HER2 agent is standard.</w:t>
      </w:r>
      <w:r w:rsidR="0004275A" w:rsidRPr="007561D2">
        <w:rPr>
          <w:iCs/>
          <w:snapToGrid/>
          <w:color w:val="000000" w:themeColor="text1"/>
          <w:lang w:val="en-US"/>
        </w:rPr>
        <w:t xml:space="preserve"> </w:t>
      </w:r>
      <w:r w:rsidR="00540278" w:rsidRPr="007561D2">
        <w:rPr>
          <w:iCs/>
          <w:snapToGrid/>
          <w:color w:val="000000" w:themeColor="text1"/>
          <w:lang w:val="en-US"/>
        </w:rPr>
        <w:t>T</w:t>
      </w:r>
      <w:r w:rsidRPr="007561D2">
        <w:rPr>
          <w:iCs/>
          <w:snapToGrid/>
          <w:color w:val="000000" w:themeColor="text1"/>
          <w:lang w:val="en-US"/>
        </w:rPr>
        <w:t>he PBS data support that patients in Australia are likely to receive a continuation of</w:t>
      </w:r>
      <w:r w:rsidR="0004275A" w:rsidRPr="007561D2">
        <w:rPr>
          <w:iCs/>
          <w:snapToGrid/>
          <w:color w:val="000000" w:themeColor="text1"/>
          <w:lang w:val="en-US"/>
        </w:rPr>
        <w:t xml:space="preserve"> trastuzumab in combination with chemotherapy that has not been used previously</w:t>
      </w:r>
      <w:r w:rsidRPr="007561D2">
        <w:rPr>
          <w:iCs/>
          <w:snapToGrid/>
          <w:color w:val="000000" w:themeColor="text1"/>
          <w:lang w:val="en-US"/>
        </w:rPr>
        <w:t>, such as capecitabine.</w:t>
      </w:r>
      <w:r w:rsidR="00E77DBC" w:rsidRPr="007561D2">
        <w:rPr>
          <w:iCs/>
          <w:snapToGrid/>
          <w:color w:val="000000" w:themeColor="text1"/>
          <w:lang w:val="en-US"/>
        </w:rPr>
        <w:t xml:space="preserve"> </w:t>
      </w:r>
      <w:r w:rsidRPr="007561D2">
        <w:rPr>
          <w:iCs/>
          <w:snapToGrid/>
          <w:color w:val="000000" w:themeColor="text1"/>
          <w:lang w:val="en-US"/>
        </w:rPr>
        <w:t>Al</w:t>
      </w:r>
      <w:r w:rsidR="00C866F3" w:rsidRPr="007561D2">
        <w:rPr>
          <w:iCs/>
          <w:snapToGrid/>
          <w:color w:val="000000" w:themeColor="text1"/>
          <w:lang w:val="en-US"/>
        </w:rPr>
        <w:t>though</w:t>
      </w:r>
      <w:r w:rsidRPr="007561D2">
        <w:rPr>
          <w:iCs/>
          <w:snapToGrid/>
          <w:color w:val="000000" w:themeColor="text1"/>
          <w:lang w:val="en-US"/>
        </w:rPr>
        <w:t xml:space="preserve"> </w:t>
      </w:r>
      <w:r w:rsidR="00E77DBC" w:rsidRPr="007561D2">
        <w:rPr>
          <w:iCs/>
          <w:snapToGrid/>
          <w:color w:val="000000" w:themeColor="text1"/>
          <w:lang w:val="en-US"/>
        </w:rPr>
        <w:t>PBS-listed</w:t>
      </w:r>
      <w:r w:rsidR="008D6CA1">
        <w:rPr>
          <w:iCs/>
          <w:snapToGrid/>
          <w:color w:val="000000" w:themeColor="text1"/>
          <w:lang w:val="en-US"/>
        </w:rPr>
        <w:t xml:space="preserve"> in this setting</w:t>
      </w:r>
      <w:r w:rsidR="00C866F3" w:rsidRPr="007561D2">
        <w:rPr>
          <w:iCs/>
          <w:snapToGrid/>
          <w:color w:val="000000" w:themeColor="text1"/>
          <w:lang w:val="en-US"/>
        </w:rPr>
        <w:t xml:space="preserve">, </w:t>
      </w:r>
      <w:r w:rsidR="0004275A" w:rsidRPr="007561D2">
        <w:rPr>
          <w:iCs/>
          <w:snapToGrid/>
          <w:color w:val="000000" w:themeColor="text1"/>
          <w:lang w:val="en-US"/>
        </w:rPr>
        <w:t>lapatinib plus capecitabine</w:t>
      </w:r>
      <w:r w:rsidR="00911922" w:rsidRPr="007561D2">
        <w:rPr>
          <w:iCs/>
          <w:snapToGrid/>
          <w:color w:val="000000" w:themeColor="text1"/>
          <w:lang w:val="en-US"/>
        </w:rPr>
        <w:t xml:space="preserve"> has substantial </w:t>
      </w:r>
      <w:r w:rsidR="00AA0374" w:rsidRPr="007561D2">
        <w:rPr>
          <w:iCs/>
          <w:snapToGrid/>
          <w:color w:val="000000" w:themeColor="text1"/>
          <w:lang w:val="en-US"/>
        </w:rPr>
        <w:t>toxicity and</w:t>
      </w:r>
      <w:r w:rsidR="00A8695E" w:rsidRPr="007561D2">
        <w:rPr>
          <w:iCs/>
          <w:snapToGrid/>
          <w:color w:val="000000" w:themeColor="text1"/>
          <w:lang w:val="en-US"/>
        </w:rPr>
        <w:t xml:space="preserve"> limited efficacy,</w:t>
      </w:r>
      <w:r w:rsidR="00D75D20" w:rsidRPr="007561D2">
        <w:rPr>
          <w:iCs/>
          <w:snapToGrid/>
          <w:color w:val="000000" w:themeColor="text1"/>
          <w:lang w:val="en-US"/>
        </w:rPr>
        <w:t xml:space="preserve"> </w:t>
      </w:r>
      <w:r w:rsidR="00A8695E" w:rsidRPr="007561D2">
        <w:rPr>
          <w:iCs/>
          <w:snapToGrid/>
          <w:color w:val="000000" w:themeColor="text1"/>
          <w:lang w:val="en-US"/>
        </w:rPr>
        <w:t>and</w:t>
      </w:r>
      <w:r w:rsidR="00E77DBC" w:rsidRPr="007561D2">
        <w:rPr>
          <w:iCs/>
          <w:snapToGrid/>
          <w:color w:val="000000" w:themeColor="text1"/>
          <w:lang w:val="en-US"/>
        </w:rPr>
        <w:t xml:space="preserve"> </w:t>
      </w:r>
      <w:r w:rsidR="008D6CA1" w:rsidRPr="007561D2">
        <w:rPr>
          <w:iCs/>
          <w:snapToGrid/>
          <w:color w:val="000000" w:themeColor="text1"/>
          <w:lang w:val="en-US"/>
        </w:rPr>
        <w:t xml:space="preserve">PBS data </w:t>
      </w:r>
      <w:r w:rsidR="008D6CA1">
        <w:rPr>
          <w:iCs/>
          <w:snapToGrid/>
          <w:color w:val="000000" w:themeColor="text1"/>
          <w:lang w:val="en-US"/>
        </w:rPr>
        <w:t xml:space="preserve">indicates it </w:t>
      </w:r>
      <w:r w:rsidR="00E77DBC" w:rsidRPr="007561D2">
        <w:rPr>
          <w:iCs/>
          <w:snapToGrid/>
          <w:color w:val="000000" w:themeColor="text1"/>
          <w:lang w:val="en-US"/>
        </w:rPr>
        <w:t>is not used widely</w:t>
      </w:r>
      <w:r w:rsidR="00540278" w:rsidRPr="007561D2">
        <w:rPr>
          <w:iCs/>
          <w:snapToGrid/>
          <w:color w:val="000000" w:themeColor="text1"/>
          <w:lang w:val="en-US"/>
        </w:rPr>
        <w:t xml:space="preserve"> </w:t>
      </w:r>
      <w:r w:rsidR="00A8695E" w:rsidRPr="007561D2">
        <w:rPr>
          <w:iCs/>
          <w:snapToGrid/>
          <w:color w:val="000000" w:themeColor="text1"/>
          <w:lang w:val="en-US"/>
        </w:rPr>
        <w:t xml:space="preserve">in Australia. </w:t>
      </w:r>
      <w:r w:rsidR="00C866F3" w:rsidRPr="007561D2">
        <w:rPr>
          <w:iCs/>
          <w:snapToGrid/>
          <w:color w:val="000000" w:themeColor="text1"/>
          <w:lang w:val="en-US"/>
        </w:rPr>
        <w:t>Alternative options also include</w:t>
      </w:r>
      <w:r w:rsidR="0004275A" w:rsidRPr="007561D2">
        <w:rPr>
          <w:iCs/>
          <w:snapToGrid/>
          <w:color w:val="000000" w:themeColor="text1"/>
          <w:lang w:val="en-US"/>
        </w:rPr>
        <w:t xml:space="preserve"> enrolment in a clinical trial.</w:t>
      </w:r>
      <w:r w:rsidR="00BD07CD" w:rsidRPr="007561D2">
        <w:rPr>
          <w:iCs/>
          <w:snapToGrid/>
          <w:color w:val="000000" w:themeColor="text1"/>
          <w:lang w:val="en-US"/>
        </w:rPr>
        <w:t xml:space="preserve"> </w:t>
      </w:r>
    </w:p>
    <w:p w:rsidR="008C1387" w:rsidRPr="008C1387" w:rsidRDefault="008C1387" w:rsidP="008C1387">
      <w:pPr>
        <w:pStyle w:val="3-BodyText"/>
        <w:numPr>
          <w:ilvl w:val="0"/>
          <w:numId w:val="0"/>
        </w:numPr>
        <w:ind w:left="720"/>
        <w:rPr>
          <w:i/>
          <w:iCs/>
          <w:snapToGrid/>
          <w:color w:val="000000" w:themeColor="text1"/>
          <w:lang w:val="en-US"/>
        </w:rPr>
      </w:pPr>
      <w:r w:rsidRPr="008C1387">
        <w:rPr>
          <w:i/>
          <w:iCs/>
          <w:snapToGrid/>
          <w:color w:val="000000" w:themeColor="text1"/>
          <w:lang w:val="en-US"/>
        </w:rPr>
        <w:t>For more detail on PBAC’s view, see section 7 PBAC outcome.</w:t>
      </w:r>
    </w:p>
    <w:p w:rsidR="00223D5A" w:rsidRPr="00407F2D" w:rsidRDefault="00223D5A" w:rsidP="00223D5A">
      <w:pPr>
        <w:pStyle w:val="2-SectionHeading"/>
        <w:numPr>
          <w:ilvl w:val="0"/>
          <w:numId w:val="1"/>
        </w:numPr>
      </w:pPr>
      <w:bookmarkStart w:id="7" w:name="_Toc62045111"/>
      <w:bookmarkStart w:id="8" w:name="_Toc22897640"/>
      <w:r>
        <w:t>C</w:t>
      </w:r>
      <w:r w:rsidRPr="00407F2D">
        <w:t>onsideration of the evidence</w:t>
      </w:r>
      <w:bookmarkEnd w:id="7"/>
    </w:p>
    <w:p w:rsidR="008C1387" w:rsidRPr="00836F75" w:rsidRDefault="008C1387" w:rsidP="008C1387">
      <w:pPr>
        <w:pStyle w:val="4-SubsectionHeading"/>
        <w:rPr>
          <w:snapToGrid w:val="0"/>
        </w:rPr>
      </w:pPr>
      <w:r w:rsidRPr="00836F75">
        <w:rPr>
          <w:snapToGrid w:val="0"/>
        </w:rPr>
        <w:t>Sponsor hearing</w:t>
      </w:r>
    </w:p>
    <w:p w:rsidR="008C1387" w:rsidRPr="00836F75" w:rsidRDefault="008C1387" w:rsidP="008C1387">
      <w:pPr>
        <w:widowControl w:val="0"/>
        <w:numPr>
          <w:ilvl w:val="1"/>
          <w:numId w:val="1"/>
        </w:numPr>
        <w:spacing w:after="120"/>
        <w:rPr>
          <w:rFonts w:cs="Arial"/>
          <w:bCs/>
          <w:snapToGrid w:val="0"/>
        </w:rPr>
      </w:pPr>
      <w:r w:rsidRPr="00836F75">
        <w:rPr>
          <w:rFonts w:cs="Arial"/>
          <w:bCs/>
          <w:snapToGrid w:val="0"/>
        </w:rPr>
        <w:t>There was no hearing for this item.</w:t>
      </w:r>
    </w:p>
    <w:p w:rsidR="008C1387" w:rsidRPr="00836F75" w:rsidRDefault="008C1387" w:rsidP="008C1387">
      <w:pPr>
        <w:pStyle w:val="4-SubsectionHeading"/>
        <w:rPr>
          <w:snapToGrid w:val="0"/>
        </w:rPr>
      </w:pPr>
      <w:r w:rsidRPr="00836F75">
        <w:rPr>
          <w:snapToGrid w:val="0"/>
        </w:rPr>
        <w:t>Consumer comments</w:t>
      </w:r>
    </w:p>
    <w:p w:rsidR="008C1387" w:rsidRPr="00836F75" w:rsidRDefault="008C1387" w:rsidP="008C1387">
      <w:pPr>
        <w:widowControl w:val="0"/>
        <w:numPr>
          <w:ilvl w:val="1"/>
          <w:numId w:val="1"/>
        </w:numPr>
        <w:spacing w:after="120"/>
        <w:rPr>
          <w:rFonts w:cs="Arial"/>
          <w:bCs/>
          <w:snapToGrid w:val="0"/>
        </w:rPr>
      </w:pPr>
      <w:r w:rsidRPr="00836F75">
        <w:rPr>
          <w:rFonts w:cs="Arial"/>
          <w:bCs/>
          <w:snapToGrid w:val="0"/>
        </w:rPr>
        <w:t>The PBAC noted and welcomed the input from individuals (</w:t>
      </w:r>
      <w:r w:rsidR="000E77DD">
        <w:rPr>
          <w:rFonts w:cs="Arial"/>
          <w:bCs/>
          <w:snapToGrid w:val="0"/>
        </w:rPr>
        <w:t>2</w:t>
      </w:r>
      <w:r w:rsidRPr="00836F75">
        <w:rPr>
          <w:rFonts w:cs="Arial"/>
          <w:bCs/>
          <w:snapToGrid w:val="0"/>
        </w:rPr>
        <w:t xml:space="preserve">) and organisations (1) via the Consumer Comments facility on the PBS website.  The comments described </w:t>
      </w:r>
      <w:r w:rsidR="000E77DD">
        <w:rPr>
          <w:rFonts w:cs="Arial"/>
          <w:bCs/>
          <w:snapToGrid w:val="0"/>
        </w:rPr>
        <w:t>the</w:t>
      </w:r>
      <w:r w:rsidRPr="00836F75">
        <w:rPr>
          <w:rFonts w:cs="Arial"/>
          <w:bCs/>
          <w:snapToGrid w:val="0"/>
        </w:rPr>
        <w:t xml:space="preserve"> benefits of treatment with </w:t>
      </w:r>
      <w:r w:rsidR="000E77DD">
        <w:rPr>
          <w:rFonts w:cs="Arial"/>
          <w:bCs/>
          <w:snapToGrid w:val="0"/>
        </w:rPr>
        <w:t>tucatinib</w:t>
      </w:r>
      <w:r w:rsidRPr="00836F75">
        <w:rPr>
          <w:rFonts w:cs="Arial"/>
          <w:bCs/>
          <w:snapToGrid w:val="0"/>
        </w:rPr>
        <w:t xml:space="preserve"> </w:t>
      </w:r>
      <w:r w:rsidR="000E77DD">
        <w:rPr>
          <w:rFonts w:cs="Arial"/>
          <w:bCs/>
          <w:snapToGrid w:val="0"/>
        </w:rPr>
        <w:t>in terms of treating brain metastases</w:t>
      </w:r>
      <w:r w:rsidRPr="00836F75">
        <w:rPr>
          <w:rFonts w:cs="Arial"/>
          <w:bCs/>
          <w:snapToGrid w:val="0"/>
        </w:rPr>
        <w:t xml:space="preserve">.  </w:t>
      </w:r>
    </w:p>
    <w:p w:rsidR="004A0EC4" w:rsidRDefault="008C1387" w:rsidP="004A0EC4">
      <w:pPr>
        <w:widowControl w:val="0"/>
        <w:numPr>
          <w:ilvl w:val="1"/>
          <w:numId w:val="1"/>
        </w:numPr>
        <w:spacing w:after="120"/>
        <w:rPr>
          <w:rFonts w:cs="Arial"/>
          <w:bCs/>
          <w:snapToGrid w:val="0"/>
        </w:rPr>
      </w:pPr>
      <w:r w:rsidRPr="00836F75">
        <w:rPr>
          <w:rFonts w:cs="Arial"/>
          <w:bCs/>
          <w:snapToGrid w:val="0"/>
        </w:rPr>
        <w:t xml:space="preserve">The PBAC noted the advice received from </w:t>
      </w:r>
      <w:r w:rsidR="000E77DD">
        <w:rPr>
          <w:rFonts w:cs="Arial"/>
          <w:bCs/>
          <w:snapToGrid w:val="0"/>
        </w:rPr>
        <w:t>the Breast Cancer Network Australia</w:t>
      </w:r>
      <w:r w:rsidRPr="00836F75">
        <w:rPr>
          <w:rFonts w:cs="Arial"/>
          <w:bCs/>
          <w:snapToGrid w:val="0"/>
        </w:rPr>
        <w:t xml:space="preserve"> clarifying the likely use of </w:t>
      </w:r>
      <w:r w:rsidR="000E77DD">
        <w:rPr>
          <w:rFonts w:cs="Arial"/>
          <w:bCs/>
          <w:snapToGrid w:val="0"/>
        </w:rPr>
        <w:t>tucatinib</w:t>
      </w:r>
      <w:r w:rsidRPr="00836F75">
        <w:rPr>
          <w:rFonts w:cs="Arial"/>
          <w:bCs/>
          <w:snapToGrid w:val="0"/>
        </w:rPr>
        <w:t xml:space="preserve"> in clinical practice.  The PBAC specifically noted the advice that the use of </w:t>
      </w:r>
      <w:r w:rsidR="000E77DD">
        <w:rPr>
          <w:rFonts w:cs="Arial"/>
          <w:bCs/>
          <w:snapToGrid w:val="0"/>
        </w:rPr>
        <w:t>tuc</w:t>
      </w:r>
      <w:r w:rsidR="00797AD4">
        <w:rPr>
          <w:rFonts w:cs="Arial"/>
          <w:bCs/>
          <w:snapToGrid w:val="0"/>
        </w:rPr>
        <w:t>a</w:t>
      </w:r>
      <w:r w:rsidR="000E77DD">
        <w:rPr>
          <w:rFonts w:cs="Arial"/>
          <w:bCs/>
          <w:snapToGrid w:val="0"/>
        </w:rPr>
        <w:t>tinib</w:t>
      </w:r>
      <w:r w:rsidRPr="00836F75">
        <w:rPr>
          <w:rFonts w:cs="Arial"/>
          <w:bCs/>
          <w:snapToGrid w:val="0"/>
        </w:rPr>
        <w:t xml:space="preserve"> may </w:t>
      </w:r>
      <w:r w:rsidR="000E77DD">
        <w:rPr>
          <w:rFonts w:cs="Arial"/>
          <w:bCs/>
          <w:snapToGrid w:val="0"/>
        </w:rPr>
        <w:t xml:space="preserve">lower the risk of progression for patients with brain metastases and increase survival and improve quality of life </w:t>
      </w:r>
      <w:r w:rsidR="00797AD4">
        <w:rPr>
          <w:rFonts w:cs="Arial"/>
          <w:bCs/>
          <w:snapToGrid w:val="0"/>
        </w:rPr>
        <w:t xml:space="preserve">for patients with HER2+ breast cancer. </w:t>
      </w:r>
      <w:r w:rsidRPr="00836F75">
        <w:rPr>
          <w:rFonts w:cs="Arial"/>
          <w:bCs/>
          <w:snapToGrid w:val="0"/>
        </w:rPr>
        <w:t>The PBAC noted that this advice was supportive of the evidence provided in the submission.</w:t>
      </w:r>
    </w:p>
    <w:p w:rsidR="008C1387" w:rsidRPr="004A0EC4" w:rsidRDefault="004A0EC4" w:rsidP="004A0EC4">
      <w:pPr>
        <w:widowControl w:val="0"/>
        <w:spacing w:after="120"/>
        <w:ind w:left="720"/>
        <w:rPr>
          <w:b/>
          <w:bCs/>
          <w:sz w:val="28"/>
          <w:szCs w:val="28"/>
        </w:rPr>
      </w:pPr>
      <w:r w:rsidRPr="004A0EC4">
        <w:rPr>
          <w:rFonts w:cs="Arial"/>
          <w:bCs/>
          <w:snapToGrid w:val="0"/>
        </w:rPr>
        <w:t>The Medical Oncology Group of Australia (MOGA) also expressed its strong support for the tucatinib submission, categorising it as one of the therapies of “high priority for PBS listing” on the basis of the HER2CLIMB trial. The PBAC noted that the MOGA presented a European Society for Medical Oncology Magnitude of Clinical Benefit Scale (ESMO-MCBS) for tucatinib in combination with trastuzumab and capecitabine, which was limited to 3 (out of a maximum of 5, where 5 and 4 represent the grades with substantial improvement)</w:t>
      </w:r>
      <w:r w:rsidRPr="004A0EC4">
        <w:rPr>
          <w:rFonts w:cs="Arial"/>
          <w:bCs/>
          <w:snapToGrid w:val="0"/>
          <w:vertAlign w:val="superscript"/>
        </w:rPr>
        <w:t>[1]</w:t>
      </w:r>
      <w:r w:rsidRPr="004A0EC4">
        <w:rPr>
          <w:rFonts w:cs="Arial"/>
          <w:bCs/>
          <w:snapToGrid w:val="0"/>
        </w:rPr>
        <w:t>, based on a comparison with placebo in combination with trastuzuamb and capecitabine</w:t>
      </w:r>
      <w:r>
        <w:rPr>
          <w:rStyle w:val="FootnoteReference"/>
          <w:rFonts w:cs="Arial"/>
          <w:bCs/>
          <w:snapToGrid w:val="0"/>
        </w:rPr>
        <w:footnoteReference w:id="3"/>
      </w:r>
      <w:r w:rsidRPr="004A0EC4">
        <w:rPr>
          <w:rFonts w:cs="Arial"/>
          <w:bCs/>
          <w:snapToGrid w:val="0"/>
        </w:rPr>
        <w:t xml:space="preserve">.  </w:t>
      </w:r>
    </w:p>
    <w:p w:rsidR="00B60939" w:rsidRPr="0021257E" w:rsidRDefault="00B60939" w:rsidP="008C1387">
      <w:pPr>
        <w:pStyle w:val="4-SubsectionHeading"/>
      </w:pPr>
      <w:r w:rsidRPr="0021257E">
        <w:t xml:space="preserve">Clinical </w:t>
      </w:r>
      <w:bookmarkEnd w:id="8"/>
      <w:r w:rsidR="00A651FE" w:rsidRPr="0021257E">
        <w:t>trial</w:t>
      </w:r>
      <w:r w:rsidR="008C1387">
        <w:t>s</w:t>
      </w:r>
    </w:p>
    <w:p w:rsidR="009A251F" w:rsidRPr="00540278" w:rsidRDefault="00A73134" w:rsidP="009A251F">
      <w:pPr>
        <w:pStyle w:val="3-BodyText"/>
        <w:rPr>
          <w:color w:val="0066FF"/>
        </w:rPr>
      </w:pPr>
      <w:r>
        <w:rPr>
          <w:snapToGrid/>
          <w:lang w:val="en-US"/>
        </w:rPr>
        <w:t xml:space="preserve">The submission </w:t>
      </w:r>
      <w:r w:rsidR="00D5243B">
        <w:rPr>
          <w:snapToGrid/>
          <w:lang w:val="en-US"/>
        </w:rPr>
        <w:t>wa</w:t>
      </w:r>
      <w:r>
        <w:rPr>
          <w:snapToGrid/>
          <w:lang w:val="en-US"/>
        </w:rPr>
        <w:t xml:space="preserve">s based on one </w:t>
      </w:r>
      <w:r w:rsidR="00A651FE">
        <w:rPr>
          <w:snapToGrid/>
          <w:lang w:val="en-US"/>
        </w:rPr>
        <w:t>randomised</w:t>
      </w:r>
      <w:r w:rsidR="0033034F">
        <w:rPr>
          <w:snapToGrid/>
          <w:lang w:val="en-US"/>
        </w:rPr>
        <w:t>, multinational,</w:t>
      </w:r>
      <w:r w:rsidR="00A651FE">
        <w:rPr>
          <w:snapToGrid/>
          <w:lang w:val="en-US"/>
        </w:rPr>
        <w:t xml:space="preserve"> controlled, double-blind Phase II </w:t>
      </w:r>
      <w:r w:rsidR="00D5243B">
        <w:rPr>
          <w:snapToGrid/>
          <w:lang w:val="en-US"/>
        </w:rPr>
        <w:t>study</w:t>
      </w:r>
      <w:r w:rsidR="009B452B">
        <w:rPr>
          <w:snapToGrid/>
          <w:lang w:val="en-US"/>
        </w:rPr>
        <w:t xml:space="preserve">, </w:t>
      </w:r>
      <w:r>
        <w:rPr>
          <w:snapToGrid/>
          <w:lang w:val="en-US"/>
        </w:rPr>
        <w:t>comparing</w:t>
      </w:r>
      <w:r w:rsidR="00182B93">
        <w:rPr>
          <w:snapToGrid/>
          <w:lang w:val="en-US"/>
        </w:rPr>
        <w:t xml:space="preserve"> treatment with</w:t>
      </w:r>
      <w:r>
        <w:rPr>
          <w:snapToGrid/>
          <w:lang w:val="en-US"/>
        </w:rPr>
        <w:t xml:space="preserve"> </w:t>
      </w:r>
      <w:r w:rsidR="009B452B">
        <w:rPr>
          <w:snapToGrid/>
          <w:lang w:val="en-US"/>
        </w:rPr>
        <w:t>tucatinib in combination with trastuzumab and capecitabine</w:t>
      </w:r>
      <w:r w:rsidR="00182B93">
        <w:rPr>
          <w:snapToGrid/>
          <w:lang w:val="en-US"/>
        </w:rPr>
        <w:t xml:space="preserve"> </w:t>
      </w:r>
      <w:r w:rsidR="002F48C7">
        <w:rPr>
          <w:snapToGrid/>
          <w:lang w:val="en-US"/>
        </w:rPr>
        <w:t>versus</w:t>
      </w:r>
      <w:r w:rsidR="009B452B">
        <w:rPr>
          <w:snapToGrid/>
          <w:lang w:val="en-US"/>
        </w:rPr>
        <w:t xml:space="preserve"> placebo plus trastuzumab and capecitabine</w:t>
      </w:r>
      <w:r w:rsidR="002F48C7">
        <w:rPr>
          <w:snapToGrid/>
          <w:lang w:val="en-US"/>
        </w:rPr>
        <w:t>. The trial was conducted in patients</w:t>
      </w:r>
      <w:r w:rsidR="009B452B">
        <w:rPr>
          <w:snapToGrid/>
          <w:lang w:val="en-US"/>
        </w:rPr>
        <w:t xml:space="preserve"> </w:t>
      </w:r>
      <w:r w:rsidR="00EE1BF6">
        <w:rPr>
          <w:snapToGrid/>
          <w:lang w:val="en-US"/>
        </w:rPr>
        <w:t xml:space="preserve">with metastatic HER2+ breast cancer who had received prior therapy </w:t>
      </w:r>
      <w:r w:rsidR="00CD1067">
        <w:rPr>
          <w:snapToGrid/>
          <w:lang w:val="en-US"/>
        </w:rPr>
        <w:t xml:space="preserve">for the treatment of </w:t>
      </w:r>
      <w:r w:rsidR="00EE1BF6">
        <w:rPr>
          <w:snapToGrid/>
          <w:lang w:val="en-US"/>
        </w:rPr>
        <w:t xml:space="preserve">metastatic </w:t>
      </w:r>
      <w:r w:rsidR="00CD1067">
        <w:rPr>
          <w:snapToGrid/>
          <w:lang w:val="en-US"/>
        </w:rPr>
        <w:t>disease</w:t>
      </w:r>
      <w:r w:rsidR="009B452B">
        <w:rPr>
          <w:snapToGrid/>
          <w:lang w:val="en-US"/>
        </w:rPr>
        <w:t>.</w:t>
      </w:r>
      <w:r w:rsidR="00572D0C">
        <w:rPr>
          <w:snapToGrid/>
          <w:lang w:val="en-US"/>
        </w:rPr>
        <w:t xml:space="preserve"> </w:t>
      </w:r>
    </w:p>
    <w:p w:rsidR="00862502" w:rsidRPr="00B50DB8" w:rsidRDefault="00A73134" w:rsidP="002E4F02">
      <w:pPr>
        <w:pStyle w:val="3-BodyText"/>
      </w:pPr>
      <w:r>
        <w:rPr>
          <w:snapToGrid/>
          <w:lang w:val="en-US"/>
        </w:rPr>
        <w:t xml:space="preserve">Details of the </w:t>
      </w:r>
      <w:r w:rsidR="00442039">
        <w:rPr>
          <w:snapToGrid/>
          <w:lang w:val="en-US"/>
        </w:rPr>
        <w:t xml:space="preserve">study </w:t>
      </w:r>
      <w:r>
        <w:rPr>
          <w:snapToGrid/>
          <w:lang w:val="en-US"/>
        </w:rPr>
        <w:t>presented in the submission are provided in the table below.</w:t>
      </w:r>
      <w:r w:rsidR="00BC591F">
        <w:rPr>
          <w:snapToGrid/>
          <w:lang w:val="en-US"/>
        </w:rPr>
        <w:t xml:space="preserve"> </w:t>
      </w:r>
    </w:p>
    <w:p w:rsidR="008E0D3C" w:rsidRPr="002E4F02" w:rsidRDefault="008E0D3C" w:rsidP="002E4F02">
      <w:pPr>
        <w:pStyle w:val="TableFigureHeading"/>
        <w:rPr>
          <w:rStyle w:val="CommentReference"/>
          <w:b/>
          <w:szCs w:val="24"/>
        </w:rPr>
      </w:pPr>
      <w:r w:rsidRPr="002E4F02">
        <w:rPr>
          <w:rStyle w:val="CommentReference"/>
          <w:b/>
          <w:szCs w:val="24"/>
        </w:rPr>
        <w:t>Table</w:t>
      </w:r>
      <w:r w:rsidR="001D1495">
        <w:rPr>
          <w:rStyle w:val="CommentReference"/>
          <w:b/>
          <w:szCs w:val="24"/>
        </w:rPr>
        <w:t xml:space="preserve"> </w:t>
      </w:r>
      <w:r w:rsidR="006177EA">
        <w:rPr>
          <w:rStyle w:val="CommentReference"/>
          <w:b/>
          <w:szCs w:val="24"/>
        </w:rPr>
        <w:t>2:</w:t>
      </w:r>
      <w:r w:rsidRPr="002E4F02">
        <w:rPr>
          <w:rStyle w:val="CommentReference"/>
          <w:b/>
          <w:szCs w:val="24"/>
        </w:rPr>
        <w:t xml:space="preserve"> </w:t>
      </w:r>
      <w:r w:rsidR="001D1495">
        <w:rPr>
          <w:rStyle w:val="CommentReference"/>
          <w:b/>
          <w:szCs w:val="24"/>
        </w:rPr>
        <w:t>Trial</w:t>
      </w:r>
      <w:r w:rsidR="00225A79">
        <w:rPr>
          <w:rStyle w:val="CommentReference"/>
          <w:b/>
          <w:szCs w:val="24"/>
        </w:rPr>
        <w:t xml:space="preserve"> </w:t>
      </w:r>
      <w:r w:rsidRPr="002E4F02">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1"/>
        <w:gridCol w:w="4252"/>
        <w:gridCol w:w="2784"/>
      </w:tblGrid>
      <w:tr w:rsidR="001D1495" w:rsidRPr="00B41614" w:rsidTr="008D6CA1">
        <w:trPr>
          <w:tblHeader/>
        </w:trPr>
        <w:tc>
          <w:tcPr>
            <w:tcW w:w="1098" w:type="pct"/>
            <w:vAlign w:val="center"/>
          </w:tcPr>
          <w:p w:rsidR="001D1495" w:rsidRPr="00B41614" w:rsidRDefault="001D1495" w:rsidP="00561F87">
            <w:pPr>
              <w:pStyle w:val="In-tableHeading"/>
            </w:pPr>
            <w:r w:rsidRPr="00B41614">
              <w:t>Trial ID</w:t>
            </w:r>
          </w:p>
        </w:tc>
        <w:tc>
          <w:tcPr>
            <w:tcW w:w="2358" w:type="pct"/>
            <w:vAlign w:val="center"/>
          </w:tcPr>
          <w:p w:rsidR="001D1495" w:rsidRPr="00B41614" w:rsidRDefault="001D1495" w:rsidP="00561F87">
            <w:pPr>
              <w:pStyle w:val="In-tableHeading"/>
            </w:pPr>
            <w:r w:rsidRPr="00B41614">
              <w:t>Protocol title/ Publication title</w:t>
            </w:r>
          </w:p>
        </w:tc>
        <w:tc>
          <w:tcPr>
            <w:tcW w:w="1544" w:type="pct"/>
            <w:vAlign w:val="center"/>
          </w:tcPr>
          <w:p w:rsidR="001D1495" w:rsidRPr="00B41614" w:rsidRDefault="001D1495" w:rsidP="00561F87">
            <w:pPr>
              <w:pStyle w:val="In-tableHeading"/>
            </w:pPr>
            <w:r w:rsidRPr="00B41614">
              <w:t>Publication citation</w:t>
            </w:r>
          </w:p>
        </w:tc>
      </w:tr>
      <w:tr w:rsidR="001E0276" w:rsidRPr="00CB38A8" w:rsidTr="008D6CA1">
        <w:tc>
          <w:tcPr>
            <w:tcW w:w="1098" w:type="pct"/>
            <w:vMerge w:val="restart"/>
            <w:vAlign w:val="center"/>
          </w:tcPr>
          <w:p w:rsidR="001E0276" w:rsidRDefault="001E0276" w:rsidP="00561F87">
            <w:pPr>
              <w:pStyle w:val="TableText0"/>
            </w:pPr>
            <w:r>
              <w:t>HER2CLIMB</w:t>
            </w:r>
          </w:p>
          <w:p w:rsidR="001E0276" w:rsidRDefault="001E0276" w:rsidP="00561F87">
            <w:pPr>
              <w:pStyle w:val="TableText0"/>
              <w:rPr>
                <w:szCs w:val="18"/>
              </w:rPr>
            </w:pPr>
            <w:r w:rsidRPr="001505F1">
              <w:t>(NCT02614794)</w:t>
            </w:r>
            <w:r w:rsidRPr="00E34A35">
              <w:rPr>
                <w:szCs w:val="18"/>
              </w:rPr>
              <w:t xml:space="preserve"> </w:t>
            </w:r>
          </w:p>
          <w:p w:rsidR="001E0276" w:rsidRDefault="001E0276" w:rsidP="00561F87">
            <w:pPr>
              <w:pStyle w:val="TableText0"/>
            </w:pPr>
            <w:r w:rsidRPr="00E34A35">
              <w:rPr>
                <w:szCs w:val="18"/>
              </w:rPr>
              <w:t xml:space="preserve">A </w:t>
            </w:r>
            <w:r w:rsidRPr="00B552DF">
              <w:rPr>
                <w:szCs w:val="18"/>
              </w:rPr>
              <w:t>Phase 2 Randomi</w:t>
            </w:r>
            <w:r>
              <w:rPr>
                <w:szCs w:val="18"/>
              </w:rPr>
              <w:t>s</w:t>
            </w:r>
            <w:r w:rsidRPr="00B552DF">
              <w:rPr>
                <w:szCs w:val="18"/>
              </w:rPr>
              <w:t>ed, Double-Blinded, Controlled Study of Tucatinib vs. Placebo in Combination with Capecitabine and Trastuzumab in Patients with Pretreated Unresectable Locally Advanced or Metastatic HER2+ Breast Carcinoma</w:t>
            </w:r>
          </w:p>
        </w:tc>
        <w:tc>
          <w:tcPr>
            <w:tcW w:w="2358" w:type="pct"/>
            <w:vAlign w:val="center"/>
          </w:tcPr>
          <w:p w:rsidR="001E0276" w:rsidRDefault="001E0276" w:rsidP="00561F87">
            <w:pPr>
              <w:pStyle w:val="TableText0"/>
              <w:rPr>
                <w:szCs w:val="18"/>
              </w:rPr>
            </w:pPr>
            <w:r>
              <w:rPr>
                <w:szCs w:val="18"/>
              </w:rPr>
              <w:t xml:space="preserve">Clinical Study Report </w:t>
            </w:r>
          </w:p>
        </w:tc>
        <w:tc>
          <w:tcPr>
            <w:tcW w:w="1544" w:type="pct"/>
            <w:tcBorders>
              <w:bottom w:val="nil"/>
            </w:tcBorders>
            <w:vAlign w:val="center"/>
          </w:tcPr>
          <w:p w:rsidR="001E0276" w:rsidRPr="00CB38A8" w:rsidRDefault="001E0276" w:rsidP="00561F87">
            <w:pPr>
              <w:pStyle w:val="TableText0"/>
            </w:pPr>
            <w:r>
              <w:t>7 Nov 2019</w:t>
            </w:r>
          </w:p>
        </w:tc>
      </w:tr>
      <w:tr w:rsidR="001E0276" w:rsidRPr="00CB38A8" w:rsidTr="008D6CA1">
        <w:tc>
          <w:tcPr>
            <w:tcW w:w="1098" w:type="pct"/>
            <w:vMerge/>
            <w:vAlign w:val="center"/>
          </w:tcPr>
          <w:p w:rsidR="001E0276" w:rsidRDefault="001E0276" w:rsidP="00561F87">
            <w:pPr>
              <w:pStyle w:val="TableText0"/>
            </w:pPr>
          </w:p>
        </w:tc>
        <w:tc>
          <w:tcPr>
            <w:tcW w:w="2358" w:type="pct"/>
            <w:vAlign w:val="center"/>
          </w:tcPr>
          <w:p w:rsidR="001E0276" w:rsidRDefault="001E0276" w:rsidP="00F36BA5">
            <w:pPr>
              <w:pStyle w:val="TableText0"/>
              <w:rPr>
                <w:szCs w:val="18"/>
              </w:rPr>
            </w:pPr>
            <w:r w:rsidRPr="00B552DF">
              <w:rPr>
                <w:szCs w:val="18"/>
              </w:rPr>
              <w:t>Murthy RK, Loi S, Okines A, et al. Tucatinib, Trastuzumab, and Capecitabine for HER2+ Metastatic Breast Cancer</w:t>
            </w:r>
            <w:r>
              <w:rPr>
                <w:szCs w:val="18"/>
              </w:rPr>
              <w:t>.</w:t>
            </w:r>
          </w:p>
        </w:tc>
        <w:tc>
          <w:tcPr>
            <w:tcW w:w="1544" w:type="pct"/>
            <w:tcBorders>
              <w:bottom w:val="single" w:sz="4" w:space="0" w:color="auto"/>
            </w:tcBorders>
            <w:vAlign w:val="center"/>
          </w:tcPr>
          <w:p w:rsidR="001E0276" w:rsidRPr="00CB38A8" w:rsidRDefault="001E0276" w:rsidP="00F36BA5">
            <w:pPr>
              <w:pStyle w:val="TableText0"/>
            </w:pPr>
            <w:r w:rsidRPr="00B552DF">
              <w:rPr>
                <w:szCs w:val="18"/>
              </w:rPr>
              <w:t>N Engl J Med. 2020;382(7):597</w:t>
            </w:r>
            <w:r w:rsidRPr="00B552DF">
              <w:rPr>
                <w:rFonts w:ascii="Cambria Math" w:hAnsi="Cambria Math" w:cs="Cambria Math"/>
                <w:szCs w:val="18"/>
              </w:rPr>
              <w:t>‐</w:t>
            </w:r>
            <w:r w:rsidRPr="00B552DF">
              <w:rPr>
                <w:szCs w:val="18"/>
              </w:rPr>
              <w:t>609.</w:t>
            </w:r>
          </w:p>
        </w:tc>
      </w:tr>
      <w:tr w:rsidR="008D6CA1" w:rsidRPr="00CB38A8" w:rsidTr="008D6CA1">
        <w:trPr>
          <w:trHeight w:val="928"/>
        </w:trPr>
        <w:tc>
          <w:tcPr>
            <w:tcW w:w="1098" w:type="pct"/>
            <w:vMerge/>
            <w:vAlign w:val="center"/>
          </w:tcPr>
          <w:p w:rsidR="008D6CA1" w:rsidRPr="00CB38A8" w:rsidRDefault="008D6CA1" w:rsidP="00561F87">
            <w:pPr>
              <w:pStyle w:val="TableText0"/>
            </w:pPr>
          </w:p>
        </w:tc>
        <w:tc>
          <w:tcPr>
            <w:tcW w:w="2358" w:type="pct"/>
            <w:vAlign w:val="center"/>
          </w:tcPr>
          <w:p w:rsidR="008D6CA1" w:rsidRPr="00AB6248" w:rsidRDefault="008D6CA1" w:rsidP="00561F87">
            <w:pPr>
              <w:pStyle w:val="TableText0"/>
              <w:rPr>
                <w:szCs w:val="18"/>
              </w:rPr>
            </w:pPr>
            <w:r w:rsidRPr="00B552DF">
              <w:rPr>
                <w:szCs w:val="18"/>
              </w:rPr>
              <w:t>Lin NU, Borges V, Anders C, et al. Intracranial Efficacy and Survival With Tucatinib Plus Trastuzumab and Capecitabine for Previously Treated HER2+ Breast Cancer With Brain Metastases in the HER2CLIMB Trial</w:t>
            </w:r>
            <w:r>
              <w:rPr>
                <w:szCs w:val="18"/>
              </w:rPr>
              <w:t>.</w:t>
            </w:r>
          </w:p>
        </w:tc>
        <w:tc>
          <w:tcPr>
            <w:tcW w:w="1544" w:type="pct"/>
          </w:tcPr>
          <w:p w:rsidR="008D6CA1" w:rsidRPr="00CB38A8" w:rsidRDefault="008D6CA1" w:rsidP="008D6CA1">
            <w:pPr>
              <w:pStyle w:val="TableText0"/>
            </w:pPr>
            <w:r w:rsidRPr="00B552DF">
              <w:rPr>
                <w:szCs w:val="18"/>
              </w:rPr>
              <w:t>J Clin Oncol. 2020;38(23):2610-2619</w:t>
            </w:r>
          </w:p>
        </w:tc>
      </w:tr>
      <w:tr w:rsidR="001E0276" w:rsidRPr="00CB38A8" w:rsidTr="004A0A54">
        <w:trPr>
          <w:trHeight w:val="886"/>
        </w:trPr>
        <w:tc>
          <w:tcPr>
            <w:tcW w:w="1098" w:type="pct"/>
            <w:vMerge/>
            <w:vAlign w:val="center"/>
          </w:tcPr>
          <w:p w:rsidR="001E0276" w:rsidRPr="00CB38A8" w:rsidRDefault="001E0276" w:rsidP="00561F87">
            <w:pPr>
              <w:pStyle w:val="TableText0"/>
            </w:pPr>
          </w:p>
        </w:tc>
        <w:tc>
          <w:tcPr>
            <w:tcW w:w="2358" w:type="pct"/>
            <w:tcBorders>
              <w:top w:val="single" w:sz="4" w:space="0" w:color="auto"/>
              <w:bottom w:val="single" w:sz="4" w:space="0" w:color="auto"/>
            </w:tcBorders>
          </w:tcPr>
          <w:p w:rsidR="001E0276" w:rsidRPr="00CC173D" w:rsidRDefault="001E0276" w:rsidP="008D6CA1">
            <w:pPr>
              <w:pStyle w:val="TableText0"/>
              <w:rPr>
                <w:rFonts w:eastAsia="Times New Roman" w:cs="Arial"/>
                <w:color w:val="000000"/>
                <w:szCs w:val="20"/>
                <w:shd w:val="clear" w:color="auto" w:fill="FFFFFF"/>
              </w:rPr>
            </w:pPr>
            <w:r w:rsidRPr="00CC173D">
              <w:rPr>
                <w:rFonts w:eastAsia="Times New Roman" w:cs="Arial"/>
                <w:color w:val="000000"/>
                <w:szCs w:val="20"/>
                <w:shd w:val="clear" w:color="auto" w:fill="FFFFFF"/>
              </w:rPr>
              <w:t xml:space="preserve">Bachelot T, Lin NU, Murthy RK et al. Impact of tucatinib on progression free survival in patients with HER2+ metastatic breast cancer and stable or active brain metastases. </w:t>
            </w:r>
          </w:p>
        </w:tc>
        <w:tc>
          <w:tcPr>
            <w:tcW w:w="1544" w:type="pct"/>
            <w:tcBorders>
              <w:top w:val="single" w:sz="4" w:space="0" w:color="auto"/>
              <w:bottom w:val="single" w:sz="4" w:space="0" w:color="auto"/>
            </w:tcBorders>
            <w:vAlign w:val="center"/>
          </w:tcPr>
          <w:p w:rsidR="001E0276" w:rsidRPr="001E0276" w:rsidRDefault="001E0276" w:rsidP="00561F87">
            <w:pPr>
              <w:pStyle w:val="TableText0"/>
              <w:rPr>
                <w:szCs w:val="18"/>
                <w:lang w:val="en-US"/>
              </w:rPr>
            </w:pPr>
            <w:r w:rsidRPr="00CC173D">
              <w:rPr>
                <w:rFonts w:eastAsia="Times New Roman" w:cs="Arial"/>
                <w:color w:val="000000"/>
                <w:szCs w:val="20"/>
                <w:shd w:val="clear" w:color="auto" w:fill="FFFFFF"/>
                <w:lang w:val="en-US"/>
              </w:rPr>
              <w:t xml:space="preserve">Annals of Oncology. Conference: ESMO Breast Cancer Virtual Meeting 2020. Switzerland. 31 (Supplement 4) (pp </w:t>
            </w:r>
            <w:r w:rsidRPr="00CC173D">
              <w:rPr>
                <w:rFonts w:eastAsia="Times New Roman" w:cs="Arial"/>
                <w:color w:val="000000"/>
                <w:szCs w:val="20"/>
                <w:shd w:val="clear" w:color="auto" w:fill="FFFFFF"/>
              </w:rPr>
              <w:t>S348-S395</w:t>
            </w:r>
            <w:r w:rsidRPr="00CC173D">
              <w:rPr>
                <w:rFonts w:eastAsia="Times New Roman" w:cs="Arial"/>
                <w:color w:val="000000"/>
                <w:szCs w:val="20"/>
                <w:shd w:val="clear" w:color="auto" w:fill="FFFFFF"/>
                <w:lang w:val="en-US"/>
              </w:rPr>
              <w:t>), 2020.</w:t>
            </w:r>
          </w:p>
        </w:tc>
      </w:tr>
      <w:tr w:rsidR="001E0276" w:rsidRPr="00CB38A8" w:rsidTr="008D6CA1">
        <w:tc>
          <w:tcPr>
            <w:tcW w:w="1098" w:type="pct"/>
            <w:vMerge/>
            <w:tcBorders>
              <w:bottom w:val="single" w:sz="4" w:space="0" w:color="auto"/>
            </w:tcBorders>
            <w:vAlign w:val="center"/>
          </w:tcPr>
          <w:p w:rsidR="001E0276" w:rsidRPr="00CB38A8" w:rsidRDefault="001E0276" w:rsidP="00561F87">
            <w:pPr>
              <w:pStyle w:val="TableText0"/>
            </w:pPr>
          </w:p>
        </w:tc>
        <w:tc>
          <w:tcPr>
            <w:tcW w:w="2358" w:type="pct"/>
            <w:tcBorders>
              <w:top w:val="single" w:sz="4" w:space="0" w:color="auto"/>
              <w:bottom w:val="single" w:sz="4" w:space="0" w:color="auto"/>
            </w:tcBorders>
            <w:vAlign w:val="center"/>
          </w:tcPr>
          <w:p w:rsidR="001E0276" w:rsidRPr="00AB6248" w:rsidRDefault="001E0276" w:rsidP="00561F87">
            <w:pPr>
              <w:pStyle w:val="TableText0"/>
              <w:rPr>
                <w:szCs w:val="18"/>
                <w:lang w:val="en-US"/>
              </w:rPr>
            </w:pPr>
            <w:r w:rsidRPr="00CC173D">
              <w:rPr>
                <w:rFonts w:cs="Arial"/>
                <w:color w:val="000000"/>
                <w:szCs w:val="20"/>
                <w:shd w:val="clear" w:color="auto" w:fill="FFFFFF"/>
                <w:lang w:val="en-US"/>
              </w:rPr>
              <w:t xml:space="preserve">Curigliano G, Murthy R, Loi S, et al. Tucatinib vs placebo added to trastuzumab and capecitabine in previously treated HER2+ metastatic breast cancer with and without brain metastases (HER2CLIMB). </w:t>
            </w:r>
          </w:p>
        </w:tc>
        <w:tc>
          <w:tcPr>
            <w:tcW w:w="1544" w:type="pct"/>
            <w:tcBorders>
              <w:top w:val="single" w:sz="4" w:space="0" w:color="auto"/>
              <w:bottom w:val="single" w:sz="4" w:space="0" w:color="auto"/>
            </w:tcBorders>
            <w:vAlign w:val="center"/>
          </w:tcPr>
          <w:p w:rsidR="001E0276" w:rsidRPr="00B552DF" w:rsidRDefault="001E0276" w:rsidP="00561F87">
            <w:pPr>
              <w:pStyle w:val="TableText0"/>
              <w:rPr>
                <w:szCs w:val="18"/>
                <w:lang w:val="en-US"/>
              </w:rPr>
            </w:pPr>
            <w:r w:rsidRPr="00CC173D">
              <w:rPr>
                <w:rFonts w:cs="Arial"/>
                <w:color w:val="000000"/>
                <w:szCs w:val="20"/>
                <w:shd w:val="clear" w:color="auto" w:fill="FFFFFF"/>
                <w:lang w:val="en-US"/>
              </w:rPr>
              <w:t>Annals of Oncology. Conference: ESMO Breast Cancer Virtual Meeting 2020. Switzerland. 31 (Supplement 2) (pp S62-S63), 2020.</w:t>
            </w:r>
          </w:p>
        </w:tc>
      </w:tr>
    </w:tbl>
    <w:p w:rsidR="001D1495" w:rsidRDefault="001D1495" w:rsidP="002F48C7">
      <w:pPr>
        <w:pStyle w:val="TableFigureFooter"/>
        <w:spacing w:after="240"/>
      </w:pPr>
      <w:r>
        <w:t xml:space="preserve">Source: Table 2.2, pp58-59 </w:t>
      </w:r>
      <w:r w:rsidRPr="00D13A3E">
        <w:t xml:space="preserve">of the </w:t>
      </w:r>
      <w:r>
        <w:t>submission.</w:t>
      </w:r>
    </w:p>
    <w:p w:rsidR="00225A79" w:rsidRPr="00DC3CB1" w:rsidRDefault="008F120A" w:rsidP="00DC3CB1">
      <w:pPr>
        <w:pStyle w:val="3-BodyText"/>
        <w:rPr>
          <w:color w:val="0066FF"/>
        </w:rPr>
      </w:pPr>
      <w:r w:rsidRPr="00B50DB8">
        <w:t xml:space="preserve">The key features of the randomised </w:t>
      </w:r>
      <w:r w:rsidR="00442039">
        <w:t>trial</w:t>
      </w:r>
      <w:r w:rsidRPr="00B50DB8">
        <w:t xml:space="preserve"> are summarised in the table below.</w:t>
      </w:r>
      <w:r w:rsidR="00BC591F">
        <w:t xml:space="preserve"> </w:t>
      </w:r>
    </w:p>
    <w:p w:rsidR="007F1017" w:rsidRPr="00EC5836" w:rsidRDefault="007F1017" w:rsidP="00EC5836">
      <w:pPr>
        <w:pStyle w:val="TableFigureHeading"/>
        <w:rPr>
          <w:rStyle w:val="CommentReference"/>
          <w:b/>
          <w:szCs w:val="24"/>
        </w:rPr>
      </w:pPr>
      <w:r w:rsidRPr="00EC5836">
        <w:rPr>
          <w:rStyle w:val="CommentReference"/>
          <w:b/>
          <w:szCs w:val="24"/>
        </w:rPr>
        <w:t xml:space="preserve">Table </w:t>
      </w:r>
      <w:r w:rsidR="006177EA">
        <w:rPr>
          <w:rStyle w:val="CommentReference"/>
          <w:b/>
          <w:szCs w:val="24"/>
        </w:rPr>
        <w:t>3</w:t>
      </w:r>
      <w:r w:rsidRPr="00EC5836">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41614" w:rsidRPr="00B41614" w:rsidTr="001E34DF">
        <w:trPr>
          <w:cantSplit/>
          <w:tblHeader/>
        </w:trPr>
        <w:tc>
          <w:tcPr>
            <w:tcW w:w="713" w:type="pct"/>
            <w:shd w:val="clear" w:color="auto" w:fill="auto"/>
            <w:vAlign w:val="center"/>
          </w:tcPr>
          <w:p w:rsidR="007F1017" w:rsidRPr="007561D2" w:rsidRDefault="007F1017" w:rsidP="001E34DF">
            <w:pPr>
              <w:pStyle w:val="In-tableHeading"/>
            </w:pPr>
            <w:r w:rsidRPr="007561D2">
              <w:t>Trial</w:t>
            </w:r>
          </w:p>
        </w:tc>
        <w:tc>
          <w:tcPr>
            <w:tcW w:w="466" w:type="pct"/>
            <w:shd w:val="clear" w:color="auto" w:fill="auto"/>
            <w:vAlign w:val="center"/>
          </w:tcPr>
          <w:p w:rsidR="007F1017" w:rsidRPr="007561D2" w:rsidRDefault="007F1017" w:rsidP="00EC5836">
            <w:pPr>
              <w:pStyle w:val="In-tableHeading"/>
              <w:jc w:val="center"/>
            </w:pPr>
            <w:r w:rsidRPr="007561D2">
              <w:t>N</w:t>
            </w:r>
          </w:p>
        </w:tc>
        <w:tc>
          <w:tcPr>
            <w:tcW w:w="782" w:type="pct"/>
            <w:shd w:val="clear" w:color="auto" w:fill="auto"/>
            <w:vAlign w:val="center"/>
          </w:tcPr>
          <w:p w:rsidR="007F1017" w:rsidRPr="007561D2" w:rsidRDefault="007F1017" w:rsidP="00EC5836">
            <w:pPr>
              <w:pStyle w:val="In-tableHeading"/>
              <w:jc w:val="center"/>
            </w:pPr>
            <w:r w:rsidRPr="007561D2">
              <w:t>Design/ duration</w:t>
            </w:r>
          </w:p>
        </w:tc>
        <w:tc>
          <w:tcPr>
            <w:tcW w:w="621" w:type="pct"/>
            <w:shd w:val="clear" w:color="auto" w:fill="auto"/>
            <w:vAlign w:val="center"/>
          </w:tcPr>
          <w:p w:rsidR="007F1017" w:rsidRPr="007561D2" w:rsidRDefault="007F1017" w:rsidP="00EC5836">
            <w:pPr>
              <w:pStyle w:val="In-tableHeading"/>
              <w:jc w:val="center"/>
            </w:pPr>
            <w:r w:rsidRPr="007561D2">
              <w:t>Risk of bias</w:t>
            </w:r>
          </w:p>
        </w:tc>
        <w:tc>
          <w:tcPr>
            <w:tcW w:w="857" w:type="pct"/>
            <w:shd w:val="clear" w:color="auto" w:fill="auto"/>
            <w:vAlign w:val="center"/>
          </w:tcPr>
          <w:p w:rsidR="007F1017" w:rsidRPr="007561D2" w:rsidRDefault="007F1017" w:rsidP="00EC5836">
            <w:pPr>
              <w:pStyle w:val="In-tableHeading"/>
              <w:jc w:val="center"/>
            </w:pPr>
            <w:r w:rsidRPr="007561D2">
              <w:t>Patient population</w:t>
            </w:r>
          </w:p>
        </w:tc>
        <w:tc>
          <w:tcPr>
            <w:tcW w:w="622" w:type="pct"/>
            <w:shd w:val="clear" w:color="auto" w:fill="auto"/>
            <w:vAlign w:val="center"/>
          </w:tcPr>
          <w:p w:rsidR="007F1017" w:rsidRPr="007561D2" w:rsidRDefault="007F1017" w:rsidP="00EC5836">
            <w:pPr>
              <w:pStyle w:val="In-tableHeading"/>
              <w:jc w:val="center"/>
            </w:pPr>
            <w:r w:rsidRPr="007561D2">
              <w:t>Outcome(s)</w:t>
            </w:r>
          </w:p>
        </w:tc>
        <w:tc>
          <w:tcPr>
            <w:tcW w:w="939" w:type="pct"/>
            <w:shd w:val="clear" w:color="auto" w:fill="auto"/>
            <w:vAlign w:val="center"/>
          </w:tcPr>
          <w:p w:rsidR="007F1017" w:rsidRPr="007561D2" w:rsidRDefault="007F1017" w:rsidP="00EC5836">
            <w:pPr>
              <w:pStyle w:val="In-tableHeading"/>
              <w:jc w:val="center"/>
            </w:pPr>
            <w:r w:rsidRPr="007561D2">
              <w:t>Use in modelled evaluation</w:t>
            </w:r>
          </w:p>
        </w:tc>
      </w:tr>
      <w:tr w:rsidR="007F1017" w:rsidRPr="00E2771E" w:rsidTr="00682BA6">
        <w:trPr>
          <w:cantSplit/>
        </w:trPr>
        <w:tc>
          <w:tcPr>
            <w:tcW w:w="5000" w:type="pct"/>
            <w:gridSpan w:val="7"/>
            <w:shd w:val="clear" w:color="auto" w:fill="auto"/>
            <w:vAlign w:val="center"/>
          </w:tcPr>
          <w:p w:rsidR="007F1017" w:rsidRPr="007561D2" w:rsidRDefault="00442039" w:rsidP="00EC5836">
            <w:pPr>
              <w:pStyle w:val="In-tableHeading"/>
            </w:pPr>
            <w:r w:rsidRPr="007561D2">
              <w:t>Tucatinib, trastuzumab, capecitabine</w:t>
            </w:r>
            <w:r w:rsidR="007F1017" w:rsidRPr="007561D2">
              <w:t xml:space="preserve"> </w:t>
            </w:r>
            <w:r w:rsidR="0043662D" w:rsidRPr="007561D2">
              <w:t>placebo</w:t>
            </w:r>
            <w:r w:rsidRPr="007561D2">
              <w:t>, trastuzumab, capecitabine</w:t>
            </w:r>
          </w:p>
        </w:tc>
      </w:tr>
      <w:tr w:rsidR="00B41614" w:rsidRPr="00E2771E" w:rsidTr="00682BA6">
        <w:trPr>
          <w:cantSplit/>
        </w:trPr>
        <w:tc>
          <w:tcPr>
            <w:tcW w:w="713" w:type="pct"/>
            <w:shd w:val="clear" w:color="auto" w:fill="auto"/>
            <w:vAlign w:val="center"/>
          </w:tcPr>
          <w:p w:rsidR="007F1017" w:rsidRPr="007561D2" w:rsidRDefault="00540278" w:rsidP="00EC5836">
            <w:pPr>
              <w:pStyle w:val="TableText0"/>
              <w:rPr>
                <w:lang w:val="en-US"/>
              </w:rPr>
            </w:pPr>
            <w:r w:rsidRPr="007561D2">
              <w:rPr>
                <w:lang w:val="en-US"/>
              </w:rPr>
              <w:t>HER2CLIMB</w:t>
            </w:r>
          </w:p>
        </w:tc>
        <w:tc>
          <w:tcPr>
            <w:tcW w:w="466" w:type="pct"/>
            <w:shd w:val="clear" w:color="auto" w:fill="auto"/>
            <w:vAlign w:val="center"/>
          </w:tcPr>
          <w:p w:rsidR="007F1017" w:rsidRPr="007561D2" w:rsidRDefault="00C542B6" w:rsidP="00EC5836">
            <w:pPr>
              <w:pStyle w:val="TableText0"/>
              <w:jc w:val="center"/>
              <w:rPr>
                <w:lang w:val="en-US"/>
              </w:rPr>
            </w:pPr>
            <w:r w:rsidRPr="007561D2">
              <w:rPr>
                <w:lang w:val="en-US"/>
              </w:rPr>
              <w:t>612</w:t>
            </w:r>
          </w:p>
        </w:tc>
        <w:tc>
          <w:tcPr>
            <w:tcW w:w="782" w:type="pct"/>
            <w:shd w:val="clear" w:color="auto" w:fill="auto"/>
            <w:vAlign w:val="center"/>
          </w:tcPr>
          <w:p w:rsidR="007F1017" w:rsidRPr="007561D2" w:rsidRDefault="007F1017" w:rsidP="00EC5836">
            <w:pPr>
              <w:pStyle w:val="TableText0"/>
              <w:jc w:val="center"/>
              <w:rPr>
                <w:lang w:val="en-US"/>
              </w:rPr>
            </w:pPr>
            <w:r w:rsidRPr="007561D2">
              <w:rPr>
                <w:lang w:val="en-US"/>
              </w:rPr>
              <w:t>R, DB</w:t>
            </w:r>
            <w:r w:rsidR="00C542B6" w:rsidRPr="007561D2">
              <w:rPr>
                <w:lang w:val="en-US"/>
              </w:rPr>
              <w:t>, MC</w:t>
            </w:r>
            <w:r w:rsidR="00620B5C">
              <w:rPr>
                <w:lang w:val="en-US"/>
              </w:rPr>
              <w:t>,</w:t>
            </w:r>
            <w:r w:rsidR="00C542B6" w:rsidRPr="007561D2">
              <w:rPr>
                <w:lang w:val="en-US"/>
              </w:rPr>
              <w:t xml:space="preserve"> PC</w:t>
            </w:r>
          </w:p>
          <w:p w:rsidR="007F1017" w:rsidRPr="007561D2" w:rsidRDefault="0068685D" w:rsidP="00EC5836">
            <w:pPr>
              <w:pStyle w:val="TableText0"/>
              <w:jc w:val="center"/>
              <w:rPr>
                <w:lang w:val="en-US"/>
              </w:rPr>
            </w:pPr>
            <w:r w:rsidRPr="007561D2">
              <w:rPr>
                <w:lang w:val="en-US"/>
              </w:rPr>
              <w:t>O</w:t>
            </w:r>
            <w:r w:rsidR="00C542B6" w:rsidRPr="007561D2">
              <w:rPr>
                <w:lang w:val="en-US"/>
              </w:rPr>
              <w:t>ngoing</w:t>
            </w:r>
          </w:p>
          <w:p w:rsidR="0068685D" w:rsidRPr="007561D2" w:rsidRDefault="0068685D" w:rsidP="00EC5836">
            <w:pPr>
              <w:pStyle w:val="TableText0"/>
              <w:jc w:val="center"/>
              <w:rPr>
                <w:lang w:val="en-US"/>
              </w:rPr>
            </w:pPr>
            <w:r w:rsidRPr="007561D2">
              <w:rPr>
                <w:lang w:val="en-US"/>
              </w:rPr>
              <w:t>Median follow-up 26 months</w:t>
            </w:r>
          </w:p>
        </w:tc>
        <w:tc>
          <w:tcPr>
            <w:tcW w:w="621" w:type="pct"/>
            <w:shd w:val="clear" w:color="auto" w:fill="auto"/>
            <w:vAlign w:val="center"/>
          </w:tcPr>
          <w:p w:rsidR="00DE789B" w:rsidRPr="007561D2" w:rsidRDefault="007F1017" w:rsidP="00D67074">
            <w:pPr>
              <w:pStyle w:val="TableText0"/>
              <w:jc w:val="center"/>
              <w:rPr>
                <w:lang w:val="en-US"/>
              </w:rPr>
            </w:pPr>
            <w:r w:rsidRPr="007561D2">
              <w:rPr>
                <w:lang w:val="en-US"/>
              </w:rPr>
              <w:t>Low</w:t>
            </w:r>
            <w:r w:rsidR="00DE789B" w:rsidRPr="007561D2">
              <w:rPr>
                <w:lang w:val="en-US"/>
              </w:rPr>
              <w:t xml:space="preserve"> except for HRQoL</w:t>
            </w:r>
          </w:p>
        </w:tc>
        <w:tc>
          <w:tcPr>
            <w:tcW w:w="857" w:type="pct"/>
            <w:shd w:val="clear" w:color="auto" w:fill="auto"/>
            <w:vAlign w:val="center"/>
          </w:tcPr>
          <w:p w:rsidR="007F1017" w:rsidRPr="007561D2" w:rsidRDefault="00523917" w:rsidP="00EC5836">
            <w:pPr>
              <w:pStyle w:val="TableText0"/>
              <w:jc w:val="center"/>
              <w:rPr>
                <w:lang w:val="en-US"/>
              </w:rPr>
            </w:pPr>
            <w:r w:rsidRPr="007561D2">
              <w:rPr>
                <w:lang w:val="en-US"/>
              </w:rPr>
              <w:t xml:space="preserve">HER2+ mBC, </w:t>
            </w:r>
            <w:r w:rsidR="0043662D" w:rsidRPr="007561D2">
              <w:rPr>
                <w:lang w:val="en-US"/>
              </w:rPr>
              <w:t>progressed</w:t>
            </w:r>
            <w:r w:rsidR="004848B3" w:rsidRPr="007561D2">
              <w:rPr>
                <w:lang w:val="en-US"/>
              </w:rPr>
              <w:t xml:space="preserve"> after at least one HER2-directed therapy</w:t>
            </w:r>
          </w:p>
        </w:tc>
        <w:tc>
          <w:tcPr>
            <w:tcW w:w="622" w:type="pct"/>
            <w:shd w:val="clear" w:color="auto" w:fill="auto"/>
            <w:vAlign w:val="center"/>
          </w:tcPr>
          <w:p w:rsidR="00204C43" w:rsidRPr="007561D2" w:rsidRDefault="00204C43" w:rsidP="00EC5836">
            <w:pPr>
              <w:pStyle w:val="TableText0"/>
              <w:jc w:val="center"/>
              <w:rPr>
                <w:lang w:val="en-US"/>
              </w:rPr>
            </w:pPr>
            <w:r w:rsidRPr="007561D2">
              <w:rPr>
                <w:lang w:val="en-US"/>
              </w:rPr>
              <w:t xml:space="preserve">Primary: </w:t>
            </w:r>
            <w:r w:rsidR="004848B3" w:rsidRPr="007561D2">
              <w:rPr>
                <w:lang w:val="en-US"/>
              </w:rPr>
              <w:t>PFS</w:t>
            </w:r>
          </w:p>
          <w:p w:rsidR="007F1017" w:rsidRPr="007561D2" w:rsidRDefault="00204C43" w:rsidP="00EC5836">
            <w:pPr>
              <w:pStyle w:val="TableText0"/>
              <w:jc w:val="center"/>
              <w:rPr>
                <w:lang w:val="en-US"/>
              </w:rPr>
            </w:pPr>
            <w:r w:rsidRPr="007561D2">
              <w:rPr>
                <w:lang w:val="en-US"/>
              </w:rPr>
              <w:t xml:space="preserve">Secondary: </w:t>
            </w:r>
            <w:r w:rsidR="004848B3" w:rsidRPr="007561D2">
              <w:rPr>
                <w:lang w:val="en-US"/>
              </w:rPr>
              <w:t xml:space="preserve"> </w:t>
            </w:r>
            <w:r w:rsidR="007F1017" w:rsidRPr="007561D2">
              <w:rPr>
                <w:lang w:val="en-US"/>
              </w:rPr>
              <w:t>OS</w:t>
            </w:r>
            <w:r w:rsidR="00C542B6" w:rsidRPr="007561D2">
              <w:rPr>
                <w:lang w:val="en-US"/>
              </w:rPr>
              <w:t>, ORR, PFS</w:t>
            </w:r>
            <w:r w:rsidR="00BD3FC3">
              <w:rPr>
                <w:vertAlign w:val="subscript"/>
                <w:lang w:val="en-US"/>
              </w:rPr>
              <w:t>B</w:t>
            </w:r>
            <w:r w:rsidR="00C542B6" w:rsidRPr="00A0294B">
              <w:rPr>
                <w:vertAlign w:val="subscript"/>
                <w:lang w:val="en-US"/>
              </w:rPr>
              <w:t>rainmets</w:t>
            </w:r>
          </w:p>
        </w:tc>
        <w:tc>
          <w:tcPr>
            <w:tcW w:w="939" w:type="pct"/>
            <w:shd w:val="clear" w:color="auto" w:fill="auto"/>
            <w:vAlign w:val="center"/>
          </w:tcPr>
          <w:p w:rsidR="007F1017" w:rsidRPr="007561D2" w:rsidRDefault="00B70CE0" w:rsidP="00EC5836">
            <w:pPr>
              <w:pStyle w:val="TableText0"/>
              <w:jc w:val="center"/>
              <w:rPr>
                <w:lang w:val="en-US"/>
              </w:rPr>
            </w:pPr>
            <w:r w:rsidRPr="007561D2">
              <w:rPr>
                <w:lang w:val="en-US"/>
              </w:rPr>
              <w:t>PFS, OS, HR-QoL, safety and tolerability</w:t>
            </w:r>
          </w:p>
        </w:tc>
      </w:tr>
    </w:tbl>
    <w:p w:rsidR="00045017" w:rsidRDefault="00045017" w:rsidP="00EC5836">
      <w:pPr>
        <w:pStyle w:val="TableFigureFooter"/>
      </w:pPr>
      <w:r>
        <w:t xml:space="preserve">Source: </w:t>
      </w:r>
      <w:r w:rsidR="00166A84">
        <w:t xml:space="preserve">Text and </w:t>
      </w:r>
      <w:r w:rsidR="00B70CE0">
        <w:t xml:space="preserve">Table 2.22, </w:t>
      </w:r>
      <w:r w:rsidR="00166A84">
        <w:t>p</w:t>
      </w:r>
      <w:r w:rsidR="00B70CE0">
        <w:t>p88-9</w:t>
      </w:r>
      <w:r>
        <w:t xml:space="preserve"> </w:t>
      </w:r>
      <w:r w:rsidRPr="00D13A3E">
        <w:t xml:space="preserve">of the </w:t>
      </w:r>
      <w:r>
        <w:t>submission</w:t>
      </w:r>
      <w:r w:rsidRPr="00D13A3E">
        <w:t>}</w:t>
      </w:r>
      <w:r>
        <w:t>.</w:t>
      </w:r>
    </w:p>
    <w:p w:rsidR="00620C25" w:rsidRPr="00B1011F" w:rsidRDefault="00620C25" w:rsidP="002F48C7">
      <w:pPr>
        <w:pStyle w:val="TableFigureFooter"/>
        <w:spacing w:after="240"/>
        <w:rPr>
          <w:sz w:val="20"/>
        </w:rPr>
      </w:pPr>
      <w:r w:rsidRPr="0072416F">
        <w:t>DB</w:t>
      </w:r>
      <w:r>
        <w:t xml:space="preserve"> </w:t>
      </w:r>
      <w:r w:rsidRPr="0072416F">
        <w:t>=</w:t>
      </w:r>
      <w:r>
        <w:t xml:space="preserve"> </w:t>
      </w:r>
      <w:r w:rsidRPr="0072416F">
        <w:t xml:space="preserve">double blind; </w:t>
      </w:r>
      <w:r w:rsidR="00620B5C">
        <w:t>HER2+ =</w:t>
      </w:r>
      <w:r w:rsidR="00620B5C" w:rsidRPr="00620B5C">
        <w:t xml:space="preserve"> </w:t>
      </w:r>
      <w:r w:rsidR="00620B5C">
        <w:t>h</w:t>
      </w:r>
      <w:r w:rsidR="00620B5C" w:rsidRPr="00EE0A76">
        <w:t>uman epidermal gro</w:t>
      </w:r>
      <w:r w:rsidR="00620B5C">
        <w:t xml:space="preserve">wth factor receptor 2 positive; HRQoL = health related quality of life; mBC = metastatic breast cancer; </w:t>
      </w:r>
      <w:r w:rsidRPr="0072416F">
        <w:t>MC</w:t>
      </w:r>
      <w:r>
        <w:t xml:space="preserve"> </w:t>
      </w:r>
      <w:r w:rsidRPr="0072416F">
        <w:t>=</w:t>
      </w:r>
      <w:r>
        <w:t xml:space="preserve"> </w:t>
      </w:r>
      <w:r w:rsidRPr="0072416F">
        <w:t xml:space="preserve">multi-centre; </w:t>
      </w:r>
      <w:r w:rsidR="00620B5C">
        <w:t xml:space="preserve">ORR = objective response rates; </w:t>
      </w:r>
      <w:r w:rsidRPr="0072416F">
        <w:t>OS</w:t>
      </w:r>
      <w:r>
        <w:t xml:space="preserve"> </w:t>
      </w:r>
      <w:r w:rsidRPr="0072416F">
        <w:t>=</w:t>
      </w:r>
      <w:r>
        <w:t xml:space="preserve"> </w:t>
      </w:r>
      <w:r w:rsidRPr="0072416F">
        <w:t xml:space="preserve">overall survival; </w:t>
      </w:r>
      <w:r w:rsidR="00523917">
        <w:t>PC</w:t>
      </w:r>
      <w:r w:rsidR="00620B5C">
        <w:t xml:space="preserve"> </w:t>
      </w:r>
      <w:r w:rsidR="00523917">
        <w:t xml:space="preserve">= placebo-controlled; </w:t>
      </w:r>
      <w:r w:rsidRPr="0072416F">
        <w:t>PFS</w:t>
      </w:r>
      <w:r>
        <w:t xml:space="preserve"> </w:t>
      </w:r>
      <w:r w:rsidRPr="0072416F">
        <w:t>=</w:t>
      </w:r>
      <w:r>
        <w:t xml:space="preserve"> </w:t>
      </w:r>
      <w:r w:rsidRPr="0072416F">
        <w:t>progression-free survival; R</w:t>
      </w:r>
      <w:r>
        <w:t xml:space="preserve"> </w:t>
      </w:r>
      <w:r w:rsidRPr="0072416F">
        <w:t>=</w:t>
      </w:r>
      <w:r>
        <w:t xml:space="preserve"> </w:t>
      </w:r>
      <w:r w:rsidRPr="0072416F">
        <w:t>randomised</w:t>
      </w:r>
      <w:r w:rsidR="00523917">
        <w:t xml:space="preserve">; </w:t>
      </w:r>
    </w:p>
    <w:p w:rsidR="008F56DD" w:rsidRPr="007561D2" w:rsidRDefault="007F4328" w:rsidP="0088045E">
      <w:pPr>
        <w:pStyle w:val="3-BodyText"/>
      </w:pPr>
      <w:r w:rsidRPr="007561D2">
        <w:t>The risk of bias was low apart from the</w:t>
      </w:r>
      <w:r w:rsidR="00DF6CCD" w:rsidRPr="007561D2">
        <w:t xml:space="preserve"> approach to collection of the</w:t>
      </w:r>
      <w:r w:rsidRPr="007561D2">
        <w:t xml:space="preserve"> </w:t>
      </w:r>
      <w:r w:rsidR="00241820" w:rsidRPr="007561D2">
        <w:t>health-re</w:t>
      </w:r>
      <w:r w:rsidR="009A1677" w:rsidRPr="007561D2">
        <w:t>la</w:t>
      </w:r>
      <w:r w:rsidR="00241820" w:rsidRPr="007561D2">
        <w:t xml:space="preserve">ted </w:t>
      </w:r>
      <w:r w:rsidRPr="007561D2">
        <w:t>quality of life</w:t>
      </w:r>
      <w:r w:rsidR="00241820" w:rsidRPr="007561D2">
        <w:t xml:space="preserve"> (HRQoL) </w:t>
      </w:r>
      <w:r w:rsidRPr="007561D2">
        <w:t xml:space="preserve">data, </w:t>
      </w:r>
      <w:r w:rsidR="00DF6CCD" w:rsidRPr="007561D2">
        <w:t>which only commenced</w:t>
      </w:r>
      <w:r w:rsidRPr="007561D2">
        <w:t xml:space="preserve"> after </w:t>
      </w:r>
      <w:r w:rsidR="00563E78" w:rsidRPr="007561D2">
        <w:t xml:space="preserve">more than </w:t>
      </w:r>
      <w:r w:rsidRPr="007561D2">
        <w:t>40% of patients had enrolled.</w:t>
      </w:r>
      <w:r w:rsidR="00104F5E" w:rsidRPr="007561D2">
        <w:t xml:space="preserve"> </w:t>
      </w:r>
      <w:r w:rsidR="008D6CA1">
        <w:t>T</w:t>
      </w:r>
      <w:r w:rsidR="008D6CA1" w:rsidRPr="007561D2">
        <w:t xml:space="preserve">he EQ-5D-5L </w:t>
      </w:r>
      <w:r w:rsidR="008D6CA1">
        <w:t>wa</w:t>
      </w:r>
      <w:r w:rsidR="00D0081A" w:rsidRPr="007561D2">
        <w:t>s the sole</w:t>
      </w:r>
      <w:r w:rsidR="00241820" w:rsidRPr="007561D2">
        <w:t xml:space="preserve"> HRQoL instrument used</w:t>
      </w:r>
      <w:r w:rsidR="00D0081A" w:rsidRPr="007561D2">
        <w:t xml:space="preserve">, </w:t>
      </w:r>
      <w:r w:rsidR="008D6CA1">
        <w:t xml:space="preserve">but </w:t>
      </w:r>
      <w:r w:rsidR="004A0A54">
        <w:t xml:space="preserve">it </w:t>
      </w:r>
      <w:r w:rsidR="00241820" w:rsidRPr="007561D2">
        <w:t xml:space="preserve">is not designed to capture the impact of treatment, especially toxicities that were likely to be encountered. </w:t>
      </w:r>
      <w:r w:rsidR="00A8106D">
        <w:t xml:space="preserve">The pre-PBAC response stated that the impact of treatment-related toxicities was likely to be low. </w:t>
      </w:r>
      <w:r w:rsidR="00D0081A" w:rsidRPr="007561D2">
        <w:t>B</w:t>
      </w:r>
      <w:r w:rsidR="00E20A66" w:rsidRPr="007561D2">
        <w:t xml:space="preserve">aseline questionnaires were </w:t>
      </w:r>
      <w:r w:rsidR="00D0081A" w:rsidRPr="007561D2">
        <w:t>completed</w:t>
      </w:r>
      <w:r w:rsidR="00E20A66" w:rsidRPr="007561D2">
        <w:t xml:space="preserve"> </w:t>
      </w:r>
      <w:r w:rsidR="00D0081A" w:rsidRPr="007561D2">
        <w:t>by</w:t>
      </w:r>
      <w:r w:rsidR="00E20A66" w:rsidRPr="007561D2">
        <w:t xml:space="preserve"> 5</w:t>
      </w:r>
      <w:r w:rsidR="002F48C7">
        <w:t>4</w:t>
      </w:r>
      <w:r w:rsidR="00E20A66" w:rsidRPr="007561D2">
        <w:t>% of study participants</w:t>
      </w:r>
      <w:r w:rsidR="00241820" w:rsidRPr="007561D2">
        <w:t>,</w:t>
      </w:r>
      <w:r w:rsidR="00DF6CCD" w:rsidRPr="007561D2">
        <w:t xml:space="preserve"> and</w:t>
      </w:r>
      <w:r w:rsidR="00241820" w:rsidRPr="007561D2">
        <w:t xml:space="preserve"> last visit data collection was available for 20%</w:t>
      </w:r>
      <w:r w:rsidR="00D67074" w:rsidRPr="007561D2">
        <w:t xml:space="preserve"> of participants</w:t>
      </w:r>
      <w:r w:rsidR="002E5655">
        <w:t xml:space="preserve"> (</w:t>
      </w:r>
      <w:r w:rsidR="002E5655" w:rsidRPr="00AB7F42">
        <w:t>i.e. as a proportion of the total study population, the ITT-OS population)</w:t>
      </w:r>
      <w:r w:rsidR="00E20A66" w:rsidRPr="00AB7F42">
        <w:t xml:space="preserve">. </w:t>
      </w:r>
      <w:r w:rsidR="00B862D6" w:rsidRPr="00AB7F42">
        <w:t>Give</w:t>
      </w:r>
      <w:r w:rsidR="00B862D6">
        <w:t xml:space="preserve">n the </w:t>
      </w:r>
      <w:r w:rsidR="00104F5E" w:rsidRPr="007561D2">
        <w:t xml:space="preserve">substantial missing data, </w:t>
      </w:r>
      <w:r w:rsidR="00B862D6">
        <w:t xml:space="preserve">the evaluation and </w:t>
      </w:r>
      <w:r w:rsidR="00B862D6" w:rsidRPr="00A8106D">
        <w:t>the ESC considered</w:t>
      </w:r>
      <w:r w:rsidR="00B862D6">
        <w:t xml:space="preserve"> that </w:t>
      </w:r>
      <w:r w:rsidR="00104F5E" w:rsidRPr="007561D2">
        <w:t>no conclusions can be drawn about the impact of treatment</w:t>
      </w:r>
      <w:r w:rsidR="00D53448" w:rsidRPr="007561D2">
        <w:t xml:space="preserve"> on HRQoL</w:t>
      </w:r>
      <w:r w:rsidR="00104F5E" w:rsidRPr="007561D2">
        <w:t xml:space="preserve">. </w:t>
      </w:r>
    </w:p>
    <w:p w:rsidR="008A625E" w:rsidRPr="007561D2" w:rsidRDefault="002F48C7" w:rsidP="00DA7AE1">
      <w:pPr>
        <w:pStyle w:val="3-BodyText"/>
        <w:rPr>
          <w:iCs/>
          <w:color w:val="000000" w:themeColor="text1"/>
        </w:rPr>
      </w:pPr>
      <w:r>
        <w:rPr>
          <w:iCs/>
          <w:color w:val="000000" w:themeColor="text1"/>
        </w:rPr>
        <w:t>P</w:t>
      </w:r>
      <w:r w:rsidR="008F56DD" w:rsidRPr="007561D2">
        <w:rPr>
          <w:iCs/>
          <w:color w:val="000000" w:themeColor="text1"/>
        </w:rPr>
        <w:t>atients with brain metastases</w:t>
      </w:r>
      <w:r>
        <w:rPr>
          <w:iCs/>
          <w:color w:val="000000" w:themeColor="text1"/>
        </w:rPr>
        <w:t xml:space="preserve"> were permitted</w:t>
      </w:r>
      <w:r w:rsidR="008F56DD" w:rsidRPr="007561D2">
        <w:rPr>
          <w:iCs/>
          <w:color w:val="000000" w:themeColor="text1"/>
        </w:rPr>
        <w:t xml:space="preserve"> to enrol</w:t>
      </w:r>
      <w:r>
        <w:rPr>
          <w:iCs/>
          <w:color w:val="000000" w:themeColor="text1"/>
        </w:rPr>
        <w:t xml:space="preserve"> in HER2CLIMB</w:t>
      </w:r>
      <w:r w:rsidR="008F56DD" w:rsidRPr="007561D2">
        <w:rPr>
          <w:iCs/>
          <w:color w:val="000000" w:themeColor="text1"/>
        </w:rPr>
        <w:t>, including those with treated and previously untreated brain metastases. Such patients are usually excluded from clinical trials,</w:t>
      </w:r>
      <w:r w:rsidR="00A505AF" w:rsidRPr="007561D2">
        <w:rPr>
          <w:iCs/>
          <w:color w:val="000000" w:themeColor="text1"/>
        </w:rPr>
        <w:t xml:space="preserve"> due to their poor prognosis and because most agents have limited </w:t>
      </w:r>
      <w:r w:rsidR="00CE6C11" w:rsidRPr="007561D2">
        <w:rPr>
          <w:iCs/>
          <w:color w:val="000000" w:themeColor="text1"/>
        </w:rPr>
        <w:t xml:space="preserve">efficacy </w:t>
      </w:r>
      <w:r w:rsidR="00F83A52" w:rsidRPr="007561D2">
        <w:rPr>
          <w:iCs/>
          <w:color w:val="000000" w:themeColor="text1"/>
        </w:rPr>
        <w:t>against</w:t>
      </w:r>
      <w:r w:rsidR="00CE6C11" w:rsidRPr="007561D2">
        <w:rPr>
          <w:iCs/>
          <w:color w:val="000000" w:themeColor="text1"/>
        </w:rPr>
        <w:t xml:space="preserve"> brain metastases. However, such patients were</w:t>
      </w:r>
      <w:r w:rsidR="008F56DD" w:rsidRPr="007561D2">
        <w:rPr>
          <w:iCs/>
          <w:color w:val="000000" w:themeColor="text1"/>
        </w:rPr>
        <w:t xml:space="preserve"> deliberately included</w:t>
      </w:r>
      <w:r w:rsidR="00CE6C11" w:rsidRPr="007561D2">
        <w:rPr>
          <w:iCs/>
          <w:color w:val="000000" w:themeColor="text1"/>
        </w:rPr>
        <w:t xml:space="preserve"> based on efficacy signals early in the tucatinib development program,</w:t>
      </w:r>
      <w:r w:rsidR="008F56DD" w:rsidRPr="007561D2">
        <w:rPr>
          <w:iCs/>
          <w:color w:val="000000" w:themeColor="text1"/>
        </w:rPr>
        <w:t xml:space="preserve"> and </w:t>
      </w:r>
      <w:r w:rsidR="00DA7AE1" w:rsidRPr="007561D2">
        <w:rPr>
          <w:iCs/>
          <w:color w:val="000000" w:themeColor="text1"/>
        </w:rPr>
        <w:t>an</w:t>
      </w:r>
      <w:r w:rsidR="008F56DD" w:rsidRPr="007561D2">
        <w:rPr>
          <w:iCs/>
          <w:color w:val="000000" w:themeColor="text1"/>
        </w:rPr>
        <w:t xml:space="preserve"> analysis of their PFS outcomes as a</w:t>
      </w:r>
      <w:r w:rsidR="00642205" w:rsidRPr="007561D2">
        <w:rPr>
          <w:iCs/>
          <w:color w:val="000000" w:themeColor="text1"/>
        </w:rPr>
        <w:t>n alpha-controlled subgroup analysis was a key</w:t>
      </w:r>
      <w:r w:rsidR="008F56DD" w:rsidRPr="007561D2">
        <w:rPr>
          <w:iCs/>
          <w:color w:val="000000" w:themeColor="text1"/>
        </w:rPr>
        <w:t xml:space="preserve"> secondary o</w:t>
      </w:r>
      <w:r w:rsidR="0088045E">
        <w:rPr>
          <w:iCs/>
          <w:color w:val="000000" w:themeColor="text1"/>
        </w:rPr>
        <w:t>utcome</w:t>
      </w:r>
      <w:r w:rsidR="008F56DD" w:rsidRPr="007561D2">
        <w:rPr>
          <w:iCs/>
          <w:color w:val="000000" w:themeColor="text1"/>
        </w:rPr>
        <w:t xml:space="preserve">. </w:t>
      </w:r>
      <w:r w:rsidR="003854A9" w:rsidRPr="007561D2">
        <w:rPr>
          <w:iCs/>
          <w:color w:val="000000" w:themeColor="text1"/>
        </w:rPr>
        <w:t xml:space="preserve">Patients with brain metastases comprised 48% of the ITT-OS population. </w:t>
      </w:r>
    </w:p>
    <w:p w:rsidR="00DA7AE1" w:rsidRPr="007561D2" w:rsidRDefault="00DA7AE1" w:rsidP="00DA7AE1">
      <w:pPr>
        <w:pStyle w:val="3-BodyText"/>
        <w:rPr>
          <w:iCs/>
          <w:color w:val="000000" w:themeColor="text1"/>
        </w:rPr>
      </w:pPr>
      <w:r w:rsidRPr="007561D2">
        <w:rPr>
          <w:lang w:eastAsia="en-GB"/>
        </w:rPr>
        <w:t>The sample size was increased from 480 to 600 under protocol version 8 to increase the statistical power for analyses of key secondary endpoints, but the primary analysis of PFS by</w:t>
      </w:r>
      <w:r w:rsidR="00DE789B" w:rsidRPr="007561D2">
        <w:rPr>
          <w:lang w:eastAsia="en-GB"/>
        </w:rPr>
        <w:t xml:space="preserve"> blinded independent central review</w:t>
      </w:r>
      <w:r w:rsidRPr="007561D2">
        <w:rPr>
          <w:lang w:eastAsia="en-GB"/>
        </w:rPr>
        <w:t xml:space="preserve"> </w:t>
      </w:r>
      <w:r w:rsidR="00DE789B" w:rsidRPr="007561D2">
        <w:rPr>
          <w:lang w:eastAsia="en-GB"/>
        </w:rPr>
        <w:t>(</w:t>
      </w:r>
      <w:r w:rsidRPr="007561D2">
        <w:rPr>
          <w:lang w:eastAsia="en-GB"/>
        </w:rPr>
        <w:t>BICR</w:t>
      </w:r>
      <w:r w:rsidR="00DE789B" w:rsidRPr="007561D2">
        <w:rPr>
          <w:lang w:eastAsia="en-GB"/>
        </w:rPr>
        <w:t>)</w:t>
      </w:r>
      <w:r w:rsidRPr="007561D2">
        <w:rPr>
          <w:lang w:eastAsia="en-GB"/>
        </w:rPr>
        <w:t xml:space="preserve"> was kept to the first 480 patients to reduce potential bias due to early progression events</w:t>
      </w:r>
      <w:r w:rsidR="005E7A67" w:rsidRPr="007561D2">
        <w:rPr>
          <w:lang w:eastAsia="en-GB"/>
        </w:rPr>
        <w:t xml:space="preserve"> </w:t>
      </w:r>
      <w:r w:rsidR="00190F3C" w:rsidRPr="007561D2">
        <w:rPr>
          <w:lang w:eastAsia="en-GB"/>
        </w:rPr>
        <w:t>and</w:t>
      </w:r>
      <w:r w:rsidR="005E7A67" w:rsidRPr="007561D2">
        <w:rPr>
          <w:lang w:eastAsia="en-GB"/>
        </w:rPr>
        <w:t xml:space="preserve"> </w:t>
      </w:r>
      <w:r w:rsidR="00FB6FA4" w:rsidRPr="007561D2">
        <w:rPr>
          <w:lang w:eastAsia="en-GB"/>
        </w:rPr>
        <w:t xml:space="preserve">shorter </w:t>
      </w:r>
      <w:r w:rsidR="005E7A67" w:rsidRPr="007561D2">
        <w:rPr>
          <w:lang w:eastAsia="en-GB"/>
        </w:rPr>
        <w:t>follow-up in patients recruited later</w:t>
      </w:r>
      <w:r w:rsidRPr="007561D2">
        <w:rPr>
          <w:lang w:eastAsia="en-GB"/>
        </w:rPr>
        <w:t>. This approach resulted in different analysis populations for the primary endpoint and</w:t>
      </w:r>
      <w:r w:rsidR="002D0331" w:rsidRPr="007561D2">
        <w:rPr>
          <w:lang w:eastAsia="en-GB"/>
        </w:rPr>
        <w:t xml:space="preserve"> those used for</w:t>
      </w:r>
      <w:r w:rsidRPr="007561D2">
        <w:rPr>
          <w:lang w:eastAsia="en-GB"/>
        </w:rPr>
        <w:t xml:space="preserve"> </w:t>
      </w:r>
      <w:r w:rsidR="002D0331" w:rsidRPr="007561D2">
        <w:rPr>
          <w:lang w:eastAsia="en-GB"/>
        </w:rPr>
        <w:t>the</w:t>
      </w:r>
      <w:r w:rsidRPr="007561D2">
        <w:rPr>
          <w:lang w:eastAsia="en-GB"/>
        </w:rPr>
        <w:t xml:space="preserve"> secondary endpoints.</w:t>
      </w:r>
    </w:p>
    <w:p w:rsidR="00DA7AE1" w:rsidRPr="007561D2" w:rsidRDefault="00DA7AE1" w:rsidP="0070501F">
      <w:pPr>
        <w:pStyle w:val="3-BodyText"/>
        <w:numPr>
          <w:ilvl w:val="0"/>
          <w:numId w:val="13"/>
        </w:numPr>
        <w:ind w:left="1077" w:hanging="357"/>
        <w:rPr>
          <w:iCs/>
          <w:color w:val="000000" w:themeColor="text1"/>
        </w:rPr>
      </w:pPr>
      <w:r w:rsidRPr="007561D2">
        <w:t>The ITT</w:t>
      </w:r>
      <w:r w:rsidR="005E7A67" w:rsidRPr="007561D2">
        <w:t>-OS</w:t>
      </w:r>
      <w:r w:rsidRPr="007561D2">
        <w:t xml:space="preserve"> analysis population included all randomised patients. The analyses of the key secondary endpoints OS and </w:t>
      </w:r>
      <w:r w:rsidR="00AF1F0C" w:rsidRPr="007561D2">
        <w:t xml:space="preserve">confirmed </w:t>
      </w:r>
      <w:r w:rsidRPr="007561D2">
        <w:t>ORR per BICR were conducted on all randomised patients in the ITT-OS population</w:t>
      </w:r>
      <w:r w:rsidR="002D0331" w:rsidRPr="007561D2">
        <w:t>.</w:t>
      </w:r>
    </w:p>
    <w:p w:rsidR="00DA7AE1" w:rsidRPr="007561D2" w:rsidRDefault="00DA7AE1" w:rsidP="0070501F">
      <w:pPr>
        <w:pStyle w:val="3-BodyText"/>
        <w:numPr>
          <w:ilvl w:val="0"/>
          <w:numId w:val="13"/>
        </w:numPr>
        <w:ind w:left="1077" w:hanging="357"/>
        <w:rPr>
          <w:iCs/>
          <w:color w:val="000000" w:themeColor="text1"/>
        </w:rPr>
      </w:pPr>
      <w:r w:rsidRPr="007561D2">
        <w:t>The analysis for the primary endpoint of PFS per BICR was conducted using the first 480 randomised patients in the ITT</w:t>
      </w:r>
      <w:r w:rsidR="005E7A67" w:rsidRPr="007561D2">
        <w:t>-OS</w:t>
      </w:r>
      <w:r w:rsidRPr="007561D2">
        <w:t xml:space="preserve"> analysis population (ITT-PFS population). </w:t>
      </w:r>
    </w:p>
    <w:p w:rsidR="00F25287" w:rsidRPr="00D444A4" w:rsidRDefault="00DA7AE1" w:rsidP="0070501F">
      <w:pPr>
        <w:pStyle w:val="3-BodyText"/>
        <w:numPr>
          <w:ilvl w:val="0"/>
          <w:numId w:val="13"/>
        </w:numPr>
        <w:ind w:left="1077" w:hanging="357"/>
        <w:rPr>
          <w:iCs/>
          <w:color w:val="000000" w:themeColor="text1"/>
        </w:rPr>
      </w:pPr>
      <w:r w:rsidRPr="007561D2">
        <w:t>The analyses of the key secondary endpoint PFS</w:t>
      </w:r>
      <w:r w:rsidRPr="007561D2">
        <w:rPr>
          <w:vertAlign w:val="subscript"/>
        </w:rPr>
        <w:t xml:space="preserve">BrainMets </w:t>
      </w:r>
      <w:r w:rsidRPr="007561D2">
        <w:t xml:space="preserve">were conducted </w:t>
      </w:r>
      <w:r w:rsidR="005E7A67" w:rsidRPr="007561D2">
        <w:t>in</w:t>
      </w:r>
      <w:r w:rsidRPr="007561D2">
        <w:t xml:space="preserve"> all randomised </w:t>
      </w:r>
      <w:r w:rsidR="005E7A67" w:rsidRPr="007561D2">
        <w:t>patients</w:t>
      </w:r>
      <w:r w:rsidRPr="007561D2">
        <w:t xml:space="preserve"> </w:t>
      </w:r>
      <w:r w:rsidR="005E7A67" w:rsidRPr="007561D2">
        <w:t>with</w:t>
      </w:r>
      <w:r w:rsidRPr="007561D2">
        <w:t xml:space="preserve"> brain metastases in the ITT</w:t>
      </w:r>
      <w:r w:rsidR="005E7A67" w:rsidRPr="007561D2">
        <w:t>-OS</w:t>
      </w:r>
      <w:r w:rsidRPr="007561D2">
        <w:t xml:space="preserve"> population (ITT-PFS</w:t>
      </w:r>
      <w:r w:rsidRPr="007561D2">
        <w:rPr>
          <w:vertAlign w:val="subscript"/>
        </w:rPr>
        <w:t>BrainMets</w:t>
      </w:r>
      <w:r w:rsidRPr="007561D2">
        <w:t xml:space="preserve"> population). </w:t>
      </w:r>
      <w:r w:rsidR="00F25287" w:rsidRPr="007561D2">
        <w:t>This was the only subgroup analysis for which an alpha was allocated.</w:t>
      </w:r>
    </w:p>
    <w:p w:rsidR="008E3693" w:rsidRPr="007561D2" w:rsidRDefault="008E3693" w:rsidP="008E3693">
      <w:pPr>
        <w:pStyle w:val="3-BodyText"/>
      </w:pPr>
      <w:r w:rsidRPr="007561D2">
        <w:rPr>
          <w:lang w:eastAsia="en-GB"/>
        </w:rPr>
        <w:t>All</w:t>
      </w:r>
      <w:r w:rsidRPr="007561D2">
        <w:t xml:space="preserve"> pre-specified</w:t>
      </w:r>
      <w:r w:rsidRPr="007561D2">
        <w:rPr>
          <w:lang w:eastAsia="en-GB"/>
        </w:rPr>
        <w:t xml:space="preserve"> </w:t>
      </w:r>
      <w:r w:rsidRPr="007561D2">
        <w:t xml:space="preserve">subgroup analyses </w:t>
      </w:r>
      <w:r w:rsidRPr="007561D2">
        <w:rPr>
          <w:lang w:eastAsia="en-GB"/>
        </w:rPr>
        <w:t>for the primary endpoint and key secondary efficacy endpoints (</w:t>
      </w:r>
      <w:r w:rsidR="00F924B4">
        <w:rPr>
          <w:lang w:eastAsia="en-GB"/>
        </w:rPr>
        <w:t xml:space="preserve">subgroup analyses on the </w:t>
      </w:r>
      <w:r w:rsidR="00F924B4" w:rsidRPr="007561D2">
        <w:t>ITT-PFS</w:t>
      </w:r>
      <w:r w:rsidR="00F924B4">
        <w:t>, ITT-</w:t>
      </w:r>
      <w:r w:rsidRPr="007561D2">
        <w:rPr>
          <w:lang w:eastAsia="en-GB"/>
        </w:rPr>
        <w:t xml:space="preserve">OS and </w:t>
      </w:r>
      <w:r w:rsidR="00F924B4">
        <w:rPr>
          <w:lang w:eastAsia="en-GB"/>
        </w:rPr>
        <w:t>ITT-</w:t>
      </w:r>
      <w:r w:rsidRPr="007561D2">
        <w:rPr>
          <w:lang w:eastAsia="en-GB"/>
        </w:rPr>
        <w:t>PFS</w:t>
      </w:r>
      <w:r w:rsidRPr="007561D2">
        <w:rPr>
          <w:position w:val="-2"/>
          <w:sz w:val="16"/>
          <w:szCs w:val="16"/>
          <w:lang w:eastAsia="en-GB"/>
        </w:rPr>
        <w:t>BrainMets</w:t>
      </w:r>
      <w:r w:rsidR="00F924B4">
        <w:rPr>
          <w:position w:val="-2"/>
          <w:sz w:val="16"/>
          <w:szCs w:val="16"/>
          <w:lang w:eastAsia="en-GB"/>
        </w:rPr>
        <w:t xml:space="preserve"> </w:t>
      </w:r>
      <w:r w:rsidR="00F924B4" w:rsidRPr="00F924B4">
        <w:rPr>
          <w:lang w:eastAsia="en-GB"/>
        </w:rPr>
        <w:t>populations</w:t>
      </w:r>
      <w:r w:rsidRPr="007561D2">
        <w:rPr>
          <w:lang w:eastAsia="en-GB"/>
        </w:rPr>
        <w:t>)</w:t>
      </w:r>
      <w:r w:rsidR="003854A9" w:rsidRPr="007561D2">
        <w:rPr>
          <w:lang w:eastAsia="en-GB"/>
        </w:rPr>
        <w:t>,</w:t>
      </w:r>
      <w:r w:rsidRPr="007561D2">
        <w:rPr>
          <w:lang w:eastAsia="en-GB"/>
        </w:rPr>
        <w:t xml:space="preserve"> based on demographics and disease characteristics, were exploratory as no</w:t>
      </w:r>
      <w:r w:rsidRPr="007561D2">
        <w:t xml:space="preserve"> alpha was allocated. </w:t>
      </w:r>
    </w:p>
    <w:p w:rsidR="005E7A67" w:rsidRPr="00DD4DD8" w:rsidRDefault="005D4D1E" w:rsidP="003C66D1">
      <w:pPr>
        <w:pStyle w:val="3-BodyText"/>
        <w:rPr>
          <w:i/>
        </w:rPr>
      </w:pPr>
      <w:r w:rsidRPr="007561D2">
        <w:t>In HER2CLIMB, patients enrolled</w:t>
      </w:r>
      <w:r w:rsidR="00E24D75" w:rsidRPr="007561D2">
        <w:t xml:space="preserve"> were heavily pre</w:t>
      </w:r>
      <w:r w:rsidR="008235D1">
        <w:t>-</w:t>
      </w:r>
      <w:r w:rsidR="00E24D75" w:rsidRPr="007561D2">
        <w:t>treated and</w:t>
      </w:r>
      <w:r w:rsidRPr="007561D2">
        <w:t xml:space="preserve"> had received a median of </w:t>
      </w:r>
      <w:r w:rsidR="00496A36" w:rsidRPr="007561D2">
        <w:t>4</w:t>
      </w:r>
      <w:r w:rsidRPr="007561D2">
        <w:t xml:space="preserve"> prior lines of</w:t>
      </w:r>
      <w:r w:rsidR="00496A36" w:rsidRPr="007561D2">
        <w:t xml:space="preserve"> systemic</w:t>
      </w:r>
      <w:r w:rsidRPr="007561D2">
        <w:t xml:space="preserve"> therapy (range: 1-14)</w:t>
      </w:r>
      <w:r w:rsidR="0021257E" w:rsidRPr="007561D2">
        <w:t xml:space="preserve"> and </w:t>
      </w:r>
      <w:r w:rsidR="008A72CF">
        <w:t xml:space="preserve">a </w:t>
      </w:r>
      <w:r w:rsidR="0021257E" w:rsidRPr="007561D2">
        <w:t xml:space="preserve">median of 3 </w:t>
      </w:r>
      <w:r w:rsidR="00CD5D24" w:rsidRPr="007561D2">
        <w:t xml:space="preserve">prior </w:t>
      </w:r>
      <w:r w:rsidR="0021257E" w:rsidRPr="007561D2">
        <w:t xml:space="preserve">lines </w:t>
      </w:r>
      <w:r w:rsidR="00CD1067">
        <w:t>of treatment for metastatic disease</w:t>
      </w:r>
      <w:r w:rsidRPr="007561D2">
        <w:t>.</w:t>
      </w:r>
      <w:r w:rsidR="00DD4DD8" w:rsidRPr="007561D2">
        <w:t xml:space="preserve"> In HER2CLIMB, only </w:t>
      </w:r>
      <w:r w:rsidR="00DD4DD8" w:rsidRPr="007561D2">
        <w:rPr>
          <w:iCs/>
          <w:color w:val="000000" w:themeColor="text1"/>
        </w:rPr>
        <w:t xml:space="preserve">6% of patients received tucatinib </w:t>
      </w:r>
      <w:r w:rsidR="00CD1067">
        <w:rPr>
          <w:iCs/>
          <w:color w:val="000000" w:themeColor="text1"/>
        </w:rPr>
        <w:t>as a</w:t>
      </w:r>
      <w:r w:rsidR="00DD4DD8" w:rsidRPr="007561D2">
        <w:rPr>
          <w:iCs/>
          <w:color w:val="000000" w:themeColor="text1"/>
        </w:rPr>
        <w:t xml:space="preserve"> second-line metastatic </w:t>
      </w:r>
      <w:r w:rsidR="00CD1067">
        <w:rPr>
          <w:iCs/>
          <w:color w:val="000000" w:themeColor="text1"/>
        </w:rPr>
        <w:t>treatment</w:t>
      </w:r>
      <w:r w:rsidR="00AC4D16" w:rsidRPr="007561D2">
        <w:rPr>
          <w:iCs/>
          <w:color w:val="000000" w:themeColor="text1"/>
        </w:rPr>
        <w:t>. U</w:t>
      </w:r>
      <w:r w:rsidR="00DD4DD8" w:rsidRPr="007561D2">
        <w:rPr>
          <w:iCs/>
          <w:color w:val="000000" w:themeColor="text1"/>
        </w:rPr>
        <w:t xml:space="preserve">se in </w:t>
      </w:r>
      <w:r w:rsidR="00EF11BE" w:rsidRPr="007561D2">
        <w:rPr>
          <w:iCs/>
          <w:color w:val="000000" w:themeColor="text1"/>
        </w:rPr>
        <w:t xml:space="preserve">this setting will likely be higher in </w:t>
      </w:r>
      <w:r w:rsidR="00DD4DD8" w:rsidRPr="007561D2">
        <w:rPr>
          <w:iCs/>
          <w:color w:val="000000" w:themeColor="text1"/>
        </w:rPr>
        <w:t xml:space="preserve">the proposed PBS population due to use of T-DM1 </w:t>
      </w:r>
      <w:r w:rsidR="00CD1067">
        <w:rPr>
          <w:iCs/>
          <w:color w:val="000000" w:themeColor="text1"/>
        </w:rPr>
        <w:t xml:space="preserve">for the treatment of </w:t>
      </w:r>
      <w:r w:rsidR="00DD4DD8" w:rsidRPr="007561D2">
        <w:rPr>
          <w:iCs/>
          <w:color w:val="000000" w:themeColor="text1"/>
        </w:rPr>
        <w:t xml:space="preserve">adjuvant </w:t>
      </w:r>
      <w:r w:rsidR="00CD1067">
        <w:rPr>
          <w:iCs/>
          <w:color w:val="000000" w:themeColor="text1"/>
        </w:rPr>
        <w:t>disease</w:t>
      </w:r>
      <w:r w:rsidR="00DD4DD8" w:rsidRPr="007561D2">
        <w:rPr>
          <w:iCs/>
          <w:color w:val="000000" w:themeColor="text1"/>
        </w:rPr>
        <w:t xml:space="preserve"> (which was not standard practice at the time HER2CLIMB was conducted). </w:t>
      </w:r>
      <w:r w:rsidR="00DD4DD8" w:rsidRPr="007561D2">
        <w:t>The submission stated that the Cox-regression analyses indicate</w:t>
      </w:r>
      <w:r w:rsidR="006A34D9" w:rsidRPr="007561D2">
        <w:t>d</w:t>
      </w:r>
      <w:r w:rsidR="00DD4DD8" w:rsidRPr="007561D2">
        <w:t xml:space="preserve"> a consistency of treatment effect irrespective of the number of prior lines of metastatic therapy and the test for interaction was non-significant (p = 0.436). This was an exploratory analysis, based on small patient numbers. Overall patients in HER2CLIMB may be more heavily pre-treated than those in Australian clinical practice</w:t>
      </w:r>
      <w:r w:rsidR="006A34D9" w:rsidRPr="007561D2">
        <w:t>, and i</w:t>
      </w:r>
      <w:r w:rsidR="00DD4DD8" w:rsidRPr="007561D2">
        <w:t xml:space="preserve">t is unclear whether </w:t>
      </w:r>
      <w:r w:rsidR="006A34D9" w:rsidRPr="007561D2">
        <w:t xml:space="preserve">this will impact </w:t>
      </w:r>
      <w:r w:rsidR="00DD4DD8" w:rsidRPr="007561D2">
        <w:t>the absolute benefit of tucatinib.</w:t>
      </w:r>
      <w:r w:rsidR="005E7A67" w:rsidRPr="00DD4DD8">
        <w:rPr>
          <w:i/>
        </w:rPr>
        <w:t xml:space="preserve"> </w:t>
      </w:r>
    </w:p>
    <w:p w:rsidR="00B60939" w:rsidRDefault="00B60939" w:rsidP="008D0213">
      <w:pPr>
        <w:pStyle w:val="4-SubsectionHeading"/>
      </w:pPr>
      <w:bookmarkStart w:id="9" w:name="_Toc22897641"/>
      <w:bookmarkStart w:id="10" w:name="_Toc62045112"/>
      <w:r w:rsidRPr="00C9624D">
        <w:t>Comparative effectiveness</w:t>
      </w:r>
      <w:bookmarkEnd w:id="9"/>
      <w:bookmarkEnd w:id="10"/>
    </w:p>
    <w:p w:rsidR="007A40DE" w:rsidRDefault="003854A9" w:rsidP="000C45BD">
      <w:pPr>
        <w:pStyle w:val="3-BodyText"/>
      </w:pPr>
      <w:r>
        <w:t>The</w:t>
      </w:r>
      <w:r w:rsidR="007A40DE">
        <w:t xml:space="preserve"> </w:t>
      </w:r>
      <w:r w:rsidR="00FC5F42">
        <w:t>primary</w:t>
      </w:r>
      <w:r w:rsidR="007A40DE">
        <w:t xml:space="preserve"> efficacy </w:t>
      </w:r>
      <w:r w:rsidR="00FC5F42">
        <w:t>and key secondary efficacy outcomes</w:t>
      </w:r>
      <w:r w:rsidR="007A40DE">
        <w:t xml:space="preserve"> </w:t>
      </w:r>
      <w:r>
        <w:t>are outlined in the table below.</w:t>
      </w:r>
    </w:p>
    <w:p w:rsidR="00FC5F42" w:rsidRDefault="00FC5F42" w:rsidP="003854A9">
      <w:pPr>
        <w:pStyle w:val="TableFigureHeading"/>
        <w:keepLines/>
      </w:pPr>
      <w:r>
        <w:t xml:space="preserve">Table </w:t>
      </w:r>
      <w:r w:rsidR="006177EA">
        <w:t>4:</w:t>
      </w:r>
      <w:r>
        <w:t xml:space="preserve"> Summary of primary efficacy and key secondary efficacy outcomes in HER2CLIMB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2160"/>
        <w:gridCol w:w="2128"/>
        <w:gridCol w:w="1273"/>
        <w:gridCol w:w="1652"/>
      </w:tblGrid>
      <w:tr w:rsidR="001C5C69" w:rsidRPr="00FE70C3" w:rsidTr="00620B5C">
        <w:trPr>
          <w:cantSplit/>
          <w:tblHeader/>
        </w:trPr>
        <w:tc>
          <w:tcPr>
            <w:tcW w:w="1000" w:type="pct"/>
            <w:vAlign w:val="center"/>
          </w:tcPr>
          <w:p w:rsidR="001C5C69" w:rsidRPr="00FE70C3" w:rsidRDefault="001C5C69" w:rsidP="003854A9">
            <w:pPr>
              <w:pStyle w:val="In-tableHeading"/>
              <w:keepLines/>
              <w:jc w:val="center"/>
            </w:pPr>
          </w:p>
        </w:tc>
        <w:tc>
          <w:tcPr>
            <w:tcW w:w="1198" w:type="pct"/>
            <w:vAlign w:val="center"/>
          </w:tcPr>
          <w:p w:rsidR="001C5C69" w:rsidRPr="00FE70C3" w:rsidRDefault="001C5C69" w:rsidP="004A0A54">
            <w:pPr>
              <w:pStyle w:val="In-tableHeading"/>
              <w:keepLines/>
              <w:jc w:val="center"/>
            </w:pPr>
            <w:r>
              <w:t>Tucatinib</w:t>
            </w:r>
            <w:r w:rsidR="00620B5C">
              <w:t xml:space="preserve"> </w:t>
            </w:r>
            <w:r>
              <w:t>+</w:t>
            </w:r>
            <w:r w:rsidR="00620B5C">
              <w:t xml:space="preserve"> </w:t>
            </w:r>
            <w:r>
              <w:t>trastuzumab</w:t>
            </w:r>
            <w:r w:rsidRPr="00FE70C3">
              <w:t xml:space="preserve"> </w:t>
            </w:r>
            <w:r w:rsidR="004A0A54">
              <w:br/>
            </w:r>
            <w:r>
              <w:t>+</w:t>
            </w:r>
            <w:r w:rsidR="00620B5C">
              <w:t xml:space="preserve"> </w:t>
            </w:r>
            <w:r>
              <w:t>capecitabine</w:t>
            </w:r>
          </w:p>
        </w:tc>
        <w:tc>
          <w:tcPr>
            <w:tcW w:w="1180" w:type="pct"/>
            <w:vAlign w:val="center"/>
          </w:tcPr>
          <w:p w:rsidR="001C5C69" w:rsidRPr="00FE70C3" w:rsidRDefault="00951283" w:rsidP="003854A9">
            <w:pPr>
              <w:pStyle w:val="In-tableHeading"/>
              <w:keepLines/>
              <w:jc w:val="center"/>
            </w:pPr>
            <w:r>
              <w:t>Placebo</w:t>
            </w:r>
            <w:r w:rsidR="00620B5C">
              <w:t xml:space="preserve"> </w:t>
            </w:r>
            <w:r>
              <w:t>+</w:t>
            </w:r>
            <w:r w:rsidR="00620B5C">
              <w:t xml:space="preserve"> </w:t>
            </w:r>
            <w:r>
              <w:t>trastuzumab</w:t>
            </w:r>
            <w:r w:rsidR="00620B5C">
              <w:t xml:space="preserve"> </w:t>
            </w:r>
            <w:r>
              <w:t>+</w:t>
            </w:r>
            <w:r w:rsidR="00620B5C">
              <w:t xml:space="preserve"> </w:t>
            </w:r>
            <w:r>
              <w:t>capecitabine</w:t>
            </w:r>
            <w:r w:rsidRPr="00FE70C3">
              <w:t xml:space="preserve"> </w:t>
            </w:r>
          </w:p>
        </w:tc>
        <w:tc>
          <w:tcPr>
            <w:tcW w:w="706" w:type="pct"/>
            <w:vAlign w:val="center"/>
          </w:tcPr>
          <w:p w:rsidR="001C5C69" w:rsidRPr="00FE70C3" w:rsidRDefault="001C5C69" w:rsidP="003854A9">
            <w:pPr>
              <w:pStyle w:val="In-tableHeading"/>
              <w:keepLines/>
              <w:jc w:val="center"/>
            </w:pPr>
            <w:r w:rsidRPr="00FE70C3">
              <w:t>Absolute difference</w:t>
            </w:r>
          </w:p>
        </w:tc>
        <w:tc>
          <w:tcPr>
            <w:tcW w:w="916" w:type="pct"/>
            <w:vAlign w:val="center"/>
          </w:tcPr>
          <w:p w:rsidR="001C5C69" w:rsidRPr="00FE70C3" w:rsidRDefault="001C5C69" w:rsidP="003854A9">
            <w:pPr>
              <w:pStyle w:val="In-tableHeading"/>
              <w:keepLines/>
              <w:jc w:val="center"/>
            </w:pPr>
            <w:r w:rsidRPr="00FE70C3">
              <w:t>HR (95% CI)</w:t>
            </w:r>
          </w:p>
        </w:tc>
      </w:tr>
      <w:tr w:rsidR="001C5C69" w:rsidRPr="00FE70C3" w:rsidTr="00460101">
        <w:trPr>
          <w:cantSplit/>
        </w:trPr>
        <w:tc>
          <w:tcPr>
            <w:tcW w:w="5000" w:type="pct"/>
            <w:gridSpan w:val="5"/>
            <w:vAlign w:val="center"/>
          </w:tcPr>
          <w:p w:rsidR="001C5C69" w:rsidRPr="00FE70C3" w:rsidRDefault="001C5C69" w:rsidP="003854A9">
            <w:pPr>
              <w:pStyle w:val="In-tableHeading"/>
              <w:keepLines/>
            </w:pPr>
            <w:r w:rsidRPr="00FE70C3">
              <w:t>Progression-free survival</w:t>
            </w:r>
            <w:r>
              <w:t xml:space="preserve"> (ITT-PFS population = first 480 patients randomi</w:t>
            </w:r>
            <w:r w:rsidR="00300042">
              <w:t>s</w:t>
            </w:r>
            <w:r>
              <w:t>ed)</w:t>
            </w:r>
          </w:p>
        </w:tc>
      </w:tr>
      <w:tr w:rsidR="001C5C69" w:rsidRPr="00FE70C3" w:rsidTr="00620B5C">
        <w:trPr>
          <w:cantSplit/>
        </w:trPr>
        <w:tc>
          <w:tcPr>
            <w:tcW w:w="1000" w:type="pct"/>
            <w:vAlign w:val="center"/>
          </w:tcPr>
          <w:p w:rsidR="001C5C69" w:rsidRPr="007F5255" w:rsidRDefault="001C5C69" w:rsidP="003854A9">
            <w:pPr>
              <w:pStyle w:val="TableText0"/>
              <w:keepLines/>
            </w:pPr>
            <w:r>
              <w:t>N</w:t>
            </w:r>
          </w:p>
        </w:tc>
        <w:tc>
          <w:tcPr>
            <w:tcW w:w="1198" w:type="pct"/>
            <w:vAlign w:val="center"/>
          </w:tcPr>
          <w:p w:rsidR="001C5C69" w:rsidRPr="008E44C3" w:rsidRDefault="001C5C69" w:rsidP="003854A9">
            <w:pPr>
              <w:pStyle w:val="Tabletext"/>
              <w:keepNext/>
              <w:keepLines/>
              <w:jc w:val="center"/>
            </w:pPr>
            <w:r>
              <w:t>320</w:t>
            </w:r>
          </w:p>
        </w:tc>
        <w:tc>
          <w:tcPr>
            <w:tcW w:w="1180" w:type="pct"/>
            <w:vAlign w:val="center"/>
          </w:tcPr>
          <w:p w:rsidR="001C5C69" w:rsidRPr="008E44C3" w:rsidRDefault="001C5C69" w:rsidP="003854A9">
            <w:pPr>
              <w:pStyle w:val="Tabletext"/>
              <w:keepNext/>
              <w:keepLines/>
              <w:jc w:val="center"/>
            </w:pPr>
            <w:r>
              <w:t>160</w:t>
            </w:r>
          </w:p>
        </w:tc>
        <w:tc>
          <w:tcPr>
            <w:tcW w:w="706" w:type="pct"/>
            <w:vAlign w:val="center"/>
          </w:tcPr>
          <w:p w:rsidR="001C5C69" w:rsidRDefault="001C5C69" w:rsidP="003854A9">
            <w:pPr>
              <w:pStyle w:val="Tabletext"/>
              <w:keepNext/>
              <w:keepLines/>
            </w:pPr>
          </w:p>
        </w:tc>
        <w:tc>
          <w:tcPr>
            <w:tcW w:w="916" w:type="pct"/>
            <w:vAlign w:val="center"/>
          </w:tcPr>
          <w:p w:rsidR="001C5C69" w:rsidRDefault="001C5C69" w:rsidP="003854A9">
            <w:pPr>
              <w:pStyle w:val="Tabletext"/>
              <w:keepNext/>
              <w:keepLines/>
            </w:pPr>
          </w:p>
        </w:tc>
      </w:tr>
      <w:tr w:rsidR="001C5C69" w:rsidRPr="00FE70C3" w:rsidTr="00620B5C">
        <w:trPr>
          <w:cantSplit/>
        </w:trPr>
        <w:tc>
          <w:tcPr>
            <w:tcW w:w="1000" w:type="pct"/>
            <w:vAlign w:val="center"/>
          </w:tcPr>
          <w:p w:rsidR="001C5C69" w:rsidRPr="00FE70C3" w:rsidRDefault="001C5C69" w:rsidP="003854A9">
            <w:pPr>
              <w:pStyle w:val="TableText0"/>
              <w:keepLines/>
            </w:pPr>
            <w:r w:rsidRPr="007F5255">
              <w:t>Progressed, n</w:t>
            </w:r>
            <w:r>
              <w:t>/N</w:t>
            </w:r>
            <w:r w:rsidRPr="007F5255">
              <w:t xml:space="preserve"> (%)</w:t>
            </w:r>
          </w:p>
        </w:tc>
        <w:tc>
          <w:tcPr>
            <w:tcW w:w="1198" w:type="pct"/>
            <w:vAlign w:val="center"/>
          </w:tcPr>
          <w:p w:rsidR="001C5C69" w:rsidRPr="00FE70C3" w:rsidRDefault="001C5C69" w:rsidP="001A2289">
            <w:pPr>
              <w:pStyle w:val="Tabletext"/>
              <w:keepNext/>
              <w:keepLines/>
              <w:jc w:val="center"/>
            </w:pPr>
            <w:r w:rsidRPr="008E44C3">
              <w:t>178 (56</w:t>
            </w:r>
            <w:r>
              <w:t>%</w:t>
            </w:r>
            <w:r w:rsidRPr="008E44C3">
              <w:t>)</w:t>
            </w:r>
          </w:p>
        </w:tc>
        <w:tc>
          <w:tcPr>
            <w:tcW w:w="1180" w:type="pct"/>
            <w:vAlign w:val="center"/>
          </w:tcPr>
          <w:p w:rsidR="001C5C69" w:rsidRPr="00FE70C3" w:rsidRDefault="001C5C69" w:rsidP="001A2289">
            <w:pPr>
              <w:pStyle w:val="Tabletext"/>
              <w:keepNext/>
              <w:keepLines/>
              <w:jc w:val="center"/>
            </w:pPr>
            <w:r w:rsidRPr="008E44C3">
              <w:t>97 (61</w:t>
            </w:r>
            <w:r>
              <w:t>%</w:t>
            </w:r>
            <w:r w:rsidRPr="008E44C3">
              <w:t>)</w:t>
            </w:r>
          </w:p>
        </w:tc>
        <w:tc>
          <w:tcPr>
            <w:tcW w:w="706" w:type="pct"/>
            <w:vAlign w:val="center"/>
          </w:tcPr>
          <w:p w:rsidR="001C5C69" w:rsidRPr="00FE70C3" w:rsidRDefault="001C5C69" w:rsidP="00310F19">
            <w:pPr>
              <w:pStyle w:val="Tabletext"/>
              <w:keepNext/>
              <w:keepLines/>
              <w:jc w:val="center"/>
            </w:pPr>
            <w:r>
              <w:t>-</w:t>
            </w:r>
          </w:p>
        </w:tc>
        <w:tc>
          <w:tcPr>
            <w:tcW w:w="916" w:type="pct"/>
            <w:vAlign w:val="center"/>
          </w:tcPr>
          <w:p w:rsidR="001C5C69" w:rsidRPr="007A40DE" w:rsidRDefault="001C5C69" w:rsidP="00310F19">
            <w:pPr>
              <w:pStyle w:val="Tabletext"/>
              <w:keepNext/>
              <w:keepLines/>
              <w:jc w:val="center"/>
            </w:pPr>
            <w:r w:rsidRPr="007A40DE">
              <w:t>-</w:t>
            </w:r>
          </w:p>
        </w:tc>
      </w:tr>
      <w:tr w:rsidR="001C5C69" w:rsidRPr="00FE70C3" w:rsidTr="00620B5C">
        <w:trPr>
          <w:cantSplit/>
        </w:trPr>
        <w:tc>
          <w:tcPr>
            <w:tcW w:w="1000" w:type="pct"/>
            <w:vAlign w:val="center"/>
          </w:tcPr>
          <w:p w:rsidR="001C5C69" w:rsidRPr="000C45BD" w:rsidRDefault="001C5C69" w:rsidP="003854A9">
            <w:pPr>
              <w:pStyle w:val="TableText0"/>
              <w:keepLines/>
              <w:rPr>
                <w:b/>
                <w:bCs w:val="0"/>
              </w:rPr>
            </w:pPr>
            <w:r w:rsidRPr="000C45BD">
              <w:rPr>
                <w:b/>
                <w:bCs w:val="0"/>
              </w:rPr>
              <w:t>Median PFS, months (95% CI)</w:t>
            </w:r>
          </w:p>
        </w:tc>
        <w:tc>
          <w:tcPr>
            <w:tcW w:w="1198" w:type="pct"/>
            <w:vAlign w:val="center"/>
          </w:tcPr>
          <w:p w:rsidR="001C5C69" w:rsidRPr="000C45BD" w:rsidRDefault="001C5C69" w:rsidP="001A2289">
            <w:pPr>
              <w:pStyle w:val="Tabletext"/>
              <w:keepNext/>
              <w:keepLines/>
              <w:jc w:val="center"/>
              <w:rPr>
                <w:b/>
              </w:rPr>
            </w:pPr>
            <w:r w:rsidRPr="000C45BD">
              <w:rPr>
                <w:b/>
              </w:rPr>
              <w:t>7.8</w:t>
            </w:r>
            <w:r w:rsidR="00681499" w:rsidRPr="000C45BD">
              <w:rPr>
                <w:b/>
              </w:rPr>
              <w:t xml:space="preserve"> </w:t>
            </w:r>
            <w:r w:rsidRPr="000C45BD">
              <w:rPr>
                <w:b/>
                <w:lang w:val="en-GB"/>
              </w:rPr>
              <w:t>(7.5, 9.6)</w:t>
            </w:r>
          </w:p>
        </w:tc>
        <w:tc>
          <w:tcPr>
            <w:tcW w:w="1180" w:type="pct"/>
            <w:vAlign w:val="center"/>
          </w:tcPr>
          <w:p w:rsidR="001C5C69" w:rsidRPr="000C45BD" w:rsidRDefault="001C5C69" w:rsidP="003854A9">
            <w:pPr>
              <w:pStyle w:val="Tabletext"/>
              <w:keepNext/>
              <w:keepLines/>
              <w:jc w:val="center"/>
              <w:rPr>
                <w:b/>
              </w:rPr>
            </w:pPr>
            <w:r w:rsidRPr="000C45BD">
              <w:rPr>
                <w:b/>
              </w:rPr>
              <w:t>5.6</w:t>
            </w:r>
            <w:r w:rsidR="00C0246C" w:rsidRPr="000C45BD">
              <w:rPr>
                <w:b/>
              </w:rPr>
              <w:t xml:space="preserve"> </w:t>
            </w:r>
            <w:r w:rsidRPr="000C45BD">
              <w:rPr>
                <w:b/>
              </w:rPr>
              <w:t>(4.2, 7.1)</w:t>
            </w:r>
          </w:p>
        </w:tc>
        <w:tc>
          <w:tcPr>
            <w:tcW w:w="706" w:type="pct"/>
            <w:vAlign w:val="center"/>
          </w:tcPr>
          <w:p w:rsidR="001C5C69" w:rsidRPr="000C45BD" w:rsidRDefault="001C5C69" w:rsidP="003854A9">
            <w:pPr>
              <w:pStyle w:val="Tabletext"/>
              <w:keepNext/>
              <w:keepLines/>
              <w:jc w:val="center"/>
              <w:rPr>
                <w:b/>
              </w:rPr>
            </w:pPr>
            <w:r w:rsidRPr="000C45BD">
              <w:rPr>
                <w:b/>
              </w:rPr>
              <w:t>2.2 months</w:t>
            </w:r>
          </w:p>
        </w:tc>
        <w:tc>
          <w:tcPr>
            <w:tcW w:w="916" w:type="pct"/>
            <w:vAlign w:val="center"/>
          </w:tcPr>
          <w:p w:rsidR="000C45BD" w:rsidRDefault="001A2289" w:rsidP="001A2289">
            <w:pPr>
              <w:pStyle w:val="Tabletext"/>
              <w:keepNext/>
              <w:keepLines/>
              <w:jc w:val="center"/>
              <w:rPr>
                <w:b/>
              </w:rPr>
            </w:pPr>
            <w:r>
              <w:rPr>
                <w:b/>
              </w:rPr>
              <w:t>0.54 (</w:t>
            </w:r>
            <w:r w:rsidR="001C5C69" w:rsidRPr="000C45BD">
              <w:rPr>
                <w:b/>
              </w:rPr>
              <w:t>0.42, 0.71</w:t>
            </w:r>
            <w:r>
              <w:rPr>
                <w:b/>
              </w:rPr>
              <w:t>)</w:t>
            </w:r>
          </w:p>
          <w:p w:rsidR="001C5C69" w:rsidRPr="000C45BD" w:rsidRDefault="001C5C69" w:rsidP="001A2289">
            <w:pPr>
              <w:pStyle w:val="Tabletext"/>
              <w:keepNext/>
              <w:keepLines/>
              <w:jc w:val="center"/>
              <w:rPr>
                <w:b/>
              </w:rPr>
            </w:pPr>
            <w:r w:rsidRPr="000C45BD">
              <w:rPr>
                <w:b/>
              </w:rPr>
              <w:t>p-value&lt;0.000012</w:t>
            </w:r>
          </w:p>
        </w:tc>
      </w:tr>
      <w:tr w:rsidR="001C5C69" w:rsidRPr="00FE70C3" w:rsidTr="00620B5C">
        <w:trPr>
          <w:cantSplit/>
        </w:trPr>
        <w:tc>
          <w:tcPr>
            <w:tcW w:w="1000" w:type="pct"/>
          </w:tcPr>
          <w:p w:rsidR="001C5C69" w:rsidRPr="00FE70C3" w:rsidRDefault="001C5C69" w:rsidP="003854A9">
            <w:pPr>
              <w:pStyle w:val="TableText0"/>
              <w:keepLines/>
            </w:pPr>
            <w:r w:rsidRPr="007F5255">
              <w:t xml:space="preserve">% not progressed at </w:t>
            </w:r>
            <w:r>
              <w:t>6</w:t>
            </w:r>
            <w:r w:rsidRPr="007F5255">
              <w:t xml:space="preserve"> months (95% CI)</w:t>
            </w:r>
          </w:p>
        </w:tc>
        <w:tc>
          <w:tcPr>
            <w:tcW w:w="1198" w:type="pct"/>
            <w:vAlign w:val="center"/>
          </w:tcPr>
          <w:p w:rsidR="001C5C69" w:rsidRPr="00D50A1D" w:rsidRDefault="001C5C69" w:rsidP="001A2289">
            <w:pPr>
              <w:pStyle w:val="Tabletext"/>
              <w:keepNext/>
              <w:keepLines/>
              <w:jc w:val="center"/>
              <w:rPr>
                <w:rFonts w:cs="Arial"/>
                <w:bCs/>
              </w:rPr>
            </w:pPr>
            <w:r w:rsidRPr="00D50A1D">
              <w:rPr>
                <w:bCs/>
              </w:rPr>
              <w:t>62.9% (56.9%, 68.4%)</w:t>
            </w:r>
          </w:p>
        </w:tc>
        <w:tc>
          <w:tcPr>
            <w:tcW w:w="1180" w:type="pct"/>
            <w:vAlign w:val="center"/>
          </w:tcPr>
          <w:p w:rsidR="001C5C69" w:rsidRPr="00D50A1D" w:rsidRDefault="001C5C69" w:rsidP="001A2289">
            <w:pPr>
              <w:pStyle w:val="Tabletext"/>
              <w:keepNext/>
              <w:keepLines/>
              <w:jc w:val="center"/>
              <w:rPr>
                <w:rFonts w:cs="Arial"/>
                <w:bCs/>
              </w:rPr>
            </w:pPr>
            <w:r w:rsidRPr="00D50A1D">
              <w:rPr>
                <w:bCs/>
              </w:rPr>
              <w:t>46.3% (37.2%, 54.9%)</w:t>
            </w:r>
          </w:p>
        </w:tc>
        <w:tc>
          <w:tcPr>
            <w:tcW w:w="706" w:type="pct"/>
            <w:vAlign w:val="center"/>
          </w:tcPr>
          <w:p w:rsidR="001C5C69" w:rsidRPr="00D50A1D" w:rsidRDefault="001C5C69" w:rsidP="003854A9">
            <w:pPr>
              <w:pStyle w:val="Tabletext"/>
              <w:keepNext/>
              <w:keepLines/>
              <w:jc w:val="center"/>
              <w:rPr>
                <w:rFonts w:cs="Arial"/>
                <w:bCs/>
              </w:rPr>
            </w:pPr>
            <w:r w:rsidRPr="00D50A1D">
              <w:rPr>
                <w:rFonts w:cs="Arial"/>
                <w:bCs/>
              </w:rPr>
              <w:t>16.6%</w:t>
            </w:r>
          </w:p>
        </w:tc>
        <w:tc>
          <w:tcPr>
            <w:tcW w:w="916" w:type="pct"/>
            <w:vAlign w:val="center"/>
          </w:tcPr>
          <w:p w:rsidR="001C5C69" w:rsidRPr="007A40DE" w:rsidDel="0061549B" w:rsidRDefault="001C5C69" w:rsidP="00310F19">
            <w:pPr>
              <w:pStyle w:val="Tabletext"/>
              <w:keepNext/>
              <w:keepLines/>
              <w:jc w:val="center"/>
            </w:pPr>
            <w:r w:rsidRPr="007A40DE">
              <w:t>-</w:t>
            </w:r>
          </w:p>
        </w:tc>
      </w:tr>
      <w:tr w:rsidR="001C5C69" w:rsidRPr="00FE70C3" w:rsidTr="00620B5C">
        <w:trPr>
          <w:cantSplit/>
        </w:trPr>
        <w:tc>
          <w:tcPr>
            <w:tcW w:w="1000" w:type="pct"/>
          </w:tcPr>
          <w:p w:rsidR="001C5C69" w:rsidRPr="007F5255" w:rsidRDefault="001C5C69" w:rsidP="003854A9">
            <w:pPr>
              <w:pStyle w:val="TableText0"/>
              <w:keepLines/>
            </w:pPr>
            <w:r w:rsidRPr="007F5255">
              <w:t xml:space="preserve">% not progressed at </w:t>
            </w:r>
            <w:r w:rsidR="00681499">
              <w:t>12</w:t>
            </w:r>
            <w:r w:rsidRPr="007F5255">
              <w:t xml:space="preserve"> months (95% CI)</w:t>
            </w:r>
          </w:p>
        </w:tc>
        <w:tc>
          <w:tcPr>
            <w:tcW w:w="1198" w:type="pct"/>
            <w:vAlign w:val="center"/>
          </w:tcPr>
          <w:p w:rsidR="001C5C69" w:rsidRPr="00D50A1D" w:rsidRDefault="001C5C69" w:rsidP="001A2289">
            <w:pPr>
              <w:pStyle w:val="Tabletext"/>
              <w:keepNext/>
              <w:keepLines/>
              <w:jc w:val="center"/>
              <w:rPr>
                <w:bCs/>
              </w:rPr>
            </w:pPr>
            <w:r>
              <w:t>33.1% (26.6%, 39.7%)</w:t>
            </w:r>
          </w:p>
        </w:tc>
        <w:tc>
          <w:tcPr>
            <w:tcW w:w="1180" w:type="pct"/>
            <w:vAlign w:val="center"/>
          </w:tcPr>
          <w:p w:rsidR="001C5C69" w:rsidRPr="00D50A1D" w:rsidRDefault="001C5C69" w:rsidP="001A2289">
            <w:pPr>
              <w:pStyle w:val="Tabletext"/>
              <w:keepNext/>
              <w:keepLines/>
              <w:jc w:val="center"/>
              <w:rPr>
                <w:bCs/>
              </w:rPr>
            </w:pPr>
            <w:r>
              <w:t>12.3% (6.0%, 20.9%)</w:t>
            </w:r>
          </w:p>
        </w:tc>
        <w:tc>
          <w:tcPr>
            <w:tcW w:w="706" w:type="pct"/>
            <w:vAlign w:val="center"/>
          </w:tcPr>
          <w:p w:rsidR="001C5C69" w:rsidRPr="00D50A1D" w:rsidRDefault="001C5C69" w:rsidP="003854A9">
            <w:pPr>
              <w:pStyle w:val="Tabletext"/>
              <w:keepNext/>
              <w:keepLines/>
              <w:jc w:val="center"/>
              <w:rPr>
                <w:rFonts w:cs="Arial"/>
                <w:bCs/>
              </w:rPr>
            </w:pPr>
            <w:r>
              <w:rPr>
                <w:rFonts w:cs="Arial"/>
                <w:bCs/>
              </w:rPr>
              <w:t>2</w:t>
            </w:r>
            <w:r w:rsidR="00387E28">
              <w:rPr>
                <w:rFonts w:cs="Arial"/>
                <w:bCs/>
              </w:rPr>
              <w:t>0.8</w:t>
            </w:r>
            <w:r>
              <w:rPr>
                <w:rFonts w:cs="Arial"/>
                <w:bCs/>
              </w:rPr>
              <w:t>%</w:t>
            </w:r>
          </w:p>
        </w:tc>
        <w:tc>
          <w:tcPr>
            <w:tcW w:w="916" w:type="pct"/>
            <w:vAlign w:val="center"/>
          </w:tcPr>
          <w:p w:rsidR="001C5C69" w:rsidRPr="007A40DE" w:rsidRDefault="001C5C69" w:rsidP="00310F19">
            <w:pPr>
              <w:pStyle w:val="Tabletext"/>
              <w:keepNext/>
              <w:keepLines/>
              <w:jc w:val="center"/>
            </w:pPr>
            <w:r w:rsidRPr="007A40DE">
              <w:t>-</w:t>
            </w:r>
          </w:p>
        </w:tc>
      </w:tr>
      <w:tr w:rsidR="001C5C69" w:rsidRPr="00FE70C3" w:rsidTr="00460101">
        <w:trPr>
          <w:cantSplit/>
        </w:trPr>
        <w:tc>
          <w:tcPr>
            <w:tcW w:w="5000" w:type="pct"/>
            <w:gridSpan w:val="5"/>
            <w:vAlign w:val="center"/>
          </w:tcPr>
          <w:p w:rsidR="001C5C69" w:rsidRPr="00300042" w:rsidRDefault="001C5C69" w:rsidP="003854A9">
            <w:pPr>
              <w:pStyle w:val="Tabletext"/>
              <w:keepNext/>
              <w:keepLines/>
              <w:jc w:val="left"/>
              <w:rPr>
                <w:b/>
                <w:bCs/>
              </w:rPr>
            </w:pPr>
            <w:r w:rsidRPr="00300042">
              <w:rPr>
                <w:b/>
                <w:bCs/>
              </w:rPr>
              <w:t>Overall survival (ITT-OS population)</w:t>
            </w:r>
          </w:p>
        </w:tc>
      </w:tr>
      <w:tr w:rsidR="001C5C69" w:rsidRPr="00FE70C3" w:rsidTr="00620B5C">
        <w:trPr>
          <w:cantSplit/>
        </w:trPr>
        <w:tc>
          <w:tcPr>
            <w:tcW w:w="1000" w:type="pct"/>
            <w:vAlign w:val="center"/>
          </w:tcPr>
          <w:p w:rsidR="001C5C69" w:rsidRPr="007F5255" w:rsidRDefault="001C5C69" w:rsidP="003854A9">
            <w:pPr>
              <w:pStyle w:val="TableText0"/>
              <w:keepLines/>
            </w:pPr>
            <w:r>
              <w:t>N</w:t>
            </w:r>
          </w:p>
        </w:tc>
        <w:tc>
          <w:tcPr>
            <w:tcW w:w="1198" w:type="pct"/>
            <w:vAlign w:val="center"/>
          </w:tcPr>
          <w:p w:rsidR="001C5C69" w:rsidRPr="00965A21" w:rsidRDefault="001C5C69" w:rsidP="003854A9">
            <w:pPr>
              <w:pStyle w:val="Tabletext"/>
              <w:keepNext/>
              <w:keepLines/>
              <w:jc w:val="center"/>
              <w:rPr>
                <w:bCs/>
                <w:szCs w:val="20"/>
              </w:rPr>
            </w:pPr>
            <w:r>
              <w:rPr>
                <w:bCs/>
                <w:szCs w:val="20"/>
              </w:rPr>
              <w:t>410</w:t>
            </w:r>
          </w:p>
        </w:tc>
        <w:tc>
          <w:tcPr>
            <w:tcW w:w="1180" w:type="pct"/>
            <w:vAlign w:val="center"/>
          </w:tcPr>
          <w:p w:rsidR="001C5C69" w:rsidRPr="00965A21" w:rsidRDefault="001C5C69" w:rsidP="003854A9">
            <w:pPr>
              <w:pStyle w:val="Tabletext"/>
              <w:keepNext/>
              <w:keepLines/>
              <w:jc w:val="center"/>
              <w:rPr>
                <w:bCs/>
                <w:szCs w:val="20"/>
              </w:rPr>
            </w:pPr>
            <w:r>
              <w:rPr>
                <w:bCs/>
                <w:szCs w:val="20"/>
              </w:rPr>
              <w:t>202</w:t>
            </w:r>
          </w:p>
        </w:tc>
        <w:tc>
          <w:tcPr>
            <w:tcW w:w="706" w:type="pct"/>
            <w:vAlign w:val="center"/>
          </w:tcPr>
          <w:p w:rsidR="001C5C69" w:rsidRDefault="001C5C69" w:rsidP="003854A9">
            <w:pPr>
              <w:pStyle w:val="Tabletext"/>
              <w:keepNext/>
              <w:keepLines/>
              <w:jc w:val="center"/>
            </w:pPr>
          </w:p>
        </w:tc>
        <w:tc>
          <w:tcPr>
            <w:tcW w:w="916" w:type="pct"/>
            <w:vAlign w:val="center"/>
          </w:tcPr>
          <w:p w:rsidR="001C5C69" w:rsidRPr="007A40DE" w:rsidRDefault="001C5C69" w:rsidP="003854A9">
            <w:pPr>
              <w:pStyle w:val="Tabletext"/>
              <w:keepNext/>
              <w:keepLines/>
            </w:pPr>
          </w:p>
        </w:tc>
      </w:tr>
      <w:tr w:rsidR="001C5C69" w:rsidRPr="00FE70C3" w:rsidTr="00620B5C">
        <w:trPr>
          <w:cantSplit/>
        </w:trPr>
        <w:tc>
          <w:tcPr>
            <w:tcW w:w="1000" w:type="pct"/>
            <w:vAlign w:val="center"/>
          </w:tcPr>
          <w:p w:rsidR="001C5C69" w:rsidRPr="00FE70C3" w:rsidRDefault="001C5C69" w:rsidP="003854A9">
            <w:pPr>
              <w:pStyle w:val="TableText0"/>
              <w:keepLines/>
            </w:pPr>
            <w:r w:rsidRPr="007F5255">
              <w:t>Deaths, n (%)</w:t>
            </w:r>
          </w:p>
        </w:tc>
        <w:tc>
          <w:tcPr>
            <w:tcW w:w="1198" w:type="pct"/>
            <w:vAlign w:val="center"/>
          </w:tcPr>
          <w:p w:rsidR="001C5C69" w:rsidRPr="00965A21" w:rsidRDefault="001C5C69" w:rsidP="003854A9">
            <w:pPr>
              <w:pStyle w:val="Tabletext"/>
              <w:keepNext/>
              <w:keepLines/>
              <w:jc w:val="center"/>
              <w:rPr>
                <w:bCs/>
                <w:szCs w:val="20"/>
              </w:rPr>
            </w:pPr>
            <w:r w:rsidRPr="00965A21">
              <w:rPr>
                <w:bCs/>
                <w:szCs w:val="20"/>
              </w:rPr>
              <w:t>130 (31.7%)</w:t>
            </w:r>
          </w:p>
        </w:tc>
        <w:tc>
          <w:tcPr>
            <w:tcW w:w="1180" w:type="pct"/>
            <w:vAlign w:val="center"/>
          </w:tcPr>
          <w:p w:rsidR="001C5C69" w:rsidRPr="00965A21" w:rsidRDefault="001C5C69" w:rsidP="003854A9">
            <w:pPr>
              <w:pStyle w:val="Tabletext"/>
              <w:keepNext/>
              <w:keepLines/>
              <w:jc w:val="center"/>
              <w:rPr>
                <w:bCs/>
                <w:szCs w:val="20"/>
              </w:rPr>
            </w:pPr>
            <w:r w:rsidRPr="00965A21">
              <w:rPr>
                <w:bCs/>
                <w:szCs w:val="20"/>
              </w:rPr>
              <w:t>85 (42.1%)</w:t>
            </w:r>
          </w:p>
        </w:tc>
        <w:tc>
          <w:tcPr>
            <w:tcW w:w="706" w:type="pct"/>
            <w:vAlign w:val="center"/>
          </w:tcPr>
          <w:p w:rsidR="001C5C69" w:rsidRPr="00FE70C3" w:rsidRDefault="001C5C69" w:rsidP="00310F19">
            <w:pPr>
              <w:pStyle w:val="Tabletext"/>
              <w:keepNext/>
              <w:keepLines/>
              <w:jc w:val="center"/>
            </w:pPr>
            <w:r>
              <w:t>-</w:t>
            </w:r>
          </w:p>
        </w:tc>
        <w:tc>
          <w:tcPr>
            <w:tcW w:w="916" w:type="pct"/>
            <w:vAlign w:val="center"/>
          </w:tcPr>
          <w:p w:rsidR="001C5C69" w:rsidRPr="007A40DE" w:rsidRDefault="00310F19" w:rsidP="00310F19">
            <w:pPr>
              <w:pStyle w:val="Tabletext"/>
              <w:keepNext/>
              <w:keepLines/>
              <w:jc w:val="center"/>
            </w:pPr>
            <w:r>
              <w:t>-</w:t>
            </w:r>
          </w:p>
        </w:tc>
      </w:tr>
      <w:tr w:rsidR="001C5C69" w:rsidRPr="00FE70C3" w:rsidTr="00620B5C">
        <w:trPr>
          <w:cantSplit/>
        </w:trPr>
        <w:tc>
          <w:tcPr>
            <w:tcW w:w="1000" w:type="pct"/>
            <w:vAlign w:val="center"/>
          </w:tcPr>
          <w:p w:rsidR="009874B7" w:rsidRDefault="001C5C69" w:rsidP="003854A9">
            <w:pPr>
              <w:pStyle w:val="TableText0"/>
              <w:keepLines/>
              <w:rPr>
                <w:b/>
                <w:bCs w:val="0"/>
              </w:rPr>
            </w:pPr>
            <w:r w:rsidRPr="009874B7">
              <w:rPr>
                <w:b/>
                <w:bCs w:val="0"/>
              </w:rPr>
              <w:t>Median OS</w:t>
            </w:r>
            <w:r w:rsidR="009874B7">
              <w:rPr>
                <w:b/>
                <w:bCs w:val="0"/>
              </w:rPr>
              <w:t>,</w:t>
            </w:r>
          </w:p>
          <w:p w:rsidR="001C5C69" w:rsidRPr="009874B7" w:rsidRDefault="009874B7" w:rsidP="003854A9">
            <w:pPr>
              <w:pStyle w:val="TableText0"/>
              <w:keepLines/>
              <w:rPr>
                <w:b/>
                <w:bCs w:val="0"/>
              </w:rPr>
            </w:pPr>
            <w:r w:rsidRPr="009874B7">
              <w:rPr>
                <w:b/>
                <w:bCs w:val="0"/>
              </w:rPr>
              <w:t xml:space="preserve">months </w:t>
            </w:r>
            <w:r w:rsidR="001C5C69" w:rsidRPr="009874B7">
              <w:rPr>
                <w:b/>
                <w:bCs w:val="0"/>
              </w:rPr>
              <w:t>(95% CI)</w:t>
            </w:r>
          </w:p>
        </w:tc>
        <w:tc>
          <w:tcPr>
            <w:tcW w:w="1198" w:type="pct"/>
            <w:vAlign w:val="center"/>
          </w:tcPr>
          <w:p w:rsidR="001C5C69" w:rsidRPr="009874B7" w:rsidRDefault="001C5C69" w:rsidP="001A2289">
            <w:pPr>
              <w:pStyle w:val="Tabletext"/>
              <w:keepNext/>
              <w:keepLines/>
              <w:jc w:val="center"/>
              <w:rPr>
                <w:b/>
                <w:szCs w:val="20"/>
              </w:rPr>
            </w:pPr>
            <w:r w:rsidRPr="009874B7">
              <w:rPr>
                <w:b/>
                <w:szCs w:val="20"/>
              </w:rPr>
              <w:t>21.9 (18.3, 31.0)</w:t>
            </w:r>
          </w:p>
        </w:tc>
        <w:tc>
          <w:tcPr>
            <w:tcW w:w="1180" w:type="pct"/>
            <w:vAlign w:val="center"/>
          </w:tcPr>
          <w:p w:rsidR="001C5C69" w:rsidRPr="009874B7" w:rsidRDefault="001C5C69" w:rsidP="001A2289">
            <w:pPr>
              <w:pStyle w:val="Tabletext"/>
              <w:keepNext/>
              <w:keepLines/>
              <w:jc w:val="center"/>
              <w:rPr>
                <w:b/>
                <w:szCs w:val="20"/>
              </w:rPr>
            </w:pPr>
            <w:r w:rsidRPr="009874B7">
              <w:rPr>
                <w:b/>
                <w:szCs w:val="20"/>
              </w:rPr>
              <w:t>17.4 (13.6, 19.9)</w:t>
            </w:r>
          </w:p>
        </w:tc>
        <w:tc>
          <w:tcPr>
            <w:tcW w:w="706" w:type="pct"/>
            <w:vAlign w:val="center"/>
          </w:tcPr>
          <w:p w:rsidR="001C5C69" w:rsidRPr="009874B7" w:rsidRDefault="001C5C69" w:rsidP="003854A9">
            <w:pPr>
              <w:pStyle w:val="Tabletext"/>
              <w:keepNext/>
              <w:keepLines/>
              <w:jc w:val="center"/>
              <w:rPr>
                <w:b/>
              </w:rPr>
            </w:pPr>
            <w:r w:rsidRPr="009874B7">
              <w:rPr>
                <w:b/>
              </w:rPr>
              <w:t>4.5 months</w:t>
            </w:r>
          </w:p>
        </w:tc>
        <w:tc>
          <w:tcPr>
            <w:tcW w:w="916" w:type="pct"/>
            <w:vAlign w:val="center"/>
          </w:tcPr>
          <w:p w:rsidR="001C5C69" w:rsidRPr="009874B7" w:rsidRDefault="001C5C69" w:rsidP="001A2289">
            <w:pPr>
              <w:pStyle w:val="Tabletext"/>
              <w:keepNext/>
              <w:keepLines/>
              <w:jc w:val="center"/>
              <w:rPr>
                <w:b/>
              </w:rPr>
            </w:pPr>
            <w:r w:rsidRPr="009874B7">
              <w:rPr>
                <w:b/>
              </w:rPr>
              <w:t>0.66 (0.50, 0.88)</w:t>
            </w:r>
          </w:p>
          <w:p w:rsidR="001C5C69" w:rsidRPr="009874B7" w:rsidRDefault="001C5C69" w:rsidP="001A2289">
            <w:pPr>
              <w:pStyle w:val="Tabletext"/>
              <w:keepNext/>
              <w:keepLines/>
              <w:jc w:val="center"/>
              <w:rPr>
                <w:b/>
              </w:rPr>
            </w:pPr>
            <w:r w:rsidRPr="009874B7">
              <w:rPr>
                <w:b/>
              </w:rPr>
              <w:t>p-value&lt;</w:t>
            </w:r>
            <w:r w:rsidR="00387E28" w:rsidRPr="009874B7">
              <w:rPr>
                <w:b/>
              </w:rPr>
              <w:t>0.0048</w:t>
            </w:r>
          </w:p>
        </w:tc>
      </w:tr>
      <w:tr w:rsidR="001C5C69" w:rsidRPr="00FE70C3" w:rsidTr="00620B5C">
        <w:trPr>
          <w:cantSplit/>
        </w:trPr>
        <w:tc>
          <w:tcPr>
            <w:tcW w:w="1000" w:type="pct"/>
          </w:tcPr>
          <w:p w:rsidR="001C5C69" w:rsidRPr="00BD3FC3" w:rsidRDefault="001C5C69" w:rsidP="003854A9">
            <w:pPr>
              <w:pStyle w:val="TableText0"/>
              <w:keepLines/>
            </w:pPr>
            <w:r w:rsidRPr="00BD3FC3">
              <w:t xml:space="preserve">% alive at </w:t>
            </w:r>
            <w:r w:rsidRPr="00BD3FC3">
              <w:rPr>
                <w:iCs/>
              </w:rPr>
              <w:t>12</w:t>
            </w:r>
            <w:r w:rsidRPr="00BD3FC3">
              <w:t xml:space="preserve"> months (95% CI)</w:t>
            </w:r>
          </w:p>
        </w:tc>
        <w:tc>
          <w:tcPr>
            <w:tcW w:w="1198" w:type="pct"/>
            <w:vAlign w:val="center"/>
          </w:tcPr>
          <w:p w:rsidR="001C5C69" w:rsidRPr="00965A21" w:rsidRDefault="001C5C69" w:rsidP="001A2289">
            <w:pPr>
              <w:pStyle w:val="Tabletext"/>
              <w:keepNext/>
              <w:keepLines/>
              <w:rPr>
                <w:rFonts w:cs="Arial"/>
                <w:bCs/>
                <w:szCs w:val="20"/>
              </w:rPr>
            </w:pPr>
            <w:r w:rsidRPr="00965A21">
              <w:rPr>
                <w:bCs/>
                <w:szCs w:val="20"/>
              </w:rPr>
              <w:t>75.5% (70.4%, 79.9%)</w:t>
            </w:r>
          </w:p>
        </w:tc>
        <w:tc>
          <w:tcPr>
            <w:tcW w:w="1180" w:type="pct"/>
            <w:vAlign w:val="center"/>
          </w:tcPr>
          <w:p w:rsidR="001C5C69" w:rsidRPr="00965A21" w:rsidRDefault="001C5C69" w:rsidP="001A2289">
            <w:pPr>
              <w:pStyle w:val="Tabletext"/>
              <w:keepNext/>
              <w:keepLines/>
              <w:rPr>
                <w:rFonts w:cs="Arial"/>
                <w:bCs/>
                <w:szCs w:val="20"/>
              </w:rPr>
            </w:pPr>
            <w:r w:rsidRPr="00965A21">
              <w:rPr>
                <w:szCs w:val="20"/>
              </w:rPr>
              <w:t>62.4% (54.1%, 69.5%)</w:t>
            </w:r>
          </w:p>
        </w:tc>
        <w:tc>
          <w:tcPr>
            <w:tcW w:w="706" w:type="pct"/>
            <w:vAlign w:val="center"/>
          </w:tcPr>
          <w:p w:rsidR="001C5C69" w:rsidRPr="007F5255" w:rsidRDefault="001C5C69" w:rsidP="003854A9">
            <w:pPr>
              <w:pStyle w:val="Tabletext"/>
              <w:keepNext/>
              <w:keepLines/>
              <w:jc w:val="center"/>
              <w:rPr>
                <w:rFonts w:cs="Arial"/>
              </w:rPr>
            </w:pPr>
            <w:r>
              <w:rPr>
                <w:rFonts w:cs="Arial"/>
              </w:rPr>
              <w:t>13</w:t>
            </w:r>
            <w:r w:rsidR="001A2289">
              <w:rPr>
                <w:rFonts w:cs="Arial"/>
              </w:rPr>
              <w:t>.1</w:t>
            </w:r>
            <w:r>
              <w:rPr>
                <w:rFonts w:cs="Arial"/>
              </w:rPr>
              <w:t>%</w:t>
            </w:r>
          </w:p>
        </w:tc>
        <w:tc>
          <w:tcPr>
            <w:tcW w:w="916" w:type="pct"/>
            <w:vAlign w:val="center"/>
          </w:tcPr>
          <w:p w:rsidR="001C5C69" w:rsidRPr="007F5255" w:rsidRDefault="001C5C69" w:rsidP="00310F19">
            <w:pPr>
              <w:pStyle w:val="Tabletext"/>
              <w:keepNext/>
              <w:keepLines/>
              <w:jc w:val="center"/>
              <w:rPr>
                <w:rFonts w:cs="Arial"/>
              </w:rPr>
            </w:pPr>
            <w:r>
              <w:rPr>
                <w:rFonts w:cs="Arial"/>
              </w:rPr>
              <w:t>-</w:t>
            </w:r>
          </w:p>
        </w:tc>
      </w:tr>
      <w:tr w:rsidR="001C5C69" w:rsidRPr="00FE70C3" w:rsidTr="00620B5C">
        <w:trPr>
          <w:cantSplit/>
        </w:trPr>
        <w:tc>
          <w:tcPr>
            <w:tcW w:w="1000" w:type="pct"/>
          </w:tcPr>
          <w:p w:rsidR="001C5C69" w:rsidRPr="00BD3FC3" w:rsidRDefault="001C5C69" w:rsidP="003854A9">
            <w:pPr>
              <w:pStyle w:val="TableText0"/>
              <w:keepLines/>
            </w:pPr>
            <w:r w:rsidRPr="00BD3FC3">
              <w:t xml:space="preserve">% alive at </w:t>
            </w:r>
            <w:r w:rsidRPr="00BD3FC3">
              <w:rPr>
                <w:iCs/>
              </w:rPr>
              <w:t>24</w:t>
            </w:r>
            <w:r w:rsidRPr="00BD3FC3">
              <w:t xml:space="preserve"> months (95% CI)</w:t>
            </w:r>
          </w:p>
        </w:tc>
        <w:tc>
          <w:tcPr>
            <w:tcW w:w="1198" w:type="pct"/>
            <w:vAlign w:val="center"/>
          </w:tcPr>
          <w:p w:rsidR="001C5C69" w:rsidRPr="00965A21" w:rsidRDefault="001C5C69" w:rsidP="003854A9">
            <w:pPr>
              <w:pStyle w:val="Tabletext"/>
              <w:keepNext/>
              <w:keepLines/>
              <w:rPr>
                <w:rFonts w:cs="Arial"/>
                <w:bCs/>
                <w:szCs w:val="20"/>
              </w:rPr>
            </w:pPr>
            <w:r w:rsidRPr="00965A21">
              <w:rPr>
                <w:bCs/>
                <w:szCs w:val="20"/>
              </w:rPr>
              <w:t>44.9% (36.6%, 52.8%)</w:t>
            </w:r>
          </w:p>
        </w:tc>
        <w:tc>
          <w:tcPr>
            <w:tcW w:w="1180" w:type="pct"/>
            <w:vAlign w:val="center"/>
          </w:tcPr>
          <w:p w:rsidR="001C5C69" w:rsidRPr="00965A21" w:rsidRDefault="001C5C69" w:rsidP="003854A9">
            <w:pPr>
              <w:pStyle w:val="Tabletext"/>
              <w:keepNext/>
              <w:keepLines/>
              <w:rPr>
                <w:rFonts w:cs="Arial"/>
                <w:bCs/>
                <w:szCs w:val="20"/>
              </w:rPr>
            </w:pPr>
            <w:r w:rsidRPr="00965A21">
              <w:rPr>
                <w:bCs/>
                <w:szCs w:val="20"/>
              </w:rPr>
              <w:t>26.6% (15.7%, 38.7%)</w:t>
            </w:r>
          </w:p>
        </w:tc>
        <w:tc>
          <w:tcPr>
            <w:tcW w:w="706" w:type="pct"/>
            <w:vAlign w:val="center"/>
          </w:tcPr>
          <w:p w:rsidR="001C5C69" w:rsidRPr="007F5255" w:rsidRDefault="001C5C69" w:rsidP="003854A9">
            <w:pPr>
              <w:pStyle w:val="Tabletext"/>
              <w:keepNext/>
              <w:keepLines/>
              <w:jc w:val="center"/>
              <w:rPr>
                <w:rFonts w:cs="Arial"/>
              </w:rPr>
            </w:pPr>
            <w:r>
              <w:rPr>
                <w:rFonts w:cs="Arial"/>
              </w:rPr>
              <w:t>18.3%</w:t>
            </w:r>
          </w:p>
        </w:tc>
        <w:tc>
          <w:tcPr>
            <w:tcW w:w="916" w:type="pct"/>
            <w:vAlign w:val="center"/>
          </w:tcPr>
          <w:p w:rsidR="001C5C69" w:rsidRDefault="001C5C69" w:rsidP="00310F19">
            <w:pPr>
              <w:pStyle w:val="Tabletext"/>
              <w:keepNext/>
              <w:keepLines/>
              <w:jc w:val="center"/>
              <w:rPr>
                <w:rFonts w:cs="Arial"/>
              </w:rPr>
            </w:pPr>
            <w:r>
              <w:rPr>
                <w:rFonts w:cs="Arial"/>
              </w:rPr>
              <w:t>-</w:t>
            </w:r>
          </w:p>
        </w:tc>
      </w:tr>
      <w:tr w:rsidR="001C5C69" w:rsidRPr="00FE70C3" w:rsidTr="00460101">
        <w:trPr>
          <w:cantSplit/>
        </w:trPr>
        <w:tc>
          <w:tcPr>
            <w:tcW w:w="5000" w:type="pct"/>
            <w:gridSpan w:val="5"/>
          </w:tcPr>
          <w:p w:rsidR="001C5C69" w:rsidRDefault="001C5C69" w:rsidP="003854A9">
            <w:pPr>
              <w:pStyle w:val="TableText0"/>
              <w:keepLines/>
              <w:rPr>
                <w:rFonts w:cs="Arial"/>
              </w:rPr>
            </w:pPr>
            <w:r w:rsidRPr="00B72F95">
              <w:rPr>
                <w:b/>
              </w:rPr>
              <w:t>PFS Brainmets</w:t>
            </w:r>
            <w:r>
              <w:rPr>
                <w:b/>
              </w:rPr>
              <w:t xml:space="preserve"> per BICR (ITT</w:t>
            </w:r>
            <w:r w:rsidR="00300042">
              <w:rPr>
                <w:b/>
              </w:rPr>
              <w:t>-PFS</w:t>
            </w:r>
            <w:r w:rsidRPr="00300042">
              <w:rPr>
                <w:b/>
                <w:vertAlign w:val="subscript"/>
              </w:rPr>
              <w:t>Brain</w:t>
            </w:r>
            <w:r w:rsidR="00300042" w:rsidRPr="00300042">
              <w:rPr>
                <w:b/>
                <w:vertAlign w:val="subscript"/>
              </w:rPr>
              <w:t>M</w:t>
            </w:r>
            <w:r w:rsidRPr="00300042">
              <w:rPr>
                <w:b/>
                <w:vertAlign w:val="subscript"/>
              </w:rPr>
              <w:t>ets</w:t>
            </w:r>
            <w:r>
              <w:rPr>
                <w:b/>
              </w:rPr>
              <w:t xml:space="preserve"> population)</w:t>
            </w:r>
          </w:p>
        </w:tc>
      </w:tr>
      <w:tr w:rsidR="001C5C69" w:rsidRPr="00FE70C3" w:rsidTr="00620B5C">
        <w:trPr>
          <w:cantSplit/>
        </w:trPr>
        <w:tc>
          <w:tcPr>
            <w:tcW w:w="1000" w:type="pct"/>
          </w:tcPr>
          <w:p w:rsidR="001C5C69" w:rsidRDefault="001C5C69" w:rsidP="003854A9">
            <w:pPr>
              <w:pStyle w:val="Tabletext"/>
              <w:keepNext/>
              <w:keepLines/>
            </w:pPr>
            <w:r>
              <w:t>N</w:t>
            </w:r>
          </w:p>
        </w:tc>
        <w:tc>
          <w:tcPr>
            <w:tcW w:w="1198" w:type="pct"/>
            <w:vAlign w:val="center"/>
          </w:tcPr>
          <w:p w:rsidR="001C5C69" w:rsidRPr="00B05AE8" w:rsidRDefault="001C5C69" w:rsidP="003854A9">
            <w:pPr>
              <w:pStyle w:val="TableText0"/>
              <w:keepLines/>
              <w:jc w:val="center"/>
              <w:rPr>
                <w:szCs w:val="20"/>
              </w:rPr>
            </w:pPr>
            <w:r w:rsidRPr="00B05AE8">
              <w:rPr>
                <w:szCs w:val="20"/>
              </w:rPr>
              <w:t>198</w:t>
            </w:r>
          </w:p>
        </w:tc>
        <w:tc>
          <w:tcPr>
            <w:tcW w:w="1180" w:type="pct"/>
            <w:vAlign w:val="center"/>
          </w:tcPr>
          <w:p w:rsidR="001C5C69" w:rsidRPr="00B05AE8" w:rsidRDefault="001C5C69" w:rsidP="003854A9">
            <w:pPr>
              <w:pStyle w:val="TableText0"/>
              <w:keepLines/>
              <w:jc w:val="center"/>
              <w:rPr>
                <w:szCs w:val="20"/>
              </w:rPr>
            </w:pPr>
            <w:r w:rsidRPr="00B05AE8">
              <w:rPr>
                <w:szCs w:val="20"/>
              </w:rPr>
              <w:t>93</w:t>
            </w:r>
          </w:p>
        </w:tc>
        <w:tc>
          <w:tcPr>
            <w:tcW w:w="706" w:type="pct"/>
            <w:vAlign w:val="center"/>
          </w:tcPr>
          <w:p w:rsidR="001C5C69" w:rsidRDefault="001C5C69" w:rsidP="003854A9">
            <w:pPr>
              <w:pStyle w:val="Tabletext"/>
              <w:keepNext/>
              <w:keepLines/>
              <w:jc w:val="center"/>
              <w:rPr>
                <w:rFonts w:cs="Arial"/>
              </w:rPr>
            </w:pPr>
          </w:p>
        </w:tc>
        <w:tc>
          <w:tcPr>
            <w:tcW w:w="916" w:type="pct"/>
            <w:vAlign w:val="center"/>
          </w:tcPr>
          <w:p w:rsidR="001C5C69" w:rsidRDefault="001C5C69" w:rsidP="003854A9">
            <w:pPr>
              <w:pStyle w:val="Tabletext"/>
              <w:keepNext/>
              <w:keepLines/>
              <w:rPr>
                <w:rFonts w:cs="Arial"/>
              </w:rPr>
            </w:pPr>
          </w:p>
        </w:tc>
      </w:tr>
      <w:tr w:rsidR="001C5C69" w:rsidRPr="00FE70C3" w:rsidTr="00620B5C">
        <w:trPr>
          <w:cantSplit/>
        </w:trPr>
        <w:tc>
          <w:tcPr>
            <w:tcW w:w="1000" w:type="pct"/>
          </w:tcPr>
          <w:p w:rsidR="001C5C69" w:rsidRPr="007F5255" w:rsidRDefault="001C5C69" w:rsidP="003854A9">
            <w:pPr>
              <w:pStyle w:val="Tabletext"/>
              <w:keepNext/>
              <w:keepLines/>
            </w:pPr>
            <w:r>
              <w:t>Progressed, n (%)</w:t>
            </w:r>
          </w:p>
        </w:tc>
        <w:tc>
          <w:tcPr>
            <w:tcW w:w="1198" w:type="pct"/>
            <w:vAlign w:val="center"/>
          </w:tcPr>
          <w:p w:rsidR="001C5C69" w:rsidRPr="00965A21" w:rsidRDefault="001C5C69" w:rsidP="003854A9">
            <w:pPr>
              <w:pStyle w:val="TableText0"/>
              <w:keepLines/>
              <w:jc w:val="center"/>
              <w:rPr>
                <w:szCs w:val="20"/>
              </w:rPr>
            </w:pPr>
            <w:r>
              <w:rPr>
                <w:szCs w:val="20"/>
              </w:rPr>
              <w:t>106/198 (53.5%)</w:t>
            </w:r>
          </w:p>
        </w:tc>
        <w:tc>
          <w:tcPr>
            <w:tcW w:w="1180" w:type="pct"/>
            <w:vAlign w:val="center"/>
          </w:tcPr>
          <w:p w:rsidR="001C5C69" w:rsidRPr="00965A21" w:rsidRDefault="001C5C69" w:rsidP="003854A9">
            <w:pPr>
              <w:pStyle w:val="TableText0"/>
              <w:keepLines/>
              <w:jc w:val="center"/>
              <w:rPr>
                <w:szCs w:val="20"/>
              </w:rPr>
            </w:pPr>
            <w:r>
              <w:rPr>
                <w:szCs w:val="20"/>
              </w:rPr>
              <w:t>51/93 (54.8%)</w:t>
            </w:r>
          </w:p>
        </w:tc>
        <w:tc>
          <w:tcPr>
            <w:tcW w:w="706" w:type="pct"/>
            <w:vAlign w:val="center"/>
          </w:tcPr>
          <w:p w:rsidR="001C5C69" w:rsidRDefault="00310F19" w:rsidP="003854A9">
            <w:pPr>
              <w:pStyle w:val="Tabletext"/>
              <w:keepNext/>
              <w:keepLines/>
              <w:jc w:val="center"/>
              <w:rPr>
                <w:rFonts w:cs="Arial"/>
              </w:rPr>
            </w:pPr>
            <w:r>
              <w:rPr>
                <w:rFonts w:cs="Arial"/>
              </w:rPr>
              <w:t>-</w:t>
            </w:r>
          </w:p>
        </w:tc>
        <w:tc>
          <w:tcPr>
            <w:tcW w:w="916" w:type="pct"/>
            <w:vAlign w:val="center"/>
          </w:tcPr>
          <w:p w:rsidR="001C5C69" w:rsidRDefault="00310F19" w:rsidP="00310F19">
            <w:pPr>
              <w:pStyle w:val="Tabletext"/>
              <w:keepNext/>
              <w:keepLines/>
              <w:jc w:val="center"/>
              <w:rPr>
                <w:rFonts w:cs="Arial"/>
              </w:rPr>
            </w:pPr>
            <w:r>
              <w:rPr>
                <w:rFonts w:cs="Arial"/>
              </w:rPr>
              <w:t>-</w:t>
            </w:r>
          </w:p>
        </w:tc>
      </w:tr>
      <w:tr w:rsidR="001C5C69" w:rsidRPr="00FE70C3" w:rsidTr="00620B5C">
        <w:trPr>
          <w:cantSplit/>
        </w:trPr>
        <w:tc>
          <w:tcPr>
            <w:tcW w:w="1000" w:type="pct"/>
          </w:tcPr>
          <w:p w:rsidR="001C5C69" w:rsidRPr="009874B7" w:rsidRDefault="001C5C69" w:rsidP="001A2289">
            <w:pPr>
              <w:pStyle w:val="Tabletext"/>
              <w:keepNext/>
              <w:keepLines/>
              <w:jc w:val="left"/>
              <w:rPr>
                <w:b/>
                <w:bCs/>
              </w:rPr>
            </w:pPr>
            <w:r w:rsidRPr="009874B7">
              <w:rPr>
                <w:b/>
                <w:bCs/>
              </w:rPr>
              <w:t>Median PFS, months (95% CI)</w:t>
            </w:r>
          </w:p>
        </w:tc>
        <w:tc>
          <w:tcPr>
            <w:tcW w:w="1198" w:type="pct"/>
            <w:vAlign w:val="center"/>
          </w:tcPr>
          <w:p w:rsidR="001C5C69" w:rsidRPr="009874B7" w:rsidRDefault="001C5C69" w:rsidP="003854A9">
            <w:pPr>
              <w:pStyle w:val="TableText0"/>
              <w:keepLines/>
              <w:jc w:val="center"/>
              <w:rPr>
                <w:b/>
                <w:szCs w:val="20"/>
              </w:rPr>
            </w:pPr>
            <w:r w:rsidRPr="009874B7">
              <w:rPr>
                <w:b/>
                <w:szCs w:val="20"/>
              </w:rPr>
              <w:t>7.6 (6.2, 9.5)</w:t>
            </w:r>
          </w:p>
        </w:tc>
        <w:tc>
          <w:tcPr>
            <w:tcW w:w="1180" w:type="pct"/>
            <w:vAlign w:val="center"/>
          </w:tcPr>
          <w:p w:rsidR="001C5C69" w:rsidRPr="009874B7" w:rsidRDefault="001C5C69" w:rsidP="003854A9">
            <w:pPr>
              <w:pStyle w:val="TableText0"/>
              <w:keepLines/>
              <w:jc w:val="center"/>
              <w:rPr>
                <w:b/>
                <w:szCs w:val="20"/>
              </w:rPr>
            </w:pPr>
            <w:r w:rsidRPr="009874B7">
              <w:rPr>
                <w:b/>
                <w:szCs w:val="20"/>
              </w:rPr>
              <w:t>5.4 (4.1, 5.7)</w:t>
            </w:r>
          </w:p>
        </w:tc>
        <w:tc>
          <w:tcPr>
            <w:tcW w:w="706" w:type="pct"/>
            <w:vAlign w:val="center"/>
          </w:tcPr>
          <w:p w:rsidR="001C5C69" w:rsidRPr="009874B7" w:rsidRDefault="001C5C69" w:rsidP="003854A9">
            <w:pPr>
              <w:pStyle w:val="Tabletext"/>
              <w:keepNext/>
              <w:keepLines/>
              <w:jc w:val="center"/>
              <w:rPr>
                <w:rFonts w:cs="Arial"/>
                <w:b/>
                <w:bCs/>
              </w:rPr>
            </w:pPr>
            <w:r w:rsidRPr="009874B7">
              <w:rPr>
                <w:rFonts w:cs="Arial"/>
                <w:b/>
                <w:bCs/>
              </w:rPr>
              <w:t>2.2 months</w:t>
            </w:r>
          </w:p>
        </w:tc>
        <w:tc>
          <w:tcPr>
            <w:tcW w:w="916" w:type="pct"/>
            <w:vAlign w:val="center"/>
          </w:tcPr>
          <w:p w:rsidR="001C5C69" w:rsidRPr="009874B7" w:rsidRDefault="001C5C69" w:rsidP="001A2289">
            <w:pPr>
              <w:pStyle w:val="Tabletext"/>
              <w:keepNext/>
              <w:keepLines/>
              <w:jc w:val="center"/>
              <w:rPr>
                <w:rFonts w:cs="Arial"/>
                <w:b/>
                <w:bCs/>
              </w:rPr>
            </w:pPr>
            <w:r w:rsidRPr="009874B7">
              <w:rPr>
                <w:rFonts w:cs="Arial"/>
                <w:b/>
                <w:bCs/>
              </w:rPr>
              <w:t>0.48 (0.34, 0.69)</w:t>
            </w:r>
          </w:p>
          <w:p w:rsidR="001C5C69" w:rsidRPr="009874B7" w:rsidRDefault="001C5C69" w:rsidP="001A2289">
            <w:pPr>
              <w:pStyle w:val="Tabletext"/>
              <w:keepNext/>
              <w:keepLines/>
              <w:jc w:val="center"/>
              <w:rPr>
                <w:rFonts w:cs="Arial"/>
                <w:b/>
                <w:bCs/>
              </w:rPr>
            </w:pPr>
            <w:r w:rsidRPr="009874B7">
              <w:rPr>
                <w:b/>
                <w:bCs/>
              </w:rPr>
              <w:t>p-value&lt;0.00001</w:t>
            </w:r>
          </w:p>
        </w:tc>
      </w:tr>
      <w:tr w:rsidR="001C5C69" w:rsidRPr="00FE70C3" w:rsidTr="00460101">
        <w:trPr>
          <w:cantSplit/>
        </w:trPr>
        <w:tc>
          <w:tcPr>
            <w:tcW w:w="5000" w:type="pct"/>
            <w:gridSpan w:val="5"/>
          </w:tcPr>
          <w:p w:rsidR="001C5C69" w:rsidRPr="00B72F95" w:rsidRDefault="00300042" w:rsidP="003854A9">
            <w:pPr>
              <w:pStyle w:val="TableText0"/>
              <w:keepLines/>
              <w:rPr>
                <w:rFonts w:cs="Arial"/>
                <w:b/>
              </w:rPr>
            </w:pPr>
            <w:r w:rsidRPr="00B72F95">
              <w:rPr>
                <w:b/>
                <w:bCs w:val="0"/>
              </w:rPr>
              <w:t xml:space="preserve">Confirmed ORR </w:t>
            </w:r>
            <w:r>
              <w:rPr>
                <w:b/>
                <w:bCs w:val="0"/>
              </w:rPr>
              <w:t>per BICR</w:t>
            </w:r>
            <w:r w:rsidRPr="00B72F95">
              <w:rPr>
                <w:b/>
                <w:bCs w:val="0"/>
              </w:rPr>
              <w:t xml:space="preserve"> </w:t>
            </w:r>
            <w:r>
              <w:rPr>
                <w:b/>
                <w:bCs w:val="0"/>
              </w:rPr>
              <w:t>(P</w:t>
            </w:r>
            <w:r w:rsidRPr="00B72F95">
              <w:rPr>
                <w:b/>
                <w:bCs w:val="0"/>
              </w:rPr>
              <w:t>atients with measurable disease</w:t>
            </w:r>
            <w:r>
              <w:rPr>
                <w:b/>
                <w:bCs w:val="0"/>
              </w:rPr>
              <w:t>,</w:t>
            </w:r>
            <w:r w:rsidR="00667439">
              <w:rPr>
                <w:b/>
                <w:bCs w:val="0"/>
              </w:rPr>
              <w:t xml:space="preserve"> subgroup of</w:t>
            </w:r>
            <w:r>
              <w:rPr>
                <w:b/>
                <w:bCs w:val="0"/>
              </w:rPr>
              <w:t xml:space="preserve"> ITT-OS)</w:t>
            </w:r>
          </w:p>
        </w:tc>
      </w:tr>
      <w:tr w:rsidR="001C5C69" w:rsidRPr="00FE70C3" w:rsidTr="00620B5C">
        <w:trPr>
          <w:cantSplit/>
        </w:trPr>
        <w:tc>
          <w:tcPr>
            <w:tcW w:w="1000" w:type="pct"/>
          </w:tcPr>
          <w:p w:rsidR="001C5C69" w:rsidRDefault="00A07DDD" w:rsidP="003854A9">
            <w:pPr>
              <w:pStyle w:val="TableText0"/>
              <w:keepLines/>
            </w:pPr>
            <w:r>
              <w:t>N</w:t>
            </w:r>
          </w:p>
        </w:tc>
        <w:tc>
          <w:tcPr>
            <w:tcW w:w="1198" w:type="pct"/>
            <w:vAlign w:val="center"/>
          </w:tcPr>
          <w:p w:rsidR="001C5C69" w:rsidRPr="00A07DDD" w:rsidRDefault="001C5C69" w:rsidP="003854A9">
            <w:pPr>
              <w:pStyle w:val="TableText0"/>
              <w:keepLines/>
              <w:jc w:val="center"/>
              <w:rPr>
                <w:bCs w:val="0"/>
                <w:szCs w:val="20"/>
              </w:rPr>
            </w:pPr>
            <w:r w:rsidRPr="00A07DDD">
              <w:rPr>
                <w:bCs w:val="0"/>
                <w:szCs w:val="20"/>
              </w:rPr>
              <w:t>340</w:t>
            </w:r>
          </w:p>
        </w:tc>
        <w:tc>
          <w:tcPr>
            <w:tcW w:w="1180" w:type="pct"/>
            <w:vAlign w:val="center"/>
          </w:tcPr>
          <w:p w:rsidR="001C5C69" w:rsidRPr="00A07DDD" w:rsidRDefault="001C5C69" w:rsidP="003854A9">
            <w:pPr>
              <w:pStyle w:val="TableText0"/>
              <w:keepLines/>
              <w:jc w:val="center"/>
              <w:rPr>
                <w:bCs w:val="0"/>
                <w:szCs w:val="20"/>
              </w:rPr>
            </w:pPr>
            <w:r w:rsidRPr="00A07DDD">
              <w:rPr>
                <w:bCs w:val="0"/>
                <w:szCs w:val="20"/>
              </w:rPr>
              <w:t>171</w:t>
            </w:r>
          </w:p>
        </w:tc>
        <w:tc>
          <w:tcPr>
            <w:tcW w:w="706" w:type="pct"/>
            <w:vAlign w:val="center"/>
          </w:tcPr>
          <w:p w:rsidR="001C5C69" w:rsidRDefault="001C5C69" w:rsidP="003854A9">
            <w:pPr>
              <w:pStyle w:val="TableText0"/>
              <w:keepLines/>
              <w:jc w:val="center"/>
              <w:rPr>
                <w:rFonts w:cs="Arial"/>
              </w:rPr>
            </w:pPr>
          </w:p>
        </w:tc>
        <w:tc>
          <w:tcPr>
            <w:tcW w:w="916" w:type="pct"/>
            <w:vAlign w:val="center"/>
          </w:tcPr>
          <w:p w:rsidR="001C5C69" w:rsidRDefault="001C5C69" w:rsidP="003854A9">
            <w:pPr>
              <w:pStyle w:val="TableText0"/>
              <w:keepLines/>
              <w:jc w:val="center"/>
            </w:pPr>
          </w:p>
        </w:tc>
      </w:tr>
      <w:tr w:rsidR="001C5C69" w:rsidRPr="00FE70C3" w:rsidTr="00620B5C">
        <w:trPr>
          <w:cantSplit/>
        </w:trPr>
        <w:tc>
          <w:tcPr>
            <w:tcW w:w="1000" w:type="pct"/>
          </w:tcPr>
          <w:p w:rsidR="001C5C69" w:rsidRPr="009874B7" w:rsidRDefault="001C5C69" w:rsidP="003854A9">
            <w:pPr>
              <w:pStyle w:val="Tabletext"/>
              <w:keepNext/>
              <w:keepLines/>
              <w:rPr>
                <w:b/>
                <w:bCs/>
              </w:rPr>
            </w:pPr>
            <w:r w:rsidRPr="009874B7">
              <w:rPr>
                <w:b/>
                <w:bCs/>
              </w:rPr>
              <w:t>ORR n/N (%)</w:t>
            </w:r>
          </w:p>
        </w:tc>
        <w:tc>
          <w:tcPr>
            <w:tcW w:w="1198" w:type="pct"/>
            <w:vAlign w:val="center"/>
          </w:tcPr>
          <w:p w:rsidR="001C5C69" w:rsidRPr="009874B7" w:rsidRDefault="001C5C69" w:rsidP="003854A9">
            <w:pPr>
              <w:pStyle w:val="TableText0"/>
              <w:keepLines/>
              <w:jc w:val="center"/>
              <w:rPr>
                <w:b/>
              </w:rPr>
            </w:pPr>
            <w:r w:rsidRPr="009874B7">
              <w:rPr>
                <w:b/>
              </w:rPr>
              <w:t>138/340 (40.6%)</w:t>
            </w:r>
          </w:p>
        </w:tc>
        <w:tc>
          <w:tcPr>
            <w:tcW w:w="1180" w:type="pct"/>
            <w:vAlign w:val="center"/>
          </w:tcPr>
          <w:p w:rsidR="001C5C69" w:rsidRPr="009874B7" w:rsidRDefault="001C5C69" w:rsidP="003854A9">
            <w:pPr>
              <w:pStyle w:val="TableText0"/>
              <w:keepLines/>
              <w:jc w:val="center"/>
              <w:rPr>
                <w:b/>
              </w:rPr>
            </w:pPr>
            <w:r w:rsidRPr="009874B7">
              <w:rPr>
                <w:b/>
              </w:rPr>
              <w:t>39/171 (22.8%)</w:t>
            </w:r>
          </w:p>
        </w:tc>
        <w:tc>
          <w:tcPr>
            <w:tcW w:w="706" w:type="pct"/>
            <w:vAlign w:val="center"/>
          </w:tcPr>
          <w:p w:rsidR="001C5C69" w:rsidRPr="009874B7" w:rsidRDefault="001C5C69" w:rsidP="003854A9">
            <w:pPr>
              <w:pStyle w:val="Tabletext"/>
              <w:keepNext/>
              <w:keepLines/>
              <w:jc w:val="center"/>
              <w:rPr>
                <w:b/>
                <w:bCs/>
              </w:rPr>
            </w:pPr>
            <w:r w:rsidRPr="009874B7">
              <w:rPr>
                <w:b/>
                <w:bCs/>
              </w:rPr>
              <w:t>17.8%</w:t>
            </w:r>
          </w:p>
        </w:tc>
        <w:tc>
          <w:tcPr>
            <w:tcW w:w="916" w:type="pct"/>
            <w:vAlign w:val="center"/>
          </w:tcPr>
          <w:p w:rsidR="001C5C69" w:rsidRPr="009874B7" w:rsidRDefault="001C5C69" w:rsidP="003854A9">
            <w:pPr>
              <w:pStyle w:val="Tabletext"/>
              <w:keepNext/>
              <w:keepLines/>
              <w:jc w:val="center"/>
              <w:rPr>
                <w:b/>
                <w:bCs/>
              </w:rPr>
            </w:pPr>
            <w:r w:rsidRPr="009874B7">
              <w:rPr>
                <w:b/>
                <w:bCs/>
              </w:rPr>
              <w:t>p-value&lt;0.0000</w:t>
            </w:r>
            <w:r w:rsidR="00387E28" w:rsidRPr="009874B7">
              <w:rPr>
                <w:b/>
                <w:bCs/>
              </w:rPr>
              <w:t>8</w:t>
            </w:r>
            <w:r w:rsidR="00C360A8" w:rsidRPr="009874B7">
              <w:rPr>
                <w:b/>
                <w:bCs/>
                <w:vertAlign w:val="superscript"/>
              </w:rPr>
              <w:t>1</w:t>
            </w:r>
          </w:p>
        </w:tc>
      </w:tr>
      <w:tr w:rsidR="001C5C69" w:rsidRPr="00FE70C3" w:rsidTr="00620B5C">
        <w:trPr>
          <w:cantSplit/>
        </w:trPr>
        <w:tc>
          <w:tcPr>
            <w:tcW w:w="1000" w:type="pct"/>
          </w:tcPr>
          <w:p w:rsidR="001C5C69" w:rsidRPr="007A40DE" w:rsidRDefault="001C5C69" w:rsidP="003854A9">
            <w:pPr>
              <w:pStyle w:val="Tabletext"/>
              <w:keepNext/>
              <w:keepLines/>
            </w:pPr>
            <w:r w:rsidRPr="007A40DE">
              <w:t>(95% CI)</w:t>
            </w:r>
          </w:p>
        </w:tc>
        <w:tc>
          <w:tcPr>
            <w:tcW w:w="1198" w:type="pct"/>
            <w:vAlign w:val="center"/>
          </w:tcPr>
          <w:p w:rsidR="001C5C69" w:rsidRPr="007A40DE" w:rsidRDefault="001C5C69" w:rsidP="003854A9">
            <w:pPr>
              <w:pStyle w:val="TableText0"/>
              <w:keepLines/>
              <w:jc w:val="center"/>
            </w:pPr>
            <w:r w:rsidRPr="007A40DE">
              <w:t>(35.3%, 46.0%)</w:t>
            </w:r>
          </w:p>
        </w:tc>
        <w:tc>
          <w:tcPr>
            <w:tcW w:w="1180" w:type="pct"/>
            <w:vAlign w:val="center"/>
          </w:tcPr>
          <w:p w:rsidR="001C5C69" w:rsidRPr="007A40DE" w:rsidRDefault="001C5C69" w:rsidP="003854A9">
            <w:pPr>
              <w:pStyle w:val="TableText0"/>
              <w:keepLines/>
              <w:jc w:val="center"/>
            </w:pPr>
            <w:r w:rsidRPr="007A40DE">
              <w:t>(16.7%, 29.8%)</w:t>
            </w:r>
          </w:p>
        </w:tc>
        <w:tc>
          <w:tcPr>
            <w:tcW w:w="706" w:type="pct"/>
            <w:vAlign w:val="center"/>
          </w:tcPr>
          <w:p w:rsidR="001C5C69" w:rsidRPr="007A40DE" w:rsidRDefault="001C5C69" w:rsidP="003854A9">
            <w:pPr>
              <w:pStyle w:val="Tabletext"/>
              <w:keepNext/>
              <w:keepLines/>
              <w:jc w:val="center"/>
            </w:pPr>
            <w:r w:rsidRPr="007A40DE">
              <w:t>-</w:t>
            </w:r>
          </w:p>
        </w:tc>
        <w:tc>
          <w:tcPr>
            <w:tcW w:w="916" w:type="pct"/>
            <w:vAlign w:val="center"/>
          </w:tcPr>
          <w:p w:rsidR="001C5C69" w:rsidRPr="007A40DE" w:rsidRDefault="00310F19" w:rsidP="003854A9">
            <w:pPr>
              <w:pStyle w:val="Tabletext"/>
              <w:keepNext/>
              <w:keepLines/>
              <w:jc w:val="center"/>
            </w:pPr>
            <w:r>
              <w:t>-</w:t>
            </w:r>
          </w:p>
        </w:tc>
      </w:tr>
      <w:tr w:rsidR="001C5C69" w:rsidRPr="00FE70C3" w:rsidTr="00620B5C">
        <w:trPr>
          <w:cantSplit/>
        </w:trPr>
        <w:tc>
          <w:tcPr>
            <w:tcW w:w="1000" w:type="pct"/>
          </w:tcPr>
          <w:p w:rsidR="001C5C69" w:rsidRPr="007A40DE" w:rsidRDefault="001C5C69" w:rsidP="003854A9">
            <w:pPr>
              <w:pStyle w:val="Tabletext"/>
              <w:keepNext/>
              <w:keepLines/>
            </w:pPr>
            <w:r w:rsidRPr="007A40DE">
              <w:t>CR (%)</w:t>
            </w:r>
          </w:p>
        </w:tc>
        <w:tc>
          <w:tcPr>
            <w:tcW w:w="1198" w:type="pct"/>
            <w:vAlign w:val="center"/>
          </w:tcPr>
          <w:p w:rsidR="001C5C69" w:rsidRPr="007A40DE" w:rsidRDefault="001C5C69" w:rsidP="003854A9">
            <w:pPr>
              <w:pStyle w:val="TableText0"/>
              <w:keepLines/>
              <w:jc w:val="center"/>
            </w:pPr>
            <w:r w:rsidRPr="007A40DE">
              <w:t>3</w:t>
            </w:r>
            <w:r w:rsidR="00BD3FC3">
              <w:t xml:space="preserve"> </w:t>
            </w:r>
            <w:r w:rsidRPr="007A40DE">
              <w:t>(0.9%)</w:t>
            </w:r>
          </w:p>
        </w:tc>
        <w:tc>
          <w:tcPr>
            <w:tcW w:w="1180" w:type="pct"/>
            <w:vAlign w:val="center"/>
          </w:tcPr>
          <w:p w:rsidR="001C5C69" w:rsidRPr="007A40DE" w:rsidRDefault="001C5C69" w:rsidP="003854A9">
            <w:pPr>
              <w:pStyle w:val="TableText0"/>
              <w:keepLines/>
              <w:jc w:val="center"/>
            </w:pPr>
            <w:r w:rsidRPr="007A40DE">
              <w:t>2 (1.2%)</w:t>
            </w:r>
          </w:p>
        </w:tc>
        <w:tc>
          <w:tcPr>
            <w:tcW w:w="706" w:type="pct"/>
            <w:vAlign w:val="center"/>
          </w:tcPr>
          <w:p w:rsidR="001C5C69" w:rsidRPr="007A40DE" w:rsidRDefault="00310F19" w:rsidP="003854A9">
            <w:pPr>
              <w:pStyle w:val="Tabletext"/>
              <w:keepNext/>
              <w:keepLines/>
              <w:jc w:val="center"/>
            </w:pPr>
            <w:r>
              <w:t>-</w:t>
            </w:r>
          </w:p>
        </w:tc>
        <w:tc>
          <w:tcPr>
            <w:tcW w:w="916" w:type="pct"/>
            <w:vAlign w:val="center"/>
          </w:tcPr>
          <w:p w:rsidR="001C5C69" w:rsidRPr="007A40DE" w:rsidRDefault="00310F19" w:rsidP="003854A9">
            <w:pPr>
              <w:pStyle w:val="Tabletext"/>
              <w:keepNext/>
              <w:keepLines/>
              <w:jc w:val="center"/>
            </w:pPr>
            <w:r>
              <w:t>-</w:t>
            </w:r>
          </w:p>
        </w:tc>
      </w:tr>
      <w:tr w:rsidR="001C5C69" w:rsidRPr="00FE70C3" w:rsidTr="00620B5C">
        <w:trPr>
          <w:cantSplit/>
        </w:trPr>
        <w:tc>
          <w:tcPr>
            <w:tcW w:w="1000" w:type="pct"/>
          </w:tcPr>
          <w:p w:rsidR="001C5C69" w:rsidRPr="007A40DE" w:rsidRDefault="001C5C69" w:rsidP="003854A9">
            <w:pPr>
              <w:pStyle w:val="Tabletext"/>
              <w:keepNext/>
              <w:keepLines/>
            </w:pPr>
            <w:r w:rsidRPr="007A40DE">
              <w:t>PR (%)</w:t>
            </w:r>
          </w:p>
        </w:tc>
        <w:tc>
          <w:tcPr>
            <w:tcW w:w="1198" w:type="pct"/>
            <w:vAlign w:val="center"/>
          </w:tcPr>
          <w:p w:rsidR="001C5C69" w:rsidRPr="007A40DE" w:rsidRDefault="001C5C69" w:rsidP="003854A9">
            <w:pPr>
              <w:pStyle w:val="TableText0"/>
              <w:keepLines/>
              <w:jc w:val="center"/>
            </w:pPr>
            <w:r w:rsidRPr="007A40DE">
              <w:t>135 (39.7%)</w:t>
            </w:r>
          </w:p>
        </w:tc>
        <w:tc>
          <w:tcPr>
            <w:tcW w:w="1180" w:type="pct"/>
            <w:vAlign w:val="center"/>
          </w:tcPr>
          <w:p w:rsidR="001C5C69" w:rsidRPr="007A40DE" w:rsidRDefault="001C5C69" w:rsidP="003854A9">
            <w:pPr>
              <w:pStyle w:val="TableText0"/>
              <w:keepLines/>
              <w:jc w:val="center"/>
            </w:pPr>
            <w:r w:rsidRPr="007A40DE">
              <w:t>37 (21.6%)</w:t>
            </w:r>
          </w:p>
        </w:tc>
        <w:tc>
          <w:tcPr>
            <w:tcW w:w="706" w:type="pct"/>
            <w:vAlign w:val="center"/>
          </w:tcPr>
          <w:p w:rsidR="001C5C69" w:rsidRPr="007A40DE" w:rsidRDefault="00310F19" w:rsidP="003854A9">
            <w:pPr>
              <w:pStyle w:val="Tabletext"/>
              <w:keepNext/>
              <w:keepLines/>
              <w:jc w:val="center"/>
            </w:pPr>
            <w:r>
              <w:t>-</w:t>
            </w:r>
          </w:p>
        </w:tc>
        <w:tc>
          <w:tcPr>
            <w:tcW w:w="916" w:type="pct"/>
            <w:vAlign w:val="center"/>
          </w:tcPr>
          <w:p w:rsidR="001C5C69" w:rsidRPr="007A40DE" w:rsidRDefault="00310F19" w:rsidP="003854A9">
            <w:pPr>
              <w:pStyle w:val="Tabletext"/>
              <w:keepNext/>
              <w:keepLines/>
              <w:jc w:val="center"/>
            </w:pPr>
            <w:r>
              <w:t>-</w:t>
            </w:r>
          </w:p>
        </w:tc>
      </w:tr>
      <w:tr w:rsidR="001C5C69" w:rsidRPr="00FE70C3" w:rsidTr="00460101">
        <w:trPr>
          <w:cantSplit/>
        </w:trPr>
        <w:tc>
          <w:tcPr>
            <w:tcW w:w="5000" w:type="pct"/>
            <w:gridSpan w:val="5"/>
          </w:tcPr>
          <w:p w:rsidR="001C5C69" w:rsidRPr="00AC182C" w:rsidRDefault="001C5C69" w:rsidP="003854A9">
            <w:pPr>
              <w:pStyle w:val="TableText0"/>
              <w:keepLines/>
              <w:rPr>
                <w:rFonts w:cs="Arial"/>
                <w:b/>
                <w:bCs w:val="0"/>
              </w:rPr>
            </w:pPr>
            <w:r w:rsidRPr="00AC182C">
              <w:rPr>
                <w:rFonts w:cs="Arial"/>
                <w:b/>
                <w:bCs w:val="0"/>
              </w:rPr>
              <w:t>Duration of response</w:t>
            </w:r>
            <w:r w:rsidR="00300042">
              <w:rPr>
                <w:rFonts w:cs="Arial"/>
                <w:b/>
                <w:bCs w:val="0"/>
              </w:rPr>
              <w:t xml:space="preserve"> (not key secondary efficacy endpoint)</w:t>
            </w:r>
            <w:r w:rsidR="00DE21A5">
              <w:rPr>
                <w:rFonts w:cs="Arial"/>
                <w:b/>
                <w:bCs w:val="0"/>
              </w:rPr>
              <w:t xml:space="preserve"> </w:t>
            </w:r>
            <w:r w:rsidR="00300042">
              <w:rPr>
                <w:rFonts w:cs="Arial"/>
                <w:b/>
                <w:bCs w:val="0"/>
              </w:rPr>
              <w:t xml:space="preserve">(Patients with response, </w:t>
            </w:r>
            <w:r w:rsidR="00667439">
              <w:rPr>
                <w:rFonts w:cs="Arial"/>
                <w:b/>
                <w:bCs w:val="0"/>
              </w:rPr>
              <w:t xml:space="preserve">subgroup of </w:t>
            </w:r>
            <w:r w:rsidR="00300042">
              <w:rPr>
                <w:rFonts w:cs="Arial"/>
                <w:b/>
                <w:bCs w:val="0"/>
              </w:rPr>
              <w:t>ITT-OS population)</w:t>
            </w:r>
          </w:p>
        </w:tc>
      </w:tr>
      <w:tr w:rsidR="001C5C69" w:rsidRPr="00FE70C3" w:rsidTr="00620B5C">
        <w:trPr>
          <w:cantSplit/>
        </w:trPr>
        <w:tc>
          <w:tcPr>
            <w:tcW w:w="1000" w:type="pct"/>
          </w:tcPr>
          <w:p w:rsidR="001C5C69" w:rsidRDefault="001C5C69" w:rsidP="003854A9">
            <w:pPr>
              <w:pStyle w:val="TableText0"/>
              <w:keepLines/>
            </w:pPr>
            <w:r>
              <w:t>Median, months (95% CI)</w:t>
            </w:r>
          </w:p>
        </w:tc>
        <w:tc>
          <w:tcPr>
            <w:tcW w:w="1198" w:type="pct"/>
            <w:vAlign w:val="center"/>
          </w:tcPr>
          <w:p w:rsidR="001C5C69" w:rsidRDefault="001C5C69" w:rsidP="003854A9">
            <w:pPr>
              <w:pStyle w:val="TableText0"/>
              <w:keepLines/>
              <w:jc w:val="center"/>
              <w:rPr>
                <w:bCs w:val="0"/>
                <w:szCs w:val="20"/>
              </w:rPr>
            </w:pPr>
            <w:r>
              <w:rPr>
                <w:bCs w:val="0"/>
                <w:szCs w:val="20"/>
              </w:rPr>
              <w:t>8.3 (6.2, 9.7)</w:t>
            </w:r>
          </w:p>
        </w:tc>
        <w:tc>
          <w:tcPr>
            <w:tcW w:w="1180" w:type="pct"/>
            <w:vAlign w:val="center"/>
          </w:tcPr>
          <w:p w:rsidR="001C5C69" w:rsidRDefault="001C5C69" w:rsidP="003854A9">
            <w:pPr>
              <w:pStyle w:val="TableText0"/>
              <w:keepLines/>
              <w:jc w:val="center"/>
              <w:rPr>
                <w:bCs w:val="0"/>
                <w:szCs w:val="20"/>
              </w:rPr>
            </w:pPr>
            <w:r>
              <w:rPr>
                <w:bCs w:val="0"/>
                <w:szCs w:val="20"/>
              </w:rPr>
              <w:t>6.3</w:t>
            </w:r>
          </w:p>
        </w:tc>
        <w:tc>
          <w:tcPr>
            <w:tcW w:w="706" w:type="pct"/>
            <w:vAlign w:val="center"/>
          </w:tcPr>
          <w:p w:rsidR="001C5C69" w:rsidRDefault="000B6F28" w:rsidP="003854A9">
            <w:pPr>
              <w:pStyle w:val="TableText0"/>
              <w:keepLines/>
              <w:jc w:val="center"/>
              <w:rPr>
                <w:rFonts w:cs="Arial"/>
              </w:rPr>
            </w:pPr>
            <w:r>
              <w:rPr>
                <w:rFonts w:cs="Arial"/>
              </w:rPr>
              <w:t>2 months</w:t>
            </w:r>
          </w:p>
        </w:tc>
        <w:tc>
          <w:tcPr>
            <w:tcW w:w="916" w:type="pct"/>
            <w:vAlign w:val="center"/>
          </w:tcPr>
          <w:p w:rsidR="001C5C69" w:rsidRDefault="000B6F28" w:rsidP="003854A9">
            <w:pPr>
              <w:pStyle w:val="TableText0"/>
              <w:keepLines/>
              <w:jc w:val="center"/>
              <w:rPr>
                <w:rFonts w:cs="Arial"/>
              </w:rPr>
            </w:pPr>
            <w:r>
              <w:rPr>
                <w:rFonts w:cs="Arial"/>
              </w:rPr>
              <w:t>-</w:t>
            </w:r>
          </w:p>
        </w:tc>
      </w:tr>
    </w:tbl>
    <w:p w:rsidR="007A40DE" w:rsidRDefault="001C5C69" w:rsidP="003854A9">
      <w:pPr>
        <w:pStyle w:val="TableFigureFooter"/>
        <w:keepNext/>
        <w:keepLines/>
        <w:rPr>
          <w:rFonts w:eastAsia="Calibri"/>
        </w:rPr>
      </w:pPr>
      <w:r w:rsidRPr="00FE70C3">
        <w:rPr>
          <w:rFonts w:eastAsia="Calibri"/>
        </w:rPr>
        <w:t xml:space="preserve">Source: </w:t>
      </w:r>
      <w:r>
        <w:rPr>
          <w:rFonts w:eastAsia="Calibri"/>
        </w:rPr>
        <w:t>p</w:t>
      </w:r>
      <w:r w:rsidR="00782729">
        <w:rPr>
          <w:rFonts w:eastAsia="Calibri"/>
        </w:rPr>
        <w:t>p95-105</w:t>
      </w:r>
      <w:r>
        <w:rPr>
          <w:rFonts w:eastAsia="Calibri"/>
        </w:rPr>
        <w:t xml:space="preserve"> of the submission (corrected figures in italics per Table 17, p82 of CSR) and FDA label accessible at </w:t>
      </w:r>
      <w:r w:rsidRPr="002A79BC">
        <w:rPr>
          <w:rFonts w:eastAsia="Calibri"/>
        </w:rPr>
        <w:t>https://www.accessdata.fda.gov/drugsatfda_docs/label/2020/213411s000lbl.pdf</w:t>
      </w:r>
      <w:r w:rsidRPr="00673907">
        <w:rPr>
          <w:rFonts w:eastAsia="Calibri"/>
        </w:rPr>
        <w:t xml:space="preserve"> </w:t>
      </w:r>
    </w:p>
    <w:p w:rsidR="008121F6" w:rsidRDefault="00886E8F" w:rsidP="00673907">
      <w:pPr>
        <w:pStyle w:val="TableFigureFooter"/>
      </w:pPr>
      <w:r>
        <w:t>BICR = blinded independent central review; CI = confidence interval; CR = complete</w:t>
      </w:r>
      <w:r w:rsidR="00620B5C">
        <w:t xml:space="preserve"> response; HR = hazard ratio; ITT = intention to treat; </w:t>
      </w:r>
      <w:r w:rsidR="00774524">
        <w:t xml:space="preserve">ORR = overall response rate; </w:t>
      </w:r>
      <w:r w:rsidR="00620B5C">
        <w:t>OS = overall survival; PFS = progression free survival</w:t>
      </w:r>
      <w:r w:rsidR="00774524">
        <w:t>; PR = partial response</w:t>
      </w:r>
    </w:p>
    <w:p w:rsidR="008121F6" w:rsidRDefault="008121F6" w:rsidP="00673907">
      <w:pPr>
        <w:pStyle w:val="TableFigureFooter"/>
        <w:rPr>
          <w:bCs/>
        </w:rPr>
      </w:pPr>
      <w:r w:rsidRPr="00C360A8">
        <w:rPr>
          <w:bCs/>
          <w:vertAlign w:val="superscript"/>
        </w:rPr>
        <w:t>1</w:t>
      </w:r>
      <w:r>
        <w:rPr>
          <w:bCs/>
        </w:rPr>
        <w:t>Stratified CMH p-value for ORR.</w:t>
      </w:r>
    </w:p>
    <w:p w:rsidR="002C2775" w:rsidRPr="00982D9E" w:rsidRDefault="00C35938" w:rsidP="00673907">
      <w:pPr>
        <w:keepNext/>
        <w:keepLines/>
        <w:spacing w:after="120"/>
        <w:rPr>
          <w:b/>
          <w:bCs/>
        </w:rPr>
      </w:pPr>
      <w:r w:rsidRPr="00982D9E">
        <w:rPr>
          <w:b/>
          <w:bCs/>
        </w:rPr>
        <w:t>Primary efficacy endpoint</w:t>
      </w:r>
      <w:r w:rsidR="00681499" w:rsidRPr="00982D9E">
        <w:rPr>
          <w:b/>
          <w:bCs/>
        </w:rPr>
        <w:t xml:space="preserve"> – PFS per blinded independent central review (BICR)</w:t>
      </w:r>
    </w:p>
    <w:p w:rsidR="00C35938" w:rsidRPr="00EC5836" w:rsidRDefault="008A55A3" w:rsidP="00673907">
      <w:pPr>
        <w:pStyle w:val="3-BodyText"/>
        <w:keepNext/>
        <w:keepLines/>
      </w:pPr>
      <w:r>
        <w:t>After</w:t>
      </w:r>
      <w:r w:rsidR="001A0578" w:rsidRPr="00C8177B">
        <w:t xml:space="preserve"> a median follow-up of 10.4 months</w:t>
      </w:r>
      <w:r w:rsidR="001A0578">
        <w:t>, t</w:t>
      </w:r>
      <w:r w:rsidR="00C35938">
        <w:t xml:space="preserve">he addition of tucatinib to trastuzumab and capecitabine was associated with a 46% reduction in the risk of progression or death (HR </w:t>
      </w:r>
      <w:r w:rsidR="00DE21A5">
        <w:t xml:space="preserve">= </w:t>
      </w:r>
      <w:r w:rsidR="00C35938">
        <w:t>0.54; 95% CI</w:t>
      </w:r>
      <w:r w:rsidR="00DE21A5">
        <w:t>:</w:t>
      </w:r>
      <w:r w:rsidR="002F778B">
        <w:t xml:space="preserve"> </w:t>
      </w:r>
      <w:r w:rsidR="00C35938">
        <w:t>0.42, 0.71; p&lt;0.00001) and a median improvement in PFS of 2.2 months</w:t>
      </w:r>
      <w:r w:rsidR="00800FE6">
        <w:t xml:space="preserve"> compared with placebo plus trastuzumab and capecitabine</w:t>
      </w:r>
      <w:r w:rsidR="00740A56">
        <w:t xml:space="preserve"> (Figure 2)</w:t>
      </w:r>
      <w:r w:rsidR="00C35938">
        <w:t>.</w:t>
      </w:r>
      <w:r w:rsidR="00681499">
        <w:t xml:space="preserve"> </w:t>
      </w:r>
    </w:p>
    <w:p w:rsidR="00C35938" w:rsidRPr="00C35938" w:rsidRDefault="00C35938" w:rsidP="00C35938">
      <w:pPr>
        <w:pStyle w:val="TableFooter"/>
        <w:rPr>
          <w:snapToGrid w:val="0"/>
        </w:rPr>
      </w:pPr>
    </w:p>
    <w:p w:rsidR="00C35938" w:rsidRDefault="00C35938" w:rsidP="00540021">
      <w:pPr>
        <w:pStyle w:val="TableFigureHeading"/>
      </w:pPr>
      <w:r>
        <w:t>Figure</w:t>
      </w:r>
      <w:r w:rsidRPr="00BD59B3">
        <w:t xml:space="preserve"> </w:t>
      </w:r>
      <w:r w:rsidR="00BD59B3" w:rsidRPr="00BD59B3">
        <w:t>2</w:t>
      </w:r>
      <w:r w:rsidR="00370D55">
        <w:t>:</w:t>
      </w:r>
      <w:r>
        <w:t xml:space="preserve"> PFS per BICR by treatment arm (ITT-PFS population)</w:t>
      </w:r>
      <w:r w:rsidRPr="00EF3E03">
        <w:rPr>
          <w:noProof/>
        </w:rPr>
        <w:drawing>
          <wp:inline distT="0" distB="0" distL="0" distR="0" wp14:anchorId="411AFF23" wp14:editId="73541591">
            <wp:extent cx="4864491" cy="3174734"/>
            <wp:effectExtent l="19050" t="19050" r="12700" b="2603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9"/>
                    <a:stretch>
                      <a:fillRect/>
                    </a:stretch>
                  </pic:blipFill>
                  <pic:spPr>
                    <a:xfrm>
                      <a:off x="0" y="0"/>
                      <a:ext cx="4892450" cy="3192981"/>
                    </a:xfrm>
                    <a:prstGeom prst="rect">
                      <a:avLst/>
                    </a:prstGeom>
                    <a:ln>
                      <a:solidFill>
                        <a:schemeClr val="tx1"/>
                      </a:solidFill>
                    </a:ln>
                  </pic:spPr>
                </pic:pic>
              </a:graphicData>
            </a:graphic>
          </wp:inline>
        </w:drawing>
      </w:r>
    </w:p>
    <w:p w:rsidR="00774524" w:rsidRDefault="00C35938" w:rsidP="00C35938">
      <w:pPr>
        <w:pStyle w:val="TableFigureFooter"/>
      </w:pPr>
      <w:r w:rsidRPr="00EF3E03">
        <w:t xml:space="preserve">Source: </w:t>
      </w:r>
      <w:r>
        <w:t>Figure 3, p79 of HER2CLIMB CSR</w:t>
      </w:r>
    </w:p>
    <w:p w:rsidR="00C35938" w:rsidRDefault="00C35938" w:rsidP="00C35938">
      <w:pPr>
        <w:pStyle w:val="TableFigureFooter"/>
      </w:pPr>
      <w:r w:rsidRPr="004D2F54">
        <w:t xml:space="preserve">BICR = blinded independent central review; Cap = capecitabine; </w:t>
      </w:r>
      <w:r w:rsidR="00774524">
        <w:t xml:space="preserve">CI = confidence interval; HR = hazard ratio; </w:t>
      </w:r>
      <w:r>
        <w:t xml:space="preserve">ITT = intent to treat; </w:t>
      </w:r>
      <w:r w:rsidRPr="004D2F54">
        <w:t>Pbo = placebo; PFS = progression free survival</w:t>
      </w:r>
      <w:r>
        <w:t xml:space="preserve">; </w:t>
      </w:r>
      <w:r w:rsidRPr="004D2F54">
        <w:t xml:space="preserve">Tra = </w:t>
      </w:r>
      <w:r>
        <w:t>t</w:t>
      </w:r>
      <w:r w:rsidRPr="004D2F54">
        <w:t>rastuzumab; Tuc = tucatinib</w:t>
      </w:r>
    </w:p>
    <w:p w:rsidR="00DA7AE1" w:rsidRPr="007561D2" w:rsidRDefault="0088045E" w:rsidP="00DA7AE1">
      <w:pPr>
        <w:pStyle w:val="3-BodyText"/>
        <w:rPr>
          <w:iCs/>
          <w:color w:val="000000" w:themeColor="text1"/>
        </w:rPr>
      </w:pPr>
      <w:r>
        <w:rPr>
          <w:iCs/>
          <w:color w:val="000000" w:themeColor="text1"/>
        </w:rPr>
        <w:t>The results of s</w:t>
      </w:r>
      <w:r w:rsidR="00F511A7" w:rsidRPr="007561D2">
        <w:rPr>
          <w:iCs/>
          <w:color w:val="000000" w:themeColor="text1"/>
        </w:rPr>
        <w:t xml:space="preserve">ubgroup analyses </w:t>
      </w:r>
      <w:r>
        <w:rPr>
          <w:iCs/>
          <w:color w:val="000000" w:themeColor="text1"/>
        </w:rPr>
        <w:t>were</w:t>
      </w:r>
      <w:r w:rsidR="00F511A7" w:rsidRPr="007561D2">
        <w:rPr>
          <w:iCs/>
          <w:color w:val="000000" w:themeColor="text1"/>
        </w:rPr>
        <w:t xml:space="preserve"> consistent with the primary efficacy outcome.</w:t>
      </w:r>
      <w:r w:rsidR="00FB6FA4" w:rsidRPr="007561D2">
        <w:rPr>
          <w:iCs/>
          <w:color w:val="000000" w:themeColor="text1"/>
        </w:rPr>
        <w:t xml:space="preserve"> Sensitivity analyses of PFS per investigator were also consistent</w:t>
      </w:r>
      <w:r w:rsidR="003E6866" w:rsidRPr="007561D2">
        <w:rPr>
          <w:iCs/>
          <w:color w:val="000000" w:themeColor="text1"/>
        </w:rPr>
        <w:t>, with a greater degree of concordance</w:t>
      </w:r>
      <w:r w:rsidR="00824E6C" w:rsidRPr="007561D2">
        <w:rPr>
          <w:iCs/>
          <w:color w:val="000000" w:themeColor="text1"/>
        </w:rPr>
        <w:t xml:space="preserve"> between BICR and investigators</w:t>
      </w:r>
      <w:r w:rsidR="003E6866" w:rsidRPr="007561D2">
        <w:rPr>
          <w:iCs/>
          <w:color w:val="000000" w:themeColor="text1"/>
        </w:rPr>
        <w:t xml:space="preserve"> when </w:t>
      </w:r>
      <w:r w:rsidR="00824E6C" w:rsidRPr="007561D2">
        <w:rPr>
          <w:iCs/>
          <w:color w:val="000000" w:themeColor="text1"/>
        </w:rPr>
        <w:t>initiation of a new therapy was also listed as a PFS event</w:t>
      </w:r>
      <w:r w:rsidR="004A5A74" w:rsidRPr="007561D2">
        <w:rPr>
          <w:iCs/>
          <w:color w:val="000000" w:themeColor="text1"/>
        </w:rPr>
        <w:t xml:space="preserve"> </w:t>
      </w:r>
      <w:r w:rsidR="00824E6C" w:rsidRPr="007561D2">
        <w:rPr>
          <w:iCs/>
          <w:color w:val="000000" w:themeColor="text1"/>
        </w:rPr>
        <w:t>(analysis requested by the FDA)</w:t>
      </w:r>
      <w:r w:rsidR="00692E9E" w:rsidRPr="007561D2">
        <w:rPr>
          <w:rStyle w:val="FootnoteReference"/>
          <w:iCs/>
          <w:color w:val="000000" w:themeColor="text1"/>
        </w:rPr>
        <w:t xml:space="preserve"> </w:t>
      </w:r>
      <w:r w:rsidR="00692E9E" w:rsidRPr="007561D2">
        <w:rPr>
          <w:rStyle w:val="FootnoteReference"/>
          <w:iCs/>
          <w:color w:val="000000" w:themeColor="text1"/>
        </w:rPr>
        <w:footnoteReference w:id="4"/>
      </w:r>
      <w:r w:rsidR="00FB6FA4" w:rsidRPr="007561D2">
        <w:rPr>
          <w:iCs/>
          <w:color w:val="000000" w:themeColor="text1"/>
        </w:rPr>
        <w:t>.</w:t>
      </w:r>
      <w:r w:rsidR="001A17DB" w:rsidRPr="007561D2">
        <w:rPr>
          <w:iCs/>
          <w:color w:val="000000" w:themeColor="text1"/>
        </w:rPr>
        <w:t xml:space="preserve"> Sensitivity analyses of PFS in the larger ITT-OS population were also consistent.</w:t>
      </w:r>
    </w:p>
    <w:p w:rsidR="009D0A4F" w:rsidRPr="006E6EBB" w:rsidRDefault="00F46826" w:rsidP="00982D9E">
      <w:pPr>
        <w:spacing w:after="120"/>
        <w:rPr>
          <w:b/>
          <w:bCs/>
        </w:rPr>
      </w:pPr>
      <w:r w:rsidRPr="006E6EBB">
        <w:rPr>
          <w:b/>
          <w:bCs/>
        </w:rPr>
        <w:t>Secondary efficacy endpoints</w:t>
      </w:r>
    </w:p>
    <w:p w:rsidR="00F46826" w:rsidRPr="005F5343" w:rsidRDefault="00F46826" w:rsidP="00681499">
      <w:pPr>
        <w:pStyle w:val="3-BodyText"/>
        <w:numPr>
          <w:ilvl w:val="0"/>
          <w:numId w:val="0"/>
        </w:numPr>
        <w:ind w:left="720" w:hanging="720"/>
        <w:rPr>
          <w:color w:val="000000" w:themeColor="text1"/>
          <w:u w:val="single"/>
        </w:rPr>
      </w:pPr>
      <w:r w:rsidRPr="005F5343">
        <w:rPr>
          <w:color w:val="000000" w:themeColor="text1"/>
          <w:u w:val="single"/>
        </w:rPr>
        <w:t>Secondary efficacy endpoint – overall survival</w:t>
      </w:r>
    </w:p>
    <w:p w:rsidR="00F46826" w:rsidRPr="00681499" w:rsidRDefault="006319D8" w:rsidP="00681499">
      <w:pPr>
        <w:pStyle w:val="3-BodyText"/>
        <w:rPr>
          <w:i/>
          <w:iCs/>
        </w:rPr>
      </w:pPr>
      <w:r w:rsidRPr="0092692B">
        <w:t>After</w:t>
      </w:r>
      <w:r w:rsidR="00F46826" w:rsidRPr="0092692B">
        <w:t xml:space="preserve"> a median follow-up time of 14 months and following 60% of the planned OS events, </w:t>
      </w:r>
      <w:r w:rsidR="00DC3CB1" w:rsidRPr="0092692B">
        <w:t xml:space="preserve">median </w:t>
      </w:r>
      <w:r w:rsidR="00F46826" w:rsidRPr="0092692B">
        <w:t xml:space="preserve">overall survival (OS) was prolonged </w:t>
      </w:r>
      <w:r w:rsidR="00DC3CB1" w:rsidRPr="0092692B">
        <w:t>by 4.5 months (21.9 months (95% CI: 18.3, 31.0) versus 17.4 months (95% CI: 13.6, 19.9)) in</w:t>
      </w:r>
      <w:r w:rsidR="00F46826" w:rsidRPr="0092692B">
        <w:t xml:space="preserve"> the tucatinib arm versus </w:t>
      </w:r>
      <w:r w:rsidR="006B1399">
        <w:t xml:space="preserve">the </w:t>
      </w:r>
      <w:r w:rsidR="00F46826" w:rsidRPr="0092692B">
        <w:t>placebo</w:t>
      </w:r>
      <w:r w:rsidR="006B1399">
        <w:t xml:space="preserve"> arm</w:t>
      </w:r>
      <w:r w:rsidR="00F46826" w:rsidRPr="0092692B">
        <w:t>,</w:t>
      </w:r>
      <w:r w:rsidR="00DC3CB1" w:rsidRPr="0092692B">
        <w:t xml:space="preserve"> respectively. There</w:t>
      </w:r>
      <w:r w:rsidR="00F46826" w:rsidRPr="0092692B">
        <w:t xml:space="preserve"> w</w:t>
      </w:r>
      <w:r w:rsidR="00DC3CB1" w:rsidRPr="0092692B">
        <w:t>as</w:t>
      </w:r>
      <w:r w:rsidR="00F46826" w:rsidRPr="0092692B">
        <w:t xml:space="preserve"> a statistically significant 34% reduction in the risk of death (HR</w:t>
      </w:r>
      <w:r w:rsidR="00DE21A5">
        <w:t xml:space="preserve"> </w:t>
      </w:r>
      <w:r w:rsidR="00F46826" w:rsidRPr="0092692B">
        <w:t>= 0.66</w:t>
      </w:r>
      <w:r w:rsidR="00DE21A5">
        <w:t xml:space="preserve">; </w:t>
      </w:r>
      <w:r w:rsidR="00F46826" w:rsidRPr="0092692B">
        <w:t xml:space="preserve">95% CI: 0.50, 0.88; </w:t>
      </w:r>
      <w:r w:rsidR="00DE21A5">
        <w:t xml:space="preserve">p </w:t>
      </w:r>
      <w:r w:rsidR="00F46826" w:rsidRPr="0092692B">
        <w:t>= 0.0048)</w:t>
      </w:r>
      <w:r w:rsidR="00740A56">
        <w:t xml:space="preserve"> (Figure 3)</w:t>
      </w:r>
      <w:r w:rsidR="00F46826" w:rsidRPr="0092692B">
        <w:t xml:space="preserve">. </w:t>
      </w:r>
    </w:p>
    <w:p w:rsidR="00DC3CB1" w:rsidRDefault="00DC3CB1" w:rsidP="00DC3CB1">
      <w:pPr>
        <w:pStyle w:val="TableFigureHeading"/>
      </w:pPr>
      <w:r>
        <w:t xml:space="preserve">Figure </w:t>
      </w:r>
      <w:r w:rsidR="00BD59B3">
        <w:t>3</w:t>
      </w:r>
      <w:r w:rsidR="00370D55">
        <w:t>:</w:t>
      </w:r>
      <w:r>
        <w:t xml:space="preserve"> OS by treatment arm in HER2CLIMB (ITT-OS population) </w:t>
      </w:r>
    </w:p>
    <w:p w:rsidR="00DC3CB1" w:rsidRDefault="00DC3CB1" w:rsidP="00DC3CB1">
      <w:pPr>
        <w:pStyle w:val="NormalWeb"/>
        <w:spacing w:before="0" w:after="0"/>
        <w:jc w:val="center"/>
        <w:rPr>
          <w:rFonts w:ascii="Arial" w:hAnsi="Arial" w:cs="Arial"/>
          <w:sz w:val="20"/>
          <w:szCs w:val="20"/>
          <w:lang w:eastAsia="en-US"/>
        </w:rPr>
      </w:pPr>
      <w:r>
        <w:rPr>
          <w:rFonts w:ascii="Arial" w:hAnsi="Arial" w:cs="Arial"/>
          <w:noProof/>
          <w:sz w:val="20"/>
          <w:szCs w:val="20"/>
          <w:lang w:val="en-AU" w:eastAsia="en-AU"/>
        </w:rPr>
        <w:drawing>
          <wp:inline distT="0" distB="0" distL="0" distR="0" wp14:anchorId="6869A9ED" wp14:editId="4AFD08AD">
            <wp:extent cx="4382144" cy="3312446"/>
            <wp:effectExtent l="12700" t="12700" r="12065" b="1524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10"/>
                    <a:stretch>
                      <a:fillRect/>
                    </a:stretch>
                  </pic:blipFill>
                  <pic:spPr>
                    <a:xfrm>
                      <a:off x="0" y="0"/>
                      <a:ext cx="4386511" cy="3315747"/>
                    </a:xfrm>
                    <a:prstGeom prst="rect">
                      <a:avLst/>
                    </a:prstGeom>
                    <a:ln>
                      <a:solidFill>
                        <a:schemeClr val="tx1"/>
                      </a:solidFill>
                    </a:ln>
                  </pic:spPr>
                </pic:pic>
              </a:graphicData>
            </a:graphic>
          </wp:inline>
        </w:drawing>
      </w:r>
    </w:p>
    <w:p w:rsidR="00DC3CB1" w:rsidRDefault="00DC3CB1" w:rsidP="00DC3CB1">
      <w:pPr>
        <w:pStyle w:val="TableFooter"/>
      </w:pPr>
      <w:r>
        <w:t>Source: Figure 5, p83 of HER2CLIMB CSR</w:t>
      </w:r>
    </w:p>
    <w:p w:rsidR="00DC3CB1" w:rsidRDefault="00DC3CB1" w:rsidP="00DC3CB1">
      <w:pPr>
        <w:pStyle w:val="TableFooter"/>
      </w:pPr>
      <w:r>
        <w:rPr>
          <w:bCs/>
        </w:rPr>
        <w:t xml:space="preserve">Cap = capecitabine; </w:t>
      </w:r>
      <w:r w:rsidR="00774524">
        <w:rPr>
          <w:bCs/>
        </w:rPr>
        <w:t xml:space="preserve">CI = confidence interval; HR = hazard ratio; </w:t>
      </w:r>
      <w:r>
        <w:t xml:space="preserve">ITT = intent to treat; </w:t>
      </w:r>
      <w:r>
        <w:rPr>
          <w:bCs/>
        </w:rPr>
        <w:t>OS = overall survival; Pbo = placebo; Tra = trastuzumab; Tuc = tucatinib</w:t>
      </w:r>
    </w:p>
    <w:p w:rsidR="00DC3CB1" w:rsidRPr="00DC3CB1" w:rsidRDefault="00DC3CB1" w:rsidP="00DC3CB1">
      <w:pPr>
        <w:pStyle w:val="TableFooter"/>
      </w:pPr>
    </w:p>
    <w:p w:rsidR="00D444A4" w:rsidRPr="00681499" w:rsidRDefault="00D444A4" w:rsidP="00D444A4">
      <w:pPr>
        <w:pStyle w:val="3-BodyText"/>
      </w:pPr>
      <w:r w:rsidRPr="00681499">
        <w:t>Subgroup analyses indicate</w:t>
      </w:r>
      <w:r>
        <w:t>d</w:t>
      </w:r>
      <w:r w:rsidRPr="00681499">
        <w:t xml:space="preserve"> a consistent treatment effect across the subpopulations analysed</w:t>
      </w:r>
      <w:r>
        <w:t>, although these were exploratory only</w:t>
      </w:r>
      <w:r w:rsidRPr="00681499">
        <w:t>.</w:t>
      </w:r>
    </w:p>
    <w:p w:rsidR="009D0A4F" w:rsidRPr="005F5343" w:rsidRDefault="009D0A4F" w:rsidP="00681499">
      <w:pPr>
        <w:pStyle w:val="3-BodyText"/>
        <w:numPr>
          <w:ilvl w:val="0"/>
          <w:numId w:val="0"/>
        </w:numPr>
        <w:ind w:left="720" w:hanging="720"/>
        <w:rPr>
          <w:u w:val="single"/>
        </w:rPr>
      </w:pPr>
      <w:r w:rsidRPr="005F5343">
        <w:rPr>
          <w:u w:val="single"/>
        </w:rPr>
        <w:t xml:space="preserve">Secondary efficacy endpoint </w:t>
      </w:r>
      <w:r w:rsidR="00B00DE5" w:rsidRPr="005F5343">
        <w:rPr>
          <w:u w:val="single"/>
        </w:rPr>
        <w:t>–</w:t>
      </w:r>
      <w:r w:rsidRPr="005F5343">
        <w:rPr>
          <w:u w:val="single"/>
        </w:rPr>
        <w:t xml:space="preserve"> P</w:t>
      </w:r>
      <w:r w:rsidR="00B00DE5" w:rsidRPr="005F5343">
        <w:rPr>
          <w:u w:val="single"/>
        </w:rPr>
        <w:t xml:space="preserve">FS </w:t>
      </w:r>
      <w:r w:rsidR="00BF69F0" w:rsidRPr="005F5343">
        <w:rPr>
          <w:u w:val="single"/>
        </w:rPr>
        <w:t xml:space="preserve">in patients with brain metastases </w:t>
      </w:r>
      <w:r w:rsidR="004C383B" w:rsidRPr="005F5343">
        <w:rPr>
          <w:u w:val="single"/>
        </w:rPr>
        <w:t xml:space="preserve">per BICR </w:t>
      </w:r>
    </w:p>
    <w:p w:rsidR="009D0A4F" w:rsidRPr="0092692B" w:rsidRDefault="009D0A4F" w:rsidP="00681499">
      <w:pPr>
        <w:pStyle w:val="3-BodyText"/>
      </w:pPr>
      <w:r w:rsidRPr="0092692B">
        <w:t>In</w:t>
      </w:r>
      <w:r w:rsidR="004618BF" w:rsidRPr="0092692B">
        <w:t xml:space="preserve"> </w:t>
      </w:r>
      <w:r w:rsidR="004A5A74" w:rsidRPr="0092692B">
        <w:t>patients with</w:t>
      </w:r>
      <w:r w:rsidRPr="0092692B">
        <w:t xml:space="preserve"> brain metastases (ITT-PFS</w:t>
      </w:r>
      <w:r w:rsidRPr="00673907">
        <w:rPr>
          <w:vertAlign w:val="subscript"/>
        </w:rPr>
        <w:t>BrainMets</w:t>
      </w:r>
      <w:r w:rsidRPr="0092692B">
        <w:t>), the addition of tucatinib resulted in a statistically significant 52% reduction in the risk of disease progression</w:t>
      </w:r>
      <w:r w:rsidR="004A5A74" w:rsidRPr="0092692B">
        <w:t xml:space="preserve"> (in the brain or</w:t>
      </w:r>
      <w:r w:rsidR="004A5A74">
        <w:t xml:space="preserve"> </w:t>
      </w:r>
      <w:r w:rsidR="00B00DE5" w:rsidRPr="0092692B">
        <w:t>elsewhere</w:t>
      </w:r>
      <w:r w:rsidR="004A5A74" w:rsidRPr="0092692B">
        <w:t>)</w:t>
      </w:r>
      <w:r w:rsidRPr="0092692B">
        <w:t xml:space="preserve"> or death in </w:t>
      </w:r>
      <w:r w:rsidR="009B15F6" w:rsidRPr="0092692B">
        <w:t>patient</w:t>
      </w:r>
      <w:r w:rsidRPr="0092692B">
        <w:t>s with brain metastases (stratified HR= 0.48</w:t>
      </w:r>
      <w:r w:rsidR="00DE21A5">
        <w:t>;</w:t>
      </w:r>
      <w:r w:rsidRPr="0092692B">
        <w:t xml:space="preserve"> 95% CI: 0.34, 0.69</w:t>
      </w:r>
      <w:r w:rsidR="00DE21A5">
        <w:t>;</w:t>
      </w:r>
      <w:r w:rsidRPr="0092692B">
        <w:t xml:space="preserve"> </w:t>
      </w:r>
      <w:r w:rsidR="00DE21A5">
        <w:t xml:space="preserve">p </w:t>
      </w:r>
      <w:r w:rsidRPr="0092692B">
        <w:t>&lt; 0.00001)</w:t>
      </w:r>
      <w:r w:rsidR="004A5A74" w:rsidRPr="0092692B">
        <w:t xml:space="preserve">. </w:t>
      </w:r>
      <w:r w:rsidRPr="0092692B">
        <w:t>The median P</w:t>
      </w:r>
      <w:r w:rsidR="004A5A74" w:rsidRPr="0092692B">
        <w:t>FS</w:t>
      </w:r>
      <w:r w:rsidRPr="0092692B">
        <w:t xml:space="preserve"> was 7.6 months (95% CI: 6.2, 9.5) </w:t>
      </w:r>
      <w:r w:rsidR="001D6DC1">
        <w:t>i</w:t>
      </w:r>
      <w:r w:rsidRPr="0092692B">
        <w:t xml:space="preserve">n the tucatinib arm versus 5.4 months (95% CI: 4.1, 5.7) </w:t>
      </w:r>
      <w:r w:rsidR="001D6DC1">
        <w:t>i</w:t>
      </w:r>
      <w:r w:rsidRPr="0092692B">
        <w:t>n the control arm.</w:t>
      </w:r>
      <w:r w:rsidR="004618BF" w:rsidRPr="0092692B">
        <w:t xml:space="preserve"> </w:t>
      </w:r>
    </w:p>
    <w:p w:rsidR="006177EA" w:rsidRDefault="004618BF" w:rsidP="005F5343">
      <w:pPr>
        <w:pStyle w:val="3-BodyText"/>
        <w:rPr>
          <w:bCs/>
        </w:rPr>
      </w:pPr>
      <w:r w:rsidRPr="0092692B">
        <w:t>Estimated PFS in this population at 12 months was 25% (95% CI:</w:t>
      </w:r>
      <w:r w:rsidR="006B1399">
        <w:t xml:space="preserve"> </w:t>
      </w:r>
      <w:r w:rsidRPr="0092692B">
        <w:rPr>
          <w:bCs/>
        </w:rPr>
        <w:t>16.5%, 34.3%)</w:t>
      </w:r>
      <w:r w:rsidR="006B1399">
        <w:rPr>
          <w:bCs/>
        </w:rPr>
        <w:t>,</w:t>
      </w:r>
      <w:r w:rsidRPr="0092692B">
        <w:rPr>
          <w:bCs/>
        </w:rPr>
        <w:t xml:space="preserve"> compared with 0</w:t>
      </w:r>
      <w:r w:rsidR="004A5A74" w:rsidRPr="0092692B">
        <w:rPr>
          <w:bCs/>
        </w:rPr>
        <w:t>%</w:t>
      </w:r>
      <w:r w:rsidRPr="0092692B">
        <w:rPr>
          <w:bCs/>
        </w:rPr>
        <w:t xml:space="preserve"> in the comparator arm.</w:t>
      </w:r>
      <w:r w:rsidR="004A5A74" w:rsidRPr="0092692B">
        <w:rPr>
          <w:bCs/>
        </w:rPr>
        <w:t xml:space="preserve"> </w:t>
      </w:r>
    </w:p>
    <w:p w:rsidR="004618BF" w:rsidRPr="005F5343" w:rsidRDefault="003E7F44" w:rsidP="00357380">
      <w:pPr>
        <w:pStyle w:val="3-BodyText"/>
        <w:keepNext/>
        <w:keepLines/>
        <w:numPr>
          <w:ilvl w:val="0"/>
          <w:numId w:val="0"/>
        </w:numPr>
        <w:rPr>
          <w:u w:val="single"/>
        </w:rPr>
      </w:pPr>
      <w:r w:rsidRPr="005F5343">
        <w:rPr>
          <w:rFonts w:cstheme="minorHAnsi"/>
          <w:u w:val="single"/>
        </w:rPr>
        <w:t>Additional analyses in patients with brain metastases</w:t>
      </w:r>
    </w:p>
    <w:p w:rsidR="003E7F44" w:rsidRPr="007561D2" w:rsidRDefault="003E7F44" w:rsidP="00357380">
      <w:pPr>
        <w:pStyle w:val="3-BodyText"/>
        <w:keepNext/>
        <w:keepLines/>
      </w:pPr>
      <w:r w:rsidRPr="007561D2">
        <w:rPr>
          <w:iCs/>
        </w:rPr>
        <w:t>While not a prespecified analysis and therefore exploratory (with a nominal p value</w:t>
      </w:r>
      <w:r w:rsidRPr="007561D2">
        <w:t>), the submission presented an additional analysis of OS in patients with brain metastases. There was a reduced risk of death by 42% (HR</w:t>
      </w:r>
      <w:r w:rsidR="006B1399" w:rsidRPr="007561D2">
        <w:t xml:space="preserve"> </w:t>
      </w:r>
      <w:r w:rsidRPr="007561D2">
        <w:t>= 0.58; 95% CI</w:t>
      </w:r>
      <w:r w:rsidR="00A06DF7">
        <w:t>:</w:t>
      </w:r>
      <w:r w:rsidRPr="007561D2">
        <w:t xml:space="preserve"> 0.40, 0.85; </w:t>
      </w:r>
      <w:r w:rsidRPr="007561D2">
        <w:rPr>
          <w:iCs/>
        </w:rPr>
        <w:t>p</w:t>
      </w:r>
      <w:r w:rsidR="00DE21A5">
        <w:rPr>
          <w:iCs/>
        </w:rPr>
        <w:t xml:space="preserve"> </w:t>
      </w:r>
      <w:r w:rsidRPr="007561D2">
        <w:rPr>
          <w:iCs/>
        </w:rPr>
        <w:t>= 0.005</w:t>
      </w:r>
      <w:r w:rsidRPr="007561D2">
        <w:t xml:space="preserve">) in patients with brain metastases. </w:t>
      </w:r>
    </w:p>
    <w:p w:rsidR="009D0A4F" w:rsidRPr="007561D2" w:rsidRDefault="004618BF" w:rsidP="005F5343">
      <w:pPr>
        <w:pStyle w:val="3-BodyText"/>
        <w:rPr>
          <w:rFonts w:cstheme="minorHAnsi"/>
        </w:rPr>
      </w:pPr>
      <w:r w:rsidRPr="007561D2">
        <w:rPr>
          <w:snapToGrid/>
        </w:rPr>
        <w:t xml:space="preserve">Lin et al (2020) provided </w:t>
      </w:r>
      <w:r w:rsidR="00AC182C" w:rsidRPr="007561D2">
        <w:rPr>
          <w:snapToGrid/>
        </w:rPr>
        <w:t xml:space="preserve">additional </w:t>
      </w:r>
      <w:r w:rsidR="00FB4031" w:rsidRPr="007561D2">
        <w:rPr>
          <w:snapToGrid/>
        </w:rPr>
        <w:t xml:space="preserve">exploratory </w:t>
      </w:r>
      <w:r w:rsidRPr="007561D2">
        <w:rPr>
          <w:snapToGrid/>
        </w:rPr>
        <w:t>analyses</w:t>
      </w:r>
      <w:r w:rsidR="00FB4031" w:rsidRPr="007561D2">
        <w:rPr>
          <w:snapToGrid/>
        </w:rPr>
        <w:t xml:space="preserve"> of outcomes in the</w:t>
      </w:r>
      <w:r w:rsidR="00FB4031" w:rsidRPr="007561D2">
        <w:rPr>
          <w:rFonts w:cstheme="minorHAnsi"/>
        </w:rPr>
        <w:t xml:space="preserve"> HER2CLIMB ITT-PFS</w:t>
      </w:r>
      <w:r w:rsidR="00FB4031" w:rsidRPr="007561D2">
        <w:rPr>
          <w:rFonts w:cstheme="minorHAnsi"/>
          <w:vertAlign w:val="subscript"/>
        </w:rPr>
        <w:t>BrainMets</w:t>
      </w:r>
      <w:r w:rsidRPr="007561D2">
        <w:rPr>
          <w:rFonts w:cstheme="minorHAnsi"/>
        </w:rPr>
        <w:t xml:space="preserve"> </w:t>
      </w:r>
      <w:r w:rsidR="003771B4" w:rsidRPr="007561D2">
        <w:rPr>
          <w:rFonts w:cstheme="minorHAnsi"/>
        </w:rPr>
        <w:t>population:</w:t>
      </w:r>
      <w:r w:rsidR="00200A1E" w:rsidRPr="007561D2">
        <w:rPr>
          <w:rFonts w:cstheme="minorHAnsi"/>
        </w:rPr>
        <w:t xml:space="preserve"> with the addition of tucatinib</w:t>
      </w:r>
      <w:r w:rsidR="00FB4031" w:rsidRPr="007561D2">
        <w:rPr>
          <w:rFonts w:cstheme="minorHAnsi"/>
        </w:rPr>
        <w:t>,</w:t>
      </w:r>
      <w:r w:rsidR="00AC182C" w:rsidRPr="007561D2">
        <w:rPr>
          <w:rFonts w:cstheme="minorHAnsi"/>
        </w:rPr>
        <w:t xml:space="preserve"> response rates in brain </w:t>
      </w:r>
      <w:r w:rsidR="00FB4031" w:rsidRPr="007561D2">
        <w:rPr>
          <w:rFonts w:cstheme="minorHAnsi"/>
        </w:rPr>
        <w:t>lesions</w:t>
      </w:r>
      <w:r w:rsidR="00AC182C" w:rsidRPr="007561D2">
        <w:rPr>
          <w:rFonts w:cstheme="minorHAnsi"/>
        </w:rPr>
        <w:t xml:space="preserve"> were increased by 27%, and the median </w:t>
      </w:r>
      <w:r w:rsidR="003771B4" w:rsidRPr="007561D2">
        <w:rPr>
          <w:rFonts w:cstheme="minorHAnsi"/>
        </w:rPr>
        <w:t xml:space="preserve">intracranial </w:t>
      </w:r>
      <w:r w:rsidR="00FB4031" w:rsidRPr="007561D2">
        <w:rPr>
          <w:rFonts w:cstheme="minorHAnsi"/>
        </w:rPr>
        <w:t>PFS as judged by progression in brain metastases or death among those with brain lesions</w:t>
      </w:r>
      <w:r w:rsidR="00AC182C" w:rsidRPr="007561D2">
        <w:rPr>
          <w:rFonts w:cstheme="minorHAnsi"/>
        </w:rPr>
        <w:t xml:space="preserve"> was increased by 5.7 months and median overall survival was improved by 6.1 months, </w:t>
      </w:r>
      <w:r w:rsidRPr="007561D2">
        <w:rPr>
          <w:rFonts w:cstheme="minorHAnsi"/>
        </w:rPr>
        <w:t>which are presented in the table below.</w:t>
      </w:r>
      <w:r w:rsidR="00681499" w:rsidRPr="007561D2">
        <w:rPr>
          <w:rFonts w:cstheme="minorHAnsi"/>
          <w:iCs/>
        </w:rPr>
        <w:t xml:space="preserve"> </w:t>
      </w:r>
      <w:r w:rsidR="00681499" w:rsidRPr="007561D2">
        <w:rPr>
          <w:rFonts w:cstheme="minorHAnsi"/>
        </w:rPr>
        <w:t>Further exploratory subgroup analyses (Bachelot et al, 2020</w:t>
      </w:r>
      <w:r w:rsidR="00681499" w:rsidRPr="007561D2">
        <w:rPr>
          <w:rFonts w:cstheme="minorHAnsi"/>
          <w:vertAlign w:val="superscript"/>
        </w:rPr>
        <w:footnoteReference w:id="5"/>
      </w:r>
      <w:r w:rsidR="00681499" w:rsidRPr="007561D2">
        <w:rPr>
          <w:rFonts w:cstheme="minorHAnsi"/>
        </w:rPr>
        <w:t xml:space="preserve"> presented in an abstract form only) indicated that the treatment effect appears to be maintained regardless of whether the brain metastases were </w:t>
      </w:r>
      <w:r w:rsidR="00475072">
        <w:rPr>
          <w:rFonts w:cstheme="minorHAnsi"/>
        </w:rPr>
        <w:t xml:space="preserve">previously </w:t>
      </w:r>
      <w:r w:rsidR="00681499" w:rsidRPr="007561D2">
        <w:rPr>
          <w:rFonts w:cstheme="minorHAnsi"/>
        </w:rPr>
        <w:t>treated or untreated, stable or progressing.</w:t>
      </w:r>
    </w:p>
    <w:p w:rsidR="006D3B66" w:rsidRDefault="006D3B66" w:rsidP="006D3B66">
      <w:pPr>
        <w:pStyle w:val="TableFigureHeading"/>
      </w:pPr>
      <w:r>
        <w:t>Table</w:t>
      </w:r>
      <w:r w:rsidR="00F170E1">
        <w:t xml:space="preserve"> 5:</w:t>
      </w:r>
      <w:r>
        <w:t xml:space="preserve"> Summary of exploratory efficacy analyses in patients with brain metastases in HER2CLIMB (patients with brain metastases in ITT-OS population)</w:t>
      </w:r>
    </w:p>
    <w:tbl>
      <w:tblPr>
        <w:tblStyle w:val="TableGrid"/>
        <w:tblW w:w="5000" w:type="pct"/>
        <w:tblLook w:val="04A0" w:firstRow="1" w:lastRow="0" w:firstColumn="1" w:lastColumn="0" w:noHBand="0" w:noVBand="1"/>
        <w:tblCaption w:val="Table 5: Summary of exploratory efficacy analyses in patients with brain metastases in HER2CLIMB (patients with brain metastases in ITT-OS population)"/>
      </w:tblPr>
      <w:tblGrid>
        <w:gridCol w:w="4037"/>
        <w:gridCol w:w="2509"/>
        <w:gridCol w:w="2471"/>
      </w:tblGrid>
      <w:tr w:rsidR="004618BF" w:rsidRPr="007561D2" w:rsidTr="005D7B4A">
        <w:trPr>
          <w:tblHeader/>
        </w:trPr>
        <w:tc>
          <w:tcPr>
            <w:tcW w:w="2239" w:type="pct"/>
            <w:shd w:val="clear" w:color="auto" w:fill="auto"/>
            <w:vAlign w:val="center"/>
          </w:tcPr>
          <w:p w:rsidR="004618BF" w:rsidRPr="007561D2" w:rsidRDefault="004618BF" w:rsidP="000E0BD2">
            <w:pPr>
              <w:pStyle w:val="Tableheadingrow"/>
            </w:pPr>
          </w:p>
        </w:tc>
        <w:tc>
          <w:tcPr>
            <w:tcW w:w="1391" w:type="pct"/>
            <w:shd w:val="clear" w:color="auto" w:fill="auto"/>
            <w:vAlign w:val="center"/>
          </w:tcPr>
          <w:p w:rsidR="004618BF" w:rsidRPr="007561D2" w:rsidRDefault="004618BF" w:rsidP="006B1399">
            <w:pPr>
              <w:pStyle w:val="Tableheadingrow"/>
              <w:jc w:val="center"/>
              <w:rPr>
                <w:bCs/>
              </w:rPr>
            </w:pPr>
            <w:r w:rsidRPr="007561D2">
              <w:rPr>
                <w:bCs/>
              </w:rPr>
              <w:t>Tuc</w:t>
            </w:r>
            <w:r w:rsidR="00774524">
              <w:rPr>
                <w:bCs/>
              </w:rPr>
              <w:t xml:space="preserve"> </w:t>
            </w:r>
            <w:r w:rsidRPr="007561D2">
              <w:rPr>
                <w:bCs/>
              </w:rPr>
              <w:t>+</w:t>
            </w:r>
            <w:r w:rsidR="00774524">
              <w:rPr>
                <w:bCs/>
              </w:rPr>
              <w:t xml:space="preserve"> </w:t>
            </w:r>
            <w:r w:rsidRPr="007561D2">
              <w:rPr>
                <w:bCs/>
              </w:rPr>
              <w:t>Cap</w:t>
            </w:r>
            <w:r w:rsidR="00774524">
              <w:rPr>
                <w:bCs/>
              </w:rPr>
              <w:t xml:space="preserve"> </w:t>
            </w:r>
            <w:r w:rsidRPr="007561D2">
              <w:rPr>
                <w:bCs/>
              </w:rPr>
              <w:t>+</w:t>
            </w:r>
            <w:r w:rsidR="00774524">
              <w:rPr>
                <w:bCs/>
              </w:rPr>
              <w:t xml:space="preserve"> </w:t>
            </w:r>
            <w:r w:rsidRPr="007561D2">
              <w:rPr>
                <w:bCs/>
              </w:rPr>
              <w:t>Tra</w:t>
            </w:r>
          </w:p>
          <w:p w:rsidR="004618BF" w:rsidRPr="007561D2" w:rsidRDefault="004618BF" w:rsidP="006B1399">
            <w:pPr>
              <w:pStyle w:val="Tableheadingrow"/>
              <w:jc w:val="center"/>
              <w:rPr>
                <w:bCs/>
              </w:rPr>
            </w:pPr>
            <w:r w:rsidRPr="007561D2">
              <w:rPr>
                <w:bCs/>
              </w:rPr>
              <w:t>(N</w:t>
            </w:r>
            <w:r w:rsidR="00774524">
              <w:rPr>
                <w:bCs/>
              </w:rPr>
              <w:t xml:space="preserve"> </w:t>
            </w:r>
            <w:r w:rsidRPr="007561D2">
              <w:rPr>
                <w:bCs/>
              </w:rPr>
              <w:t>= 198)</w:t>
            </w:r>
          </w:p>
        </w:tc>
        <w:tc>
          <w:tcPr>
            <w:tcW w:w="1370" w:type="pct"/>
            <w:shd w:val="clear" w:color="auto" w:fill="auto"/>
            <w:vAlign w:val="center"/>
          </w:tcPr>
          <w:p w:rsidR="004618BF" w:rsidRPr="007561D2" w:rsidRDefault="004618BF" w:rsidP="006B1399">
            <w:pPr>
              <w:pStyle w:val="Tableheadingrow"/>
              <w:jc w:val="center"/>
              <w:rPr>
                <w:bCs/>
              </w:rPr>
            </w:pPr>
            <w:r w:rsidRPr="007561D2">
              <w:rPr>
                <w:bCs/>
              </w:rPr>
              <w:t>Pbo</w:t>
            </w:r>
            <w:r w:rsidR="00774524">
              <w:rPr>
                <w:bCs/>
              </w:rPr>
              <w:t xml:space="preserve"> </w:t>
            </w:r>
            <w:r w:rsidRPr="007561D2">
              <w:rPr>
                <w:bCs/>
              </w:rPr>
              <w:t>+</w:t>
            </w:r>
            <w:r w:rsidR="00774524">
              <w:rPr>
                <w:bCs/>
              </w:rPr>
              <w:t xml:space="preserve"> </w:t>
            </w:r>
            <w:r w:rsidRPr="007561D2">
              <w:rPr>
                <w:bCs/>
              </w:rPr>
              <w:t>Cap</w:t>
            </w:r>
            <w:r w:rsidR="00774524">
              <w:rPr>
                <w:bCs/>
              </w:rPr>
              <w:t xml:space="preserve"> </w:t>
            </w:r>
            <w:r w:rsidRPr="007561D2">
              <w:rPr>
                <w:bCs/>
              </w:rPr>
              <w:t>+</w:t>
            </w:r>
            <w:r w:rsidR="00774524">
              <w:rPr>
                <w:bCs/>
              </w:rPr>
              <w:t xml:space="preserve"> </w:t>
            </w:r>
            <w:r w:rsidRPr="007561D2">
              <w:rPr>
                <w:bCs/>
              </w:rPr>
              <w:t>Tra</w:t>
            </w:r>
          </w:p>
          <w:p w:rsidR="004618BF" w:rsidRPr="007561D2" w:rsidRDefault="004618BF" w:rsidP="006B1399">
            <w:pPr>
              <w:pStyle w:val="Tableheadingrow"/>
              <w:jc w:val="center"/>
              <w:rPr>
                <w:bCs/>
              </w:rPr>
            </w:pPr>
            <w:r w:rsidRPr="007561D2">
              <w:rPr>
                <w:bCs/>
              </w:rPr>
              <w:t>(N</w:t>
            </w:r>
            <w:r w:rsidR="00774524">
              <w:rPr>
                <w:bCs/>
              </w:rPr>
              <w:t xml:space="preserve"> </w:t>
            </w:r>
            <w:r w:rsidRPr="007561D2">
              <w:rPr>
                <w:bCs/>
              </w:rPr>
              <w:t>= 93)</w:t>
            </w:r>
          </w:p>
        </w:tc>
      </w:tr>
      <w:tr w:rsidR="004618BF" w:rsidRPr="007561D2" w:rsidTr="005D7B4A">
        <w:tc>
          <w:tcPr>
            <w:tcW w:w="5000" w:type="pct"/>
            <w:gridSpan w:val="3"/>
            <w:shd w:val="clear" w:color="auto" w:fill="auto"/>
            <w:vAlign w:val="center"/>
          </w:tcPr>
          <w:p w:rsidR="004618BF" w:rsidRPr="007561D2" w:rsidRDefault="004618BF" w:rsidP="000E0BD2">
            <w:pPr>
              <w:pStyle w:val="Tableheadingrow"/>
              <w:rPr>
                <w:iCs/>
              </w:rPr>
            </w:pPr>
            <w:r w:rsidRPr="007561D2">
              <w:rPr>
                <w:iCs/>
              </w:rPr>
              <w:t>Median CNS-PFS</w:t>
            </w:r>
          </w:p>
        </w:tc>
      </w:tr>
      <w:tr w:rsidR="004618BF" w:rsidRPr="007561D2" w:rsidTr="005D7B4A">
        <w:tc>
          <w:tcPr>
            <w:tcW w:w="2239" w:type="pct"/>
            <w:shd w:val="clear" w:color="auto" w:fill="auto"/>
          </w:tcPr>
          <w:p w:rsidR="004618BF" w:rsidRPr="007561D2" w:rsidRDefault="004618BF" w:rsidP="000E0BD2">
            <w:pPr>
              <w:pStyle w:val="TableText0"/>
              <w:rPr>
                <w:vertAlign w:val="superscript"/>
              </w:rPr>
            </w:pPr>
            <w:r w:rsidRPr="007561D2">
              <w:t>Median CNS-PFS (months) (95% CI)</w:t>
            </w:r>
          </w:p>
        </w:tc>
        <w:tc>
          <w:tcPr>
            <w:tcW w:w="1391" w:type="pct"/>
            <w:shd w:val="clear" w:color="auto" w:fill="auto"/>
            <w:vAlign w:val="center"/>
          </w:tcPr>
          <w:p w:rsidR="004618BF" w:rsidRPr="007561D2" w:rsidRDefault="004618BF" w:rsidP="006B1399">
            <w:pPr>
              <w:pStyle w:val="TableText0"/>
              <w:jc w:val="center"/>
            </w:pPr>
            <w:r w:rsidRPr="007561D2">
              <w:t>9.9</w:t>
            </w:r>
          </w:p>
        </w:tc>
        <w:tc>
          <w:tcPr>
            <w:tcW w:w="1370" w:type="pct"/>
            <w:shd w:val="clear" w:color="auto" w:fill="auto"/>
            <w:vAlign w:val="center"/>
          </w:tcPr>
          <w:p w:rsidR="004618BF" w:rsidRPr="007561D2" w:rsidRDefault="004618BF" w:rsidP="006B1399">
            <w:pPr>
              <w:pStyle w:val="TableText0"/>
              <w:jc w:val="center"/>
            </w:pPr>
            <w:r w:rsidRPr="007561D2">
              <w:t>4.2</w:t>
            </w:r>
          </w:p>
        </w:tc>
      </w:tr>
      <w:tr w:rsidR="004618BF" w:rsidRPr="007561D2" w:rsidTr="005D7B4A">
        <w:tc>
          <w:tcPr>
            <w:tcW w:w="2239" w:type="pct"/>
            <w:shd w:val="clear" w:color="auto" w:fill="auto"/>
          </w:tcPr>
          <w:p w:rsidR="004618BF" w:rsidRPr="007561D2" w:rsidRDefault="004618BF" w:rsidP="000E0BD2">
            <w:pPr>
              <w:pStyle w:val="TableText0"/>
            </w:pPr>
            <w:r w:rsidRPr="007561D2">
              <w:t xml:space="preserve">Hazard ratio (95% CI) </w:t>
            </w:r>
          </w:p>
          <w:p w:rsidR="004618BF" w:rsidRPr="007561D2" w:rsidRDefault="006D3B66" w:rsidP="000E0BD2">
            <w:pPr>
              <w:pStyle w:val="TableText0"/>
              <w:rPr>
                <w:iCs/>
              </w:rPr>
            </w:pPr>
            <w:r w:rsidRPr="007561D2">
              <w:rPr>
                <w:iCs/>
              </w:rPr>
              <w:t>(</w:t>
            </w:r>
            <w:r w:rsidR="004618BF" w:rsidRPr="007561D2">
              <w:rPr>
                <w:iCs/>
              </w:rPr>
              <w:t>p-value</w:t>
            </w:r>
            <w:r w:rsidRPr="007561D2">
              <w:rPr>
                <w:iCs/>
              </w:rPr>
              <w:t>)</w:t>
            </w:r>
          </w:p>
        </w:tc>
        <w:tc>
          <w:tcPr>
            <w:tcW w:w="2761" w:type="pct"/>
            <w:gridSpan w:val="2"/>
            <w:shd w:val="clear" w:color="auto" w:fill="auto"/>
            <w:vAlign w:val="center"/>
          </w:tcPr>
          <w:p w:rsidR="004618BF" w:rsidRPr="007561D2" w:rsidRDefault="004618BF" w:rsidP="006B1399">
            <w:pPr>
              <w:pStyle w:val="TableText0"/>
              <w:jc w:val="center"/>
            </w:pPr>
            <w:r w:rsidRPr="007561D2">
              <w:t>0.32 (0.22, 0.48)</w:t>
            </w:r>
          </w:p>
          <w:p w:rsidR="004618BF" w:rsidRPr="007561D2" w:rsidRDefault="006D3B66" w:rsidP="006B1399">
            <w:pPr>
              <w:pStyle w:val="TableText0"/>
              <w:jc w:val="center"/>
              <w:rPr>
                <w:iCs/>
              </w:rPr>
            </w:pPr>
            <w:r w:rsidRPr="007561D2">
              <w:rPr>
                <w:iCs/>
              </w:rPr>
              <w:t>(</w:t>
            </w:r>
            <w:r w:rsidR="004618BF" w:rsidRPr="007561D2">
              <w:rPr>
                <w:iCs/>
              </w:rPr>
              <w:t>&lt; 0.0001</w:t>
            </w:r>
            <w:r w:rsidRPr="007561D2">
              <w:rPr>
                <w:iCs/>
              </w:rPr>
              <w:t>)</w:t>
            </w:r>
          </w:p>
        </w:tc>
      </w:tr>
      <w:tr w:rsidR="004618BF" w:rsidRPr="007561D2" w:rsidTr="005D7B4A">
        <w:tc>
          <w:tcPr>
            <w:tcW w:w="5000" w:type="pct"/>
            <w:gridSpan w:val="3"/>
            <w:shd w:val="clear" w:color="auto" w:fill="auto"/>
            <w:vAlign w:val="center"/>
          </w:tcPr>
          <w:p w:rsidR="004618BF" w:rsidRPr="007561D2" w:rsidRDefault="004618BF" w:rsidP="000E0BD2">
            <w:pPr>
              <w:pStyle w:val="TableText0"/>
              <w:rPr>
                <w:b/>
                <w:iCs/>
              </w:rPr>
            </w:pPr>
            <w:r w:rsidRPr="007561D2">
              <w:rPr>
                <w:b/>
                <w:iCs/>
              </w:rPr>
              <w:t>Median overall survival</w:t>
            </w:r>
          </w:p>
        </w:tc>
      </w:tr>
      <w:tr w:rsidR="004618BF" w:rsidRPr="007561D2" w:rsidTr="005D7B4A">
        <w:tc>
          <w:tcPr>
            <w:tcW w:w="2239" w:type="pct"/>
            <w:shd w:val="clear" w:color="auto" w:fill="auto"/>
          </w:tcPr>
          <w:p w:rsidR="004618BF" w:rsidRPr="007561D2" w:rsidRDefault="004618BF" w:rsidP="000E0BD2">
            <w:pPr>
              <w:pStyle w:val="TableText0"/>
            </w:pPr>
            <w:r w:rsidRPr="007561D2">
              <w:t>Median OS (months) (95% CI)</w:t>
            </w:r>
          </w:p>
        </w:tc>
        <w:tc>
          <w:tcPr>
            <w:tcW w:w="1391" w:type="pct"/>
            <w:shd w:val="clear" w:color="auto" w:fill="auto"/>
            <w:vAlign w:val="center"/>
          </w:tcPr>
          <w:p w:rsidR="004618BF" w:rsidRPr="007561D2" w:rsidRDefault="004618BF" w:rsidP="006B1399">
            <w:pPr>
              <w:pStyle w:val="TableText0"/>
              <w:jc w:val="center"/>
            </w:pPr>
            <w:r w:rsidRPr="007561D2">
              <w:t>18.1</w:t>
            </w:r>
          </w:p>
        </w:tc>
        <w:tc>
          <w:tcPr>
            <w:tcW w:w="1370" w:type="pct"/>
            <w:shd w:val="clear" w:color="auto" w:fill="auto"/>
            <w:vAlign w:val="center"/>
          </w:tcPr>
          <w:p w:rsidR="004618BF" w:rsidRPr="007561D2" w:rsidRDefault="004618BF" w:rsidP="006B1399">
            <w:pPr>
              <w:pStyle w:val="TableText0"/>
              <w:jc w:val="center"/>
            </w:pPr>
            <w:r w:rsidRPr="007561D2">
              <w:t>12.0</w:t>
            </w:r>
          </w:p>
        </w:tc>
      </w:tr>
      <w:tr w:rsidR="004618BF" w:rsidRPr="007561D2" w:rsidTr="005D7B4A">
        <w:tc>
          <w:tcPr>
            <w:tcW w:w="2239" w:type="pct"/>
            <w:shd w:val="clear" w:color="auto" w:fill="auto"/>
          </w:tcPr>
          <w:p w:rsidR="004618BF" w:rsidRPr="007561D2" w:rsidRDefault="004618BF" w:rsidP="000E0BD2">
            <w:pPr>
              <w:pStyle w:val="TableText0"/>
            </w:pPr>
            <w:r w:rsidRPr="007561D2">
              <w:t xml:space="preserve">Hazard ratio (95% CI) </w:t>
            </w:r>
          </w:p>
          <w:p w:rsidR="004618BF" w:rsidRPr="007561D2" w:rsidRDefault="006D3B66" w:rsidP="000E0BD2">
            <w:pPr>
              <w:pStyle w:val="TableText0"/>
              <w:rPr>
                <w:iCs/>
              </w:rPr>
            </w:pPr>
            <w:r w:rsidRPr="007561D2">
              <w:rPr>
                <w:iCs/>
              </w:rPr>
              <w:t>(</w:t>
            </w:r>
            <w:r w:rsidR="004618BF" w:rsidRPr="007561D2">
              <w:rPr>
                <w:iCs/>
              </w:rPr>
              <w:t>p-value</w:t>
            </w:r>
            <w:r w:rsidRPr="007561D2">
              <w:rPr>
                <w:iCs/>
              </w:rPr>
              <w:t>)</w:t>
            </w:r>
          </w:p>
        </w:tc>
        <w:tc>
          <w:tcPr>
            <w:tcW w:w="2761" w:type="pct"/>
            <w:gridSpan w:val="2"/>
            <w:shd w:val="clear" w:color="auto" w:fill="auto"/>
            <w:vAlign w:val="center"/>
          </w:tcPr>
          <w:p w:rsidR="004618BF" w:rsidRPr="007561D2" w:rsidRDefault="004618BF" w:rsidP="006B1399">
            <w:pPr>
              <w:pStyle w:val="TableText0"/>
              <w:jc w:val="center"/>
            </w:pPr>
            <w:r w:rsidRPr="007561D2">
              <w:t>0.58 (0.40, 0.85)</w:t>
            </w:r>
          </w:p>
          <w:p w:rsidR="004618BF" w:rsidRPr="007561D2" w:rsidRDefault="006D3B66" w:rsidP="006B1399">
            <w:pPr>
              <w:pStyle w:val="TableText0"/>
              <w:jc w:val="center"/>
              <w:rPr>
                <w:iCs/>
              </w:rPr>
            </w:pPr>
            <w:r w:rsidRPr="007561D2">
              <w:rPr>
                <w:iCs/>
              </w:rPr>
              <w:t>(</w:t>
            </w:r>
            <w:r w:rsidR="004618BF" w:rsidRPr="007561D2">
              <w:rPr>
                <w:iCs/>
              </w:rPr>
              <w:t>0.005</w:t>
            </w:r>
            <w:r w:rsidRPr="007561D2">
              <w:rPr>
                <w:iCs/>
              </w:rPr>
              <w:t>)</w:t>
            </w:r>
          </w:p>
        </w:tc>
      </w:tr>
      <w:tr w:rsidR="004618BF" w:rsidRPr="007561D2" w:rsidTr="005D7B4A">
        <w:tc>
          <w:tcPr>
            <w:tcW w:w="5000" w:type="pct"/>
            <w:gridSpan w:val="3"/>
            <w:shd w:val="clear" w:color="auto" w:fill="auto"/>
            <w:vAlign w:val="center"/>
          </w:tcPr>
          <w:p w:rsidR="004618BF" w:rsidRPr="007561D2" w:rsidRDefault="004618BF" w:rsidP="000E0BD2">
            <w:pPr>
              <w:pStyle w:val="TableText0"/>
              <w:rPr>
                <w:b/>
                <w:iCs/>
              </w:rPr>
            </w:pPr>
            <w:r w:rsidRPr="007561D2">
              <w:rPr>
                <w:b/>
                <w:iCs/>
              </w:rPr>
              <w:t xml:space="preserve">Intracranial overall response </w:t>
            </w:r>
          </w:p>
        </w:tc>
      </w:tr>
      <w:tr w:rsidR="004618BF" w:rsidRPr="007561D2" w:rsidTr="005D7B4A">
        <w:tc>
          <w:tcPr>
            <w:tcW w:w="2239" w:type="pct"/>
          </w:tcPr>
          <w:p w:rsidR="004618BF" w:rsidRPr="007561D2" w:rsidRDefault="004618BF" w:rsidP="000E0BD2">
            <w:pPr>
              <w:pStyle w:val="TableText0"/>
            </w:pPr>
            <w:r w:rsidRPr="007561D2">
              <w:t>Response rate (95% CI)</w:t>
            </w:r>
          </w:p>
        </w:tc>
        <w:tc>
          <w:tcPr>
            <w:tcW w:w="1391" w:type="pct"/>
            <w:vAlign w:val="center"/>
          </w:tcPr>
          <w:p w:rsidR="004618BF" w:rsidRPr="007561D2" w:rsidRDefault="004618BF" w:rsidP="006B1399">
            <w:pPr>
              <w:pStyle w:val="TableText0"/>
              <w:jc w:val="center"/>
            </w:pPr>
            <w:r w:rsidRPr="007561D2">
              <w:t>47.3% (33.7%, 61.2%)</w:t>
            </w:r>
          </w:p>
        </w:tc>
        <w:tc>
          <w:tcPr>
            <w:tcW w:w="1370" w:type="pct"/>
            <w:vAlign w:val="center"/>
          </w:tcPr>
          <w:p w:rsidR="004618BF" w:rsidRPr="007561D2" w:rsidRDefault="004618BF" w:rsidP="006B1399">
            <w:pPr>
              <w:pStyle w:val="TableText0"/>
              <w:jc w:val="center"/>
            </w:pPr>
            <w:r w:rsidRPr="007561D2">
              <w:t>20.0% (5.7%, 43.7%)</w:t>
            </w:r>
          </w:p>
        </w:tc>
      </w:tr>
      <w:tr w:rsidR="004618BF" w:rsidRPr="007561D2" w:rsidTr="005D7B4A">
        <w:tc>
          <w:tcPr>
            <w:tcW w:w="2239" w:type="pct"/>
          </w:tcPr>
          <w:p w:rsidR="004618BF" w:rsidRPr="007561D2" w:rsidRDefault="004618BF" w:rsidP="000E0BD2">
            <w:pPr>
              <w:pStyle w:val="TableText0"/>
            </w:pPr>
            <w:r w:rsidRPr="007561D2">
              <w:t>Response duration  (months) (95% CI)</w:t>
            </w:r>
          </w:p>
        </w:tc>
        <w:tc>
          <w:tcPr>
            <w:tcW w:w="1391" w:type="pct"/>
            <w:vAlign w:val="center"/>
          </w:tcPr>
          <w:p w:rsidR="004618BF" w:rsidRPr="007561D2" w:rsidRDefault="004618BF" w:rsidP="006B1399">
            <w:pPr>
              <w:pStyle w:val="TableText0"/>
              <w:jc w:val="center"/>
            </w:pPr>
            <w:r w:rsidRPr="007561D2">
              <w:t>6.8 (5.5, 16.4)</w:t>
            </w:r>
          </w:p>
        </w:tc>
        <w:tc>
          <w:tcPr>
            <w:tcW w:w="1370" w:type="pct"/>
            <w:vAlign w:val="center"/>
          </w:tcPr>
          <w:p w:rsidR="004618BF" w:rsidRPr="007561D2" w:rsidRDefault="004618BF" w:rsidP="006B1399">
            <w:pPr>
              <w:pStyle w:val="TableText0"/>
              <w:jc w:val="center"/>
            </w:pPr>
            <w:r w:rsidRPr="007561D2">
              <w:t>3.0 (3.0, 10.3)</w:t>
            </w:r>
          </w:p>
        </w:tc>
      </w:tr>
    </w:tbl>
    <w:p w:rsidR="004618BF" w:rsidRDefault="004618BF" w:rsidP="004618BF">
      <w:pPr>
        <w:pStyle w:val="TableFooter"/>
      </w:pPr>
      <w:r w:rsidRPr="00C72DF3">
        <w:t>Source: Lin et al., 2020</w:t>
      </w:r>
      <w:r>
        <w:rPr>
          <w:rStyle w:val="FootnoteReference"/>
        </w:rPr>
        <w:footnoteReference w:id="6"/>
      </w:r>
      <w:r w:rsidR="00BD56E7">
        <w:t xml:space="preserve"> amended to have p values in italics, as these analyses are exploratory only.</w:t>
      </w:r>
    </w:p>
    <w:p w:rsidR="004618BF" w:rsidRDefault="004618BF" w:rsidP="004618BF">
      <w:pPr>
        <w:pStyle w:val="TableFooter"/>
      </w:pPr>
      <w:r>
        <w:t xml:space="preserve">Cap = capecitabine; CI = confidence interval; CNS = central nervous system; ITT = intent to treat; OS = overall survival; </w:t>
      </w:r>
      <w:r w:rsidR="00774524">
        <w:t xml:space="preserve">PFS = progression free survival; </w:t>
      </w:r>
      <w:r>
        <w:t>Pbo = placebo; Tra = trastuzumab; Tuc = tucatinib</w:t>
      </w:r>
    </w:p>
    <w:p w:rsidR="00BD56E7" w:rsidRDefault="00BD56E7" w:rsidP="004618BF">
      <w:pPr>
        <w:pStyle w:val="TableFooter"/>
      </w:pPr>
    </w:p>
    <w:p w:rsidR="00E605F8" w:rsidRPr="007561D2" w:rsidRDefault="00886662" w:rsidP="005F5343">
      <w:pPr>
        <w:pStyle w:val="3-BodyText"/>
        <w:rPr>
          <w:rFonts w:cstheme="minorHAnsi"/>
          <w:iCs/>
        </w:rPr>
      </w:pPr>
      <w:r w:rsidRPr="007561D2">
        <w:rPr>
          <w:rFonts w:cstheme="minorHAnsi"/>
          <w:iCs/>
        </w:rPr>
        <w:t>While the</w:t>
      </w:r>
      <w:r w:rsidR="00E605F8" w:rsidRPr="007561D2">
        <w:rPr>
          <w:rFonts w:cstheme="minorHAnsi"/>
          <w:iCs/>
        </w:rPr>
        <w:t xml:space="preserve"> study was not powered or designed to assess these outcomes</w:t>
      </w:r>
      <w:r w:rsidRPr="007561D2">
        <w:rPr>
          <w:rFonts w:cstheme="minorHAnsi"/>
          <w:iCs/>
        </w:rPr>
        <w:t>,</w:t>
      </w:r>
      <w:r w:rsidR="003C51FF" w:rsidRPr="007561D2">
        <w:rPr>
          <w:rFonts w:cstheme="minorHAnsi"/>
          <w:iCs/>
        </w:rPr>
        <w:t xml:space="preserve"> and the p value should be regarded as nominal,</w:t>
      </w:r>
      <w:r w:rsidR="00B00DE5" w:rsidRPr="007561D2">
        <w:rPr>
          <w:rFonts w:cstheme="minorHAnsi"/>
          <w:iCs/>
        </w:rPr>
        <w:t xml:space="preserve"> the response rates in particular</w:t>
      </w:r>
      <w:r w:rsidR="00E605F8" w:rsidRPr="007561D2">
        <w:rPr>
          <w:rFonts w:cstheme="minorHAnsi"/>
          <w:iCs/>
        </w:rPr>
        <w:t xml:space="preserve"> support t</w:t>
      </w:r>
      <w:r w:rsidR="00B00DE5" w:rsidRPr="007561D2">
        <w:rPr>
          <w:rFonts w:cstheme="minorHAnsi"/>
          <w:iCs/>
        </w:rPr>
        <w:t>hat</w:t>
      </w:r>
      <w:r w:rsidR="00E605F8" w:rsidRPr="007561D2">
        <w:rPr>
          <w:rFonts w:cstheme="minorHAnsi"/>
          <w:iCs/>
        </w:rPr>
        <w:t xml:space="preserve"> tucatinib </w:t>
      </w:r>
      <w:r w:rsidR="00B00DE5" w:rsidRPr="007561D2">
        <w:rPr>
          <w:rFonts w:cstheme="minorHAnsi"/>
          <w:iCs/>
        </w:rPr>
        <w:t>has a treatment effect on</w:t>
      </w:r>
      <w:r w:rsidR="00E605F8" w:rsidRPr="007561D2">
        <w:rPr>
          <w:rFonts w:cstheme="minorHAnsi"/>
          <w:iCs/>
        </w:rPr>
        <w:t xml:space="preserve"> brain metastases</w:t>
      </w:r>
      <w:r w:rsidR="00B00DE5" w:rsidRPr="007561D2">
        <w:rPr>
          <w:rFonts w:cstheme="minorHAnsi"/>
          <w:iCs/>
        </w:rPr>
        <w:t xml:space="preserve">. </w:t>
      </w:r>
    </w:p>
    <w:p w:rsidR="008B22C0" w:rsidRPr="005F5343" w:rsidRDefault="008B22C0" w:rsidP="006B1399">
      <w:pPr>
        <w:pStyle w:val="3-BodyText"/>
        <w:keepNext/>
        <w:keepLines/>
        <w:numPr>
          <w:ilvl w:val="0"/>
          <w:numId w:val="0"/>
        </w:numPr>
        <w:ind w:left="720" w:hanging="720"/>
        <w:rPr>
          <w:u w:val="single"/>
        </w:rPr>
      </w:pPr>
      <w:r w:rsidRPr="005F5343">
        <w:rPr>
          <w:u w:val="single"/>
        </w:rPr>
        <w:t>Secondary efficacy outcome – Objective response rate</w:t>
      </w:r>
    </w:p>
    <w:p w:rsidR="0061549B" w:rsidRDefault="009D0A4F" w:rsidP="006B1399">
      <w:pPr>
        <w:pStyle w:val="3-BodyText"/>
        <w:keepNext/>
        <w:keepLines/>
        <w:rPr>
          <w:i/>
          <w:iCs/>
        </w:rPr>
      </w:pPr>
      <w:r w:rsidRPr="0092692B">
        <w:t>The</w:t>
      </w:r>
      <w:r w:rsidR="00C41C8A" w:rsidRPr="0092692B">
        <w:t xml:space="preserve"> addition of tucatinib increased the</w:t>
      </w:r>
      <w:r w:rsidRPr="0092692B">
        <w:t xml:space="preserve"> ORR</w:t>
      </w:r>
      <w:r w:rsidR="00FD5F81" w:rsidRPr="0092692B">
        <w:t xml:space="preserve"> per BICR</w:t>
      </w:r>
      <w:r w:rsidR="00C41C8A" w:rsidRPr="0092692B">
        <w:t xml:space="preserve"> by 18%</w:t>
      </w:r>
      <w:r w:rsidRPr="0092692B">
        <w:t xml:space="preserve"> in patients with measurable disease</w:t>
      </w:r>
      <w:r w:rsidR="00334C4D" w:rsidRPr="0092692B">
        <w:t>:</w:t>
      </w:r>
      <w:r w:rsidRPr="0092692B">
        <w:t xml:space="preserve"> 40.6% (95% CI: 35.3%, 46.0%) </w:t>
      </w:r>
      <w:r w:rsidR="00334C4D" w:rsidRPr="0092692B">
        <w:t>versus</w:t>
      </w:r>
      <w:r w:rsidRPr="0092692B">
        <w:t xml:space="preserve"> 22.8% (95% CI: 16.7%, 29.8%) for the tucatinib and placebo arms, respectively</w:t>
      </w:r>
      <w:r w:rsidR="008B22C0" w:rsidRPr="0092692B">
        <w:t>.</w:t>
      </w:r>
      <w:r w:rsidR="008B22C0" w:rsidRPr="006B1399">
        <w:t xml:space="preserve"> </w:t>
      </w:r>
      <w:r w:rsidR="008B22C0" w:rsidRPr="006B1399">
        <w:rPr>
          <w:iCs/>
        </w:rPr>
        <w:t>Complete responses</w:t>
      </w:r>
      <w:r w:rsidR="00334C4D" w:rsidRPr="006B1399">
        <w:rPr>
          <w:iCs/>
        </w:rPr>
        <w:t xml:space="preserve"> were uncommon, and</w:t>
      </w:r>
      <w:r w:rsidR="008B22C0" w:rsidRPr="006B1399">
        <w:rPr>
          <w:iCs/>
        </w:rPr>
        <w:t xml:space="preserve"> occurred in 3 patients in the tucatinib arm and 2 patients in the comparator</w:t>
      </w:r>
      <w:r w:rsidR="00334C4D" w:rsidRPr="006B1399">
        <w:rPr>
          <w:iCs/>
        </w:rPr>
        <w:t xml:space="preserve"> arm</w:t>
      </w:r>
      <w:r w:rsidR="008B22C0" w:rsidRPr="006B1399">
        <w:rPr>
          <w:iCs/>
        </w:rPr>
        <w:t>.</w:t>
      </w:r>
      <w:r w:rsidR="00FD5F81" w:rsidRPr="0092692B">
        <w:rPr>
          <w:i/>
          <w:iCs/>
        </w:rPr>
        <w:t xml:space="preserve"> </w:t>
      </w:r>
    </w:p>
    <w:p w:rsidR="00B60939" w:rsidRPr="00C9624D" w:rsidRDefault="00B60939" w:rsidP="008D0213">
      <w:pPr>
        <w:pStyle w:val="4-SubsectionHeading"/>
      </w:pPr>
      <w:bookmarkStart w:id="11" w:name="_Toc22897642"/>
      <w:bookmarkStart w:id="12" w:name="_Toc62045113"/>
      <w:r w:rsidRPr="00C9624D">
        <w:t>Comparative harms</w:t>
      </w:r>
      <w:bookmarkEnd w:id="11"/>
      <w:bookmarkEnd w:id="12"/>
    </w:p>
    <w:p w:rsidR="00253AED" w:rsidRPr="007561D2" w:rsidRDefault="006B1399" w:rsidP="00265AC8">
      <w:pPr>
        <w:pStyle w:val="3-BodyText"/>
        <w:rPr>
          <w:b/>
          <w:iCs/>
          <w:sz w:val="20"/>
        </w:rPr>
      </w:pPr>
      <w:r w:rsidRPr="007561D2">
        <w:t xml:space="preserve">Key adverse events in the HER2CLIMB study are summarised in the table below. </w:t>
      </w:r>
      <w:r w:rsidR="00253AED" w:rsidRPr="007561D2">
        <w:t xml:space="preserve">The median duration of treatment was longer in the tucatinib arm (5.8 months versus 4.4 months). </w:t>
      </w:r>
      <w:r w:rsidR="00253AED" w:rsidRPr="007561D2">
        <w:rPr>
          <w:iCs/>
        </w:rPr>
        <w:t xml:space="preserve">There is considerable overlap between the toxicity profiles of tucatinib and capecitabine so the nature of the adverse events </w:t>
      </w:r>
      <w:r w:rsidR="00AA0374" w:rsidRPr="007561D2">
        <w:rPr>
          <w:iCs/>
        </w:rPr>
        <w:t>was</w:t>
      </w:r>
      <w:r w:rsidR="00253AED" w:rsidRPr="007561D2">
        <w:rPr>
          <w:iCs/>
        </w:rPr>
        <w:t xml:space="preserve"> similar in </w:t>
      </w:r>
      <w:r w:rsidR="00673907" w:rsidRPr="007561D2">
        <w:rPr>
          <w:iCs/>
        </w:rPr>
        <w:t xml:space="preserve">the </w:t>
      </w:r>
      <w:r w:rsidR="00253AED" w:rsidRPr="007561D2">
        <w:rPr>
          <w:iCs/>
        </w:rPr>
        <w:t>two arms</w:t>
      </w:r>
      <w:r w:rsidR="00CF5D04" w:rsidRPr="007561D2">
        <w:rPr>
          <w:iCs/>
        </w:rPr>
        <w:t xml:space="preserve">, with higher </w:t>
      </w:r>
      <w:r w:rsidR="00982D9E" w:rsidRPr="007561D2">
        <w:rPr>
          <w:iCs/>
        </w:rPr>
        <w:t xml:space="preserve">rates reported </w:t>
      </w:r>
      <w:r w:rsidR="00CF5D04" w:rsidRPr="007561D2">
        <w:rPr>
          <w:iCs/>
        </w:rPr>
        <w:t xml:space="preserve">in the tucatinib </w:t>
      </w:r>
      <w:r w:rsidRPr="007561D2">
        <w:rPr>
          <w:iCs/>
        </w:rPr>
        <w:t xml:space="preserve">arm, </w:t>
      </w:r>
      <w:r w:rsidR="00CF5D04" w:rsidRPr="007561D2">
        <w:rPr>
          <w:iCs/>
        </w:rPr>
        <w:t xml:space="preserve">consistent with </w:t>
      </w:r>
      <w:r w:rsidR="00855F76" w:rsidRPr="007561D2">
        <w:rPr>
          <w:iCs/>
        </w:rPr>
        <w:t>this</w:t>
      </w:r>
      <w:r w:rsidR="00CF5D04" w:rsidRPr="007561D2">
        <w:rPr>
          <w:iCs/>
        </w:rPr>
        <w:t xml:space="preserve"> being an add-on therapy</w:t>
      </w:r>
      <w:r w:rsidR="00253AED" w:rsidRPr="007561D2">
        <w:rPr>
          <w:iCs/>
        </w:rPr>
        <w:t xml:space="preserve">. </w:t>
      </w:r>
    </w:p>
    <w:p w:rsidR="00253AED" w:rsidRPr="00253AED" w:rsidRDefault="00253AED" w:rsidP="002E5655">
      <w:pPr>
        <w:pStyle w:val="3-BodyText"/>
        <w:keepNext/>
        <w:keepLines/>
        <w:numPr>
          <w:ilvl w:val="0"/>
          <w:numId w:val="0"/>
        </w:numPr>
        <w:spacing w:after="0"/>
        <w:rPr>
          <w:rStyle w:val="CommentReference"/>
          <w:szCs w:val="24"/>
        </w:rPr>
      </w:pPr>
      <w:r w:rsidRPr="00253AED">
        <w:rPr>
          <w:rStyle w:val="CommentReference"/>
          <w:szCs w:val="24"/>
        </w:rPr>
        <w:t xml:space="preserve">Table </w:t>
      </w:r>
      <w:r w:rsidR="00265AC8">
        <w:rPr>
          <w:rStyle w:val="CommentReference"/>
          <w:szCs w:val="24"/>
        </w:rPr>
        <w:t>6</w:t>
      </w:r>
      <w:r w:rsidRPr="00253AED">
        <w:rPr>
          <w:rStyle w:val="CommentReference"/>
          <w:szCs w:val="24"/>
        </w:rPr>
        <w:t xml:space="preserve">: Summary of key adverse events in the </w:t>
      </w:r>
      <w:r w:rsidR="00846D91">
        <w:rPr>
          <w:rStyle w:val="CommentReference"/>
          <w:szCs w:val="24"/>
        </w:rPr>
        <w:t>HER2CLIMB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4"/>
        <w:gridCol w:w="1984"/>
        <w:gridCol w:w="1652"/>
      </w:tblGrid>
      <w:tr w:rsidR="00253AED" w:rsidRPr="00080909" w:rsidTr="005C7A13">
        <w:trPr>
          <w:cantSplit/>
          <w:tblHeader/>
        </w:trPr>
        <w:tc>
          <w:tcPr>
            <w:tcW w:w="1884" w:type="pct"/>
            <w:vAlign w:val="center"/>
          </w:tcPr>
          <w:p w:rsidR="00253AED" w:rsidRPr="00080909" w:rsidRDefault="00253AED" w:rsidP="002E5655">
            <w:pPr>
              <w:pStyle w:val="Tableheadingrow"/>
              <w:keepLines/>
            </w:pPr>
            <w:r>
              <w:t>HER2CLIMB</w:t>
            </w:r>
          </w:p>
        </w:tc>
        <w:tc>
          <w:tcPr>
            <w:tcW w:w="1100" w:type="pct"/>
            <w:vAlign w:val="center"/>
          </w:tcPr>
          <w:p w:rsidR="00253AED" w:rsidRDefault="00253AED" w:rsidP="002E5655">
            <w:pPr>
              <w:pStyle w:val="Tableheadingrow"/>
              <w:keepLines/>
              <w:jc w:val="center"/>
            </w:pPr>
            <w:r>
              <w:t>Tucatinib</w:t>
            </w:r>
            <w:r w:rsidR="00774524">
              <w:t xml:space="preserve"> + </w:t>
            </w:r>
            <w:r>
              <w:t>trastuzumab</w:t>
            </w:r>
            <w:r w:rsidR="00774524">
              <w:t xml:space="preserve"> +</w:t>
            </w:r>
          </w:p>
          <w:p w:rsidR="00253AED" w:rsidRDefault="00253AED" w:rsidP="002E5655">
            <w:pPr>
              <w:pStyle w:val="Tableheadingrow"/>
              <w:keepLines/>
              <w:jc w:val="center"/>
            </w:pPr>
            <w:r>
              <w:t>capecitabine</w:t>
            </w:r>
          </w:p>
          <w:p w:rsidR="00253AED" w:rsidRDefault="00253AED" w:rsidP="002E5655">
            <w:pPr>
              <w:pStyle w:val="Tableheadingrow"/>
              <w:keepLines/>
              <w:jc w:val="center"/>
            </w:pPr>
            <w:r>
              <w:t>N</w:t>
            </w:r>
            <w:r w:rsidR="00774524">
              <w:t xml:space="preserve"> </w:t>
            </w:r>
            <w:r>
              <w:t>=</w:t>
            </w:r>
            <w:r w:rsidR="00774524">
              <w:t xml:space="preserve"> </w:t>
            </w:r>
            <w:r>
              <w:t>404</w:t>
            </w:r>
          </w:p>
          <w:p w:rsidR="00253AED" w:rsidRPr="00080909" w:rsidRDefault="00253AED" w:rsidP="002E5655">
            <w:pPr>
              <w:pStyle w:val="Tableheadingrow"/>
              <w:keepLines/>
              <w:jc w:val="center"/>
            </w:pPr>
            <w:r>
              <w:t>n with event (n/N%)</w:t>
            </w:r>
          </w:p>
        </w:tc>
        <w:tc>
          <w:tcPr>
            <w:tcW w:w="1100" w:type="pct"/>
            <w:vAlign w:val="center"/>
          </w:tcPr>
          <w:p w:rsidR="00253AED" w:rsidRDefault="00253AED" w:rsidP="002E5655">
            <w:pPr>
              <w:pStyle w:val="Tableheadingrow"/>
              <w:keepLines/>
              <w:jc w:val="center"/>
            </w:pPr>
            <w:r>
              <w:t>Placebo</w:t>
            </w:r>
            <w:r w:rsidR="00774524">
              <w:t xml:space="preserve"> + </w:t>
            </w:r>
            <w:r>
              <w:t>trastuzumab</w:t>
            </w:r>
            <w:r w:rsidR="00774524">
              <w:t xml:space="preserve">  + </w:t>
            </w:r>
            <w:r w:rsidR="00DE21A5">
              <w:t>c</w:t>
            </w:r>
            <w:r>
              <w:t>apecitabine</w:t>
            </w:r>
          </w:p>
          <w:p w:rsidR="00253AED" w:rsidRDefault="00253AED" w:rsidP="002E5655">
            <w:pPr>
              <w:pStyle w:val="Tableheadingrow"/>
              <w:keepLines/>
              <w:jc w:val="center"/>
            </w:pPr>
            <w:r>
              <w:t>N</w:t>
            </w:r>
            <w:r w:rsidR="00774524">
              <w:t xml:space="preserve"> </w:t>
            </w:r>
            <w:r>
              <w:t>=</w:t>
            </w:r>
            <w:r w:rsidR="00774524">
              <w:t xml:space="preserve"> </w:t>
            </w:r>
            <w:r>
              <w:t>197</w:t>
            </w:r>
          </w:p>
          <w:p w:rsidR="00253AED" w:rsidRPr="00080909" w:rsidRDefault="00253AED" w:rsidP="002E5655">
            <w:pPr>
              <w:pStyle w:val="Tableheadingrow"/>
              <w:keepLines/>
              <w:jc w:val="center"/>
            </w:pPr>
            <w:r>
              <w:t>n with event (n/N%)</w:t>
            </w:r>
          </w:p>
        </w:tc>
        <w:tc>
          <w:tcPr>
            <w:tcW w:w="916" w:type="pct"/>
            <w:vAlign w:val="center"/>
          </w:tcPr>
          <w:p w:rsidR="00253AED" w:rsidRPr="00080909" w:rsidRDefault="00253AED" w:rsidP="002E5655">
            <w:pPr>
              <w:pStyle w:val="Tableheadingrow"/>
              <w:keepLines/>
              <w:jc w:val="center"/>
            </w:pPr>
            <w:r>
              <w:t>RD (95% CI)</w:t>
            </w:r>
          </w:p>
        </w:tc>
      </w:tr>
      <w:tr w:rsidR="0044793B" w:rsidTr="005C7A13">
        <w:trPr>
          <w:cantSplit/>
        </w:trPr>
        <w:tc>
          <w:tcPr>
            <w:tcW w:w="1884" w:type="pct"/>
            <w:vAlign w:val="center"/>
          </w:tcPr>
          <w:p w:rsidR="0044793B" w:rsidRPr="0060168F" w:rsidRDefault="0044793B" w:rsidP="00DE21A5">
            <w:pPr>
              <w:pStyle w:val="Tabletext"/>
              <w:keepNext/>
              <w:keepLines/>
              <w:jc w:val="left"/>
            </w:pPr>
            <w:r w:rsidRPr="0060168F">
              <w:t>Any TEAE</w:t>
            </w:r>
          </w:p>
        </w:tc>
        <w:tc>
          <w:tcPr>
            <w:tcW w:w="1100" w:type="pct"/>
            <w:vAlign w:val="center"/>
          </w:tcPr>
          <w:p w:rsidR="0044793B" w:rsidRPr="0060168F" w:rsidRDefault="0044793B" w:rsidP="002E5655">
            <w:pPr>
              <w:pStyle w:val="Tabletext"/>
              <w:keepNext/>
              <w:keepLines/>
              <w:jc w:val="center"/>
            </w:pPr>
            <w:r w:rsidRPr="0060168F">
              <w:t>401 (99.3%)</w:t>
            </w:r>
          </w:p>
        </w:tc>
        <w:tc>
          <w:tcPr>
            <w:tcW w:w="1100" w:type="pct"/>
            <w:vAlign w:val="center"/>
          </w:tcPr>
          <w:p w:rsidR="0044793B" w:rsidRPr="0060168F" w:rsidRDefault="0044793B" w:rsidP="002E5655">
            <w:pPr>
              <w:pStyle w:val="Tabletext"/>
              <w:keepNext/>
              <w:keepLines/>
              <w:jc w:val="center"/>
            </w:pPr>
            <w:r w:rsidRPr="0060168F">
              <w:t>191 (97.0%)</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0.023</w:t>
            </w:r>
          </w:p>
          <w:p w:rsidR="0044793B" w:rsidRPr="0044793B" w:rsidRDefault="0044793B" w:rsidP="002E5655">
            <w:pPr>
              <w:pStyle w:val="Tabletext"/>
              <w:keepNext/>
              <w:keepLines/>
              <w:jc w:val="center"/>
            </w:pPr>
            <w:r w:rsidRPr="0044793B">
              <w:rPr>
                <w:rFonts w:cs="Calibri"/>
                <w:color w:val="000000"/>
              </w:rPr>
              <w:t>(0.002, 0.044)</w:t>
            </w:r>
          </w:p>
        </w:tc>
      </w:tr>
      <w:tr w:rsidR="0044793B" w:rsidTr="005C7A13">
        <w:trPr>
          <w:cantSplit/>
        </w:trPr>
        <w:tc>
          <w:tcPr>
            <w:tcW w:w="1884" w:type="pct"/>
            <w:vAlign w:val="center"/>
          </w:tcPr>
          <w:p w:rsidR="0044793B" w:rsidRPr="0060168F" w:rsidRDefault="0044793B" w:rsidP="002E5655">
            <w:pPr>
              <w:pStyle w:val="Tabletext"/>
              <w:keepNext/>
              <w:keepLines/>
            </w:pPr>
            <w:r w:rsidRPr="0060168F">
              <w:t>≥ Grade 3 TEAE</w:t>
            </w:r>
          </w:p>
        </w:tc>
        <w:tc>
          <w:tcPr>
            <w:tcW w:w="1100" w:type="pct"/>
            <w:vAlign w:val="center"/>
          </w:tcPr>
          <w:p w:rsidR="0044793B" w:rsidRPr="0060168F" w:rsidRDefault="0044793B" w:rsidP="002E5655">
            <w:pPr>
              <w:pStyle w:val="Tabletext"/>
              <w:keepNext/>
              <w:keepLines/>
              <w:jc w:val="center"/>
            </w:pPr>
            <w:r w:rsidRPr="0060168F">
              <w:t>223 (55.2%)</w:t>
            </w:r>
          </w:p>
        </w:tc>
        <w:tc>
          <w:tcPr>
            <w:tcW w:w="1100" w:type="pct"/>
            <w:vAlign w:val="center"/>
          </w:tcPr>
          <w:p w:rsidR="0044793B" w:rsidRPr="0060168F" w:rsidRDefault="0044793B" w:rsidP="002E5655">
            <w:pPr>
              <w:pStyle w:val="Tabletext"/>
              <w:keepNext/>
              <w:keepLines/>
              <w:jc w:val="center"/>
            </w:pPr>
            <w:r w:rsidRPr="0060168F">
              <w:t>96 (48.7%)</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0.065</w:t>
            </w:r>
          </w:p>
          <w:p w:rsidR="0044793B" w:rsidRPr="0044793B" w:rsidRDefault="0044793B" w:rsidP="002E5655">
            <w:pPr>
              <w:pStyle w:val="Tabletext"/>
              <w:keepNext/>
              <w:keepLines/>
              <w:jc w:val="center"/>
            </w:pPr>
            <w:r w:rsidRPr="0044793B">
              <w:rPr>
                <w:rFonts w:cs="Calibri"/>
                <w:color w:val="000000"/>
              </w:rPr>
              <w:t>(-0.020, 0.150)</w:t>
            </w:r>
          </w:p>
        </w:tc>
      </w:tr>
      <w:tr w:rsidR="0044793B" w:rsidTr="005C7A13">
        <w:trPr>
          <w:cantSplit/>
          <w:trHeight w:val="89"/>
        </w:trPr>
        <w:tc>
          <w:tcPr>
            <w:tcW w:w="1884" w:type="pct"/>
            <w:vAlign w:val="center"/>
          </w:tcPr>
          <w:p w:rsidR="0044793B" w:rsidRPr="0060168F" w:rsidRDefault="0044793B" w:rsidP="002E5655">
            <w:pPr>
              <w:pStyle w:val="Tabletext"/>
              <w:keepNext/>
              <w:keepLines/>
            </w:pPr>
            <w:r w:rsidRPr="0060168F">
              <w:t>Any SAE</w:t>
            </w:r>
          </w:p>
        </w:tc>
        <w:tc>
          <w:tcPr>
            <w:tcW w:w="1100" w:type="pct"/>
            <w:vAlign w:val="center"/>
          </w:tcPr>
          <w:p w:rsidR="0044793B" w:rsidRPr="0060168F" w:rsidRDefault="0044793B" w:rsidP="002E5655">
            <w:pPr>
              <w:pStyle w:val="Tabletext"/>
              <w:keepNext/>
              <w:keepLines/>
              <w:jc w:val="center"/>
            </w:pPr>
            <w:r w:rsidRPr="0060168F">
              <w:t>104 (25.7%)</w:t>
            </w:r>
          </w:p>
        </w:tc>
        <w:tc>
          <w:tcPr>
            <w:tcW w:w="1100" w:type="pct"/>
            <w:vAlign w:val="center"/>
          </w:tcPr>
          <w:p w:rsidR="0044793B" w:rsidRPr="0060168F" w:rsidRDefault="0044793B" w:rsidP="002E5655">
            <w:pPr>
              <w:pStyle w:val="Tabletext"/>
              <w:keepNext/>
              <w:keepLines/>
              <w:jc w:val="center"/>
            </w:pPr>
            <w:r w:rsidRPr="0060168F">
              <w:t>53 (26.9%)</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-0.012</w:t>
            </w:r>
          </w:p>
          <w:p w:rsidR="0044793B" w:rsidRPr="0044793B" w:rsidRDefault="0044793B" w:rsidP="002E5655">
            <w:pPr>
              <w:pStyle w:val="Tabletext"/>
              <w:keepNext/>
              <w:keepLines/>
              <w:jc w:val="center"/>
            </w:pPr>
            <w:r w:rsidRPr="0044793B">
              <w:rPr>
                <w:rFonts w:cs="Calibri"/>
                <w:color w:val="000000"/>
              </w:rPr>
              <w:t>(-0.086, 0.063)</w:t>
            </w:r>
          </w:p>
        </w:tc>
      </w:tr>
      <w:tr w:rsidR="0044793B" w:rsidTr="005C7A13">
        <w:trPr>
          <w:cantSplit/>
        </w:trPr>
        <w:tc>
          <w:tcPr>
            <w:tcW w:w="1884" w:type="pct"/>
            <w:vAlign w:val="center"/>
          </w:tcPr>
          <w:p w:rsidR="0044793B" w:rsidRPr="0060168F" w:rsidRDefault="0044793B" w:rsidP="002E5655">
            <w:pPr>
              <w:pStyle w:val="Tabletext"/>
              <w:keepNext/>
              <w:keepLines/>
            </w:pPr>
            <w:r w:rsidRPr="0060168F">
              <w:t>TEAE leading to death</w:t>
            </w:r>
          </w:p>
        </w:tc>
        <w:tc>
          <w:tcPr>
            <w:tcW w:w="1100" w:type="pct"/>
            <w:vAlign w:val="center"/>
          </w:tcPr>
          <w:p w:rsidR="0044793B" w:rsidRPr="0060168F" w:rsidRDefault="0044793B" w:rsidP="002E5655">
            <w:pPr>
              <w:pStyle w:val="Tabletext"/>
              <w:keepNext/>
              <w:keepLines/>
              <w:jc w:val="center"/>
            </w:pPr>
            <w:r w:rsidRPr="0060168F">
              <w:t>8 (2.0%)</w:t>
            </w:r>
          </w:p>
        </w:tc>
        <w:tc>
          <w:tcPr>
            <w:tcW w:w="1100" w:type="pct"/>
            <w:vAlign w:val="center"/>
          </w:tcPr>
          <w:p w:rsidR="0044793B" w:rsidRPr="0060168F" w:rsidRDefault="0044793B" w:rsidP="002E5655">
            <w:pPr>
              <w:pStyle w:val="Tabletext"/>
              <w:keepNext/>
              <w:keepLines/>
              <w:jc w:val="center"/>
            </w:pPr>
            <w:r w:rsidRPr="0060168F">
              <w:t>6 (3.0%)</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-0.011</w:t>
            </w:r>
          </w:p>
          <w:p w:rsidR="0044793B" w:rsidRPr="0044793B" w:rsidRDefault="0044793B" w:rsidP="002E5655">
            <w:pPr>
              <w:pStyle w:val="Tabletext"/>
              <w:keepNext/>
              <w:keepLines/>
              <w:jc w:val="center"/>
            </w:pPr>
            <w:r w:rsidRPr="0044793B">
              <w:rPr>
                <w:rFonts w:cs="Calibri"/>
                <w:color w:val="000000"/>
              </w:rPr>
              <w:t>(-0.036, 0.015)</w:t>
            </w:r>
          </w:p>
        </w:tc>
      </w:tr>
      <w:tr w:rsidR="0044793B" w:rsidTr="005C7A13">
        <w:trPr>
          <w:cantSplit/>
        </w:trPr>
        <w:tc>
          <w:tcPr>
            <w:tcW w:w="1884" w:type="pct"/>
            <w:vAlign w:val="center"/>
          </w:tcPr>
          <w:p w:rsidR="0044793B" w:rsidRPr="0060168F" w:rsidRDefault="0044793B" w:rsidP="002E5655">
            <w:pPr>
              <w:pStyle w:val="Tabletext"/>
              <w:keepNext/>
              <w:keepLines/>
              <w:jc w:val="left"/>
            </w:pPr>
            <w:r w:rsidRPr="0060168F">
              <w:t>Patients who discontinued any study treatment due to TEAE</w:t>
            </w:r>
          </w:p>
        </w:tc>
        <w:tc>
          <w:tcPr>
            <w:tcW w:w="1100" w:type="pct"/>
            <w:vAlign w:val="center"/>
          </w:tcPr>
          <w:p w:rsidR="0044793B" w:rsidRPr="0060168F" w:rsidRDefault="0044793B" w:rsidP="002E5655">
            <w:pPr>
              <w:pStyle w:val="Tabletext"/>
              <w:keepNext/>
              <w:keepLines/>
              <w:jc w:val="center"/>
            </w:pPr>
            <w:r w:rsidRPr="0060168F">
              <w:t>45 (11.1%)</w:t>
            </w:r>
          </w:p>
        </w:tc>
        <w:tc>
          <w:tcPr>
            <w:tcW w:w="1100" w:type="pct"/>
            <w:vAlign w:val="center"/>
          </w:tcPr>
          <w:p w:rsidR="0044793B" w:rsidRPr="0060168F" w:rsidRDefault="0044793B" w:rsidP="002E5655">
            <w:pPr>
              <w:pStyle w:val="Tabletext"/>
              <w:keepNext/>
              <w:keepLines/>
              <w:jc w:val="center"/>
            </w:pPr>
            <w:r w:rsidRPr="0060168F">
              <w:t>19 (9.6%)</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0.015</w:t>
            </w:r>
          </w:p>
          <w:p w:rsidR="0044793B" w:rsidRPr="0044793B" w:rsidRDefault="0044793B" w:rsidP="002E5655">
            <w:pPr>
              <w:pStyle w:val="Tabletext"/>
              <w:keepNext/>
              <w:keepLines/>
              <w:jc w:val="center"/>
            </w:pPr>
            <w:r w:rsidRPr="0044793B">
              <w:rPr>
                <w:rFonts w:cs="Calibri"/>
                <w:color w:val="000000"/>
              </w:rPr>
              <w:t>(-0.038, 0.067)</w:t>
            </w:r>
          </w:p>
        </w:tc>
      </w:tr>
      <w:tr w:rsidR="0044793B" w:rsidTr="005C7A13">
        <w:trPr>
          <w:cantSplit/>
        </w:trPr>
        <w:tc>
          <w:tcPr>
            <w:tcW w:w="1884" w:type="pct"/>
            <w:vAlign w:val="center"/>
          </w:tcPr>
          <w:p w:rsidR="0044793B" w:rsidRPr="0060168F" w:rsidRDefault="0044793B" w:rsidP="002E5655">
            <w:pPr>
              <w:pStyle w:val="Tabletext"/>
              <w:keepNext/>
              <w:keepLines/>
              <w:jc w:val="left"/>
            </w:pPr>
            <w:r w:rsidRPr="0060168F">
              <w:t>Patients who discontinued tucatinib or placebo due to TEAE</w:t>
            </w:r>
          </w:p>
        </w:tc>
        <w:tc>
          <w:tcPr>
            <w:tcW w:w="1100" w:type="pct"/>
            <w:vAlign w:val="center"/>
          </w:tcPr>
          <w:p w:rsidR="0044793B" w:rsidRPr="0060168F" w:rsidRDefault="0044793B" w:rsidP="002E5655">
            <w:pPr>
              <w:pStyle w:val="Tabletext"/>
              <w:keepNext/>
              <w:keepLines/>
              <w:jc w:val="center"/>
            </w:pPr>
            <w:r w:rsidRPr="0060168F">
              <w:t>23 (5.7%)</w:t>
            </w:r>
          </w:p>
        </w:tc>
        <w:tc>
          <w:tcPr>
            <w:tcW w:w="1100" w:type="pct"/>
            <w:vAlign w:val="center"/>
          </w:tcPr>
          <w:p w:rsidR="0044793B" w:rsidRPr="0060168F" w:rsidRDefault="0044793B" w:rsidP="002E5655">
            <w:pPr>
              <w:pStyle w:val="Tabletext"/>
              <w:keepNext/>
              <w:keepLines/>
              <w:jc w:val="center"/>
            </w:pPr>
            <w:r w:rsidRPr="0060168F">
              <w:t>6 (3.0%)</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0.026</w:t>
            </w:r>
          </w:p>
          <w:p w:rsidR="0044793B" w:rsidRPr="0044793B" w:rsidRDefault="0044793B" w:rsidP="002E5655">
            <w:pPr>
              <w:pStyle w:val="Tabletext"/>
              <w:keepNext/>
              <w:keepLines/>
              <w:jc w:val="center"/>
            </w:pPr>
            <w:r w:rsidRPr="0044793B">
              <w:rPr>
                <w:rFonts w:cs="Calibri"/>
                <w:color w:val="000000"/>
              </w:rPr>
              <w:t>(-0.010, 0.063)</w:t>
            </w:r>
          </w:p>
        </w:tc>
      </w:tr>
      <w:tr w:rsidR="0044793B" w:rsidTr="005C7A13">
        <w:trPr>
          <w:cantSplit/>
        </w:trPr>
        <w:tc>
          <w:tcPr>
            <w:tcW w:w="1884" w:type="pct"/>
            <w:vAlign w:val="center"/>
          </w:tcPr>
          <w:p w:rsidR="0044793B" w:rsidRPr="0060168F" w:rsidRDefault="0044793B" w:rsidP="002E5655">
            <w:pPr>
              <w:pStyle w:val="Tabletext"/>
              <w:keepNext/>
              <w:keepLines/>
              <w:jc w:val="left"/>
            </w:pPr>
            <w:r w:rsidRPr="0060168F">
              <w:t>Patients who discontinued capecitabine due to TEAE</w:t>
            </w:r>
          </w:p>
        </w:tc>
        <w:tc>
          <w:tcPr>
            <w:tcW w:w="1100" w:type="pct"/>
            <w:vAlign w:val="center"/>
          </w:tcPr>
          <w:p w:rsidR="0044793B" w:rsidRPr="0060168F" w:rsidRDefault="0044793B" w:rsidP="002E5655">
            <w:pPr>
              <w:pStyle w:val="Tabletext"/>
              <w:keepNext/>
              <w:keepLines/>
              <w:jc w:val="center"/>
            </w:pPr>
            <w:r w:rsidRPr="0060168F">
              <w:t>41 (10.1%)</w:t>
            </w:r>
          </w:p>
        </w:tc>
        <w:tc>
          <w:tcPr>
            <w:tcW w:w="1100" w:type="pct"/>
            <w:vAlign w:val="center"/>
          </w:tcPr>
          <w:p w:rsidR="0044793B" w:rsidRPr="0060168F" w:rsidRDefault="0044793B" w:rsidP="002E5655">
            <w:pPr>
              <w:pStyle w:val="Tabletext"/>
              <w:keepNext/>
              <w:keepLines/>
              <w:jc w:val="center"/>
            </w:pPr>
            <w:r w:rsidRPr="0060168F">
              <w:t>18 (9.1%)</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0.010</w:t>
            </w:r>
          </w:p>
          <w:p w:rsidR="0044793B" w:rsidRPr="0044793B" w:rsidRDefault="0044793B" w:rsidP="002E5655">
            <w:pPr>
              <w:pStyle w:val="Tabletext"/>
              <w:keepNext/>
              <w:keepLines/>
              <w:jc w:val="center"/>
            </w:pPr>
            <w:r w:rsidRPr="0044793B">
              <w:rPr>
                <w:rFonts w:cs="Calibri"/>
                <w:color w:val="000000"/>
              </w:rPr>
              <w:t>(-0.041, 0.061)</w:t>
            </w:r>
          </w:p>
        </w:tc>
      </w:tr>
      <w:tr w:rsidR="0044793B" w:rsidTr="005C7A13">
        <w:trPr>
          <w:cantSplit/>
        </w:trPr>
        <w:tc>
          <w:tcPr>
            <w:tcW w:w="1884" w:type="pct"/>
            <w:vAlign w:val="center"/>
          </w:tcPr>
          <w:p w:rsidR="0044793B" w:rsidRPr="0060168F" w:rsidRDefault="0044793B" w:rsidP="002E5655">
            <w:pPr>
              <w:pStyle w:val="Tabletext"/>
              <w:keepNext/>
              <w:keepLines/>
              <w:jc w:val="left"/>
            </w:pPr>
            <w:r w:rsidRPr="0060168F">
              <w:t>Patients who discontinued trastuzumab due to TEAE</w:t>
            </w:r>
          </w:p>
        </w:tc>
        <w:tc>
          <w:tcPr>
            <w:tcW w:w="1100" w:type="pct"/>
            <w:vAlign w:val="center"/>
          </w:tcPr>
          <w:p w:rsidR="0044793B" w:rsidRPr="0060168F" w:rsidRDefault="0044793B" w:rsidP="002E5655">
            <w:pPr>
              <w:pStyle w:val="Tabletext"/>
              <w:keepNext/>
              <w:keepLines/>
              <w:jc w:val="center"/>
            </w:pPr>
            <w:r w:rsidRPr="0060168F">
              <w:t>18 (4.5%)</w:t>
            </w:r>
          </w:p>
        </w:tc>
        <w:tc>
          <w:tcPr>
            <w:tcW w:w="1100" w:type="pct"/>
            <w:vAlign w:val="center"/>
          </w:tcPr>
          <w:p w:rsidR="0044793B" w:rsidRPr="0060168F" w:rsidRDefault="0044793B" w:rsidP="002E5655">
            <w:pPr>
              <w:pStyle w:val="Tabletext"/>
              <w:keepNext/>
              <w:keepLines/>
              <w:jc w:val="center"/>
            </w:pPr>
            <w:r w:rsidRPr="0060168F">
              <w:t>5 (2.5%)</w:t>
            </w:r>
          </w:p>
        </w:tc>
        <w:tc>
          <w:tcPr>
            <w:tcW w:w="916" w:type="pct"/>
            <w:vAlign w:val="bottom"/>
          </w:tcPr>
          <w:p w:rsidR="0044793B" w:rsidRPr="0044793B" w:rsidRDefault="0044793B" w:rsidP="002E5655">
            <w:pPr>
              <w:pStyle w:val="Tabletext"/>
              <w:keepNext/>
              <w:keepLines/>
              <w:jc w:val="center"/>
              <w:rPr>
                <w:rFonts w:cs="Calibri"/>
                <w:color w:val="000000"/>
              </w:rPr>
            </w:pPr>
            <w:r w:rsidRPr="0044793B">
              <w:rPr>
                <w:rFonts w:cs="Calibri"/>
                <w:color w:val="000000"/>
              </w:rPr>
              <w:t>0.019</w:t>
            </w:r>
          </w:p>
          <w:p w:rsidR="0044793B" w:rsidRPr="0044793B" w:rsidRDefault="0044793B" w:rsidP="002E5655">
            <w:pPr>
              <w:pStyle w:val="Tabletext"/>
              <w:keepNext/>
              <w:keepLines/>
              <w:jc w:val="center"/>
            </w:pPr>
            <w:r w:rsidRPr="0044793B">
              <w:rPr>
                <w:rFonts w:cs="Calibri"/>
                <w:color w:val="000000"/>
              </w:rPr>
              <w:t>(-0.014, 0.052)</w:t>
            </w:r>
          </w:p>
        </w:tc>
      </w:tr>
    </w:tbl>
    <w:p w:rsidR="00253AED" w:rsidRPr="00253AED" w:rsidRDefault="00253AED" w:rsidP="002E5655">
      <w:pPr>
        <w:pStyle w:val="TableFooter"/>
        <w:keepNext/>
        <w:keepLines/>
      </w:pPr>
      <w:r>
        <w:t>Source: Table 2.36, p112 of the submission.</w:t>
      </w:r>
    </w:p>
    <w:p w:rsidR="00253AED" w:rsidRDefault="00774524" w:rsidP="002E5655">
      <w:pPr>
        <w:pStyle w:val="TableFooter"/>
        <w:keepNext/>
        <w:keepLines/>
        <w:rPr>
          <w:rFonts w:eastAsia="Calibri"/>
        </w:rPr>
      </w:pPr>
      <w:r w:rsidRPr="00253AED">
        <w:rPr>
          <w:rFonts w:eastAsia="Calibri"/>
        </w:rPr>
        <w:t>CI = confidence interval;</w:t>
      </w:r>
      <w:r>
        <w:rPr>
          <w:rFonts w:eastAsia="Calibri"/>
        </w:rPr>
        <w:t xml:space="preserve"> </w:t>
      </w:r>
      <w:r w:rsidRPr="00253AED">
        <w:rPr>
          <w:rFonts w:eastAsia="Calibri"/>
        </w:rPr>
        <w:t xml:space="preserve">RD = risk difference; </w:t>
      </w:r>
      <w:r>
        <w:t xml:space="preserve">SAE = serious adverse event; </w:t>
      </w:r>
      <w:r w:rsidR="00253AED">
        <w:t xml:space="preserve">TEAE = treatment emergent adverse event; </w:t>
      </w:r>
    </w:p>
    <w:p w:rsidR="00253AED" w:rsidRPr="00253AED" w:rsidRDefault="00253AED" w:rsidP="00253AED">
      <w:pPr>
        <w:pStyle w:val="TableFooter"/>
        <w:rPr>
          <w:sz w:val="20"/>
        </w:rPr>
      </w:pPr>
    </w:p>
    <w:p w:rsidR="005D4D1E" w:rsidRPr="007561D2" w:rsidRDefault="005D4D1E" w:rsidP="005D4D1E">
      <w:pPr>
        <w:pStyle w:val="3-BodyText"/>
        <w:rPr>
          <w:color w:val="000000" w:themeColor="text1"/>
        </w:rPr>
      </w:pPr>
      <w:r w:rsidRPr="007561D2">
        <w:rPr>
          <w:color w:val="000000" w:themeColor="text1"/>
        </w:rPr>
        <w:t xml:space="preserve">Treatment-emergent adverse events of any grade were common in both arms, but the following were more common in the tucatinib arm compared with the control arm: </w:t>
      </w:r>
      <w:r w:rsidRPr="007561D2">
        <w:rPr>
          <w:color w:val="000000" w:themeColor="text1"/>
          <w:lang w:val="en-GB"/>
        </w:rPr>
        <w:t xml:space="preserve">diarrhoea (80.9% vs. 53.3%), </w:t>
      </w:r>
      <w:r w:rsidR="00194FCE">
        <w:rPr>
          <w:color w:val="000000" w:themeColor="text1"/>
          <w:lang w:val="en-GB"/>
        </w:rPr>
        <w:t>palmar-plantar erythrodys</w:t>
      </w:r>
      <w:r w:rsidR="0047149D" w:rsidRPr="007561D2">
        <w:rPr>
          <w:color w:val="000000" w:themeColor="text1"/>
          <w:lang w:val="en-GB"/>
        </w:rPr>
        <w:t>esthesia (</w:t>
      </w:r>
      <w:r w:rsidRPr="007561D2">
        <w:rPr>
          <w:color w:val="000000" w:themeColor="text1"/>
          <w:lang w:val="en-GB"/>
        </w:rPr>
        <w:t>PPE</w:t>
      </w:r>
      <w:r w:rsidR="0047149D" w:rsidRPr="007561D2">
        <w:rPr>
          <w:color w:val="000000" w:themeColor="text1"/>
          <w:lang w:val="en-GB"/>
        </w:rPr>
        <w:t>)</w:t>
      </w:r>
      <w:r w:rsidRPr="007561D2">
        <w:rPr>
          <w:color w:val="000000" w:themeColor="text1"/>
          <w:lang w:val="en-GB"/>
        </w:rPr>
        <w:t xml:space="preserve"> syndrome (63.4% vs. 52.8%), nausea (58.4% vs. 43.7%), fatigue (45.0% vs. 43.1%), and vomiting (35.9% vs. 25.4%). </w:t>
      </w:r>
    </w:p>
    <w:p w:rsidR="005D4D1E" w:rsidRPr="007561D2" w:rsidRDefault="005D4D1E" w:rsidP="005D4D1E">
      <w:pPr>
        <w:pStyle w:val="3-BodyText"/>
        <w:rPr>
          <w:color w:val="000000" w:themeColor="text1"/>
        </w:rPr>
      </w:pPr>
      <w:r w:rsidRPr="007561D2">
        <w:rPr>
          <w:color w:val="000000" w:themeColor="text1"/>
        </w:rPr>
        <w:t xml:space="preserve">Adverse events that </w:t>
      </w:r>
      <w:r w:rsidR="002E5655">
        <w:rPr>
          <w:color w:val="000000" w:themeColor="text1"/>
        </w:rPr>
        <w:t>were</w:t>
      </w:r>
      <w:r w:rsidRPr="007561D2">
        <w:rPr>
          <w:color w:val="000000" w:themeColor="text1"/>
        </w:rPr>
        <w:t xml:space="preserve"> determined by the sponsor to be associated with tucatinib include</w:t>
      </w:r>
      <w:r w:rsidR="002E5655">
        <w:rPr>
          <w:color w:val="000000" w:themeColor="text1"/>
        </w:rPr>
        <w:t>d</w:t>
      </w:r>
      <w:r w:rsidRPr="007561D2">
        <w:rPr>
          <w:color w:val="000000" w:themeColor="text1"/>
        </w:rPr>
        <w:t xml:space="preserve"> diarrhoea, elevated liver function tests (LFTs), nausea and vomiting, and stomatitis. </w:t>
      </w:r>
    </w:p>
    <w:p w:rsidR="005D4D1E" w:rsidRPr="007561D2" w:rsidRDefault="005D4D1E" w:rsidP="005D4D1E">
      <w:pPr>
        <w:pStyle w:val="3-BodyText"/>
        <w:rPr>
          <w:color w:val="000000" w:themeColor="text1"/>
          <w:lang w:val="en-GB"/>
        </w:rPr>
      </w:pPr>
      <w:r w:rsidRPr="007561D2">
        <w:rPr>
          <w:color w:val="000000" w:themeColor="text1"/>
          <w:lang w:val="en-GB"/>
        </w:rPr>
        <w:t>When adjusted for exposure using at-risk time, the incidence rate per 100 person-years of PPE syndrome was 21 and 19 on the tucatinib and control arms, respectively. This is considered to be related to capecitabine.</w:t>
      </w:r>
    </w:p>
    <w:p w:rsidR="009B3DB8" w:rsidRPr="007561D2" w:rsidRDefault="00F710B6" w:rsidP="00DC759B">
      <w:pPr>
        <w:pStyle w:val="3-BodyText"/>
        <w:rPr>
          <w:rFonts w:ascii="Arial Narrow" w:hAnsi="Arial Narrow"/>
          <w:b/>
          <w:sz w:val="20"/>
        </w:rPr>
      </w:pPr>
      <w:r w:rsidRPr="007561D2">
        <w:rPr>
          <w:iCs/>
          <w:lang w:eastAsia="en-GB"/>
        </w:rPr>
        <w:t>Severe adverse events (</w:t>
      </w:r>
      <w:r w:rsidR="009B3DB8" w:rsidRPr="007561D2">
        <w:rPr>
          <w:iCs/>
          <w:lang w:eastAsia="en-GB"/>
        </w:rPr>
        <w:t>Grade</w:t>
      </w:r>
      <w:r w:rsidR="006B1399" w:rsidRPr="007561D2">
        <w:rPr>
          <w:iCs/>
          <w:lang w:eastAsia="en-GB"/>
        </w:rPr>
        <w:t xml:space="preserve"> </w:t>
      </w:r>
      <w:r w:rsidR="009B3DB8" w:rsidRPr="007561D2">
        <w:rPr>
          <w:iCs/>
          <w:lang w:eastAsia="en-GB"/>
        </w:rPr>
        <w:t>≥</w:t>
      </w:r>
      <w:r w:rsidR="007719E4">
        <w:rPr>
          <w:iCs/>
          <w:lang w:eastAsia="en-GB"/>
        </w:rPr>
        <w:t xml:space="preserve"> </w:t>
      </w:r>
      <w:r w:rsidR="009B3DB8" w:rsidRPr="007561D2">
        <w:rPr>
          <w:iCs/>
          <w:lang w:eastAsia="en-GB"/>
        </w:rPr>
        <w:t>3 adverse reactions</w:t>
      </w:r>
      <w:r w:rsidRPr="007561D2">
        <w:rPr>
          <w:iCs/>
          <w:lang w:eastAsia="en-GB"/>
        </w:rPr>
        <w:t>) occurred in more patients in the tucatinib arm than the control arm</w:t>
      </w:r>
      <w:r w:rsidR="005D7B4A">
        <w:rPr>
          <w:iCs/>
          <w:lang w:eastAsia="en-GB"/>
        </w:rPr>
        <w:t xml:space="preserve"> (Table 7)</w:t>
      </w:r>
      <w:r w:rsidR="006B1399" w:rsidRPr="007561D2">
        <w:rPr>
          <w:iCs/>
          <w:lang w:eastAsia="en-GB"/>
        </w:rPr>
        <w:t>. T</w:t>
      </w:r>
      <w:r w:rsidRPr="007561D2">
        <w:rPr>
          <w:iCs/>
          <w:lang w:eastAsia="en-GB"/>
        </w:rPr>
        <w:t>hose</w:t>
      </w:r>
      <w:r w:rsidR="009B3DB8" w:rsidRPr="007561D2">
        <w:rPr>
          <w:iCs/>
          <w:lang w:eastAsia="en-GB"/>
        </w:rPr>
        <w:t xml:space="preserve"> </w:t>
      </w:r>
      <w:r w:rsidRPr="007561D2">
        <w:rPr>
          <w:iCs/>
          <w:lang w:eastAsia="en-GB"/>
        </w:rPr>
        <w:t>occurring at a frequency of ≥</w:t>
      </w:r>
      <w:r w:rsidR="006B1399" w:rsidRPr="007561D2">
        <w:rPr>
          <w:iCs/>
          <w:lang w:eastAsia="en-GB"/>
        </w:rPr>
        <w:t xml:space="preserve"> </w:t>
      </w:r>
      <w:r w:rsidRPr="007561D2">
        <w:rPr>
          <w:iCs/>
          <w:lang w:eastAsia="en-GB"/>
        </w:rPr>
        <w:t>5%</w:t>
      </w:r>
      <w:r w:rsidR="006B1399" w:rsidRPr="007561D2">
        <w:rPr>
          <w:iCs/>
          <w:lang w:eastAsia="en-GB"/>
        </w:rPr>
        <w:t xml:space="preserve"> were</w:t>
      </w:r>
      <w:r w:rsidRPr="007561D2">
        <w:rPr>
          <w:iCs/>
          <w:lang w:eastAsia="en-GB"/>
        </w:rPr>
        <w:t>:</w:t>
      </w:r>
      <w:r w:rsidR="009B3DB8" w:rsidRPr="007561D2">
        <w:rPr>
          <w:iCs/>
          <w:lang w:eastAsia="en-GB"/>
        </w:rPr>
        <w:t xml:space="preserve"> PPE syndrome</w:t>
      </w:r>
      <w:r w:rsidRPr="007561D2">
        <w:rPr>
          <w:iCs/>
          <w:lang w:eastAsia="en-GB"/>
        </w:rPr>
        <w:t xml:space="preserve"> (13% vs 9%)</w:t>
      </w:r>
      <w:r w:rsidR="009B3DB8" w:rsidRPr="007561D2">
        <w:rPr>
          <w:iCs/>
          <w:lang w:eastAsia="en-GB"/>
        </w:rPr>
        <w:t>, diarrhoea</w:t>
      </w:r>
      <w:r w:rsidRPr="007561D2">
        <w:rPr>
          <w:iCs/>
          <w:lang w:eastAsia="en-GB"/>
        </w:rPr>
        <w:t xml:space="preserve"> (13% vs 9%)</w:t>
      </w:r>
      <w:r w:rsidR="009B3DB8" w:rsidRPr="007561D2">
        <w:rPr>
          <w:iCs/>
          <w:lang w:eastAsia="en-GB"/>
        </w:rPr>
        <w:t>,</w:t>
      </w:r>
      <w:r w:rsidRPr="007561D2">
        <w:rPr>
          <w:iCs/>
          <w:lang w:eastAsia="en-GB"/>
        </w:rPr>
        <w:t xml:space="preserve"> nausea (4% vs 3%)</w:t>
      </w:r>
      <w:r w:rsidR="006B1399" w:rsidRPr="007561D2">
        <w:rPr>
          <w:iCs/>
          <w:lang w:eastAsia="en-GB"/>
        </w:rPr>
        <w:t>,</w:t>
      </w:r>
      <w:r w:rsidR="009B3DB8" w:rsidRPr="007561D2">
        <w:rPr>
          <w:iCs/>
          <w:lang w:eastAsia="en-GB"/>
        </w:rPr>
        <w:t xml:space="preserve"> hepatotoxicity</w:t>
      </w:r>
      <w:r w:rsidRPr="007561D2">
        <w:rPr>
          <w:iCs/>
          <w:lang w:eastAsia="en-GB"/>
        </w:rPr>
        <w:t xml:space="preserve"> </w:t>
      </w:r>
      <w:r w:rsidR="00B60A86" w:rsidRPr="007561D2">
        <w:rPr>
          <w:iCs/>
          <w:lang w:eastAsia="en-GB"/>
        </w:rPr>
        <w:t>by collated preferred terms per FDA Multidisciplinary review</w:t>
      </w:r>
      <w:bookmarkStart w:id="13" w:name="_Ref60335622"/>
      <w:r w:rsidR="00B60A86" w:rsidRPr="007561D2">
        <w:rPr>
          <w:rStyle w:val="FootnoteReference"/>
          <w:iCs/>
          <w:lang w:eastAsia="en-GB"/>
        </w:rPr>
        <w:footnoteReference w:id="7"/>
      </w:r>
      <w:bookmarkEnd w:id="13"/>
      <w:r w:rsidR="00B60A86" w:rsidRPr="007561D2">
        <w:rPr>
          <w:iCs/>
          <w:lang w:eastAsia="en-GB"/>
        </w:rPr>
        <w:t xml:space="preserve"> </w:t>
      </w:r>
      <w:r w:rsidRPr="007561D2">
        <w:rPr>
          <w:iCs/>
          <w:lang w:eastAsia="en-GB"/>
        </w:rPr>
        <w:t>(9% vs 3.6%)</w:t>
      </w:r>
      <w:r w:rsidR="009B3DB8" w:rsidRPr="007561D2">
        <w:rPr>
          <w:iCs/>
          <w:lang w:eastAsia="en-GB"/>
        </w:rPr>
        <w:t>, increased ALT, and fatigue</w:t>
      </w:r>
      <w:r w:rsidR="00B60A86" w:rsidRPr="007561D2">
        <w:rPr>
          <w:iCs/>
          <w:lang w:eastAsia="en-GB"/>
        </w:rPr>
        <w:t xml:space="preserve"> by collated terms per FDA Multidisciplinary Revie</w:t>
      </w:r>
      <w:r w:rsidR="00B60A86" w:rsidRPr="007561D2">
        <w:t>w</w:t>
      </w:r>
      <w:r w:rsidR="00D75D20" w:rsidRPr="007561D2">
        <w:rPr>
          <w:vertAlign w:val="superscript"/>
        </w:rPr>
        <w:t>7</w:t>
      </w:r>
      <w:r w:rsidRPr="007561D2">
        <w:rPr>
          <w:iCs/>
          <w:vertAlign w:val="superscript"/>
          <w:lang w:eastAsia="en-GB"/>
        </w:rPr>
        <w:t xml:space="preserve"> </w:t>
      </w:r>
      <w:r w:rsidRPr="007561D2">
        <w:rPr>
          <w:iCs/>
          <w:lang w:eastAsia="en-GB"/>
        </w:rPr>
        <w:t>(5% vs 4.5%)</w:t>
      </w:r>
      <w:r w:rsidR="009B3DB8" w:rsidRPr="007561D2">
        <w:rPr>
          <w:iCs/>
          <w:lang w:eastAsia="en-GB"/>
        </w:rPr>
        <w:t xml:space="preserve">. </w:t>
      </w:r>
    </w:p>
    <w:p w:rsidR="00B60A86" w:rsidRDefault="00B60A86" w:rsidP="00B60A86">
      <w:pPr>
        <w:pStyle w:val="TableFigureHeading"/>
      </w:pPr>
      <w:r>
        <w:t xml:space="preserve">Table </w:t>
      </w:r>
      <w:r w:rsidR="00F219E4">
        <w:t>7</w:t>
      </w:r>
      <w:r w:rsidR="0050046E">
        <w:t>:</w:t>
      </w:r>
      <w:r w:rsidRPr="00B60A86">
        <w:t xml:space="preserve"> </w:t>
      </w:r>
      <w:r>
        <w:t xml:space="preserve">Grade ≥ 3 TEAEs in ≥ 2% of </w:t>
      </w:r>
      <w:r w:rsidR="0050046E">
        <w:t>patients</w:t>
      </w:r>
      <w:r>
        <w:t xml:space="preserve"> in the tucatinib arm in HER2CLIMB (Safety analysis population)</w:t>
      </w:r>
    </w:p>
    <w:tbl>
      <w:tblPr>
        <w:tblStyle w:val="TableGrid"/>
        <w:tblW w:w="5000" w:type="pct"/>
        <w:tblInd w:w="-5" w:type="dxa"/>
        <w:tblLook w:val="04A0" w:firstRow="1" w:lastRow="0" w:firstColumn="1" w:lastColumn="0" w:noHBand="0" w:noVBand="1"/>
        <w:tblCaption w:val="Table 7: Grade ≥ 3 TEAEs in ≥ 2% of patients in the tucatinib arm in HER2CLIMB (Safety analysis population)"/>
      </w:tblPr>
      <w:tblGrid>
        <w:gridCol w:w="5016"/>
        <w:gridCol w:w="2041"/>
        <w:gridCol w:w="1960"/>
      </w:tblGrid>
      <w:tr w:rsidR="00F710B6" w:rsidTr="00A0294B">
        <w:trPr>
          <w:tblHeader/>
        </w:trPr>
        <w:tc>
          <w:tcPr>
            <w:tcW w:w="2780" w:type="pct"/>
            <w:shd w:val="clear" w:color="auto" w:fill="auto"/>
            <w:vAlign w:val="center"/>
          </w:tcPr>
          <w:p w:rsidR="00F710B6" w:rsidRPr="008C1BED" w:rsidRDefault="00F710B6" w:rsidP="00B60A86">
            <w:pPr>
              <w:pStyle w:val="In-tableHeading"/>
            </w:pPr>
            <w:r w:rsidRPr="008C1BED">
              <w:t>Preferred term</w:t>
            </w:r>
          </w:p>
        </w:tc>
        <w:tc>
          <w:tcPr>
            <w:tcW w:w="1132" w:type="pct"/>
            <w:shd w:val="clear" w:color="auto" w:fill="auto"/>
            <w:vAlign w:val="center"/>
          </w:tcPr>
          <w:p w:rsidR="00F710B6" w:rsidRDefault="00F710B6" w:rsidP="00310F19">
            <w:pPr>
              <w:pStyle w:val="In-tableHeading"/>
              <w:jc w:val="center"/>
              <w:rPr>
                <w:bCs/>
              </w:rPr>
            </w:pPr>
            <w:r>
              <w:rPr>
                <w:bCs/>
              </w:rPr>
              <w:t>Tuc</w:t>
            </w:r>
            <w:r w:rsidR="00774524">
              <w:rPr>
                <w:bCs/>
              </w:rPr>
              <w:t xml:space="preserve"> </w:t>
            </w:r>
            <w:r>
              <w:rPr>
                <w:bCs/>
              </w:rPr>
              <w:t>+</w:t>
            </w:r>
            <w:r w:rsidR="00774524">
              <w:rPr>
                <w:bCs/>
              </w:rPr>
              <w:t xml:space="preserve"> </w:t>
            </w:r>
            <w:r>
              <w:rPr>
                <w:bCs/>
              </w:rPr>
              <w:t>Cap</w:t>
            </w:r>
            <w:r w:rsidR="00774524">
              <w:rPr>
                <w:bCs/>
              </w:rPr>
              <w:t xml:space="preserve"> </w:t>
            </w:r>
            <w:r>
              <w:rPr>
                <w:bCs/>
              </w:rPr>
              <w:t>+</w:t>
            </w:r>
            <w:r w:rsidR="00774524">
              <w:rPr>
                <w:bCs/>
              </w:rPr>
              <w:t xml:space="preserve"> </w:t>
            </w:r>
            <w:r>
              <w:rPr>
                <w:bCs/>
              </w:rPr>
              <w:t>Tra</w:t>
            </w:r>
          </w:p>
          <w:p w:rsidR="00F710B6" w:rsidRDefault="00F710B6" w:rsidP="00310F19">
            <w:pPr>
              <w:pStyle w:val="In-tableHeading"/>
              <w:jc w:val="center"/>
              <w:rPr>
                <w:bCs/>
              </w:rPr>
            </w:pPr>
            <w:r>
              <w:rPr>
                <w:bCs/>
              </w:rPr>
              <w:t>(N</w:t>
            </w:r>
            <w:r w:rsidR="00774524">
              <w:rPr>
                <w:bCs/>
              </w:rPr>
              <w:t xml:space="preserve"> </w:t>
            </w:r>
            <w:r>
              <w:rPr>
                <w:bCs/>
              </w:rPr>
              <w:t>= 404)</w:t>
            </w:r>
          </w:p>
          <w:p w:rsidR="00F710B6" w:rsidRDefault="00F710B6" w:rsidP="00310F19">
            <w:pPr>
              <w:pStyle w:val="In-tableHeading"/>
              <w:jc w:val="center"/>
              <w:rPr>
                <w:bCs/>
              </w:rPr>
            </w:pPr>
            <w:r>
              <w:rPr>
                <w:bCs/>
              </w:rPr>
              <w:t>n (%)</w:t>
            </w:r>
          </w:p>
        </w:tc>
        <w:tc>
          <w:tcPr>
            <w:tcW w:w="1087" w:type="pct"/>
            <w:shd w:val="clear" w:color="auto" w:fill="auto"/>
            <w:vAlign w:val="center"/>
          </w:tcPr>
          <w:p w:rsidR="00F710B6" w:rsidRDefault="00F710B6" w:rsidP="00310F19">
            <w:pPr>
              <w:pStyle w:val="In-tableHeading"/>
              <w:jc w:val="center"/>
              <w:rPr>
                <w:bCs/>
              </w:rPr>
            </w:pPr>
            <w:r>
              <w:rPr>
                <w:bCs/>
              </w:rPr>
              <w:t>Pbo</w:t>
            </w:r>
            <w:r w:rsidR="00774524">
              <w:rPr>
                <w:bCs/>
              </w:rPr>
              <w:t xml:space="preserve"> </w:t>
            </w:r>
            <w:r>
              <w:rPr>
                <w:bCs/>
              </w:rPr>
              <w:t>+</w:t>
            </w:r>
            <w:r w:rsidR="00774524">
              <w:rPr>
                <w:bCs/>
              </w:rPr>
              <w:t xml:space="preserve"> </w:t>
            </w:r>
            <w:r>
              <w:rPr>
                <w:bCs/>
              </w:rPr>
              <w:t>Cap</w:t>
            </w:r>
            <w:r w:rsidR="00774524">
              <w:rPr>
                <w:bCs/>
              </w:rPr>
              <w:t xml:space="preserve"> </w:t>
            </w:r>
            <w:r>
              <w:rPr>
                <w:bCs/>
              </w:rPr>
              <w:t>+</w:t>
            </w:r>
            <w:r w:rsidR="00774524">
              <w:rPr>
                <w:bCs/>
              </w:rPr>
              <w:t xml:space="preserve"> </w:t>
            </w:r>
            <w:r>
              <w:rPr>
                <w:bCs/>
              </w:rPr>
              <w:t>Tra</w:t>
            </w:r>
          </w:p>
          <w:p w:rsidR="00F710B6" w:rsidRDefault="00F710B6" w:rsidP="00310F19">
            <w:pPr>
              <w:pStyle w:val="In-tableHeading"/>
              <w:jc w:val="center"/>
              <w:rPr>
                <w:bCs/>
              </w:rPr>
            </w:pPr>
            <w:r>
              <w:rPr>
                <w:bCs/>
              </w:rPr>
              <w:t>(N</w:t>
            </w:r>
            <w:r w:rsidR="00774524">
              <w:rPr>
                <w:bCs/>
              </w:rPr>
              <w:t xml:space="preserve"> </w:t>
            </w:r>
            <w:r>
              <w:rPr>
                <w:bCs/>
              </w:rPr>
              <w:t>= 197)</w:t>
            </w:r>
          </w:p>
          <w:p w:rsidR="00F710B6" w:rsidRDefault="00F710B6" w:rsidP="00310F19">
            <w:pPr>
              <w:pStyle w:val="In-tableHeading"/>
              <w:jc w:val="center"/>
              <w:rPr>
                <w:bCs/>
              </w:rPr>
            </w:pPr>
            <w:r>
              <w:rPr>
                <w:bCs/>
              </w:rPr>
              <w:t>n (%)</w:t>
            </w:r>
          </w:p>
        </w:tc>
      </w:tr>
      <w:tr w:rsidR="00F710B6" w:rsidTr="00A0294B">
        <w:trPr>
          <w:trHeight w:val="53"/>
        </w:trPr>
        <w:tc>
          <w:tcPr>
            <w:tcW w:w="2780" w:type="pct"/>
            <w:tcBorders>
              <w:bottom w:val="single" w:sz="4" w:space="0" w:color="auto"/>
            </w:tcBorders>
          </w:tcPr>
          <w:p w:rsidR="00F710B6" w:rsidRPr="00600CA0" w:rsidRDefault="00600CA0" w:rsidP="00600CA0">
            <w:pPr>
              <w:pStyle w:val="TableText0"/>
            </w:pPr>
            <w:r>
              <w:t>Patient</w:t>
            </w:r>
            <w:r w:rsidR="00F710B6" w:rsidRPr="00600CA0">
              <w:t>s with any event</w:t>
            </w:r>
          </w:p>
        </w:tc>
        <w:tc>
          <w:tcPr>
            <w:tcW w:w="1132" w:type="pct"/>
            <w:tcBorders>
              <w:bottom w:val="single" w:sz="4" w:space="0" w:color="auto"/>
            </w:tcBorders>
            <w:vAlign w:val="center"/>
          </w:tcPr>
          <w:p w:rsidR="00F710B6" w:rsidRPr="00600CA0" w:rsidRDefault="00F710B6" w:rsidP="00310F19">
            <w:pPr>
              <w:pStyle w:val="TableText0"/>
              <w:jc w:val="center"/>
            </w:pPr>
            <w:r w:rsidRPr="00600CA0">
              <w:t>223 (55.2%)</w:t>
            </w:r>
          </w:p>
        </w:tc>
        <w:tc>
          <w:tcPr>
            <w:tcW w:w="1087" w:type="pct"/>
            <w:tcBorders>
              <w:bottom w:val="single" w:sz="4" w:space="0" w:color="auto"/>
            </w:tcBorders>
            <w:vAlign w:val="center"/>
          </w:tcPr>
          <w:p w:rsidR="00F710B6" w:rsidRPr="00600CA0" w:rsidRDefault="00F710B6" w:rsidP="00310F19">
            <w:pPr>
              <w:pStyle w:val="TableText0"/>
              <w:jc w:val="center"/>
            </w:pPr>
            <w:r w:rsidRPr="00600CA0">
              <w:t>96 (48.7%)</w:t>
            </w:r>
          </w:p>
        </w:tc>
      </w:tr>
      <w:tr w:rsidR="00F710B6" w:rsidTr="00A0294B">
        <w:tc>
          <w:tcPr>
            <w:tcW w:w="2780" w:type="pct"/>
            <w:tcBorders>
              <w:top w:val="single" w:sz="4" w:space="0" w:color="auto"/>
              <w:left w:val="single" w:sz="4" w:space="0" w:color="auto"/>
              <w:bottom w:val="single" w:sz="4" w:space="0" w:color="auto"/>
              <w:right w:val="single" w:sz="4" w:space="0" w:color="auto"/>
            </w:tcBorders>
          </w:tcPr>
          <w:p w:rsidR="00F710B6" w:rsidRPr="00600CA0" w:rsidRDefault="00F710B6" w:rsidP="0050046E">
            <w:pPr>
              <w:pStyle w:val="TableText0"/>
            </w:pPr>
            <w:r w:rsidRPr="00600CA0">
              <w:t>Palmar-plantar erythrod</w:t>
            </w:r>
            <w:r w:rsidR="005B4349">
              <w:t>y</w:t>
            </w:r>
            <w:r w:rsidR="00194FCE">
              <w:t>s</w:t>
            </w:r>
            <w:r w:rsidRPr="00600CA0">
              <w:t>esthesia syndrome</w:t>
            </w:r>
          </w:p>
        </w:tc>
        <w:tc>
          <w:tcPr>
            <w:tcW w:w="1132" w:type="pct"/>
            <w:tcBorders>
              <w:top w:val="single" w:sz="4" w:space="0" w:color="auto"/>
              <w:left w:val="single" w:sz="4" w:space="0" w:color="auto"/>
              <w:bottom w:val="single" w:sz="4" w:space="0" w:color="auto"/>
              <w:right w:val="single" w:sz="4" w:space="0" w:color="auto"/>
            </w:tcBorders>
            <w:vAlign w:val="center"/>
          </w:tcPr>
          <w:p w:rsidR="00F710B6" w:rsidRPr="00600CA0" w:rsidRDefault="00F710B6" w:rsidP="00310F19">
            <w:pPr>
              <w:pStyle w:val="TableText0"/>
              <w:jc w:val="center"/>
            </w:pPr>
            <w:r w:rsidRPr="00600CA0">
              <w:t>53 (13.1%)</w:t>
            </w:r>
          </w:p>
        </w:tc>
        <w:tc>
          <w:tcPr>
            <w:tcW w:w="1087" w:type="pct"/>
            <w:tcBorders>
              <w:top w:val="single" w:sz="4" w:space="0" w:color="auto"/>
              <w:left w:val="single" w:sz="4" w:space="0" w:color="auto"/>
              <w:bottom w:val="single" w:sz="4" w:space="0" w:color="auto"/>
              <w:right w:val="single" w:sz="4" w:space="0" w:color="auto"/>
            </w:tcBorders>
            <w:vAlign w:val="center"/>
          </w:tcPr>
          <w:p w:rsidR="00F710B6" w:rsidRPr="00600CA0" w:rsidRDefault="00F710B6" w:rsidP="00310F19">
            <w:pPr>
              <w:pStyle w:val="TableText0"/>
              <w:jc w:val="center"/>
            </w:pPr>
            <w:r w:rsidRPr="00600CA0">
              <w:t>18 (9.1%)</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Diarrhoea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52 (12.9%)</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17 (8.6%)</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Alanine aminotransferase increased</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22 (5.4%)</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1 (0.5%)</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Fatigue</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19 (4.7%)</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8 (4.1%)</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Aspartate aminotransferase increase</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18 (4.5%)</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1 (0.5%)</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Anaemia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15 (3.7%)</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5 (2.5%)</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Nausea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15 (3.7%)</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6 (3.0%)</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Hypokalaemia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13 (3.2%)</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10 (5.1%)</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Pulmonary embolism</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13 (3.2%)</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4 (2.0%)</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Vomiting</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12 (3.0%)</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7 (3.6%)</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Hypophosphatemia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11 (2.7%)</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4 (2.0%)</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Stomatitis</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10 (2.5%)</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1 (0.5%)</w:t>
            </w:r>
          </w:p>
        </w:tc>
      </w:tr>
      <w:tr w:rsidR="0050046E" w:rsidTr="00A0294B">
        <w:tc>
          <w:tcPr>
            <w:tcW w:w="2780" w:type="pct"/>
            <w:tcBorders>
              <w:top w:val="single" w:sz="4" w:space="0" w:color="auto"/>
              <w:left w:val="single" w:sz="4" w:space="0" w:color="auto"/>
              <w:bottom w:val="single" w:sz="4" w:space="0" w:color="auto"/>
              <w:right w:val="single" w:sz="4" w:space="0" w:color="auto"/>
            </w:tcBorders>
          </w:tcPr>
          <w:p w:rsidR="0050046E" w:rsidRPr="00600CA0" w:rsidRDefault="0050046E" w:rsidP="0050046E">
            <w:pPr>
              <w:pStyle w:val="TableText0"/>
            </w:pPr>
            <w:r w:rsidRPr="002110AC">
              <w:t>Neutropenia</w:t>
            </w:r>
          </w:p>
        </w:tc>
        <w:tc>
          <w:tcPr>
            <w:tcW w:w="1132"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C94425">
              <w:t>9 (2.2%)</w:t>
            </w:r>
          </w:p>
        </w:tc>
        <w:tc>
          <w:tcPr>
            <w:tcW w:w="1087" w:type="pct"/>
            <w:tcBorders>
              <w:top w:val="single" w:sz="4" w:space="0" w:color="auto"/>
              <w:left w:val="single" w:sz="4" w:space="0" w:color="auto"/>
              <w:bottom w:val="single" w:sz="4" w:space="0" w:color="auto"/>
              <w:right w:val="single" w:sz="4" w:space="0" w:color="auto"/>
            </w:tcBorders>
          </w:tcPr>
          <w:p w:rsidR="0050046E" w:rsidRPr="00600CA0" w:rsidRDefault="0050046E" w:rsidP="00310F19">
            <w:pPr>
              <w:pStyle w:val="TableText0"/>
              <w:jc w:val="center"/>
            </w:pPr>
            <w:r w:rsidRPr="00DF6141">
              <w:t>9 (4.6%)</w:t>
            </w:r>
          </w:p>
        </w:tc>
      </w:tr>
    </w:tbl>
    <w:p w:rsidR="00F710B6" w:rsidRDefault="00F710B6" w:rsidP="00F710B6">
      <w:pPr>
        <w:pStyle w:val="TableFooter"/>
      </w:pPr>
      <w:r>
        <w:t>Source: Table 2.40, p115 of the submission.</w:t>
      </w:r>
    </w:p>
    <w:p w:rsidR="0052665B" w:rsidRDefault="00F710B6" w:rsidP="00B60A86">
      <w:pPr>
        <w:pStyle w:val="TableFooter"/>
      </w:pPr>
      <w:r>
        <w:t>Cap = capecitabine; Pbo = placebo; TEAE = treatment emergent adverse event; Tra = trastuzumab; Tuc = tucatinib</w:t>
      </w:r>
      <w:bookmarkStart w:id="14" w:name="_Toc22897643"/>
    </w:p>
    <w:p w:rsidR="005D4D1E" w:rsidRPr="00B60A86" w:rsidRDefault="005D4D1E" w:rsidP="00B60A86">
      <w:pPr>
        <w:pStyle w:val="TableFooter"/>
      </w:pPr>
    </w:p>
    <w:p w:rsidR="00D533FD" w:rsidRPr="007561D2" w:rsidRDefault="002E5655" w:rsidP="005D4D1E">
      <w:pPr>
        <w:pStyle w:val="3-BodyText"/>
      </w:pPr>
      <w:r>
        <w:t>W</w:t>
      </w:r>
      <w:r w:rsidR="001F4B45" w:rsidRPr="007561D2">
        <w:t xml:space="preserve">ithholding </w:t>
      </w:r>
      <w:r>
        <w:t xml:space="preserve">doses </w:t>
      </w:r>
      <w:r w:rsidR="001F4B45" w:rsidRPr="007561D2">
        <w:t>of tucatinib or placebo was more often required in the tucat</w:t>
      </w:r>
      <w:r w:rsidR="00645A5D" w:rsidRPr="007561D2">
        <w:t>ini</w:t>
      </w:r>
      <w:r w:rsidR="001F4B45" w:rsidRPr="007561D2">
        <w:t>b arm</w:t>
      </w:r>
      <w:r w:rsidR="00645A5D" w:rsidRPr="007561D2">
        <w:t xml:space="preserve"> compared with the control arm</w:t>
      </w:r>
      <w:r w:rsidR="001F4B45" w:rsidRPr="007561D2">
        <w:t xml:space="preserve"> (54% vs 41%</w:t>
      </w:r>
      <w:r w:rsidR="00645A5D" w:rsidRPr="007561D2">
        <w:t>, respectively</w:t>
      </w:r>
      <w:r w:rsidR="001F4B45" w:rsidRPr="007561D2">
        <w:t xml:space="preserve">) and dose reductions </w:t>
      </w:r>
      <w:r w:rsidR="005D4D1E" w:rsidRPr="007561D2">
        <w:t xml:space="preserve">were more common </w:t>
      </w:r>
      <w:r w:rsidR="001F4B45" w:rsidRPr="007561D2">
        <w:t>(21% vs 11%</w:t>
      </w:r>
      <w:r w:rsidR="00645A5D" w:rsidRPr="007561D2">
        <w:t>, respectively</w:t>
      </w:r>
      <w:r w:rsidR="001F4B45" w:rsidRPr="007561D2">
        <w:t>)</w:t>
      </w:r>
      <w:r w:rsidR="00B151C6" w:rsidRPr="007561D2">
        <w:t xml:space="preserve">, mostly due to diarrhoea and </w:t>
      </w:r>
      <w:r w:rsidR="007719E4">
        <w:t>LFT</w:t>
      </w:r>
      <w:r w:rsidR="00B151C6" w:rsidRPr="007561D2">
        <w:t xml:space="preserve"> abnormalities. Most patients were able to resume at the same dose of tucatinib, or required a single dose reduction.</w:t>
      </w:r>
      <w:r w:rsidR="00645A5D" w:rsidRPr="007561D2">
        <w:t xml:space="preserve"> </w:t>
      </w:r>
      <w:r w:rsidR="00F545C2" w:rsidRPr="007561D2">
        <w:t xml:space="preserve">Re-escalation of tucatinib following a dose reduction was not permitted per protocol. </w:t>
      </w:r>
      <w:r w:rsidR="00645A5D" w:rsidRPr="007561D2">
        <w:t>Dose r</w:t>
      </w:r>
      <w:r w:rsidR="00B151C6" w:rsidRPr="007561D2">
        <w:t xml:space="preserve">eductions </w:t>
      </w:r>
      <w:r w:rsidR="00645A5D" w:rsidRPr="007561D2">
        <w:t>for</w:t>
      </w:r>
      <w:r w:rsidR="00B151C6" w:rsidRPr="007561D2">
        <w:t xml:space="preserve"> capecitabine </w:t>
      </w:r>
      <w:r w:rsidR="00645A5D" w:rsidRPr="007561D2">
        <w:t>in</w:t>
      </w:r>
      <w:r w:rsidR="001F4B45" w:rsidRPr="007561D2">
        <w:t xml:space="preserve"> both arms</w:t>
      </w:r>
      <w:r w:rsidR="00B151C6" w:rsidRPr="007561D2">
        <w:t xml:space="preserve"> were more common</w:t>
      </w:r>
      <w:r w:rsidR="001F4B45" w:rsidRPr="007561D2">
        <w:t xml:space="preserve"> than reductions in tucatinib</w:t>
      </w:r>
      <w:r w:rsidR="00B151C6" w:rsidRPr="007561D2">
        <w:t xml:space="preserve">. Discontinuation of therapy occurred in 5.7% of patients in the tucatinib arm, and 3% of the control arm while antidiarrhoeal treatments were required in 66% vs 36%, respectively. </w:t>
      </w:r>
      <w:r w:rsidR="00B151C6" w:rsidRPr="007561D2">
        <w:rPr>
          <w:iCs/>
        </w:rPr>
        <w:t>These indicate that with close monitoring, early intervention and supportive therapies that these adverse events are</w:t>
      </w:r>
      <w:r w:rsidR="00673907" w:rsidRPr="007561D2">
        <w:rPr>
          <w:iCs/>
        </w:rPr>
        <w:t xml:space="preserve"> likely to be</w:t>
      </w:r>
      <w:r w:rsidR="00B151C6" w:rsidRPr="007561D2">
        <w:rPr>
          <w:iCs/>
        </w:rPr>
        <w:t xml:space="preserve"> manageable</w:t>
      </w:r>
      <w:r w:rsidR="00673907" w:rsidRPr="007561D2">
        <w:rPr>
          <w:iCs/>
        </w:rPr>
        <w:t xml:space="preserve"> in the majority of patients</w:t>
      </w:r>
      <w:r w:rsidR="00B151C6" w:rsidRPr="007561D2">
        <w:rPr>
          <w:iCs/>
        </w:rPr>
        <w:t xml:space="preserve">. </w:t>
      </w:r>
    </w:p>
    <w:p w:rsidR="007F1017" w:rsidRPr="00C9624D" w:rsidRDefault="007F1017" w:rsidP="008D0213">
      <w:pPr>
        <w:pStyle w:val="4-SubsectionHeading"/>
      </w:pPr>
      <w:bookmarkStart w:id="15" w:name="_Toc62045114"/>
      <w:r w:rsidRPr="00C9624D">
        <w:t>Benefits/harms</w:t>
      </w:r>
      <w:bookmarkEnd w:id="14"/>
      <w:bookmarkEnd w:id="15"/>
    </w:p>
    <w:p w:rsidR="002441D2" w:rsidRDefault="002441D2" w:rsidP="00E9094A">
      <w:pPr>
        <w:pStyle w:val="3-BodyText"/>
      </w:pPr>
      <w:r>
        <w:t xml:space="preserve">On the basis of </w:t>
      </w:r>
      <w:r w:rsidR="00C46474">
        <w:t xml:space="preserve">the </w:t>
      </w:r>
      <w:r>
        <w:t xml:space="preserve">direct evidence presented by the submission, </w:t>
      </w:r>
      <w:r w:rsidR="00C46474">
        <w:t>the comparison of</w:t>
      </w:r>
      <w:r>
        <w:t xml:space="preserve"> </w:t>
      </w:r>
      <w:r w:rsidR="00C41B4A">
        <w:t>tucatinib plus trastuzumab and capecitabine</w:t>
      </w:r>
      <w:r>
        <w:t xml:space="preserve"> </w:t>
      </w:r>
      <w:r w:rsidR="009C60D0">
        <w:t>rather tha</w:t>
      </w:r>
      <w:r w:rsidR="00767BE6">
        <w:t>n</w:t>
      </w:r>
      <w:r>
        <w:t xml:space="preserve"> </w:t>
      </w:r>
      <w:r w:rsidR="00C41B4A">
        <w:t>placebo plus trastuzumab and capecitabine</w:t>
      </w:r>
      <w:r w:rsidR="00C46474">
        <w:t>, resulted in</w:t>
      </w:r>
      <w:r>
        <w:t>:</w:t>
      </w:r>
    </w:p>
    <w:p w:rsidR="007D4FD4" w:rsidRDefault="007D4FD4" w:rsidP="00673907">
      <w:pPr>
        <w:pStyle w:val="ListParagraph"/>
        <w:spacing w:after="0"/>
        <w:ind w:left="1276" w:hanging="425"/>
        <w:rPr>
          <w:snapToGrid/>
          <w:lang w:val="en-US"/>
        </w:rPr>
      </w:pPr>
      <w:r>
        <w:rPr>
          <w:snapToGrid/>
          <w:lang w:val="en-US"/>
        </w:rPr>
        <w:t>Approximately 21 additional patients alive without disease progression at one year (based on a median follow-up of 10.4 months);</w:t>
      </w:r>
    </w:p>
    <w:p w:rsidR="00DC759B" w:rsidRPr="007D4FD4" w:rsidRDefault="007D4FD4" w:rsidP="00673907">
      <w:pPr>
        <w:pStyle w:val="ListParagraph"/>
        <w:ind w:left="1276" w:hanging="425"/>
        <w:rPr>
          <w:snapToGrid/>
          <w:lang w:val="en-US"/>
        </w:rPr>
      </w:pPr>
      <w:r>
        <w:rPr>
          <w:snapToGrid/>
          <w:lang w:val="en-US"/>
        </w:rPr>
        <w:t>Approximately 13 additional patients alive at one year (based on a median follow-up of 14 months)</w:t>
      </w:r>
    </w:p>
    <w:p w:rsidR="00FC1884" w:rsidRPr="00B50DB8" w:rsidRDefault="00DC759B" w:rsidP="00673907">
      <w:pPr>
        <w:pStyle w:val="3-BodyText"/>
      </w:pPr>
      <w:r>
        <w:t xml:space="preserve">On the basis of direct comparison evidence presented by the submission, for every 100 patients treated with tucatinib plus trastuzumab and capecitabine in comparison with placebo plus trastuzumab and capecitabine with a </w:t>
      </w:r>
      <w:r w:rsidR="001C2A9B">
        <w:t xml:space="preserve">median duration of exposure of </w:t>
      </w:r>
      <w:r>
        <w:t>5.</w:t>
      </w:r>
      <w:r w:rsidR="00654DD9">
        <w:t>8</w:t>
      </w:r>
      <w:r>
        <w:t xml:space="preserve"> months in the tucatinib arm and 4.</w:t>
      </w:r>
      <w:r w:rsidR="00654DD9">
        <w:t>4</w:t>
      </w:r>
      <w:r>
        <w:t xml:space="preserve"> months in the comparator</w:t>
      </w:r>
      <w:r w:rsidR="00982D9E">
        <w:t xml:space="preserve"> arm</w:t>
      </w:r>
      <w:r w:rsidR="001C2A9B">
        <w:t>:</w:t>
      </w:r>
    </w:p>
    <w:p w:rsidR="00FC1884" w:rsidRPr="00CF6EE4" w:rsidRDefault="00FC1884" w:rsidP="00F13793">
      <w:pPr>
        <w:pStyle w:val="ListParagraph"/>
        <w:spacing w:after="0"/>
        <w:ind w:left="1276" w:hanging="425"/>
      </w:pPr>
      <w:r w:rsidRPr="00CF6EE4">
        <w:t xml:space="preserve">Approximately </w:t>
      </w:r>
      <w:r w:rsidR="0097302E" w:rsidRPr="005C7A13">
        <w:t>6</w:t>
      </w:r>
      <w:r w:rsidRPr="00CF6EE4">
        <w:t xml:space="preserve"> additional patients </w:t>
      </w:r>
      <w:r w:rsidR="00146984">
        <w:t>experienced</w:t>
      </w:r>
      <w:r w:rsidR="00DC759B">
        <w:t xml:space="preserve"> </w:t>
      </w:r>
      <w:r w:rsidR="00AA0374">
        <w:t>a</w:t>
      </w:r>
      <w:r w:rsidR="00C46474">
        <w:t xml:space="preserve"> </w:t>
      </w:r>
      <w:r w:rsidR="00DC759B">
        <w:t>severe</w:t>
      </w:r>
      <w:r w:rsidR="00C46474">
        <w:t xml:space="preserve"> adverse event</w:t>
      </w:r>
      <w:r w:rsidR="00243B52">
        <w:t xml:space="preserve"> (≥</w:t>
      </w:r>
      <w:r w:rsidR="00AF04E7">
        <w:t xml:space="preserve"> </w:t>
      </w:r>
      <w:r w:rsidR="00243B52">
        <w:t>Grade 3)</w:t>
      </w:r>
      <w:r w:rsidR="00654DD9">
        <w:t xml:space="preserve"> of any kind</w:t>
      </w:r>
      <w:r w:rsidR="001C2A9B">
        <w:t>.</w:t>
      </w:r>
    </w:p>
    <w:p w:rsidR="00F65C27" w:rsidRDefault="00076052" w:rsidP="00F13793">
      <w:pPr>
        <w:pStyle w:val="ListParagraph"/>
        <w:spacing w:after="0"/>
        <w:ind w:left="1276" w:hanging="425"/>
      </w:pPr>
      <w:r>
        <w:t>A</w:t>
      </w:r>
      <w:r w:rsidR="0025796A">
        <w:t>pproximately</w:t>
      </w:r>
      <w:r>
        <w:t xml:space="preserve"> </w:t>
      </w:r>
      <w:r w:rsidR="0025796A">
        <w:t xml:space="preserve">5 </w:t>
      </w:r>
      <w:r>
        <w:t>additional</w:t>
      </w:r>
      <w:r w:rsidR="0025796A">
        <w:t xml:space="preserve"> </w:t>
      </w:r>
      <w:r>
        <w:t xml:space="preserve">patients developed severe changes in liver function, but with dose reductions in the treatments, the proportions of patients stopping treatments were low in </w:t>
      </w:r>
      <w:r w:rsidR="001A2289">
        <w:t xml:space="preserve">both arms (approximately 1 in </w:t>
      </w:r>
      <w:r>
        <w:t>100</w:t>
      </w:r>
      <w:r w:rsidR="00AC13D2">
        <w:t xml:space="preserve"> patients</w:t>
      </w:r>
      <w:r>
        <w:t>).</w:t>
      </w:r>
      <w:r w:rsidR="0025796A" w:rsidRPr="0025796A">
        <w:t xml:space="preserve"> </w:t>
      </w:r>
      <w:r w:rsidR="0025796A">
        <w:t>Changes in liver function were common with both treatments, requiring regular blood tests.</w:t>
      </w:r>
    </w:p>
    <w:p w:rsidR="00FC1884" w:rsidRDefault="0025796A" w:rsidP="00F13793">
      <w:pPr>
        <w:pStyle w:val="ListParagraph"/>
        <w:spacing w:after="0"/>
        <w:ind w:left="1276" w:hanging="425"/>
      </w:pPr>
      <w:r>
        <w:t>A</w:t>
      </w:r>
      <w:r w:rsidR="00FC1884" w:rsidRPr="00CF6EE4">
        <w:t>pproximately</w:t>
      </w:r>
      <w:r w:rsidR="001C2A9B">
        <w:t xml:space="preserve"> </w:t>
      </w:r>
      <w:r w:rsidR="00CF5D04">
        <w:t xml:space="preserve">27 additional patients </w:t>
      </w:r>
      <w:r w:rsidR="005A6F8D">
        <w:t>experienced</w:t>
      </w:r>
      <w:r>
        <w:t xml:space="preserve"> </w:t>
      </w:r>
      <w:r w:rsidR="00CF5D04">
        <w:t>diarrhoea</w:t>
      </w:r>
      <w:r>
        <w:t xml:space="preserve"> of any grade, with</w:t>
      </w:r>
      <w:r w:rsidR="00F65C27">
        <w:t xml:space="preserve"> </w:t>
      </w:r>
      <w:r w:rsidR="00FE4C3A">
        <w:t>4</w:t>
      </w:r>
      <w:r w:rsidR="001C2A9B">
        <w:t xml:space="preserve"> </w:t>
      </w:r>
      <w:r w:rsidR="00FE4C3A">
        <w:t>additional</w:t>
      </w:r>
      <w:r w:rsidR="00074E84">
        <w:t xml:space="preserve"> </w:t>
      </w:r>
      <w:r w:rsidR="00C41768">
        <w:t>patients</w:t>
      </w:r>
      <w:r w:rsidR="001A2289">
        <w:t xml:space="preserve"> (per </w:t>
      </w:r>
      <w:r>
        <w:t>100 patients</w:t>
      </w:r>
      <w:r w:rsidR="001A2289">
        <w:t>)</w:t>
      </w:r>
      <w:r w:rsidR="00FE4C3A">
        <w:t xml:space="preserve"> experiencing severe diarrhoea</w:t>
      </w:r>
      <w:r w:rsidR="00CF5D04">
        <w:t xml:space="preserve">; </w:t>
      </w:r>
      <w:r w:rsidR="00F65C27">
        <w:t>an additional 30 patients required</w:t>
      </w:r>
      <w:r w:rsidR="00CF5D04">
        <w:t xml:space="preserve"> anti-diarrhoea medications</w:t>
      </w:r>
      <w:r w:rsidR="001A2289">
        <w:t xml:space="preserve">; </w:t>
      </w:r>
      <w:r w:rsidR="00F65C27">
        <w:t>only 1</w:t>
      </w:r>
      <w:r w:rsidR="001A2289">
        <w:t xml:space="preserve"> in </w:t>
      </w:r>
      <w:r w:rsidR="00265AC8">
        <w:t>200</w:t>
      </w:r>
      <w:r w:rsidR="00F65C27">
        <w:t xml:space="preserve"> additional patient</w:t>
      </w:r>
      <w:r w:rsidR="001A2289">
        <w:t>s</w:t>
      </w:r>
      <w:r w:rsidR="00F65C27">
        <w:t xml:space="preserve"> </w:t>
      </w:r>
      <w:r w:rsidR="001A2289">
        <w:t>were</w:t>
      </w:r>
      <w:r w:rsidR="00F65C27">
        <w:t xml:space="preserve"> reported to have stopped treatment altogether because of</w:t>
      </w:r>
      <w:r w:rsidR="005A7A6D">
        <w:t xml:space="preserve"> the</w:t>
      </w:r>
      <w:r w:rsidR="00F65C27">
        <w:t xml:space="preserve"> diarrhoea</w:t>
      </w:r>
      <w:r w:rsidR="00CF5D04">
        <w:t xml:space="preserve">. </w:t>
      </w:r>
    </w:p>
    <w:p w:rsidR="00B60939" w:rsidRPr="00C9624D" w:rsidRDefault="00B60939" w:rsidP="008D0213">
      <w:pPr>
        <w:pStyle w:val="4-SubsectionHeading"/>
      </w:pPr>
      <w:bookmarkStart w:id="16" w:name="_Toc22897644"/>
      <w:bookmarkStart w:id="17" w:name="_Toc62045115"/>
      <w:r w:rsidRPr="00C9624D">
        <w:t>Clinical claim</w:t>
      </w:r>
      <w:bookmarkEnd w:id="16"/>
      <w:bookmarkEnd w:id="17"/>
    </w:p>
    <w:p w:rsidR="0030377D" w:rsidRPr="007561D2" w:rsidRDefault="0030377D" w:rsidP="0030377D">
      <w:pPr>
        <w:pStyle w:val="3-BodyText"/>
        <w:rPr>
          <w:rFonts w:eastAsia="Calibri"/>
        </w:rPr>
      </w:pPr>
      <w:r w:rsidRPr="007561D2">
        <w:rPr>
          <w:rFonts w:eastAsia="Calibri"/>
        </w:rPr>
        <w:t xml:space="preserve">The submission described the combination of tucatinib plus trastuzumab and capecitabine as superior in terms of effectiveness compared with trastuzumab and capecitabine. </w:t>
      </w:r>
      <w:r w:rsidRPr="007561D2">
        <w:rPr>
          <w:rFonts w:eastAsia="Calibri"/>
          <w:iCs/>
        </w:rPr>
        <w:t xml:space="preserve">This claim was </w:t>
      </w:r>
      <w:r w:rsidRPr="007561D2">
        <w:rPr>
          <w:rFonts w:eastAsia="Calibri"/>
        </w:rPr>
        <w:t>adequately supported.</w:t>
      </w:r>
    </w:p>
    <w:p w:rsidR="007C70FF" w:rsidRPr="00475072" w:rsidRDefault="00341482" w:rsidP="00E9094A">
      <w:pPr>
        <w:pStyle w:val="3-BodyText"/>
        <w:rPr>
          <w:color w:val="000000" w:themeColor="text1"/>
        </w:rPr>
      </w:pPr>
      <w:r w:rsidRPr="007561D2">
        <w:rPr>
          <w:color w:val="000000" w:themeColor="text1"/>
        </w:rPr>
        <w:t xml:space="preserve">Data from the HER2CLIMB </w:t>
      </w:r>
      <w:r w:rsidR="00A10020" w:rsidRPr="007561D2">
        <w:rPr>
          <w:color w:val="000000" w:themeColor="text1"/>
        </w:rPr>
        <w:t xml:space="preserve">trial </w:t>
      </w:r>
      <w:r w:rsidRPr="007561D2">
        <w:rPr>
          <w:color w:val="000000" w:themeColor="text1"/>
        </w:rPr>
        <w:t xml:space="preserve">support the claim </w:t>
      </w:r>
      <w:r w:rsidR="0097302E">
        <w:rPr>
          <w:color w:val="000000" w:themeColor="text1"/>
        </w:rPr>
        <w:t>that</w:t>
      </w:r>
      <w:r w:rsidRPr="007561D2">
        <w:rPr>
          <w:color w:val="000000" w:themeColor="text1"/>
        </w:rPr>
        <w:t xml:space="preserve"> the addition of tucatinib to trastuzumab</w:t>
      </w:r>
      <w:r w:rsidR="00E2409F" w:rsidRPr="007561D2">
        <w:rPr>
          <w:color w:val="000000" w:themeColor="text1"/>
        </w:rPr>
        <w:t xml:space="preserve"> and capecitabine improves </w:t>
      </w:r>
      <w:r w:rsidR="00060D75">
        <w:rPr>
          <w:color w:val="000000" w:themeColor="text1"/>
        </w:rPr>
        <w:t>PFS</w:t>
      </w:r>
      <w:r w:rsidR="00E2409F" w:rsidRPr="007561D2">
        <w:rPr>
          <w:color w:val="000000" w:themeColor="text1"/>
        </w:rPr>
        <w:t xml:space="preserve"> and </w:t>
      </w:r>
      <w:r w:rsidR="00060D75">
        <w:rPr>
          <w:color w:val="000000" w:themeColor="text1"/>
        </w:rPr>
        <w:t>OS</w:t>
      </w:r>
      <w:r w:rsidR="00E2409F" w:rsidRPr="007561D2">
        <w:rPr>
          <w:color w:val="000000" w:themeColor="text1"/>
        </w:rPr>
        <w:t xml:space="preserve"> in patients with metastatic HER2+ breast cancer who have previousl</w:t>
      </w:r>
      <w:r w:rsidR="00BD3CE2" w:rsidRPr="007561D2">
        <w:rPr>
          <w:color w:val="000000" w:themeColor="text1"/>
        </w:rPr>
        <w:t>y</w:t>
      </w:r>
      <w:r w:rsidR="00E2409F" w:rsidRPr="007561D2">
        <w:rPr>
          <w:color w:val="000000" w:themeColor="text1"/>
        </w:rPr>
        <w:t xml:space="preserve"> received treatment with pertuzumab</w:t>
      </w:r>
      <w:r w:rsidR="00060D75">
        <w:rPr>
          <w:color w:val="000000" w:themeColor="text1"/>
        </w:rPr>
        <w:t>, trastuzumab</w:t>
      </w:r>
      <w:r w:rsidR="00E2409F" w:rsidRPr="007561D2">
        <w:rPr>
          <w:color w:val="000000" w:themeColor="text1"/>
        </w:rPr>
        <w:t xml:space="preserve"> and T-DM1. Statistically significant increases in overall response rate and</w:t>
      </w:r>
      <w:r w:rsidR="0030377D" w:rsidRPr="007561D2">
        <w:rPr>
          <w:color w:val="000000" w:themeColor="text1"/>
        </w:rPr>
        <w:t xml:space="preserve"> </w:t>
      </w:r>
      <w:r w:rsidR="00060D75">
        <w:rPr>
          <w:color w:val="000000" w:themeColor="text1"/>
        </w:rPr>
        <w:t>PFS</w:t>
      </w:r>
      <w:r w:rsidR="005A6F8D" w:rsidRPr="007561D2">
        <w:rPr>
          <w:color w:val="000000" w:themeColor="text1"/>
        </w:rPr>
        <w:t xml:space="preserve"> </w:t>
      </w:r>
      <w:r w:rsidR="00060D75" w:rsidRPr="007561D2">
        <w:rPr>
          <w:color w:val="000000" w:themeColor="text1"/>
        </w:rPr>
        <w:t xml:space="preserve">were </w:t>
      </w:r>
      <w:r w:rsidR="00060D75" w:rsidRPr="00475072">
        <w:rPr>
          <w:color w:val="000000" w:themeColor="text1"/>
        </w:rPr>
        <w:t xml:space="preserve">also observed </w:t>
      </w:r>
      <w:r w:rsidR="005A6F8D" w:rsidRPr="00475072">
        <w:rPr>
          <w:color w:val="000000" w:themeColor="text1"/>
        </w:rPr>
        <w:t>in those with brain metastases</w:t>
      </w:r>
      <w:r w:rsidR="00E2409F" w:rsidRPr="00475072">
        <w:rPr>
          <w:color w:val="000000" w:themeColor="text1"/>
        </w:rPr>
        <w:t>.</w:t>
      </w:r>
    </w:p>
    <w:p w:rsidR="00A06DF7" w:rsidRPr="00475072" w:rsidRDefault="00A06DF7" w:rsidP="00A06DF7">
      <w:pPr>
        <w:pStyle w:val="3-BodyText"/>
        <w:rPr>
          <w:rFonts w:eastAsia="Calibri"/>
        </w:rPr>
      </w:pPr>
      <w:r w:rsidRPr="00475072">
        <w:t>The PBAC considered that the claim of superior comparative effectiveness was reasonable.</w:t>
      </w:r>
    </w:p>
    <w:p w:rsidR="005F7588" w:rsidRPr="00475072" w:rsidRDefault="0025796A" w:rsidP="00E9094A">
      <w:pPr>
        <w:pStyle w:val="3-BodyText"/>
        <w:rPr>
          <w:rFonts w:eastAsia="Calibri"/>
        </w:rPr>
      </w:pPr>
      <w:r w:rsidRPr="00475072">
        <w:rPr>
          <w:rFonts w:eastAsia="Calibri"/>
        </w:rPr>
        <w:t>Due to the limitations in the quality of life data, no</w:t>
      </w:r>
      <w:r w:rsidR="00760EAE" w:rsidRPr="00475072">
        <w:rPr>
          <w:rFonts w:eastAsia="Calibri"/>
        </w:rPr>
        <w:t xml:space="preserve"> conclusions c</w:t>
      </w:r>
      <w:r w:rsidR="00060D75" w:rsidRPr="00475072">
        <w:rPr>
          <w:rFonts w:eastAsia="Calibri"/>
        </w:rPr>
        <w:t>ould</w:t>
      </w:r>
      <w:r w:rsidR="00760EAE" w:rsidRPr="00475072">
        <w:rPr>
          <w:rFonts w:eastAsia="Calibri"/>
        </w:rPr>
        <w:t xml:space="preserve"> be drawn about the impact of treatment on quality of life or symptom control.</w:t>
      </w:r>
    </w:p>
    <w:p w:rsidR="008C1387" w:rsidRPr="00475072" w:rsidRDefault="005F7588" w:rsidP="008C1387">
      <w:pPr>
        <w:pStyle w:val="3-BodyText"/>
        <w:rPr>
          <w:rFonts w:eastAsia="Calibri"/>
        </w:rPr>
      </w:pPr>
      <w:r w:rsidRPr="00475072">
        <w:rPr>
          <w:rFonts w:eastAsia="Calibri"/>
        </w:rPr>
        <w:t xml:space="preserve">The submission described </w:t>
      </w:r>
      <w:r w:rsidR="00E2409F" w:rsidRPr="00475072">
        <w:rPr>
          <w:rFonts w:eastAsia="Calibri"/>
        </w:rPr>
        <w:t>the combination of tucatinib plus trastuzumab and capecitabine</w:t>
      </w:r>
      <w:r w:rsidRPr="00475072">
        <w:rPr>
          <w:rFonts w:eastAsia="Calibri"/>
        </w:rPr>
        <w:t xml:space="preserve"> as </w:t>
      </w:r>
      <w:r w:rsidR="00E2409F" w:rsidRPr="00475072">
        <w:rPr>
          <w:rFonts w:eastAsia="Calibri"/>
        </w:rPr>
        <w:t>inferior</w:t>
      </w:r>
      <w:r w:rsidRPr="00475072">
        <w:rPr>
          <w:rFonts w:eastAsia="Calibri"/>
        </w:rPr>
        <w:t xml:space="preserve"> in term</w:t>
      </w:r>
      <w:r w:rsidR="00156F8F" w:rsidRPr="00475072">
        <w:rPr>
          <w:rFonts w:eastAsia="Calibri"/>
        </w:rPr>
        <w:t>s</w:t>
      </w:r>
      <w:r w:rsidRPr="00475072">
        <w:rPr>
          <w:rFonts w:eastAsia="Calibri"/>
        </w:rPr>
        <w:t xml:space="preserve"> of safety compared </w:t>
      </w:r>
      <w:r w:rsidR="00E2409F" w:rsidRPr="00475072">
        <w:rPr>
          <w:rFonts w:eastAsia="Calibri"/>
        </w:rPr>
        <w:t>with trastuzumab plus</w:t>
      </w:r>
      <w:r w:rsidR="0043662D" w:rsidRPr="00475072">
        <w:rPr>
          <w:rFonts w:eastAsia="Calibri"/>
        </w:rPr>
        <w:t xml:space="preserve"> </w:t>
      </w:r>
      <w:r w:rsidR="00E2409F" w:rsidRPr="00475072">
        <w:rPr>
          <w:rFonts w:eastAsia="Calibri"/>
        </w:rPr>
        <w:t>capecitabine</w:t>
      </w:r>
      <w:r w:rsidRPr="00475072">
        <w:rPr>
          <w:rFonts w:eastAsia="Calibri"/>
        </w:rPr>
        <w:t xml:space="preserve">. This claim was </w:t>
      </w:r>
      <w:r w:rsidR="00E2409F" w:rsidRPr="00475072">
        <w:rPr>
          <w:rFonts w:eastAsia="Calibri"/>
        </w:rPr>
        <w:t xml:space="preserve">appropriate, as this add-on therapy led to higher rates of </w:t>
      </w:r>
      <w:r w:rsidR="00146984" w:rsidRPr="00475072">
        <w:rPr>
          <w:rFonts w:eastAsia="Calibri"/>
        </w:rPr>
        <w:t xml:space="preserve">adverse events, particularly </w:t>
      </w:r>
      <w:r w:rsidR="00E2409F" w:rsidRPr="00475072">
        <w:rPr>
          <w:rFonts w:eastAsia="Calibri"/>
        </w:rPr>
        <w:t>diarrhoea and</w:t>
      </w:r>
      <w:r w:rsidR="0025796A" w:rsidRPr="00475072">
        <w:rPr>
          <w:rFonts w:eastAsia="Calibri"/>
        </w:rPr>
        <w:t xml:space="preserve"> </w:t>
      </w:r>
      <w:r w:rsidR="00E2409F" w:rsidRPr="00475072">
        <w:rPr>
          <w:rFonts w:eastAsia="Calibri"/>
        </w:rPr>
        <w:t>hepatotoxicity</w:t>
      </w:r>
      <w:r w:rsidR="007C70FF" w:rsidRPr="00475072">
        <w:rPr>
          <w:rFonts w:eastAsia="Calibri"/>
        </w:rPr>
        <w:t xml:space="preserve">. </w:t>
      </w:r>
      <w:r w:rsidR="0030377D" w:rsidRPr="00475072">
        <w:rPr>
          <w:rFonts w:eastAsia="Calibri"/>
        </w:rPr>
        <w:t>The adverse events were largely manageable with close monitoring and early intervention.</w:t>
      </w:r>
    </w:p>
    <w:p w:rsidR="008C1387" w:rsidRPr="00475072" w:rsidRDefault="008C1387" w:rsidP="008C1387">
      <w:pPr>
        <w:pStyle w:val="3-BodyText"/>
        <w:rPr>
          <w:rFonts w:eastAsia="Calibri"/>
        </w:rPr>
      </w:pPr>
      <w:r w:rsidRPr="00475072">
        <w:t>The PBAC considered that the claim of inferior comparative safety was reasonable.</w:t>
      </w:r>
    </w:p>
    <w:p w:rsidR="00B60939" w:rsidRPr="00C9624D" w:rsidRDefault="00B60939" w:rsidP="008D0213">
      <w:pPr>
        <w:pStyle w:val="4-SubsectionHeading"/>
      </w:pPr>
      <w:bookmarkStart w:id="18" w:name="_Toc22897645"/>
      <w:bookmarkStart w:id="19" w:name="_Toc62045116"/>
      <w:r w:rsidRPr="00475072">
        <w:t>Economic analysis</w:t>
      </w:r>
      <w:bookmarkEnd w:id="18"/>
      <w:bookmarkEnd w:id="19"/>
      <w:r w:rsidR="00491B3A" w:rsidRPr="00C9624D">
        <w:t xml:space="preserve"> </w:t>
      </w:r>
    </w:p>
    <w:p w:rsidR="00FC78E5" w:rsidRPr="00F10B2C" w:rsidRDefault="00FC78E5" w:rsidP="00FC78E5">
      <w:pPr>
        <w:numPr>
          <w:ilvl w:val="1"/>
          <w:numId w:val="1"/>
        </w:numPr>
        <w:spacing w:after="120"/>
        <w:rPr>
          <w:rFonts w:cstheme="minorHAnsi"/>
          <w:b/>
          <w:bCs/>
          <w:lang w:val="en-US"/>
        </w:rPr>
      </w:pPr>
      <w:r w:rsidRPr="00F10B2C">
        <w:rPr>
          <w:rFonts w:cstheme="minorHAnsi"/>
        </w:rPr>
        <w:t>The submission presented a cost-utility analysis comparing tucatinib + capecitabine + trastuzumab with placebo + capecitabine + trastuzumab</w:t>
      </w:r>
      <w:r w:rsidR="00F26884">
        <w:rPr>
          <w:rFonts w:cstheme="minorHAnsi"/>
        </w:rPr>
        <w:t xml:space="preserve"> </w:t>
      </w:r>
      <w:r w:rsidR="00F26884" w:rsidRPr="00F26884">
        <w:rPr>
          <w:rFonts w:cstheme="minorHAnsi"/>
        </w:rPr>
        <w:t>(abbreviated to tucatinib versus placebo)</w:t>
      </w:r>
      <w:r w:rsidRPr="00F10B2C">
        <w:rPr>
          <w:rFonts w:cstheme="minorHAnsi"/>
        </w:rPr>
        <w:t xml:space="preserve">, based on the HER2CLIMB trial. The key components of the economic evaluation are summarised in Table </w:t>
      </w:r>
      <w:r w:rsidR="00F924B4">
        <w:rPr>
          <w:rFonts w:cstheme="minorHAnsi"/>
        </w:rPr>
        <w:t>8</w:t>
      </w:r>
      <w:r w:rsidRPr="00F10B2C">
        <w:rPr>
          <w:rFonts w:cstheme="minorHAnsi"/>
        </w:rPr>
        <w:t xml:space="preserve">. </w:t>
      </w:r>
    </w:p>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 xml:space="preserve">Table </w:t>
      </w:r>
      <w:r w:rsidR="00F924B4">
        <w:rPr>
          <w:rFonts w:ascii="Arial Narrow" w:eastAsiaTheme="majorEastAsia" w:hAnsi="Arial Narrow" w:cstheme="majorBidi"/>
          <w:b/>
          <w:bCs/>
          <w:sz w:val="20"/>
        </w:rPr>
        <w:t>8</w:t>
      </w:r>
      <w:r w:rsidRPr="00FC78E5">
        <w:rPr>
          <w:rFonts w:ascii="Arial Narrow" w:eastAsiaTheme="majorEastAsia" w:hAnsi="Arial Narrow" w:cstheme="majorBidi"/>
          <w:b/>
          <w:bCs/>
          <w:sz w:val="20"/>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FC78E5" w:rsidRPr="00FC78E5" w:rsidTr="00FC78E5">
        <w:trPr>
          <w:tblHeader/>
        </w:trPr>
        <w:tc>
          <w:tcPr>
            <w:tcW w:w="1396" w:type="pct"/>
            <w:shd w:val="clear" w:color="auto" w:fill="auto"/>
            <w:vAlign w:val="center"/>
          </w:tcPr>
          <w:p w:rsidR="00FC78E5" w:rsidRPr="007561D2" w:rsidRDefault="00FC78E5" w:rsidP="00FC78E5">
            <w:pPr>
              <w:keepNext/>
              <w:rPr>
                <w:rFonts w:ascii="Arial Narrow" w:eastAsiaTheme="majorEastAsia" w:hAnsi="Arial Narrow"/>
                <w:b/>
                <w:sz w:val="20"/>
                <w:lang w:val="en-US"/>
              </w:rPr>
            </w:pPr>
            <w:r w:rsidRPr="007561D2">
              <w:rPr>
                <w:rFonts w:ascii="Arial Narrow" w:eastAsiaTheme="majorEastAsia" w:hAnsi="Arial Narrow"/>
                <w:b/>
                <w:sz w:val="20"/>
                <w:lang w:val="en-US"/>
              </w:rPr>
              <w:t>Component</w:t>
            </w:r>
          </w:p>
        </w:tc>
        <w:tc>
          <w:tcPr>
            <w:tcW w:w="3604" w:type="pct"/>
            <w:shd w:val="clear" w:color="auto" w:fill="auto"/>
            <w:vAlign w:val="center"/>
          </w:tcPr>
          <w:p w:rsidR="00FC78E5" w:rsidRPr="007561D2" w:rsidRDefault="00FC78E5" w:rsidP="00FC78E5">
            <w:pPr>
              <w:keepNext/>
              <w:rPr>
                <w:rFonts w:ascii="Arial Narrow" w:eastAsiaTheme="majorEastAsia" w:hAnsi="Arial Narrow"/>
                <w:b/>
                <w:sz w:val="20"/>
                <w:lang w:val="en-US"/>
              </w:rPr>
            </w:pPr>
            <w:r w:rsidRPr="007561D2">
              <w:rPr>
                <w:rFonts w:ascii="Arial Narrow" w:eastAsiaTheme="majorEastAsia" w:hAnsi="Arial Narrow"/>
                <w:b/>
                <w:sz w:val="20"/>
                <w:lang w:val="en-US"/>
              </w:rPr>
              <w:t>Summary</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Treatments</w:t>
            </w:r>
          </w:p>
        </w:tc>
        <w:tc>
          <w:tcPr>
            <w:tcW w:w="3604"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Tucatinib + capecitabine + trastuzumab versus placebo + capecitabine + trastuzumab</w:t>
            </w:r>
          </w:p>
          <w:p w:rsidR="00FC78E5" w:rsidRPr="007561D2" w:rsidRDefault="00FC78E5" w:rsidP="00526B43">
            <w:pPr>
              <w:keepNext/>
              <w:rPr>
                <w:rFonts w:ascii="Arial Narrow" w:eastAsiaTheme="majorEastAsia" w:hAnsi="Arial Narrow" w:cstheme="majorBidi"/>
                <w:bCs/>
                <w:sz w:val="20"/>
              </w:rPr>
            </w:pPr>
            <w:r w:rsidRPr="007561D2">
              <w:rPr>
                <w:rFonts w:ascii="Arial Narrow" w:eastAsiaTheme="majorEastAsia" w:hAnsi="Arial Narrow" w:cstheme="majorBidi"/>
                <w:bCs/>
                <w:sz w:val="20"/>
              </w:rPr>
              <w:t>(abbreviated</w:t>
            </w:r>
            <w:r w:rsidR="00F26884" w:rsidRPr="007561D2">
              <w:rPr>
                <w:rFonts w:ascii="Arial Narrow" w:eastAsiaTheme="majorEastAsia" w:hAnsi="Arial Narrow" w:cstheme="majorBidi"/>
                <w:bCs/>
                <w:sz w:val="20"/>
              </w:rPr>
              <w:t xml:space="preserve"> </w:t>
            </w:r>
            <w:r w:rsidR="00526B43">
              <w:rPr>
                <w:rFonts w:ascii="Arial Narrow" w:eastAsiaTheme="majorEastAsia" w:hAnsi="Arial Narrow" w:cstheme="majorBidi"/>
                <w:bCs/>
                <w:sz w:val="20"/>
              </w:rPr>
              <w:t>herein</w:t>
            </w:r>
            <w:r w:rsidRPr="007561D2">
              <w:rPr>
                <w:rFonts w:ascii="Arial Narrow" w:eastAsiaTheme="majorEastAsia" w:hAnsi="Arial Narrow" w:cstheme="majorBidi"/>
                <w:bCs/>
                <w:sz w:val="20"/>
              </w:rPr>
              <w:t xml:space="preserve"> to tucatinib versus placebo)</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Time horizon</w:t>
            </w:r>
          </w:p>
        </w:tc>
        <w:tc>
          <w:tcPr>
            <w:tcW w:w="3604" w:type="pct"/>
            <w:shd w:val="clear" w:color="auto" w:fill="auto"/>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10 years in the model base case versus 10.4 months and 14 months median follow-up for PFS and OS, respectively, in the HER2CLIMB trial.</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Outcomes</w:t>
            </w:r>
          </w:p>
        </w:tc>
        <w:tc>
          <w:tcPr>
            <w:tcW w:w="3604"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Life years gained, quality-adjusted life years</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Methods used to generate results</w:t>
            </w:r>
          </w:p>
        </w:tc>
        <w:tc>
          <w:tcPr>
            <w:tcW w:w="3604" w:type="pct"/>
            <w:shd w:val="clear" w:color="auto" w:fill="auto"/>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Partitioned survival analysis</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Health states</w:t>
            </w:r>
          </w:p>
        </w:tc>
        <w:tc>
          <w:tcPr>
            <w:tcW w:w="3604" w:type="pct"/>
            <w:shd w:val="clear" w:color="auto" w:fill="auto"/>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sz w:val="20"/>
              </w:rPr>
              <w:t>Progression-free, p</w:t>
            </w:r>
            <w:r w:rsidRPr="007561D2">
              <w:rPr>
                <w:rFonts w:ascii="Arial Narrow" w:eastAsiaTheme="majorEastAsia" w:hAnsi="Arial Narrow" w:cstheme="majorBidi"/>
                <w:snapToGrid w:val="0"/>
                <w:sz w:val="20"/>
              </w:rPr>
              <w:t xml:space="preserve">rogressed disease, dead </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Cycle length</w:t>
            </w:r>
          </w:p>
        </w:tc>
        <w:tc>
          <w:tcPr>
            <w:tcW w:w="3604" w:type="pct"/>
            <w:shd w:val="clear" w:color="auto" w:fill="auto"/>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1 week</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Allocation to health states </w:t>
            </w:r>
          </w:p>
        </w:tc>
        <w:tc>
          <w:tcPr>
            <w:tcW w:w="3604" w:type="pct"/>
            <w:shd w:val="clear" w:color="auto" w:fill="auto"/>
            <w:vAlign w:val="center"/>
          </w:tcPr>
          <w:p w:rsidR="00FC78E5" w:rsidRPr="007561D2" w:rsidRDefault="00FC78E5" w:rsidP="00FC78E5">
            <w:pPr>
              <w:keepNext/>
              <w:rPr>
                <w:rFonts w:ascii="Arial Narrow" w:eastAsiaTheme="majorEastAsia" w:hAnsi="Arial Narrow" w:cstheme="majorBidi"/>
                <w:bCs/>
                <w:snapToGrid w:val="0"/>
                <w:sz w:val="20"/>
              </w:rPr>
            </w:pPr>
            <w:r w:rsidRPr="007561D2">
              <w:rPr>
                <w:rFonts w:ascii="Arial Narrow" w:eastAsiaTheme="majorEastAsia" w:hAnsi="Arial Narrow" w:cstheme="majorBidi"/>
                <w:bCs/>
                <w:sz w:val="20"/>
              </w:rPr>
              <w:t>Health state allocation determined by PFS and OS curves from</w:t>
            </w:r>
            <w:r w:rsidRPr="007561D2">
              <w:rPr>
                <w:rFonts w:ascii="Arial Narrow" w:eastAsiaTheme="majorEastAsia" w:hAnsi="Arial Narrow" w:cstheme="majorBidi"/>
                <w:bCs/>
                <w:snapToGrid w:val="0"/>
                <w:sz w:val="20"/>
              </w:rPr>
              <w:t xml:space="preserve"> HER2CLIMB followed by parametric extrapolations.</w:t>
            </w:r>
          </w:p>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napToGrid w:val="0"/>
                <w:sz w:val="20"/>
              </w:rPr>
              <w:t>Kaplan-Meier curves were used until only very few patients remained at risk</w:t>
            </w:r>
            <w:r w:rsidR="00F26884" w:rsidRPr="007561D2">
              <w:rPr>
                <w:rFonts w:ascii="Arial Narrow" w:eastAsiaTheme="majorEastAsia" w:hAnsi="Arial Narrow" w:cstheme="majorBidi"/>
                <w:bCs/>
                <w:snapToGrid w:val="0"/>
                <w:sz w:val="20"/>
              </w:rPr>
              <w:t>.</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Extrapolation method</w:t>
            </w:r>
          </w:p>
        </w:tc>
        <w:tc>
          <w:tcPr>
            <w:tcW w:w="3604"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PFS: Log-logistic based on lowest AIC/BIC score</w:t>
            </w:r>
          </w:p>
          <w:p w:rsidR="00FC78E5" w:rsidRPr="004128DC" w:rsidRDefault="00FC78E5" w:rsidP="00FC78E5">
            <w:pPr>
              <w:keepNext/>
              <w:rPr>
                <w:rFonts w:ascii="Arial Narrow" w:eastAsiaTheme="majorEastAsia" w:hAnsi="Arial Narrow" w:cstheme="majorBidi"/>
                <w:bCs/>
                <w:i/>
                <w:sz w:val="20"/>
              </w:rPr>
            </w:pPr>
            <w:r w:rsidRPr="007561D2">
              <w:rPr>
                <w:rFonts w:ascii="Arial Narrow" w:eastAsiaTheme="majorEastAsia" w:hAnsi="Arial Narrow" w:cstheme="majorBidi"/>
                <w:bCs/>
                <w:sz w:val="20"/>
              </w:rPr>
              <w:t>OS: Weibull based on lowest AIC/BIC score</w:t>
            </w:r>
          </w:p>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Time to treatment discontinuation: Gompertz for the tucatinib arm based on visual inspection, however log-logistic was associated with a lower AIC/BIC score. No extrapolation was applied in the placebo arm</w:t>
            </w:r>
            <w:r w:rsidR="007C39E0" w:rsidRPr="007561D2">
              <w:rPr>
                <w:rFonts w:ascii="Arial Narrow" w:eastAsiaTheme="majorEastAsia" w:hAnsi="Arial Narrow" w:cstheme="majorBidi"/>
                <w:bCs/>
                <w:sz w:val="20"/>
              </w:rPr>
              <w:t xml:space="preserve"> (for the capecitabine + trastuzumab use)</w:t>
            </w:r>
            <w:r w:rsidRPr="007561D2">
              <w:rPr>
                <w:rFonts w:ascii="Arial Narrow" w:eastAsiaTheme="majorEastAsia" w:hAnsi="Arial Narrow" w:cstheme="majorBidi"/>
                <w:bCs/>
                <w:sz w:val="20"/>
              </w:rPr>
              <w:t>.</w:t>
            </w:r>
          </w:p>
          <w:p w:rsidR="00FC78E5" w:rsidRPr="007561D2" w:rsidRDefault="004E6EC9" w:rsidP="00C95750">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Proportion hazards was assumed for P</w:t>
            </w:r>
            <w:r w:rsidR="003725F4" w:rsidRPr="007561D2">
              <w:rPr>
                <w:rFonts w:ascii="Arial Narrow" w:eastAsiaTheme="majorEastAsia" w:hAnsi="Arial Narrow" w:cstheme="majorBidi"/>
                <w:bCs/>
                <w:sz w:val="20"/>
              </w:rPr>
              <w:t>FS and OS.</w:t>
            </w:r>
          </w:p>
        </w:tc>
      </w:tr>
      <w:tr w:rsidR="00FC78E5" w:rsidRPr="00FC78E5" w:rsidTr="00FC78E5">
        <w:tc>
          <w:tcPr>
            <w:tcW w:w="1396"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Health related quality of life</w:t>
            </w:r>
          </w:p>
        </w:tc>
        <w:tc>
          <w:tcPr>
            <w:tcW w:w="3604" w:type="pct"/>
            <w:shd w:val="clear" w:color="auto" w:fill="auto"/>
            <w:vAlign w:val="center"/>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Derived from HER2CLIMB EQ-5D-5L data. Different utilities were applied in each treatment arm and in different cycles </w:t>
            </w:r>
            <w:r w:rsidR="00F26884" w:rsidRPr="007561D2">
              <w:rPr>
                <w:rFonts w:ascii="Arial Narrow" w:eastAsiaTheme="majorEastAsia" w:hAnsi="Arial Narrow" w:cstheme="majorBidi"/>
                <w:bCs/>
                <w:sz w:val="20"/>
              </w:rPr>
              <w:t>as outlined</w:t>
            </w:r>
            <w:r w:rsidRPr="007561D2">
              <w:rPr>
                <w:rFonts w:ascii="Arial Narrow" w:eastAsiaTheme="majorEastAsia" w:hAnsi="Arial Narrow" w:cstheme="majorBidi"/>
                <w:bCs/>
                <w:sz w:val="20"/>
              </w:rPr>
              <w:t xml:space="preserve"> below:</w:t>
            </w:r>
          </w:p>
          <w:tbl>
            <w:tblPr>
              <w:tblStyle w:val="TableGrid"/>
              <w:tblW w:w="0" w:type="auto"/>
              <w:tblLayout w:type="fixed"/>
              <w:tblLook w:val="04A0" w:firstRow="1" w:lastRow="0" w:firstColumn="1" w:lastColumn="0" w:noHBand="0" w:noVBand="1"/>
              <w:tblCaption w:val="Derived from HER2CLIMB EQ-5D-5L data. Different utilities were applied in each treatment arm and in different cycles as outlined below:"/>
            </w:tblPr>
            <w:tblGrid>
              <w:gridCol w:w="2407"/>
              <w:gridCol w:w="1417"/>
              <w:gridCol w:w="2609"/>
            </w:tblGrid>
            <w:tr w:rsidR="00FC78E5" w:rsidRPr="007561D2" w:rsidTr="00F7513C">
              <w:trPr>
                <w:tblHeader/>
              </w:trPr>
              <w:tc>
                <w:tcPr>
                  <w:tcW w:w="2407" w:type="dxa"/>
                </w:tcPr>
                <w:p w:rsidR="00FC78E5" w:rsidRPr="007561D2" w:rsidRDefault="00FC78E5" w:rsidP="00FC78E5">
                  <w:pPr>
                    <w:keepNext/>
                    <w:rPr>
                      <w:rFonts w:ascii="Arial Narrow" w:eastAsiaTheme="majorEastAsia" w:hAnsi="Arial Narrow" w:cstheme="majorBidi"/>
                      <w:bCs/>
                      <w:sz w:val="20"/>
                    </w:rPr>
                  </w:pPr>
                </w:p>
              </w:tc>
              <w:tc>
                <w:tcPr>
                  <w:tcW w:w="1417" w:type="dxa"/>
                </w:tcPr>
                <w:p w:rsidR="00FC78E5" w:rsidRPr="007561D2" w:rsidRDefault="00FC78E5" w:rsidP="00FC78E5">
                  <w:pPr>
                    <w:keepNext/>
                    <w:jc w:val="center"/>
                    <w:rPr>
                      <w:rFonts w:ascii="Arial Narrow" w:eastAsiaTheme="majorEastAsia" w:hAnsi="Arial Narrow" w:cstheme="majorBidi"/>
                      <w:b/>
                      <w:bCs/>
                      <w:sz w:val="20"/>
                    </w:rPr>
                  </w:pPr>
                  <w:r w:rsidRPr="007561D2">
                    <w:rPr>
                      <w:rFonts w:ascii="Arial Narrow" w:eastAsiaTheme="majorEastAsia" w:hAnsi="Arial Narrow" w:cstheme="majorBidi"/>
                      <w:b/>
                      <w:bCs/>
                      <w:sz w:val="20"/>
                    </w:rPr>
                    <w:t>Tucatinib</w:t>
                  </w:r>
                </w:p>
              </w:tc>
              <w:tc>
                <w:tcPr>
                  <w:tcW w:w="2609" w:type="dxa"/>
                </w:tcPr>
                <w:p w:rsidR="00FC78E5" w:rsidRPr="007561D2" w:rsidRDefault="00FC78E5" w:rsidP="00FC78E5">
                  <w:pPr>
                    <w:keepNext/>
                    <w:jc w:val="center"/>
                    <w:rPr>
                      <w:rFonts w:ascii="Arial Narrow" w:eastAsiaTheme="majorEastAsia" w:hAnsi="Arial Narrow" w:cstheme="majorBidi"/>
                      <w:b/>
                      <w:bCs/>
                      <w:sz w:val="20"/>
                    </w:rPr>
                  </w:pPr>
                  <w:r w:rsidRPr="007561D2">
                    <w:rPr>
                      <w:rFonts w:ascii="Arial Narrow" w:eastAsiaTheme="majorEastAsia" w:hAnsi="Arial Narrow" w:cstheme="majorBidi"/>
                      <w:b/>
                      <w:bCs/>
                      <w:sz w:val="20"/>
                    </w:rPr>
                    <w:t>Placebo</w:t>
                  </w:r>
                </w:p>
              </w:tc>
            </w:tr>
            <w:tr w:rsidR="00FC78E5" w:rsidRPr="007561D2" w:rsidTr="00FC78E5">
              <w:tc>
                <w:tcPr>
                  <w:tcW w:w="6433" w:type="dxa"/>
                  <w:gridSpan w:val="3"/>
                </w:tcPr>
                <w:p w:rsidR="00FC78E5" w:rsidRPr="007561D2" w:rsidRDefault="00FC78E5" w:rsidP="00FC78E5">
                  <w:pPr>
                    <w:keepNext/>
                    <w:rPr>
                      <w:rFonts w:ascii="Arial Narrow" w:eastAsiaTheme="majorEastAsia" w:hAnsi="Arial Narrow" w:cstheme="majorBidi"/>
                      <w:b/>
                      <w:bCs/>
                      <w:sz w:val="20"/>
                    </w:rPr>
                  </w:pPr>
                  <w:r w:rsidRPr="007561D2">
                    <w:rPr>
                      <w:rFonts w:ascii="Arial Narrow" w:eastAsiaTheme="majorEastAsia" w:hAnsi="Arial Narrow" w:cstheme="majorBidi"/>
                      <w:b/>
                      <w:bCs/>
                      <w:sz w:val="20"/>
                    </w:rPr>
                    <w:t>Base case (based on HER2CLIMB EQ-5D-5L data)</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Progression-free, cycles 1-2</w:t>
                  </w:r>
                </w:p>
              </w:tc>
              <w:tc>
                <w:tcPr>
                  <w:tcW w:w="1417"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0.823</w:t>
                  </w:r>
                </w:p>
              </w:tc>
              <w:tc>
                <w:tcPr>
                  <w:tcW w:w="2609"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0.845</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Progression-free, cycles 3-4</w:t>
                  </w:r>
                </w:p>
              </w:tc>
              <w:tc>
                <w:tcPr>
                  <w:tcW w:w="1417"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0.835</w:t>
                  </w:r>
                </w:p>
              </w:tc>
              <w:tc>
                <w:tcPr>
                  <w:tcW w:w="2609"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0.835</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Progression-free, cycles 5-6</w:t>
                  </w:r>
                </w:p>
              </w:tc>
              <w:tc>
                <w:tcPr>
                  <w:tcW w:w="1417"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0.859</w:t>
                  </w:r>
                </w:p>
              </w:tc>
              <w:tc>
                <w:tcPr>
                  <w:tcW w:w="2609"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0.808</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Progression-free, cycles 7+</w:t>
                  </w:r>
                </w:p>
              </w:tc>
              <w:tc>
                <w:tcPr>
                  <w:tcW w:w="1417"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0.872</w:t>
                  </w:r>
                </w:p>
              </w:tc>
              <w:tc>
                <w:tcPr>
                  <w:tcW w:w="2609"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0.810</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Progressed </w:t>
                  </w:r>
                </w:p>
              </w:tc>
              <w:tc>
                <w:tcPr>
                  <w:tcW w:w="1417"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0.738</w:t>
                  </w:r>
                </w:p>
              </w:tc>
              <w:tc>
                <w:tcPr>
                  <w:tcW w:w="2609" w:type="dxa"/>
                </w:tcPr>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Submission stated: 0.778</w:t>
                  </w:r>
                </w:p>
                <w:p w:rsidR="00FC78E5" w:rsidRPr="007561D2" w:rsidRDefault="00FC78E5" w:rsidP="00FC78E5">
                  <w:pPr>
                    <w:keepNext/>
                    <w:jc w:val="center"/>
                    <w:rPr>
                      <w:rFonts w:ascii="Arial Narrow" w:eastAsiaTheme="majorEastAsia" w:hAnsi="Arial Narrow" w:cstheme="majorBidi"/>
                      <w:bCs/>
                      <w:sz w:val="20"/>
                    </w:rPr>
                  </w:pPr>
                  <w:r w:rsidRPr="007561D2">
                    <w:rPr>
                      <w:rFonts w:ascii="Arial Narrow" w:eastAsiaTheme="majorEastAsia" w:hAnsi="Arial Narrow" w:cstheme="majorBidi"/>
                      <w:bCs/>
                      <w:sz w:val="20"/>
                    </w:rPr>
                    <w:t>Actually applied: 0.738</w:t>
                  </w:r>
                </w:p>
              </w:tc>
            </w:tr>
            <w:tr w:rsidR="00FC78E5" w:rsidRPr="007561D2" w:rsidTr="00FC78E5">
              <w:tc>
                <w:tcPr>
                  <w:tcW w:w="6433" w:type="dxa"/>
                  <w:gridSpan w:val="3"/>
                </w:tcPr>
                <w:p w:rsidR="00FC78E5" w:rsidRPr="007561D2" w:rsidRDefault="00FC78E5" w:rsidP="00FC78E5">
                  <w:pPr>
                    <w:keepNext/>
                    <w:rPr>
                      <w:rFonts w:ascii="Arial Narrow" w:eastAsiaTheme="majorEastAsia" w:hAnsi="Arial Narrow" w:cstheme="majorBidi"/>
                      <w:b/>
                      <w:bCs/>
                      <w:sz w:val="20"/>
                      <w:u w:val="single"/>
                    </w:rPr>
                  </w:pPr>
                  <w:r w:rsidRPr="007561D2">
                    <w:rPr>
                      <w:rFonts w:ascii="Arial Narrow" w:eastAsiaTheme="majorEastAsia" w:hAnsi="Arial Narrow" w:cstheme="majorBidi"/>
                      <w:b/>
                      <w:bCs/>
                      <w:sz w:val="20"/>
                    </w:rPr>
                    <w:t>Sensitivity analysis: Lloyd et al, 2006</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u w:val="single"/>
                    </w:rPr>
                  </w:pPr>
                  <w:r w:rsidRPr="007561D2">
                    <w:rPr>
                      <w:rFonts w:ascii="Arial Narrow" w:eastAsiaTheme="majorEastAsia" w:hAnsi="Arial Narrow" w:cstheme="majorBidi"/>
                      <w:bCs/>
                      <w:sz w:val="20"/>
                    </w:rPr>
                    <w:t>Progression-free</w:t>
                  </w:r>
                </w:p>
              </w:tc>
              <w:tc>
                <w:tcPr>
                  <w:tcW w:w="4026" w:type="dxa"/>
                  <w:gridSpan w:val="2"/>
                </w:tcPr>
                <w:p w:rsidR="00FC78E5" w:rsidRPr="007561D2" w:rsidRDefault="00FC78E5" w:rsidP="00FC78E5">
                  <w:pPr>
                    <w:keepNext/>
                    <w:jc w:val="center"/>
                    <w:rPr>
                      <w:rFonts w:ascii="Arial Narrow" w:eastAsiaTheme="majorEastAsia" w:hAnsi="Arial Narrow" w:cstheme="majorBidi"/>
                      <w:bCs/>
                      <w:sz w:val="20"/>
                      <w:u w:val="single"/>
                    </w:rPr>
                  </w:pPr>
                  <w:r w:rsidRPr="007561D2">
                    <w:rPr>
                      <w:rFonts w:ascii="Arial Narrow" w:eastAsiaTheme="majorEastAsia" w:hAnsi="Arial Narrow" w:cstheme="majorBidi"/>
                      <w:bCs/>
                      <w:sz w:val="20"/>
                    </w:rPr>
                    <w:t>0.786</w:t>
                  </w:r>
                </w:p>
              </w:tc>
            </w:tr>
            <w:tr w:rsidR="00FC78E5" w:rsidRPr="007561D2" w:rsidTr="00F26884">
              <w:tc>
                <w:tcPr>
                  <w:tcW w:w="2407" w:type="dxa"/>
                </w:tcPr>
                <w:p w:rsidR="00FC78E5" w:rsidRPr="007561D2" w:rsidRDefault="00FC78E5" w:rsidP="00FC78E5">
                  <w:pPr>
                    <w:keepNext/>
                    <w:rPr>
                      <w:rFonts w:ascii="Arial Narrow" w:eastAsiaTheme="majorEastAsia" w:hAnsi="Arial Narrow" w:cstheme="majorBidi"/>
                      <w:bCs/>
                      <w:sz w:val="20"/>
                      <w:u w:val="single"/>
                    </w:rPr>
                  </w:pPr>
                  <w:r w:rsidRPr="007561D2">
                    <w:rPr>
                      <w:rFonts w:ascii="Arial Narrow" w:eastAsiaTheme="majorEastAsia" w:hAnsi="Arial Narrow" w:cstheme="majorBidi"/>
                      <w:bCs/>
                      <w:sz w:val="20"/>
                    </w:rPr>
                    <w:t>Progressed</w:t>
                  </w:r>
                </w:p>
              </w:tc>
              <w:tc>
                <w:tcPr>
                  <w:tcW w:w="4026" w:type="dxa"/>
                  <w:gridSpan w:val="2"/>
                </w:tcPr>
                <w:p w:rsidR="00FC78E5" w:rsidRPr="007561D2" w:rsidRDefault="00FC78E5" w:rsidP="00FC78E5">
                  <w:pPr>
                    <w:keepNext/>
                    <w:jc w:val="center"/>
                    <w:rPr>
                      <w:rFonts w:ascii="Arial Narrow" w:eastAsiaTheme="majorEastAsia" w:hAnsi="Arial Narrow" w:cstheme="majorBidi"/>
                      <w:bCs/>
                      <w:sz w:val="20"/>
                      <w:u w:val="single"/>
                    </w:rPr>
                  </w:pPr>
                  <w:r w:rsidRPr="007561D2">
                    <w:rPr>
                      <w:rFonts w:ascii="Arial Narrow" w:eastAsiaTheme="majorEastAsia" w:hAnsi="Arial Narrow" w:cstheme="majorBidi"/>
                      <w:bCs/>
                      <w:sz w:val="20"/>
                    </w:rPr>
                    <w:t>0.538</w:t>
                  </w:r>
                </w:p>
              </w:tc>
            </w:tr>
          </w:tbl>
          <w:p w:rsidR="00FC78E5" w:rsidRPr="007561D2" w:rsidRDefault="00FC78E5" w:rsidP="00FC78E5">
            <w:pPr>
              <w:keepNext/>
              <w:rPr>
                <w:rFonts w:ascii="Arial Narrow" w:eastAsiaTheme="majorEastAsia" w:hAnsi="Arial Narrow" w:cstheme="majorBidi"/>
                <w:bCs/>
                <w:sz w:val="20"/>
              </w:rPr>
            </w:pPr>
          </w:p>
          <w:p w:rsidR="00FC78E5" w:rsidRPr="007561D2" w:rsidRDefault="00FC78E5" w:rsidP="00050B83">
            <w:pPr>
              <w:keepNext/>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The utility values applied in the base case </w:t>
            </w:r>
            <w:r w:rsidR="00050B83" w:rsidRPr="007561D2">
              <w:rPr>
                <w:rFonts w:ascii="Arial Narrow" w:eastAsiaTheme="majorEastAsia" w:hAnsi="Arial Narrow" w:cstheme="majorBidi"/>
                <w:bCs/>
                <w:sz w:val="20"/>
              </w:rPr>
              <w:t>were unreliable and appeared overly high</w:t>
            </w:r>
            <w:r w:rsidRPr="007561D2">
              <w:rPr>
                <w:rFonts w:ascii="Arial Narrow" w:eastAsiaTheme="majorEastAsia" w:hAnsi="Arial Narrow" w:cstheme="majorBidi"/>
                <w:bCs/>
                <w:sz w:val="20"/>
              </w:rPr>
              <w:t>.</w:t>
            </w:r>
          </w:p>
        </w:tc>
      </w:tr>
    </w:tbl>
    <w:p w:rsidR="00FC78E5" w:rsidRDefault="00FC78E5" w:rsidP="00774524">
      <w:pPr>
        <w:rPr>
          <w:rFonts w:ascii="Arial Narrow" w:hAnsi="Arial Narrow"/>
          <w:snapToGrid w:val="0"/>
          <w:sz w:val="18"/>
          <w:szCs w:val="22"/>
        </w:rPr>
      </w:pPr>
      <w:r w:rsidRPr="00FC78E5">
        <w:rPr>
          <w:rFonts w:ascii="Arial Narrow" w:hAnsi="Arial Narrow"/>
          <w:snapToGrid w:val="0"/>
          <w:sz w:val="18"/>
          <w:szCs w:val="22"/>
        </w:rPr>
        <w:t>Source: Compiled during evaluation.</w:t>
      </w:r>
    </w:p>
    <w:p w:rsidR="00774524" w:rsidRPr="00FC78E5" w:rsidRDefault="00774524" w:rsidP="00125D25">
      <w:pPr>
        <w:spacing w:after="240"/>
        <w:rPr>
          <w:rFonts w:ascii="Arial Narrow" w:hAnsi="Arial Narrow"/>
          <w:snapToGrid w:val="0"/>
          <w:sz w:val="18"/>
          <w:szCs w:val="22"/>
        </w:rPr>
      </w:pPr>
      <w:r>
        <w:rPr>
          <w:rFonts w:ascii="Arial Narrow" w:hAnsi="Arial Narrow"/>
          <w:snapToGrid w:val="0"/>
          <w:sz w:val="18"/>
          <w:szCs w:val="22"/>
        </w:rPr>
        <w:t xml:space="preserve">AIC = Akaike information criteria; BIC = Bayesian information criteria; OS = overall survival; PFS = progression free survival; </w:t>
      </w:r>
    </w:p>
    <w:p w:rsidR="00FC78E5" w:rsidRPr="007561D2" w:rsidRDefault="00FC78E5" w:rsidP="00FC78E5">
      <w:pPr>
        <w:numPr>
          <w:ilvl w:val="1"/>
          <w:numId w:val="1"/>
        </w:numPr>
        <w:spacing w:after="120"/>
        <w:rPr>
          <w:rFonts w:cstheme="minorHAnsi"/>
        </w:rPr>
      </w:pPr>
      <w:r w:rsidRPr="007561D2">
        <w:rPr>
          <w:rFonts w:cstheme="minorHAnsi"/>
        </w:rPr>
        <w:t>The submission used a partitioned survival approach with three health states (progression-free, progressed disease and death). Survival curves from HER2CLIMB were extrapolated using parametric survival models fitted to the individual patient data from the September 2019 data-cut (using the ITT-PFS population for PFS and the ITT-OS population for OS).</w:t>
      </w:r>
    </w:p>
    <w:p w:rsidR="004128DC" w:rsidRPr="004128DC" w:rsidRDefault="006766CF" w:rsidP="0053454C">
      <w:pPr>
        <w:pStyle w:val="3-BodyText"/>
      </w:pPr>
      <w:r w:rsidRPr="007561D2">
        <w:t xml:space="preserve">For PFS and OS, the submission assumed that </w:t>
      </w:r>
      <w:r w:rsidRPr="007561D2">
        <w:rPr>
          <w:snapToGrid/>
        </w:rPr>
        <w:t xml:space="preserve">the proportional hazard assumption was met, and applied joint statistical models containing a single covariate representing the treatment arm. </w:t>
      </w:r>
    </w:p>
    <w:p w:rsidR="00A57FD1" w:rsidRPr="00A57FD1" w:rsidRDefault="00FC78E5" w:rsidP="00A57FD1">
      <w:pPr>
        <w:pStyle w:val="3-BodyText"/>
      </w:pPr>
      <w:r w:rsidRPr="004128DC">
        <w:rPr>
          <w:rFonts w:cstheme="minorHAnsi"/>
        </w:rPr>
        <w:t>The model used Kaplan-Meier data until a time-point at which very few patients remained at</w:t>
      </w:r>
      <w:r w:rsidRPr="007561D2">
        <w:t xml:space="preserve"> risk. For PFS, Kaplan-Meier data were used until fewer than two patients remained at risk; for OS, as shown in the figure below, Kaplan-Meier data were used until fewer than ten patients remained at risk in the tucatinib arm. The submission did not provide any justification as to why these time-points were chosen. The ‘Guidelines for Preparing a Submission to the PBAC’ (version 5.0, September 2016) state: “where extrapolation is undertaken, use observed time-to-event data in preference to modelled data up to the time point at which the observed data become unreliable as a result of small numbers of pat</w:t>
      </w:r>
      <w:r w:rsidR="000112D1">
        <w:t>ients remaining event-free”</w:t>
      </w:r>
      <w:r w:rsidRPr="007561D2">
        <w:t xml:space="preserve">. </w:t>
      </w:r>
      <w:r w:rsidRPr="004128DC">
        <w:rPr>
          <w:rFonts w:cstheme="minorHAnsi"/>
        </w:rPr>
        <w:t>Given the very low number of patients still at risk at these time-points, the Kaplan-Meier estimates are unlikely to be reliable</w:t>
      </w:r>
      <w:r w:rsidR="0053454C">
        <w:rPr>
          <w:rFonts w:cstheme="minorHAnsi"/>
        </w:rPr>
        <w:t xml:space="preserve"> </w:t>
      </w:r>
      <w:r w:rsidR="0053454C" w:rsidRPr="004128DC">
        <w:rPr>
          <w:rFonts w:cstheme="minorHAnsi"/>
        </w:rPr>
        <w:t>at these time-points</w:t>
      </w:r>
      <w:r w:rsidRPr="004128DC">
        <w:rPr>
          <w:rFonts w:cstheme="minorHAnsi"/>
        </w:rPr>
        <w:t xml:space="preserve">. </w:t>
      </w:r>
    </w:p>
    <w:p w:rsidR="00A57FD1" w:rsidRPr="00AB7F42" w:rsidRDefault="00A57FD1" w:rsidP="00A57FD1">
      <w:pPr>
        <w:pStyle w:val="3-BodyText"/>
        <w:rPr>
          <w:rFonts w:cstheme="minorHAnsi"/>
        </w:rPr>
      </w:pPr>
      <w:r w:rsidRPr="00AB7F42">
        <w:rPr>
          <w:rFonts w:cstheme="minorHAnsi"/>
        </w:rPr>
        <w:t>The PSCR included a sensitivity analysis in which only the extrapolated curves were used (i.e. no Kaplan-Meier data were applied in the model). However, this does not align with the PBAC guidelines which, as noted in the paragraph above, state that observed time-to-event data should be used in preference to modelled data up to the time point at which the observed data become unreliable.</w:t>
      </w:r>
    </w:p>
    <w:p w:rsidR="00F7513C" w:rsidRDefault="00F7513C">
      <w:pPr>
        <w:jc w:val="left"/>
        <w:rPr>
          <w:rFonts w:ascii="Arial Narrow" w:eastAsiaTheme="majorEastAsia" w:hAnsi="Arial Narrow" w:cs="Arial"/>
          <w:b/>
          <w:snapToGrid w:val="0"/>
          <w:sz w:val="20"/>
          <w:lang w:val="en-US" w:eastAsia="en-AU"/>
        </w:rPr>
      </w:pPr>
      <w:r>
        <w:rPr>
          <w:rFonts w:ascii="Arial Narrow" w:eastAsiaTheme="majorEastAsia" w:hAnsi="Arial Narrow"/>
          <w:b/>
          <w:sz w:val="20"/>
          <w:lang w:val="en-US"/>
        </w:rPr>
        <w:br w:type="page"/>
      </w:r>
    </w:p>
    <w:p w:rsidR="00FC78E5" w:rsidRPr="007561D2" w:rsidRDefault="00FC78E5" w:rsidP="00AB7F42">
      <w:pPr>
        <w:pStyle w:val="3-BodyText"/>
        <w:numPr>
          <w:ilvl w:val="0"/>
          <w:numId w:val="0"/>
        </w:numPr>
        <w:spacing w:after="0"/>
        <w:rPr>
          <w:rFonts w:ascii="Arial Narrow" w:eastAsiaTheme="majorEastAsia" w:hAnsi="Arial Narrow"/>
          <w:b/>
          <w:sz w:val="20"/>
          <w:lang w:val="en-US"/>
        </w:rPr>
      </w:pPr>
      <w:r w:rsidRPr="007561D2">
        <w:rPr>
          <w:rFonts w:ascii="Arial Narrow" w:eastAsiaTheme="majorEastAsia" w:hAnsi="Arial Narrow"/>
          <w:b/>
          <w:sz w:val="20"/>
          <w:lang w:val="en-US"/>
        </w:rPr>
        <w:t xml:space="preserve">Figure </w:t>
      </w:r>
      <w:r w:rsidR="0050046E" w:rsidRPr="007561D2">
        <w:rPr>
          <w:rFonts w:ascii="Arial Narrow" w:eastAsiaTheme="majorEastAsia" w:hAnsi="Arial Narrow"/>
          <w:b/>
          <w:sz w:val="20"/>
          <w:lang w:val="en-US"/>
        </w:rPr>
        <w:t>4</w:t>
      </w:r>
      <w:r w:rsidRPr="007561D2">
        <w:rPr>
          <w:rFonts w:ascii="Arial Narrow" w:eastAsiaTheme="majorEastAsia" w:hAnsi="Arial Narrow"/>
          <w:b/>
          <w:sz w:val="20"/>
          <w:lang w:val="en-US"/>
        </w:rPr>
        <w:t>: OS by treatment arm (ITT-OS population); red and green lines indicate the point up until which Kaplan-Meier data were used in the tucatinib and placebo arms, respectively</w:t>
      </w:r>
      <w:r w:rsidR="00777FCC" w:rsidRPr="007561D2">
        <w:rPr>
          <w:rFonts w:ascii="Arial Narrow" w:eastAsiaTheme="majorEastAsia" w:hAnsi="Arial Narrow"/>
          <w:b/>
          <w:sz w:val="20"/>
          <w:lang w:val="en-US"/>
        </w:rPr>
        <w:t xml:space="preserve"> (base case of model); dotted lines indicate the point up until which Kaplan-Meier data were used in sensitivity analyses conducted during evaluation</w:t>
      </w:r>
      <w:r w:rsidR="00D35D19">
        <w:rPr>
          <w:rFonts w:ascii="Arial Narrow" w:eastAsiaTheme="majorEastAsia" w:hAnsi="Arial Narrow"/>
          <w:b/>
          <w:sz w:val="20"/>
          <w:lang w:val="en-US"/>
        </w:rPr>
        <w:t xml:space="preserve"> (i.e. </w:t>
      </w:r>
      <w:r w:rsidR="00310F19">
        <w:rPr>
          <w:rFonts w:ascii="Arial Narrow" w:eastAsiaTheme="majorEastAsia" w:hAnsi="Arial Narrow"/>
          <w:b/>
          <w:sz w:val="20"/>
          <w:lang w:val="en-US"/>
        </w:rPr>
        <w:t xml:space="preserve">when </w:t>
      </w:r>
      <w:r w:rsidR="00D35D19">
        <w:rPr>
          <w:rFonts w:ascii="Arial Narrow" w:eastAsiaTheme="majorEastAsia" w:hAnsi="Arial Narrow"/>
          <w:b/>
          <w:sz w:val="20"/>
          <w:lang w:val="en-US"/>
        </w:rPr>
        <w:t>20% of patients remain at risk)</w:t>
      </w:r>
    </w:p>
    <w:p w:rsidR="00FC78E5" w:rsidRPr="00FC78E5" w:rsidRDefault="00FC78E5" w:rsidP="00FC78E5">
      <w:r w:rsidRPr="00FC78E5">
        <w:t xml:space="preserve"> </w:t>
      </w:r>
      <w:r w:rsidR="00777FCC">
        <w:rPr>
          <w:noProof/>
          <w:lang w:eastAsia="en-AU"/>
        </w:rPr>
        <w:drawing>
          <wp:inline distT="0" distB="0" distL="0" distR="0" wp14:anchorId="6CBC1B23" wp14:editId="509E6482">
            <wp:extent cx="4987636" cy="4221285"/>
            <wp:effectExtent l="0" t="0" r="3810" b="8255"/>
            <wp:docPr id="8" name="Picture 8" title="Figure 4: OS by treatment arm (ITT-OS population); red and green lines indicate the point up until which Kaplan-Meier data were used in the tucatinib and placebo arms, respectively (base case of model); dotted lines indicate the point up until which Kaplan-Meier data were used in sensitivity analyses conducted during evaluation (i.e. when 20% of patients remain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4203" cy="4226843"/>
                    </a:xfrm>
                    <a:prstGeom prst="rect">
                      <a:avLst/>
                    </a:prstGeom>
                  </pic:spPr>
                </pic:pic>
              </a:graphicData>
            </a:graphic>
          </wp:inline>
        </w:drawing>
      </w:r>
    </w:p>
    <w:p w:rsidR="00FC78E5" w:rsidRPr="00FC78E5" w:rsidRDefault="00FC78E5" w:rsidP="00FC78E5">
      <w:pPr>
        <w:spacing w:after="240"/>
        <w:contextualSpacing/>
        <w:rPr>
          <w:rFonts w:ascii="Arial Narrow" w:hAnsi="Arial Narrow"/>
          <w:sz w:val="18"/>
        </w:rPr>
      </w:pPr>
      <w:r w:rsidRPr="00FC78E5">
        <w:rPr>
          <w:rFonts w:ascii="Arial Narrow" w:hAnsi="Arial Narrow"/>
          <w:sz w:val="18"/>
        </w:rPr>
        <w:t>Source: Figure 5, p83 of HER2CLIMB CSR76</w:t>
      </w:r>
    </w:p>
    <w:p w:rsidR="00FC78E5" w:rsidRPr="00FC78E5" w:rsidRDefault="00FC78E5" w:rsidP="00AB2235">
      <w:pPr>
        <w:spacing w:after="240"/>
        <w:rPr>
          <w:rFonts w:ascii="Arial Narrow" w:hAnsi="Arial Narrow"/>
          <w:sz w:val="18"/>
        </w:rPr>
      </w:pPr>
      <w:r w:rsidRPr="00FC78E5">
        <w:rPr>
          <w:rFonts w:ascii="Arial Narrow" w:hAnsi="Arial Narrow"/>
          <w:sz w:val="18"/>
        </w:rPr>
        <w:t xml:space="preserve">Cap = capecitabine; </w:t>
      </w:r>
      <w:r w:rsidR="00774524">
        <w:rPr>
          <w:rFonts w:ascii="Arial Narrow" w:hAnsi="Arial Narrow"/>
          <w:sz w:val="18"/>
        </w:rPr>
        <w:t xml:space="preserve">CI = confidence interval; HR = hazard ratio; </w:t>
      </w:r>
      <w:r w:rsidRPr="00FC78E5">
        <w:rPr>
          <w:rFonts w:ascii="Arial Narrow" w:hAnsi="Arial Narrow"/>
          <w:sz w:val="18"/>
        </w:rPr>
        <w:t>ITT = intent to treat; OS = overall survival; Pbo = placebo; Tra = trastuzumab; Tuc = tucatinib</w:t>
      </w:r>
    </w:p>
    <w:p w:rsidR="00FC78E5" w:rsidRPr="00FC78E5" w:rsidRDefault="001205B6" w:rsidP="00FC78E5">
      <w:pPr>
        <w:numPr>
          <w:ilvl w:val="1"/>
          <w:numId w:val="1"/>
        </w:numPr>
        <w:spacing w:after="120"/>
        <w:contextualSpacing/>
        <w:rPr>
          <w:lang w:val="en-US"/>
        </w:rPr>
      </w:pPr>
      <w:r>
        <w:rPr>
          <w:lang w:val="en-US"/>
        </w:rPr>
        <w:t>The figure below shows the PFS and OS data applied in the model</w:t>
      </w:r>
      <w:r w:rsidR="00D82F5E">
        <w:rPr>
          <w:lang w:val="en-US"/>
        </w:rPr>
        <w:t xml:space="preserve"> (which uses the Weibull model)</w:t>
      </w:r>
      <w:r>
        <w:rPr>
          <w:lang w:val="en-US"/>
        </w:rPr>
        <w:t xml:space="preserve">. </w:t>
      </w:r>
      <w:r w:rsidR="00FC78E5" w:rsidRPr="00FC78E5">
        <w:rPr>
          <w:lang w:val="en-US"/>
        </w:rPr>
        <w:t>The darker shades indicate use of Kaplan-Meier data, while lighter shades indicate use of extrapolated data.</w:t>
      </w:r>
    </w:p>
    <w:p w:rsidR="00FC78E5" w:rsidRPr="00FC78E5" w:rsidRDefault="00FC78E5" w:rsidP="00FC78E5">
      <w:pPr>
        <w:rPr>
          <w:lang w:val="en-US"/>
        </w:rPr>
      </w:pPr>
    </w:p>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 xml:space="preserve">Figure </w:t>
      </w:r>
      <w:r w:rsidR="0050046E">
        <w:rPr>
          <w:rFonts w:ascii="Arial Narrow" w:eastAsiaTheme="majorEastAsia" w:hAnsi="Arial Narrow"/>
          <w:b/>
          <w:sz w:val="20"/>
          <w:lang w:val="en-US"/>
        </w:rPr>
        <w:t>5</w:t>
      </w:r>
      <w:r w:rsidRPr="00FC78E5">
        <w:rPr>
          <w:rFonts w:ascii="Arial Narrow" w:eastAsiaTheme="majorEastAsia" w:hAnsi="Arial Narrow"/>
          <w:b/>
          <w:sz w:val="20"/>
          <w:lang w:val="en-US"/>
        </w:rPr>
        <w:t xml:space="preserve">: </w:t>
      </w:r>
      <w:r w:rsidR="001205B6">
        <w:rPr>
          <w:rFonts w:ascii="Arial Narrow" w:eastAsiaTheme="majorEastAsia" w:hAnsi="Arial Narrow"/>
          <w:b/>
          <w:sz w:val="20"/>
          <w:lang w:val="en-US"/>
        </w:rPr>
        <w:t>PFS and OS data applied in the model (base case</w:t>
      </w:r>
      <w:r w:rsidR="00D82F5E">
        <w:rPr>
          <w:rFonts w:ascii="Arial Narrow" w:eastAsiaTheme="majorEastAsia" w:hAnsi="Arial Narrow"/>
          <w:b/>
          <w:sz w:val="20"/>
          <w:lang w:val="en-US"/>
        </w:rPr>
        <w:t>, Weibull model</w:t>
      </w:r>
      <w:r w:rsidR="001205B6">
        <w:rPr>
          <w:rFonts w:ascii="Arial Narrow" w:eastAsiaTheme="majorEastAsia" w:hAnsi="Arial Narrow"/>
          <w:b/>
          <w:sz w:val="20"/>
          <w:lang w:val="en-US"/>
        </w:rPr>
        <w:t>)</w:t>
      </w:r>
    </w:p>
    <w:p w:rsidR="00FC78E5" w:rsidRPr="00FC78E5" w:rsidRDefault="00FC78E5" w:rsidP="00FC78E5">
      <w:pPr>
        <w:rPr>
          <w:color w:val="3366FF"/>
          <w:lang w:val="en-US"/>
        </w:rPr>
      </w:pPr>
      <w:r w:rsidRPr="00FC78E5">
        <w:rPr>
          <w:noProof/>
          <w:color w:val="3366FF"/>
          <w:lang w:eastAsia="en-AU"/>
        </w:rPr>
        <w:drawing>
          <wp:inline distT="0" distB="0" distL="0" distR="0" wp14:anchorId="07D272A8" wp14:editId="2F854C4E">
            <wp:extent cx="4916384" cy="3626206"/>
            <wp:effectExtent l="0" t="0" r="0" b="0"/>
            <wp:docPr id="10" name="Picture 10" title="Figure 5: PFS and OS data applied in the model (base case, Weibu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4921081" cy="3629670"/>
                    </a:xfrm>
                    <a:prstGeom prst="rect">
                      <a:avLst/>
                    </a:prstGeom>
                    <a:noFill/>
                    <a:ln>
                      <a:noFill/>
                    </a:ln>
                    <a:extLst>
                      <a:ext uri="{53640926-AAD7-44D8-BBD7-CCE9431645EC}">
                        <a14:shadowObscured xmlns:a14="http://schemas.microsoft.com/office/drawing/2010/main"/>
                      </a:ext>
                    </a:extLst>
                  </pic:spPr>
                </pic:pic>
              </a:graphicData>
            </a:graphic>
          </wp:inline>
        </w:drawing>
      </w:r>
    </w:p>
    <w:p w:rsidR="00774524" w:rsidRDefault="00774524" w:rsidP="00774524">
      <w:pPr>
        <w:rPr>
          <w:rFonts w:ascii="Arial Narrow" w:hAnsi="Arial Narrow"/>
          <w:sz w:val="18"/>
          <w:lang w:val="en-US"/>
        </w:rPr>
      </w:pPr>
    </w:p>
    <w:p w:rsidR="00FC78E5" w:rsidRDefault="00FC78E5" w:rsidP="00774524">
      <w:pPr>
        <w:rPr>
          <w:rFonts w:ascii="Arial Narrow" w:hAnsi="Arial Narrow"/>
          <w:sz w:val="18"/>
          <w:lang w:val="en-US"/>
        </w:rPr>
      </w:pPr>
      <w:r w:rsidRPr="00FC78E5">
        <w:rPr>
          <w:rFonts w:ascii="Arial Narrow" w:hAnsi="Arial Narrow"/>
          <w:sz w:val="18"/>
          <w:lang w:val="en-US"/>
        </w:rPr>
        <w:t>Source:</w:t>
      </w:r>
      <w:r w:rsidRPr="00FC78E5">
        <w:rPr>
          <w:rFonts w:ascii="Arial Narrow" w:hAnsi="Arial Narrow"/>
          <w:sz w:val="18"/>
        </w:rPr>
        <w:t xml:space="preserve"> ‘</w:t>
      </w:r>
      <w:r w:rsidRPr="00FC78E5">
        <w:rPr>
          <w:rFonts w:ascii="Arial Narrow" w:hAnsi="Arial Narrow"/>
          <w:sz w:val="18"/>
          <w:lang w:val="en-US"/>
        </w:rPr>
        <w:t>Attachment 08 - Tucatinib mBC CEM_Final.xlsx’, worksheet ‘PSM Trace’; Darker lines indicate Kaplan-Meier data; lighter lines indicate extrapolations</w:t>
      </w:r>
    </w:p>
    <w:p w:rsidR="00774524" w:rsidRPr="00FC78E5" w:rsidRDefault="00774524" w:rsidP="00AB2235">
      <w:pPr>
        <w:spacing w:after="240"/>
        <w:rPr>
          <w:rFonts w:ascii="Arial Narrow" w:hAnsi="Arial Narrow"/>
          <w:sz w:val="18"/>
          <w:lang w:val="en-US"/>
        </w:rPr>
      </w:pPr>
      <w:r>
        <w:rPr>
          <w:rFonts w:ascii="Arial Narrow" w:hAnsi="Arial Narrow"/>
          <w:sz w:val="18"/>
          <w:lang w:val="en-US"/>
        </w:rPr>
        <w:t>OS = overall survival; PFS = progression free survival</w:t>
      </w:r>
    </w:p>
    <w:p w:rsidR="00A57FD1" w:rsidRDefault="00FC78E5" w:rsidP="00B2785D">
      <w:pPr>
        <w:numPr>
          <w:ilvl w:val="1"/>
          <w:numId w:val="1"/>
        </w:numPr>
        <w:spacing w:after="120"/>
      </w:pPr>
      <w:r w:rsidRPr="007561D2">
        <w:t xml:space="preserve">The figure shows a large step in the tucatinib OS data at around 31 months, due to the low number of patients at risk, indicating the likely unreliability of the Kaplan-Meier data at this time-point. </w:t>
      </w:r>
    </w:p>
    <w:p w:rsidR="00D93656" w:rsidRDefault="00C82BAF" w:rsidP="00B2785D">
      <w:pPr>
        <w:numPr>
          <w:ilvl w:val="1"/>
          <w:numId w:val="1"/>
        </w:numPr>
        <w:spacing w:after="120"/>
      </w:pPr>
      <w:r w:rsidRPr="00AB7F42">
        <w:rPr>
          <w:rFonts w:cstheme="minorHAnsi"/>
        </w:rPr>
        <w:t>The ESC considered it would be more appropriate to</w:t>
      </w:r>
      <w:r>
        <w:rPr>
          <w:rFonts w:cstheme="minorHAnsi"/>
          <w:i/>
        </w:rPr>
        <w:t xml:space="preserve"> </w:t>
      </w:r>
      <w:r w:rsidRPr="004128DC">
        <w:rPr>
          <w:rFonts w:cstheme="minorHAnsi"/>
        </w:rPr>
        <w:t>use</w:t>
      </w:r>
      <w:r>
        <w:rPr>
          <w:rFonts w:cstheme="minorHAnsi"/>
        </w:rPr>
        <w:t xml:space="preserve"> the</w:t>
      </w:r>
      <w:r w:rsidRPr="004128DC">
        <w:rPr>
          <w:rFonts w:cstheme="minorHAnsi"/>
        </w:rPr>
        <w:t xml:space="preserve"> Kaplan-Meier data </w:t>
      </w:r>
      <w:r w:rsidR="00D35D19">
        <w:rPr>
          <w:rFonts w:cstheme="minorHAnsi"/>
        </w:rPr>
        <w:t xml:space="preserve">for both PFS and OS </w:t>
      </w:r>
      <w:r w:rsidRPr="004128DC">
        <w:rPr>
          <w:rFonts w:cstheme="minorHAnsi"/>
        </w:rPr>
        <w:t>until around 20% of patients remained at risk in each arm.</w:t>
      </w:r>
      <w:r w:rsidR="00093792">
        <w:rPr>
          <w:rFonts w:cstheme="minorHAnsi"/>
        </w:rPr>
        <w:t xml:space="preserve"> The pre-PBAC response</w:t>
      </w:r>
      <w:r w:rsidR="003E612D">
        <w:rPr>
          <w:rFonts w:cstheme="minorHAnsi"/>
        </w:rPr>
        <w:t xml:space="preserve"> stated that there was no apparent objective basis to use Kaplan-Meier data until 20% of patients remained at risk. The PBAC acknowledged that there was no definitive cut-point at which to start the extrapolation, </w:t>
      </w:r>
      <w:r w:rsidR="0060477D">
        <w:rPr>
          <w:rFonts w:cstheme="minorHAnsi"/>
        </w:rPr>
        <w:t xml:space="preserve">and </w:t>
      </w:r>
      <w:r w:rsidR="003E612D">
        <w:rPr>
          <w:rFonts w:cstheme="minorHAnsi"/>
        </w:rPr>
        <w:t>not</w:t>
      </w:r>
      <w:r w:rsidR="0060477D">
        <w:rPr>
          <w:rFonts w:cstheme="minorHAnsi"/>
        </w:rPr>
        <w:t>ing</w:t>
      </w:r>
      <w:r w:rsidR="003E612D">
        <w:rPr>
          <w:rFonts w:cstheme="minorHAnsi"/>
        </w:rPr>
        <w:t xml:space="preserve"> the PBAC Guidelines v5.0 </w:t>
      </w:r>
      <w:r w:rsidR="0060477D">
        <w:rPr>
          <w:rFonts w:cstheme="minorHAnsi"/>
        </w:rPr>
        <w:t xml:space="preserve">(see </w:t>
      </w:r>
      <w:r w:rsidR="0060477D" w:rsidRPr="00CE506E">
        <w:rPr>
          <w:rFonts w:cstheme="minorHAnsi"/>
        </w:rPr>
        <w:t>paragraph 6.40)</w:t>
      </w:r>
      <w:r w:rsidR="00531440" w:rsidRPr="00CE506E">
        <w:rPr>
          <w:rFonts w:cstheme="minorHAnsi"/>
        </w:rPr>
        <w:t>,</w:t>
      </w:r>
      <w:r w:rsidR="0060477D" w:rsidRPr="00CE506E">
        <w:rPr>
          <w:rFonts w:cstheme="minorHAnsi"/>
        </w:rPr>
        <w:t xml:space="preserve"> </w:t>
      </w:r>
      <w:r w:rsidR="00AF04E7" w:rsidRPr="00CE506E">
        <w:rPr>
          <w:rFonts w:cstheme="minorHAnsi"/>
        </w:rPr>
        <w:t>recalled</w:t>
      </w:r>
      <w:r w:rsidR="00AF04E7">
        <w:rPr>
          <w:rFonts w:cstheme="minorHAnsi"/>
        </w:rPr>
        <w:t xml:space="preserve"> that it considered use of the Kaplan-Meier data until 20% of patients remained at risk was a reasonable approach in the ribociclib </w:t>
      </w:r>
      <w:r w:rsidR="0060477D">
        <w:rPr>
          <w:rFonts w:cstheme="minorHAnsi"/>
        </w:rPr>
        <w:t>in combination with fulvestrant submission (paragraph 4.21, ribociclib PSD, November 2020).</w:t>
      </w:r>
    </w:p>
    <w:p w:rsidR="00777FCC" w:rsidRPr="007561D2" w:rsidRDefault="00D82F5E" w:rsidP="00D82F5E">
      <w:pPr>
        <w:pStyle w:val="3-BodyText"/>
      </w:pPr>
      <w:r w:rsidRPr="00AB7F42">
        <w:rPr>
          <w:rFonts w:cs="Times New Roman"/>
          <w:snapToGrid/>
          <w:lang w:eastAsia="en-GB"/>
        </w:rPr>
        <w:t>Using the Weibull model to extrapolate OS,</w:t>
      </w:r>
      <w:r w:rsidRPr="00D82F5E">
        <w:rPr>
          <w:rFonts w:cs="Times New Roman"/>
          <w:snapToGrid/>
          <w:lang w:eastAsia="en-GB"/>
        </w:rPr>
        <w:t xml:space="preserve"> b</w:t>
      </w:r>
      <w:r w:rsidR="00FC78E5" w:rsidRPr="007561D2">
        <w:t>y 5 years</w:t>
      </w:r>
      <w:r w:rsidR="00B84011">
        <w:t xml:space="preserve"> (60 months)</w:t>
      </w:r>
      <w:r w:rsidR="00FC78E5" w:rsidRPr="007561D2">
        <w:t xml:space="preserve">, </w:t>
      </w:r>
      <w:r w:rsidR="0053454C">
        <w:t>around</w:t>
      </w:r>
      <w:r w:rsidR="0053454C" w:rsidRPr="007561D2">
        <w:t xml:space="preserve"> </w:t>
      </w:r>
      <w:r w:rsidR="00FC78E5" w:rsidRPr="007561D2">
        <w:t>5% of patients were alive in the tucatinib arm, and 1% in the placebo arm. By the end of the model time horizon (10 years) all patients in both arms had died. The submission did not provide any external validation of the extrapolations applied in the model, in particular there was no validation investigated with real-life data.</w:t>
      </w:r>
    </w:p>
    <w:p w:rsidR="00D82F5E" w:rsidRPr="00AB7F42" w:rsidRDefault="00B84011" w:rsidP="00D82F5E">
      <w:pPr>
        <w:numPr>
          <w:ilvl w:val="1"/>
          <w:numId w:val="1"/>
        </w:numPr>
        <w:spacing w:after="120"/>
      </w:pPr>
      <w:r w:rsidRPr="00AB7F42">
        <w:t xml:space="preserve">The ESC </w:t>
      </w:r>
      <w:r w:rsidR="007F2E5B" w:rsidRPr="00AB7F42">
        <w:t>not</w:t>
      </w:r>
      <w:r w:rsidRPr="00AB7F42">
        <w:t xml:space="preserve">ed that </w:t>
      </w:r>
      <w:r w:rsidR="0053454C" w:rsidRPr="00AB7F42">
        <w:t xml:space="preserve">when </w:t>
      </w:r>
      <w:r w:rsidRPr="00AB7F42">
        <w:t xml:space="preserve">the </w:t>
      </w:r>
      <w:r w:rsidR="00D82F5E" w:rsidRPr="00AB7F42">
        <w:t>Gompertz model</w:t>
      </w:r>
      <w:r w:rsidR="00BC2905" w:rsidRPr="00AB7F42">
        <w:t xml:space="preserve"> </w:t>
      </w:r>
      <w:r w:rsidR="0053454C" w:rsidRPr="00AB7F42">
        <w:t xml:space="preserve">was used </w:t>
      </w:r>
      <w:r w:rsidR="00BC2905" w:rsidRPr="00AB7F42">
        <w:t>to extrapolate OS</w:t>
      </w:r>
      <w:r w:rsidRPr="00AB7F42">
        <w:t xml:space="preserve">, </w:t>
      </w:r>
      <w:r w:rsidR="00A02DA2" w:rsidRPr="00AB7F42">
        <w:t xml:space="preserve">as </w:t>
      </w:r>
      <w:r w:rsidRPr="00AB7F42">
        <w:t>shown in the figure below,</w:t>
      </w:r>
      <w:r w:rsidR="00A02DA2" w:rsidRPr="00AB7F42">
        <w:t xml:space="preserve"> all patients in the placebo arm had died within 4.</w:t>
      </w:r>
      <w:r w:rsidR="00D93656" w:rsidRPr="00AB7F42">
        <w:t>8</w:t>
      </w:r>
      <w:r w:rsidR="00A02DA2" w:rsidRPr="00AB7F42">
        <w:t xml:space="preserve"> years, while </w:t>
      </w:r>
      <w:r w:rsidR="0053454C" w:rsidRPr="00AB7F42">
        <w:t>when</w:t>
      </w:r>
      <w:r w:rsidR="00A02DA2" w:rsidRPr="00AB7F42">
        <w:t xml:space="preserve"> the Weibull model</w:t>
      </w:r>
      <w:r w:rsidR="0053454C" w:rsidRPr="00AB7F42">
        <w:t xml:space="preserve"> was used</w:t>
      </w:r>
      <w:r w:rsidR="00A02DA2" w:rsidRPr="00AB7F42">
        <w:t xml:space="preserve">, all patients had died within 7.3 years. </w:t>
      </w:r>
      <w:r w:rsidR="007F2E5B" w:rsidRPr="00AB7F42">
        <w:t xml:space="preserve">The ESC considered that the Gompertz model </w:t>
      </w:r>
      <w:r w:rsidR="0070501F" w:rsidRPr="00AB7F42">
        <w:t xml:space="preserve">may be </w:t>
      </w:r>
      <w:r w:rsidRPr="00AB7F42">
        <w:t>clinically plausible for th</w:t>
      </w:r>
      <w:r w:rsidR="00B87311" w:rsidRPr="00AB7F42">
        <w:t>e proposed</w:t>
      </w:r>
      <w:r w:rsidRPr="00AB7F42">
        <w:t xml:space="preserve"> population</w:t>
      </w:r>
      <w:r w:rsidR="00B87311" w:rsidRPr="00AB7F42">
        <w:t xml:space="preserve"> of patients with second or later-line mBC</w:t>
      </w:r>
      <w:r w:rsidR="00A02DA2" w:rsidRPr="00AB7F42">
        <w:t>.</w:t>
      </w:r>
      <w:r w:rsidRPr="00AB7F42">
        <w:t xml:space="preserve"> </w:t>
      </w:r>
      <w:r w:rsidR="0004385A">
        <w:t>The pre-PBAC response stated that the Weibull distribution was the best fit curve based on the AIC/BIC scores and visual inspection and that the Gompertz model did not reflect a typical shape for survival curves and did not align with the OS trend observed in the HER2CLIMB trial in which the OS curves appear to diverge from months 24 to 36.</w:t>
      </w:r>
    </w:p>
    <w:p w:rsidR="007F2E5B" w:rsidRPr="00AB7F42" w:rsidRDefault="007F2E5B" w:rsidP="007F2E5B">
      <w:pPr>
        <w:pStyle w:val="TableheadingperPBAC"/>
        <w:keepNext/>
        <w:keepLines/>
      </w:pPr>
      <w:r w:rsidRPr="00AB7F42">
        <w:t xml:space="preserve">Figure 6: OS data extrapolation - Weibull </w:t>
      </w:r>
      <w:r w:rsidR="00A02DA2" w:rsidRPr="00AB7F42">
        <w:t xml:space="preserve">(blue lines) </w:t>
      </w:r>
      <w:r w:rsidRPr="00AB7F42">
        <w:t xml:space="preserve">versus Gompertz </w:t>
      </w:r>
      <w:r w:rsidR="00A02DA2" w:rsidRPr="00AB7F42">
        <w:t xml:space="preserve">(green lines) </w:t>
      </w:r>
      <w:r w:rsidRPr="00AB7F42">
        <w:t>model</w:t>
      </w:r>
    </w:p>
    <w:p w:rsidR="007F2E5B" w:rsidRPr="00AB7F42" w:rsidRDefault="007F2E5B" w:rsidP="007F2E5B">
      <w:pPr>
        <w:keepNext/>
        <w:keepLines/>
        <w:spacing w:after="120"/>
        <w:ind w:left="720"/>
      </w:pPr>
      <w:r w:rsidRPr="00AB7F42">
        <w:rPr>
          <w:noProof/>
          <w:lang w:eastAsia="en-AU"/>
        </w:rPr>
        <w:drawing>
          <wp:inline distT="0" distB="0" distL="0" distR="0" wp14:anchorId="5D3C40A4" wp14:editId="56833255">
            <wp:extent cx="3646967" cy="2625295"/>
            <wp:effectExtent l="0" t="0" r="0" b="3810"/>
            <wp:docPr id="1" name="Picture 1" title="Figure 6: OS data extrapolation - Weibull (blue lines) versus Gompertz (green line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3656743" cy="2632332"/>
                    </a:xfrm>
                    <a:prstGeom prst="rect">
                      <a:avLst/>
                    </a:prstGeom>
                    <a:noFill/>
                    <a:ln>
                      <a:noFill/>
                    </a:ln>
                    <a:extLst>
                      <a:ext uri="{53640926-AAD7-44D8-BBD7-CCE9431645EC}">
                        <a14:shadowObscured xmlns:a14="http://schemas.microsoft.com/office/drawing/2010/main"/>
                      </a:ext>
                    </a:extLst>
                  </pic:spPr>
                </pic:pic>
              </a:graphicData>
            </a:graphic>
          </wp:inline>
        </w:drawing>
      </w:r>
    </w:p>
    <w:p w:rsidR="007F2E5B" w:rsidRDefault="007F2E5B" w:rsidP="007F2E5B">
      <w:pPr>
        <w:pStyle w:val="TableFigureFooter"/>
        <w:keepNext/>
        <w:keepLines/>
        <w:spacing w:after="240"/>
      </w:pPr>
      <w:r w:rsidRPr="007F2E5B">
        <w:t>Source: ‘Attachment 08 - Tucatinib mBC CEM_Final.xlsx’</w:t>
      </w:r>
    </w:p>
    <w:p w:rsidR="00774524" w:rsidRDefault="002D45DF" w:rsidP="007F2E5B">
      <w:pPr>
        <w:pStyle w:val="TableFigureFooter"/>
        <w:keepNext/>
        <w:keepLines/>
        <w:spacing w:after="240"/>
      </w:pPr>
      <w:r>
        <w:t xml:space="preserve">KM = Kaplan-Meier; </w:t>
      </w:r>
      <w:r w:rsidR="00774524">
        <w:t>OS = overall survival</w:t>
      </w:r>
    </w:p>
    <w:p w:rsidR="00FC78E5" w:rsidRPr="00AB7F42" w:rsidRDefault="00FC78E5" w:rsidP="00022992">
      <w:pPr>
        <w:pStyle w:val="3-BodyText"/>
      </w:pPr>
      <w:r w:rsidRPr="007561D2">
        <w:t>Time to treatment discontinuation (TTD) data were used to inform the duration of treatment with tucatinib, capecitabine and trastuzumab. The submission stated that TTD Kaplan-Meier estimates from the HER2CLIMB trial w</w:t>
      </w:r>
      <w:r w:rsidR="002C6AB1" w:rsidRPr="007561D2">
        <w:t>ere</w:t>
      </w:r>
      <w:r w:rsidRPr="007561D2">
        <w:t xml:space="preserve"> used for the initial period of analysis, followed by extrapolation using survival curves. The submission did not provide the </w:t>
      </w:r>
      <w:r w:rsidR="00022992" w:rsidRPr="007561D2">
        <w:t xml:space="preserve">TTD </w:t>
      </w:r>
      <w:r w:rsidRPr="007561D2">
        <w:t xml:space="preserve">Kaplan-Meier curves from the </w:t>
      </w:r>
      <w:r w:rsidR="002C6AB1" w:rsidRPr="007561D2">
        <w:t>trial</w:t>
      </w:r>
      <w:r w:rsidRPr="007561D2">
        <w:t xml:space="preserve"> so this was unable to be verified during evaluation. </w:t>
      </w:r>
      <w:r w:rsidR="00022992" w:rsidRPr="007561D2">
        <w:rPr>
          <w:rFonts w:cs="Times New Roman"/>
          <w:snapToGrid/>
          <w:lang w:eastAsia="en-GB"/>
        </w:rPr>
        <w:t xml:space="preserve">The number of patients at risk at various time-points was unknown and thus the reliability of the Kaplan-Meier data used could not be determined. </w:t>
      </w:r>
      <w:r w:rsidRPr="007561D2">
        <w:t xml:space="preserve">The submission selected the Gompertz parametric </w:t>
      </w:r>
      <w:r w:rsidR="00C82BAF">
        <w:t>model</w:t>
      </w:r>
      <w:r w:rsidRPr="007561D2">
        <w:t xml:space="preserve"> to extrapolate </w:t>
      </w:r>
      <w:r w:rsidR="00C82BAF">
        <w:t>TTD</w:t>
      </w:r>
      <w:r w:rsidRPr="007561D2">
        <w:t xml:space="preserve"> in the tucatinib arm based on visual inspection. However, the log-logistic </w:t>
      </w:r>
      <w:r w:rsidR="00C82BAF">
        <w:t>model</w:t>
      </w:r>
      <w:r w:rsidR="00C82BAF" w:rsidRPr="007561D2">
        <w:t xml:space="preserve"> </w:t>
      </w:r>
      <w:r w:rsidRPr="007561D2">
        <w:t>was associated with lower AIC/BIC scores and appeared to fit the Kaplan-Meier data more closely earlier in the curves where the data may have been more reliable.</w:t>
      </w:r>
      <w:r w:rsidR="00C82BAF" w:rsidRPr="007561D2">
        <w:t xml:space="preserve"> </w:t>
      </w:r>
      <w:r w:rsidR="00C82BAF">
        <w:t xml:space="preserve">Using the Gompertz </w:t>
      </w:r>
      <w:r w:rsidRPr="007561D2">
        <w:t>model</w:t>
      </w:r>
      <w:r w:rsidR="00C82BAF">
        <w:t xml:space="preserve"> to extrapolate TTD, the</w:t>
      </w:r>
      <w:r w:rsidRPr="007561D2">
        <w:t xml:space="preserve"> mean tucatinib treatment duration </w:t>
      </w:r>
      <w:r w:rsidR="00C82BAF">
        <w:t>was estimated to be</w:t>
      </w:r>
      <w:r w:rsidRPr="007561D2">
        <w:t xml:space="preserve"> 11.8 months, versus a mean PFS for tucatinib of 15.4 months (</w:t>
      </w:r>
      <w:r w:rsidR="002C6AB1" w:rsidRPr="007561D2">
        <w:t>while</w:t>
      </w:r>
      <w:r w:rsidRPr="007561D2">
        <w:t xml:space="preserve"> extrapolation of tucatinib treatment duration with a log-logistic </w:t>
      </w:r>
      <w:r w:rsidR="00225F0F">
        <w:t>model</w:t>
      </w:r>
      <w:r w:rsidRPr="007561D2">
        <w:t>, which has a lower AIC/BIC, would result in a mean duration of 12.5 months).</w:t>
      </w:r>
      <w:r w:rsidR="00C82BAF" w:rsidRPr="00C82BAF">
        <w:rPr>
          <w:i/>
        </w:rPr>
        <w:t xml:space="preserve"> </w:t>
      </w:r>
      <w:r w:rsidR="00C82BAF" w:rsidRPr="00AB7F42">
        <w:t>The ESC considered that, given the information available, it would have been more appropriate to extrapolate TTD using the log-logistic model.</w:t>
      </w:r>
      <w:r w:rsidR="0004385A">
        <w:t xml:space="preserve"> The pre-PBAC response stated that the log-logistic model was not plausible for time on treatment extrapolation as it sat above the Kaplan-Meier curve for TTD beyond 15 months and therefore would overestimated patients on treatment.</w:t>
      </w:r>
    </w:p>
    <w:p w:rsidR="00FC78E5" w:rsidRPr="007561D2" w:rsidRDefault="00FC78E5" w:rsidP="00B2785D">
      <w:pPr>
        <w:numPr>
          <w:ilvl w:val="1"/>
          <w:numId w:val="1"/>
        </w:numPr>
        <w:spacing w:after="120"/>
        <w:contextualSpacing/>
      </w:pPr>
      <w:r w:rsidRPr="007561D2">
        <w:t>The utilities applied in the base case were derived from the EQ-5D-5L data collected in the HER2CLIMB trial. Different utilities were applied in each treatment arm and in different cycles as outlined in the table below.</w:t>
      </w:r>
    </w:p>
    <w:p w:rsidR="00FC78E5" w:rsidRPr="00FC78E5" w:rsidRDefault="00FC78E5" w:rsidP="00FC78E5">
      <w:pPr>
        <w:keepNext/>
        <w:spacing w:before="240"/>
        <w:rPr>
          <w:rFonts w:ascii="Arial Narrow" w:hAnsi="Arial Narrow"/>
          <w:b/>
          <w:snapToGrid w:val="0"/>
          <w:sz w:val="20"/>
        </w:rPr>
      </w:pPr>
      <w:r w:rsidRPr="00FC78E5">
        <w:rPr>
          <w:rFonts w:ascii="Arial Narrow" w:hAnsi="Arial Narrow"/>
          <w:b/>
          <w:snapToGrid w:val="0"/>
          <w:sz w:val="20"/>
        </w:rPr>
        <w:t xml:space="preserve">Table </w:t>
      </w:r>
      <w:r w:rsidR="00F924B4">
        <w:rPr>
          <w:rFonts w:ascii="Arial Narrow" w:hAnsi="Arial Narrow"/>
          <w:b/>
          <w:snapToGrid w:val="0"/>
          <w:sz w:val="20"/>
        </w:rPr>
        <w:t>9</w:t>
      </w:r>
      <w:r w:rsidRPr="00FC78E5">
        <w:rPr>
          <w:rFonts w:ascii="Arial Narrow" w:hAnsi="Arial Narrow"/>
          <w:b/>
          <w:snapToGrid w:val="0"/>
          <w:sz w:val="20"/>
        </w:rPr>
        <w:t>: Utility values used in the economic evaluation</w:t>
      </w:r>
    </w:p>
    <w:tbl>
      <w:tblPr>
        <w:tblStyle w:val="TableGrid"/>
        <w:tblW w:w="5000" w:type="pct"/>
        <w:tblLook w:val="04A0" w:firstRow="1" w:lastRow="0" w:firstColumn="1" w:lastColumn="0" w:noHBand="0" w:noVBand="1"/>
        <w:tblCaption w:val="Table 9: Utility values used in the economic evaluation"/>
      </w:tblPr>
      <w:tblGrid>
        <w:gridCol w:w="2546"/>
        <w:gridCol w:w="2269"/>
        <w:gridCol w:w="4202"/>
      </w:tblGrid>
      <w:tr w:rsidR="00FC78E5" w:rsidRPr="00FC78E5" w:rsidTr="00F7513C">
        <w:trPr>
          <w:tblHeader/>
        </w:trPr>
        <w:tc>
          <w:tcPr>
            <w:tcW w:w="1412" w:type="pct"/>
          </w:tcPr>
          <w:p w:rsidR="00FC78E5" w:rsidRPr="00FC78E5" w:rsidRDefault="00FC78E5" w:rsidP="00FC78E5">
            <w:pPr>
              <w:keepNext/>
              <w:rPr>
                <w:rFonts w:ascii="Arial Narrow" w:eastAsiaTheme="majorEastAsia" w:hAnsi="Arial Narrow" w:cstheme="majorBidi"/>
                <w:bCs/>
                <w:sz w:val="20"/>
              </w:rPr>
            </w:pPr>
          </w:p>
        </w:tc>
        <w:tc>
          <w:tcPr>
            <w:tcW w:w="1258" w:type="pct"/>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Tucatinib</w:t>
            </w:r>
          </w:p>
        </w:tc>
        <w:tc>
          <w:tcPr>
            <w:tcW w:w="2330" w:type="pct"/>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Placebo</w:t>
            </w:r>
          </w:p>
        </w:tc>
      </w:tr>
      <w:tr w:rsidR="00FC78E5" w:rsidRPr="00FC78E5" w:rsidTr="00FC78E5">
        <w:tc>
          <w:tcPr>
            <w:tcW w:w="5000" w:type="pct"/>
            <w:gridSpan w:val="3"/>
          </w:tcPr>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Base case (based on HER2CLIMB EQ-5D-5L data)</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cycles 1-2</w:t>
            </w:r>
          </w:p>
        </w:tc>
        <w:tc>
          <w:tcPr>
            <w:tcW w:w="1258"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0.823</w:t>
            </w:r>
          </w:p>
        </w:tc>
        <w:tc>
          <w:tcPr>
            <w:tcW w:w="2330"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0.845</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cycles 3-4</w:t>
            </w:r>
          </w:p>
        </w:tc>
        <w:tc>
          <w:tcPr>
            <w:tcW w:w="1258"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0.835</w:t>
            </w:r>
          </w:p>
        </w:tc>
        <w:tc>
          <w:tcPr>
            <w:tcW w:w="2330"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0.835</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cycles 5-6</w:t>
            </w:r>
          </w:p>
        </w:tc>
        <w:tc>
          <w:tcPr>
            <w:tcW w:w="1258"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0.859</w:t>
            </w:r>
          </w:p>
        </w:tc>
        <w:tc>
          <w:tcPr>
            <w:tcW w:w="2330"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0.808</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cycles 7+</w:t>
            </w:r>
          </w:p>
        </w:tc>
        <w:tc>
          <w:tcPr>
            <w:tcW w:w="1258"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0.872</w:t>
            </w:r>
          </w:p>
        </w:tc>
        <w:tc>
          <w:tcPr>
            <w:tcW w:w="2330"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0.810</w:t>
            </w:r>
          </w:p>
        </w:tc>
      </w:tr>
      <w:tr w:rsidR="00FC78E5" w:rsidRPr="007561D2" w:rsidTr="00225F0F">
        <w:tc>
          <w:tcPr>
            <w:tcW w:w="1412" w:type="pct"/>
          </w:tcPr>
          <w:p w:rsidR="00FC78E5" w:rsidRPr="007561D2" w:rsidRDefault="00FC78E5" w:rsidP="00FC78E5">
            <w:pPr>
              <w:keepNext/>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Progressed </w:t>
            </w:r>
          </w:p>
        </w:tc>
        <w:tc>
          <w:tcPr>
            <w:tcW w:w="1258"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0.738</w:t>
            </w:r>
          </w:p>
        </w:tc>
        <w:tc>
          <w:tcPr>
            <w:tcW w:w="2330" w:type="pct"/>
          </w:tcPr>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Submission stated: 0.778</w:t>
            </w:r>
          </w:p>
          <w:p w:rsidR="00FC78E5" w:rsidRPr="002A79BC" w:rsidRDefault="00FC78E5" w:rsidP="00FC78E5">
            <w:pPr>
              <w:keepNext/>
              <w:jc w:val="center"/>
              <w:rPr>
                <w:rFonts w:ascii="Arial Narrow" w:eastAsiaTheme="majorEastAsia" w:hAnsi="Arial Narrow" w:cstheme="majorBidi"/>
                <w:bCs/>
                <w:sz w:val="20"/>
              </w:rPr>
            </w:pPr>
            <w:r w:rsidRPr="002A79BC">
              <w:rPr>
                <w:rFonts w:ascii="Arial Narrow" w:eastAsiaTheme="majorEastAsia" w:hAnsi="Arial Narrow" w:cstheme="majorBidi"/>
                <w:bCs/>
                <w:sz w:val="20"/>
              </w:rPr>
              <w:t>Actually applied: 0.738</w:t>
            </w:r>
            <w:r w:rsidR="002C6AB1" w:rsidRPr="002A79BC">
              <w:rPr>
                <w:rFonts w:ascii="Arial Narrow" w:eastAsiaTheme="majorEastAsia" w:hAnsi="Arial Narrow" w:cstheme="majorBidi"/>
                <w:bCs/>
                <w:sz w:val="20"/>
              </w:rPr>
              <w:t xml:space="preserve"> (consistent with tucatinib arm)</w:t>
            </w:r>
          </w:p>
        </w:tc>
      </w:tr>
      <w:tr w:rsidR="00FC78E5" w:rsidRPr="00FC78E5" w:rsidTr="00FC78E5">
        <w:tc>
          <w:tcPr>
            <w:tcW w:w="5000" w:type="pct"/>
            <w:gridSpan w:val="3"/>
          </w:tcPr>
          <w:p w:rsidR="00FC78E5" w:rsidRPr="00FC78E5" w:rsidRDefault="00FC78E5" w:rsidP="00FC78E5">
            <w:pPr>
              <w:keepNext/>
              <w:rPr>
                <w:rFonts w:ascii="Arial Narrow" w:eastAsiaTheme="majorEastAsia" w:hAnsi="Arial Narrow" w:cstheme="majorBidi"/>
                <w:bCs/>
                <w:sz w:val="20"/>
                <w:u w:val="single"/>
              </w:rPr>
            </w:pPr>
            <w:r w:rsidRPr="00FC78E5">
              <w:rPr>
                <w:rFonts w:ascii="Arial Narrow" w:eastAsiaTheme="majorEastAsia" w:hAnsi="Arial Narrow" w:cstheme="majorBidi"/>
                <w:b/>
                <w:bCs/>
                <w:sz w:val="20"/>
              </w:rPr>
              <w:t>Sensitivity</w:t>
            </w:r>
            <w:r w:rsidRPr="00FC78E5">
              <w:rPr>
                <w:rFonts w:ascii="Arial Narrow" w:eastAsiaTheme="majorEastAsia" w:hAnsi="Arial Narrow" w:cstheme="majorBidi"/>
                <w:bCs/>
                <w:sz w:val="20"/>
              </w:rPr>
              <w:t xml:space="preserve"> </w:t>
            </w:r>
            <w:r w:rsidRPr="00FC78E5">
              <w:rPr>
                <w:rFonts w:ascii="Arial Narrow" w:eastAsiaTheme="majorEastAsia" w:hAnsi="Arial Narrow" w:cstheme="majorBidi"/>
                <w:b/>
                <w:bCs/>
                <w:sz w:val="20"/>
              </w:rPr>
              <w:t>analysis: Lloyd et al, 2006</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u w:val="single"/>
              </w:rPr>
            </w:pPr>
            <w:r w:rsidRPr="00FC78E5">
              <w:rPr>
                <w:rFonts w:ascii="Arial Narrow" w:eastAsiaTheme="majorEastAsia" w:hAnsi="Arial Narrow" w:cstheme="majorBidi"/>
                <w:bCs/>
                <w:sz w:val="20"/>
              </w:rPr>
              <w:t>Progression-free</w:t>
            </w:r>
          </w:p>
        </w:tc>
        <w:tc>
          <w:tcPr>
            <w:tcW w:w="3588" w:type="pct"/>
            <w:gridSpan w:val="2"/>
          </w:tcPr>
          <w:p w:rsidR="00FC78E5" w:rsidRPr="00FC78E5" w:rsidRDefault="00FC78E5" w:rsidP="00FC78E5">
            <w:pPr>
              <w:keepNext/>
              <w:jc w:val="center"/>
              <w:rPr>
                <w:rFonts w:ascii="Arial Narrow" w:eastAsiaTheme="majorEastAsia" w:hAnsi="Arial Narrow" w:cstheme="majorBidi"/>
                <w:bCs/>
                <w:sz w:val="20"/>
                <w:u w:val="single"/>
              </w:rPr>
            </w:pPr>
            <w:r w:rsidRPr="00FC78E5">
              <w:rPr>
                <w:rFonts w:ascii="Arial Narrow" w:eastAsiaTheme="majorEastAsia" w:hAnsi="Arial Narrow" w:cstheme="majorBidi"/>
                <w:bCs/>
                <w:sz w:val="20"/>
              </w:rPr>
              <w:t>0.786</w:t>
            </w:r>
          </w:p>
        </w:tc>
      </w:tr>
      <w:tr w:rsidR="00FC78E5" w:rsidRPr="00FC78E5" w:rsidTr="00225F0F">
        <w:tc>
          <w:tcPr>
            <w:tcW w:w="1412" w:type="pct"/>
          </w:tcPr>
          <w:p w:rsidR="00FC78E5" w:rsidRPr="00FC78E5" w:rsidRDefault="00FC78E5" w:rsidP="00FC78E5">
            <w:pPr>
              <w:keepNext/>
              <w:rPr>
                <w:rFonts w:ascii="Arial Narrow" w:eastAsiaTheme="majorEastAsia" w:hAnsi="Arial Narrow" w:cstheme="majorBidi"/>
                <w:bCs/>
                <w:sz w:val="20"/>
                <w:u w:val="single"/>
              </w:rPr>
            </w:pPr>
            <w:r w:rsidRPr="00FC78E5">
              <w:rPr>
                <w:rFonts w:ascii="Arial Narrow" w:eastAsiaTheme="majorEastAsia" w:hAnsi="Arial Narrow" w:cstheme="majorBidi"/>
                <w:bCs/>
                <w:sz w:val="20"/>
              </w:rPr>
              <w:t>Progressed</w:t>
            </w:r>
          </w:p>
        </w:tc>
        <w:tc>
          <w:tcPr>
            <w:tcW w:w="3588" w:type="pct"/>
            <w:gridSpan w:val="2"/>
          </w:tcPr>
          <w:p w:rsidR="00FC78E5" w:rsidRPr="00FC78E5" w:rsidRDefault="00FC78E5" w:rsidP="00FC78E5">
            <w:pPr>
              <w:keepNext/>
              <w:jc w:val="center"/>
              <w:rPr>
                <w:rFonts w:ascii="Arial Narrow" w:eastAsiaTheme="majorEastAsia" w:hAnsi="Arial Narrow" w:cstheme="majorBidi"/>
                <w:bCs/>
                <w:sz w:val="20"/>
                <w:u w:val="single"/>
              </w:rPr>
            </w:pPr>
            <w:r w:rsidRPr="00FC78E5">
              <w:rPr>
                <w:rFonts w:ascii="Arial Narrow" w:eastAsiaTheme="majorEastAsia" w:hAnsi="Arial Narrow" w:cstheme="majorBidi"/>
                <w:bCs/>
                <w:sz w:val="20"/>
              </w:rPr>
              <w:t>0.538</w:t>
            </w:r>
          </w:p>
        </w:tc>
      </w:tr>
    </w:tbl>
    <w:p w:rsidR="00FC78E5" w:rsidRPr="00FC78E5" w:rsidRDefault="00FC78E5" w:rsidP="00AB2235">
      <w:pPr>
        <w:spacing w:after="240"/>
        <w:rPr>
          <w:rFonts w:ascii="Arial Narrow" w:hAnsi="Arial Narrow"/>
          <w:snapToGrid w:val="0"/>
          <w:sz w:val="18"/>
          <w:szCs w:val="22"/>
        </w:rPr>
      </w:pPr>
      <w:r w:rsidRPr="00FC78E5">
        <w:rPr>
          <w:rFonts w:ascii="Arial Narrow" w:hAnsi="Arial Narrow"/>
          <w:snapToGrid w:val="0"/>
          <w:sz w:val="18"/>
          <w:szCs w:val="22"/>
        </w:rPr>
        <w:t>Source: Table 3.12, pp 153-4 of the submission.</w:t>
      </w:r>
    </w:p>
    <w:p w:rsidR="00FC78E5" w:rsidRPr="007561D2" w:rsidRDefault="00FC78E5" w:rsidP="00B2785D">
      <w:pPr>
        <w:numPr>
          <w:ilvl w:val="1"/>
          <w:numId w:val="1"/>
        </w:numPr>
        <w:spacing w:after="120"/>
        <w:contextualSpacing/>
      </w:pPr>
      <w:r w:rsidRPr="007561D2">
        <w:t>The utility values applied in the base case appeared to be overestimated and may have been unreliable because:</w:t>
      </w:r>
    </w:p>
    <w:p w:rsidR="00FC78E5" w:rsidRPr="00AB7F42" w:rsidRDefault="00FC78E5" w:rsidP="009C0F27">
      <w:pPr>
        <w:numPr>
          <w:ilvl w:val="0"/>
          <w:numId w:val="11"/>
        </w:numPr>
        <w:spacing w:after="120"/>
        <w:ind w:left="1134"/>
        <w:contextualSpacing/>
      </w:pPr>
      <w:r w:rsidRPr="007561D2">
        <w:t xml:space="preserve">As discussed in the comparative effectiveness section, EQ-5D data from the HER2CLIMB trial may not have been reliable. EQ-5D assessment was added in a protocol amendment; responses to baseline assessment were only available for 54% of patients and there was substantial missing data. </w:t>
      </w:r>
      <w:r w:rsidR="00627173" w:rsidRPr="00AB7F42">
        <w:t>The ESC also considered that patients who were less well may have been less likely to respond to the EQ-5D questionnaire, which may have biased the results (overestimated the utility values).</w:t>
      </w:r>
    </w:p>
    <w:p w:rsidR="00FC78E5" w:rsidRPr="007561D2" w:rsidRDefault="00BC2905" w:rsidP="009C0F27">
      <w:pPr>
        <w:numPr>
          <w:ilvl w:val="0"/>
          <w:numId w:val="11"/>
        </w:numPr>
        <w:spacing w:after="120"/>
        <w:ind w:left="1134"/>
        <w:contextualSpacing/>
      </w:pPr>
      <w:r w:rsidRPr="00AB7F42">
        <w:t xml:space="preserve">The ESC considered that it was not </w:t>
      </w:r>
      <w:r w:rsidR="00FC78E5" w:rsidRPr="007561D2">
        <w:t xml:space="preserve">clinically plausible for patients with second- or later-line mBC to have utility values as high as 0.872. </w:t>
      </w:r>
    </w:p>
    <w:p w:rsidR="00FC78E5" w:rsidRPr="007561D2" w:rsidRDefault="00FC78E5" w:rsidP="0014622A">
      <w:pPr>
        <w:numPr>
          <w:ilvl w:val="0"/>
          <w:numId w:val="11"/>
        </w:numPr>
        <w:spacing w:after="120"/>
        <w:ind w:left="1134"/>
        <w:contextualSpacing/>
      </w:pPr>
      <w:r w:rsidRPr="007561D2">
        <w:t>Compared with the utilities from Lloyd et al, 2006 and those applied in previous PBAC submissions that included mBC health states, the utility values appeared high. The utility value used for:</w:t>
      </w:r>
    </w:p>
    <w:p w:rsidR="00FC78E5" w:rsidRPr="007561D2" w:rsidRDefault="00FC78E5" w:rsidP="0070501F">
      <w:pPr>
        <w:numPr>
          <w:ilvl w:val="1"/>
          <w:numId w:val="22"/>
        </w:numPr>
        <w:spacing w:after="120"/>
        <w:contextualSpacing/>
      </w:pPr>
      <w:r w:rsidRPr="007561D2">
        <w:t>the progression-free health state (0.808 to 0.872) was higher than previously used for first-line mBC (0.753 in the March 2020 pertuzumab submission</w:t>
      </w:r>
      <w:r w:rsidR="00311441" w:rsidRPr="007561D2">
        <w:rPr>
          <w:rStyle w:val="FootnoteReference"/>
        </w:rPr>
        <w:footnoteReference w:id="8"/>
      </w:r>
      <w:r w:rsidR="0016218B" w:rsidRPr="007561D2">
        <w:t>)</w:t>
      </w:r>
      <w:r w:rsidR="00311441" w:rsidRPr="007561D2">
        <w:t>;</w:t>
      </w:r>
      <w:r w:rsidRPr="007561D2">
        <w:t xml:space="preserve"> </w:t>
      </w:r>
    </w:p>
    <w:p w:rsidR="00FC78E5" w:rsidRPr="007561D2" w:rsidRDefault="00FC78E5" w:rsidP="0070501F">
      <w:pPr>
        <w:numPr>
          <w:ilvl w:val="1"/>
          <w:numId w:val="22"/>
        </w:numPr>
        <w:spacing w:after="120"/>
      </w:pPr>
      <w:r w:rsidRPr="007561D2">
        <w:t>the progressed disease health state (0.738) was substantially higher than those previously used for second- or later-line progressed disease (0.55 in T-DM1 in July 2013</w:t>
      </w:r>
      <w:r w:rsidR="00311441" w:rsidRPr="007561D2">
        <w:rPr>
          <w:rStyle w:val="FootnoteReference"/>
        </w:rPr>
        <w:footnoteReference w:id="9"/>
      </w:r>
      <w:r w:rsidRPr="007561D2">
        <w:t xml:space="preserve"> and trastuzumab in </w:t>
      </w:r>
      <w:r w:rsidR="00311441" w:rsidRPr="007561D2">
        <w:t>November 2014</w:t>
      </w:r>
      <w:r w:rsidR="00311441" w:rsidRPr="007561D2">
        <w:rPr>
          <w:rStyle w:val="FootnoteReference"/>
        </w:rPr>
        <w:footnoteReference w:id="10"/>
      </w:r>
      <w:r w:rsidRPr="007561D2">
        <w:t>; and 0.481 in pertuzumab in March 2020</w:t>
      </w:r>
      <w:r w:rsidR="00311441" w:rsidRPr="007561D2">
        <w:rPr>
          <w:vertAlign w:val="superscript"/>
        </w:rPr>
        <w:t>7</w:t>
      </w:r>
      <w:r w:rsidRPr="007561D2">
        <w:t xml:space="preserve">). </w:t>
      </w:r>
    </w:p>
    <w:p w:rsidR="00FC78E5" w:rsidRPr="008C1387" w:rsidRDefault="00FC78E5" w:rsidP="00FC78E5">
      <w:pPr>
        <w:numPr>
          <w:ilvl w:val="1"/>
          <w:numId w:val="1"/>
        </w:numPr>
        <w:spacing w:after="120"/>
      </w:pPr>
      <w:r w:rsidRPr="007561D2">
        <w:t xml:space="preserve">As a sensitivity analysis, the submission applied utility values from a published study by Lloyd et al, 2006 which estimated utilities for metastatic breast cancer states using hypothetical scenarios via a standard gamble task in a sample drawn from the UK general population (N = 100). The submission stated this study was selected because it was used in previous PBAC submissions that included mBC health state/s. Lloyd et al, 2006 was based on hypothetical scenarios for ‘metastatic breast cancer’; it was unclear if these scenarios were applicable to the proposed population of patients with second- or later-line metastatic breast cancer, who may have a lower quality of life than patients with first-line metastatic breast cancer. </w:t>
      </w:r>
      <w:r w:rsidR="00405CC9" w:rsidRPr="008C1387">
        <w:t>Overall, the ESC considered that while the utilit</w:t>
      </w:r>
      <w:r w:rsidR="00225F0F" w:rsidRPr="008C1387">
        <w:t>y values</w:t>
      </w:r>
      <w:r w:rsidR="00405CC9" w:rsidRPr="008C1387">
        <w:t xml:space="preserve"> derived from Lloyd et al, 2006 were more clinically plausible than the trial-based utilities, they may still overestimate quality of life in this patient population. </w:t>
      </w:r>
      <w:r w:rsidR="00E45ABC">
        <w:t>Although t</w:t>
      </w:r>
      <w:r w:rsidR="003E612D">
        <w:t>he pre-PBAC response noted that the model results are not sensitive to the progressed state utility values, the PBAC considered that the values applied were not clinically plausible.</w:t>
      </w:r>
    </w:p>
    <w:p w:rsidR="00FC78E5" w:rsidRPr="007561D2" w:rsidRDefault="005A3392" w:rsidP="00125D25">
      <w:pPr>
        <w:numPr>
          <w:ilvl w:val="1"/>
          <w:numId w:val="1"/>
        </w:numPr>
        <w:spacing w:after="120"/>
      </w:pPr>
      <w:r w:rsidRPr="007561D2">
        <w:t>Table 1</w:t>
      </w:r>
      <w:r w:rsidR="00F924B4">
        <w:t>0</w:t>
      </w:r>
      <w:r w:rsidR="00FC78E5" w:rsidRPr="007561D2">
        <w:t xml:space="preserve"> summarises the incremental costs for health care resource items used in the economic evaluation.</w:t>
      </w:r>
    </w:p>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 xml:space="preserve">Table </w:t>
      </w:r>
      <w:r w:rsidR="005A3392">
        <w:rPr>
          <w:rFonts w:ascii="Arial Narrow" w:eastAsiaTheme="majorEastAsia" w:hAnsi="Arial Narrow" w:cstheme="majorBidi"/>
          <w:b/>
          <w:bCs/>
          <w:sz w:val="20"/>
        </w:rPr>
        <w:t>1</w:t>
      </w:r>
      <w:r w:rsidR="00F924B4">
        <w:rPr>
          <w:rFonts w:ascii="Arial Narrow" w:eastAsiaTheme="majorEastAsia" w:hAnsi="Arial Narrow" w:cstheme="majorBidi"/>
          <w:b/>
          <w:bCs/>
          <w:sz w:val="20"/>
        </w:rPr>
        <w:t>0</w:t>
      </w:r>
      <w:r w:rsidRPr="00FC78E5">
        <w:rPr>
          <w:rFonts w:ascii="Arial Narrow" w:eastAsiaTheme="majorEastAsia" w:hAnsi="Arial Narrow" w:cstheme="majorBidi"/>
          <w:b/>
          <w:bCs/>
          <w:sz w:val="20"/>
        </w:rPr>
        <w:t>: Health care resource items: disaggregated summary of cost impacts (discounted)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82"/>
        <w:gridCol w:w="1582"/>
        <w:gridCol w:w="1582"/>
        <w:gridCol w:w="1582"/>
      </w:tblGrid>
      <w:tr w:rsidR="00FC78E5" w:rsidRPr="00FC78E5" w:rsidTr="00FC78E5">
        <w:trPr>
          <w:tblHeader/>
        </w:trPr>
        <w:tc>
          <w:tcPr>
            <w:tcW w:w="2689" w:type="dxa"/>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Resource item</w:t>
            </w:r>
          </w:p>
        </w:tc>
        <w:tc>
          <w:tcPr>
            <w:tcW w:w="1582" w:type="dxa"/>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Tucatinib cost</w:t>
            </w:r>
          </w:p>
        </w:tc>
        <w:tc>
          <w:tcPr>
            <w:tcW w:w="1582" w:type="dxa"/>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Placebo cost</w:t>
            </w:r>
          </w:p>
        </w:tc>
        <w:tc>
          <w:tcPr>
            <w:tcW w:w="1582" w:type="dxa"/>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Incremental cost</w:t>
            </w:r>
          </w:p>
        </w:tc>
        <w:tc>
          <w:tcPr>
            <w:tcW w:w="1582" w:type="dxa"/>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 of total incremental cost</w:t>
            </w:r>
          </w:p>
        </w:tc>
      </w:tr>
      <w:tr w:rsidR="00FC78E5" w:rsidRPr="00FC78E5" w:rsidTr="00FC78E5">
        <w:tc>
          <w:tcPr>
            <w:tcW w:w="9017" w:type="dxa"/>
            <w:gridSpan w:val="5"/>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Pharmaceutical products</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 xml:space="preserve">Tucatinib </w:t>
            </w:r>
          </w:p>
        </w:tc>
        <w:tc>
          <w:tcPr>
            <w:tcW w:w="1582" w:type="dxa"/>
            <w:tcBorders>
              <w:bottom w:val="single" w:sz="4" w:space="0" w:color="auto"/>
            </w:tcBorders>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Borders>
              <w:bottom w:val="single" w:sz="4" w:space="0" w:color="auto"/>
            </w:tcBorders>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w:t>
            </w:r>
          </w:p>
        </w:tc>
        <w:tc>
          <w:tcPr>
            <w:tcW w:w="1582" w:type="dxa"/>
            <w:tcBorders>
              <w:bottom w:val="single" w:sz="4" w:space="0" w:color="auto"/>
            </w:tcBorders>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Borders>
              <w:bottom w:val="single" w:sz="4" w:space="0" w:color="auto"/>
            </w:tcBorders>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93%</w:t>
            </w:r>
          </w:p>
        </w:tc>
      </w:tr>
      <w:tr w:rsidR="00FC78E5" w:rsidRPr="00FC78E5" w:rsidTr="008E0BBF">
        <w:tc>
          <w:tcPr>
            <w:tcW w:w="2689" w:type="dxa"/>
            <w:vAlign w:val="center"/>
          </w:tcPr>
          <w:p w:rsidR="00FC78E5" w:rsidRPr="00FC78E5" w:rsidRDefault="008E0BBF" w:rsidP="008E0BBF">
            <w:pPr>
              <w:keepNext/>
              <w:jc w:val="left"/>
              <w:rPr>
                <w:rFonts w:ascii="Arial Narrow" w:eastAsiaTheme="majorEastAsia" w:hAnsi="Arial Narrow" w:cstheme="majorBidi"/>
                <w:bCs/>
                <w:sz w:val="20"/>
              </w:rPr>
            </w:pPr>
            <w:r>
              <w:rPr>
                <w:rFonts w:ascii="Arial Narrow" w:eastAsiaTheme="majorEastAsia" w:hAnsi="Arial Narrow" w:cstheme="majorBidi"/>
                <w:bCs/>
                <w:sz w:val="20"/>
              </w:rPr>
              <w:t>Capecitabine</w:t>
            </w:r>
            <w:r w:rsidR="00FC78E5" w:rsidRPr="00FC78E5">
              <w:rPr>
                <w:rFonts w:ascii="Arial Narrow" w:eastAsiaTheme="majorEastAsia" w:hAnsi="Arial Narrow" w:cstheme="majorBidi"/>
                <w:bCs/>
                <w:sz w:val="20"/>
              </w:rPr>
              <w:t xml:space="preserve"> + trastuzumab + administration cost</w:t>
            </w:r>
          </w:p>
        </w:tc>
        <w:tc>
          <w:tcPr>
            <w:tcW w:w="1582" w:type="dxa"/>
            <w:tcBorders>
              <w:top w:val="single" w:sz="4" w:space="0" w:color="auto"/>
              <w:left w:val="nil"/>
              <w:bottom w:val="single" w:sz="4" w:space="0" w:color="auto"/>
              <w:right w:val="single" w:sz="4" w:space="0" w:color="auto"/>
            </w:tcBorders>
            <w:shd w:val="clear" w:color="auto" w:fill="auto"/>
            <w:vAlign w:val="center"/>
          </w:tcPr>
          <w:p w:rsidR="00FC78E5" w:rsidRPr="00FC78E5" w:rsidRDefault="00FC78E5" w:rsidP="008E0BBF">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FC78E5" w:rsidRPr="00FC78E5" w:rsidRDefault="00FC78E5" w:rsidP="008E0BBF">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$13,254</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FC78E5" w:rsidRPr="00FC78E5" w:rsidRDefault="00FC78E5" w:rsidP="008E0BBF">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Borders>
              <w:top w:val="single" w:sz="4" w:space="0" w:color="auto"/>
              <w:left w:val="single" w:sz="4" w:space="0" w:color="auto"/>
              <w:bottom w:val="single" w:sz="4" w:space="0" w:color="auto"/>
              <w:right w:val="single" w:sz="4" w:space="0" w:color="auto"/>
            </w:tcBorders>
            <w:shd w:val="clear" w:color="000000" w:fill="FFFFFF"/>
            <w:vAlign w:val="center"/>
          </w:tcPr>
          <w:p w:rsidR="00FC78E5" w:rsidRPr="00FC78E5" w:rsidRDefault="00FC78E5" w:rsidP="008E0BBF">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7%</w:t>
            </w:r>
          </w:p>
        </w:tc>
      </w:tr>
      <w:tr w:rsidR="00FC78E5" w:rsidRPr="00FC78E5" w:rsidTr="00FC78E5">
        <w:tc>
          <w:tcPr>
            <w:tcW w:w="9017" w:type="dxa"/>
            <w:gridSpan w:val="5"/>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Health state costs</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health state</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$971</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Progressed disease health state</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$1,211</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End of life costs</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$12,665</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w:t>
            </w:r>
          </w:p>
        </w:tc>
      </w:tr>
      <w:tr w:rsidR="00FC78E5" w:rsidRPr="00FC78E5" w:rsidTr="00FC78E5">
        <w:tc>
          <w:tcPr>
            <w:tcW w:w="9017" w:type="dxa"/>
            <w:gridSpan w:val="5"/>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Management of adverse events</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Loperamide (anti-diarrhoeals)</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$6</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Adverse event hospitalisations</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$738</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w:t>
            </w:r>
          </w:p>
        </w:tc>
      </w:tr>
      <w:tr w:rsidR="00FC78E5" w:rsidRPr="00FC78E5" w:rsidTr="00FC78E5">
        <w:tc>
          <w:tcPr>
            <w:tcW w:w="9017" w:type="dxa"/>
            <w:gridSpan w:val="5"/>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Post-progression costs</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Subsequent therapies</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$10,987</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w:t>
            </w:r>
          </w:p>
        </w:tc>
      </w:tr>
      <w:tr w:rsidR="00FC78E5" w:rsidRPr="00FC78E5" w:rsidTr="00FC78E5">
        <w:tc>
          <w:tcPr>
            <w:tcW w:w="9017" w:type="dxa"/>
            <w:gridSpan w:val="5"/>
            <w:vAlign w:val="center"/>
          </w:tcPr>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Total</w:t>
            </w:r>
          </w:p>
        </w:tc>
      </w:tr>
      <w:tr w:rsidR="00FC78E5" w:rsidRPr="00FC78E5" w:rsidTr="00FC78E5">
        <w:tc>
          <w:tcPr>
            <w:tcW w:w="2689" w:type="dxa"/>
            <w:vAlign w:val="center"/>
          </w:tcPr>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Total costs</w:t>
            </w:r>
          </w:p>
        </w:tc>
        <w:tc>
          <w:tcPr>
            <w:tcW w:w="1582" w:type="dxa"/>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w:t>
            </w:r>
            <w:r w:rsidR="002A79BC">
              <w:rPr>
                <w:rFonts w:ascii="Arial Narrow" w:eastAsiaTheme="majorEastAsia" w:hAnsi="Arial Narrow" w:cstheme="majorBidi"/>
                <w:b/>
                <w:bCs/>
                <w:noProof/>
                <w:color w:val="000000"/>
                <w:sz w:val="20"/>
                <w:highlight w:val="black"/>
              </w:rPr>
              <w:t>''''''''''''''</w:t>
            </w:r>
          </w:p>
        </w:tc>
        <w:tc>
          <w:tcPr>
            <w:tcW w:w="1582" w:type="dxa"/>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$39,830</w:t>
            </w:r>
          </w:p>
        </w:tc>
        <w:tc>
          <w:tcPr>
            <w:tcW w:w="1582" w:type="dxa"/>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w:t>
            </w:r>
            <w:r w:rsidR="002A79BC">
              <w:rPr>
                <w:rFonts w:ascii="Arial Narrow" w:eastAsiaTheme="majorEastAsia" w:hAnsi="Arial Narrow" w:cstheme="majorBidi"/>
                <w:b/>
                <w:bCs/>
                <w:noProof/>
                <w:color w:val="000000"/>
                <w:sz w:val="20"/>
                <w:highlight w:val="black"/>
              </w:rPr>
              <w:t>'''''''''''''''''</w:t>
            </w:r>
          </w:p>
        </w:tc>
        <w:tc>
          <w:tcPr>
            <w:tcW w:w="1582" w:type="dxa"/>
            <w:vAlign w:val="center"/>
          </w:tcPr>
          <w:p w:rsidR="00FC78E5" w:rsidRPr="00FC78E5" w:rsidRDefault="00FC78E5" w:rsidP="00FC78E5">
            <w:pPr>
              <w:keepNext/>
              <w:jc w:val="center"/>
              <w:rPr>
                <w:rFonts w:ascii="Arial Narrow" w:eastAsiaTheme="majorEastAsia" w:hAnsi="Arial Narrow" w:cstheme="majorBidi"/>
                <w:b/>
                <w:bCs/>
                <w:sz w:val="20"/>
              </w:rPr>
            </w:pPr>
            <w:r w:rsidRPr="00FC78E5">
              <w:rPr>
                <w:rFonts w:ascii="Arial Narrow" w:eastAsiaTheme="majorEastAsia" w:hAnsi="Arial Narrow" w:cstheme="majorBidi"/>
                <w:b/>
                <w:bCs/>
                <w:sz w:val="20"/>
              </w:rPr>
              <w:t>100%</w:t>
            </w:r>
          </w:p>
        </w:tc>
      </w:tr>
    </w:tbl>
    <w:p w:rsidR="00FC78E5" w:rsidRPr="00FC78E5" w:rsidRDefault="00FC78E5" w:rsidP="00FC78E5">
      <w:pPr>
        <w:spacing w:after="240"/>
        <w:rPr>
          <w:rFonts w:ascii="Arial Narrow" w:hAnsi="Arial Narrow"/>
          <w:snapToGrid w:val="0"/>
          <w:sz w:val="18"/>
          <w:szCs w:val="22"/>
        </w:rPr>
      </w:pPr>
      <w:r w:rsidRPr="00FC78E5">
        <w:rPr>
          <w:rFonts w:ascii="Arial Narrow" w:hAnsi="Arial Narrow"/>
          <w:snapToGrid w:val="0"/>
          <w:sz w:val="18"/>
          <w:szCs w:val="22"/>
        </w:rPr>
        <w:t>Source: Table 3.32 of the submission.</w:t>
      </w:r>
    </w:p>
    <w:p w:rsidR="00225F0F" w:rsidRDefault="00FC78E5" w:rsidP="00125D25">
      <w:pPr>
        <w:numPr>
          <w:ilvl w:val="1"/>
          <w:numId w:val="1"/>
        </w:numPr>
        <w:spacing w:after="120"/>
      </w:pPr>
      <w:r w:rsidRPr="007561D2">
        <w:t xml:space="preserve">Tucatinib drug costs accounted for 93% of the total incremental costs. While the submission likely underestimated the cost of subsequent therapies and health state costs, this had little impact on the results of the model. </w:t>
      </w:r>
    </w:p>
    <w:p w:rsidR="00FC78E5" w:rsidRPr="007561D2" w:rsidRDefault="00FC78E5" w:rsidP="00F63860">
      <w:pPr>
        <w:pStyle w:val="3-BodyText"/>
      </w:pPr>
      <w:r w:rsidRPr="007561D2">
        <w:t>Tucatinib drug costs were calculated based on the cost per milligram ($</w:t>
      </w:r>
      <w:r w:rsidR="002A79BC">
        <w:rPr>
          <w:noProof/>
          <w:color w:val="000000"/>
          <w:highlight w:val="black"/>
        </w:rPr>
        <w:t>'''''''''</w:t>
      </w:r>
      <w:r w:rsidRPr="007561D2">
        <w:t xml:space="preserve"> per mg) for the average dose per patient in the HER2CLIMB trial (266 mg per dose, based on 88.5% dose intensity). Use of the cost per milligram, rather than the cost per whole tablet likely underestimated drug costs</w:t>
      </w:r>
      <w:r w:rsidR="00F14DD0">
        <w:t xml:space="preserve"> as the submission did not apply a flat price per milligram for the 50 mg and 150 mg tablets</w:t>
      </w:r>
      <w:r w:rsidRPr="007561D2">
        <w:t xml:space="preserve">. </w:t>
      </w:r>
      <w:r w:rsidR="00F63860" w:rsidRPr="008C1387">
        <w:t>The ESC considered that it would have been more reasonable to calculate t</w:t>
      </w:r>
      <w:r w:rsidR="00F63860" w:rsidRPr="008C1387">
        <w:rPr>
          <w:rFonts w:cs="Times New Roman"/>
          <w:snapToGrid/>
          <w:lang w:eastAsia="en-GB"/>
        </w:rPr>
        <w:t>ucatinib drug costs based on the cost per whole tablet using the actual doses received in the trial.</w:t>
      </w:r>
      <w:r w:rsidR="00F63860">
        <w:rPr>
          <w:rFonts w:cs="Times New Roman"/>
          <w:i/>
          <w:snapToGrid/>
          <w:lang w:eastAsia="en-GB"/>
        </w:rPr>
        <w:t xml:space="preserve"> </w:t>
      </w:r>
    </w:p>
    <w:p w:rsidR="00FC78E5" w:rsidRPr="00FC78E5" w:rsidRDefault="00FC78E5" w:rsidP="00125D25">
      <w:pPr>
        <w:numPr>
          <w:ilvl w:val="1"/>
          <w:numId w:val="1"/>
        </w:numPr>
        <w:spacing w:after="120"/>
      </w:pPr>
      <w:r w:rsidRPr="00FC78E5">
        <w:t xml:space="preserve">The table below summarises the key drivers of the model. </w:t>
      </w:r>
    </w:p>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 xml:space="preserve">Table </w:t>
      </w:r>
      <w:r w:rsidR="005A3392">
        <w:rPr>
          <w:rFonts w:ascii="Arial Narrow" w:eastAsiaTheme="majorEastAsia" w:hAnsi="Arial Narrow" w:cstheme="majorBidi"/>
          <w:b/>
          <w:bCs/>
          <w:sz w:val="20"/>
        </w:rPr>
        <w:t>1</w:t>
      </w:r>
      <w:r w:rsidR="00F924B4">
        <w:rPr>
          <w:rFonts w:ascii="Arial Narrow" w:eastAsiaTheme="majorEastAsia" w:hAnsi="Arial Narrow" w:cstheme="majorBidi"/>
          <w:b/>
          <w:bCs/>
          <w:sz w:val="20"/>
        </w:rPr>
        <w:t>1</w:t>
      </w:r>
      <w:r w:rsidRPr="00FC78E5">
        <w:rPr>
          <w:rFonts w:ascii="Arial Narrow" w:eastAsiaTheme="majorEastAsia" w:hAnsi="Arial Narrow" w:cstheme="majorBidi"/>
          <w:b/>
          <w:bCs/>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FC78E5" w:rsidRPr="00FC78E5" w:rsidTr="00FC78E5">
        <w:trPr>
          <w:tblHeader/>
        </w:trPr>
        <w:tc>
          <w:tcPr>
            <w:tcW w:w="626" w:type="pct"/>
            <w:shd w:val="clear" w:color="auto" w:fill="auto"/>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Description</w:t>
            </w:r>
          </w:p>
        </w:tc>
        <w:tc>
          <w:tcPr>
            <w:tcW w:w="2830" w:type="pct"/>
            <w:shd w:val="clear" w:color="auto" w:fill="auto"/>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Method/Value</w:t>
            </w:r>
          </w:p>
        </w:tc>
        <w:tc>
          <w:tcPr>
            <w:tcW w:w="1544" w:type="pct"/>
            <w:shd w:val="clear" w:color="auto" w:fill="auto"/>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Impact</w:t>
            </w:r>
          </w:p>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szCs w:val="20"/>
                <w:lang w:val="en-US"/>
              </w:rPr>
              <w:t>Base case: $</w:t>
            </w:r>
            <w:r w:rsidR="002A79BC">
              <w:rPr>
                <w:rFonts w:ascii="Arial Narrow" w:eastAsiaTheme="majorEastAsia" w:hAnsi="Arial Narrow"/>
                <w:b/>
                <w:noProof/>
                <w:color w:val="000000"/>
                <w:sz w:val="20"/>
                <w:szCs w:val="20"/>
                <w:highlight w:val="black"/>
                <w:lang w:val="en-US"/>
              </w:rPr>
              <w:t>''''''''''''''''</w:t>
            </w:r>
            <w:r w:rsidR="009C683E">
              <w:rPr>
                <w:rFonts w:ascii="Arial Narrow" w:hAnsi="Arial Narrow"/>
                <w:snapToGrid w:val="0"/>
                <w:sz w:val="18"/>
                <w:szCs w:val="22"/>
                <w:vertAlign w:val="superscript"/>
              </w:rPr>
              <w:t>1</w:t>
            </w:r>
            <w:r w:rsidRPr="00FC78E5">
              <w:rPr>
                <w:rFonts w:ascii="Arial Narrow" w:eastAsiaTheme="majorEastAsia" w:hAnsi="Arial Narrow"/>
                <w:b/>
                <w:sz w:val="20"/>
                <w:szCs w:val="20"/>
                <w:lang w:val="en-US"/>
              </w:rPr>
              <w:t>/QALY gained</w:t>
            </w:r>
            <w:r w:rsidRPr="00FC78E5">
              <w:rPr>
                <w:rFonts w:ascii="Arial Narrow" w:eastAsiaTheme="majorEastAsia" w:hAnsi="Arial Narrow"/>
                <w:b/>
                <w:color w:val="3366FF"/>
                <w:sz w:val="20"/>
                <w:szCs w:val="20"/>
                <w:lang w:val="en-US"/>
              </w:rPr>
              <w:t>.</w:t>
            </w:r>
          </w:p>
        </w:tc>
      </w:tr>
      <w:tr w:rsidR="00FC78E5" w:rsidRPr="00FC78E5" w:rsidTr="00FC78E5">
        <w:tc>
          <w:tcPr>
            <w:tcW w:w="626" w:type="pct"/>
            <w:shd w:val="clear" w:color="auto" w:fill="auto"/>
            <w:vAlign w:val="center"/>
          </w:tcPr>
          <w:p w:rsidR="00FC78E5" w:rsidRPr="007561D2" w:rsidRDefault="00FC78E5" w:rsidP="00311441">
            <w:pPr>
              <w:keepNext/>
              <w:jc w:val="left"/>
              <w:rPr>
                <w:rFonts w:ascii="Arial Narrow" w:eastAsiaTheme="majorEastAsia" w:hAnsi="Arial Narrow" w:cstheme="majorBidi"/>
                <w:bCs/>
                <w:sz w:val="20"/>
                <w:lang w:val="en-US"/>
              </w:rPr>
            </w:pPr>
            <w:r w:rsidRPr="007561D2">
              <w:rPr>
                <w:rFonts w:ascii="Arial Narrow" w:eastAsiaTheme="majorEastAsia" w:hAnsi="Arial Narrow" w:cstheme="majorBidi"/>
                <w:bCs/>
                <w:sz w:val="20"/>
                <w:lang w:val="en-US"/>
              </w:rPr>
              <w:t>Utilities</w:t>
            </w:r>
          </w:p>
        </w:tc>
        <w:tc>
          <w:tcPr>
            <w:tcW w:w="2830"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rPr>
              <w:t>Based on HER2CLIMB EQ-5D-5L data in the base case. These utilities appeared to be overestimated and may have been unreliable.</w:t>
            </w:r>
          </w:p>
        </w:tc>
        <w:tc>
          <w:tcPr>
            <w:tcW w:w="1544"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High, favours tucatinib.</w:t>
            </w:r>
          </w:p>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Use of utilities by Lloyd et al, 2006 increased the ICER to $</w:t>
            </w:r>
            <w:r w:rsidR="002A79BC">
              <w:rPr>
                <w:rFonts w:ascii="Arial Narrow" w:eastAsiaTheme="majorEastAsia" w:hAnsi="Arial Narrow" w:cstheme="majorBidi"/>
                <w:bCs/>
                <w:noProof/>
                <w:color w:val="000000"/>
                <w:sz w:val="20"/>
                <w:highlight w:val="black"/>
                <w:lang w:val="en-US"/>
              </w:rPr>
              <w:t>''''''''''''''''''''</w:t>
            </w:r>
            <w:r w:rsidR="009C683E">
              <w:rPr>
                <w:rFonts w:ascii="Arial Narrow" w:hAnsi="Arial Narrow"/>
                <w:snapToGrid w:val="0"/>
                <w:sz w:val="18"/>
                <w:szCs w:val="22"/>
                <w:vertAlign w:val="superscript"/>
              </w:rPr>
              <w:t>1</w:t>
            </w:r>
            <w:r w:rsidRPr="008C1387">
              <w:rPr>
                <w:rFonts w:ascii="Arial Narrow" w:eastAsiaTheme="majorEastAsia" w:hAnsi="Arial Narrow" w:cstheme="majorBidi"/>
                <w:bCs/>
                <w:sz w:val="20"/>
                <w:lang w:val="en-US"/>
              </w:rPr>
              <w:t>/QALY gained.</w:t>
            </w:r>
          </w:p>
        </w:tc>
      </w:tr>
      <w:tr w:rsidR="00FC78E5" w:rsidRPr="00FC78E5" w:rsidTr="00FC78E5">
        <w:tc>
          <w:tcPr>
            <w:tcW w:w="626" w:type="pct"/>
            <w:shd w:val="clear" w:color="auto" w:fill="auto"/>
            <w:vAlign w:val="center"/>
          </w:tcPr>
          <w:p w:rsidR="00FC78E5" w:rsidRPr="007561D2" w:rsidRDefault="00FC78E5" w:rsidP="00311441">
            <w:pPr>
              <w:keepNext/>
              <w:jc w:val="left"/>
              <w:rPr>
                <w:rFonts w:ascii="Arial Narrow" w:eastAsiaTheme="majorEastAsia" w:hAnsi="Arial Narrow" w:cstheme="majorBidi"/>
                <w:bCs/>
                <w:sz w:val="20"/>
                <w:lang w:val="en-US"/>
              </w:rPr>
            </w:pPr>
            <w:r w:rsidRPr="007561D2">
              <w:rPr>
                <w:rFonts w:ascii="Arial Narrow" w:eastAsiaTheme="majorEastAsia" w:hAnsi="Arial Narrow" w:cstheme="majorBidi"/>
                <w:bCs/>
                <w:sz w:val="20"/>
                <w:lang w:val="en-US"/>
              </w:rPr>
              <w:t xml:space="preserve">Duration of use of Kaplan-Meier data </w:t>
            </w:r>
          </w:p>
        </w:tc>
        <w:tc>
          <w:tcPr>
            <w:tcW w:w="2830"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Median follow-up in the HER2CLIMB trial was 10.4 months and 14 months for PFS and OS, respectively. Kaplan-Meier data were used in the model until </w:t>
            </w:r>
            <w:r w:rsidRPr="008C1387">
              <w:rPr>
                <w:rFonts w:ascii="Arial Narrow" w:eastAsiaTheme="majorEastAsia" w:hAnsi="Arial Narrow" w:cstheme="majorBidi"/>
                <w:bCs/>
                <w:sz w:val="20"/>
              </w:rPr>
              <w:t xml:space="preserve">31 and 23 months for the tucatinib and placebo arms, respectively for OS. At these time-points very few patients remained at risk (fewer than 10 patients in the tucatinib arm), and these </w:t>
            </w:r>
            <w:r w:rsidRPr="008C1387">
              <w:rPr>
                <w:rFonts w:ascii="Arial Narrow" w:eastAsiaTheme="majorEastAsia" w:hAnsi="Arial Narrow" w:cstheme="majorBidi"/>
                <w:bCs/>
                <w:sz w:val="20"/>
                <w:lang w:val="en-US"/>
              </w:rPr>
              <w:t xml:space="preserve">data were likely unreliable at these late time-points. </w:t>
            </w:r>
          </w:p>
        </w:tc>
        <w:tc>
          <w:tcPr>
            <w:tcW w:w="1544"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High, favours tucatinib.</w:t>
            </w:r>
          </w:p>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Use of Kaplan-Meier data until 20% of patients were at risk in each arm (for PFS and OS) increased the ICER to $</w:t>
            </w:r>
            <w:r w:rsidR="002A79BC">
              <w:rPr>
                <w:rFonts w:ascii="Arial Narrow" w:eastAsiaTheme="majorEastAsia" w:hAnsi="Arial Narrow" w:cstheme="majorBidi"/>
                <w:bCs/>
                <w:noProof/>
                <w:color w:val="000000"/>
                <w:sz w:val="20"/>
                <w:highlight w:val="black"/>
                <w:lang w:val="en-US"/>
              </w:rPr>
              <w:t>'''''''''''''''''''</w:t>
            </w:r>
            <w:r w:rsidR="009C683E">
              <w:rPr>
                <w:rFonts w:ascii="Arial Narrow" w:hAnsi="Arial Narrow"/>
                <w:snapToGrid w:val="0"/>
                <w:sz w:val="18"/>
                <w:szCs w:val="22"/>
                <w:vertAlign w:val="superscript"/>
              </w:rPr>
              <w:t>1</w:t>
            </w:r>
            <w:r w:rsidRPr="008C1387">
              <w:rPr>
                <w:rFonts w:ascii="Arial Narrow" w:eastAsiaTheme="majorEastAsia" w:hAnsi="Arial Narrow" w:cstheme="majorBidi"/>
                <w:bCs/>
                <w:sz w:val="20"/>
                <w:lang w:val="en-US"/>
              </w:rPr>
              <w:t xml:space="preserve">/QALY gained. </w:t>
            </w:r>
          </w:p>
        </w:tc>
      </w:tr>
      <w:tr w:rsidR="00BC2905" w:rsidRPr="00FC78E5" w:rsidTr="00FC78E5">
        <w:tc>
          <w:tcPr>
            <w:tcW w:w="626" w:type="pct"/>
            <w:shd w:val="clear" w:color="auto" w:fill="auto"/>
            <w:vAlign w:val="center"/>
          </w:tcPr>
          <w:p w:rsidR="00BC2905" w:rsidRPr="00797AD4" w:rsidRDefault="00BC2905" w:rsidP="00BC2905">
            <w:pPr>
              <w:keepNext/>
              <w:jc w:val="left"/>
              <w:rPr>
                <w:rFonts w:ascii="Arial Narrow" w:eastAsiaTheme="majorEastAsia" w:hAnsi="Arial Narrow" w:cstheme="majorBidi"/>
                <w:bCs/>
                <w:sz w:val="20"/>
                <w:lang w:val="en-US"/>
              </w:rPr>
            </w:pPr>
            <w:r w:rsidRPr="00797AD4">
              <w:rPr>
                <w:rFonts w:ascii="Arial Narrow" w:eastAsiaTheme="majorEastAsia" w:hAnsi="Arial Narrow" w:cstheme="majorBidi"/>
                <w:bCs/>
                <w:sz w:val="20"/>
                <w:lang w:val="en-US"/>
              </w:rPr>
              <w:t>Extrapolation of OS</w:t>
            </w:r>
          </w:p>
        </w:tc>
        <w:tc>
          <w:tcPr>
            <w:tcW w:w="2830" w:type="pct"/>
            <w:shd w:val="clear" w:color="auto" w:fill="auto"/>
            <w:vAlign w:val="center"/>
          </w:tcPr>
          <w:p w:rsidR="00BC2905" w:rsidRPr="008C1387" w:rsidRDefault="00BC2905" w:rsidP="0070501F">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The</w:t>
            </w:r>
            <w:r w:rsidR="002708E5" w:rsidRPr="008C1387">
              <w:rPr>
                <w:rFonts w:ascii="Arial Narrow" w:eastAsiaTheme="majorEastAsia" w:hAnsi="Arial Narrow" w:cstheme="majorBidi"/>
                <w:bCs/>
                <w:sz w:val="20"/>
                <w:lang w:val="en-US"/>
              </w:rPr>
              <w:t xml:space="preserve"> ESC considered that the submission’s use of the </w:t>
            </w:r>
            <w:r w:rsidRPr="008C1387">
              <w:rPr>
                <w:rFonts w:ascii="Arial Narrow" w:eastAsiaTheme="majorEastAsia" w:hAnsi="Arial Narrow" w:cstheme="majorBidi"/>
                <w:bCs/>
                <w:sz w:val="20"/>
                <w:lang w:val="en-US"/>
              </w:rPr>
              <w:t xml:space="preserve">Weibull model to extrapolate OS may be optimistic, </w:t>
            </w:r>
            <w:r w:rsidR="002708E5" w:rsidRPr="008C1387">
              <w:rPr>
                <w:rFonts w:ascii="Arial Narrow" w:eastAsiaTheme="majorEastAsia" w:hAnsi="Arial Narrow" w:cstheme="majorBidi"/>
                <w:bCs/>
                <w:sz w:val="20"/>
                <w:lang w:val="en-US"/>
              </w:rPr>
              <w:t xml:space="preserve">and considered that </w:t>
            </w:r>
            <w:r w:rsidRPr="008C1387">
              <w:rPr>
                <w:rFonts w:ascii="Arial Narrow" w:eastAsiaTheme="majorEastAsia" w:hAnsi="Arial Narrow" w:cstheme="majorBidi"/>
                <w:bCs/>
                <w:sz w:val="20"/>
                <w:lang w:val="en-US"/>
              </w:rPr>
              <w:t xml:space="preserve">the Gompertz model </w:t>
            </w:r>
            <w:r w:rsidR="0070501F" w:rsidRPr="008C1387">
              <w:rPr>
                <w:rFonts w:ascii="Arial Narrow" w:eastAsiaTheme="majorEastAsia" w:hAnsi="Arial Narrow" w:cstheme="majorBidi"/>
                <w:bCs/>
                <w:sz w:val="20"/>
                <w:lang w:val="en-US"/>
              </w:rPr>
              <w:t>may be</w:t>
            </w:r>
            <w:r w:rsidR="002708E5" w:rsidRPr="008C1387">
              <w:rPr>
                <w:rFonts w:ascii="Arial Narrow" w:eastAsiaTheme="majorEastAsia" w:hAnsi="Arial Narrow" w:cstheme="majorBidi"/>
                <w:bCs/>
                <w:sz w:val="20"/>
                <w:lang w:val="en-US"/>
              </w:rPr>
              <w:t xml:space="preserve"> clinically plausible</w:t>
            </w:r>
            <w:r w:rsidRPr="008C1387">
              <w:rPr>
                <w:rFonts w:ascii="Arial Narrow" w:eastAsiaTheme="majorEastAsia" w:hAnsi="Arial Narrow" w:cstheme="majorBidi"/>
                <w:bCs/>
                <w:sz w:val="20"/>
                <w:lang w:val="en-US"/>
              </w:rPr>
              <w:t>. Combined with extrapolation from earlier time</w:t>
            </w:r>
            <w:r w:rsidR="002708E5" w:rsidRPr="008C1387">
              <w:rPr>
                <w:rFonts w:ascii="Arial Narrow" w:eastAsiaTheme="majorEastAsia" w:hAnsi="Arial Narrow" w:cstheme="majorBidi"/>
                <w:bCs/>
                <w:sz w:val="20"/>
                <w:lang w:val="en-US"/>
              </w:rPr>
              <w:t>-</w:t>
            </w:r>
            <w:r w:rsidRPr="008C1387">
              <w:rPr>
                <w:rFonts w:ascii="Arial Narrow" w:eastAsiaTheme="majorEastAsia" w:hAnsi="Arial Narrow" w:cstheme="majorBidi"/>
                <w:bCs/>
                <w:sz w:val="20"/>
                <w:lang w:val="en-US"/>
              </w:rPr>
              <w:t>points</w:t>
            </w:r>
            <w:r w:rsidR="002708E5" w:rsidRPr="008C1387">
              <w:rPr>
                <w:rFonts w:ascii="Arial Narrow" w:eastAsiaTheme="majorEastAsia" w:hAnsi="Arial Narrow" w:cstheme="majorBidi"/>
                <w:bCs/>
                <w:sz w:val="20"/>
                <w:lang w:val="en-US"/>
              </w:rPr>
              <w:t xml:space="preserve"> (as discussed above)</w:t>
            </w:r>
            <w:r w:rsidRPr="008C1387">
              <w:rPr>
                <w:rFonts w:ascii="Arial Narrow" w:eastAsiaTheme="majorEastAsia" w:hAnsi="Arial Narrow" w:cstheme="majorBidi"/>
                <w:bCs/>
                <w:sz w:val="20"/>
                <w:lang w:val="en-US"/>
              </w:rPr>
              <w:t>, the use of the Gompertz model increased the ICER significantly.</w:t>
            </w:r>
          </w:p>
        </w:tc>
        <w:tc>
          <w:tcPr>
            <w:tcW w:w="1544" w:type="pct"/>
            <w:shd w:val="clear" w:color="auto" w:fill="auto"/>
            <w:vAlign w:val="center"/>
          </w:tcPr>
          <w:p w:rsidR="00BC2905" w:rsidRPr="008C1387" w:rsidRDefault="00BC2905" w:rsidP="00BC2905">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High, favours tucatinib</w:t>
            </w:r>
            <w:r w:rsidR="002708E5" w:rsidRPr="008C1387">
              <w:rPr>
                <w:rFonts w:ascii="Arial Narrow" w:eastAsiaTheme="majorEastAsia" w:hAnsi="Arial Narrow" w:cstheme="majorBidi"/>
                <w:bCs/>
                <w:sz w:val="20"/>
                <w:lang w:val="en-US"/>
              </w:rPr>
              <w:t>.</w:t>
            </w:r>
          </w:p>
          <w:p w:rsidR="00F63860" w:rsidRPr="008C1387" w:rsidRDefault="00F63860" w:rsidP="00BC2905">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Use of </w:t>
            </w:r>
            <w:r w:rsidR="004F0A89" w:rsidRPr="008C1387">
              <w:rPr>
                <w:rFonts w:ascii="Arial Narrow" w:eastAsiaTheme="majorEastAsia" w:hAnsi="Arial Narrow" w:cstheme="majorBidi"/>
                <w:bCs/>
                <w:sz w:val="20"/>
                <w:lang w:val="en-US"/>
              </w:rPr>
              <w:t>Gompertz to extrapolate OS increased the ICER to $</w:t>
            </w:r>
            <w:r w:rsidR="002A79BC">
              <w:rPr>
                <w:rFonts w:ascii="Arial Narrow" w:eastAsiaTheme="majorEastAsia" w:hAnsi="Arial Narrow" w:cstheme="majorBidi"/>
                <w:bCs/>
                <w:noProof/>
                <w:color w:val="000000"/>
                <w:sz w:val="20"/>
                <w:highlight w:val="black"/>
                <w:lang w:val="en-US"/>
              </w:rPr>
              <w:t>''''''''''''''''''</w:t>
            </w:r>
            <w:r w:rsidR="009C683E">
              <w:rPr>
                <w:rFonts w:ascii="Arial Narrow" w:hAnsi="Arial Narrow"/>
                <w:snapToGrid w:val="0"/>
                <w:sz w:val="18"/>
                <w:szCs w:val="22"/>
                <w:vertAlign w:val="superscript"/>
              </w:rPr>
              <w:t>1</w:t>
            </w:r>
            <w:r w:rsidR="004F0A89" w:rsidRPr="008C1387">
              <w:rPr>
                <w:rFonts w:ascii="Arial Narrow" w:eastAsiaTheme="majorEastAsia" w:hAnsi="Arial Narrow" w:cstheme="majorBidi"/>
                <w:bCs/>
                <w:sz w:val="20"/>
                <w:lang w:val="en-US"/>
              </w:rPr>
              <w:t>/QALY gained.</w:t>
            </w:r>
          </w:p>
          <w:p w:rsidR="004F0A89" w:rsidRPr="008C1387" w:rsidRDefault="004F0A89" w:rsidP="00BC2905">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Use of Gompertz to extrapolate OS + use of Kaplan-Meier data until 20% of patients were at risk (for PFS and OS) increased the ICER to </w:t>
            </w:r>
            <w:r w:rsidRPr="008C1387">
              <w:rPr>
                <w:rFonts w:ascii="Arial Narrow" w:hAnsi="Arial Narrow"/>
                <w:color w:val="000000"/>
                <w:sz w:val="20"/>
                <w:szCs w:val="20"/>
              </w:rPr>
              <w:t>$</w:t>
            </w:r>
            <w:r w:rsidR="002A79BC">
              <w:rPr>
                <w:rFonts w:ascii="Arial Narrow" w:hAnsi="Arial Narrow"/>
                <w:noProof/>
                <w:color w:val="000000"/>
                <w:sz w:val="20"/>
                <w:szCs w:val="20"/>
                <w:highlight w:val="black"/>
              </w:rPr>
              <w:t>'''''''''''''''''''</w:t>
            </w:r>
            <w:r w:rsidR="009C683E">
              <w:rPr>
                <w:rFonts w:ascii="Arial Narrow" w:hAnsi="Arial Narrow"/>
                <w:snapToGrid w:val="0"/>
                <w:sz w:val="18"/>
                <w:szCs w:val="22"/>
                <w:vertAlign w:val="superscript"/>
              </w:rPr>
              <w:t>2</w:t>
            </w:r>
            <w:r w:rsidRPr="008C1387">
              <w:rPr>
                <w:rFonts w:ascii="Arial Narrow" w:hAnsi="Arial Narrow"/>
                <w:color w:val="000000"/>
                <w:sz w:val="20"/>
                <w:szCs w:val="20"/>
              </w:rPr>
              <w:t>/QALY gained.</w:t>
            </w:r>
          </w:p>
        </w:tc>
      </w:tr>
      <w:tr w:rsidR="00FC78E5" w:rsidRPr="00FC78E5" w:rsidTr="00FC78E5">
        <w:tc>
          <w:tcPr>
            <w:tcW w:w="626" w:type="pct"/>
            <w:shd w:val="clear" w:color="auto" w:fill="auto"/>
            <w:vAlign w:val="center"/>
          </w:tcPr>
          <w:p w:rsidR="00FC78E5" w:rsidRPr="007561D2" w:rsidRDefault="00FC78E5" w:rsidP="00311441">
            <w:pPr>
              <w:keepNext/>
              <w:jc w:val="left"/>
              <w:rPr>
                <w:rFonts w:ascii="Arial Narrow" w:eastAsiaTheme="majorEastAsia" w:hAnsi="Arial Narrow" w:cstheme="majorBidi"/>
                <w:bCs/>
                <w:sz w:val="20"/>
                <w:lang w:val="en-US"/>
              </w:rPr>
            </w:pPr>
            <w:r w:rsidRPr="007561D2">
              <w:rPr>
                <w:rFonts w:ascii="Arial Narrow" w:eastAsiaTheme="majorEastAsia" w:hAnsi="Arial Narrow" w:cstheme="majorBidi"/>
                <w:bCs/>
                <w:sz w:val="20"/>
                <w:lang w:val="en-US"/>
              </w:rPr>
              <w:t>Tucatinib drug costs</w:t>
            </w:r>
          </w:p>
        </w:tc>
        <w:tc>
          <w:tcPr>
            <w:tcW w:w="2830"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Tucatinib drug costs accounted for 93% of the total incremental costs. Tucatinib drug costs were calculated based on the cost per milligram for the average dose per patient in the HER2CLIMB trial, rather than the cost per whole tablet that was used.</w:t>
            </w:r>
          </w:p>
        </w:tc>
        <w:tc>
          <w:tcPr>
            <w:tcW w:w="1544"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Moderate, favours tucatinib. Assuming patients use whole tablets increased the ICER to </w:t>
            </w: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9C683E">
              <w:rPr>
                <w:rFonts w:ascii="Arial Narrow" w:hAnsi="Arial Narrow"/>
                <w:snapToGrid w:val="0"/>
                <w:sz w:val="18"/>
                <w:szCs w:val="22"/>
                <w:vertAlign w:val="superscript"/>
              </w:rPr>
              <w:t>3</w:t>
            </w:r>
            <w:r w:rsidRPr="008C1387">
              <w:rPr>
                <w:rFonts w:ascii="Arial Narrow" w:eastAsiaTheme="majorEastAsia" w:hAnsi="Arial Narrow" w:cstheme="majorBidi"/>
                <w:bCs/>
                <w:sz w:val="20"/>
                <w:lang w:val="en-US"/>
              </w:rPr>
              <w:t>/QALY gained.</w:t>
            </w:r>
            <w:r w:rsidRPr="008C1387">
              <w:rPr>
                <w:rFonts w:ascii="Arial Narrow" w:eastAsiaTheme="majorEastAsia" w:hAnsi="Arial Narrow"/>
                <w:bCs/>
                <w:color w:val="3366FF"/>
                <w:sz w:val="20"/>
                <w:szCs w:val="20"/>
              </w:rPr>
              <w:t xml:space="preserve"> </w:t>
            </w:r>
          </w:p>
        </w:tc>
      </w:tr>
      <w:tr w:rsidR="00FC78E5" w:rsidRPr="00FC78E5" w:rsidTr="00FC78E5">
        <w:tc>
          <w:tcPr>
            <w:tcW w:w="626" w:type="pct"/>
            <w:shd w:val="clear" w:color="auto" w:fill="auto"/>
            <w:vAlign w:val="center"/>
          </w:tcPr>
          <w:p w:rsidR="00FC78E5" w:rsidRPr="007561D2" w:rsidRDefault="00FC78E5" w:rsidP="00311441">
            <w:pPr>
              <w:keepNext/>
              <w:jc w:val="left"/>
              <w:rPr>
                <w:rFonts w:ascii="Arial Narrow" w:eastAsiaTheme="majorEastAsia" w:hAnsi="Arial Narrow" w:cstheme="majorBidi"/>
                <w:bCs/>
                <w:sz w:val="20"/>
                <w:lang w:val="en-US"/>
              </w:rPr>
            </w:pPr>
            <w:r w:rsidRPr="007561D2">
              <w:rPr>
                <w:rFonts w:ascii="Arial Narrow" w:eastAsiaTheme="majorEastAsia" w:hAnsi="Arial Narrow" w:cstheme="majorBidi"/>
                <w:bCs/>
                <w:sz w:val="20"/>
                <w:lang w:val="en-US"/>
              </w:rPr>
              <w:t>Extrapolation of TTD in the tucatinib arm</w:t>
            </w:r>
          </w:p>
        </w:tc>
        <w:tc>
          <w:tcPr>
            <w:tcW w:w="2830" w:type="pct"/>
            <w:shd w:val="clear" w:color="auto" w:fill="auto"/>
            <w:vAlign w:val="center"/>
          </w:tcPr>
          <w:p w:rsidR="00FC78E5" w:rsidRPr="008C1387" w:rsidRDefault="00FC78E5" w:rsidP="00311441">
            <w:pPr>
              <w:keepNext/>
              <w:jc w:val="left"/>
              <w:rPr>
                <w:rFonts w:ascii="Arial Narrow" w:eastAsiaTheme="majorEastAsia" w:hAnsi="Arial Narrow" w:cstheme="majorBidi"/>
                <w:bCs/>
                <w:sz w:val="20"/>
              </w:rPr>
            </w:pPr>
            <w:r w:rsidRPr="008C1387">
              <w:rPr>
                <w:rFonts w:ascii="Arial Narrow" w:eastAsiaTheme="majorEastAsia" w:hAnsi="Arial Narrow" w:cstheme="majorBidi"/>
                <w:bCs/>
                <w:sz w:val="20"/>
                <w:lang w:val="en-US"/>
              </w:rPr>
              <w:t xml:space="preserve">The Gompertz parametric function was used to extrapolate time on treatment in the tucatinib arm </w:t>
            </w:r>
            <w:r w:rsidRPr="008C1387">
              <w:rPr>
                <w:rFonts w:ascii="Arial Narrow" w:eastAsiaTheme="majorEastAsia" w:hAnsi="Arial Narrow" w:cstheme="majorBidi"/>
                <w:bCs/>
                <w:sz w:val="20"/>
              </w:rPr>
              <w:t>based on visual inspection. However, the log-logistic function was associated with lower AIC/BIC scores and appeared to fit the Kaplan-Meier data more closely earlier in the curves where the data may have been more reliable.</w:t>
            </w:r>
          </w:p>
          <w:p w:rsidR="00D52DC7" w:rsidRPr="008C1387" w:rsidRDefault="00D52DC7"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rPr>
              <w:t>The</w:t>
            </w:r>
            <w:r w:rsidR="00886E22" w:rsidRPr="008C1387">
              <w:rPr>
                <w:rFonts w:ascii="Arial Narrow" w:eastAsiaTheme="majorEastAsia" w:hAnsi="Arial Narrow" w:cstheme="majorBidi"/>
                <w:bCs/>
                <w:sz w:val="20"/>
              </w:rPr>
              <w:t xml:space="preserve"> TTD</w:t>
            </w:r>
            <w:r w:rsidRPr="008C1387">
              <w:rPr>
                <w:rFonts w:ascii="Arial Narrow" w:eastAsiaTheme="majorEastAsia" w:hAnsi="Arial Narrow" w:cstheme="majorBidi"/>
                <w:bCs/>
                <w:sz w:val="20"/>
              </w:rPr>
              <w:t xml:space="preserve"> Kaplan-Meier </w:t>
            </w:r>
            <w:r w:rsidR="00886E22" w:rsidRPr="008C1387">
              <w:rPr>
                <w:rFonts w:ascii="Arial Narrow" w:eastAsiaTheme="majorEastAsia" w:hAnsi="Arial Narrow" w:cstheme="majorBidi"/>
                <w:bCs/>
                <w:sz w:val="20"/>
              </w:rPr>
              <w:t xml:space="preserve">curves from the trial </w:t>
            </w:r>
            <w:r w:rsidRPr="008C1387">
              <w:rPr>
                <w:rFonts w:ascii="Arial Narrow" w:eastAsiaTheme="majorEastAsia" w:hAnsi="Arial Narrow" w:cstheme="majorBidi"/>
                <w:bCs/>
                <w:sz w:val="20"/>
              </w:rPr>
              <w:t xml:space="preserve">were not </w:t>
            </w:r>
            <w:r w:rsidR="00886E22" w:rsidRPr="008C1387">
              <w:rPr>
                <w:rFonts w:ascii="Arial Narrow" w:eastAsiaTheme="majorEastAsia" w:hAnsi="Arial Narrow" w:cstheme="majorBidi"/>
                <w:bCs/>
                <w:sz w:val="20"/>
              </w:rPr>
              <w:t>provided in the submission. In the tucatinib arm, Kaplan-Meier data were used until 31 months however the number of patients remaining at risk at this time-point was unclear and thus the reliability of the Kaplan-Meier data used could not be determined.</w:t>
            </w:r>
          </w:p>
        </w:tc>
        <w:tc>
          <w:tcPr>
            <w:tcW w:w="1544" w:type="pct"/>
            <w:shd w:val="clear" w:color="auto" w:fill="auto"/>
            <w:vAlign w:val="center"/>
          </w:tcPr>
          <w:p w:rsidR="00886E22" w:rsidRPr="008C1387" w:rsidRDefault="00FC78E5"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Moderate, favours tucatinib. </w:t>
            </w:r>
          </w:p>
          <w:p w:rsidR="00FC78E5" w:rsidRPr="008C1387" w:rsidRDefault="00FC78E5" w:rsidP="00311441">
            <w:pPr>
              <w:keepNext/>
              <w:jc w:val="left"/>
              <w:rPr>
                <w:rFonts w:ascii="Arial Narrow" w:eastAsiaTheme="majorEastAsia" w:hAnsi="Arial Narrow"/>
                <w:bCs/>
                <w:color w:val="3366FF"/>
                <w:sz w:val="20"/>
                <w:szCs w:val="20"/>
              </w:rPr>
            </w:pPr>
            <w:r w:rsidRPr="008C1387">
              <w:rPr>
                <w:rFonts w:ascii="Arial Narrow" w:eastAsiaTheme="majorEastAsia" w:hAnsi="Arial Narrow" w:cstheme="majorBidi"/>
                <w:bCs/>
                <w:sz w:val="20"/>
                <w:lang w:val="en-US"/>
              </w:rPr>
              <w:t xml:space="preserve">Use of the log-logistic function increased the ICER to </w:t>
            </w: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9C683E">
              <w:rPr>
                <w:rFonts w:ascii="Arial Narrow" w:hAnsi="Arial Narrow"/>
                <w:snapToGrid w:val="0"/>
                <w:sz w:val="18"/>
                <w:szCs w:val="22"/>
                <w:vertAlign w:val="superscript"/>
              </w:rPr>
              <w:t>3</w:t>
            </w:r>
            <w:r w:rsidRPr="008C1387">
              <w:rPr>
                <w:rFonts w:ascii="Arial Narrow" w:eastAsiaTheme="majorEastAsia" w:hAnsi="Arial Narrow" w:cstheme="majorBidi"/>
                <w:bCs/>
                <w:sz w:val="20"/>
                <w:lang w:val="en-US"/>
              </w:rPr>
              <w:t>/QALY gained.</w:t>
            </w:r>
            <w:r w:rsidRPr="008C1387">
              <w:rPr>
                <w:rFonts w:ascii="Arial Narrow" w:eastAsiaTheme="majorEastAsia" w:hAnsi="Arial Narrow"/>
                <w:bCs/>
                <w:color w:val="3366FF"/>
                <w:sz w:val="20"/>
                <w:szCs w:val="20"/>
              </w:rPr>
              <w:t xml:space="preserve"> </w:t>
            </w:r>
          </w:p>
          <w:p w:rsidR="00886E22" w:rsidRPr="008C1387" w:rsidRDefault="00886E22" w:rsidP="00311441">
            <w:pPr>
              <w:keepNext/>
              <w:jc w:val="left"/>
              <w:rPr>
                <w:rFonts w:ascii="Arial Narrow" w:eastAsiaTheme="majorEastAsia" w:hAnsi="Arial Narrow" w:cstheme="majorBidi"/>
                <w:bCs/>
                <w:sz w:val="20"/>
                <w:lang w:val="en-US"/>
              </w:rPr>
            </w:pPr>
            <w:r w:rsidRPr="008C1387">
              <w:rPr>
                <w:rFonts w:ascii="Arial Narrow" w:eastAsiaTheme="majorEastAsia" w:hAnsi="Arial Narrow" w:cstheme="majorBidi"/>
                <w:bCs/>
                <w:sz w:val="20"/>
                <w:lang w:val="en-US"/>
              </w:rPr>
              <w:t xml:space="preserve">Use of the log-logistic function plus changing the time-point until which Kaplan-Meier data were used increased the ICER to </w:t>
            </w: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9C683E">
              <w:rPr>
                <w:rFonts w:ascii="Arial Narrow" w:hAnsi="Arial Narrow"/>
                <w:snapToGrid w:val="0"/>
                <w:sz w:val="18"/>
                <w:szCs w:val="22"/>
                <w:vertAlign w:val="superscript"/>
              </w:rPr>
              <w:t>3</w:t>
            </w:r>
            <w:r w:rsidRPr="008C1387">
              <w:rPr>
                <w:rFonts w:ascii="Arial Narrow" w:eastAsiaTheme="majorEastAsia" w:hAnsi="Arial Narrow" w:cstheme="majorBidi"/>
                <w:bCs/>
                <w:sz w:val="20"/>
                <w:lang w:val="en-US"/>
              </w:rPr>
              <w:t>/QALY gained.</w:t>
            </w:r>
          </w:p>
        </w:tc>
      </w:tr>
    </w:tbl>
    <w:p w:rsidR="00FC78E5" w:rsidRPr="00FC78E5" w:rsidRDefault="00FC78E5" w:rsidP="00FC78E5">
      <w:pPr>
        <w:spacing w:after="120"/>
        <w:contextualSpacing/>
        <w:rPr>
          <w:rFonts w:ascii="Arial Narrow" w:hAnsi="Arial Narrow"/>
          <w:snapToGrid w:val="0"/>
          <w:sz w:val="18"/>
          <w:szCs w:val="22"/>
        </w:rPr>
      </w:pPr>
      <w:r w:rsidRPr="00FC78E5">
        <w:rPr>
          <w:rFonts w:ascii="Arial Narrow" w:hAnsi="Arial Narrow"/>
          <w:snapToGrid w:val="0"/>
          <w:sz w:val="18"/>
          <w:szCs w:val="22"/>
        </w:rPr>
        <w:t xml:space="preserve">Source: </w:t>
      </w:r>
      <w:r w:rsidR="00022992">
        <w:rPr>
          <w:rFonts w:ascii="Arial Narrow" w:hAnsi="Arial Narrow"/>
          <w:snapToGrid w:val="0"/>
          <w:sz w:val="18"/>
          <w:szCs w:val="22"/>
        </w:rPr>
        <w:t>Compiled during evaluation</w:t>
      </w:r>
      <w:r w:rsidRPr="00FC78E5">
        <w:rPr>
          <w:rFonts w:ascii="Arial Narrow" w:hAnsi="Arial Narrow"/>
          <w:snapToGrid w:val="0"/>
          <w:sz w:val="18"/>
          <w:szCs w:val="22"/>
        </w:rPr>
        <w:t>.</w:t>
      </w:r>
    </w:p>
    <w:p w:rsidR="00D430E1" w:rsidRDefault="002D45DF" w:rsidP="00D430E1">
      <w:pPr>
        <w:rPr>
          <w:rFonts w:ascii="Arial Narrow" w:hAnsi="Arial Narrow"/>
          <w:snapToGrid w:val="0"/>
          <w:sz w:val="18"/>
          <w:szCs w:val="22"/>
        </w:rPr>
      </w:pPr>
      <w:r>
        <w:rPr>
          <w:rFonts w:ascii="Arial Narrow" w:hAnsi="Arial Narrow"/>
          <w:snapToGrid w:val="0"/>
          <w:sz w:val="18"/>
          <w:szCs w:val="22"/>
        </w:rPr>
        <w:t xml:space="preserve">AIC = Akaike information criteria; BIC = Bayesian information criteria; </w:t>
      </w:r>
      <w:r w:rsidR="00311441" w:rsidRPr="00311441">
        <w:rPr>
          <w:rFonts w:ascii="Arial Narrow" w:hAnsi="Arial Narrow"/>
          <w:snapToGrid w:val="0"/>
          <w:sz w:val="18"/>
          <w:szCs w:val="22"/>
        </w:rPr>
        <w:t>ICER = incremental cost-effectiveness ratio; OS = overall survival; PFS = progression-free survival; QALY = quality-adjusted life year; TTD = time to treatment discontinuation</w:t>
      </w:r>
    </w:p>
    <w:p w:rsidR="00D430E1" w:rsidRPr="009C683E" w:rsidRDefault="00D430E1" w:rsidP="00D430E1">
      <w:pPr>
        <w:rPr>
          <w:rFonts w:ascii="Arial Narrow" w:hAnsi="Arial Narrow"/>
          <w:i/>
          <w:snapToGrid w:val="0"/>
          <w:sz w:val="18"/>
          <w:szCs w:val="22"/>
        </w:rPr>
      </w:pPr>
      <w:r w:rsidRPr="009C683E">
        <w:rPr>
          <w:rFonts w:ascii="Arial Narrow" w:hAnsi="Arial Narrow"/>
          <w:i/>
          <w:snapToGrid w:val="0"/>
          <w:sz w:val="18"/>
          <w:szCs w:val="22"/>
        </w:rPr>
        <w:t>The redacted values correspond to the following ranges:</w:t>
      </w:r>
    </w:p>
    <w:p w:rsidR="00D430E1" w:rsidRPr="009C683E" w:rsidRDefault="00D430E1" w:rsidP="00D430E1">
      <w:pPr>
        <w:rPr>
          <w:rFonts w:ascii="Arial Narrow" w:hAnsi="Arial Narrow"/>
          <w:i/>
          <w:snapToGrid w:val="0"/>
          <w:sz w:val="18"/>
          <w:szCs w:val="22"/>
        </w:rPr>
      </w:pPr>
      <w:r w:rsidRPr="009C683E">
        <w:rPr>
          <w:rFonts w:ascii="Arial Narrow" w:hAnsi="Arial Narrow"/>
          <w:i/>
          <w:snapToGrid w:val="0"/>
          <w:sz w:val="18"/>
          <w:szCs w:val="22"/>
          <w:vertAlign w:val="superscript"/>
        </w:rPr>
        <w:t>1</w:t>
      </w:r>
      <w:r w:rsidR="009C683E" w:rsidRPr="009C683E">
        <w:rPr>
          <w:rFonts w:ascii="Arial Narrow" w:hAnsi="Arial Narrow"/>
          <w:i/>
          <w:snapToGrid w:val="0"/>
          <w:sz w:val="18"/>
          <w:szCs w:val="22"/>
          <w:vertAlign w:val="superscript"/>
        </w:rPr>
        <w:t xml:space="preserve"> </w:t>
      </w:r>
      <w:r w:rsidR="009C683E" w:rsidRPr="009C683E">
        <w:rPr>
          <w:rFonts w:ascii="Arial Narrow" w:hAnsi="Arial Narrow"/>
          <w:i/>
          <w:snapToGrid w:val="0"/>
          <w:sz w:val="18"/>
          <w:szCs w:val="22"/>
        </w:rPr>
        <w:t xml:space="preserve">$255,000 to &lt; $355,000/QALY gained </w:t>
      </w:r>
    </w:p>
    <w:p w:rsidR="009C683E" w:rsidRPr="009C683E" w:rsidRDefault="009C683E" w:rsidP="00D430E1">
      <w:pPr>
        <w:rPr>
          <w:rFonts w:ascii="Arial Narrow" w:hAnsi="Arial Narrow"/>
          <w:i/>
          <w:snapToGrid w:val="0"/>
          <w:sz w:val="18"/>
          <w:szCs w:val="22"/>
        </w:rPr>
      </w:pPr>
      <w:r w:rsidRPr="009C683E">
        <w:rPr>
          <w:rFonts w:ascii="Arial Narrow" w:hAnsi="Arial Narrow"/>
          <w:i/>
          <w:snapToGrid w:val="0"/>
          <w:sz w:val="18"/>
          <w:szCs w:val="22"/>
          <w:vertAlign w:val="superscript"/>
        </w:rPr>
        <w:t>2</w:t>
      </w:r>
      <w:r w:rsidRPr="009C683E">
        <w:rPr>
          <w:rFonts w:ascii="Arial Narrow" w:hAnsi="Arial Narrow"/>
          <w:i/>
          <w:snapToGrid w:val="0"/>
          <w:sz w:val="18"/>
          <w:szCs w:val="22"/>
        </w:rPr>
        <w:t xml:space="preserve"> $355,000 to &lt; $455,000/QALY gained</w:t>
      </w:r>
    </w:p>
    <w:p w:rsidR="009C683E" w:rsidRPr="009C683E" w:rsidRDefault="009C683E" w:rsidP="00D430E1">
      <w:pPr>
        <w:rPr>
          <w:rFonts w:ascii="Arial Narrow" w:hAnsi="Arial Narrow"/>
          <w:i/>
          <w:snapToGrid w:val="0"/>
          <w:sz w:val="18"/>
          <w:szCs w:val="22"/>
        </w:rPr>
      </w:pPr>
      <w:r w:rsidRPr="009C683E">
        <w:rPr>
          <w:rFonts w:ascii="Arial Narrow" w:hAnsi="Arial Narrow"/>
          <w:i/>
          <w:snapToGrid w:val="0"/>
          <w:sz w:val="18"/>
          <w:szCs w:val="22"/>
          <w:vertAlign w:val="superscript"/>
        </w:rPr>
        <w:t>3</w:t>
      </w:r>
      <w:r w:rsidRPr="009C683E">
        <w:rPr>
          <w:rFonts w:ascii="Arial Narrow" w:hAnsi="Arial Narrow"/>
          <w:i/>
          <w:snapToGrid w:val="0"/>
          <w:sz w:val="18"/>
          <w:szCs w:val="22"/>
        </w:rPr>
        <w:t xml:space="preserve"> $255,000 to &lt; $355,000/QALY gained</w:t>
      </w:r>
    </w:p>
    <w:p w:rsidR="00D430E1" w:rsidRPr="00FC78E5" w:rsidRDefault="00D430E1" w:rsidP="00AB2235">
      <w:pPr>
        <w:spacing w:after="240"/>
        <w:rPr>
          <w:rFonts w:ascii="Arial Narrow" w:hAnsi="Arial Narrow"/>
          <w:snapToGrid w:val="0"/>
          <w:sz w:val="18"/>
          <w:szCs w:val="22"/>
        </w:rPr>
      </w:pPr>
    </w:p>
    <w:p w:rsidR="00FC78E5" w:rsidRPr="00FC78E5" w:rsidRDefault="00FC78E5" w:rsidP="00FC78E5">
      <w:pPr>
        <w:numPr>
          <w:ilvl w:val="1"/>
          <w:numId w:val="1"/>
        </w:numPr>
        <w:spacing w:after="120"/>
        <w:contextualSpacing/>
      </w:pPr>
      <w:r w:rsidRPr="00FC78E5">
        <w:t xml:space="preserve">The results of the stepped economic evaluation are outlined in the table below. </w:t>
      </w:r>
    </w:p>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 xml:space="preserve">Table </w:t>
      </w:r>
      <w:r w:rsidR="00F924B4">
        <w:rPr>
          <w:rFonts w:ascii="Arial Narrow" w:eastAsiaTheme="majorEastAsia" w:hAnsi="Arial Narrow" w:cstheme="majorBidi"/>
          <w:b/>
          <w:bCs/>
          <w:sz w:val="20"/>
        </w:rPr>
        <w:t>12</w:t>
      </w:r>
      <w:r w:rsidRPr="00FC78E5">
        <w:rPr>
          <w:rFonts w:ascii="Arial Narrow" w:eastAsiaTheme="majorEastAsia" w:hAnsi="Arial Narrow" w:cstheme="majorBidi"/>
          <w:b/>
          <w:bCs/>
          <w:sz w:val="20"/>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FC78E5" w:rsidRPr="00FC78E5" w:rsidTr="00FC78E5">
        <w:trPr>
          <w:tblHeader/>
        </w:trPr>
        <w:tc>
          <w:tcPr>
            <w:tcW w:w="1529" w:type="pct"/>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Step and component</w:t>
            </w:r>
          </w:p>
        </w:tc>
        <w:tc>
          <w:tcPr>
            <w:tcW w:w="1359" w:type="pct"/>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 xml:space="preserve">Tucatinib </w:t>
            </w:r>
          </w:p>
        </w:tc>
        <w:tc>
          <w:tcPr>
            <w:tcW w:w="1274" w:type="pct"/>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Placebo</w:t>
            </w:r>
          </w:p>
        </w:tc>
        <w:tc>
          <w:tcPr>
            <w:tcW w:w="838" w:type="pct"/>
            <w:vAlign w:val="center"/>
          </w:tcPr>
          <w:p w:rsidR="00FC78E5" w:rsidRPr="00FC78E5" w:rsidRDefault="00FC78E5" w:rsidP="00FC78E5">
            <w:pPr>
              <w:keepNext/>
              <w:jc w:val="center"/>
              <w:rPr>
                <w:rFonts w:ascii="Arial Narrow" w:eastAsiaTheme="majorEastAsia" w:hAnsi="Arial Narrow"/>
                <w:b/>
                <w:sz w:val="20"/>
                <w:lang w:val="en-US"/>
              </w:rPr>
            </w:pPr>
            <w:r w:rsidRPr="00FC78E5">
              <w:rPr>
                <w:rFonts w:ascii="Arial Narrow" w:eastAsiaTheme="majorEastAsia" w:hAnsi="Arial Narrow"/>
                <w:b/>
                <w:sz w:val="20"/>
                <w:lang w:val="en-US"/>
              </w:rPr>
              <w:t>Increment</w:t>
            </w:r>
          </w:p>
        </w:tc>
      </w:tr>
      <w:tr w:rsidR="00FC78E5" w:rsidRPr="00FC78E5" w:rsidTr="00FC78E5">
        <w:tc>
          <w:tcPr>
            <w:tcW w:w="5000" w:type="pct"/>
            <w:gridSpan w:val="4"/>
            <w:vAlign w:val="center"/>
          </w:tcPr>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Step 1: Trial-based costs and outcomes: based on first-line drug and administration costs</w:t>
            </w:r>
          </w:p>
        </w:tc>
      </w:tr>
      <w:tr w:rsidR="00FC78E5" w:rsidRPr="00FC78E5" w:rsidTr="00FC78E5">
        <w:tc>
          <w:tcPr>
            <w:tcW w:w="1529" w:type="pct"/>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Costs</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$14,949</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r>
      <w:tr w:rsidR="00FC78E5" w:rsidRPr="00FC78E5" w:rsidTr="00FC78E5">
        <w:tc>
          <w:tcPr>
            <w:tcW w:w="1529" w:type="pct"/>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Progression-free years gained</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0.985</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0.582</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0.403</w:t>
            </w:r>
          </w:p>
        </w:tc>
      </w:tr>
      <w:tr w:rsidR="00FC78E5" w:rsidRPr="00FC78E5" w:rsidTr="00FC78E5">
        <w:tc>
          <w:tcPr>
            <w:tcW w:w="1529" w:type="pct"/>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LYG</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1.731</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1.297</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0.434</w:t>
            </w:r>
          </w:p>
        </w:tc>
      </w:tr>
      <w:tr w:rsidR="00FC78E5" w:rsidRPr="00FC78E5" w:rsidTr="00FC78E5">
        <w:tc>
          <w:tcPr>
            <w:tcW w:w="4162" w:type="pct"/>
            <w:gridSpan w:val="3"/>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Incremental cost/extra progression-free year gained</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p>
        </w:tc>
      </w:tr>
      <w:tr w:rsidR="00FC78E5" w:rsidRPr="00FC78E5" w:rsidTr="00FC78E5">
        <w:tc>
          <w:tcPr>
            <w:tcW w:w="4162" w:type="pct"/>
            <w:gridSpan w:val="3"/>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Incremental cost/extra LYG</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r w:rsidR="00455E79" w:rsidRPr="00455E79">
              <w:rPr>
                <w:rFonts w:ascii="Arial Narrow" w:hAnsi="Arial Narrow"/>
                <w:i/>
                <w:snapToGrid w:val="0"/>
                <w:sz w:val="18"/>
                <w:szCs w:val="22"/>
              </w:rPr>
              <w:t xml:space="preserve"> </w:t>
            </w:r>
            <w:r w:rsidRPr="00FC78E5">
              <w:rPr>
                <w:rFonts w:ascii="Arial Narrow" w:eastAsiaTheme="majorEastAsia" w:hAnsi="Arial Narrow" w:cstheme="majorBidi"/>
                <w:bCs/>
                <w:sz w:val="20"/>
              </w:rPr>
              <w:t>/LYG</w:t>
            </w:r>
          </w:p>
        </w:tc>
      </w:tr>
      <w:tr w:rsidR="00FC78E5" w:rsidRPr="00FC78E5" w:rsidTr="00FC78E5">
        <w:tc>
          <w:tcPr>
            <w:tcW w:w="5000" w:type="pct"/>
            <w:gridSpan w:val="4"/>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Step 2: Cost of AEs and death included</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Costs</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$29,241</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LYG</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1.731</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1.297</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0.434</w:t>
            </w:r>
          </w:p>
        </w:tc>
      </w:tr>
      <w:tr w:rsidR="00FC78E5" w:rsidRPr="00FC78E5" w:rsidTr="00FC78E5">
        <w:tc>
          <w:tcPr>
            <w:tcW w:w="4162" w:type="pct"/>
            <w:gridSpan w:val="3"/>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Incremental cost/extra life year gained</w:t>
            </w:r>
          </w:p>
        </w:tc>
        <w:tc>
          <w:tcPr>
            <w:tcW w:w="838" w:type="pct"/>
            <w:vAlign w:val="center"/>
          </w:tcPr>
          <w:p w:rsidR="00FC78E5" w:rsidRPr="00FC78E5" w:rsidRDefault="00FC78E5" w:rsidP="00FC78E5">
            <w:pPr>
              <w:keepNext/>
              <w:jc w:val="center"/>
              <w:rPr>
                <w:rFonts w:ascii="Times" w:eastAsiaTheme="majorEastAsia" w:hAnsi="Times"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r w:rsidR="00455E79" w:rsidRPr="00455E79">
              <w:rPr>
                <w:rFonts w:ascii="Arial Narrow" w:hAnsi="Arial Narrow"/>
                <w:i/>
                <w:snapToGrid w:val="0"/>
                <w:sz w:val="18"/>
                <w:szCs w:val="22"/>
              </w:rPr>
              <w:t xml:space="preserve"> </w:t>
            </w:r>
            <w:r w:rsidRPr="00FC78E5">
              <w:rPr>
                <w:rFonts w:ascii="Arial Narrow" w:eastAsiaTheme="majorEastAsia" w:hAnsi="Arial Narrow" w:cstheme="majorBidi"/>
                <w:bCs/>
                <w:sz w:val="20"/>
              </w:rPr>
              <w:t>/LYG</w:t>
            </w:r>
          </w:p>
        </w:tc>
      </w:tr>
      <w:tr w:rsidR="00FC78E5" w:rsidRPr="00FC78E5" w:rsidTr="00FC78E5">
        <w:tc>
          <w:tcPr>
            <w:tcW w:w="5000" w:type="pct"/>
            <w:gridSpan w:val="4"/>
            <w:vAlign w:val="center"/>
          </w:tcPr>
          <w:p w:rsidR="00FC78E5" w:rsidRPr="00FC78E5" w:rsidRDefault="00FC78E5" w:rsidP="00FC78E5">
            <w:pPr>
              <w:keepNext/>
              <w:rPr>
                <w:rFonts w:ascii="Arial Narrow" w:eastAsiaTheme="majorEastAsia" w:hAnsi="Arial Narrow"/>
                <w:b/>
                <w:sz w:val="20"/>
                <w:lang w:val="en-US"/>
              </w:rPr>
            </w:pPr>
            <w:r w:rsidRPr="00FC78E5">
              <w:rPr>
                <w:rFonts w:ascii="Arial Narrow" w:eastAsiaTheme="majorEastAsia" w:hAnsi="Arial Narrow"/>
                <w:b/>
                <w:sz w:val="20"/>
                <w:lang w:val="en-US"/>
              </w:rPr>
              <w:t>Step 3: Utilities included</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Costs</w:t>
            </w:r>
          </w:p>
        </w:tc>
        <w:tc>
          <w:tcPr>
            <w:tcW w:w="1359" w:type="pct"/>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4" w:type="pct"/>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$29,241</w:t>
            </w:r>
          </w:p>
        </w:tc>
        <w:tc>
          <w:tcPr>
            <w:tcW w:w="838" w:type="pct"/>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QALY</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1.406</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1.030</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0.375</w:t>
            </w:r>
          </w:p>
        </w:tc>
      </w:tr>
      <w:tr w:rsidR="00FC78E5" w:rsidRPr="00FC78E5" w:rsidTr="00FC78E5">
        <w:tc>
          <w:tcPr>
            <w:tcW w:w="4162" w:type="pct"/>
            <w:gridSpan w:val="3"/>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Incremental cost/extra QALY gained</w:t>
            </w:r>
          </w:p>
        </w:tc>
        <w:tc>
          <w:tcPr>
            <w:tcW w:w="838" w:type="pct"/>
            <w:vAlign w:val="center"/>
          </w:tcPr>
          <w:p w:rsidR="00FC78E5" w:rsidRPr="00FC78E5" w:rsidRDefault="00FC78E5" w:rsidP="00FC78E5">
            <w:pPr>
              <w:keepNext/>
              <w:jc w:val="center"/>
              <w:rPr>
                <w:rFonts w:ascii="Times" w:eastAsiaTheme="majorEastAsia" w:hAnsi="Times"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r w:rsidR="00455E79" w:rsidRPr="00455E79">
              <w:rPr>
                <w:rFonts w:ascii="Arial Narrow" w:hAnsi="Arial Narrow"/>
                <w:i/>
                <w:snapToGrid w:val="0"/>
                <w:sz w:val="18"/>
                <w:szCs w:val="22"/>
              </w:rPr>
              <w:t xml:space="preserve"> </w:t>
            </w:r>
            <w:r w:rsidRPr="00FC78E5">
              <w:rPr>
                <w:rFonts w:ascii="Arial Narrow" w:eastAsiaTheme="majorEastAsia" w:hAnsi="Arial Narrow" w:cstheme="majorBidi"/>
                <w:bCs/>
                <w:sz w:val="20"/>
              </w:rPr>
              <w:t>/QALY</w:t>
            </w:r>
          </w:p>
        </w:tc>
      </w:tr>
      <w:tr w:rsidR="00FC78E5" w:rsidRPr="007561D2" w:rsidTr="00FC78E5">
        <w:tc>
          <w:tcPr>
            <w:tcW w:w="5000" w:type="pct"/>
            <w:gridSpan w:val="4"/>
            <w:vAlign w:val="center"/>
          </w:tcPr>
          <w:p w:rsidR="00FC78E5" w:rsidRPr="007561D2" w:rsidRDefault="00FC78E5" w:rsidP="002D45DF">
            <w:pPr>
              <w:keepNext/>
              <w:jc w:val="left"/>
              <w:rPr>
                <w:rFonts w:ascii="Arial Narrow" w:eastAsiaTheme="majorEastAsia" w:hAnsi="Arial Narrow"/>
                <w:b/>
                <w:sz w:val="20"/>
                <w:lang w:val="en-US"/>
              </w:rPr>
            </w:pPr>
            <w:r w:rsidRPr="007561D2">
              <w:rPr>
                <w:rFonts w:ascii="Arial Narrow" w:eastAsiaTheme="majorEastAsia" w:hAnsi="Arial Narrow"/>
                <w:b/>
                <w:sz w:val="20"/>
                <w:lang w:val="en-US"/>
              </w:rPr>
              <w:t>Step 4: Base case: Extrapolation to 10 year time horizon,</w:t>
            </w:r>
            <w:r w:rsidR="00CF0079" w:rsidRPr="007561D2">
              <w:rPr>
                <w:rFonts w:ascii="Arial Narrow" w:eastAsiaTheme="majorEastAsia" w:hAnsi="Arial Narrow"/>
                <w:b/>
                <w:sz w:val="20"/>
                <w:lang w:val="en-US"/>
              </w:rPr>
              <w:t xml:space="preserve"> </w:t>
            </w:r>
            <w:r w:rsidR="00CF0079" w:rsidRPr="007561D2">
              <w:rPr>
                <w:rFonts w:ascii="Arial Narrow" w:eastAsiaTheme="majorEastAsia" w:hAnsi="Arial Narrow" w:cstheme="majorBidi"/>
                <w:b/>
                <w:bCs/>
                <w:sz w:val="20"/>
              </w:rPr>
              <w:t>drug costs based on extrapolated time to treatment discontinuation,</w:t>
            </w:r>
            <w:r w:rsidRPr="007561D2">
              <w:rPr>
                <w:rFonts w:ascii="Arial Narrow" w:eastAsiaTheme="majorEastAsia" w:hAnsi="Arial Narrow"/>
                <w:b/>
                <w:sz w:val="20"/>
                <w:lang w:val="en-US"/>
              </w:rPr>
              <w:t xml:space="preserve"> incorporating health state costs and post-progression anti-cancer treatments, including discounting</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Costs</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$39,830</w:t>
            </w:r>
          </w:p>
        </w:tc>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r>
      <w:tr w:rsidR="00FC78E5" w:rsidRPr="00FC78E5" w:rsidTr="00FC78E5">
        <w:tc>
          <w:tcPr>
            <w:tcW w:w="1529" w:type="pct"/>
            <w:vAlign w:val="center"/>
          </w:tcPr>
          <w:p w:rsidR="00FC78E5" w:rsidRPr="00FC78E5" w:rsidRDefault="00FC78E5" w:rsidP="00FC78E5">
            <w:pPr>
              <w:keepNext/>
              <w:rPr>
                <w:rFonts w:ascii="Arial Narrow" w:eastAsiaTheme="majorEastAsia" w:hAnsi="Arial Narrow" w:cstheme="majorBidi"/>
                <w:bCs/>
                <w:sz w:val="20"/>
              </w:rPr>
            </w:pPr>
            <w:r w:rsidRPr="00FC78E5">
              <w:rPr>
                <w:rFonts w:ascii="Arial Narrow" w:eastAsiaTheme="majorEastAsia" w:hAnsi="Arial Narrow" w:cstheme="majorBidi"/>
                <w:bCs/>
                <w:sz w:val="20"/>
              </w:rPr>
              <w:t>LYG</w:t>
            </w:r>
          </w:p>
        </w:tc>
        <w:tc>
          <w:tcPr>
            <w:tcW w:w="1359"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2.06</w:t>
            </w:r>
          </w:p>
        </w:tc>
        <w:tc>
          <w:tcPr>
            <w:tcW w:w="1274"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1.56</w:t>
            </w:r>
          </w:p>
        </w:tc>
        <w:tc>
          <w:tcPr>
            <w:tcW w:w="838" w:type="pct"/>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0.50</w:t>
            </w:r>
          </w:p>
        </w:tc>
      </w:tr>
      <w:tr w:rsidR="00FC78E5" w:rsidRPr="00FC78E5" w:rsidTr="00FC78E5">
        <w:tc>
          <w:tcPr>
            <w:tcW w:w="1529" w:type="pct"/>
            <w:vAlign w:val="center"/>
          </w:tcPr>
          <w:p w:rsidR="00FC78E5" w:rsidRPr="00FC78E5" w:rsidRDefault="00FC78E5" w:rsidP="00FC78E5">
            <w:pPr>
              <w:keepNext/>
              <w:rPr>
                <w:rFonts w:ascii="Times" w:eastAsiaTheme="majorEastAsia" w:hAnsi="Times" w:cstheme="majorBidi"/>
                <w:bCs/>
                <w:sz w:val="20"/>
              </w:rPr>
            </w:pPr>
            <w:r w:rsidRPr="00FC78E5">
              <w:rPr>
                <w:rFonts w:ascii="Arial Narrow" w:eastAsiaTheme="majorEastAsia" w:hAnsi="Arial Narrow" w:cstheme="majorBidi"/>
                <w:bCs/>
                <w:sz w:val="20"/>
              </w:rPr>
              <w:t>QALYs</w:t>
            </w:r>
          </w:p>
        </w:tc>
        <w:tc>
          <w:tcPr>
            <w:tcW w:w="1359" w:type="pct"/>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1.673</w:t>
            </w:r>
          </w:p>
        </w:tc>
        <w:tc>
          <w:tcPr>
            <w:tcW w:w="1274" w:type="pct"/>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1.208</w:t>
            </w:r>
          </w:p>
        </w:tc>
        <w:tc>
          <w:tcPr>
            <w:tcW w:w="838" w:type="pct"/>
            <w:shd w:val="clear" w:color="auto" w:fill="FFFFFF" w:themeFill="background1"/>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0.465</w:t>
            </w:r>
          </w:p>
        </w:tc>
      </w:tr>
      <w:tr w:rsidR="00FC78E5" w:rsidRPr="00FC78E5" w:rsidTr="00FC78E5">
        <w:tc>
          <w:tcPr>
            <w:tcW w:w="4162" w:type="pct"/>
            <w:gridSpan w:val="3"/>
            <w:vAlign w:val="center"/>
          </w:tcPr>
          <w:p w:rsidR="00FC78E5" w:rsidRPr="00FC78E5" w:rsidRDefault="00FC78E5" w:rsidP="00FC78E5">
            <w:pPr>
              <w:keepNext/>
              <w:rPr>
                <w:rFonts w:ascii="Arial Narrow" w:eastAsiaTheme="majorEastAsia" w:hAnsi="Arial Narrow" w:cstheme="majorBidi"/>
                <w:b/>
                <w:bCs/>
                <w:sz w:val="20"/>
              </w:rPr>
            </w:pPr>
            <w:r w:rsidRPr="00FC78E5">
              <w:rPr>
                <w:rFonts w:ascii="Arial Narrow" w:eastAsiaTheme="majorEastAsia" w:hAnsi="Arial Narrow" w:cstheme="majorBidi"/>
                <w:b/>
                <w:bCs/>
                <w:sz w:val="20"/>
              </w:rPr>
              <w:t>Incremental cost/extra LY gained</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r w:rsidR="00455E79" w:rsidRPr="00455E79">
              <w:rPr>
                <w:rFonts w:ascii="Arial Narrow" w:hAnsi="Arial Narrow"/>
                <w:i/>
                <w:snapToGrid w:val="0"/>
                <w:sz w:val="18"/>
                <w:szCs w:val="22"/>
              </w:rPr>
              <w:t xml:space="preserve"> </w:t>
            </w:r>
            <w:r w:rsidRPr="00FC78E5">
              <w:rPr>
                <w:rFonts w:ascii="Arial Narrow" w:eastAsiaTheme="majorEastAsia" w:hAnsi="Arial Narrow" w:cstheme="majorBidi"/>
                <w:bCs/>
                <w:sz w:val="20"/>
              </w:rPr>
              <w:t>/LYG</w:t>
            </w:r>
          </w:p>
        </w:tc>
      </w:tr>
      <w:tr w:rsidR="00FC78E5" w:rsidRPr="00FC78E5" w:rsidTr="00FC78E5">
        <w:tc>
          <w:tcPr>
            <w:tcW w:w="4162" w:type="pct"/>
            <w:gridSpan w:val="3"/>
            <w:vAlign w:val="center"/>
          </w:tcPr>
          <w:p w:rsidR="00FC78E5" w:rsidRPr="00FC78E5" w:rsidRDefault="00FC78E5" w:rsidP="00FC78E5">
            <w:pPr>
              <w:keepNext/>
              <w:rPr>
                <w:rFonts w:ascii="Times" w:eastAsiaTheme="majorEastAsia" w:hAnsi="Times" w:cstheme="majorBidi"/>
                <w:b/>
                <w:bCs/>
                <w:sz w:val="20"/>
              </w:rPr>
            </w:pPr>
            <w:r w:rsidRPr="00FC78E5">
              <w:rPr>
                <w:rFonts w:ascii="Arial Narrow" w:eastAsiaTheme="majorEastAsia" w:hAnsi="Arial Narrow" w:cstheme="majorBidi"/>
                <w:b/>
                <w:bCs/>
                <w:sz w:val="20"/>
              </w:rPr>
              <w:t>Incremental cost/extra QALY gained (base case)</w:t>
            </w:r>
          </w:p>
        </w:tc>
        <w:tc>
          <w:tcPr>
            <w:tcW w:w="838" w:type="pct"/>
            <w:vAlign w:val="center"/>
          </w:tcPr>
          <w:p w:rsidR="00FC78E5" w:rsidRPr="00FC78E5" w:rsidRDefault="00FC78E5" w:rsidP="00FC78E5">
            <w:pPr>
              <w:keepNext/>
              <w:jc w:val="center"/>
              <w:rPr>
                <w:rFonts w:ascii="Arial Narrow" w:eastAsiaTheme="majorEastAsia" w:hAnsi="Arial Narrow" w:cstheme="majorBidi"/>
                <w:bCs/>
                <w:sz w:val="20"/>
              </w:rPr>
            </w:pPr>
            <w:r w:rsidRPr="00FC78E5">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455E79" w:rsidRPr="00455E79">
              <w:rPr>
                <w:rFonts w:ascii="Arial Narrow" w:hAnsi="Arial Narrow"/>
                <w:i/>
                <w:snapToGrid w:val="0"/>
                <w:sz w:val="18"/>
                <w:szCs w:val="22"/>
                <w:vertAlign w:val="superscript"/>
              </w:rPr>
              <w:t>1</w:t>
            </w:r>
            <w:r w:rsidR="00455E79" w:rsidRPr="00455E79">
              <w:rPr>
                <w:rFonts w:ascii="Arial Narrow" w:hAnsi="Arial Narrow"/>
                <w:i/>
                <w:snapToGrid w:val="0"/>
                <w:sz w:val="18"/>
                <w:szCs w:val="22"/>
              </w:rPr>
              <w:t xml:space="preserve"> </w:t>
            </w:r>
            <w:r w:rsidRPr="00FC78E5">
              <w:rPr>
                <w:rFonts w:ascii="Arial Narrow" w:eastAsiaTheme="majorEastAsia" w:hAnsi="Arial Narrow" w:cstheme="majorBidi"/>
                <w:bCs/>
                <w:sz w:val="20"/>
              </w:rPr>
              <w:t>/QALY</w:t>
            </w:r>
          </w:p>
        </w:tc>
      </w:tr>
    </w:tbl>
    <w:p w:rsidR="00FC78E5" w:rsidRPr="00FC78E5" w:rsidRDefault="00FC78E5" w:rsidP="00FC78E5">
      <w:pPr>
        <w:spacing w:after="120"/>
        <w:contextualSpacing/>
        <w:rPr>
          <w:rFonts w:ascii="Arial Narrow" w:hAnsi="Arial Narrow"/>
          <w:snapToGrid w:val="0"/>
          <w:sz w:val="18"/>
          <w:szCs w:val="22"/>
        </w:rPr>
      </w:pPr>
      <w:r w:rsidRPr="00FC78E5">
        <w:rPr>
          <w:rFonts w:ascii="Arial Narrow" w:hAnsi="Arial Narrow"/>
          <w:snapToGrid w:val="0"/>
          <w:sz w:val="18"/>
          <w:szCs w:val="22"/>
        </w:rPr>
        <w:t>Source: Table 3.31, p170 of the submission.</w:t>
      </w:r>
    </w:p>
    <w:p w:rsidR="00FC78E5" w:rsidRDefault="00FC78E5" w:rsidP="00455E79">
      <w:pPr>
        <w:rPr>
          <w:rFonts w:ascii="Arial Narrow" w:hAnsi="Arial Narrow"/>
          <w:snapToGrid w:val="0"/>
          <w:sz w:val="18"/>
          <w:szCs w:val="22"/>
        </w:rPr>
      </w:pPr>
      <w:r w:rsidRPr="00FC78E5">
        <w:rPr>
          <w:rFonts w:ascii="Arial Narrow" w:hAnsi="Arial Narrow"/>
          <w:snapToGrid w:val="0"/>
          <w:sz w:val="18"/>
          <w:szCs w:val="22"/>
        </w:rPr>
        <w:t>LYG = life years gained; QALY</w:t>
      </w:r>
      <w:r w:rsidR="002D45DF">
        <w:rPr>
          <w:rFonts w:ascii="Arial Narrow" w:hAnsi="Arial Narrow"/>
          <w:snapToGrid w:val="0"/>
          <w:sz w:val="18"/>
          <w:szCs w:val="22"/>
        </w:rPr>
        <w:t xml:space="preserve"> =</w:t>
      </w:r>
      <w:r w:rsidRPr="00FC78E5">
        <w:rPr>
          <w:rFonts w:ascii="Arial Narrow" w:hAnsi="Arial Narrow"/>
          <w:snapToGrid w:val="0"/>
          <w:sz w:val="18"/>
          <w:szCs w:val="22"/>
        </w:rPr>
        <w:t xml:space="preserve"> quality-adjusted life-year</w:t>
      </w:r>
    </w:p>
    <w:p w:rsidR="00455E79" w:rsidRPr="00455E79" w:rsidRDefault="00455E79" w:rsidP="00455E79">
      <w:pPr>
        <w:rPr>
          <w:rFonts w:ascii="Arial Narrow" w:hAnsi="Arial Narrow"/>
          <w:i/>
          <w:snapToGrid w:val="0"/>
          <w:sz w:val="18"/>
          <w:szCs w:val="22"/>
        </w:rPr>
      </w:pPr>
      <w:r w:rsidRPr="00455E79">
        <w:rPr>
          <w:rFonts w:ascii="Arial Narrow" w:hAnsi="Arial Narrow"/>
          <w:i/>
          <w:snapToGrid w:val="0"/>
          <w:sz w:val="18"/>
          <w:szCs w:val="22"/>
        </w:rPr>
        <w:t>The redacted values correspond to the following ranges:</w:t>
      </w:r>
    </w:p>
    <w:p w:rsidR="00455E79" w:rsidRPr="00455E79" w:rsidRDefault="00455E79" w:rsidP="00455E79">
      <w:pPr>
        <w:rPr>
          <w:rFonts w:ascii="Arial Narrow" w:hAnsi="Arial Narrow"/>
          <w:i/>
          <w:snapToGrid w:val="0"/>
          <w:sz w:val="18"/>
          <w:szCs w:val="22"/>
        </w:rPr>
      </w:pPr>
      <w:r w:rsidRPr="00455E79">
        <w:rPr>
          <w:rFonts w:ascii="Arial Narrow" w:hAnsi="Arial Narrow"/>
          <w:i/>
          <w:snapToGrid w:val="0"/>
          <w:sz w:val="18"/>
          <w:szCs w:val="22"/>
          <w:vertAlign w:val="superscript"/>
        </w:rPr>
        <w:t>1</w:t>
      </w:r>
      <w:r w:rsidRPr="00455E79">
        <w:rPr>
          <w:rFonts w:ascii="Arial Narrow" w:hAnsi="Arial Narrow"/>
          <w:i/>
          <w:snapToGrid w:val="0"/>
          <w:sz w:val="18"/>
          <w:szCs w:val="22"/>
        </w:rPr>
        <w:t xml:space="preserve"> $255,000 to &lt; $355,000/QALY gained</w:t>
      </w:r>
    </w:p>
    <w:p w:rsidR="00455E79" w:rsidRPr="00455E79" w:rsidRDefault="00455E79" w:rsidP="00455E79">
      <w:pPr>
        <w:rPr>
          <w:rFonts w:ascii="Arial Narrow" w:hAnsi="Arial Narrow"/>
          <w:snapToGrid w:val="0"/>
          <w:sz w:val="18"/>
          <w:szCs w:val="22"/>
        </w:rPr>
      </w:pPr>
    </w:p>
    <w:p w:rsidR="00FC78E5" w:rsidRPr="007561D2" w:rsidRDefault="00FC78E5" w:rsidP="00CF0079">
      <w:pPr>
        <w:pStyle w:val="3-BodyText"/>
      </w:pPr>
      <w:r w:rsidRPr="007561D2">
        <w:t>The extrapolation of treatment benefits beyond the clinical trial data had the largest impact on the stepped economic evaluation. While Step 4 included the incorporation of multiple steps (extrapolation to a 10 year time horizon,</w:t>
      </w:r>
      <w:r w:rsidR="00CF0079" w:rsidRPr="007561D2">
        <w:t xml:space="preserve"> basing </w:t>
      </w:r>
      <w:r w:rsidR="00CF0079" w:rsidRPr="007561D2">
        <w:rPr>
          <w:rFonts w:cs="Times New Roman"/>
          <w:snapToGrid/>
          <w:lang w:eastAsia="en-GB"/>
        </w:rPr>
        <w:t>drug costs on extrapolated time to treatment discontinuation,</w:t>
      </w:r>
      <w:r w:rsidRPr="007561D2">
        <w:t xml:space="preserve"> incorporation of health state costs and post-progression anti-cancer treatments, and applying discounting), extrapolation was the only component that had an impact on this step. The inclusion of health state costs and post-progression anti-cancer treatment costs only changed the ICER by $</w:t>
      </w:r>
      <w:r w:rsidR="00CC3B71">
        <w:t>0 to &lt; $5,000</w:t>
      </w:r>
      <w:r w:rsidR="003F4402">
        <w:t>/QALY gained</w:t>
      </w:r>
      <w:r w:rsidRPr="007561D2">
        <w:t xml:space="preserve">. </w:t>
      </w:r>
    </w:p>
    <w:p w:rsidR="00FC78E5" w:rsidRPr="008C1387" w:rsidRDefault="00FC78E5" w:rsidP="00FC78E5">
      <w:pPr>
        <w:numPr>
          <w:ilvl w:val="1"/>
          <w:numId w:val="1"/>
        </w:numPr>
        <w:spacing w:after="120"/>
      </w:pPr>
      <w:r w:rsidRPr="007561D2">
        <w:t>Based on the economic model presented in the submission, treatment with tucatinib (+ capecitabine + trastuzumab) was associated with a cost per QALY gained of $</w:t>
      </w:r>
      <w:r w:rsidR="00CC3B71">
        <w:t>255,000 to &lt; $355,000</w:t>
      </w:r>
      <w:r w:rsidRPr="007561D2">
        <w:t xml:space="preserve"> compared with placebo (+ capecitabine + trastuzumab). </w:t>
      </w:r>
      <w:r w:rsidRPr="008C1387">
        <w:t>This ICER was likely underestimated due to</w:t>
      </w:r>
      <w:r w:rsidR="004F0A89" w:rsidRPr="008C1387">
        <w:t>:</w:t>
      </w:r>
      <w:r w:rsidRPr="008C1387">
        <w:t xml:space="preserve"> the use of utility values that appeared to be </w:t>
      </w:r>
      <w:r w:rsidR="00060D75" w:rsidRPr="008C1387">
        <w:t xml:space="preserve">unreliable and </w:t>
      </w:r>
      <w:r w:rsidRPr="008C1387">
        <w:t>overestimated</w:t>
      </w:r>
      <w:r w:rsidR="004F0A89" w:rsidRPr="008C1387">
        <w:t>;</w:t>
      </w:r>
      <w:r w:rsidRPr="008C1387">
        <w:t xml:space="preserve"> </w:t>
      </w:r>
      <w:r w:rsidR="004F0A89" w:rsidRPr="008C1387">
        <w:t xml:space="preserve">overestimation of OS due to </w:t>
      </w:r>
      <w:r w:rsidRPr="008C1387">
        <w:t>the use of Kaplan-Meier data until very few patients remained risk</w:t>
      </w:r>
      <w:r w:rsidR="004F0A89" w:rsidRPr="008C1387">
        <w:t xml:space="preserve"> and the use of an optimistic extrapolation function; and underestimation of tucatinib drug costs</w:t>
      </w:r>
      <w:r w:rsidRPr="008C1387">
        <w:t xml:space="preserve">. </w:t>
      </w:r>
    </w:p>
    <w:p w:rsidR="00FC78E5" w:rsidRPr="007561D2" w:rsidRDefault="00FC78E5" w:rsidP="00FC78E5">
      <w:pPr>
        <w:numPr>
          <w:ilvl w:val="1"/>
          <w:numId w:val="1"/>
        </w:numPr>
        <w:spacing w:after="120"/>
        <w:contextualSpacing/>
      </w:pPr>
      <w:r w:rsidRPr="007561D2">
        <w:t>The results of key sensitivity analyses presented in the submission and conducted during evaluation are summarised below.</w:t>
      </w:r>
    </w:p>
    <w:p w:rsidR="00FC78E5" w:rsidRPr="00FC78E5" w:rsidRDefault="00FC78E5" w:rsidP="00FC78E5">
      <w:pPr>
        <w:keepNext/>
        <w:keepLines/>
        <w:rPr>
          <w:rFonts w:ascii="Arial Narrow" w:eastAsiaTheme="majorEastAsia" w:hAnsi="Arial Narrow" w:cstheme="majorBidi"/>
          <w:b/>
          <w:bCs/>
          <w:sz w:val="20"/>
        </w:rPr>
      </w:pPr>
      <w:r w:rsidRPr="00FC78E5">
        <w:rPr>
          <w:rFonts w:ascii="Arial Narrow" w:eastAsiaTheme="majorEastAsia" w:hAnsi="Arial Narrow" w:cstheme="majorBidi"/>
          <w:b/>
          <w:bCs/>
          <w:sz w:val="20"/>
        </w:rPr>
        <w:t xml:space="preserve">Table </w:t>
      </w:r>
      <w:r w:rsidR="005A3392">
        <w:rPr>
          <w:rFonts w:ascii="Arial Narrow" w:eastAsiaTheme="majorEastAsia" w:hAnsi="Arial Narrow" w:cstheme="majorBidi"/>
          <w:b/>
          <w:bCs/>
          <w:sz w:val="20"/>
        </w:rPr>
        <w:t>1</w:t>
      </w:r>
      <w:r w:rsidR="00F924B4">
        <w:rPr>
          <w:rFonts w:ascii="Arial Narrow" w:eastAsiaTheme="majorEastAsia" w:hAnsi="Arial Narrow" w:cstheme="majorBidi"/>
          <w:b/>
          <w:bCs/>
          <w:sz w:val="20"/>
        </w:rPr>
        <w:t>3</w:t>
      </w:r>
      <w:r w:rsidRPr="00FC78E5">
        <w:rPr>
          <w:rFonts w:ascii="Arial Narrow" w:eastAsiaTheme="majorEastAsia" w:hAnsi="Arial Narrow" w:cstheme="majorBidi"/>
          <w:b/>
          <w:bCs/>
          <w:sz w:val="20"/>
        </w:rPr>
        <w:t>: Results of key sensitivity analyses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276"/>
        <w:gridCol w:w="1228"/>
      </w:tblGrid>
      <w:tr w:rsidR="00FC78E5" w:rsidRPr="00FC78E5" w:rsidTr="002D45DF">
        <w:trPr>
          <w:tblHeader/>
        </w:trPr>
        <w:tc>
          <w:tcPr>
            <w:tcW w:w="5382" w:type="dxa"/>
          </w:tcPr>
          <w:p w:rsidR="00FC78E5" w:rsidRPr="007561D2" w:rsidRDefault="00FC78E5" w:rsidP="00FC78E5">
            <w:pPr>
              <w:keepNext/>
              <w:keepLines/>
              <w:rPr>
                <w:rFonts w:ascii="Arial Narrow" w:eastAsiaTheme="majorEastAsia" w:hAnsi="Arial Narrow"/>
                <w:b/>
                <w:sz w:val="20"/>
                <w:lang w:val="en-US"/>
              </w:rPr>
            </w:pPr>
            <w:r w:rsidRPr="007561D2">
              <w:rPr>
                <w:rFonts w:ascii="Arial Narrow" w:eastAsiaTheme="majorEastAsia" w:hAnsi="Arial Narrow"/>
                <w:b/>
                <w:sz w:val="20"/>
                <w:lang w:val="en-US"/>
              </w:rPr>
              <w:t>Analyses</w:t>
            </w:r>
          </w:p>
        </w:tc>
        <w:tc>
          <w:tcPr>
            <w:tcW w:w="1417" w:type="dxa"/>
          </w:tcPr>
          <w:p w:rsidR="00FC78E5" w:rsidRPr="007561D2" w:rsidRDefault="00FC78E5" w:rsidP="00FC78E5">
            <w:pPr>
              <w:keepNext/>
              <w:keepLines/>
              <w:jc w:val="center"/>
              <w:rPr>
                <w:rFonts w:ascii="Arial Narrow" w:eastAsiaTheme="majorEastAsia" w:hAnsi="Arial Narrow"/>
                <w:b/>
                <w:sz w:val="20"/>
                <w:lang w:val="en-US"/>
              </w:rPr>
            </w:pPr>
            <w:r w:rsidRPr="007561D2">
              <w:rPr>
                <w:rFonts w:ascii="Arial Narrow" w:eastAsiaTheme="majorEastAsia" w:hAnsi="Arial Narrow"/>
                <w:b/>
                <w:sz w:val="20"/>
                <w:lang w:val="en-US"/>
              </w:rPr>
              <w:t>Incremental cost</w:t>
            </w:r>
          </w:p>
        </w:tc>
        <w:tc>
          <w:tcPr>
            <w:tcW w:w="1276" w:type="dxa"/>
          </w:tcPr>
          <w:p w:rsidR="00FC78E5" w:rsidRPr="007561D2" w:rsidRDefault="00FC78E5" w:rsidP="00FC78E5">
            <w:pPr>
              <w:keepNext/>
              <w:keepLines/>
              <w:jc w:val="center"/>
              <w:rPr>
                <w:rFonts w:ascii="Arial Narrow" w:eastAsiaTheme="majorEastAsia" w:hAnsi="Arial Narrow"/>
                <w:b/>
                <w:sz w:val="20"/>
                <w:lang w:val="en-US"/>
              </w:rPr>
            </w:pPr>
            <w:r w:rsidRPr="007561D2">
              <w:rPr>
                <w:rFonts w:ascii="Arial Narrow" w:eastAsiaTheme="majorEastAsia" w:hAnsi="Arial Narrow"/>
                <w:b/>
                <w:sz w:val="20"/>
                <w:lang w:val="en-US"/>
              </w:rPr>
              <w:t>Incremental QALY</w:t>
            </w:r>
          </w:p>
        </w:tc>
        <w:tc>
          <w:tcPr>
            <w:tcW w:w="1228" w:type="dxa"/>
          </w:tcPr>
          <w:p w:rsidR="00FC78E5" w:rsidRPr="007561D2" w:rsidRDefault="00FC78E5" w:rsidP="00FC78E5">
            <w:pPr>
              <w:keepNext/>
              <w:keepLines/>
              <w:jc w:val="center"/>
              <w:rPr>
                <w:rFonts w:ascii="Arial Narrow" w:eastAsiaTheme="majorEastAsia" w:hAnsi="Arial Narrow"/>
                <w:b/>
                <w:sz w:val="20"/>
                <w:lang w:val="en-US"/>
              </w:rPr>
            </w:pPr>
            <w:r w:rsidRPr="007561D2">
              <w:rPr>
                <w:rFonts w:ascii="Arial Narrow" w:eastAsiaTheme="majorEastAsia" w:hAnsi="Arial Narrow"/>
                <w:b/>
                <w:sz w:val="20"/>
                <w:lang w:val="en-US"/>
              </w:rPr>
              <w:t>ICER</w:t>
            </w:r>
          </w:p>
        </w:tc>
      </w:tr>
      <w:tr w:rsidR="00FC78E5" w:rsidRPr="00FC78E5" w:rsidTr="002D45DF">
        <w:trPr>
          <w:tblHeader/>
        </w:trPr>
        <w:tc>
          <w:tcPr>
            <w:tcW w:w="5382" w:type="dxa"/>
          </w:tcPr>
          <w:p w:rsidR="00FC78E5" w:rsidRPr="007561D2" w:rsidRDefault="00FC78E5" w:rsidP="00FC78E5">
            <w:pPr>
              <w:keepNext/>
              <w:keepLines/>
              <w:rPr>
                <w:rFonts w:ascii="Arial Narrow" w:eastAsiaTheme="majorEastAsia" w:hAnsi="Arial Narrow" w:cstheme="majorBidi"/>
                <w:b/>
                <w:bCs/>
                <w:sz w:val="20"/>
              </w:rPr>
            </w:pPr>
            <w:r w:rsidRPr="007561D2">
              <w:rPr>
                <w:rFonts w:ascii="Arial Narrow" w:eastAsiaTheme="majorEastAsia" w:hAnsi="Arial Narrow" w:cstheme="majorBidi"/>
                <w:b/>
                <w:bCs/>
                <w:sz w:val="20"/>
              </w:rPr>
              <w:t>Base case</w:t>
            </w:r>
          </w:p>
        </w:tc>
        <w:tc>
          <w:tcPr>
            <w:tcW w:w="1417" w:type="dxa"/>
          </w:tcPr>
          <w:p w:rsidR="00FC78E5" w:rsidRPr="007561D2" w:rsidRDefault="00FC78E5" w:rsidP="00FC78E5">
            <w:pPr>
              <w:keepNext/>
              <w:keepLines/>
              <w:jc w:val="center"/>
              <w:rPr>
                <w:rFonts w:ascii="Arial Narrow" w:eastAsiaTheme="majorEastAsia" w:hAnsi="Arial Narrow" w:cstheme="majorBidi"/>
                <w:b/>
                <w:bCs/>
                <w:sz w:val="20"/>
                <w:szCs w:val="20"/>
              </w:rPr>
            </w:pPr>
            <w:r w:rsidRPr="007561D2">
              <w:rPr>
                <w:rFonts w:ascii="Arial Narrow" w:eastAsiaTheme="majorEastAsia" w:hAnsi="Arial Narrow" w:cstheme="majorBidi"/>
                <w:b/>
                <w:bCs/>
                <w:sz w:val="20"/>
                <w:szCs w:val="20"/>
              </w:rPr>
              <w:t>$</w:t>
            </w:r>
            <w:r w:rsidR="002A79BC">
              <w:rPr>
                <w:rFonts w:ascii="Arial Narrow" w:eastAsiaTheme="majorEastAsia" w:hAnsi="Arial Narrow" w:cstheme="majorBidi"/>
                <w:b/>
                <w:bCs/>
                <w:noProof/>
                <w:color w:val="000000"/>
                <w:sz w:val="20"/>
                <w:szCs w:val="20"/>
                <w:highlight w:val="black"/>
              </w:rPr>
              <w:t>'''''''''''''''''</w:t>
            </w:r>
          </w:p>
        </w:tc>
        <w:tc>
          <w:tcPr>
            <w:tcW w:w="1276" w:type="dxa"/>
          </w:tcPr>
          <w:p w:rsidR="00FC78E5" w:rsidRPr="007561D2" w:rsidRDefault="00FC78E5" w:rsidP="00FC78E5">
            <w:pPr>
              <w:keepNext/>
              <w:keepLines/>
              <w:jc w:val="center"/>
              <w:rPr>
                <w:rFonts w:ascii="Arial Narrow" w:eastAsiaTheme="majorEastAsia" w:hAnsi="Arial Narrow" w:cstheme="majorBidi"/>
                <w:b/>
                <w:bCs/>
                <w:sz w:val="20"/>
                <w:szCs w:val="20"/>
              </w:rPr>
            </w:pPr>
            <w:r w:rsidRPr="007561D2">
              <w:rPr>
                <w:rFonts w:ascii="Arial Narrow" w:eastAsiaTheme="majorEastAsia" w:hAnsi="Arial Narrow" w:cstheme="majorBidi"/>
                <w:b/>
                <w:bCs/>
                <w:sz w:val="20"/>
                <w:szCs w:val="20"/>
              </w:rPr>
              <w:t>0.46</w:t>
            </w:r>
          </w:p>
        </w:tc>
        <w:tc>
          <w:tcPr>
            <w:tcW w:w="1228" w:type="dxa"/>
          </w:tcPr>
          <w:p w:rsidR="00FC78E5" w:rsidRPr="007561D2" w:rsidRDefault="00FC78E5" w:rsidP="00FC78E5">
            <w:pPr>
              <w:keepNext/>
              <w:keepLines/>
              <w:jc w:val="center"/>
              <w:rPr>
                <w:rFonts w:ascii="Arial Narrow" w:eastAsiaTheme="majorEastAsia" w:hAnsi="Arial Narrow" w:cstheme="majorBidi"/>
                <w:b/>
                <w:bCs/>
                <w:sz w:val="20"/>
                <w:szCs w:val="20"/>
              </w:rPr>
            </w:pPr>
            <w:r w:rsidRPr="007561D2">
              <w:rPr>
                <w:rFonts w:ascii="Arial Narrow" w:eastAsiaTheme="majorEastAsia" w:hAnsi="Arial Narrow" w:cstheme="majorBidi"/>
                <w:b/>
                <w:bCs/>
                <w:sz w:val="20"/>
                <w:szCs w:val="20"/>
              </w:rPr>
              <w:t>$</w:t>
            </w:r>
            <w:r w:rsidR="002A79BC">
              <w:rPr>
                <w:rFonts w:ascii="Arial Narrow" w:eastAsiaTheme="majorEastAsia" w:hAnsi="Arial Narrow" w:cstheme="majorBidi"/>
                <w:b/>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Brain metastases population </w:t>
            </w:r>
          </w:p>
        </w:tc>
        <w:tc>
          <w:tcPr>
            <w:tcW w:w="1417" w:type="dxa"/>
          </w:tcPr>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tcPr>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0.47</w:t>
            </w:r>
          </w:p>
        </w:tc>
        <w:tc>
          <w:tcPr>
            <w:tcW w:w="1228" w:type="dxa"/>
          </w:tcPr>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Time horizon (base case: 10 years)</w:t>
            </w:r>
          </w:p>
          <w:p w:rsidR="00FC78E5" w:rsidRPr="007561D2" w:rsidRDefault="00FC78E5" w:rsidP="009C0F27">
            <w:pPr>
              <w:keepNext/>
              <w:keepLines/>
              <w:numPr>
                <w:ilvl w:val="0"/>
                <w:numId w:val="5"/>
              </w:numPr>
              <w:ind w:left="455" w:hanging="283"/>
              <w:rPr>
                <w:rFonts w:ascii="Arial Narrow" w:eastAsiaTheme="majorEastAsia" w:hAnsi="Arial Narrow" w:cstheme="majorBidi"/>
                <w:bCs/>
                <w:sz w:val="20"/>
              </w:rPr>
            </w:pPr>
            <w:r w:rsidRPr="007561D2">
              <w:rPr>
                <w:rFonts w:ascii="Arial Narrow" w:eastAsiaTheme="majorEastAsia" w:hAnsi="Arial Narrow" w:cstheme="majorBidi"/>
                <w:bCs/>
                <w:sz w:val="20"/>
              </w:rPr>
              <w:t>3 years</w:t>
            </w:r>
          </w:p>
          <w:p w:rsidR="00FC78E5" w:rsidRPr="007561D2" w:rsidRDefault="00FC78E5" w:rsidP="009C0F27">
            <w:pPr>
              <w:keepNext/>
              <w:keepLines/>
              <w:numPr>
                <w:ilvl w:val="0"/>
                <w:numId w:val="5"/>
              </w:numPr>
              <w:ind w:left="455" w:hanging="283"/>
              <w:rPr>
                <w:rFonts w:ascii="Arial Narrow" w:eastAsiaTheme="majorEastAsia" w:hAnsi="Arial Narrow" w:cstheme="majorBidi"/>
                <w:bCs/>
                <w:sz w:val="20"/>
              </w:rPr>
            </w:pPr>
            <w:r w:rsidRPr="007561D2">
              <w:rPr>
                <w:rFonts w:ascii="Arial Narrow" w:eastAsiaTheme="majorEastAsia" w:hAnsi="Arial Narrow" w:cstheme="majorBidi"/>
                <w:bCs/>
                <w:sz w:val="20"/>
              </w:rPr>
              <w:t>5 years</w:t>
            </w:r>
          </w:p>
        </w:tc>
        <w:tc>
          <w:tcPr>
            <w:tcW w:w="1417"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0.31</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0.43</w:t>
            </w:r>
          </w:p>
        </w:tc>
        <w:tc>
          <w:tcPr>
            <w:tcW w:w="1228"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2</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OS extrapolation (base case: Weibull)</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Log-logistic </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Gompertz</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Generalised gamma </w:t>
            </w:r>
          </w:p>
        </w:tc>
        <w:tc>
          <w:tcPr>
            <w:tcW w:w="1417"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p w:rsidR="00FC78E5" w:rsidRPr="002A79BC"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0.50</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0.39</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0.47</w:t>
            </w:r>
          </w:p>
        </w:tc>
        <w:tc>
          <w:tcPr>
            <w:tcW w:w="1228" w:type="dxa"/>
          </w:tcPr>
          <w:p w:rsidR="00FC78E5" w:rsidRPr="007561D2" w:rsidRDefault="00FC78E5" w:rsidP="00FC78E5">
            <w:pPr>
              <w:keepNext/>
              <w:keepLines/>
              <w:jc w:val="center"/>
              <w:rPr>
                <w:rFonts w:ascii="Arial Narrow" w:eastAsiaTheme="majorEastAsia" w:hAnsi="Arial Narrow" w:cstheme="majorBidi"/>
                <w:bCs/>
                <w:sz w:val="20"/>
                <w:szCs w:val="20"/>
              </w:rPr>
            </w:pP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p w:rsidR="00FC78E5" w:rsidRPr="007561D2" w:rsidRDefault="00FC78E5" w:rsidP="00FC78E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Treatment discontinuation (base case: based on TTD, Gompertz extrapolation in tucatinib arm, no extrapolation in placebo arm)</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Based on PFS</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Log-logistic in tucatinib arm (lower AIC/BIC than Gompertz)</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Weibull in tucatinib arm (lower AIC/BIC than Gompertz)</w:t>
            </w:r>
          </w:p>
        </w:tc>
        <w:tc>
          <w:tcPr>
            <w:tcW w:w="1417" w:type="dxa"/>
            <w:vAlign w:val="center"/>
          </w:tcPr>
          <w:p w:rsidR="002D45DF" w:rsidRDefault="002D45DF" w:rsidP="00FC78E5">
            <w:pPr>
              <w:keepNext/>
              <w:keepLines/>
              <w:jc w:val="center"/>
              <w:rPr>
                <w:rFonts w:ascii="Arial Narrow" w:eastAsiaTheme="majorEastAsia" w:hAnsi="Arial Narrow"/>
                <w:bCs/>
                <w:color w:val="000000"/>
                <w:sz w:val="20"/>
                <w:szCs w:val="20"/>
              </w:rPr>
            </w:pPr>
          </w:p>
          <w:p w:rsidR="002D45DF" w:rsidRDefault="002D45DF" w:rsidP="00FC78E5">
            <w:pPr>
              <w:keepNext/>
              <w:keepLines/>
              <w:jc w:val="center"/>
              <w:rPr>
                <w:rFonts w:ascii="Arial Narrow" w:eastAsiaTheme="majorEastAsia" w:hAnsi="Arial Narrow"/>
                <w:bCs/>
                <w:color w:val="000000"/>
                <w:sz w:val="20"/>
                <w:szCs w:val="20"/>
              </w:rPr>
            </w:pP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w:t>
            </w:r>
            <w:r w:rsidR="002A79BC">
              <w:rPr>
                <w:rFonts w:ascii="Arial Narrow" w:eastAsiaTheme="majorEastAsia" w:hAnsi="Arial Narrow"/>
                <w:bCs/>
                <w:noProof/>
                <w:color w:val="000000"/>
                <w:sz w:val="20"/>
                <w:szCs w:val="20"/>
                <w:highlight w:val="black"/>
              </w:rPr>
              <w:t>'''''''''''''''''</w:t>
            </w: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w:t>
            </w:r>
            <w:r w:rsidR="002A79BC">
              <w:rPr>
                <w:rFonts w:ascii="Arial Narrow" w:eastAsiaTheme="majorEastAsia" w:hAnsi="Arial Narrow"/>
                <w:bCs/>
                <w:noProof/>
                <w:color w:val="000000"/>
                <w:sz w:val="20"/>
                <w:szCs w:val="20"/>
                <w:highlight w:val="black"/>
              </w:rPr>
              <w:t>'''''''''''''''''''''</w:t>
            </w: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w:t>
            </w:r>
            <w:r w:rsidR="002A79BC">
              <w:rPr>
                <w:rFonts w:ascii="Arial Narrow" w:eastAsiaTheme="majorEastAsia" w:hAnsi="Arial Narrow"/>
                <w:bCs/>
                <w:noProof/>
                <w:color w:val="000000"/>
                <w:sz w:val="20"/>
                <w:szCs w:val="20"/>
                <w:highlight w:val="black"/>
              </w:rPr>
              <w:t>'''''''''''''''''''''</w:t>
            </w:r>
          </w:p>
        </w:tc>
        <w:tc>
          <w:tcPr>
            <w:tcW w:w="1276" w:type="dxa"/>
            <w:vAlign w:val="center"/>
          </w:tcPr>
          <w:p w:rsidR="00FC78E5" w:rsidRPr="007561D2" w:rsidRDefault="00FC78E5" w:rsidP="00FC78E5">
            <w:pPr>
              <w:keepNext/>
              <w:keepLines/>
              <w:jc w:val="center"/>
              <w:rPr>
                <w:rFonts w:ascii="Arial Narrow" w:eastAsiaTheme="majorEastAsia" w:hAnsi="Arial Narrow"/>
                <w:bCs/>
                <w:color w:val="000000"/>
                <w:sz w:val="20"/>
                <w:szCs w:val="20"/>
              </w:rPr>
            </w:pPr>
          </w:p>
          <w:p w:rsidR="002D45DF" w:rsidRDefault="002D45DF" w:rsidP="00FC78E5">
            <w:pPr>
              <w:keepNext/>
              <w:keepLines/>
              <w:jc w:val="center"/>
              <w:rPr>
                <w:rFonts w:ascii="Arial Narrow" w:eastAsiaTheme="majorEastAsia" w:hAnsi="Arial Narrow"/>
                <w:bCs/>
                <w:color w:val="000000"/>
                <w:sz w:val="20"/>
                <w:szCs w:val="20"/>
              </w:rPr>
            </w:pP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0.46</w:t>
            </w: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0.46</w:t>
            </w:r>
          </w:p>
          <w:p w:rsidR="00FC78E5" w:rsidRPr="007561D2" w:rsidRDefault="00FC78E5" w:rsidP="00FC78E5">
            <w:pPr>
              <w:keepNext/>
              <w:keepLines/>
              <w:jc w:val="center"/>
              <w:rPr>
                <w:rFonts w:ascii="Arial Narrow" w:eastAsiaTheme="majorEastAsia" w:hAnsi="Arial Narrow"/>
                <w:bCs/>
                <w:color w:val="000000"/>
                <w:sz w:val="20"/>
                <w:szCs w:val="20"/>
              </w:rPr>
            </w:pPr>
            <w:r w:rsidRPr="007561D2">
              <w:rPr>
                <w:rFonts w:ascii="Arial Narrow" w:eastAsiaTheme="majorEastAsia" w:hAnsi="Arial Narrow"/>
                <w:bCs/>
                <w:color w:val="000000"/>
                <w:sz w:val="20"/>
                <w:szCs w:val="20"/>
              </w:rPr>
              <w:t>0.46</w:t>
            </w:r>
          </w:p>
        </w:tc>
        <w:tc>
          <w:tcPr>
            <w:tcW w:w="1228" w:type="dxa"/>
            <w:vAlign w:val="center"/>
          </w:tcPr>
          <w:p w:rsidR="00FC78E5" w:rsidRPr="007561D2" w:rsidRDefault="00FC78E5" w:rsidP="00FC78E5">
            <w:pPr>
              <w:keepNext/>
              <w:keepLines/>
              <w:jc w:val="center"/>
              <w:rPr>
                <w:rFonts w:ascii="Arial Narrow" w:eastAsiaTheme="majorEastAsia" w:hAnsi="Arial Narrow"/>
                <w:bCs/>
                <w:sz w:val="20"/>
                <w:szCs w:val="20"/>
              </w:rPr>
            </w:pPr>
          </w:p>
          <w:p w:rsidR="002D45DF" w:rsidRDefault="002D45DF" w:rsidP="00FC78E5">
            <w:pPr>
              <w:keepNext/>
              <w:keepLines/>
              <w:jc w:val="center"/>
              <w:rPr>
                <w:rFonts w:ascii="Arial Narrow" w:eastAsiaTheme="majorEastAsia" w:hAnsi="Arial Narrow"/>
                <w:bCs/>
                <w:sz w:val="20"/>
                <w:szCs w:val="20"/>
              </w:rPr>
            </w:pPr>
          </w:p>
          <w:p w:rsidR="00FC78E5" w:rsidRPr="007561D2" w:rsidRDefault="00FC78E5" w:rsidP="00FC78E5">
            <w:pPr>
              <w:keepNext/>
              <w:keepLines/>
              <w:jc w:val="center"/>
              <w:rPr>
                <w:rFonts w:ascii="Arial Narrow" w:eastAsiaTheme="majorEastAsia" w:hAnsi="Arial Narrow"/>
                <w:bCs/>
                <w:sz w:val="20"/>
                <w:szCs w:val="20"/>
              </w:rPr>
            </w:pPr>
            <w:r w:rsidRPr="007561D2">
              <w:rPr>
                <w:rFonts w:ascii="Arial Narrow" w:eastAsiaTheme="majorEastAsia" w:hAnsi="Arial Narrow"/>
                <w:bCs/>
                <w:sz w:val="20"/>
                <w:szCs w:val="20"/>
              </w:rPr>
              <w:t>$</w:t>
            </w:r>
            <w:r w:rsidR="002A79BC">
              <w:rPr>
                <w:rFonts w:ascii="Arial Narrow" w:eastAsiaTheme="majorEastAsia" w:hAnsi="Arial Narrow"/>
                <w:bCs/>
                <w:noProof/>
                <w:color w:val="000000"/>
                <w:sz w:val="20"/>
                <w:szCs w:val="20"/>
                <w:highlight w:val="black"/>
              </w:rPr>
              <w:t>'''''''''''''''''''''</w:t>
            </w:r>
            <w:r w:rsidR="00CC3B71">
              <w:rPr>
                <w:rFonts w:ascii="Arial Narrow" w:hAnsi="Arial Narrow"/>
                <w:snapToGrid w:val="0"/>
                <w:sz w:val="18"/>
                <w:szCs w:val="22"/>
                <w:vertAlign w:val="superscript"/>
              </w:rPr>
              <w:t>1</w:t>
            </w:r>
          </w:p>
          <w:p w:rsidR="00FC78E5" w:rsidRPr="007561D2" w:rsidRDefault="00FC78E5" w:rsidP="00FC78E5">
            <w:pPr>
              <w:keepNext/>
              <w:keepLines/>
              <w:jc w:val="center"/>
              <w:rPr>
                <w:rFonts w:ascii="Arial Narrow" w:eastAsiaTheme="majorEastAsia" w:hAnsi="Arial Narrow"/>
                <w:bCs/>
                <w:sz w:val="20"/>
                <w:szCs w:val="20"/>
              </w:rPr>
            </w:pPr>
            <w:r w:rsidRPr="007561D2">
              <w:rPr>
                <w:rFonts w:ascii="Arial Narrow" w:eastAsiaTheme="majorEastAsia" w:hAnsi="Arial Narrow"/>
                <w:bCs/>
                <w:sz w:val="20"/>
                <w:szCs w:val="20"/>
              </w:rPr>
              <w:t>$</w:t>
            </w:r>
            <w:r w:rsidR="002A79BC">
              <w:rPr>
                <w:rFonts w:ascii="Arial Narrow" w:eastAsiaTheme="majorEastAsia" w:hAnsi="Arial Narrow"/>
                <w:bCs/>
                <w:noProof/>
                <w:color w:val="000000"/>
                <w:sz w:val="20"/>
                <w:szCs w:val="20"/>
                <w:highlight w:val="black"/>
              </w:rPr>
              <w:t>''''''''''''''''''''</w:t>
            </w:r>
            <w:r w:rsidR="00CC3B71">
              <w:rPr>
                <w:rFonts w:ascii="Arial Narrow" w:hAnsi="Arial Narrow"/>
                <w:snapToGrid w:val="0"/>
                <w:sz w:val="18"/>
                <w:szCs w:val="22"/>
                <w:vertAlign w:val="superscript"/>
              </w:rPr>
              <w:t>1</w:t>
            </w:r>
          </w:p>
          <w:p w:rsidR="00FC78E5" w:rsidRPr="007561D2" w:rsidRDefault="00FC78E5" w:rsidP="00FC78E5">
            <w:pPr>
              <w:keepNext/>
              <w:keepLines/>
              <w:jc w:val="center"/>
              <w:rPr>
                <w:rFonts w:ascii="Arial Narrow" w:eastAsiaTheme="majorEastAsia" w:hAnsi="Arial Narrow"/>
                <w:bCs/>
                <w:sz w:val="20"/>
                <w:szCs w:val="20"/>
              </w:rPr>
            </w:pPr>
            <w:r w:rsidRPr="007561D2">
              <w:rPr>
                <w:rFonts w:ascii="Arial Narrow" w:eastAsiaTheme="majorEastAsia" w:hAnsi="Arial Narrow"/>
                <w:bCs/>
                <w:sz w:val="20"/>
                <w:szCs w:val="20"/>
              </w:rPr>
              <w:t>$</w:t>
            </w:r>
            <w:r w:rsidR="002A79BC">
              <w:rPr>
                <w:rFonts w:ascii="Arial Narrow" w:eastAsiaTheme="majorEastAsia" w:hAnsi="Arial Narrow"/>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Utilities (base case: HER2CLIMB trial; PFS: 0.808 to 0.872; PD: 0.738)</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Lloyd 2006 (PFS: 0.786 PD: 0.538; same utility applied to each arm) </w:t>
            </w:r>
          </w:p>
        </w:tc>
        <w:tc>
          <w:tcPr>
            <w:tcW w:w="1417" w:type="dxa"/>
            <w:vAlign w:val="center"/>
          </w:tcPr>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vAlign w:val="center"/>
          </w:tcPr>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0.40</w:t>
            </w:r>
          </w:p>
        </w:tc>
        <w:tc>
          <w:tcPr>
            <w:tcW w:w="1228" w:type="dxa"/>
            <w:vAlign w:val="center"/>
          </w:tcPr>
          <w:p w:rsidR="00FC78E5" w:rsidRPr="007561D2" w:rsidRDefault="001E6055" w:rsidP="001E6055">
            <w:pPr>
              <w:keepNext/>
              <w:keepLines/>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Tucatinib drug costs (based on per mg basis; tucatinib cost per cycle: $7,184)</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Assuming patients use full tablets ($7,593.69 per cycle)  </w:t>
            </w:r>
          </w:p>
        </w:tc>
        <w:tc>
          <w:tcPr>
            <w:tcW w:w="1417" w:type="dxa"/>
            <w:vAlign w:val="center"/>
          </w:tcPr>
          <w:p w:rsidR="002D45DF" w:rsidRDefault="002D45DF" w:rsidP="001E6055">
            <w:pPr>
              <w:keepNext/>
              <w:keepLines/>
              <w:tabs>
                <w:tab w:val="left" w:pos="299"/>
                <w:tab w:val="center" w:pos="671"/>
              </w:tabs>
              <w:jc w:val="center"/>
              <w:rPr>
                <w:rFonts w:ascii="Arial Narrow" w:eastAsiaTheme="majorEastAsia" w:hAnsi="Arial Narrow" w:cstheme="majorBidi"/>
                <w:bCs/>
                <w:sz w:val="20"/>
              </w:rPr>
            </w:pPr>
          </w:p>
          <w:p w:rsidR="002D45DF" w:rsidRDefault="002D45DF" w:rsidP="001E6055">
            <w:pPr>
              <w:keepNext/>
              <w:keepLines/>
              <w:tabs>
                <w:tab w:val="left" w:pos="299"/>
                <w:tab w:val="center" w:pos="671"/>
              </w:tabs>
              <w:jc w:val="center"/>
              <w:rPr>
                <w:rFonts w:ascii="Arial Narrow" w:eastAsiaTheme="majorEastAsia" w:hAnsi="Arial Narrow" w:cstheme="majorBidi"/>
                <w:bCs/>
                <w:sz w:val="20"/>
              </w:rPr>
            </w:pPr>
          </w:p>
          <w:p w:rsidR="00FC78E5" w:rsidRPr="007561D2" w:rsidRDefault="00FC78E5" w:rsidP="001E6055">
            <w:pPr>
              <w:keepNext/>
              <w:keepLines/>
              <w:tabs>
                <w:tab w:val="left" w:pos="299"/>
                <w:tab w:val="center" w:pos="671"/>
              </w:tab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6" w:type="dxa"/>
            <w:vAlign w:val="center"/>
          </w:tcPr>
          <w:p w:rsidR="002D45DF" w:rsidRDefault="002D45DF" w:rsidP="001E6055">
            <w:pPr>
              <w:keepNext/>
              <w:keepLines/>
              <w:jc w:val="center"/>
              <w:rPr>
                <w:rFonts w:ascii="Arial Narrow" w:eastAsiaTheme="majorEastAsia" w:hAnsi="Arial Narrow" w:cstheme="majorBidi"/>
                <w:bCs/>
                <w:sz w:val="20"/>
              </w:rPr>
            </w:pPr>
          </w:p>
          <w:p w:rsidR="002D45DF" w:rsidRDefault="002D45DF" w:rsidP="001E6055">
            <w:pPr>
              <w:keepNext/>
              <w:keepLines/>
              <w:jc w:val="center"/>
              <w:rPr>
                <w:rFonts w:ascii="Arial Narrow" w:eastAsiaTheme="majorEastAsia" w:hAnsi="Arial Narrow" w:cstheme="majorBidi"/>
                <w:bCs/>
                <w:sz w:val="20"/>
              </w:rPr>
            </w:pPr>
          </w:p>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rPr>
              <w:t>0.46</w:t>
            </w:r>
          </w:p>
        </w:tc>
        <w:tc>
          <w:tcPr>
            <w:tcW w:w="1228" w:type="dxa"/>
            <w:vAlign w:val="center"/>
          </w:tcPr>
          <w:p w:rsidR="002D45DF" w:rsidRDefault="002D45DF" w:rsidP="001E6055">
            <w:pPr>
              <w:keepNext/>
              <w:keepLines/>
              <w:jc w:val="center"/>
              <w:rPr>
                <w:rFonts w:ascii="Arial Narrow" w:eastAsiaTheme="majorEastAsia" w:hAnsi="Arial Narrow" w:cstheme="majorBidi"/>
                <w:bCs/>
                <w:sz w:val="20"/>
              </w:rPr>
            </w:pPr>
          </w:p>
          <w:p w:rsidR="002D45DF" w:rsidRDefault="002D45DF" w:rsidP="001E6055">
            <w:pPr>
              <w:keepNext/>
              <w:keepLines/>
              <w:jc w:val="center"/>
              <w:rPr>
                <w:rFonts w:ascii="Arial Narrow" w:eastAsiaTheme="majorEastAsia" w:hAnsi="Arial Narrow" w:cstheme="majorBidi"/>
                <w:bCs/>
                <w:sz w:val="20"/>
              </w:rPr>
            </w:pPr>
          </w:p>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OS extrapolation – point until which Kaplan-Meier data are used (base case: 135 and 101 weeks)</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20% </w:t>
            </w:r>
            <w:r w:rsidR="00526B43">
              <w:rPr>
                <w:rFonts w:ascii="Arial Narrow" w:eastAsiaTheme="majorEastAsia" w:hAnsi="Arial Narrow" w:cstheme="majorBidi"/>
                <w:bCs/>
                <w:i/>
                <w:sz w:val="20"/>
              </w:rPr>
              <w:t xml:space="preserve">of patients </w:t>
            </w:r>
            <w:r w:rsidR="004F0A89">
              <w:rPr>
                <w:rFonts w:ascii="Arial Narrow" w:eastAsiaTheme="majorEastAsia" w:hAnsi="Arial Narrow" w:cstheme="majorBidi"/>
                <w:bCs/>
                <w:i/>
                <w:sz w:val="20"/>
              </w:rPr>
              <w:t xml:space="preserve">remain </w:t>
            </w:r>
            <w:r w:rsidRPr="007561D2">
              <w:rPr>
                <w:rFonts w:ascii="Arial Narrow" w:eastAsiaTheme="majorEastAsia" w:hAnsi="Arial Narrow" w:cstheme="majorBidi"/>
                <w:bCs/>
                <w:sz w:val="20"/>
              </w:rPr>
              <w:t>at risk in each arm (78 weeks in the tucatinib arm and 72 weeks in the placebo arm)</w:t>
            </w:r>
          </w:p>
        </w:tc>
        <w:tc>
          <w:tcPr>
            <w:tcW w:w="1417"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0.41</w:t>
            </w:r>
          </w:p>
        </w:tc>
        <w:tc>
          <w:tcPr>
            <w:tcW w:w="1228"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eastAsiaTheme="majorEastAsia" w:hAnsi="Arial Narrow" w:cstheme="majorBidi"/>
                <w:bCs/>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2D45DF">
        <w:tc>
          <w:tcPr>
            <w:tcW w:w="5382" w:type="dxa"/>
          </w:tcPr>
          <w:p w:rsidR="00FC78E5" w:rsidRPr="007561D2" w:rsidRDefault="00FC78E5" w:rsidP="00FC78E5">
            <w:pPr>
              <w:keepNext/>
              <w:keepLines/>
              <w:rPr>
                <w:rFonts w:ascii="Arial Narrow" w:eastAsiaTheme="majorEastAsia" w:hAnsi="Arial Narrow" w:cstheme="majorBidi"/>
                <w:bCs/>
                <w:sz w:val="20"/>
              </w:rPr>
            </w:pPr>
            <w:r w:rsidRPr="007561D2">
              <w:rPr>
                <w:rFonts w:ascii="Arial Narrow" w:eastAsiaTheme="majorEastAsia" w:hAnsi="Arial Narrow" w:cstheme="majorBidi"/>
                <w:bCs/>
                <w:sz w:val="20"/>
              </w:rPr>
              <w:t>PFS extrapolation – point until which Kaplan-Meier data are used (base case: 135 weeks and 86 weeks)</w:t>
            </w:r>
          </w:p>
          <w:p w:rsidR="00FC78E5" w:rsidRPr="007561D2" w:rsidRDefault="00FC78E5" w:rsidP="009C0F27">
            <w:pPr>
              <w:keepNext/>
              <w:keepLines/>
              <w:numPr>
                <w:ilvl w:val="0"/>
                <w:numId w:val="5"/>
              </w:numPr>
              <w:ind w:left="311" w:hanging="142"/>
              <w:rPr>
                <w:rFonts w:ascii="Arial Narrow" w:eastAsiaTheme="majorEastAsia" w:hAnsi="Arial Narrow" w:cstheme="majorBidi"/>
                <w:bCs/>
                <w:sz w:val="20"/>
              </w:rPr>
            </w:pPr>
            <w:r w:rsidRPr="007561D2">
              <w:rPr>
                <w:rFonts w:ascii="Arial Narrow" w:eastAsiaTheme="majorEastAsia" w:hAnsi="Arial Narrow" w:cstheme="majorBidi"/>
                <w:bCs/>
                <w:sz w:val="20"/>
              </w:rPr>
              <w:t xml:space="preserve">20% </w:t>
            </w:r>
            <w:r w:rsidR="00526B43">
              <w:rPr>
                <w:rFonts w:ascii="Arial Narrow" w:eastAsiaTheme="majorEastAsia" w:hAnsi="Arial Narrow" w:cstheme="majorBidi"/>
                <w:bCs/>
                <w:i/>
                <w:sz w:val="20"/>
              </w:rPr>
              <w:t xml:space="preserve">of patients </w:t>
            </w:r>
            <w:r w:rsidR="004F0A89">
              <w:rPr>
                <w:rFonts w:ascii="Arial Narrow" w:eastAsiaTheme="majorEastAsia" w:hAnsi="Arial Narrow" w:cstheme="majorBidi"/>
                <w:bCs/>
                <w:i/>
                <w:sz w:val="20"/>
              </w:rPr>
              <w:t xml:space="preserve">remain </w:t>
            </w:r>
            <w:r w:rsidRPr="007561D2">
              <w:rPr>
                <w:rFonts w:ascii="Arial Narrow" w:eastAsiaTheme="majorEastAsia" w:hAnsi="Arial Narrow" w:cstheme="majorBidi"/>
                <w:bCs/>
                <w:sz w:val="20"/>
              </w:rPr>
              <w:t>at risk in each arm (46 weeks in the tucatinib arm and 37 weeks in the placebo arm)</w:t>
            </w:r>
          </w:p>
        </w:tc>
        <w:tc>
          <w:tcPr>
            <w:tcW w:w="1417"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hAnsi="Arial Narrow"/>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p>
        </w:tc>
        <w:tc>
          <w:tcPr>
            <w:tcW w:w="1276"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hAnsi="Arial Narrow"/>
                <w:sz w:val="20"/>
                <w:szCs w:val="20"/>
              </w:rPr>
            </w:pPr>
            <w:r w:rsidRPr="007561D2">
              <w:rPr>
                <w:rFonts w:ascii="Arial Narrow" w:eastAsiaTheme="majorEastAsia" w:hAnsi="Arial Narrow" w:cstheme="majorBidi"/>
                <w:bCs/>
                <w:sz w:val="20"/>
                <w:szCs w:val="20"/>
              </w:rPr>
              <w:t>0.44</w:t>
            </w:r>
          </w:p>
        </w:tc>
        <w:tc>
          <w:tcPr>
            <w:tcW w:w="1228" w:type="dxa"/>
            <w:vAlign w:val="center"/>
          </w:tcPr>
          <w:p w:rsidR="002D45DF" w:rsidRDefault="002D45DF" w:rsidP="001E6055">
            <w:pPr>
              <w:keepNext/>
              <w:keepLines/>
              <w:jc w:val="center"/>
              <w:rPr>
                <w:rFonts w:ascii="Arial Narrow" w:eastAsiaTheme="majorEastAsia" w:hAnsi="Arial Narrow" w:cstheme="majorBidi"/>
                <w:bCs/>
                <w:sz w:val="20"/>
                <w:szCs w:val="20"/>
              </w:rPr>
            </w:pPr>
          </w:p>
          <w:p w:rsidR="00FC78E5" w:rsidRPr="007561D2" w:rsidRDefault="00FC78E5" w:rsidP="001E6055">
            <w:pPr>
              <w:keepNext/>
              <w:keepLines/>
              <w:jc w:val="center"/>
              <w:rPr>
                <w:rFonts w:ascii="Arial Narrow" w:hAnsi="Arial Narrow"/>
                <w:sz w:val="20"/>
                <w:szCs w:val="20"/>
              </w:rPr>
            </w:pPr>
            <w:r w:rsidRPr="007561D2">
              <w:rPr>
                <w:rFonts w:ascii="Arial Narrow" w:eastAsiaTheme="majorEastAsia" w:hAnsi="Arial Narrow" w:cstheme="majorBidi"/>
                <w:bCs/>
                <w:sz w:val="20"/>
                <w:szCs w:val="20"/>
              </w:rPr>
              <w:t>$</w:t>
            </w:r>
            <w:r w:rsidR="002A79BC">
              <w:rPr>
                <w:rFonts w:ascii="Arial Narrow" w:eastAsiaTheme="majorEastAsia" w:hAnsi="Arial Narrow" w:cstheme="majorBidi"/>
                <w:bCs/>
                <w:noProof/>
                <w:color w:val="000000"/>
                <w:sz w:val="20"/>
                <w:szCs w:val="20"/>
                <w:highlight w:val="black"/>
              </w:rPr>
              <w:t>''''''''''''''''''</w:t>
            </w:r>
            <w:r w:rsidR="00CC3B71">
              <w:rPr>
                <w:rFonts w:ascii="Arial Narrow" w:hAnsi="Arial Narrow"/>
                <w:snapToGrid w:val="0"/>
                <w:sz w:val="18"/>
                <w:szCs w:val="22"/>
                <w:vertAlign w:val="superscript"/>
              </w:rPr>
              <w:t>1</w:t>
            </w:r>
          </w:p>
        </w:tc>
      </w:tr>
      <w:tr w:rsidR="00FC78E5" w:rsidRPr="00FC78E5" w:rsidTr="00FC78E5">
        <w:tc>
          <w:tcPr>
            <w:tcW w:w="9303" w:type="dxa"/>
            <w:gridSpan w:val="4"/>
          </w:tcPr>
          <w:p w:rsidR="00FC78E5" w:rsidRPr="007561D2" w:rsidRDefault="00FC78E5" w:rsidP="00FC78E5">
            <w:pPr>
              <w:keepNext/>
              <w:keepLines/>
              <w:rPr>
                <w:rFonts w:ascii="Arial Narrow" w:eastAsiaTheme="majorEastAsia" w:hAnsi="Arial Narrow"/>
                <w:b/>
                <w:sz w:val="20"/>
                <w:lang w:val="en-US"/>
              </w:rPr>
            </w:pPr>
            <w:r w:rsidRPr="007561D2">
              <w:rPr>
                <w:rFonts w:ascii="Arial Narrow" w:eastAsiaTheme="majorEastAsia" w:hAnsi="Arial Narrow"/>
                <w:b/>
                <w:sz w:val="20"/>
                <w:lang w:val="en-US"/>
              </w:rPr>
              <w:t>Multivariate analyses</w:t>
            </w:r>
          </w:p>
        </w:tc>
      </w:tr>
      <w:tr w:rsidR="00FC78E5" w:rsidRPr="008C1387" w:rsidTr="002D45DF">
        <w:tc>
          <w:tcPr>
            <w:tcW w:w="5382" w:type="dxa"/>
          </w:tcPr>
          <w:p w:rsidR="00FC78E5" w:rsidRPr="008C1387" w:rsidRDefault="00FC78E5" w:rsidP="005C4BA8">
            <w:pPr>
              <w:keepNext/>
              <w:keepLines/>
              <w:rPr>
                <w:rFonts w:ascii="Arial Narrow" w:eastAsiaTheme="majorEastAsia" w:hAnsi="Arial Narrow" w:cstheme="majorBidi"/>
                <w:bCs/>
                <w:sz w:val="20"/>
              </w:rPr>
            </w:pPr>
            <w:r w:rsidRPr="008C1387">
              <w:rPr>
                <w:rFonts w:ascii="Arial Narrow" w:eastAsiaTheme="majorEastAsia" w:hAnsi="Arial Narrow" w:cstheme="majorBidi"/>
                <w:b/>
                <w:bCs/>
                <w:sz w:val="20"/>
              </w:rPr>
              <w:t>A</w:t>
            </w:r>
            <w:r w:rsidR="005C4BA8" w:rsidRPr="008C1387">
              <w:rPr>
                <w:rFonts w:ascii="Arial Narrow" w:eastAsiaTheme="majorEastAsia" w:hAnsi="Arial Narrow" w:cstheme="majorBidi"/>
                <w:b/>
                <w:bCs/>
                <w:sz w:val="20"/>
              </w:rPr>
              <w:t xml:space="preserve"> = </w:t>
            </w:r>
            <w:r w:rsidRPr="008C1387">
              <w:rPr>
                <w:rFonts w:ascii="Arial Narrow" w:eastAsiaTheme="majorEastAsia" w:hAnsi="Arial Narrow" w:cstheme="majorBidi"/>
                <w:bCs/>
                <w:sz w:val="20"/>
              </w:rPr>
              <w:t xml:space="preserve"> OS and PFS extrapolation – use Kaplan-Meier data until 20% </w:t>
            </w:r>
            <w:r w:rsidR="00526B43" w:rsidRPr="008C1387">
              <w:rPr>
                <w:rFonts w:ascii="Arial Narrow" w:eastAsiaTheme="majorEastAsia" w:hAnsi="Arial Narrow" w:cstheme="majorBidi"/>
                <w:bCs/>
                <w:sz w:val="20"/>
              </w:rPr>
              <w:t xml:space="preserve">of patients </w:t>
            </w:r>
            <w:r w:rsidR="004F0A89" w:rsidRPr="008C1387">
              <w:rPr>
                <w:rFonts w:ascii="Arial Narrow" w:eastAsiaTheme="majorEastAsia" w:hAnsi="Arial Narrow" w:cstheme="majorBidi"/>
                <w:bCs/>
                <w:sz w:val="20"/>
              </w:rPr>
              <w:t xml:space="preserve">remain </w:t>
            </w:r>
            <w:r w:rsidRPr="008C1387">
              <w:rPr>
                <w:rFonts w:ascii="Arial Narrow" w:eastAsiaTheme="majorEastAsia" w:hAnsi="Arial Narrow" w:cstheme="majorBidi"/>
                <w:bCs/>
                <w:sz w:val="20"/>
              </w:rPr>
              <w:t>at risk for both PFS and OS</w:t>
            </w:r>
          </w:p>
        </w:tc>
        <w:tc>
          <w:tcPr>
            <w:tcW w:w="1417" w:type="dxa"/>
            <w:vAlign w:val="center"/>
          </w:tcPr>
          <w:p w:rsidR="00FC78E5" w:rsidRPr="008C1387" w:rsidRDefault="00FC78E5" w:rsidP="001E6055">
            <w:pPr>
              <w:keepNext/>
              <w:keepLines/>
              <w:jc w:val="cente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6" w:type="dxa"/>
            <w:vAlign w:val="center"/>
          </w:tcPr>
          <w:p w:rsidR="00FC78E5" w:rsidRPr="008C1387" w:rsidRDefault="00FC78E5" w:rsidP="001E6055">
            <w:pPr>
              <w:keepNext/>
              <w:keepLines/>
              <w:jc w:val="center"/>
            </w:pPr>
            <w:r w:rsidRPr="008C1387">
              <w:rPr>
                <w:rFonts w:ascii="Arial Narrow" w:eastAsiaTheme="majorEastAsia" w:hAnsi="Arial Narrow" w:cstheme="majorBidi"/>
                <w:bCs/>
                <w:sz w:val="20"/>
              </w:rPr>
              <w:t>0.39</w:t>
            </w:r>
          </w:p>
        </w:tc>
        <w:tc>
          <w:tcPr>
            <w:tcW w:w="1228" w:type="dxa"/>
            <w:vAlign w:val="center"/>
          </w:tcPr>
          <w:p w:rsidR="00FC78E5" w:rsidRPr="008C1387" w:rsidRDefault="00FC78E5" w:rsidP="001E6055">
            <w:pPr>
              <w:keepNext/>
              <w:keepLines/>
              <w:jc w:val="cente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CC3B71">
              <w:rPr>
                <w:rFonts w:ascii="Arial Narrow" w:hAnsi="Arial Narrow"/>
                <w:snapToGrid w:val="0"/>
                <w:sz w:val="18"/>
                <w:szCs w:val="22"/>
                <w:vertAlign w:val="superscript"/>
              </w:rPr>
              <w:t>1</w:t>
            </w:r>
          </w:p>
        </w:tc>
      </w:tr>
      <w:tr w:rsidR="00D52DC7" w:rsidRPr="008C1387" w:rsidTr="002D45DF">
        <w:tc>
          <w:tcPr>
            <w:tcW w:w="5382" w:type="dxa"/>
          </w:tcPr>
          <w:p w:rsidR="00D52DC7" w:rsidRPr="008C1387" w:rsidRDefault="005C4BA8" w:rsidP="00D52DC7">
            <w:pPr>
              <w:rPr>
                <w:rFonts w:ascii="Arial Narrow" w:eastAsiaTheme="majorEastAsia" w:hAnsi="Arial Narrow" w:cstheme="majorBidi"/>
                <w:bCs/>
                <w:sz w:val="20"/>
              </w:rPr>
            </w:pPr>
            <w:r w:rsidRPr="008C1387">
              <w:rPr>
                <w:rFonts w:ascii="Arial Narrow" w:eastAsiaTheme="majorEastAsia" w:hAnsi="Arial Narrow" w:cstheme="majorBidi"/>
                <w:b/>
                <w:bCs/>
                <w:sz w:val="20"/>
              </w:rPr>
              <w:t xml:space="preserve">B = </w:t>
            </w:r>
            <w:r w:rsidR="00D52DC7" w:rsidRPr="008C1387">
              <w:rPr>
                <w:rFonts w:ascii="Arial Narrow" w:eastAsiaTheme="majorEastAsia" w:hAnsi="Arial Narrow" w:cstheme="majorBidi"/>
                <w:b/>
                <w:bCs/>
                <w:sz w:val="20"/>
              </w:rPr>
              <w:t xml:space="preserve"> </w:t>
            </w:r>
            <w:r w:rsidR="00D52DC7" w:rsidRPr="008C1387">
              <w:rPr>
                <w:rFonts w:ascii="Arial Narrow" w:eastAsiaTheme="majorEastAsia" w:hAnsi="Arial Narrow" w:cstheme="majorBidi"/>
                <w:bCs/>
                <w:sz w:val="20"/>
              </w:rPr>
              <w:t>Treatment discontinuation extrapolation:</w:t>
            </w:r>
          </w:p>
          <w:p w:rsidR="00D52DC7" w:rsidRPr="008C1387" w:rsidRDefault="00D52DC7" w:rsidP="009C0F27">
            <w:pPr>
              <w:pStyle w:val="ListParagraph"/>
              <w:numPr>
                <w:ilvl w:val="0"/>
                <w:numId w:val="5"/>
              </w:numPr>
              <w:spacing w:after="0"/>
              <w:ind w:left="454" w:hanging="284"/>
              <w:rPr>
                <w:rFonts w:ascii="Arial Narrow" w:eastAsiaTheme="majorEastAsia" w:hAnsi="Arial Narrow" w:cstheme="majorBidi"/>
                <w:bCs/>
                <w:sz w:val="20"/>
              </w:rPr>
            </w:pPr>
            <w:r w:rsidRPr="008C1387">
              <w:rPr>
                <w:rFonts w:ascii="Arial Narrow" w:eastAsiaTheme="majorEastAsia" w:hAnsi="Arial Narrow" w:cstheme="majorBidi"/>
                <w:bCs/>
                <w:sz w:val="20"/>
              </w:rPr>
              <w:t xml:space="preserve">using log-logistic in both arms </w:t>
            </w:r>
            <w:r w:rsidR="002D45DF">
              <w:rPr>
                <w:rFonts w:ascii="Arial Narrow" w:eastAsiaTheme="majorEastAsia" w:hAnsi="Arial Narrow" w:cstheme="majorBidi"/>
                <w:bCs/>
                <w:sz w:val="20"/>
              </w:rPr>
              <w:t xml:space="preserve">and </w:t>
            </w:r>
          </w:p>
          <w:p w:rsidR="00D52DC7" w:rsidRPr="008C1387" w:rsidRDefault="00D52DC7" w:rsidP="009C0F27">
            <w:pPr>
              <w:pStyle w:val="ListParagraph"/>
              <w:numPr>
                <w:ilvl w:val="0"/>
                <w:numId w:val="5"/>
              </w:numPr>
              <w:spacing w:after="0"/>
              <w:ind w:left="454" w:hanging="284"/>
              <w:rPr>
                <w:rFonts w:ascii="Arial Narrow" w:eastAsiaTheme="majorEastAsia" w:hAnsi="Arial Narrow" w:cstheme="majorBidi"/>
                <w:b/>
                <w:bCs/>
                <w:sz w:val="20"/>
              </w:rPr>
            </w:pPr>
            <w:r w:rsidRPr="008C1387">
              <w:rPr>
                <w:rFonts w:ascii="Arial Narrow" w:eastAsiaTheme="majorEastAsia" w:hAnsi="Arial Narrow" w:cstheme="majorBidi"/>
                <w:bCs/>
                <w:sz w:val="20"/>
              </w:rPr>
              <w:t>extrapolated from 78 weeks in the tucatinib arm and 72 weeks in the placebo arm (per ‘OS extrapolation’ sensitivity analysis).</w:t>
            </w:r>
          </w:p>
        </w:tc>
        <w:tc>
          <w:tcPr>
            <w:tcW w:w="1417" w:type="dxa"/>
            <w:vAlign w:val="center"/>
          </w:tcPr>
          <w:p w:rsidR="00D52DC7" w:rsidRPr="008C1387" w:rsidRDefault="00D52DC7" w:rsidP="00D52DC7">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6" w:type="dxa"/>
            <w:vAlign w:val="center"/>
          </w:tcPr>
          <w:p w:rsidR="00D52DC7" w:rsidRPr="008C1387" w:rsidRDefault="00D52DC7" w:rsidP="00D52DC7">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0.46</w:t>
            </w:r>
          </w:p>
        </w:tc>
        <w:tc>
          <w:tcPr>
            <w:tcW w:w="1228" w:type="dxa"/>
            <w:vAlign w:val="center"/>
          </w:tcPr>
          <w:p w:rsidR="00D52DC7" w:rsidRPr="008C1387" w:rsidRDefault="00D52DC7" w:rsidP="00D52DC7">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CC3B71">
              <w:rPr>
                <w:rFonts w:ascii="Arial Narrow" w:hAnsi="Arial Narrow"/>
                <w:snapToGrid w:val="0"/>
                <w:sz w:val="18"/>
                <w:szCs w:val="22"/>
                <w:vertAlign w:val="superscript"/>
              </w:rPr>
              <w:t>1</w:t>
            </w:r>
          </w:p>
        </w:tc>
      </w:tr>
      <w:tr w:rsidR="00310F19" w:rsidRPr="008C1387" w:rsidTr="002D45DF">
        <w:tc>
          <w:tcPr>
            <w:tcW w:w="5382" w:type="dxa"/>
          </w:tcPr>
          <w:p w:rsidR="00310F19" w:rsidRPr="008C1387" w:rsidRDefault="00310F19" w:rsidP="00310F19">
            <w:pPr>
              <w:rPr>
                <w:rFonts w:ascii="Arial Narrow" w:eastAsiaTheme="majorEastAsia" w:hAnsi="Arial Narrow" w:cstheme="majorBidi"/>
                <w:bCs/>
                <w:sz w:val="20"/>
                <w:u w:val="single"/>
              </w:rPr>
            </w:pPr>
            <w:r w:rsidRPr="008C1387">
              <w:rPr>
                <w:rFonts w:ascii="Arial Narrow" w:eastAsiaTheme="majorEastAsia" w:hAnsi="Arial Narrow" w:cstheme="majorBidi"/>
                <w:bCs/>
                <w:sz w:val="20"/>
              </w:rPr>
              <w:t>Lloyd 2006 utilities + tucatinib drug costs based on full tablets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0F19" w:rsidRPr="008C1387" w:rsidRDefault="00310F19" w:rsidP="00310F19">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p>
        </w:tc>
        <w:tc>
          <w:tcPr>
            <w:tcW w:w="1276" w:type="dxa"/>
            <w:tcBorders>
              <w:top w:val="single" w:sz="4" w:space="0" w:color="auto"/>
              <w:left w:val="nil"/>
              <w:bottom w:val="single" w:sz="4" w:space="0" w:color="auto"/>
              <w:right w:val="single" w:sz="4" w:space="0" w:color="auto"/>
            </w:tcBorders>
            <w:shd w:val="clear" w:color="auto" w:fill="auto"/>
          </w:tcPr>
          <w:p w:rsidR="00310F19" w:rsidRPr="008C1387" w:rsidRDefault="00310F19" w:rsidP="00310F19">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0.40</w:t>
            </w:r>
          </w:p>
        </w:tc>
        <w:tc>
          <w:tcPr>
            <w:tcW w:w="1228" w:type="dxa"/>
            <w:tcBorders>
              <w:top w:val="single" w:sz="4" w:space="0" w:color="auto"/>
              <w:left w:val="nil"/>
              <w:bottom w:val="single" w:sz="4" w:space="0" w:color="auto"/>
              <w:right w:val="single" w:sz="4" w:space="0" w:color="auto"/>
            </w:tcBorders>
            <w:shd w:val="clear" w:color="auto" w:fill="auto"/>
          </w:tcPr>
          <w:p w:rsidR="00310F19" w:rsidRPr="008C1387" w:rsidRDefault="00310F19" w:rsidP="00310F19">
            <w:pPr>
              <w:keepNext/>
              <w:keepLines/>
              <w:jc w:val="center"/>
              <w:rPr>
                <w:rFonts w:ascii="Arial Narrow" w:hAnsi="Arial Narrow" w:cs="Calibri"/>
                <w:color w:val="000000"/>
                <w:sz w:val="20"/>
                <w:szCs w:val="20"/>
              </w:rPr>
            </w:pPr>
            <w:r w:rsidRPr="008C1387">
              <w:rPr>
                <w:rFonts w:ascii="Arial Narrow" w:eastAsiaTheme="majorEastAsia" w:hAnsi="Arial Narrow" w:cstheme="majorBidi"/>
                <w:bCs/>
                <w:sz w:val="20"/>
              </w:rPr>
              <w:t>$</w:t>
            </w:r>
            <w:r w:rsidR="002A79BC">
              <w:rPr>
                <w:rFonts w:ascii="Arial Narrow" w:eastAsiaTheme="majorEastAsia" w:hAnsi="Arial Narrow" w:cstheme="majorBidi"/>
                <w:bCs/>
                <w:noProof/>
                <w:color w:val="000000"/>
                <w:sz w:val="20"/>
                <w:highlight w:val="black"/>
              </w:rPr>
              <w:t>'''''''''''''''''''''</w:t>
            </w:r>
            <w:r w:rsidR="00CC3B71">
              <w:rPr>
                <w:rFonts w:ascii="Arial Narrow" w:hAnsi="Arial Narrow"/>
                <w:snapToGrid w:val="0"/>
                <w:sz w:val="18"/>
                <w:szCs w:val="22"/>
                <w:vertAlign w:val="superscript"/>
              </w:rPr>
              <w:t>1</w:t>
            </w:r>
          </w:p>
        </w:tc>
      </w:tr>
      <w:tr w:rsidR="00D52DC7" w:rsidRPr="008C1387" w:rsidTr="002D45DF">
        <w:tc>
          <w:tcPr>
            <w:tcW w:w="5382" w:type="dxa"/>
          </w:tcPr>
          <w:p w:rsidR="00D52DC7" w:rsidRPr="008C1387" w:rsidRDefault="00D52DC7" w:rsidP="00D52DC7">
            <w:pPr>
              <w:rPr>
                <w:rFonts w:ascii="Arial Narrow" w:eastAsiaTheme="majorEastAsia" w:hAnsi="Arial Narrow" w:cstheme="majorBidi"/>
                <w:bCs/>
                <w:sz w:val="20"/>
                <w:u w:val="single"/>
              </w:rPr>
            </w:pPr>
            <w:r w:rsidRPr="008C1387">
              <w:rPr>
                <w:rFonts w:ascii="Arial Narrow" w:eastAsiaTheme="majorEastAsia" w:hAnsi="Arial Narrow" w:cstheme="majorBidi"/>
                <w:bCs/>
                <w:sz w:val="20"/>
                <w:u w:val="single"/>
              </w:rPr>
              <w:t>PFS:</w:t>
            </w:r>
          </w:p>
          <w:p w:rsidR="00D52DC7" w:rsidRPr="008C1387" w:rsidRDefault="00D52DC7" w:rsidP="009C0F27">
            <w:pPr>
              <w:pStyle w:val="ListParagraph"/>
              <w:numPr>
                <w:ilvl w:val="0"/>
                <w:numId w:val="5"/>
              </w:numPr>
              <w:spacing w:after="0"/>
              <w:ind w:left="454" w:hanging="284"/>
              <w:rPr>
                <w:rFonts w:ascii="Arial Narrow" w:eastAsiaTheme="majorEastAsia" w:hAnsi="Arial Narrow" w:cstheme="majorBidi"/>
                <w:bCs/>
                <w:sz w:val="20"/>
              </w:rPr>
            </w:pPr>
            <w:r w:rsidRPr="008C1387">
              <w:rPr>
                <w:rFonts w:ascii="Arial Narrow" w:eastAsiaTheme="majorEastAsia" w:hAnsi="Arial Narrow" w:cstheme="majorBidi"/>
                <w:bCs/>
                <w:sz w:val="20"/>
              </w:rPr>
              <w:t xml:space="preserve">Extrapolation after 20% </w:t>
            </w:r>
            <w:r w:rsidR="00526B43" w:rsidRPr="008C1387">
              <w:rPr>
                <w:rFonts w:ascii="Arial Narrow" w:eastAsiaTheme="majorEastAsia" w:hAnsi="Arial Narrow" w:cstheme="majorBidi"/>
                <w:bCs/>
                <w:sz w:val="20"/>
              </w:rPr>
              <w:t xml:space="preserve">of patients </w:t>
            </w:r>
            <w:r w:rsidRPr="008C1387">
              <w:rPr>
                <w:rFonts w:ascii="Arial Narrow" w:eastAsiaTheme="majorEastAsia" w:hAnsi="Arial Narrow" w:cstheme="majorBidi"/>
                <w:bCs/>
                <w:sz w:val="20"/>
              </w:rPr>
              <w:t>at risk in each arm</w:t>
            </w:r>
            <w:r w:rsidR="002D45DF">
              <w:rPr>
                <w:rFonts w:ascii="Arial Narrow" w:eastAsiaTheme="majorEastAsia" w:hAnsi="Arial Narrow" w:cstheme="majorBidi"/>
                <w:bCs/>
                <w:sz w:val="20"/>
              </w:rPr>
              <w:t xml:space="preserve"> and</w:t>
            </w:r>
          </w:p>
          <w:p w:rsidR="00D52DC7" w:rsidRPr="008C1387" w:rsidRDefault="00D52DC7" w:rsidP="009C0F27">
            <w:pPr>
              <w:pStyle w:val="ListParagraph"/>
              <w:numPr>
                <w:ilvl w:val="0"/>
                <w:numId w:val="5"/>
              </w:numPr>
              <w:spacing w:after="0"/>
              <w:ind w:left="454" w:hanging="284"/>
              <w:rPr>
                <w:rFonts w:ascii="Arial Narrow" w:eastAsiaTheme="majorEastAsia" w:hAnsi="Arial Narrow" w:cstheme="majorBidi"/>
                <w:bCs/>
                <w:sz w:val="20"/>
              </w:rPr>
            </w:pPr>
            <w:r w:rsidRPr="008C1387">
              <w:rPr>
                <w:rFonts w:ascii="Arial Narrow" w:eastAsiaTheme="majorEastAsia" w:hAnsi="Arial Narrow" w:cstheme="majorBidi"/>
                <w:bCs/>
                <w:sz w:val="20"/>
              </w:rPr>
              <w:t>Lloyd 2006 utilities (which have a more plausible difference between PFS and PD utilities)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2DC7" w:rsidRPr="008C1387" w:rsidRDefault="00D52DC7" w:rsidP="00D52DC7">
            <w:pPr>
              <w:keepNext/>
              <w:keepLines/>
              <w:jc w:val="center"/>
              <w:rPr>
                <w:rFonts w:ascii="Arial Narrow" w:eastAsiaTheme="majorEastAsia" w:hAnsi="Arial Narrow" w:cstheme="majorBidi"/>
                <w:bCs/>
                <w:sz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52DC7" w:rsidRPr="008C1387" w:rsidRDefault="00D52DC7" w:rsidP="00D52DC7">
            <w:pPr>
              <w:keepNext/>
              <w:keepLines/>
              <w:jc w:val="center"/>
              <w:rPr>
                <w:rFonts w:ascii="Arial Narrow" w:eastAsiaTheme="majorEastAsia" w:hAnsi="Arial Narrow" w:cstheme="majorBidi"/>
                <w:bCs/>
                <w:sz w:val="20"/>
              </w:rPr>
            </w:pPr>
            <w:r w:rsidRPr="008C1387">
              <w:rPr>
                <w:rFonts w:ascii="Arial Narrow" w:hAnsi="Arial Narrow" w:cs="Calibri"/>
                <w:color w:val="000000"/>
                <w:sz w:val="20"/>
                <w:szCs w:val="20"/>
              </w:rPr>
              <w:t>0.35</w:t>
            </w:r>
          </w:p>
        </w:tc>
        <w:tc>
          <w:tcPr>
            <w:tcW w:w="1228" w:type="dxa"/>
            <w:tcBorders>
              <w:top w:val="single" w:sz="4" w:space="0" w:color="auto"/>
              <w:left w:val="nil"/>
              <w:bottom w:val="single" w:sz="4" w:space="0" w:color="auto"/>
              <w:right w:val="single" w:sz="4" w:space="0" w:color="auto"/>
            </w:tcBorders>
            <w:shd w:val="clear" w:color="auto" w:fill="auto"/>
            <w:vAlign w:val="center"/>
          </w:tcPr>
          <w:p w:rsidR="00D52DC7" w:rsidRPr="008C1387" w:rsidRDefault="00D52DC7" w:rsidP="00D52DC7">
            <w:pPr>
              <w:keepNext/>
              <w:keepLines/>
              <w:jc w:val="center"/>
              <w:rPr>
                <w:rFonts w:ascii="Arial Narrow" w:eastAsiaTheme="majorEastAsia" w:hAnsi="Arial Narrow" w:cstheme="majorBidi"/>
                <w:bCs/>
                <w:sz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r w:rsidR="00CC3B71">
              <w:rPr>
                <w:rFonts w:ascii="Arial Narrow" w:hAnsi="Arial Narrow"/>
                <w:snapToGrid w:val="0"/>
                <w:sz w:val="18"/>
                <w:szCs w:val="22"/>
                <w:vertAlign w:val="superscript"/>
              </w:rPr>
              <w:t>2</w:t>
            </w:r>
          </w:p>
        </w:tc>
      </w:tr>
      <w:tr w:rsidR="00EB2164" w:rsidRPr="008C1387" w:rsidTr="002D45DF">
        <w:tc>
          <w:tcPr>
            <w:tcW w:w="5382" w:type="dxa"/>
          </w:tcPr>
          <w:p w:rsidR="00EB2164" w:rsidRPr="008C1387" w:rsidRDefault="00EB2164" w:rsidP="00EB2164">
            <w:pPr>
              <w:rPr>
                <w:rFonts w:ascii="Arial Narrow" w:eastAsiaTheme="majorEastAsia" w:hAnsi="Arial Narrow" w:cstheme="majorBidi"/>
                <w:bCs/>
                <w:sz w:val="20"/>
              </w:rPr>
            </w:pPr>
            <w:r w:rsidRPr="008C1387">
              <w:rPr>
                <w:rFonts w:ascii="Arial Narrow" w:eastAsiaTheme="majorEastAsia" w:hAnsi="Arial Narrow" w:cstheme="majorBidi"/>
                <w:bCs/>
                <w:sz w:val="20"/>
              </w:rPr>
              <w:t>A + Lloyd 2006 utilities + tucatinib drug costs based on full tablets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164" w:rsidRPr="008C1387" w:rsidRDefault="00EB2164" w:rsidP="00EB2164">
            <w:pPr>
              <w:keepNext/>
              <w:keepLines/>
              <w:jc w:val="center"/>
              <w:rPr>
                <w:rFonts w:ascii="Arial Narrow" w:hAnsi="Arial Narrow"/>
                <w:color w:val="000000"/>
                <w:sz w:val="20"/>
                <w:szCs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164" w:rsidRPr="008C1387" w:rsidRDefault="00EB2164" w:rsidP="00EB2164">
            <w:pPr>
              <w:keepNext/>
              <w:keepLines/>
              <w:jc w:val="center"/>
              <w:rPr>
                <w:rFonts w:ascii="Arial Narrow" w:hAnsi="Arial Narrow"/>
                <w:color w:val="000000"/>
                <w:sz w:val="20"/>
                <w:szCs w:val="20"/>
              </w:rPr>
            </w:pPr>
            <w:r w:rsidRPr="008C1387">
              <w:rPr>
                <w:rFonts w:ascii="Arial Narrow" w:hAnsi="Arial Narrow" w:cs="Calibri"/>
                <w:color w:val="000000"/>
                <w:sz w:val="20"/>
                <w:szCs w:val="20"/>
              </w:rPr>
              <w:t>0.31</w:t>
            </w:r>
          </w:p>
        </w:tc>
        <w:tc>
          <w:tcPr>
            <w:tcW w:w="1228" w:type="dxa"/>
            <w:tcBorders>
              <w:top w:val="single" w:sz="4" w:space="0" w:color="auto"/>
              <w:left w:val="nil"/>
              <w:bottom w:val="single" w:sz="4" w:space="0" w:color="auto"/>
              <w:right w:val="single" w:sz="4" w:space="0" w:color="auto"/>
            </w:tcBorders>
            <w:shd w:val="clear" w:color="auto" w:fill="auto"/>
            <w:vAlign w:val="center"/>
          </w:tcPr>
          <w:p w:rsidR="00EB2164" w:rsidRPr="008C1387" w:rsidRDefault="00EB2164" w:rsidP="00EB2164">
            <w:pPr>
              <w:keepNext/>
              <w:keepLines/>
              <w:jc w:val="center"/>
              <w:rPr>
                <w:rFonts w:ascii="Arial Narrow" w:hAnsi="Arial Narrow"/>
                <w:color w:val="000000"/>
                <w:sz w:val="20"/>
                <w:szCs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r w:rsidR="00CC3B71">
              <w:rPr>
                <w:rFonts w:ascii="Arial Narrow" w:hAnsi="Arial Narrow"/>
                <w:snapToGrid w:val="0"/>
                <w:sz w:val="18"/>
                <w:szCs w:val="22"/>
                <w:vertAlign w:val="superscript"/>
              </w:rPr>
              <w:t>2</w:t>
            </w:r>
          </w:p>
        </w:tc>
      </w:tr>
      <w:tr w:rsidR="0014622A" w:rsidRPr="008C1387" w:rsidTr="002D45DF">
        <w:tc>
          <w:tcPr>
            <w:tcW w:w="5382" w:type="dxa"/>
          </w:tcPr>
          <w:p w:rsidR="0014622A" w:rsidRPr="008C1387" w:rsidRDefault="0014622A" w:rsidP="0014622A">
            <w:pPr>
              <w:rPr>
                <w:rFonts w:ascii="Arial Narrow" w:eastAsiaTheme="majorEastAsia" w:hAnsi="Arial Narrow" w:cstheme="majorBidi"/>
                <w:bCs/>
                <w:sz w:val="20"/>
              </w:rPr>
            </w:pPr>
            <w:r w:rsidRPr="008C1387">
              <w:rPr>
                <w:rFonts w:ascii="Arial Narrow" w:eastAsiaTheme="majorEastAsia" w:hAnsi="Arial Narrow" w:cstheme="majorBidi"/>
                <w:bCs/>
                <w:sz w:val="20"/>
              </w:rPr>
              <w:t>A + Gompertz model for 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4622A" w:rsidRPr="008C1387" w:rsidRDefault="0014622A" w:rsidP="0014622A">
            <w:pPr>
              <w:keepNext/>
              <w:keepLines/>
              <w:jc w:val="center"/>
              <w:rPr>
                <w:rFonts w:ascii="Arial Narrow" w:hAnsi="Arial Narrow"/>
                <w:color w:val="000000"/>
                <w:sz w:val="20"/>
                <w:szCs w:val="20"/>
              </w:rPr>
            </w:pPr>
            <w:r w:rsidRPr="008C1387">
              <w:rPr>
                <w:rFonts w:ascii="Arial Narrow" w:hAnsi="Arial Narrow"/>
                <w:color w:val="000000"/>
                <w:sz w:val="20"/>
                <w:szCs w:val="20"/>
              </w:rPr>
              <w:t>$</w:t>
            </w:r>
            <w:r w:rsidR="002A79BC">
              <w:rPr>
                <w:rFonts w:ascii="Arial Narrow" w:hAnsi="Arial Narrow"/>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tcPr>
          <w:p w:rsidR="0014622A" w:rsidRPr="008C1387" w:rsidRDefault="0014622A" w:rsidP="0014622A">
            <w:pPr>
              <w:keepNext/>
              <w:keepLines/>
              <w:jc w:val="center"/>
              <w:rPr>
                <w:rFonts w:ascii="Arial Narrow" w:hAnsi="Arial Narrow"/>
                <w:color w:val="000000"/>
                <w:sz w:val="20"/>
                <w:szCs w:val="20"/>
              </w:rPr>
            </w:pPr>
            <w:r w:rsidRPr="008C1387">
              <w:rPr>
                <w:rFonts w:ascii="Arial Narrow" w:hAnsi="Arial Narrow"/>
                <w:color w:val="000000"/>
                <w:sz w:val="20"/>
                <w:szCs w:val="20"/>
              </w:rPr>
              <w:t>0.31</w:t>
            </w:r>
          </w:p>
        </w:tc>
        <w:tc>
          <w:tcPr>
            <w:tcW w:w="1228" w:type="dxa"/>
            <w:tcBorders>
              <w:top w:val="single" w:sz="4" w:space="0" w:color="auto"/>
              <w:left w:val="nil"/>
              <w:bottom w:val="single" w:sz="4" w:space="0" w:color="auto"/>
              <w:right w:val="single" w:sz="4" w:space="0" w:color="auto"/>
            </w:tcBorders>
            <w:shd w:val="clear" w:color="auto" w:fill="auto"/>
          </w:tcPr>
          <w:p w:rsidR="0014622A" w:rsidRPr="008C1387" w:rsidRDefault="0014622A" w:rsidP="0014622A">
            <w:pPr>
              <w:keepNext/>
              <w:keepLines/>
              <w:jc w:val="center"/>
              <w:rPr>
                <w:rFonts w:ascii="Arial Narrow" w:hAnsi="Arial Narrow"/>
                <w:color w:val="000000"/>
                <w:sz w:val="20"/>
                <w:szCs w:val="20"/>
              </w:rPr>
            </w:pPr>
            <w:r w:rsidRPr="008C1387">
              <w:rPr>
                <w:rFonts w:ascii="Arial Narrow" w:hAnsi="Arial Narrow"/>
                <w:color w:val="000000"/>
                <w:sz w:val="20"/>
                <w:szCs w:val="20"/>
              </w:rPr>
              <w:t>$</w:t>
            </w:r>
            <w:r w:rsidR="002A79BC">
              <w:rPr>
                <w:rFonts w:ascii="Arial Narrow" w:hAnsi="Arial Narrow"/>
                <w:noProof/>
                <w:color w:val="000000"/>
                <w:sz w:val="20"/>
                <w:szCs w:val="20"/>
                <w:highlight w:val="black"/>
              </w:rPr>
              <w:t>'''''''''''''''''</w:t>
            </w:r>
            <w:r w:rsidR="00CC3B71">
              <w:rPr>
                <w:rFonts w:ascii="Arial Narrow" w:hAnsi="Arial Narrow"/>
                <w:snapToGrid w:val="0"/>
                <w:sz w:val="18"/>
                <w:szCs w:val="22"/>
                <w:vertAlign w:val="superscript"/>
              </w:rPr>
              <w:t>2</w:t>
            </w:r>
          </w:p>
        </w:tc>
      </w:tr>
      <w:tr w:rsidR="003D5D67" w:rsidRPr="008C1387" w:rsidTr="002D45DF">
        <w:tc>
          <w:tcPr>
            <w:tcW w:w="5382" w:type="dxa"/>
          </w:tcPr>
          <w:p w:rsidR="003D5D67" w:rsidRPr="008C1387" w:rsidRDefault="003D5D67" w:rsidP="003D5D67">
            <w:pPr>
              <w:rPr>
                <w:rFonts w:ascii="Arial Narrow" w:eastAsiaTheme="majorEastAsia" w:hAnsi="Arial Narrow" w:cstheme="majorBidi"/>
                <w:bCs/>
                <w:sz w:val="20"/>
              </w:rPr>
            </w:pPr>
            <w:r w:rsidRPr="008C1387">
              <w:rPr>
                <w:rFonts w:ascii="Arial Narrow" w:eastAsiaTheme="majorEastAsia" w:hAnsi="Arial Narrow" w:cstheme="majorBidi"/>
                <w:bCs/>
                <w:sz w:val="20"/>
              </w:rPr>
              <w:t>A + B + Lloyd 2006 utilities + tucatinib drug costs based on full tablets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olor w:val="000000"/>
                <w:sz w:val="20"/>
                <w:szCs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olor w:val="000000"/>
                <w:sz w:val="20"/>
                <w:szCs w:val="20"/>
              </w:rPr>
            </w:pPr>
            <w:r w:rsidRPr="008C1387">
              <w:rPr>
                <w:rFonts w:ascii="Arial Narrow" w:hAnsi="Arial Narrow" w:cs="Calibri"/>
                <w:color w:val="000000"/>
                <w:sz w:val="20"/>
                <w:szCs w:val="20"/>
              </w:rPr>
              <w:t>0.31</w:t>
            </w:r>
          </w:p>
        </w:tc>
        <w:tc>
          <w:tcPr>
            <w:tcW w:w="1228" w:type="dxa"/>
            <w:tcBorders>
              <w:top w:val="single" w:sz="4" w:space="0" w:color="auto"/>
              <w:left w:val="nil"/>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olor w:val="000000"/>
                <w:sz w:val="20"/>
                <w:szCs w:val="20"/>
              </w:rPr>
            </w:pPr>
            <w:r w:rsidRPr="008C1387">
              <w:rPr>
                <w:rFonts w:ascii="Arial Narrow" w:hAnsi="Arial Narrow" w:cs="Calibri"/>
                <w:color w:val="000000"/>
                <w:sz w:val="20"/>
                <w:szCs w:val="20"/>
              </w:rPr>
              <w:t>$</w:t>
            </w:r>
            <w:r w:rsidR="002A79BC">
              <w:rPr>
                <w:rFonts w:ascii="Arial Narrow" w:hAnsi="Arial Narrow" w:cs="Calibri"/>
                <w:noProof/>
                <w:color w:val="000000"/>
                <w:sz w:val="20"/>
                <w:szCs w:val="20"/>
                <w:highlight w:val="black"/>
              </w:rPr>
              <w:t>'''''''''''''''''''''</w:t>
            </w:r>
            <w:r w:rsidR="00CC3B71">
              <w:rPr>
                <w:rFonts w:ascii="Arial Narrow" w:hAnsi="Arial Narrow"/>
                <w:snapToGrid w:val="0"/>
                <w:sz w:val="18"/>
                <w:szCs w:val="22"/>
                <w:vertAlign w:val="superscript"/>
              </w:rPr>
              <w:t>3</w:t>
            </w:r>
          </w:p>
        </w:tc>
      </w:tr>
      <w:tr w:rsidR="003D5D67" w:rsidRPr="008C1387" w:rsidTr="002D45DF">
        <w:tc>
          <w:tcPr>
            <w:tcW w:w="5382" w:type="dxa"/>
          </w:tcPr>
          <w:p w:rsidR="003D5D67" w:rsidRPr="008C1387" w:rsidRDefault="003D5D67" w:rsidP="003D5D67">
            <w:pPr>
              <w:rPr>
                <w:rFonts w:ascii="Arial Narrow" w:eastAsiaTheme="majorEastAsia" w:hAnsi="Arial Narrow" w:cstheme="majorBidi"/>
                <w:bCs/>
                <w:sz w:val="20"/>
              </w:rPr>
            </w:pPr>
            <w:r w:rsidRPr="008C1387">
              <w:rPr>
                <w:rFonts w:ascii="Arial Narrow" w:eastAsiaTheme="majorEastAsia" w:hAnsi="Arial Narrow" w:cstheme="majorBidi"/>
                <w:bCs/>
                <w:sz w:val="20"/>
              </w:rPr>
              <w:t>A + B + Gompertz model for OS + Lloyd 2006 utilities + tucatinib drug costs based on full tablets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s="Calibri"/>
                <w:color w:val="000000"/>
                <w:sz w:val="20"/>
                <w:szCs w:val="20"/>
              </w:rPr>
            </w:pPr>
            <w:r w:rsidRPr="008C1387">
              <w:rPr>
                <w:rFonts w:ascii="Arial Narrow" w:hAnsi="Arial Narrow"/>
                <w:color w:val="000000"/>
                <w:sz w:val="20"/>
                <w:szCs w:val="20"/>
              </w:rPr>
              <w:t>$</w:t>
            </w:r>
            <w:r w:rsidR="002A79BC">
              <w:rPr>
                <w:rFonts w:ascii="Arial Narrow" w:hAnsi="Arial Narrow"/>
                <w:noProof/>
                <w:color w:val="000000"/>
                <w:sz w:val="2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s="Calibri"/>
                <w:color w:val="000000"/>
                <w:sz w:val="20"/>
                <w:szCs w:val="20"/>
              </w:rPr>
            </w:pPr>
            <w:r w:rsidRPr="008C1387">
              <w:rPr>
                <w:rFonts w:ascii="Arial Narrow" w:hAnsi="Arial Narrow"/>
                <w:color w:val="000000"/>
                <w:sz w:val="20"/>
                <w:szCs w:val="20"/>
              </w:rPr>
              <w:t>0.25</w:t>
            </w:r>
          </w:p>
        </w:tc>
        <w:tc>
          <w:tcPr>
            <w:tcW w:w="1228" w:type="dxa"/>
            <w:tcBorders>
              <w:top w:val="single" w:sz="4" w:space="0" w:color="auto"/>
              <w:left w:val="nil"/>
              <w:bottom w:val="single" w:sz="4" w:space="0" w:color="auto"/>
              <w:right w:val="single" w:sz="4" w:space="0" w:color="auto"/>
            </w:tcBorders>
            <w:shd w:val="clear" w:color="auto" w:fill="auto"/>
            <w:vAlign w:val="center"/>
          </w:tcPr>
          <w:p w:rsidR="003D5D67" w:rsidRPr="008C1387" w:rsidRDefault="003D5D67" w:rsidP="003D5D67">
            <w:pPr>
              <w:keepNext/>
              <w:keepLines/>
              <w:jc w:val="center"/>
              <w:rPr>
                <w:rFonts w:ascii="Arial Narrow" w:hAnsi="Arial Narrow" w:cs="Calibri"/>
                <w:color w:val="000000"/>
                <w:sz w:val="20"/>
                <w:szCs w:val="20"/>
              </w:rPr>
            </w:pPr>
            <w:r w:rsidRPr="008C1387">
              <w:rPr>
                <w:rFonts w:ascii="Arial Narrow" w:hAnsi="Arial Narrow"/>
                <w:color w:val="000000"/>
                <w:sz w:val="20"/>
                <w:szCs w:val="20"/>
              </w:rPr>
              <w:t>$</w:t>
            </w:r>
            <w:r w:rsidR="002A79BC">
              <w:rPr>
                <w:rFonts w:ascii="Arial Narrow" w:hAnsi="Arial Narrow"/>
                <w:noProof/>
                <w:color w:val="000000"/>
                <w:sz w:val="20"/>
                <w:szCs w:val="20"/>
                <w:highlight w:val="black"/>
              </w:rPr>
              <w:t>''''''''''''''''''</w:t>
            </w:r>
            <w:r w:rsidR="00CC3B71">
              <w:rPr>
                <w:rFonts w:ascii="Arial Narrow" w:hAnsi="Arial Narrow"/>
                <w:snapToGrid w:val="0"/>
                <w:sz w:val="18"/>
                <w:szCs w:val="22"/>
                <w:vertAlign w:val="superscript"/>
              </w:rPr>
              <w:t>4</w:t>
            </w:r>
          </w:p>
        </w:tc>
      </w:tr>
    </w:tbl>
    <w:p w:rsidR="00FC78E5" w:rsidRPr="00FC78E5" w:rsidRDefault="00FC78E5" w:rsidP="00FC78E5">
      <w:pPr>
        <w:spacing w:after="120"/>
        <w:contextualSpacing/>
        <w:rPr>
          <w:rFonts w:ascii="Arial Narrow" w:hAnsi="Arial Narrow"/>
          <w:snapToGrid w:val="0"/>
          <w:sz w:val="18"/>
          <w:szCs w:val="22"/>
        </w:rPr>
      </w:pPr>
      <w:r w:rsidRPr="00FC78E5">
        <w:rPr>
          <w:rFonts w:ascii="Arial Narrow" w:hAnsi="Arial Narrow"/>
          <w:snapToGrid w:val="0"/>
          <w:sz w:val="18"/>
          <w:szCs w:val="22"/>
        </w:rPr>
        <w:t xml:space="preserve">Source: Table 3.4.1 of the submission. </w:t>
      </w:r>
      <w:r w:rsidRPr="00FC78E5">
        <w:rPr>
          <w:rFonts w:ascii="Arial Narrow" w:hAnsi="Arial Narrow"/>
          <w:i/>
          <w:snapToGrid w:val="0"/>
          <w:sz w:val="18"/>
          <w:szCs w:val="22"/>
        </w:rPr>
        <w:t>Analyses in italics were conducted during evaluation.</w:t>
      </w:r>
    </w:p>
    <w:p w:rsidR="00FC78E5" w:rsidRDefault="002D45DF" w:rsidP="00CC3B71">
      <w:pPr>
        <w:rPr>
          <w:rFonts w:ascii="Arial Narrow" w:hAnsi="Arial Narrow"/>
          <w:snapToGrid w:val="0"/>
          <w:sz w:val="18"/>
          <w:szCs w:val="22"/>
        </w:rPr>
      </w:pPr>
      <w:r>
        <w:rPr>
          <w:rFonts w:ascii="Arial Narrow" w:hAnsi="Arial Narrow"/>
          <w:snapToGrid w:val="0"/>
          <w:sz w:val="18"/>
          <w:szCs w:val="22"/>
        </w:rPr>
        <w:t xml:space="preserve">AIC = Akaike information criteria; BIC = Bayesian information criteria; </w:t>
      </w:r>
      <w:r w:rsidR="00FC78E5" w:rsidRPr="00FC78E5">
        <w:rPr>
          <w:rFonts w:ascii="Arial Narrow" w:hAnsi="Arial Narrow"/>
          <w:snapToGrid w:val="0"/>
          <w:sz w:val="18"/>
          <w:szCs w:val="22"/>
        </w:rPr>
        <w:t>ICER = incremental cost-effectiveness ratio; OS = overall survival;</w:t>
      </w:r>
      <w:r>
        <w:rPr>
          <w:rFonts w:ascii="Arial Narrow" w:hAnsi="Arial Narrow"/>
          <w:snapToGrid w:val="0"/>
          <w:sz w:val="18"/>
          <w:szCs w:val="22"/>
        </w:rPr>
        <w:t xml:space="preserve"> PD = progressed disease;</w:t>
      </w:r>
      <w:r w:rsidR="00FC78E5" w:rsidRPr="00FC78E5">
        <w:rPr>
          <w:rFonts w:ascii="Arial Narrow" w:hAnsi="Arial Narrow"/>
          <w:snapToGrid w:val="0"/>
          <w:sz w:val="18"/>
          <w:szCs w:val="22"/>
        </w:rPr>
        <w:t xml:space="preserve"> PFS = progression-free survival; QALY = quality-adjusted life year; TTD = time to treatment discontinuation</w:t>
      </w:r>
    </w:p>
    <w:p w:rsidR="00CC3B71" w:rsidRPr="004E3C37" w:rsidRDefault="00CC3B71" w:rsidP="00CC3B71">
      <w:pPr>
        <w:rPr>
          <w:rFonts w:ascii="Arial Narrow" w:hAnsi="Arial Narrow"/>
          <w:i/>
          <w:snapToGrid w:val="0"/>
          <w:sz w:val="18"/>
          <w:szCs w:val="22"/>
        </w:rPr>
      </w:pPr>
      <w:r w:rsidRPr="004E3C37">
        <w:rPr>
          <w:rFonts w:ascii="Arial Narrow" w:hAnsi="Arial Narrow"/>
          <w:i/>
          <w:snapToGrid w:val="0"/>
          <w:sz w:val="18"/>
          <w:szCs w:val="22"/>
        </w:rPr>
        <w:t>The redacted values correspond to the following ranges:</w:t>
      </w:r>
    </w:p>
    <w:p w:rsidR="00CC3B71" w:rsidRPr="004E3C37" w:rsidRDefault="00CC3B71" w:rsidP="00CC3B71">
      <w:pPr>
        <w:rPr>
          <w:rFonts w:ascii="Arial Narrow" w:hAnsi="Arial Narrow"/>
          <w:i/>
          <w:snapToGrid w:val="0"/>
          <w:sz w:val="18"/>
          <w:szCs w:val="22"/>
        </w:rPr>
      </w:pPr>
      <w:r w:rsidRPr="004E3C37">
        <w:rPr>
          <w:rFonts w:ascii="Arial Narrow" w:hAnsi="Arial Narrow"/>
          <w:i/>
          <w:snapToGrid w:val="0"/>
          <w:sz w:val="18"/>
          <w:szCs w:val="22"/>
          <w:vertAlign w:val="superscript"/>
        </w:rPr>
        <w:t xml:space="preserve">1 </w:t>
      </w:r>
      <w:r w:rsidRPr="004E3C37">
        <w:rPr>
          <w:rFonts w:ascii="Arial Narrow" w:hAnsi="Arial Narrow"/>
          <w:i/>
          <w:snapToGrid w:val="0"/>
          <w:sz w:val="18"/>
          <w:szCs w:val="22"/>
        </w:rPr>
        <w:t>$255,000 to &lt; $355,000/QALY gained</w:t>
      </w:r>
    </w:p>
    <w:p w:rsidR="00CC3B71" w:rsidRPr="004E3C37" w:rsidRDefault="00CC3B71" w:rsidP="00CC3B71">
      <w:pPr>
        <w:rPr>
          <w:rFonts w:ascii="Arial Narrow" w:hAnsi="Arial Narrow"/>
          <w:i/>
          <w:snapToGrid w:val="0"/>
          <w:sz w:val="18"/>
          <w:szCs w:val="22"/>
        </w:rPr>
      </w:pPr>
      <w:r w:rsidRPr="004E3C37">
        <w:rPr>
          <w:rFonts w:ascii="Arial Narrow" w:hAnsi="Arial Narrow"/>
          <w:i/>
          <w:snapToGrid w:val="0"/>
          <w:sz w:val="18"/>
          <w:szCs w:val="22"/>
          <w:vertAlign w:val="superscript"/>
        </w:rPr>
        <w:t>2</w:t>
      </w:r>
      <w:r w:rsidRPr="004E3C37">
        <w:rPr>
          <w:rFonts w:ascii="Arial Narrow" w:hAnsi="Arial Narrow"/>
          <w:i/>
          <w:snapToGrid w:val="0"/>
          <w:sz w:val="18"/>
          <w:szCs w:val="22"/>
        </w:rPr>
        <w:t xml:space="preserve"> $355,000 to &lt; $455,000/QALY gained</w:t>
      </w:r>
    </w:p>
    <w:p w:rsidR="00CC3B71" w:rsidRPr="004E3C37" w:rsidRDefault="00CC3B71" w:rsidP="00CC3B71">
      <w:pPr>
        <w:rPr>
          <w:rFonts w:ascii="Arial Narrow" w:hAnsi="Arial Narrow"/>
          <w:i/>
          <w:snapToGrid w:val="0"/>
          <w:sz w:val="18"/>
          <w:szCs w:val="22"/>
        </w:rPr>
      </w:pPr>
      <w:r w:rsidRPr="004E3C37">
        <w:rPr>
          <w:rFonts w:ascii="Arial Narrow" w:hAnsi="Arial Narrow"/>
          <w:i/>
          <w:snapToGrid w:val="0"/>
          <w:sz w:val="18"/>
          <w:szCs w:val="22"/>
          <w:vertAlign w:val="superscript"/>
        </w:rPr>
        <w:t>3</w:t>
      </w:r>
      <w:r w:rsidRPr="004E3C37">
        <w:rPr>
          <w:rFonts w:ascii="Arial Narrow" w:hAnsi="Arial Narrow"/>
          <w:i/>
          <w:snapToGrid w:val="0"/>
          <w:sz w:val="18"/>
          <w:szCs w:val="22"/>
        </w:rPr>
        <w:t xml:space="preserve"> $455,000 to &lt; $555,000/QALY gained</w:t>
      </w:r>
    </w:p>
    <w:p w:rsidR="00CC3B71" w:rsidRPr="004E3C37" w:rsidRDefault="00CC3B71" w:rsidP="00CC3B71">
      <w:pPr>
        <w:rPr>
          <w:rFonts w:ascii="Arial Narrow" w:hAnsi="Arial Narrow"/>
          <w:i/>
          <w:snapToGrid w:val="0"/>
          <w:sz w:val="18"/>
          <w:szCs w:val="22"/>
        </w:rPr>
      </w:pPr>
      <w:r w:rsidRPr="004E3C37">
        <w:rPr>
          <w:rFonts w:ascii="Arial Narrow" w:hAnsi="Arial Narrow"/>
          <w:i/>
          <w:snapToGrid w:val="0"/>
          <w:sz w:val="18"/>
          <w:szCs w:val="22"/>
          <w:vertAlign w:val="superscript"/>
        </w:rPr>
        <w:t>4</w:t>
      </w:r>
      <w:r w:rsidRPr="004E3C37">
        <w:rPr>
          <w:rFonts w:ascii="Arial Narrow" w:hAnsi="Arial Narrow"/>
          <w:i/>
          <w:snapToGrid w:val="0"/>
          <w:sz w:val="18"/>
          <w:szCs w:val="22"/>
        </w:rPr>
        <w:t xml:space="preserve"> $555,000 to &lt; $655,000/QALY gained</w:t>
      </w:r>
    </w:p>
    <w:p w:rsidR="00FC78E5" w:rsidRPr="007561D2" w:rsidRDefault="00FC78E5" w:rsidP="00022992">
      <w:pPr>
        <w:pStyle w:val="3-BodyText"/>
      </w:pPr>
      <w:r w:rsidRPr="007561D2">
        <w:t>The submission presented the results of a scenario analysis of the brain metastases population, which resulted in an ICER of $</w:t>
      </w:r>
      <w:r w:rsidR="00E86309">
        <w:t>255,000 to &lt; $355,000</w:t>
      </w:r>
      <w:r w:rsidRPr="007561D2">
        <w:t xml:space="preserve">/QALY gained. </w:t>
      </w:r>
      <w:r w:rsidR="00022992" w:rsidRPr="007561D2">
        <w:rPr>
          <w:rFonts w:cs="Times New Roman"/>
          <w:snapToGrid/>
          <w:lang w:eastAsia="en-GB"/>
        </w:rPr>
        <w:t xml:space="preserve">The scenario analysis used the same methods as the base case model but used subgroup data from the brain metastases population </w:t>
      </w:r>
      <w:r w:rsidR="00A67383" w:rsidRPr="007561D2">
        <w:rPr>
          <w:rFonts w:cs="Times New Roman"/>
          <w:snapToGrid/>
          <w:lang w:eastAsia="en-GB"/>
        </w:rPr>
        <w:t xml:space="preserve">in HER2CLIMB </w:t>
      </w:r>
      <w:r w:rsidR="00022992" w:rsidRPr="007561D2">
        <w:rPr>
          <w:rFonts w:cs="Times New Roman"/>
          <w:snapToGrid/>
          <w:lang w:eastAsia="en-GB"/>
        </w:rPr>
        <w:t>for OS, PFS, adverse events and utilities.</w:t>
      </w:r>
      <w:r w:rsidR="00DB160B" w:rsidRPr="007561D2">
        <w:rPr>
          <w:rFonts w:cs="Times New Roman"/>
          <w:snapToGrid/>
          <w:lang w:eastAsia="en-GB"/>
        </w:rPr>
        <w:t xml:space="preserve"> There were significant issues with the utility data applied, d</w:t>
      </w:r>
      <w:r w:rsidR="00022992" w:rsidRPr="007561D2">
        <w:rPr>
          <w:rFonts w:cs="Times New Roman"/>
          <w:snapToGrid/>
          <w:lang w:eastAsia="en-GB"/>
        </w:rPr>
        <w:t xml:space="preserve">ue to the aforementioned issues </w:t>
      </w:r>
      <w:r w:rsidR="00DB160B" w:rsidRPr="007561D2">
        <w:rPr>
          <w:rFonts w:cs="Times New Roman"/>
          <w:snapToGrid/>
          <w:lang w:eastAsia="en-GB"/>
        </w:rPr>
        <w:t xml:space="preserve">which would likely be exacerbated by </w:t>
      </w:r>
      <w:r w:rsidR="00022992" w:rsidRPr="007561D2">
        <w:rPr>
          <w:rFonts w:cs="Times New Roman"/>
          <w:snapToGrid/>
          <w:lang w:eastAsia="en-GB"/>
        </w:rPr>
        <w:t>the smaller size of the brain metastases population</w:t>
      </w:r>
      <w:r w:rsidR="00DB160B" w:rsidRPr="007561D2">
        <w:rPr>
          <w:rFonts w:cs="Times New Roman"/>
          <w:snapToGrid/>
          <w:lang w:eastAsia="en-GB"/>
        </w:rPr>
        <w:t xml:space="preserve">. The impact of tucatinib on the quality of life of patients with brain metastases was unclear. </w:t>
      </w:r>
    </w:p>
    <w:p w:rsidR="00D52DC7" w:rsidRPr="007561D2" w:rsidRDefault="00D52DC7" w:rsidP="00022992">
      <w:pPr>
        <w:numPr>
          <w:ilvl w:val="1"/>
          <w:numId w:val="1"/>
        </w:numPr>
        <w:spacing w:after="120"/>
      </w:pPr>
      <w:r w:rsidRPr="007561D2">
        <w:t>Changes to PFS extrapolation only had a minor impact on the model results, likely due to the relatively small difference between the progression-free and progressed disease health states applied in the base case (0.078 based on the average utilities of 0.836 and 0.758 in the two health states). When utilities with a more plausible difference between the health states were applied, the model became more sensitive to changes in PFS extrapolation.</w:t>
      </w:r>
    </w:p>
    <w:p w:rsidR="00953E0A" w:rsidRPr="008C1387" w:rsidRDefault="00953E0A" w:rsidP="00953E0A">
      <w:pPr>
        <w:pStyle w:val="ListParagraph"/>
        <w:keepNext/>
        <w:keepLines/>
        <w:numPr>
          <w:ilvl w:val="1"/>
          <w:numId w:val="1"/>
        </w:numPr>
      </w:pPr>
      <w:r w:rsidRPr="008C1387">
        <w:rPr>
          <w:iCs/>
        </w:rPr>
        <w:t>The ESC noted th</w:t>
      </w:r>
      <w:r w:rsidR="00132DF2" w:rsidRPr="008C1387">
        <w:rPr>
          <w:iCs/>
        </w:rPr>
        <w:t>e</w:t>
      </w:r>
      <w:r w:rsidRPr="008C1387">
        <w:rPr>
          <w:iCs/>
        </w:rPr>
        <w:t xml:space="preserve"> following sensitivity analyses</w:t>
      </w:r>
      <w:r w:rsidR="00937FE6" w:rsidRPr="008C1387">
        <w:rPr>
          <w:iCs/>
        </w:rPr>
        <w:t>, applied as multivariate analyses in a step-wise manner,</w:t>
      </w:r>
      <w:r w:rsidRPr="008C1387">
        <w:rPr>
          <w:iCs/>
        </w:rPr>
        <w:t xml:space="preserve"> increased the ICER from $</w:t>
      </w:r>
      <w:r w:rsidR="00E86309">
        <w:rPr>
          <w:iCs/>
        </w:rPr>
        <w:t>255,000 to &lt; $355,000</w:t>
      </w:r>
      <w:r w:rsidRPr="008C1387">
        <w:rPr>
          <w:iCs/>
        </w:rPr>
        <w:t xml:space="preserve">/QALY </w:t>
      </w:r>
      <w:r w:rsidR="0070501F" w:rsidRPr="008C1387">
        <w:rPr>
          <w:iCs/>
        </w:rPr>
        <w:t xml:space="preserve">(with 0.50 incremental life years gained (LYG)) </w:t>
      </w:r>
      <w:r w:rsidRPr="008C1387">
        <w:rPr>
          <w:iCs/>
        </w:rPr>
        <w:t xml:space="preserve">to: </w:t>
      </w:r>
    </w:p>
    <w:p w:rsidR="00953E0A" w:rsidRPr="008C1387" w:rsidRDefault="00953E0A" w:rsidP="00475072">
      <w:pPr>
        <w:pStyle w:val="3-BodyText"/>
        <w:numPr>
          <w:ilvl w:val="1"/>
          <w:numId w:val="12"/>
        </w:numPr>
        <w:spacing w:after="0"/>
        <w:ind w:left="1077" w:hanging="357"/>
      </w:pPr>
      <w:r w:rsidRPr="008C1387">
        <w:t>Applying the Lloyd 2006 utilities: $</w:t>
      </w:r>
      <w:r w:rsidR="00E86309">
        <w:t>255,000 to &lt; $355,000</w:t>
      </w:r>
      <w:r w:rsidRPr="008C1387">
        <w:t xml:space="preserve">/QALY; </w:t>
      </w:r>
    </w:p>
    <w:p w:rsidR="00953E0A" w:rsidRPr="008C1387" w:rsidRDefault="00937FE6" w:rsidP="00475072">
      <w:pPr>
        <w:pStyle w:val="3-BodyText"/>
        <w:numPr>
          <w:ilvl w:val="1"/>
          <w:numId w:val="12"/>
        </w:numPr>
        <w:spacing w:after="0"/>
        <w:ind w:left="1077" w:hanging="357"/>
      </w:pPr>
      <w:r w:rsidRPr="008C1387">
        <w:t>Above plus</w:t>
      </w:r>
      <w:r w:rsidR="00953E0A" w:rsidRPr="008C1387">
        <w:t xml:space="preserve"> </w:t>
      </w:r>
      <w:r w:rsidRPr="008C1387">
        <w:t xml:space="preserve">basing the </w:t>
      </w:r>
      <w:r w:rsidR="00B862D6" w:rsidRPr="008C1387">
        <w:t xml:space="preserve">tucatinib </w:t>
      </w:r>
      <w:r w:rsidR="00953E0A" w:rsidRPr="008C1387">
        <w:t xml:space="preserve">drug costs on full tablets: </w:t>
      </w:r>
      <w:r w:rsidR="0061642F" w:rsidRPr="008C1387">
        <w:t>$</w:t>
      </w:r>
      <w:r w:rsidR="00E86309">
        <w:t>255,000 to &lt; $355,000</w:t>
      </w:r>
      <w:r w:rsidR="00953E0A" w:rsidRPr="008C1387">
        <w:t xml:space="preserve">/QALY; </w:t>
      </w:r>
    </w:p>
    <w:p w:rsidR="00953E0A" w:rsidRPr="008C1387" w:rsidRDefault="00953E0A" w:rsidP="00475072">
      <w:pPr>
        <w:pStyle w:val="3-BodyText"/>
        <w:numPr>
          <w:ilvl w:val="1"/>
          <w:numId w:val="12"/>
        </w:numPr>
        <w:spacing w:after="0"/>
        <w:ind w:left="1077" w:hanging="357"/>
      </w:pPr>
      <w:r w:rsidRPr="008C1387">
        <w:t>Above plus us</w:t>
      </w:r>
      <w:r w:rsidR="00937FE6" w:rsidRPr="008C1387">
        <w:t>ing the</w:t>
      </w:r>
      <w:r w:rsidRPr="008C1387">
        <w:t xml:space="preserve"> Kaplan-Meier data until 20% of patients remain at risk for both PFS and OS: </w:t>
      </w:r>
      <w:r w:rsidR="0061642F" w:rsidRPr="008C1387">
        <w:t>$</w:t>
      </w:r>
      <w:r w:rsidR="00E86309">
        <w:t>355,000 to &lt; $455,000</w:t>
      </w:r>
      <w:r w:rsidR="00937FE6" w:rsidRPr="008C1387">
        <w:t>/</w:t>
      </w:r>
      <w:r w:rsidRPr="008C1387">
        <w:t>QALY</w:t>
      </w:r>
      <w:r w:rsidR="0070501F" w:rsidRPr="008C1387">
        <w:t xml:space="preserve"> (</w:t>
      </w:r>
      <w:r w:rsidR="00B862D6" w:rsidRPr="008C1387">
        <w:t>resulting in</w:t>
      </w:r>
      <w:r w:rsidR="0070501F" w:rsidRPr="008C1387">
        <w:t xml:space="preserve"> 0.42 LYGs);</w:t>
      </w:r>
      <w:r w:rsidRPr="008C1387">
        <w:t xml:space="preserve"> </w:t>
      </w:r>
      <w:r w:rsidR="00132DF2" w:rsidRPr="008C1387">
        <w:t xml:space="preserve">and </w:t>
      </w:r>
    </w:p>
    <w:p w:rsidR="00132DF2" w:rsidRPr="008C1387" w:rsidRDefault="00937FE6" w:rsidP="00475072">
      <w:pPr>
        <w:pStyle w:val="3-BodyText"/>
        <w:numPr>
          <w:ilvl w:val="1"/>
          <w:numId w:val="12"/>
        </w:numPr>
        <w:ind w:left="1077" w:hanging="357"/>
      </w:pPr>
      <w:r w:rsidRPr="008C1387">
        <w:t>Above plus changing the treatment discontinuation extrapolations (using log-logistic model, and extrapolating from an earlier time-point): $</w:t>
      </w:r>
      <w:r w:rsidR="00E86309">
        <w:t>455,000 to &lt; $555,000</w:t>
      </w:r>
      <w:r w:rsidRPr="008C1387">
        <w:t>/QALY</w:t>
      </w:r>
      <w:r w:rsidR="00132DF2" w:rsidRPr="008C1387">
        <w:t>.</w:t>
      </w:r>
    </w:p>
    <w:p w:rsidR="00132DF2" w:rsidRPr="008C1387" w:rsidRDefault="00B862D6" w:rsidP="00475072">
      <w:pPr>
        <w:pStyle w:val="3-BodyText"/>
        <w:numPr>
          <w:ilvl w:val="0"/>
          <w:numId w:val="0"/>
        </w:numPr>
        <w:ind w:left="720"/>
        <w:rPr>
          <w:iCs/>
        </w:rPr>
      </w:pPr>
      <w:r w:rsidRPr="008C1387">
        <w:rPr>
          <w:iCs/>
        </w:rPr>
        <w:t>This indicative multivariate analysis resulted in a QALY gain of only 0.31 over 10 years and 0.42 LYG over 10 years versus 0.43 LYG in the trial-based analysis (i.e. Step 1 of the stepped economic evaluation).</w:t>
      </w:r>
    </w:p>
    <w:p w:rsidR="00132DF2" w:rsidRPr="008C1387" w:rsidRDefault="00B862D6" w:rsidP="00B862D6">
      <w:pPr>
        <w:pStyle w:val="ListParagraph"/>
        <w:keepNext/>
        <w:keepLines/>
        <w:numPr>
          <w:ilvl w:val="1"/>
          <w:numId w:val="1"/>
        </w:numPr>
      </w:pPr>
      <w:r w:rsidRPr="008C1387">
        <w:rPr>
          <w:iCs/>
        </w:rPr>
        <w:t>The ESC further noted that the above indicative multivariate analysis plus extrapolating OS using the Gompertz model resulted in an ICER of $</w:t>
      </w:r>
      <w:r w:rsidR="00E86309">
        <w:rPr>
          <w:iCs/>
        </w:rPr>
        <w:t>555,000 to &lt; $655,000</w:t>
      </w:r>
      <w:r w:rsidRPr="008C1387">
        <w:rPr>
          <w:iCs/>
        </w:rPr>
        <w:t xml:space="preserve">/QALY. </w:t>
      </w:r>
      <w:r w:rsidR="00515FE6" w:rsidRPr="008C1387">
        <w:rPr>
          <w:iCs/>
        </w:rPr>
        <w:t xml:space="preserve">This </w:t>
      </w:r>
      <w:r w:rsidR="00953E0A" w:rsidRPr="008C1387">
        <w:rPr>
          <w:iCs/>
        </w:rPr>
        <w:t>resulted in a QALY gain of only 0.25 over 10 years</w:t>
      </w:r>
      <w:r w:rsidR="00937FE6" w:rsidRPr="008C1387">
        <w:rPr>
          <w:iCs/>
        </w:rPr>
        <w:t xml:space="preserve"> and </w:t>
      </w:r>
      <w:r w:rsidR="0070501F" w:rsidRPr="008C1387">
        <w:rPr>
          <w:iCs/>
        </w:rPr>
        <w:t>LYG</w:t>
      </w:r>
      <w:r w:rsidR="00937FE6" w:rsidRPr="008C1387">
        <w:rPr>
          <w:iCs/>
        </w:rPr>
        <w:t xml:space="preserve"> of 0.32 </w:t>
      </w:r>
      <w:r w:rsidR="00B4696A" w:rsidRPr="008C1387">
        <w:rPr>
          <w:iCs/>
        </w:rPr>
        <w:t xml:space="preserve">over 10 years </w:t>
      </w:r>
      <w:r w:rsidR="00937FE6" w:rsidRPr="008C1387">
        <w:rPr>
          <w:iCs/>
        </w:rPr>
        <w:t>versus 0.43 in the trial-based analysis</w:t>
      </w:r>
      <w:r w:rsidR="00953E0A" w:rsidRPr="008C1387">
        <w:rPr>
          <w:iCs/>
        </w:rPr>
        <w:t>, which may be overly conservative, given the clinical data.</w:t>
      </w:r>
      <w:r w:rsidR="0070501F" w:rsidRPr="008C1387">
        <w:rPr>
          <w:iCs/>
        </w:rPr>
        <w:t xml:space="preserve"> However, t</w:t>
      </w:r>
      <w:r w:rsidR="0070501F" w:rsidRPr="008C1387">
        <w:t>he ESC considered that the Lloyd et al, 2006 utilities may still overestimate quality of life in this patient population</w:t>
      </w:r>
      <w:r w:rsidRPr="008C1387">
        <w:t>.</w:t>
      </w:r>
      <w:r w:rsidR="00132DF2" w:rsidRPr="008C1387">
        <w:t xml:space="preserve"> </w:t>
      </w:r>
    </w:p>
    <w:p w:rsidR="00D364E9" w:rsidRPr="008C1387" w:rsidRDefault="00D364E9" w:rsidP="0044512B">
      <w:pPr>
        <w:pStyle w:val="3-BodyText"/>
      </w:pPr>
      <w:r w:rsidRPr="008C1387">
        <w:t xml:space="preserve">The </w:t>
      </w:r>
      <w:r w:rsidR="006C3E90" w:rsidRPr="008C1387">
        <w:t xml:space="preserve">PBAC had previously considered that pertuzumab and T-DM1 in mBC were reasonably cost-effective with </w:t>
      </w:r>
      <w:r w:rsidR="00EF61A9" w:rsidRPr="008C1387">
        <w:t>I</w:t>
      </w:r>
      <w:r w:rsidRPr="008C1387">
        <w:t>CER</w:t>
      </w:r>
      <w:r w:rsidR="00D948DA" w:rsidRPr="008C1387">
        <w:t>s</w:t>
      </w:r>
      <w:r w:rsidRPr="008C1387">
        <w:t xml:space="preserve"> in t</w:t>
      </w:r>
      <w:r w:rsidR="006C3E90" w:rsidRPr="008C1387">
        <w:t xml:space="preserve">he range of $45,000 to $75,000 </w:t>
      </w:r>
      <w:r w:rsidR="00D948DA" w:rsidRPr="008C1387">
        <w:t xml:space="preserve">per QALY </w:t>
      </w:r>
      <w:r w:rsidR="006C3E90" w:rsidRPr="008C1387">
        <w:t xml:space="preserve">(para 7.20 and 7.29, Pertuzumab, Trastuzumab and T-DM1 PSD, November 2014 PBAC meeting). </w:t>
      </w:r>
    </w:p>
    <w:p w:rsidR="00C25D9C" w:rsidRDefault="00486C0D" w:rsidP="008D0213">
      <w:pPr>
        <w:pStyle w:val="4-SubsectionHeading"/>
      </w:pPr>
      <w:bookmarkStart w:id="20" w:name="_Toc22897646"/>
      <w:bookmarkStart w:id="21" w:name="_Toc62045117"/>
      <w:r>
        <w:t xml:space="preserve">Tucatinib </w:t>
      </w:r>
      <w:r w:rsidR="00C25D9C" w:rsidRPr="002C2775">
        <w:t>cost/patient/course</w:t>
      </w:r>
      <w:bookmarkEnd w:id="20"/>
      <w:r>
        <w:t xml:space="preserve">: </w:t>
      </w:r>
      <w:r w:rsidRPr="00486C0D">
        <w:t>$</w:t>
      </w:r>
      <w:bookmarkEnd w:id="21"/>
      <w:r w:rsidR="002A79BC">
        <w:rPr>
          <w:noProof/>
          <w:color w:val="000000"/>
          <w:highlight w:val="black"/>
        </w:rPr>
        <w:t>'''''''''''''</w:t>
      </w:r>
    </w:p>
    <w:p w:rsidR="00494207" w:rsidRPr="00BB732D" w:rsidRDefault="00494207" w:rsidP="00BB732D">
      <w:pPr>
        <w:pStyle w:val="TableFigureHeading"/>
        <w:rPr>
          <w:rStyle w:val="CommentReference"/>
          <w:b/>
          <w:szCs w:val="24"/>
        </w:rPr>
      </w:pPr>
      <w:r w:rsidRPr="00BB732D">
        <w:rPr>
          <w:rStyle w:val="CommentReference"/>
          <w:b/>
          <w:szCs w:val="24"/>
        </w:rPr>
        <w:t xml:space="preserve">Table </w:t>
      </w:r>
      <w:r w:rsidR="005A3392">
        <w:rPr>
          <w:rStyle w:val="CommentReference"/>
          <w:b/>
          <w:szCs w:val="24"/>
        </w:rPr>
        <w:t>1</w:t>
      </w:r>
      <w:r w:rsidR="00F924B4">
        <w:rPr>
          <w:rStyle w:val="CommentReference"/>
          <w:b/>
          <w:szCs w:val="24"/>
        </w:rPr>
        <w:t>4</w:t>
      </w:r>
      <w:r w:rsidRPr="00BB732D">
        <w:rPr>
          <w:rStyle w:val="CommentReference"/>
          <w:b/>
          <w:szCs w:val="24"/>
        </w:rPr>
        <w:t xml:space="preserve">: Drug cost per patient for </w:t>
      </w:r>
      <w:r w:rsidR="00486C0D">
        <w:rPr>
          <w:rStyle w:val="CommentReference"/>
          <w:b/>
          <w:szCs w:val="24"/>
        </w:rPr>
        <w:t xml:space="preserve">tucatinib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9"/>
        <w:gridCol w:w="2162"/>
        <w:gridCol w:w="2160"/>
        <w:gridCol w:w="2166"/>
      </w:tblGrid>
      <w:tr w:rsidR="00486C0D" w:rsidRPr="00E2771E" w:rsidTr="00DD59F9">
        <w:trPr>
          <w:cantSplit/>
          <w:tblHeader/>
          <w:jc w:val="center"/>
        </w:trPr>
        <w:tc>
          <w:tcPr>
            <w:tcW w:w="1402" w:type="pct"/>
            <w:shd w:val="clear" w:color="auto" w:fill="auto"/>
            <w:vAlign w:val="center"/>
          </w:tcPr>
          <w:p w:rsidR="00486C0D" w:rsidRPr="00E2771E" w:rsidRDefault="00486C0D" w:rsidP="00BB732D">
            <w:pPr>
              <w:pStyle w:val="In-tableHeading"/>
              <w:jc w:val="center"/>
            </w:pPr>
          </w:p>
        </w:tc>
        <w:tc>
          <w:tcPr>
            <w:tcW w:w="1199" w:type="pct"/>
            <w:shd w:val="clear" w:color="auto" w:fill="auto"/>
            <w:vAlign w:val="center"/>
          </w:tcPr>
          <w:p w:rsidR="00486C0D" w:rsidRPr="00E2771E" w:rsidRDefault="00486C0D" w:rsidP="00BB732D">
            <w:pPr>
              <w:pStyle w:val="In-tableHeading"/>
              <w:jc w:val="center"/>
            </w:pPr>
            <w:r>
              <w:t xml:space="preserve">Tucatinib </w:t>
            </w:r>
          </w:p>
          <w:p w:rsidR="00486C0D" w:rsidRPr="00F65EAA" w:rsidRDefault="00486C0D" w:rsidP="00BB732D">
            <w:pPr>
              <w:pStyle w:val="In-tableHeading"/>
              <w:jc w:val="center"/>
            </w:pPr>
            <w:r w:rsidRPr="00F65EAA">
              <w:t>Trial</w:t>
            </w:r>
            <w:r>
              <w:t xml:space="preserve"> </w:t>
            </w:r>
            <w:r w:rsidRPr="00F65EAA">
              <w:t>dos</w:t>
            </w:r>
            <w:r>
              <w:t>e</w:t>
            </w:r>
            <w:r w:rsidRPr="00F65EAA">
              <w:t xml:space="preserve"> and duration</w:t>
            </w:r>
          </w:p>
        </w:tc>
        <w:tc>
          <w:tcPr>
            <w:tcW w:w="1198" w:type="pct"/>
            <w:shd w:val="clear" w:color="auto" w:fill="auto"/>
            <w:vAlign w:val="center"/>
          </w:tcPr>
          <w:p w:rsidR="00486C0D" w:rsidRDefault="00486C0D" w:rsidP="00BB732D">
            <w:pPr>
              <w:pStyle w:val="In-tableHeading"/>
              <w:jc w:val="center"/>
            </w:pPr>
            <w:r>
              <w:t xml:space="preserve">Tucatinib </w:t>
            </w:r>
          </w:p>
          <w:p w:rsidR="00486C0D" w:rsidRPr="00E2771E" w:rsidRDefault="00486C0D" w:rsidP="00BB732D">
            <w:pPr>
              <w:pStyle w:val="In-tableHeading"/>
              <w:jc w:val="center"/>
            </w:pPr>
            <w:r>
              <w:t>Model</w:t>
            </w:r>
          </w:p>
        </w:tc>
        <w:tc>
          <w:tcPr>
            <w:tcW w:w="1201" w:type="pct"/>
            <w:shd w:val="clear" w:color="auto" w:fill="auto"/>
            <w:vAlign w:val="center"/>
          </w:tcPr>
          <w:p w:rsidR="00486C0D" w:rsidRPr="00E05D4B" w:rsidRDefault="00486C0D" w:rsidP="00BB732D">
            <w:pPr>
              <w:pStyle w:val="In-tableHeading"/>
              <w:jc w:val="center"/>
            </w:pPr>
            <w:r w:rsidRPr="00E05D4B">
              <w:t xml:space="preserve">Tucatinib </w:t>
            </w:r>
          </w:p>
          <w:p w:rsidR="00486C0D" w:rsidRPr="00E2771E" w:rsidRDefault="00486C0D" w:rsidP="00BB732D">
            <w:pPr>
              <w:pStyle w:val="In-tableHeading"/>
              <w:jc w:val="center"/>
            </w:pPr>
            <w:r w:rsidRPr="00E05D4B">
              <w:t>Financial estimates</w:t>
            </w:r>
          </w:p>
        </w:tc>
      </w:tr>
      <w:tr w:rsidR="00DD59F9" w:rsidRPr="00E2771E" w:rsidTr="00712762">
        <w:trPr>
          <w:cantSplit/>
          <w:jc w:val="center"/>
        </w:trPr>
        <w:tc>
          <w:tcPr>
            <w:tcW w:w="1402" w:type="pct"/>
            <w:shd w:val="clear" w:color="auto" w:fill="auto"/>
          </w:tcPr>
          <w:p w:rsidR="00DD59F9" w:rsidRPr="001F5BDA" w:rsidRDefault="00DD59F9" w:rsidP="00DD59F9">
            <w:pPr>
              <w:pStyle w:val="TableText0"/>
              <w:rPr>
                <w:lang w:val="en-US"/>
              </w:rPr>
            </w:pPr>
            <w:r w:rsidRPr="009C3E4D">
              <w:rPr>
                <w:bCs w:val="0"/>
              </w:rPr>
              <w:t xml:space="preserve">Recommended dose </w:t>
            </w:r>
          </w:p>
        </w:tc>
        <w:tc>
          <w:tcPr>
            <w:tcW w:w="1199" w:type="pct"/>
            <w:shd w:val="clear" w:color="auto" w:fill="auto"/>
            <w:vAlign w:val="center"/>
          </w:tcPr>
          <w:p w:rsidR="00DD59F9" w:rsidRPr="00E2771E" w:rsidRDefault="00DD59F9" w:rsidP="00DD59F9">
            <w:pPr>
              <w:pStyle w:val="TableText0"/>
              <w:jc w:val="center"/>
              <w:rPr>
                <w:b/>
                <w:lang w:val="en-US"/>
              </w:rPr>
            </w:pPr>
            <w:r w:rsidRPr="009C3E4D">
              <w:rPr>
                <w:bCs w:val="0"/>
              </w:rPr>
              <w:t>300 mg twice daily</w:t>
            </w:r>
          </w:p>
        </w:tc>
        <w:tc>
          <w:tcPr>
            <w:tcW w:w="1198" w:type="pct"/>
            <w:shd w:val="clear" w:color="auto" w:fill="auto"/>
            <w:vAlign w:val="center"/>
          </w:tcPr>
          <w:p w:rsidR="00DD59F9" w:rsidRDefault="00DD59F9" w:rsidP="00DD59F9">
            <w:pPr>
              <w:pStyle w:val="TableText0"/>
              <w:jc w:val="center"/>
              <w:rPr>
                <w:b/>
                <w:lang w:val="en-US"/>
              </w:rPr>
            </w:pPr>
            <w:r w:rsidRPr="009C3E4D">
              <w:rPr>
                <w:bCs w:val="0"/>
              </w:rPr>
              <w:t>300 mg twice daily</w:t>
            </w:r>
          </w:p>
        </w:tc>
        <w:tc>
          <w:tcPr>
            <w:tcW w:w="1201" w:type="pct"/>
            <w:shd w:val="clear" w:color="auto" w:fill="auto"/>
            <w:vAlign w:val="center"/>
          </w:tcPr>
          <w:p w:rsidR="00DD59F9" w:rsidRDefault="00DD59F9" w:rsidP="00DD59F9">
            <w:pPr>
              <w:pStyle w:val="TableText0"/>
              <w:jc w:val="center"/>
              <w:rPr>
                <w:b/>
                <w:lang w:val="en-US"/>
              </w:rPr>
            </w:pPr>
            <w:r w:rsidRPr="009C3E4D">
              <w:rPr>
                <w:bCs w:val="0"/>
              </w:rPr>
              <w:t>300 mg twice daily</w:t>
            </w:r>
          </w:p>
        </w:tc>
      </w:tr>
      <w:tr w:rsidR="00DD59F9" w:rsidRPr="00E2771E" w:rsidTr="00712762">
        <w:trPr>
          <w:cantSplit/>
          <w:jc w:val="center"/>
        </w:trPr>
        <w:tc>
          <w:tcPr>
            <w:tcW w:w="1402" w:type="pct"/>
            <w:shd w:val="clear" w:color="auto" w:fill="auto"/>
          </w:tcPr>
          <w:p w:rsidR="00DD59F9" w:rsidRPr="001F5BDA" w:rsidRDefault="00DD59F9" w:rsidP="00DD59F9">
            <w:pPr>
              <w:pStyle w:val="TableText0"/>
              <w:rPr>
                <w:lang w:val="en-US"/>
              </w:rPr>
            </w:pPr>
            <w:r w:rsidRPr="009C3E4D">
              <w:rPr>
                <w:bCs w:val="0"/>
              </w:rPr>
              <w:t>Dose intensity</w:t>
            </w:r>
          </w:p>
        </w:tc>
        <w:tc>
          <w:tcPr>
            <w:tcW w:w="1199" w:type="pct"/>
            <w:shd w:val="clear" w:color="auto" w:fill="auto"/>
            <w:vAlign w:val="center"/>
          </w:tcPr>
          <w:p w:rsidR="00DD59F9" w:rsidRPr="00E2771E" w:rsidRDefault="00DD59F9" w:rsidP="00DD59F9">
            <w:pPr>
              <w:pStyle w:val="TableText0"/>
              <w:jc w:val="center"/>
              <w:rPr>
                <w:b/>
                <w:lang w:val="en-US"/>
              </w:rPr>
            </w:pPr>
            <w:r w:rsidRPr="009C3E4D">
              <w:rPr>
                <w:bCs w:val="0"/>
              </w:rPr>
              <w:t>88.5%</w:t>
            </w:r>
          </w:p>
        </w:tc>
        <w:tc>
          <w:tcPr>
            <w:tcW w:w="1198" w:type="pct"/>
            <w:shd w:val="clear" w:color="auto" w:fill="auto"/>
            <w:vAlign w:val="center"/>
          </w:tcPr>
          <w:p w:rsidR="00DD59F9" w:rsidRDefault="00DD59F9" w:rsidP="00DD59F9">
            <w:pPr>
              <w:pStyle w:val="TableText0"/>
              <w:jc w:val="center"/>
              <w:rPr>
                <w:b/>
                <w:lang w:val="en-US"/>
              </w:rPr>
            </w:pPr>
            <w:r w:rsidRPr="009C3E4D">
              <w:rPr>
                <w:bCs w:val="0"/>
              </w:rPr>
              <w:t>88.5%</w:t>
            </w:r>
          </w:p>
        </w:tc>
        <w:tc>
          <w:tcPr>
            <w:tcW w:w="1201" w:type="pct"/>
            <w:shd w:val="clear" w:color="auto" w:fill="auto"/>
            <w:vAlign w:val="center"/>
          </w:tcPr>
          <w:p w:rsidR="00DD59F9" w:rsidRDefault="00DD59F9" w:rsidP="00DD59F9">
            <w:pPr>
              <w:pStyle w:val="TableText0"/>
              <w:jc w:val="center"/>
              <w:rPr>
                <w:b/>
                <w:lang w:val="en-US"/>
              </w:rPr>
            </w:pPr>
            <w:r w:rsidRPr="009C3E4D">
              <w:rPr>
                <w:bCs w:val="0"/>
              </w:rPr>
              <w:t>88.5%</w:t>
            </w:r>
          </w:p>
        </w:tc>
      </w:tr>
      <w:tr w:rsidR="00DD59F9" w:rsidRPr="00E2771E" w:rsidTr="00DD59F9">
        <w:trPr>
          <w:cantSplit/>
          <w:jc w:val="center"/>
        </w:trPr>
        <w:tc>
          <w:tcPr>
            <w:tcW w:w="1402" w:type="pct"/>
            <w:shd w:val="clear" w:color="auto" w:fill="auto"/>
            <w:vAlign w:val="center"/>
          </w:tcPr>
          <w:p w:rsidR="00DD59F9" w:rsidRPr="00E2771E" w:rsidRDefault="00DD59F9" w:rsidP="00DD59F9">
            <w:pPr>
              <w:pStyle w:val="TableText0"/>
              <w:rPr>
                <w:lang w:val="en-US"/>
              </w:rPr>
            </w:pPr>
            <w:r w:rsidRPr="009C3E4D">
              <w:rPr>
                <w:lang w:val="en-US"/>
              </w:rPr>
              <w:t>Total mg administered per 21-day cycle</w:t>
            </w:r>
          </w:p>
        </w:tc>
        <w:tc>
          <w:tcPr>
            <w:tcW w:w="1199" w:type="pct"/>
            <w:shd w:val="clear" w:color="auto" w:fill="auto"/>
            <w:vAlign w:val="center"/>
          </w:tcPr>
          <w:p w:rsidR="00DD59F9" w:rsidRPr="00E2771E" w:rsidRDefault="00DD59F9" w:rsidP="00DD59F9">
            <w:pPr>
              <w:pStyle w:val="TableText0"/>
              <w:jc w:val="center"/>
              <w:rPr>
                <w:lang w:val="en-US"/>
              </w:rPr>
            </w:pPr>
            <w:r w:rsidRPr="009C3E4D">
              <w:rPr>
                <w:lang w:val="en-US"/>
              </w:rPr>
              <w:t>11,151 mg</w:t>
            </w:r>
          </w:p>
        </w:tc>
        <w:tc>
          <w:tcPr>
            <w:tcW w:w="1198" w:type="pct"/>
            <w:shd w:val="clear" w:color="auto" w:fill="auto"/>
            <w:vAlign w:val="center"/>
          </w:tcPr>
          <w:p w:rsidR="00DD59F9" w:rsidRPr="00E2771E" w:rsidRDefault="00DD59F9" w:rsidP="00DD59F9">
            <w:pPr>
              <w:pStyle w:val="TableText0"/>
              <w:jc w:val="center"/>
              <w:rPr>
                <w:lang w:val="en-US"/>
              </w:rPr>
            </w:pPr>
            <w:r w:rsidRPr="009C3E4D">
              <w:rPr>
                <w:lang w:val="en-US"/>
              </w:rPr>
              <w:t>11,151 mg</w:t>
            </w:r>
          </w:p>
        </w:tc>
        <w:tc>
          <w:tcPr>
            <w:tcW w:w="1201" w:type="pct"/>
            <w:shd w:val="clear" w:color="auto" w:fill="auto"/>
            <w:vAlign w:val="center"/>
          </w:tcPr>
          <w:p w:rsidR="00DD59F9" w:rsidRPr="00E2771E" w:rsidRDefault="003D11FE" w:rsidP="00DD59F9">
            <w:pPr>
              <w:pStyle w:val="TableText0"/>
              <w:jc w:val="center"/>
              <w:rPr>
                <w:lang w:val="en-US"/>
              </w:rPr>
            </w:pPr>
            <w:r>
              <w:rPr>
                <w:lang w:val="en-US"/>
              </w:rPr>
              <w:t>10,321</w:t>
            </w:r>
            <w:r w:rsidR="008C1EED">
              <w:rPr>
                <w:lang w:val="en-US"/>
              </w:rPr>
              <w:t> mg</w:t>
            </w:r>
            <w:r w:rsidR="00F17730" w:rsidRPr="00F17730">
              <w:rPr>
                <w:vertAlign w:val="superscript"/>
                <w:lang w:val="en-US"/>
              </w:rPr>
              <w:t>c</w:t>
            </w:r>
          </w:p>
        </w:tc>
      </w:tr>
      <w:tr w:rsidR="00DD59F9" w:rsidRPr="00E2771E" w:rsidTr="00DD59F9">
        <w:trPr>
          <w:cantSplit/>
          <w:jc w:val="center"/>
        </w:trPr>
        <w:tc>
          <w:tcPr>
            <w:tcW w:w="1402" w:type="pct"/>
            <w:shd w:val="clear" w:color="auto" w:fill="auto"/>
            <w:vAlign w:val="center"/>
          </w:tcPr>
          <w:p w:rsidR="00DD59F9" w:rsidRPr="00E2771E" w:rsidRDefault="00DD59F9" w:rsidP="00DD59F9">
            <w:pPr>
              <w:pStyle w:val="TableText0"/>
              <w:rPr>
                <w:lang w:val="en-US"/>
              </w:rPr>
            </w:pPr>
            <w:r w:rsidRPr="009C3E4D">
              <w:rPr>
                <w:lang w:val="en-US"/>
              </w:rPr>
              <w:t>Cost per mg</w:t>
            </w:r>
          </w:p>
        </w:tc>
        <w:tc>
          <w:tcPr>
            <w:tcW w:w="1199"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r w:rsidRPr="009C3E4D">
              <w:rPr>
                <w:lang w:val="en-US"/>
              </w:rPr>
              <w:t xml:space="preserve"> per mg </w:t>
            </w:r>
            <w:r w:rsidRPr="009C3E4D">
              <w:rPr>
                <w:vertAlign w:val="superscript"/>
                <w:lang w:val="en-US"/>
              </w:rPr>
              <w:t>a</w:t>
            </w:r>
          </w:p>
        </w:tc>
        <w:tc>
          <w:tcPr>
            <w:tcW w:w="1198"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r w:rsidRPr="009C3E4D">
              <w:rPr>
                <w:lang w:val="en-US"/>
              </w:rPr>
              <w:t xml:space="preserve"> per mg </w:t>
            </w:r>
            <w:r w:rsidRPr="009C3E4D">
              <w:rPr>
                <w:vertAlign w:val="superscript"/>
                <w:lang w:val="en-US"/>
              </w:rPr>
              <w:t>a</w:t>
            </w:r>
          </w:p>
        </w:tc>
        <w:tc>
          <w:tcPr>
            <w:tcW w:w="1201" w:type="pct"/>
            <w:shd w:val="clear" w:color="auto" w:fill="auto"/>
            <w:vAlign w:val="center"/>
          </w:tcPr>
          <w:p w:rsidR="00DD59F9" w:rsidRPr="00E2771E" w:rsidRDefault="00386FE7" w:rsidP="00712762">
            <w:pPr>
              <w:pStyle w:val="TableText0"/>
              <w:jc w:val="center"/>
              <w:rPr>
                <w:lang w:val="en-US"/>
              </w:rPr>
            </w:pPr>
            <w:r>
              <w:rPr>
                <w:lang w:val="en-US"/>
              </w:rPr>
              <w:t>$</w:t>
            </w:r>
            <w:r w:rsidR="002A79BC">
              <w:rPr>
                <w:noProof/>
                <w:color w:val="000000"/>
                <w:highlight w:val="black"/>
                <w:lang w:val="en-US"/>
              </w:rPr>
              <w:t>''''''''''</w:t>
            </w:r>
            <w:r>
              <w:rPr>
                <w:lang w:val="en-US"/>
              </w:rPr>
              <w:t xml:space="preserve"> per mg</w:t>
            </w:r>
          </w:p>
        </w:tc>
      </w:tr>
      <w:tr w:rsidR="00DD59F9" w:rsidRPr="00E2771E" w:rsidTr="00DD59F9">
        <w:trPr>
          <w:cantSplit/>
          <w:jc w:val="center"/>
        </w:trPr>
        <w:tc>
          <w:tcPr>
            <w:tcW w:w="1402" w:type="pct"/>
            <w:shd w:val="clear" w:color="auto" w:fill="auto"/>
            <w:vAlign w:val="center"/>
          </w:tcPr>
          <w:p w:rsidR="00DD59F9" w:rsidRPr="00E2771E" w:rsidRDefault="00DD59F9" w:rsidP="00DD59F9">
            <w:pPr>
              <w:pStyle w:val="TableText0"/>
              <w:rPr>
                <w:lang w:val="en-US"/>
              </w:rPr>
            </w:pPr>
            <w:r w:rsidRPr="009C3E4D">
              <w:rPr>
                <w:lang w:val="en-US"/>
              </w:rPr>
              <w:t>Cost/patient/ 21-day cycle</w:t>
            </w:r>
          </w:p>
        </w:tc>
        <w:tc>
          <w:tcPr>
            <w:tcW w:w="1199"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p>
        </w:tc>
        <w:tc>
          <w:tcPr>
            <w:tcW w:w="1198"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p>
        </w:tc>
        <w:tc>
          <w:tcPr>
            <w:tcW w:w="1201" w:type="pct"/>
            <w:shd w:val="clear" w:color="auto" w:fill="auto"/>
            <w:vAlign w:val="center"/>
          </w:tcPr>
          <w:p w:rsidR="00DD59F9" w:rsidRPr="00E2771E" w:rsidRDefault="003D11FE" w:rsidP="00712762">
            <w:pPr>
              <w:pStyle w:val="TableText0"/>
              <w:jc w:val="center"/>
              <w:rPr>
                <w:lang w:val="en-US"/>
              </w:rPr>
            </w:pPr>
            <w:r>
              <w:rPr>
                <w:lang w:val="en-US"/>
              </w:rPr>
              <w:t>$</w:t>
            </w:r>
            <w:r w:rsidR="002A79BC">
              <w:rPr>
                <w:noProof/>
                <w:color w:val="000000"/>
                <w:highlight w:val="black"/>
                <w:lang w:val="en-US"/>
              </w:rPr>
              <w:t>'''''''''''''</w:t>
            </w:r>
          </w:p>
        </w:tc>
      </w:tr>
      <w:tr w:rsidR="00DD59F9" w:rsidRPr="00E2771E" w:rsidTr="00DD59F9">
        <w:trPr>
          <w:cantSplit/>
          <w:jc w:val="center"/>
        </w:trPr>
        <w:tc>
          <w:tcPr>
            <w:tcW w:w="1402" w:type="pct"/>
            <w:shd w:val="clear" w:color="auto" w:fill="auto"/>
            <w:vAlign w:val="center"/>
          </w:tcPr>
          <w:p w:rsidR="00DD59F9" w:rsidRPr="00E2771E" w:rsidRDefault="00DD59F9" w:rsidP="00DD59F9">
            <w:pPr>
              <w:pStyle w:val="TableText0"/>
              <w:rPr>
                <w:lang w:val="en-US"/>
              </w:rPr>
            </w:pPr>
            <w:r w:rsidRPr="009C3E4D">
              <w:rPr>
                <w:lang w:val="en-US"/>
              </w:rPr>
              <w:t>Mean duration</w:t>
            </w:r>
          </w:p>
        </w:tc>
        <w:tc>
          <w:tcPr>
            <w:tcW w:w="1199" w:type="pct"/>
            <w:shd w:val="clear" w:color="auto" w:fill="auto"/>
            <w:vAlign w:val="center"/>
          </w:tcPr>
          <w:p w:rsidR="00DD59F9" w:rsidRPr="00E2771E" w:rsidRDefault="00DD59F9" w:rsidP="00DD59F9">
            <w:pPr>
              <w:pStyle w:val="TableText0"/>
              <w:jc w:val="center"/>
              <w:rPr>
                <w:lang w:val="en-US"/>
              </w:rPr>
            </w:pPr>
            <w:r w:rsidRPr="009C3E4D">
              <w:rPr>
                <w:lang w:val="en-US"/>
              </w:rPr>
              <w:t xml:space="preserve">10.9 cycles </w:t>
            </w:r>
            <w:r w:rsidRPr="009C3E4D">
              <w:rPr>
                <w:vertAlign w:val="superscript"/>
                <w:lang w:val="en-US"/>
              </w:rPr>
              <w:t>b</w:t>
            </w:r>
          </w:p>
        </w:tc>
        <w:tc>
          <w:tcPr>
            <w:tcW w:w="1198" w:type="pct"/>
            <w:shd w:val="clear" w:color="auto" w:fill="auto"/>
            <w:vAlign w:val="center"/>
          </w:tcPr>
          <w:p w:rsidR="00DD59F9" w:rsidRPr="00E2771E" w:rsidRDefault="00DD59F9" w:rsidP="00DD59F9">
            <w:pPr>
              <w:pStyle w:val="TableText0"/>
              <w:jc w:val="center"/>
              <w:rPr>
                <w:lang w:val="en-US"/>
              </w:rPr>
            </w:pPr>
            <w:r w:rsidRPr="009C3E4D">
              <w:rPr>
                <w:lang w:val="en-US"/>
              </w:rPr>
              <w:t>17 cycles</w:t>
            </w:r>
          </w:p>
        </w:tc>
        <w:tc>
          <w:tcPr>
            <w:tcW w:w="1201" w:type="pct"/>
            <w:shd w:val="clear" w:color="auto" w:fill="auto"/>
            <w:vAlign w:val="center"/>
          </w:tcPr>
          <w:p w:rsidR="00DD59F9" w:rsidRPr="00E2771E" w:rsidRDefault="00DD59F9" w:rsidP="00DD59F9">
            <w:pPr>
              <w:pStyle w:val="TableText0"/>
              <w:jc w:val="center"/>
              <w:rPr>
                <w:lang w:val="en-US"/>
              </w:rPr>
            </w:pPr>
            <w:r w:rsidRPr="009C3E4D">
              <w:rPr>
                <w:lang w:val="en-US"/>
              </w:rPr>
              <w:t>17 cycles</w:t>
            </w:r>
          </w:p>
        </w:tc>
      </w:tr>
      <w:tr w:rsidR="00DD59F9" w:rsidRPr="00E2771E" w:rsidTr="00DD59F9">
        <w:trPr>
          <w:cantSplit/>
          <w:jc w:val="center"/>
        </w:trPr>
        <w:tc>
          <w:tcPr>
            <w:tcW w:w="1402" w:type="pct"/>
            <w:shd w:val="clear" w:color="auto" w:fill="auto"/>
            <w:vAlign w:val="center"/>
          </w:tcPr>
          <w:p w:rsidR="00DD59F9" w:rsidRPr="00E2771E" w:rsidRDefault="00DD59F9" w:rsidP="00DD59F9">
            <w:pPr>
              <w:pStyle w:val="TableText0"/>
              <w:rPr>
                <w:lang w:val="en-US"/>
              </w:rPr>
            </w:pPr>
            <w:r w:rsidRPr="009C3E4D">
              <w:rPr>
                <w:lang w:val="en-US"/>
              </w:rPr>
              <w:t>Cost/patient/course</w:t>
            </w:r>
          </w:p>
        </w:tc>
        <w:tc>
          <w:tcPr>
            <w:tcW w:w="1199"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p>
        </w:tc>
        <w:tc>
          <w:tcPr>
            <w:tcW w:w="1198" w:type="pct"/>
            <w:shd w:val="clear" w:color="auto" w:fill="auto"/>
            <w:vAlign w:val="center"/>
          </w:tcPr>
          <w:p w:rsidR="00DD59F9" w:rsidRPr="00E2771E" w:rsidRDefault="00DD59F9" w:rsidP="00DD59F9">
            <w:pPr>
              <w:pStyle w:val="TableText0"/>
              <w:jc w:val="center"/>
              <w:rPr>
                <w:lang w:val="en-US"/>
              </w:rPr>
            </w:pPr>
            <w:r w:rsidRPr="009C3E4D">
              <w:rPr>
                <w:lang w:val="en-US"/>
              </w:rPr>
              <w:t>$</w:t>
            </w:r>
            <w:r w:rsidR="002A79BC">
              <w:rPr>
                <w:noProof/>
                <w:color w:val="000000"/>
                <w:highlight w:val="black"/>
                <w:lang w:val="en-US"/>
              </w:rPr>
              <w:t>''''''''''''''''''</w:t>
            </w:r>
          </w:p>
        </w:tc>
        <w:tc>
          <w:tcPr>
            <w:tcW w:w="1201" w:type="pct"/>
            <w:shd w:val="clear" w:color="auto" w:fill="auto"/>
            <w:vAlign w:val="center"/>
          </w:tcPr>
          <w:p w:rsidR="00DD59F9" w:rsidRPr="00E2771E" w:rsidRDefault="003D11FE" w:rsidP="00712762">
            <w:pPr>
              <w:pStyle w:val="TableText0"/>
              <w:jc w:val="center"/>
              <w:rPr>
                <w:lang w:val="en-US"/>
              </w:rPr>
            </w:pPr>
            <w:r>
              <w:rPr>
                <w:lang w:val="en-US"/>
              </w:rPr>
              <w:t>$</w:t>
            </w:r>
            <w:r w:rsidR="002A79BC">
              <w:rPr>
                <w:noProof/>
                <w:color w:val="000000"/>
                <w:highlight w:val="black"/>
                <w:lang w:val="en-US"/>
              </w:rPr>
              <w:t>''''''''''''''''''</w:t>
            </w:r>
          </w:p>
        </w:tc>
      </w:tr>
    </w:tbl>
    <w:p w:rsidR="00486C0D" w:rsidRPr="009C3E4D" w:rsidRDefault="00486C0D" w:rsidP="00486C0D">
      <w:pPr>
        <w:spacing w:after="240"/>
        <w:contextualSpacing/>
        <w:rPr>
          <w:rFonts w:ascii="Arial Narrow" w:hAnsi="Arial Narrow"/>
          <w:sz w:val="18"/>
        </w:rPr>
      </w:pPr>
      <w:r w:rsidRPr="009C3E4D">
        <w:rPr>
          <w:rFonts w:ascii="Arial Narrow" w:hAnsi="Arial Narrow"/>
          <w:sz w:val="18"/>
        </w:rPr>
        <w:t>Source: compiled during evaluation based on: Table 13</w:t>
      </w:r>
      <w:r w:rsidR="00E86309">
        <w:rPr>
          <w:rFonts w:ascii="Arial Narrow" w:hAnsi="Arial Narrow"/>
          <w:sz w:val="18"/>
        </w:rPr>
        <w:t xml:space="preserve"> </w:t>
      </w:r>
      <w:r w:rsidRPr="009C3E4D">
        <w:rPr>
          <w:rFonts w:ascii="Arial Narrow" w:hAnsi="Arial Narrow"/>
          <w:sz w:val="18"/>
        </w:rPr>
        <w:t xml:space="preserve">of the CSR; </w:t>
      </w:r>
    </w:p>
    <w:p w:rsidR="00486C0D" w:rsidRPr="009C3E4D" w:rsidRDefault="00486C0D" w:rsidP="00486C0D">
      <w:pPr>
        <w:spacing w:after="240"/>
        <w:contextualSpacing/>
        <w:rPr>
          <w:rFonts w:ascii="Arial Narrow" w:hAnsi="Arial Narrow"/>
          <w:sz w:val="18"/>
        </w:rPr>
      </w:pPr>
      <w:r w:rsidRPr="009C3E4D">
        <w:rPr>
          <w:rFonts w:ascii="Arial Narrow" w:hAnsi="Arial Narrow"/>
          <w:sz w:val="18"/>
          <w:vertAlign w:val="superscript"/>
        </w:rPr>
        <w:t>a</w:t>
      </w:r>
      <w:r w:rsidRPr="009C3E4D">
        <w:rPr>
          <w:rFonts w:ascii="Arial Narrow" w:hAnsi="Arial Narrow"/>
          <w:sz w:val="18"/>
        </w:rPr>
        <w:t xml:space="preserve"> Based on </w:t>
      </w:r>
      <w:r w:rsidR="00847662">
        <w:rPr>
          <w:rFonts w:ascii="Arial Narrow" w:hAnsi="Arial Narrow"/>
          <w:sz w:val="18"/>
        </w:rPr>
        <w:t>150 mg</w:t>
      </w:r>
      <w:r w:rsidRPr="009C3E4D">
        <w:rPr>
          <w:rFonts w:ascii="Arial Narrow" w:hAnsi="Arial Narrow"/>
          <w:sz w:val="18"/>
        </w:rPr>
        <w:t xml:space="preserve"> tablet</w:t>
      </w:r>
    </w:p>
    <w:p w:rsidR="00486C0D" w:rsidRDefault="00486C0D" w:rsidP="00486C0D">
      <w:pPr>
        <w:spacing w:after="240"/>
        <w:contextualSpacing/>
        <w:rPr>
          <w:rFonts w:ascii="Arial Narrow" w:hAnsi="Arial Narrow"/>
          <w:sz w:val="18"/>
        </w:rPr>
      </w:pPr>
      <w:r w:rsidRPr="009C3E4D">
        <w:rPr>
          <w:rFonts w:ascii="Arial Narrow" w:hAnsi="Arial Narrow"/>
          <w:sz w:val="18"/>
          <w:vertAlign w:val="superscript"/>
        </w:rPr>
        <w:t>b</w:t>
      </w:r>
      <w:r w:rsidRPr="009C3E4D">
        <w:rPr>
          <w:rFonts w:ascii="Arial Narrow" w:hAnsi="Arial Narrow"/>
          <w:sz w:val="18"/>
        </w:rPr>
        <w:t xml:space="preserve"> Based on truncated mean reported in trial</w:t>
      </w:r>
    </w:p>
    <w:p w:rsidR="00F17730" w:rsidRPr="002D45DF" w:rsidRDefault="00F17730" w:rsidP="00486C0D">
      <w:pPr>
        <w:spacing w:after="240"/>
        <w:contextualSpacing/>
        <w:rPr>
          <w:rFonts w:ascii="Arial Narrow" w:hAnsi="Arial Narrow"/>
          <w:sz w:val="18"/>
        </w:rPr>
      </w:pPr>
      <w:r w:rsidRPr="00F17730">
        <w:rPr>
          <w:rFonts w:ascii="Arial Narrow" w:hAnsi="Arial Narrow"/>
          <w:sz w:val="18"/>
          <w:vertAlign w:val="superscript"/>
        </w:rPr>
        <w:t>c</w:t>
      </w:r>
      <w:r>
        <w:rPr>
          <w:rFonts w:ascii="Arial Narrow" w:hAnsi="Arial Narrow"/>
          <w:sz w:val="18"/>
        </w:rPr>
        <w:t xml:space="preserve"> Based on </w:t>
      </w:r>
      <w:r w:rsidRPr="00F17730">
        <w:rPr>
          <w:rFonts w:ascii="Arial Narrow" w:hAnsi="Arial Narrow"/>
          <w:sz w:val="18"/>
        </w:rPr>
        <w:t xml:space="preserve">a weighted average of 81.4% of patients getting </w:t>
      </w:r>
      <w:r>
        <w:rPr>
          <w:rFonts w:ascii="Arial Narrow" w:hAnsi="Arial Narrow"/>
          <w:sz w:val="18"/>
        </w:rPr>
        <w:t>300x2x21x0.885</w:t>
      </w:r>
      <w:r w:rsidRPr="00F17730">
        <w:rPr>
          <w:rFonts w:ascii="Arial Narrow" w:hAnsi="Arial Narrow"/>
          <w:sz w:val="18"/>
        </w:rPr>
        <w:t xml:space="preserve"> and 18.6% getting 1.8</w:t>
      </w:r>
      <w:r>
        <w:rPr>
          <w:rFonts w:ascii="Arial Narrow" w:hAnsi="Arial Narrow"/>
          <w:sz w:val="18"/>
        </w:rPr>
        <w:t>x</w:t>
      </w:r>
      <w:r w:rsidRPr="00F17730">
        <w:rPr>
          <w:rFonts w:ascii="Arial Narrow" w:hAnsi="Arial Narrow"/>
          <w:sz w:val="18"/>
        </w:rPr>
        <w:t>50</w:t>
      </w:r>
      <w:r>
        <w:rPr>
          <w:rFonts w:ascii="Arial Narrow" w:hAnsi="Arial Narrow"/>
          <w:sz w:val="18"/>
        </w:rPr>
        <w:t>x</w:t>
      </w:r>
      <w:r w:rsidRPr="00F17730">
        <w:rPr>
          <w:rFonts w:ascii="Arial Narrow" w:hAnsi="Arial Narrow"/>
          <w:sz w:val="18"/>
        </w:rPr>
        <w:t>4</w:t>
      </w:r>
      <w:r>
        <w:rPr>
          <w:rFonts w:ascii="Arial Narrow" w:hAnsi="Arial Narrow"/>
          <w:sz w:val="18"/>
        </w:rPr>
        <w:t>x</w:t>
      </w:r>
      <w:r w:rsidRPr="00F17730">
        <w:rPr>
          <w:rFonts w:ascii="Arial Narrow" w:hAnsi="Arial Narrow"/>
          <w:sz w:val="18"/>
        </w:rPr>
        <w:t>21</w:t>
      </w:r>
      <w:r>
        <w:rPr>
          <w:rFonts w:ascii="Arial Narrow" w:hAnsi="Arial Narrow"/>
          <w:sz w:val="18"/>
        </w:rPr>
        <w:t>x0</w:t>
      </w:r>
      <w:r w:rsidRPr="00F17730">
        <w:rPr>
          <w:rFonts w:ascii="Arial Narrow" w:hAnsi="Arial Narrow"/>
          <w:sz w:val="18"/>
        </w:rPr>
        <w:t>.885</w:t>
      </w:r>
      <w:r w:rsidR="00C23D45">
        <w:rPr>
          <w:rFonts w:ascii="Arial Narrow" w:hAnsi="Arial Narrow"/>
          <w:sz w:val="18"/>
        </w:rPr>
        <w:t xml:space="preserve">. </w:t>
      </w:r>
      <w:r w:rsidR="00C23D45" w:rsidRPr="002D45DF">
        <w:rPr>
          <w:rFonts w:ascii="Arial Narrow" w:hAnsi="Arial Narrow"/>
          <w:sz w:val="18"/>
        </w:rPr>
        <w:t>These values have not been updated to adjust for changes proposed in the PSCR.</w:t>
      </w:r>
    </w:p>
    <w:p w:rsidR="00F17730" w:rsidRDefault="00F17730" w:rsidP="00486C0D">
      <w:pPr>
        <w:spacing w:after="240"/>
        <w:contextualSpacing/>
        <w:rPr>
          <w:rFonts w:ascii="Arial Narrow" w:hAnsi="Arial Narrow"/>
          <w:sz w:val="18"/>
        </w:rPr>
      </w:pPr>
      <w:r w:rsidRPr="00F17730">
        <w:rPr>
          <w:rFonts w:ascii="Arial Narrow" w:hAnsi="Arial Narrow"/>
          <w:sz w:val="18"/>
          <w:vertAlign w:val="superscript"/>
        </w:rPr>
        <w:t>d</w:t>
      </w:r>
      <w:r>
        <w:rPr>
          <w:rFonts w:ascii="Arial Narrow" w:hAnsi="Arial Narrow"/>
          <w:sz w:val="18"/>
        </w:rPr>
        <w:t xml:space="preserve"> Based on the cost / (scripts x mg per script)</w:t>
      </w:r>
    </w:p>
    <w:p w:rsidR="000A032D" w:rsidRPr="007561D2" w:rsidRDefault="000A032D" w:rsidP="000A032D">
      <w:pPr>
        <w:pStyle w:val="3-BodyText"/>
        <w:rPr>
          <w:snapToGrid/>
          <w:color w:val="0066FF"/>
          <w:lang w:val="en-US"/>
        </w:rPr>
      </w:pPr>
      <w:r w:rsidRPr="007561D2">
        <w:t>T</w:t>
      </w:r>
      <w:r w:rsidR="00486C0D" w:rsidRPr="007561D2">
        <w:t>he economic model</w:t>
      </w:r>
      <w:r w:rsidRPr="007561D2">
        <w:t xml:space="preserve"> estimated that</w:t>
      </w:r>
      <w:r w:rsidR="00486C0D" w:rsidRPr="007561D2">
        <w:t xml:space="preserve"> tucatinib would cost $</w:t>
      </w:r>
      <w:r w:rsidR="002A79BC">
        <w:rPr>
          <w:noProof/>
          <w:color w:val="000000"/>
          <w:highlight w:val="black"/>
        </w:rPr>
        <w:t>''''''''''''''''</w:t>
      </w:r>
      <w:r w:rsidR="00486C0D" w:rsidRPr="007561D2">
        <w:t xml:space="preserve"> per patient (undiscounted). </w:t>
      </w:r>
      <w:r w:rsidRPr="007561D2">
        <w:t xml:space="preserve">This assumed a dose intensity of 88.5%, and was calculated based on the </w:t>
      </w:r>
      <w:r w:rsidRPr="007561D2">
        <w:rPr>
          <w:rFonts w:cs="Times New Roman"/>
          <w:snapToGrid/>
          <w:lang w:eastAsia="en-GB"/>
        </w:rPr>
        <w:t>cost per milligram, rather than the cost per whole tablet, which underestimated the likely cost</w:t>
      </w:r>
      <w:r w:rsidR="00E73499" w:rsidRPr="007561D2">
        <w:rPr>
          <w:rFonts w:cs="Times New Roman"/>
          <w:snapToGrid/>
          <w:lang w:eastAsia="en-GB"/>
        </w:rPr>
        <w:t xml:space="preserve"> of tucatinib</w:t>
      </w:r>
      <w:r w:rsidRPr="007561D2">
        <w:rPr>
          <w:rFonts w:cs="Times New Roman"/>
          <w:snapToGrid/>
          <w:lang w:eastAsia="en-GB"/>
        </w:rPr>
        <w:t xml:space="preserve">. </w:t>
      </w:r>
    </w:p>
    <w:p w:rsidR="000A032D" w:rsidRPr="007561D2" w:rsidRDefault="000A032D" w:rsidP="000A032D">
      <w:pPr>
        <w:pStyle w:val="3-BodyText"/>
        <w:rPr>
          <w:snapToGrid/>
          <w:color w:val="0066FF"/>
          <w:lang w:val="en-US"/>
        </w:rPr>
      </w:pPr>
      <w:r w:rsidRPr="007561D2">
        <w:t xml:space="preserve">As the treatment duration was longer in the tucatinib arm than the placebo arm, the cost </w:t>
      </w:r>
      <w:r w:rsidR="00E73499" w:rsidRPr="007561D2">
        <w:t xml:space="preserve">of </w:t>
      </w:r>
      <w:r w:rsidRPr="007561D2">
        <w:t>capecitabine and trastuzumab would be higher when used in combination with tucatinib. The economic model estimated that the total cost of capecitabine and trastuzumab would be:</w:t>
      </w:r>
    </w:p>
    <w:p w:rsidR="000A032D" w:rsidRPr="007561D2" w:rsidRDefault="000A032D" w:rsidP="00BD3FC3">
      <w:pPr>
        <w:pStyle w:val="3-BodyText"/>
        <w:numPr>
          <w:ilvl w:val="1"/>
          <w:numId w:val="12"/>
        </w:numPr>
        <w:spacing w:after="0"/>
        <w:ind w:left="1077" w:hanging="357"/>
        <w:rPr>
          <w:snapToGrid/>
          <w:color w:val="0066FF"/>
          <w:lang w:val="en-US"/>
        </w:rPr>
      </w:pPr>
      <w:r w:rsidRPr="007561D2">
        <w:t>$</w:t>
      </w:r>
      <w:r w:rsidR="002A79BC">
        <w:rPr>
          <w:noProof/>
          <w:color w:val="000000"/>
          <w:highlight w:val="black"/>
        </w:rPr>
        <w:t>''''''''''''</w:t>
      </w:r>
      <w:r w:rsidRPr="007561D2">
        <w:t xml:space="preserve"> in the tucatinib arm; and</w:t>
      </w:r>
    </w:p>
    <w:p w:rsidR="00494207" w:rsidRPr="007561D2" w:rsidRDefault="000A032D" w:rsidP="00BD3FC3">
      <w:pPr>
        <w:pStyle w:val="3-BodyText"/>
        <w:numPr>
          <w:ilvl w:val="1"/>
          <w:numId w:val="12"/>
        </w:numPr>
        <w:ind w:left="1077" w:hanging="357"/>
        <w:rPr>
          <w:snapToGrid/>
          <w:color w:val="0066FF"/>
          <w:lang w:val="en-US"/>
        </w:rPr>
      </w:pPr>
      <w:r w:rsidRPr="007561D2">
        <w:t xml:space="preserve">$11,618 in the placebo arm. </w:t>
      </w:r>
    </w:p>
    <w:p w:rsidR="00B60939" w:rsidRPr="00C9624D" w:rsidRDefault="00B60939" w:rsidP="008D0213">
      <w:pPr>
        <w:pStyle w:val="4-SubsectionHeading"/>
      </w:pPr>
      <w:bookmarkStart w:id="22" w:name="_Toc22897647"/>
      <w:bookmarkStart w:id="23" w:name="_Toc62045118"/>
      <w:r w:rsidRPr="00C9624D">
        <w:t>Estimated PBS usage &amp; financial implications</w:t>
      </w:r>
      <w:bookmarkEnd w:id="22"/>
      <w:bookmarkEnd w:id="23"/>
    </w:p>
    <w:p w:rsidR="002B05A1" w:rsidRPr="00190C65" w:rsidRDefault="00C25D9C" w:rsidP="00190C65">
      <w:pPr>
        <w:pStyle w:val="3-BodyText"/>
      </w:pPr>
      <w:r>
        <w:t xml:space="preserve">This submission </w:t>
      </w:r>
      <w:r w:rsidR="00495909">
        <w:t xml:space="preserve">was </w:t>
      </w:r>
      <w:r w:rsidR="0065508A">
        <w:t>not</w:t>
      </w:r>
      <w:r>
        <w:t xml:space="preserve"> considered by </w:t>
      </w:r>
      <w:r w:rsidRPr="00190C65">
        <w:t>DUSC.</w:t>
      </w:r>
      <w:r w:rsidR="00BC591F" w:rsidRPr="00190C65">
        <w:t xml:space="preserve"> </w:t>
      </w:r>
      <w:r w:rsidR="00190C65" w:rsidRPr="00190C65">
        <w:t>The submission used a pharmacoepidemiological approach to estimate the number of treated patients.</w:t>
      </w:r>
      <w:r w:rsidR="00190C65">
        <w:t xml:space="preserve"> </w:t>
      </w:r>
      <w:r w:rsidR="00190C65" w:rsidRPr="00190C65">
        <w:t>The majority of assumptions used to estimate the number of eligible patients were from a PBS 10% sample from Tableau online (Model Solutions).</w:t>
      </w:r>
    </w:p>
    <w:p w:rsidR="00E42F73" w:rsidRPr="007925DF" w:rsidRDefault="00E42F73" w:rsidP="007925DF">
      <w:pPr>
        <w:pStyle w:val="TableFigureHeading"/>
        <w:rPr>
          <w:rStyle w:val="CommentReference"/>
          <w:b/>
          <w:szCs w:val="24"/>
        </w:rPr>
      </w:pPr>
      <w:r w:rsidRPr="007925DF">
        <w:rPr>
          <w:rStyle w:val="CommentReference"/>
          <w:b/>
          <w:szCs w:val="24"/>
        </w:rPr>
        <w:t xml:space="preserve">Table </w:t>
      </w:r>
      <w:r w:rsidR="005A3392">
        <w:rPr>
          <w:rStyle w:val="CommentReference"/>
          <w:b/>
          <w:szCs w:val="24"/>
        </w:rPr>
        <w:t>1</w:t>
      </w:r>
      <w:r w:rsidR="00F924B4">
        <w:rPr>
          <w:rStyle w:val="CommentReference"/>
          <w:b/>
          <w:szCs w:val="24"/>
        </w:rPr>
        <w:t>5</w:t>
      </w:r>
      <w:r w:rsidRPr="007925DF">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42F73" w:rsidRPr="003D1DE4" w:rsidTr="009C3A3A">
        <w:trPr>
          <w:tblHeader/>
        </w:trPr>
        <w:tc>
          <w:tcPr>
            <w:tcW w:w="950" w:type="pct"/>
            <w:shd w:val="clear" w:color="auto" w:fill="auto"/>
            <w:vAlign w:val="center"/>
          </w:tcPr>
          <w:p w:rsidR="00E42F73" w:rsidRPr="003D1DE4" w:rsidRDefault="004658B5" w:rsidP="007925DF">
            <w:pPr>
              <w:pStyle w:val="In-tableHeading"/>
            </w:pPr>
            <w:r>
              <w:t>Parameter</w:t>
            </w:r>
          </w:p>
        </w:tc>
        <w:tc>
          <w:tcPr>
            <w:tcW w:w="2270" w:type="pct"/>
            <w:shd w:val="clear" w:color="auto" w:fill="auto"/>
            <w:vAlign w:val="center"/>
          </w:tcPr>
          <w:p w:rsidR="00E42F73" w:rsidRPr="003D1DE4" w:rsidRDefault="004658B5" w:rsidP="007925DF">
            <w:pPr>
              <w:pStyle w:val="In-tableHeading"/>
            </w:pPr>
            <w:r>
              <w:t>Value applied and source</w:t>
            </w:r>
          </w:p>
        </w:tc>
        <w:tc>
          <w:tcPr>
            <w:tcW w:w="1780" w:type="pct"/>
            <w:shd w:val="clear" w:color="auto" w:fill="auto"/>
            <w:vAlign w:val="center"/>
          </w:tcPr>
          <w:p w:rsidR="00E42F73" w:rsidRPr="003D1DE4" w:rsidRDefault="004658B5" w:rsidP="007925DF">
            <w:pPr>
              <w:pStyle w:val="In-tableHeading"/>
            </w:pPr>
            <w:r>
              <w:t>Comment</w:t>
            </w:r>
          </w:p>
        </w:tc>
      </w:tr>
      <w:tr w:rsidR="00E42F73" w:rsidRPr="00E2771E" w:rsidTr="009C3A3A">
        <w:tc>
          <w:tcPr>
            <w:tcW w:w="950" w:type="pct"/>
            <w:shd w:val="clear" w:color="auto" w:fill="auto"/>
            <w:vAlign w:val="center"/>
          </w:tcPr>
          <w:p w:rsidR="00E42F73" w:rsidRPr="007561D2" w:rsidRDefault="0065508A" w:rsidP="007925DF">
            <w:pPr>
              <w:pStyle w:val="TableText0"/>
              <w:rPr>
                <w:lang w:val="en-US"/>
              </w:rPr>
            </w:pPr>
            <w:r w:rsidRPr="007561D2">
              <w:rPr>
                <w:lang w:val="en-US"/>
              </w:rPr>
              <w:t>Prevalent population</w:t>
            </w:r>
          </w:p>
        </w:tc>
        <w:tc>
          <w:tcPr>
            <w:tcW w:w="2270" w:type="pct"/>
            <w:shd w:val="clear" w:color="auto" w:fill="auto"/>
            <w:vAlign w:val="center"/>
          </w:tcPr>
          <w:p w:rsidR="00E42F73" w:rsidRPr="007561D2" w:rsidRDefault="0065508A" w:rsidP="007925DF">
            <w:pPr>
              <w:pStyle w:val="TableText0"/>
              <w:rPr>
                <w:lang w:val="en-US"/>
              </w:rPr>
            </w:pPr>
            <w:r w:rsidRPr="007561D2">
              <w:rPr>
                <w:lang w:val="en-US"/>
              </w:rPr>
              <w:t>Number of prevalent patients based on 10% sample analysis</w:t>
            </w:r>
          </w:p>
        </w:tc>
        <w:tc>
          <w:tcPr>
            <w:tcW w:w="1780" w:type="pct"/>
            <w:shd w:val="clear" w:color="auto" w:fill="auto"/>
            <w:vAlign w:val="center"/>
          </w:tcPr>
          <w:p w:rsidR="00E42F73" w:rsidRPr="007561D2" w:rsidRDefault="00AC6324" w:rsidP="00AC6324">
            <w:pPr>
              <w:pStyle w:val="TableText0"/>
              <w:rPr>
                <w:lang w:val="en-US"/>
              </w:rPr>
            </w:pPr>
            <w:r w:rsidRPr="007561D2">
              <w:rPr>
                <w:lang w:val="en-US"/>
              </w:rPr>
              <w:t>Potentially unreliable and l</w:t>
            </w:r>
            <w:r w:rsidR="0065508A" w:rsidRPr="007561D2">
              <w:rPr>
                <w:lang w:val="en-US"/>
              </w:rPr>
              <w:t xml:space="preserve">ikely overestimated due to the extrapolation method. </w:t>
            </w:r>
          </w:p>
        </w:tc>
      </w:tr>
      <w:tr w:rsidR="00A05C32" w:rsidRPr="00E2771E" w:rsidTr="009C3A3A">
        <w:tc>
          <w:tcPr>
            <w:tcW w:w="950" w:type="pct"/>
            <w:shd w:val="clear" w:color="auto" w:fill="auto"/>
            <w:vAlign w:val="center"/>
          </w:tcPr>
          <w:p w:rsidR="00A05C32" w:rsidRPr="007561D2" w:rsidRDefault="00CE475B" w:rsidP="0065508A">
            <w:pPr>
              <w:pStyle w:val="TableText0"/>
              <w:rPr>
                <w:lang w:val="en-US"/>
              </w:rPr>
            </w:pPr>
            <w:r w:rsidRPr="007561D2">
              <w:rPr>
                <w:lang w:val="en-US"/>
              </w:rPr>
              <w:t xml:space="preserve">Patients </w:t>
            </w:r>
            <w:r w:rsidR="0065508A" w:rsidRPr="007561D2">
              <w:rPr>
                <w:lang w:val="en-US"/>
              </w:rPr>
              <w:t>who progress to second line treatment</w:t>
            </w:r>
          </w:p>
        </w:tc>
        <w:tc>
          <w:tcPr>
            <w:tcW w:w="2270" w:type="pct"/>
            <w:shd w:val="clear" w:color="auto" w:fill="auto"/>
            <w:vAlign w:val="center"/>
          </w:tcPr>
          <w:p w:rsidR="00A05C32" w:rsidRPr="007561D2" w:rsidRDefault="00CE475B" w:rsidP="007925DF">
            <w:pPr>
              <w:pStyle w:val="TableText0"/>
              <w:rPr>
                <w:lang w:val="en-US"/>
              </w:rPr>
            </w:pPr>
            <w:r w:rsidRPr="007561D2">
              <w:rPr>
                <w:lang w:val="en-US"/>
              </w:rPr>
              <w:t>23.3% based on the 10% sample analysis</w:t>
            </w:r>
          </w:p>
        </w:tc>
        <w:tc>
          <w:tcPr>
            <w:tcW w:w="1780" w:type="pct"/>
            <w:shd w:val="clear" w:color="auto" w:fill="auto"/>
            <w:vAlign w:val="center"/>
          </w:tcPr>
          <w:p w:rsidR="00A05C32" w:rsidRPr="007561D2" w:rsidRDefault="00A23ABE" w:rsidP="00495909">
            <w:pPr>
              <w:pStyle w:val="TableText0"/>
              <w:rPr>
                <w:lang w:val="en-US"/>
              </w:rPr>
            </w:pPr>
            <w:r w:rsidRPr="007561D2">
              <w:rPr>
                <w:lang w:val="en-US"/>
              </w:rPr>
              <w:t>Could be under or overestimated, th</w:t>
            </w:r>
            <w:r w:rsidR="00495909">
              <w:rPr>
                <w:lang w:val="en-US"/>
              </w:rPr>
              <w:t>e 10%</w:t>
            </w:r>
            <w:r w:rsidRPr="007561D2">
              <w:rPr>
                <w:lang w:val="en-US"/>
              </w:rPr>
              <w:t xml:space="preserve"> sample included too few patients for it to be a reliable source</w:t>
            </w:r>
          </w:p>
        </w:tc>
      </w:tr>
      <w:tr w:rsidR="0065508A" w:rsidRPr="00E2771E" w:rsidTr="009C3A3A">
        <w:tc>
          <w:tcPr>
            <w:tcW w:w="950" w:type="pct"/>
            <w:shd w:val="clear" w:color="auto" w:fill="auto"/>
            <w:vAlign w:val="center"/>
          </w:tcPr>
          <w:p w:rsidR="0065508A" w:rsidRPr="007561D2" w:rsidRDefault="00CE475B" w:rsidP="007925DF">
            <w:pPr>
              <w:pStyle w:val="TableText0"/>
              <w:rPr>
                <w:lang w:val="en-US"/>
              </w:rPr>
            </w:pPr>
            <w:r w:rsidRPr="007561D2">
              <w:rPr>
                <w:lang w:val="en-US"/>
              </w:rPr>
              <w:t>P</w:t>
            </w:r>
            <w:r w:rsidR="00A23ABE" w:rsidRPr="007561D2">
              <w:rPr>
                <w:lang w:val="en-US"/>
              </w:rPr>
              <w:t>atient</w:t>
            </w:r>
            <w:r w:rsidRPr="007561D2">
              <w:rPr>
                <w:lang w:val="en-US"/>
              </w:rPr>
              <w:t xml:space="preserve">s </w:t>
            </w:r>
            <w:r w:rsidR="0065508A" w:rsidRPr="007561D2">
              <w:rPr>
                <w:lang w:val="en-US"/>
              </w:rPr>
              <w:t>who are second line or third line with prior T-DM1</w:t>
            </w:r>
          </w:p>
        </w:tc>
        <w:tc>
          <w:tcPr>
            <w:tcW w:w="2270" w:type="pct"/>
            <w:shd w:val="clear" w:color="auto" w:fill="auto"/>
            <w:vAlign w:val="center"/>
          </w:tcPr>
          <w:p w:rsidR="0065508A" w:rsidRPr="007561D2" w:rsidRDefault="00CE475B" w:rsidP="007925DF">
            <w:pPr>
              <w:pStyle w:val="TableText0"/>
              <w:rPr>
                <w:lang w:val="en-US"/>
              </w:rPr>
            </w:pPr>
            <w:r w:rsidRPr="007561D2">
              <w:rPr>
                <w:lang w:val="en-US"/>
              </w:rPr>
              <w:t>64.4% based on the 10% sample analysis, an Australian abstract (Lee) and the Public Summary document for T-DM1 in adjuvant treatment</w:t>
            </w:r>
          </w:p>
        </w:tc>
        <w:tc>
          <w:tcPr>
            <w:tcW w:w="1780" w:type="pct"/>
            <w:shd w:val="clear" w:color="auto" w:fill="auto"/>
            <w:vAlign w:val="center"/>
          </w:tcPr>
          <w:p w:rsidR="0065508A" w:rsidRPr="007561D2" w:rsidRDefault="00A23ABE" w:rsidP="00495909">
            <w:pPr>
              <w:pStyle w:val="TableText0"/>
              <w:rPr>
                <w:lang w:val="en-US"/>
              </w:rPr>
            </w:pPr>
            <w:r w:rsidRPr="007561D2">
              <w:rPr>
                <w:lang w:val="en-US"/>
              </w:rPr>
              <w:t xml:space="preserve">Could be under or overestimated, </w:t>
            </w:r>
            <w:r w:rsidR="00495909">
              <w:rPr>
                <w:lang w:val="en-US"/>
              </w:rPr>
              <w:t xml:space="preserve">the 10% </w:t>
            </w:r>
            <w:r w:rsidRPr="007561D2">
              <w:rPr>
                <w:lang w:val="en-US"/>
              </w:rPr>
              <w:t>sample included too few patients for it to be a reliable source</w:t>
            </w:r>
          </w:p>
        </w:tc>
      </w:tr>
      <w:tr w:rsidR="00E42F73" w:rsidRPr="00E2771E" w:rsidTr="009C3A3A">
        <w:tc>
          <w:tcPr>
            <w:tcW w:w="950" w:type="pct"/>
            <w:shd w:val="clear" w:color="auto" w:fill="auto"/>
            <w:vAlign w:val="center"/>
          </w:tcPr>
          <w:p w:rsidR="00E42F73" w:rsidRPr="007561D2" w:rsidRDefault="0065508A" w:rsidP="007925DF">
            <w:pPr>
              <w:pStyle w:val="TableText0"/>
              <w:rPr>
                <w:lang w:val="en-US"/>
              </w:rPr>
            </w:pPr>
            <w:r w:rsidRPr="007561D2">
              <w:rPr>
                <w:lang w:val="en-US"/>
              </w:rPr>
              <w:t>Uptake rate</w:t>
            </w:r>
          </w:p>
        </w:tc>
        <w:tc>
          <w:tcPr>
            <w:tcW w:w="2270" w:type="pct"/>
            <w:shd w:val="clear" w:color="auto" w:fill="auto"/>
            <w:vAlign w:val="center"/>
          </w:tcPr>
          <w:p w:rsidR="00E42F73" w:rsidRPr="007561D2" w:rsidRDefault="0065508A" w:rsidP="007925DF">
            <w:pPr>
              <w:pStyle w:val="TableText0"/>
              <w:rPr>
                <w:lang w:val="en-US"/>
              </w:rPr>
            </w:pPr>
            <w:r w:rsidRPr="007561D2">
              <w:rPr>
                <w:lang w:val="en-US"/>
              </w:rPr>
              <w:t>55% in Year 1 increasing to 80</w:t>
            </w:r>
            <w:r w:rsidR="004658B5" w:rsidRPr="007561D2">
              <w:rPr>
                <w:lang w:val="en-US"/>
              </w:rPr>
              <w:t xml:space="preserve">% in Year 6. Based on </w:t>
            </w:r>
            <w:r w:rsidRPr="007561D2">
              <w:rPr>
                <w:lang w:val="en-US"/>
              </w:rPr>
              <w:t>sponsor’s assumption</w:t>
            </w:r>
            <w:r w:rsidR="004658B5" w:rsidRPr="007561D2">
              <w:rPr>
                <w:lang w:val="en-US"/>
              </w:rPr>
              <w:t>.</w:t>
            </w:r>
          </w:p>
        </w:tc>
        <w:tc>
          <w:tcPr>
            <w:tcW w:w="1780" w:type="pct"/>
            <w:shd w:val="clear" w:color="auto" w:fill="auto"/>
            <w:vAlign w:val="center"/>
          </w:tcPr>
          <w:p w:rsidR="00E42F73" w:rsidRPr="007561D2" w:rsidRDefault="004658B5" w:rsidP="00495909">
            <w:pPr>
              <w:pStyle w:val="TableText0"/>
              <w:rPr>
                <w:lang w:val="en-US"/>
              </w:rPr>
            </w:pPr>
            <w:r w:rsidRPr="007561D2">
              <w:rPr>
                <w:lang w:val="en-US"/>
              </w:rPr>
              <w:t>Likely underestimated</w:t>
            </w:r>
            <w:r w:rsidR="0065508A" w:rsidRPr="007561D2">
              <w:rPr>
                <w:lang w:val="en-US"/>
              </w:rPr>
              <w:t xml:space="preserve"> in the true eligible population because patients are likely to add tucatinib to </w:t>
            </w:r>
            <w:r w:rsidR="00A23ABE" w:rsidRPr="007561D2">
              <w:rPr>
                <w:lang w:val="en-US"/>
              </w:rPr>
              <w:t>later line</w:t>
            </w:r>
            <w:r w:rsidR="0065508A" w:rsidRPr="007561D2">
              <w:rPr>
                <w:lang w:val="en-US"/>
              </w:rPr>
              <w:t xml:space="preserve"> treatment</w:t>
            </w:r>
            <w:r w:rsidR="00A23ABE" w:rsidRPr="007561D2">
              <w:rPr>
                <w:lang w:val="en-US"/>
              </w:rPr>
              <w:t>s</w:t>
            </w:r>
          </w:p>
        </w:tc>
      </w:tr>
      <w:tr w:rsidR="00A23ABE" w:rsidRPr="00E2771E" w:rsidTr="00A23ABE">
        <w:tc>
          <w:tcPr>
            <w:tcW w:w="950" w:type="pct"/>
            <w:shd w:val="clear" w:color="auto" w:fill="auto"/>
            <w:vAlign w:val="center"/>
          </w:tcPr>
          <w:p w:rsidR="00A23ABE" w:rsidRPr="007561D2" w:rsidRDefault="00A23ABE" w:rsidP="00A23ABE">
            <w:pPr>
              <w:pStyle w:val="TableText0"/>
              <w:rPr>
                <w:lang w:val="en-US"/>
              </w:rPr>
            </w:pPr>
            <w:r w:rsidRPr="007561D2">
              <w:t>Proportions of patients continuing treatment</w:t>
            </w:r>
            <w:r w:rsidR="00847662" w:rsidRPr="007561D2">
              <w:t xml:space="preserve"> after initial 12 weeks of treatment</w:t>
            </w:r>
          </w:p>
        </w:tc>
        <w:tc>
          <w:tcPr>
            <w:tcW w:w="2270" w:type="pct"/>
            <w:shd w:val="clear" w:color="auto" w:fill="auto"/>
            <w:vAlign w:val="center"/>
          </w:tcPr>
          <w:p w:rsidR="00A23ABE" w:rsidRPr="007561D2" w:rsidRDefault="00A23ABE" w:rsidP="00A23ABE">
            <w:pPr>
              <w:pStyle w:val="TableText0"/>
              <w:rPr>
                <w:lang w:val="en-US"/>
              </w:rPr>
            </w:pPr>
            <w:r w:rsidRPr="007561D2">
              <w:rPr>
                <w:lang w:val="en-US"/>
              </w:rPr>
              <w:t>83% from HER2CLIMB clinical trial</w:t>
            </w:r>
            <w:r w:rsidR="008520FB" w:rsidRPr="007561D2">
              <w:rPr>
                <w:lang w:val="en-US"/>
              </w:rPr>
              <w:t xml:space="preserve"> (based in the PFS rate at 3 months)</w:t>
            </w:r>
          </w:p>
        </w:tc>
        <w:tc>
          <w:tcPr>
            <w:tcW w:w="1780" w:type="pct"/>
            <w:shd w:val="clear" w:color="auto" w:fill="auto"/>
            <w:vAlign w:val="center"/>
          </w:tcPr>
          <w:p w:rsidR="00A23ABE" w:rsidRPr="007561D2" w:rsidRDefault="00042305" w:rsidP="00A23ABE">
            <w:pPr>
              <w:pStyle w:val="TableText0"/>
              <w:rPr>
                <w:lang w:val="en-US"/>
              </w:rPr>
            </w:pPr>
            <w:r>
              <w:rPr>
                <w:lang w:val="en-US"/>
              </w:rPr>
              <w:t>-</w:t>
            </w:r>
          </w:p>
        </w:tc>
      </w:tr>
      <w:tr w:rsidR="00E42F73" w:rsidRPr="00E2771E" w:rsidTr="009C3A3A">
        <w:tc>
          <w:tcPr>
            <w:tcW w:w="950" w:type="pct"/>
            <w:shd w:val="clear" w:color="auto" w:fill="auto"/>
            <w:vAlign w:val="center"/>
          </w:tcPr>
          <w:p w:rsidR="00E42F73" w:rsidRPr="007561D2" w:rsidRDefault="00A23ABE" w:rsidP="007925DF">
            <w:pPr>
              <w:pStyle w:val="TableText0"/>
              <w:rPr>
                <w:lang w:val="en-US"/>
              </w:rPr>
            </w:pPr>
            <w:r w:rsidRPr="007561D2">
              <w:rPr>
                <w:lang w:val="en-US"/>
              </w:rPr>
              <w:t>Duration</w:t>
            </w:r>
          </w:p>
        </w:tc>
        <w:tc>
          <w:tcPr>
            <w:tcW w:w="2270" w:type="pct"/>
            <w:shd w:val="clear" w:color="auto" w:fill="auto"/>
            <w:vAlign w:val="center"/>
          </w:tcPr>
          <w:p w:rsidR="00E42F73" w:rsidRPr="007561D2" w:rsidRDefault="00A23ABE" w:rsidP="007925DF">
            <w:pPr>
              <w:pStyle w:val="TableText0"/>
              <w:rPr>
                <w:lang w:val="en-US"/>
              </w:rPr>
            </w:pPr>
            <w:r w:rsidRPr="007561D2">
              <w:rPr>
                <w:lang w:val="en-US"/>
              </w:rPr>
              <w:t>11.75 months from HER2CLIMB clinical trial</w:t>
            </w:r>
          </w:p>
        </w:tc>
        <w:tc>
          <w:tcPr>
            <w:tcW w:w="1780" w:type="pct"/>
            <w:shd w:val="clear" w:color="auto" w:fill="auto"/>
            <w:vAlign w:val="center"/>
          </w:tcPr>
          <w:p w:rsidR="00E42F73" w:rsidRPr="007561D2" w:rsidRDefault="00E73499" w:rsidP="00D244B6">
            <w:pPr>
              <w:pStyle w:val="TableText0"/>
              <w:rPr>
                <w:lang w:val="en-US"/>
              </w:rPr>
            </w:pPr>
            <w:r w:rsidRPr="007561D2">
              <w:rPr>
                <w:lang w:val="en-US"/>
              </w:rPr>
              <w:t>This was consistent with the economic evaluation (equivalent to 17 x 21-day cycles)</w:t>
            </w:r>
          </w:p>
        </w:tc>
      </w:tr>
    </w:tbl>
    <w:p w:rsidR="00E42F73" w:rsidRDefault="00E42F73" w:rsidP="009C7FD8">
      <w:pPr>
        <w:pStyle w:val="TableFigureFooter"/>
        <w:spacing w:after="240"/>
      </w:pPr>
      <w:r w:rsidRPr="007925DF">
        <w:t xml:space="preserve">Source: </w:t>
      </w:r>
      <w:r w:rsidR="00584395">
        <w:t xml:space="preserve">Table 4.3, p183; Table 4.4, p184; Table 4.5, p185; Table 4.6, p185 </w:t>
      </w:r>
      <w:r w:rsidRPr="007925DF">
        <w:t>of the submission.</w:t>
      </w:r>
    </w:p>
    <w:p w:rsidR="002D45DF" w:rsidRPr="007925DF" w:rsidRDefault="002D45DF" w:rsidP="009C7FD8">
      <w:pPr>
        <w:pStyle w:val="TableFigureFooter"/>
        <w:spacing w:after="240"/>
      </w:pPr>
      <w:r>
        <w:t xml:space="preserve">PFS = progression free survival; T-DM1 = </w:t>
      </w:r>
      <w:r w:rsidRPr="00EE0A76">
        <w:t>ado-trastuzumab emtansine</w:t>
      </w:r>
    </w:p>
    <w:p w:rsidR="007925DF" w:rsidRPr="008C1387" w:rsidRDefault="009C7FD8" w:rsidP="00373B86">
      <w:pPr>
        <w:pStyle w:val="3-BodyText"/>
        <w:spacing w:after="240"/>
      </w:pPr>
      <w:r w:rsidRPr="009C7FD8">
        <w:t xml:space="preserve">The estimated use and financial implications </w:t>
      </w:r>
      <w:r w:rsidR="00B07FA7">
        <w:t>are shown in the table</w:t>
      </w:r>
      <w:r w:rsidRPr="009C7FD8">
        <w:t xml:space="preserve"> below</w:t>
      </w:r>
      <w:r w:rsidR="00B07FA7">
        <w:t xml:space="preserve">. </w:t>
      </w:r>
      <w:r w:rsidR="00B07FA7" w:rsidRPr="008C1387">
        <w:t>The estimates in the table below include the PSCR’s corrections to account for an issue identified during evaluation regarding the calculation of the number of scripts required for dose reductions.</w:t>
      </w:r>
      <w:r w:rsidR="00C23D45" w:rsidRPr="008C1387">
        <w:t xml:space="preserve"> </w:t>
      </w:r>
      <w:r w:rsidR="00561898" w:rsidRPr="008C1387">
        <w:t>However, i</w:t>
      </w:r>
      <w:r w:rsidR="00C23D45" w:rsidRPr="008C1387">
        <w:t>t was unclear if these calculations adequately accounted for patients who discontinued tucatinib due to an adverse event.</w:t>
      </w:r>
    </w:p>
    <w:p w:rsidR="00C25D9C" w:rsidRPr="00606FBA" w:rsidRDefault="005A3392" w:rsidP="009C7FD8">
      <w:pPr>
        <w:pStyle w:val="TableFigureHeading"/>
        <w:spacing w:before="120"/>
      </w:pPr>
      <w:r>
        <w:rPr>
          <w:rStyle w:val="CommentReference"/>
          <w:b/>
          <w:szCs w:val="24"/>
        </w:rPr>
        <w:t>Table 1</w:t>
      </w:r>
      <w:r w:rsidR="00F924B4">
        <w:rPr>
          <w:rStyle w:val="CommentReference"/>
          <w:b/>
          <w:szCs w:val="24"/>
        </w:rPr>
        <w:t>6</w:t>
      </w:r>
      <w:r w:rsidR="002A2F50" w:rsidRPr="00606FBA">
        <w:rPr>
          <w:rStyle w:val="CommentReference"/>
          <w:b/>
          <w:szCs w:val="24"/>
        </w:rPr>
        <w:t>: Estimated use and financial implications</w:t>
      </w:r>
      <w:r w:rsidR="00561898">
        <w:rPr>
          <w:rStyle w:val="CommentReference"/>
          <w:b/>
          <w:szCs w:val="24"/>
        </w:rPr>
        <w:t xml:space="preserve">, </w:t>
      </w:r>
      <w:r w:rsidR="00561898" w:rsidRPr="00561898">
        <w:rPr>
          <w:rStyle w:val="CommentReference"/>
          <w:b/>
          <w:i/>
          <w:szCs w:val="24"/>
        </w:rPr>
        <w:t>as updated in the 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26"/>
        <w:gridCol w:w="1125"/>
        <w:gridCol w:w="1125"/>
        <w:gridCol w:w="1125"/>
        <w:gridCol w:w="1125"/>
        <w:gridCol w:w="1127"/>
      </w:tblGrid>
      <w:tr w:rsidR="00385A9D" w:rsidRPr="008C1387" w:rsidTr="00C23D45">
        <w:trPr>
          <w:tblHeader/>
        </w:trPr>
        <w:tc>
          <w:tcPr>
            <w:tcW w:w="1255" w:type="pct"/>
            <w:shd w:val="clear" w:color="auto" w:fill="auto"/>
            <w:vAlign w:val="center"/>
          </w:tcPr>
          <w:p w:rsidR="00385A9D" w:rsidRPr="008C1387" w:rsidRDefault="00385A9D" w:rsidP="00606FBA">
            <w:pPr>
              <w:pStyle w:val="In-tableHeading"/>
              <w:jc w:val="center"/>
            </w:pPr>
          </w:p>
        </w:tc>
        <w:tc>
          <w:tcPr>
            <w:tcW w:w="624" w:type="pct"/>
            <w:shd w:val="clear" w:color="auto" w:fill="auto"/>
            <w:vAlign w:val="center"/>
          </w:tcPr>
          <w:p w:rsidR="00385A9D" w:rsidRPr="008C1387" w:rsidRDefault="00385A9D" w:rsidP="00606FBA">
            <w:pPr>
              <w:pStyle w:val="In-tableHeading"/>
              <w:jc w:val="center"/>
            </w:pPr>
            <w:r w:rsidRPr="008C1387">
              <w:t>Year 1</w:t>
            </w:r>
          </w:p>
        </w:tc>
        <w:tc>
          <w:tcPr>
            <w:tcW w:w="624" w:type="pct"/>
            <w:shd w:val="clear" w:color="auto" w:fill="auto"/>
            <w:vAlign w:val="center"/>
          </w:tcPr>
          <w:p w:rsidR="00385A9D" w:rsidRPr="008C1387" w:rsidRDefault="00385A9D" w:rsidP="00606FBA">
            <w:pPr>
              <w:pStyle w:val="In-tableHeading"/>
              <w:jc w:val="center"/>
            </w:pPr>
            <w:r w:rsidRPr="008C1387">
              <w:t>Year 2</w:t>
            </w:r>
          </w:p>
        </w:tc>
        <w:tc>
          <w:tcPr>
            <w:tcW w:w="624" w:type="pct"/>
            <w:shd w:val="clear" w:color="auto" w:fill="auto"/>
            <w:vAlign w:val="center"/>
          </w:tcPr>
          <w:p w:rsidR="00385A9D" w:rsidRPr="008C1387" w:rsidRDefault="00385A9D" w:rsidP="00606FBA">
            <w:pPr>
              <w:pStyle w:val="In-tableHeading"/>
              <w:jc w:val="center"/>
            </w:pPr>
            <w:r w:rsidRPr="008C1387">
              <w:t>Year 3</w:t>
            </w:r>
          </w:p>
        </w:tc>
        <w:tc>
          <w:tcPr>
            <w:tcW w:w="624" w:type="pct"/>
            <w:shd w:val="clear" w:color="auto" w:fill="auto"/>
            <w:vAlign w:val="center"/>
          </w:tcPr>
          <w:p w:rsidR="00385A9D" w:rsidRPr="008C1387" w:rsidRDefault="00385A9D" w:rsidP="00606FBA">
            <w:pPr>
              <w:pStyle w:val="In-tableHeading"/>
              <w:jc w:val="center"/>
            </w:pPr>
            <w:r w:rsidRPr="008C1387">
              <w:t>Year 4</w:t>
            </w:r>
          </w:p>
        </w:tc>
        <w:tc>
          <w:tcPr>
            <w:tcW w:w="624" w:type="pct"/>
            <w:shd w:val="clear" w:color="auto" w:fill="auto"/>
            <w:vAlign w:val="center"/>
          </w:tcPr>
          <w:p w:rsidR="00385A9D" w:rsidRPr="008C1387" w:rsidRDefault="00385A9D" w:rsidP="00606FBA">
            <w:pPr>
              <w:pStyle w:val="In-tableHeading"/>
              <w:jc w:val="center"/>
            </w:pPr>
            <w:r w:rsidRPr="008C1387">
              <w:t>Year 5</w:t>
            </w:r>
          </w:p>
        </w:tc>
        <w:tc>
          <w:tcPr>
            <w:tcW w:w="624" w:type="pct"/>
          </w:tcPr>
          <w:p w:rsidR="00385A9D" w:rsidRPr="008C1387" w:rsidRDefault="00385A9D" w:rsidP="00606FBA">
            <w:pPr>
              <w:pStyle w:val="In-tableHeading"/>
              <w:jc w:val="center"/>
            </w:pPr>
            <w:r w:rsidRPr="008C1387">
              <w:t>Year 6</w:t>
            </w:r>
          </w:p>
        </w:tc>
      </w:tr>
      <w:tr w:rsidR="00385A9D" w:rsidRPr="008C1387" w:rsidTr="009C3A3A">
        <w:tc>
          <w:tcPr>
            <w:tcW w:w="5000" w:type="pct"/>
            <w:gridSpan w:val="7"/>
            <w:shd w:val="clear" w:color="auto" w:fill="auto"/>
            <w:vAlign w:val="center"/>
          </w:tcPr>
          <w:p w:rsidR="00385A9D" w:rsidRPr="008C1387" w:rsidRDefault="00385A9D" w:rsidP="00606FBA">
            <w:pPr>
              <w:pStyle w:val="In-tableHeading"/>
              <w:rPr>
                <w:bCs/>
                <w:color w:val="000000"/>
              </w:rPr>
            </w:pPr>
            <w:r w:rsidRPr="008C1387">
              <w:rPr>
                <w:bCs/>
                <w:color w:val="000000"/>
              </w:rPr>
              <w:t>Estimated extent of use</w:t>
            </w:r>
          </w:p>
        </w:tc>
      </w:tr>
      <w:tr w:rsidR="0065508A" w:rsidRPr="008C1387" w:rsidTr="00C23D45">
        <w:tc>
          <w:tcPr>
            <w:tcW w:w="1255" w:type="pct"/>
            <w:shd w:val="clear" w:color="auto" w:fill="auto"/>
            <w:vAlign w:val="center"/>
          </w:tcPr>
          <w:p w:rsidR="0065508A" w:rsidRPr="008C1387" w:rsidRDefault="0065508A" w:rsidP="0065508A">
            <w:pPr>
              <w:pStyle w:val="TableText0"/>
              <w:rPr>
                <w:rFonts w:ascii="Times" w:hAnsi="Times"/>
              </w:rPr>
            </w:pPr>
            <w:r w:rsidRPr="008C1387">
              <w:t>Number of patients treated</w:t>
            </w:r>
          </w:p>
        </w:tc>
        <w:tc>
          <w:tcPr>
            <w:tcW w:w="624" w:type="pct"/>
            <w:shd w:val="clear" w:color="auto" w:fill="auto"/>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c>
          <w:tcPr>
            <w:tcW w:w="624" w:type="pct"/>
            <w:shd w:val="clear" w:color="auto" w:fill="auto"/>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c>
          <w:tcPr>
            <w:tcW w:w="624" w:type="pct"/>
            <w:shd w:val="clear" w:color="auto" w:fill="auto"/>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c>
          <w:tcPr>
            <w:tcW w:w="624" w:type="pct"/>
            <w:shd w:val="clear" w:color="auto" w:fill="auto"/>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c>
          <w:tcPr>
            <w:tcW w:w="624" w:type="pct"/>
            <w:shd w:val="clear" w:color="auto" w:fill="auto"/>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c>
          <w:tcPr>
            <w:tcW w:w="624" w:type="pct"/>
            <w:vAlign w:val="center"/>
          </w:tcPr>
          <w:p w:rsidR="0065508A" w:rsidRPr="002A79BC" w:rsidRDefault="002A79BC" w:rsidP="0065508A">
            <w:pPr>
              <w:pStyle w:val="TableText0"/>
              <w:jc w:val="center"/>
              <w:rPr>
                <w:color w:val="000000"/>
              </w:rPr>
            </w:pPr>
            <w:r>
              <w:rPr>
                <w:noProof/>
                <w:color w:val="000000"/>
                <w:highlight w:val="black"/>
              </w:rPr>
              <w:t>''''''''''</w:t>
            </w:r>
            <w:r w:rsidR="00A46453">
              <w:rPr>
                <w:vertAlign w:val="superscript"/>
              </w:rPr>
              <w:t>1</w:t>
            </w:r>
          </w:p>
        </w:tc>
      </w:tr>
      <w:tr w:rsidR="00C23D45" w:rsidRPr="008C1387" w:rsidTr="00BD3FC3">
        <w:tc>
          <w:tcPr>
            <w:tcW w:w="1255" w:type="pct"/>
            <w:shd w:val="clear" w:color="auto" w:fill="auto"/>
            <w:vAlign w:val="center"/>
          </w:tcPr>
          <w:p w:rsidR="00C23D45" w:rsidRPr="008C1387" w:rsidRDefault="00C23D45" w:rsidP="00C23D45">
            <w:pPr>
              <w:pStyle w:val="TableText0"/>
              <w:rPr>
                <w:rFonts w:ascii="Times" w:hAnsi="Times"/>
              </w:rPr>
            </w:pPr>
            <w:r w:rsidRPr="008C1387">
              <w:t>Number of scripts dispensed</w:t>
            </w:r>
            <w:r w:rsidRPr="008C1387">
              <w:rPr>
                <w:vertAlign w:val="superscript"/>
              </w:rPr>
              <w:t>a</w:t>
            </w:r>
          </w:p>
        </w:tc>
        <w:tc>
          <w:tcPr>
            <w:tcW w:w="624" w:type="pct"/>
            <w:shd w:val="clear" w:color="auto" w:fill="auto"/>
            <w:vAlign w:val="center"/>
          </w:tcPr>
          <w:p w:rsidR="00C23D45" w:rsidRPr="002A79BC" w:rsidRDefault="002A79BC" w:rsidP="00C23D45">
            <w:pPr>
              <w:pStyle w:val="TableText0"/>
              <w:jc w:val="center"/>
              <w:rPr>
                <w:color w:val="000000"/>
              </w:rPr>
            </w:pPr>
            <w:r>
              <w:rPr>
                <w:noProof/>
                <w:color w:val="000000"/>
                <w:highlight w:val="black"/>
              </w:rPr>
              <w:t xml:space="preserve">'''''''''''''' </w:t>
            </w:r>
            <w:r w:rsidR="00A46453">
              <w:rPr>
                <w:vertAlign w:val="superscript"/>
              </w:rPr>
              <w:t>2</w:t>
            </w:r>
          </w:p>
        </w:tc>
        <w:tc>
          <w:tcPr>
            <w:tcW w:w="624" w:type="pct"/>
            <w:shd w:val="clear" w:color="auto" w:fill="auto"/>
            <w:vAlign w:val="center"/>
          </w:tcPr>
          <w:p w:rsidR="00C23D45" w:rsidRPr="002A79BC" w:rsidRDefault="002A79BC" w:rsidP="00C23D45">
            <w:pPr>
              <w:pStyle w:val="TableText0"/>
              <w:jc w:val="center"/>
              <w:rPr>
                <w:color w:val="000000"/>
              </w:rPr>
            </w:pPr>
            <w:r>
              <w:rPr>
                <w:noProof/>
                <w:color w:val="000000"/>
                <w:highlight w:val="black"/>
              </w:rPr>
              <w:t>''''''''''''</w:t>
            </w:r>
            <w:r w:rsidR="00A46453">
              <w:rPr>
                <w:vertAlign w:val="superscript"/>
              </w:rPr>
              <w:t>2</w:t>
            </w:r>
            <w:r>
              <w:rPr>
                <w:noProof/>
                <w:color w:val="000000"/>
                <w:highlight w:val="black"/>
              </w:rPr>
              <w:t xml:space="preserve"> </w:t>
            </w:r>
          </w:p>
        </w:tc>
        <w:tc>
          <w:tcPr>
            <w:tcW w:w="624" w:type="pct"/>
            <w:shd w:val="clear" w:color="auto" w:fill="auto"/>
            <w:vAlign w:val="center"/>
          </w:tcPr>
          <w:p w:rsidR="00C23D45" w:rsidRPr="002A79BC" w:rsidRDefault="002A79BC" w:rsidP="00C23D45">
            <w:pPr>
              <w:pStyle w:val="TableText0"/>
              <w:jc w:val="center"/>
              <w:rPr>
                <w:color w:val="000000"/>
              </w:rPr>
            </w:pPr>
            <w:r>
              <w:rPr>
                <w:noProof/>
                <w:color w:val="000000"/>
                <w:highlight w:val="black"/>
              </w:rPr>
              <w:t xml:space="preserve">''''''''''''' </w:t>
            </w:r>
            <w:r w:rsidR="00A46453">
              <w:rPr>
                <w:vertAlign w:val="superscript"/>
              </w:rPr>
              <w:t>2</w:t>
            </w:r>
          </w:p>
        </w:tc>
        <w:tc>
          <w:tcPr>
            <w:tcW w:w="624" w:type="pct"/>
            <w:shd w:val="clear" w:color="auto" w:fill="auto"/>
            <w:vAlign w:val="center"/>
          </w:tcPr>
          <w:p w:rsidR="00C23D45" w:rsidRPr="002A79BC" w:rsidRDefault="002A79BC" w:rsidP="00C23D45">
            <w:pPr>
              <w:pStyle w:val="TableText0"/>
              <w:jc w:val="center"/>
              <w:rPr>
                <w:color w:val="000000"/>
              </w:rPr>
            </w:pPr>
            <w:r>
              <w:rPr>
                <w:noProof/>
                <w:color w:val="000000"/>
                <w:highlight w:val="black"/>
              </w:rPr>
              <w:t xml:space="preserve">'''''''''''''' </w:t>
            </w:r>
            <w:r w:rsidR="00A46453">
              <w:rPr>
                <w:vertAlign w:val="superscript"/>
              </w:rPr>
              <w:t>2</w:t>
            </w:r>
          </w:p>
        </w:tc>
        <w:tc>
          <w:tcPr>
            <w:tcW w:w="624" w:type="pct"/>
            <w:shd w:val="clear" w:color="auto" w:fill="auto"/>
            <w:vAlign w:val="center"/>
          </w:tcPr>
          <w:p w:rsidR="00C23D45" w:rsidRPr="002A79BC" w:rsidRDefault="002A79BC" w:rsidP="00C23D45">
            <w:pPr>
              <w:pStyle w:val="TableText0"/>
              <w:jc w:val="center"/>
              <w:rPr>
                <w:color w:val="000000"/>
              </w:rPr>
            </w:pPr>
            <w:r>
              <w:rPr>
                <w:noProof/>
                <w:color w:val="000000"/>
                <w:highlight w:val="black"/>
              </w:rPr>
              <w:t xml:space="preserve">''''''''''''''' </w:t>
            </w:r>
            <w:r w:rsidR="00A46453">
              <w:rPr>
                <w:vertAlign w:val="superscript"/>
              </w:rPr>
              <w:t>2</w:t>
            </w:r>
          </w:p>
        </w:tc>
        <w:tc>
          <w:tcPr>
            <w:tcW w:w="624" w:type="pct"/>
            <w:vAlign w:val="center"/>
          </w:tcPr>
          <w:p w:rsidR="00C23D45" w:rsidRPr="002A79BC" w:rsidRDefault="002A79BC" w:rsidP="00C23D45">
            <w:pPr>
              <w:pStyle w:val="TableText0"/>
              <w:jc w:val="center"/>
              <w:rPr>
                <w:color w:val="000000"/>
              </w:rPr>
            </w:pPr>
            <w:r>
              <w:rPr>
                <w:noProof/>
                <w:color w:val="000000"/>
                <w:highlight w:val="black"/>
              </w:rPr>
              <w:t xml:space="preserve">'''''''''''''' </w:t>
            </w:r>
            <w:r w:rsidR="00A46453">
              <w:rPr>
                <w:vertAlign w:val="superscript"/>
              </w:rPr>
              <w:t>2</w:t>
            </w:r>
          </w:p>
        </w:tc>
      </w:tr>
      <w:tr w:rsidR="00385A9D" w:rsidRPr="008C1387" w:rsidTr="009C3A3A">
        <w:tc>
          <w:tcPr>
            <w:tcW w:w="5000" w:type="pct"/>
            <w:gridSpan w:val="7"/>
            <w:shd w:val="clear" w:color="auto" w:fill="auto"/>
            <w:vAlign w:val="center"/>
          </w:tcPr>
          <w:p w:rsidR="00385A9D" w:rsidRPr="008C1387" w:rsidRDefault="00385A9D" w:rsidP="0065508A">
            <w:pPr>
              <w:pStyle w:val="In-tableHeading"/>
            </w:pPr>
            <w:r w:rsidRPr="008C1387">
              <w:t xml:space="preserve">Estimated </w:t>
            </w:r>
            <w:r w:rsidR="0065508A" w:rsidRPr="008C1387">
              <w:t>financial implications of tucatinib</w:t>
            </w:r>
          </w:p>
        </w:tc>
      </w:tr>
      <w:tr w:rsidR="00B07FA7" w:rsidRPr="008C1387" w:rsidTr="00BD3FC3">
        <w:tc>
          <w:tcPr>
            <w:tcW w:w="1255" w:type="pct"/>
            <w:shd w:val="clear" w:color="auto" w:fill="auto"/>
            <w:vAlign w:val="center"/>
          </w:tcPr>
          <w:p w:rsidR="00B07FA7" w:rsidRPr="008C1387" w:rsidRDefault="00B07FA7" w:rsidP="00B07FA7">
            <w:pPr>
              <w:pStyle w:val="TableText0"/>
              <w:rPr>
                <w:sz w:val="19"/>
                <w:szCs w:val="19"/>
              </w:rPr>
            </w:pPr>
            <w:r w:rsidRPr="008C1387">
              <w:t>Cost to PBS/RPBS less copayments</w:t>
            </w:r>
          </w:p>
        </w:tc>
        <w:tc>
          <w:tcPr>
            <w:tcW w:w="624" w:type="pct"/>
            <w:shd w:val="clear" w:color="auto" w:fill="auto"/>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3</w:t>
            </w:r>
          </w:p>
        </w:tc>
        <w:tc>
          <w:tcPr>
            <w:tcW w:w="624" w:type="pct"/>
            <w:shd w:val="clear" w:color="auto" w:fill="auto"/>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4</w:t>
            </w:r>
          </w:p>
        </w:tc>
        <w:tc>
          <w:tcPr>
            <w:tcW w:w="624" w:type="pct"/>
            <w:shd w:val="clear" w:color="auto" w:fill="auto"/>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4</w:t>
            </w:r>
          </w:p>
        </w:tc>
        <w:tc>
          <w:tcPr>
            <w:tcW w:w="624" w:type="pct"/>
            <w:shd w:val="clear" w:color="auto" w:fill="auto"/>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4</w:t>
            </w:r>
          </w:p>
        </w:tc>
        <w:tc>
          <w:tcPr>
            <w:tcW w:w="624" w:type="pct"/>
            <w:shd w:val="clear" w:color="auto" w:fill="auto"/>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4</w:t>
            </w:r>
          </w:p>
        </w:tc>
        <w:tc>
          <w:tcPr>
            <w:tcW w:w="624" w:type="pct"/>
            <w:vAlign w:val="center"/>
          </w:tcPr>
          <w:p w:rsidR="00B07FA7" w:rsidRPr="008C1387" w:rsidRDefault="00B07FA7" w:rsidP="00B07FA7">
            <w:pPr>
              <w:pStyle w:val="TableText0"/>
              <w:jc w:val="center"/>
            </w:pPr>
            <w:r w:rsidRPr="008C1387">
              <w:t>$</w:t>
            </w:r>
            <w:r w:rsidR="002A79BC">
              <w:rPr>
                <w:noProof/>
                <w:color w:val="000000"/>
                <w:highlight w:val="black"/>
              </w:rPr>
              <w:t>''''''''''''''''''''''''</w:t>
            </w:r>
            <w:r w:rsidR="00A46453">
              <w:rPr>
                <w:vertAlign w:val="superscript"/>
              </w:rPr>
              <w:t>5</w:t>
            </w:r>
          </w:p>
        </w:tc>
      </w:tr>
    </w:tbl>
    <w:p w:rsidR="00620C25" w:rsidRDefault="005828A9" w:rsidP="00620C25">
      <w:pPr>
        <w:pStyle w:val="TableFigureFooter"/>
      </w:pPr>
      <w:r w:rsidRPr="008C1387">
        <w:t>Source: Table 4.6</w:t>
      </w:r>
      <w:r w:rsidR="00A46453">
        <w:t xml:space="preserve"> </w:t>
      </w:r>
      <w:r w:rsidRPr="008C1387">
        <w:t xml:space="preserve">of the submission; Table 4.8 of the submission; </w:t>
      </w:r>
      <w:r w:rsidR="00620C25" w:rsidRPr="008C1387">
        <w:t>Table</w:t>
      </w:r>
      <w:r w:rsidRPr="008C1387">
        <w:t xml:space="preserve"> 4.13</w:t>
      </w:r>
      <w:r w:rsidR="00620C25" w:rsidRPr="008C1387">
        <w:t xml:space="preserve"> of the submission</w:t>
      </w:r>
      <w:r w:rsidR="00B07FA7" w:rsidRPr="008C1387">
        <w:t>; Table</w:t>
      </w:r>
      <w:r w:rsidR="00C23D45" w:rsidRPr="008C1387">
        <w:t>s</w:t>
      </w:r>
      <w:r w:rsidR="00B07FA7" w:rsidRPr="008C1387">
        <w:t xml:space="preserve"> </w:t>
      </w:r>
      <w:r w:rsidR="00C23D45" w:rsidRPr="008C1387">
        <w:t>3-</w:t>
      </w:r>
      <w:r w:rsidR="00B07FA7" w:rsidRPr="008C1387">
        <w:t>4 of the PSCR</w:t>
      </w:r>
      <w:r w:rsidR="00620C25" w:rsidRPr="008C1387">
        <w:t>.</w:t>
      </w:r>
    </w:p>
    <w:p w:rsidR="002D45DF" w:rsidRPr="008C1387" w:rsidRDefault="002D45DF" w:rsidP="00620C25">
      <w:pPr>
        <w:pStyle w:val="TableFigureFooter"/>
        <w:rPr>
          <w:rStyle w:val="CommentReference"/>
        </w:rPr>
      </w:pPr>
      <w:r>
        <w:t>PBS = Pharmaceutical Benefits Scheme; RPBS = Repatriation Pharmaceutical Benefits Scheme</w:t>
      </w:r>
    </w:p>
    <w:p w:rsidR="00E466F3" w:rsidRPr="008C1387" w:rsidRDefault="00E466F3" w:rsidP="00606FBA">
      <w:pPr>
        <w:pStyle w:val="TableFigureFooter"/>
      </w:pPr>
      <w:r w:rsidRPr="008C1387">
        <w:rPr>
          <w:vertAlign w:val="superscript"/>
        </w:rPr>
        <w:t>a</w:t>
      </w:r>
      <w:r w:rsidR="00606FBA" w:rsidRPr="008C1387">
        <w:t xml:space="preserve"> </w:t>
      </w:r>
      <w:r w:rsidRPr="008C1387">
        <w:t xml:space="preserve">Assuming </w:t>
      </w:r>
      <w:r w:rsidR="005828A9" w:rsidRPr="008C1387">
        <w:t>2</w:t>
      </w:r>
      <w:r w:rsidR="00C23D45" w:rsidRPr="008C1387">
        <w:t>5.4</w:t>
      </w:r>
      <w:r w:rsidR="005828A9" w:rsidRPr="008C1387">
        <w:t xml:space="preserve"> doses per week for </w:t>
      </w:r>
      <w:r w:rsidR="00847662" w:rsidRPr="008C1387">
        <w:t>150 mg</w:t>
      </w:r>
      <w:r w:rsidR="005828A9" w:rsidRPr="008C1387">
        <w:t xml:space="preserve"> pack and </w:t>
      </w:r>
      <w:r w:rsidR="00C23D45" w:rsidRPr="008C1387">
        <w:t>25.2</w:t>
      </w:r>
      <w:r w:rsidR="005828A9" w:rsidRPr="008C1387">
        <w:t xml:space="preserve"> doses per week for </w:t>
      </w:r>
      <w:r w:rsidR="00847662" w:rsidRPr="008C1387">
        <w:t>50 mg</w:t>
      </w:r>
      <w:r w:rsidR="00CE475B" w:rsidRPr="008C1387">
        <w:t xml:space="preserve"> tablets </w:t>
      </w:r>
      <w:r w:rsidRPr="008C1387">
        <w:t>as estimated by the submission.</w:t>
      </w:r>
    </w:p>
    <w:p w:rsidR="00C23D45" w:rsidRDefault="00C23D45" w:rsidP="00606FBA">
      <w:pPr>
        <w:pStyle w:val="TableFigureFooter"/>
      </w:pPr>
      <w:r w:rsidRPr="008C1387">
        <w:t>Figures in italics were provided as corrections in the PSCR.</w:t>
      </w:r>
    </w:p>
    <w:p w:rsidR="00A46453" w:rsidRPr="00A46453" w:rsidRDefault="00A46453" w:rsidP="00606FBA">
      <w:pPr>
        <w:pStyle w:val="TableFigureFooter"/>
        <w:rPr>
          <w:i/>
        </w:rPr>
      </w:pPr>
      <w:r w:rsidRPr="00A46453">
        <w:rPr>
          <w:i/>
        </w:rPr>
        <w:t>The redacted values correspond to the following ranges:</w:t>
      </w:r>
    </w:p>
    <w:p w:rsidR="00A46453" w:rsidRPr="00A46453" w:rsidRDefault="00A46453" w:rsidP="00606FBA">
      <w:pPr>
        <w:pStyle w:val="TableFigureFooter"/>
        <w:rPr>
          <w:i/>
        </w:rPr>
      </w:pPr>
      <w:r w:rsidRPr="00A46453">
        <w:rPr>
          <w:i/>
          <w:vertAlign w:val="superscript"/>
        </w:rPr>
        <w:t>1</w:t>
      </w:r>
      <w:r w:rsidRPr="00A46453">
        <w:rPr>
          <w:i/>
        </w:rPr>
        <w:t xml:space="preserve"> &lt;500</w:t>
      </w:r>
    </w:p>
    <w:p w:rsidR="00A46453" w:rsidRPr="00A46453" w:rsidRDefault="00A46453" w:rsidP="00606FBA">
      <w:pPr>
        <w:pStyle w:val="TableFigureFooter"/>
        <w:rPr>
          <w:i/>
        </w:rPr>
      </w:pPr>
      <w:r w:rsidRPr="00A46453">
        <w:rPr>
          <w:i/>
          <w:vertAlign w:val="superscript"/>
        </w:rPr>
        <w:t>2</w:t>
      </w:r>
      <w:r w:rsidRPr="00A46453">
        <w:rPr>
          <w:i/>
        </w:rPr>
        <w:t xml:space="preserve"> 500 to &lt; 5,000</w:t>
      </w:r>
    </w:p>
    <w:p w:rsidR="00A46453" w:rsidRPr="00A46453" w:rsidRDefault="00A46453" w:rsidP="00606FBA">
      <w:pPr>
        <w:pStyle w:val="TableFigureFooter"/>
        <w:rPr>
          <w:i/>
        </w:rPr>
      </w:pPr>
      <w:r w:rsidRPr="00A46453">
        <w:rPr>
          <w:i/>
          <w:vertAlign w:val="superscript"/>
        </w:rPr>
        <w:t>3</w:t>
      </w:r>
      <w:r w:rsidRPr="00A46453">
        <w:rPr>
          <w:i/>
        </w:rPr>
        <w:t xml:space="preserve"> $10 million to &lt; $20 million</w:t>
      </w:r>
    </w:p>
    <w:p w:rsidR="00A46453" w:rsidRPr="00A46453" w:rsidRDefault="00A46453" w:rsidP="00606FBA">
      <w:pPr>
        <w:pStyle w:val="TableFigureFooter"/>
        <w:rPr>
          <w:i/>
        </w:rPr>
      </w:pPr>
      <w:r w:rsidRPr="00A46453">
        <w:rPr>
          <w:i/>
          <w:vertAlign w:val="superscript"/>
        </w:rPr>
        <w:t>4</w:t>
      </w:r>
      <w:r w:rsidRPr="00A46453">
        <w:rPr>
          <w:i/>
        </w:rPr>
        <w:t xml:space="preserve"> $20 million to &lt; $30 million</w:t>
      </w:r>
    </w:p>
    <w:p w:rsidR="00A46453" w:rsidRPr="00A46453" w:rsidRDefault="00A46453" w:rsidP="00606FBA">
      <w:pPr>
        <w:pStyle w:val="TableFigureFooter"/>
        <w:rPr>
          <w:i/>
        </w:rPr>
      </w:pPr>
      <w:r w:rsidRPr="00A46453">
        <w:rPr>
          <w:i/>
          <w:vertAlign w:val="superscript"/>
        </w:rPr>
        <w:t xml:space="preserve">5 </w:t>
      </w:r>
      <w:r w:rsidRPr="00A46453">
        <w:rPr>
          <w:i/>
        </w:rPr>
        <w:t>$30 million to &lt; $40 million</w:t>
      </w:r>
    </w:p>
    <w:p w:rsidR="00FC4BA5" w:rsidRPr="008C1387" w:rsidRDefault="000902D9" w:rsidP="00FC4BA5">
      <w:pPr>
        <w:pStyle w:val="3-BodyText"/>
      </w:pPr>
      <w:r w:rsidRPr="007561D2">
        <w:t xml:space="preserve">The total cost to the PBS/RPBS of listing </w:t>
      </w:r>
      <w:r w:rsidR="0065508A" w:rsidRPr="007561D2">
        <w:t xml:space="preserve">tucatinib </w:t>
      </w:r>
      <w:r w:rsidRPr="007561D2">
        <w:t xml:space="preserve">was estimated </w:t>
      </w:r>
      <w:r w:rsidR="00A05C32" w:rsidRPr="007561D2">
        <w:t>to be</w:t>
      </w:r>
      <w:r w:rsidRPr="007561D2">
        <w:t xml:space="preserve"> </w:t>
      </w:r>
      <w:r w:rsidRPr="008C1387">
        <w:t>$</w:t>
      </w:r>
      <w:r w:rsidR="00A46453">
        <w:t xml:space="preserve">30 </w:t>
      </w:r>
      <w:r w:rsidR="00AF7973">
        <w:t xml:space="preserve">million </w:t>
      </w:r>
      <w:r w:rsidR="00A46453">
        <w:t>to &lt; $40</w:t>
      </w:r>
      <w:r w:rsidRPr="008C1387">
        <w:t xml:space="preserve"> million in Year 6, and a total of $</w:t>
      </w:r>
      <w:r w:rsidR="00A46453">
        <w:t xml:space="preserve">100 </w:t>
      </w:r>
      <w:r w:rsidR="00AF7973">
        <w:t xml:space="preserve">million </w:t>
      </w:r>
      <w:r w:rsidR="00A46453">
        <w:t>to &lt; $200</w:t>
      </w:r>
      <w:r w:rsidR="00561898" w:rsidRPr="008C1387">
        <w:t xml:space="preserve"> </w:t>
      </w:r>
      <w:r w:rsidRPr="008C1387">
        <w:t>million in the first 6 years of listing</w:t>
      </w:r>
      <w:r w:rsidRPr="008C1387">
        <w:rPr>
          <w:color w:val="3366FF"/>
        </w:rPr>
        <w:t xml:space="preserve">. </w:t>
      </w:r>
    </w:p>
    <w:p w:rsidR="00FC4BA5" w:rsidRPr="007561D2" w:rsidRDefault="005828A9" w:rsidP="00FC4BA5">
      <w:pPr>
        <w:pStyle w:val="3-BodyText"/>
      </w:pPr>
      <w:r w:rsidRPr="007561D2">
        <w:t>The</w:t>
      </w:r>
      <w:r w:rsidR="00495909">
        <w:t xml:space="preserve"> PBS 10% sample data were not a sufficiently reliable basis for estimating the eligible population as</w:t>
      </w:r>
      <w:r w:rsidR="00FC4BA5" w:rsidRPr="007561D2">
        <w:t>:</w:t>
      </w:r>
    </w:p>
    <w:p w:rsidR="00D03D08" w:rsidRDefault="00561898" w:rsidP="0070501F">
      <w:pPr>
        <w:pStyle w:val="3-BodyText"/>
        <w:numPr>
          <w:ilvl w:val="0"/>
          <w:numId w:val="19"/>
        </w:numPr>
        <w:spacing w:after="0"/>
        <w:ind w:left="1134" w:hanging="425"/>
      </w:pPr>
      <w:r>
        <w:rPr>
          <w:lang w:val="en-US"/>
        </w:rPr>
        <w:t>the sample</w:t>
      </w:r>
      <w:r w:rsidR="00B07FA7">
        <w:rPr>
          <w:lang w:val="en-US"/>
        </w:rPr>
        <w:t xml:space="preserve"> </w:t>
      </w:r>
      <w:r w:rsidR="00D03D08" w:rsidRPr="007561D2">
        <w:rPr>
          <w:lang w:val="en-US"/>
        </w:rPr>
        <w:t xml:space="preserve">included too few patients for it to be a reliable source </w:t>
      </w:r>
      <w:r w:rsidR="00D03D08">
        <w:rPr>
          <w:lang w:val="en-US"/>
        </w:rPr>
        <w:t>for</w:t>
      </w:r>
      <w:r w:rsidR="00D03D08" w:rsidRPr="007561D2">
        <w:rPr>
          <w:lang w:val="en-US"/>
        </w:rPr>
        <w:t xml:space="preserve"> estimat</w:t>
      </w:r>
      <w:r w:rsidR="00D03D08">
        <w:rPr>
          <w:lang w:val="en-US"/>
        </w:rPr>
        <w:t>ing</w:t>
      </w:r>
      <w:r w:rsidR="00D03D08" w:rsidRPr="007561D2">
        <w:rPr>
          <w:lang w:val="en-US"/>
        </w:rPr>
        <w:t xml:space="preserve"> the number of metastatic patients or the proportion of these patients eligible under the proposed clinical treatment algorithm</w:t>
      </w:r>
      <w:r w:rsidR="00D03D08" w:rsidRPr="007561D2">
        <w:t>.</w:t>
      </w:r>
      <w:r w:rsidR="00D03D08" w:rsidRPr="00D03D08">
        <w:t xml:space="preserve"> </w:t>
      </w:r>
      <w:r w:rsidR="00D03D08">
        <w:t>For example, t</w:t>
      </w:r>
      <w:r w:rsidR="00D03D08" w:rsidRPr="007561D2">
        <w:t>he number of mBC patients in the 10% sample decreased in 2018 and 2019</w:t>
      </w:r>
      <w:r>
        <w:t>, while this trend was not observed in the full PBS data</w:t>
      </w:r>
      <w:r w:rsidR="00D03D08">
        <w:t>.</w:t>
      </w:r>
    </w:p>
    <w:p w:rsidR="00FC4BA5" w:rsidRPr="007561D2" w:rsidRDefault="00495909" w:rsidP="0070501F">
      <w:pPr>
        <w:pStyle w:val="3-BodyText"/>
        <w:numPr>
          <w:ilvl w:val="0"/>
          <w:numId w:val="19"/>
        </w:numPr>
        <w:spacing w:after="0"/>
        <w:ind w:left="1134" w:hanging="425"/>
      </w:pPr>
      <w:r>
        <w:t>the i</w:t>
      </w:r>
      <w:r w:rsidR="00FC4BA5" w:rsidRPr="007561D2">
        <w:t xml:space="preserve">ncluded item codes may </w:t>
      </w:r>
      <w:r>
        <w:t xml:space="preserve">have </w:t>
      </w:r>
      <w:r w:rsidR="00FC4BA5" w:rsidRPr="007561D2">
        <w:t>overestimate</w:t>
      </w:r>
      <w:r>
        <w:t>d</w:t>
      </w:r>
      <w:r w:rsidR="00FC4BA5" w:rsidRPr="007561D2">
        <w:t xml:space="preserve"> the number of metastatic patients </w:t>
      </w:r>
      <w:r>
        <w:t>as</w:t>
      </w:r>
      <w:r w:rsidRPr="007561D2">
        <w:t xml:space="preserve"> </w:t>
      </w:r>
      <w:r w:rsidR="00FC4BA5" w:rsidRPr="007561D2">
        <w:t xml:space="preserve">they </w:t>
      </w:r>
      <w:r>
        <w:t xml:space="preserve">may have </w:t>
      </w:r>
      <w:r w:rsidR="00FC4BA5" w:rsidRPr="007561D2">
        <w:t>included PBS listings for early and locally advanced breast cancer.</w:t>
      </w:r>
    </w:p>
    <w:p w:rsidR="00FC4BA5" w:rsidRPr="007561D2" w:rsidRDefault="00FC4BA5" w:rsidP="0070501F">
      <w:pPr>
        <w:pStyle w:val="3-BodyText"/>
        <w:numPr>
          <w:ilvl w:val="0"/>
          <w:numId w:val="19"/>
        </w:numPr>
        <w:ind w:left="1134" w:hanging="425"/>
      </w:pPr>
      <w:r w:rsidRPr="007561D2">
        <w:t xml:space="preserve">patients </w:t>
      </w:r>
      <w:r w:rsidR="00495909">
        <w:t xml:space="preserve">were counted </w:t>
      </w:r>
      <w:r w:rsidRPr="007561D2">
        <w:t xml:space="preserve">as </w:t>
      </w:r>
      <w:r w:rsidR="00495909">
        <w:t xml:space="preserve">being </w:t>
      </w:r>
      <w:r w:rsidRPr="007561D2">
        <w:t>‘on therapy’ if they were supplied a script in the previous three months</w:t>
      </w:r>
      <w:r w:rsidR="00495909">
        <w:t>, which</w:t>
      </w:r>
      <w:r w:rsidRPr="007561D2">
        <w:t xml:space="preserve"> may overestimate the number of patients on treatment at a time, as most breast cancer </w:t>
      </w:r>
      <w:r w:rsidR="00992225">
        <w:t>regimens</w:t>
      </w:r>
      <w:r w:rsidR="00992225" w:rsidRPr="007561D2">
        <w:t xml:space="preserve"> </w:t>
      </w:r>
      <w:r w:rsidRPr="007561D2">
        <w:t xml:space="preserve">are </w:t>
      </w:r>
      <w:r w:rsidR="00992225">
        <w:t>given</w:t>
      </w:r>
      <w:r w:rsidR="00992225" w:rsidRPr="007561D2">
        <w:t xml:space="preserve"> </w:t>
      </w:r>
      <w:r w:rsidRPr="007561D2">
        <w:t>every three weeks.</w:t>
      </w:r>
    </w:p>
    <w:p w:rsidR="00AF05B3" w:rsidRDefault="00556C13" w:rsidP="00B07FA7">
      <w:pPr>
        <w:pStyle w:val="3-BodyText"/>
      </w:pPr>
      <w:r>
        <w:t xml:space="preserve">An </w:t>
      </w:r>
      <w:r w:rsidR="00847662" w:rsidRPr="007561D2">
        <w:t xml:space="preserve">analysis of the full PBS data </w:t>
      </w:r>
      <w:r w:rsidRPr="008C1387">
        <w:t>(which were accessed by the Department of Health in an analysis conducted during evaluation) indica</w:t>
      </w:r>
      <w:r w:rsidR="00847662" w:rsidRPr="008C1387">
        <w:t>t</w:t>
      </w:r>
      <w:r w:rsidRPr="008C1387">
        <w:t>ed</w:t>
      </w:r>
      <w:r w:rsidR="00847662" w:rsidRPr="008C1387">
        <w:t xml:space="preserve"> the number of eligible patients </w:t>
      </w:r>
      <w:r w:rsidRPr="008C1387">
        <w:t>was</w:t>
      </w:r>
      <w:r w:rsidR="00847662" w:rsidRPr="008C1387">
        <w:t xml:space="preserve"> overestimated. </w:t>
      </w:r>
      <w:r w:rsidR="00AF05B3" w:rsidRPr="008C1387">
        <w:t xml:space="preserve">The </w:t>
      </w:r>
      <w:r w:rsidR="002D7235">
        <w:t xml:space="preserve">PBAC noted that the </w:t>
      </w:r>
      <w:r w:rsidR="00AF05B3" w:rsidRPr="008C1387">
        <w:t xml:space="preserve">use of data from the full PBS data set, as provided in the </w:t>
      </w:r>
      <w:r w:rsidR="00BC5723">
        <w:t>Table 17</w:t>
      </w:r>
      <w:r w:rsidR="00AF05B3" w:rsidRPr="008C1387">
        <w:t xml:space="preserve">, may </w:t>
      </w:r>
      <w:r w:rsidR="00475072">
        <w:t xml:space="preserve">provide </w:t>
      </w:r>
      <w:r w:rsidR="00AF05B3" w:rsidRPr="008C1387">
        <w:t>a more reliable approach to estimat</w:t>
      </w:r>
      <w:r w:rsidR="00B96AD7" w:rsidRPr="008C1387">
        <w:t>e</w:t>
      </w:r>
      <w:r w:rsidR="00AF05B3" w:rsidRPr="008C1387">
        <w:t xml:space="preserve"> the eligible population. </w:t>
      </w:r>
      <w:r w:rsidR="00475072">
        <w:t xml:space="preserve">The proposed population </w:t>
      </w:r>
      <w:r w:rsidR="003C206F" w:rsidRPr="008C1387">
        <w:t>would need to account for the</w:t>
      </w:r>
      <w:r w:rsidR="00AF05B3" w:rsidRPr="008C1387">
        <w:t xml:space="preserve"> increasing number of patients </w:t>
      </w:r>
      <w:r w:rsidR="003C206F" w:rsidRPr="008C1387">
        <w:t xml:space="preserve">who </w:t>
      </w:r>
      <w:r w:rsidR="00AF05B3" w:rsidRPr="008C1387">
        <w:t xml:space="preserve">are likely to be treated </w:t>
      </w:r>
      <w:r w:rsidR="00475072">
        <w:t xml:space="preserve">with T-DM1 </w:t>
      </w:r>
      <w:r w:rsidR="00AF05B3" w:rsidRPr="008C1387">
        <w:t>in the adjuvant setting which</w:t>
      </w:r>
      <w:r w:rsidR="00744987" w:rsidRPr="008C1387">
        <w:t xml:space="preserve">, in turn, </w:t>
      </w:r>
      <w:r w:rsidR="00AF05B3" w:rsidRPr="008C1387">
        <w:t xml:space="preserve">is likely to reduce the number of patients progressing to later </w:t>
      </w:r>
      <w:r w:rsidR="00475072">
        <w:t>line treatments</w:t>
      </w:r>
      <w:r w:rsidR="00AF05B3" w:rsidRPr="008C1387">
        <w:t>.</w:t>
      </w:r>
    </w:p>
    <w:p w:rsidR="00042305" w:rsidRPr="002D45DF" w:rsidRDefault="00042305" w:rsidP="002D45DF">
      <w:pPr>
        <w:pStyle w:val="3-BodyText"/>
        <w:numPr>
          <w:ilvl w:val="0"/>
          <w:numId w:val="0"/>
        </w:numPr>
        <w:spacing w:after="0"/>
        <w:rPr>
          <w:rFonts w:ascii="Arial Narrow" w:hAnsi="Arial Narrow"/>
          <w:b/>
          <w:sz w:val="20"/>
          <w:szCs w:val="20"/>
        </w:rPr>
      </w:pPr>
      <w:r w:rsidRPr="002D45DF">
        <w:rPr>
          <w:rFonts w:ascii="Arial Narrow" w:hAnsi="Arial Narrow"/>
          <w:b/>
          <w:sz w:val="20"/>
          <w:szCs w:val="20"/>
        </w:rPr>
        <w:t xml:space="preserve">Table 17: </w:t>
      </w:r>
      <w:r w:rsidR="00CF0F06" w:rsidRPr="002D45DF">
        <w:rPr>
          <w:rFonts w:ascii="Arial Narrow" w:hAnsi="Arial Narrow"/>
          <w:b/>
          <w:sz w:val="20"/>
          <w:szCs w:val="20"/>
        </w:rPr>
        <w:t xml:space="preserve">Analysis of </w:t>
      </w:r>
      <w:r w:rsidRPr="002D45DF">
        <w:rPr>
          <w:rFonts w:ascii="Arial Narrow" w:hAnsi="Arial Narrow"/>
          <w:b/>
          <w:sz w:val="20"/>
          <w:szCs w:val="20"/>
        </w:rPr>
        <w:t>the full PBS data set</w:t>
      </w:r>
    </w:p>
    <w:tbl>
      <w:tblPr>
        <w:tblStyle w:val="TableGrid"/>
        <w:tblW w:w="0" w:type="auto"/>
        <w:tblLook w:val="04A0" w:firstRow="1" w:lastRow="0" w:firstColumn="1" w:lastColumn="0" w:noHBand="0" w:noVBand="1"/>
        <w:tblCaption w:val="Table 17: Analysis of the full PBS data set"/>
      </w:tblPr>
      <w:tblGrid>
        <w:gridCol w:w="1696"/>
        <w:gridCol w:w="1910"/>
        <w:gridCol w:w="1803"/>
        <w:gridCol w:w="1804"/>
        <w:gridCol w:w="1804"/>
      </w:tblGrid>
      <w:tr w:rsidR="00BC5723" w:rsidTr="00F7513C">
        <w:trPr>
          <w:tblHeader/>
        </w:trPr>
        <w:tc>
          <w:tcPr>
            <w:tcW w:w="1696" w:type="dxa"/>
          </w:tcPr>
          <w:p w:rsidR="00BC5723" w:rsidRDefault="00BC5723" w:rsidP="00BC5723">
            <w:pPr>
              <w:pStyle w:val="In-tableHeading"/>
            </w:pPr>
            <w:r>
              <w:t>Year</w:t>
            </w:r>
          </w:p>
        </w:tc>
        <w:tc>
          <w:tcPr>
            <w:tcW w:w="1910" w:type="dxa"/>
          </w:tcPr>
          <w:p w:rsidR="00BC5723" w:rsidRDefault="00BC5723" w:rsidP="00BC5723">
            <w:pPr>
              <w:pStyle w:val="In-tableHeading"/>
              <w:jc w:val="center"/>
            </w:pPr>
            <w:r>
              <w:t>Initiated pertuzumab</w:t>
            </w:r>
            <w:r w:rsidR="000A27F1" w:rsidRPr="000A27F1">
              <w:rPr>
                <w:vertAlign w:val="superscript"/>
              </w:rPr>
              <w:t>a</w:t>
            </w:r>
          </w:p>
        </w:tc>
        <w:tc>
          <w:tcPr>
            <w:tcW w:w="1803" w:type="dxa"/>
          </w:tcPr>
          <w:p w:rsidR="00BC5723" w:rsidRDefault="00BC5723" w:rsidP="00BC5723">
            <w:pPr>
              <w:pStyle w:val="In-tableHeading"/>
              <w:jc w:val="center"/>
            </w:pPr>
            <w:r>
              <w:t>Initiated T-DM1</w:t>
            </w:r>
            <w:r w:rsidR="000A27F1" w:rsidRPr="000A27F1">
              <w:rPr>
                <w:vertAlign w:val="superscript"/>
              </w:rPr>
              <w:t>a</w:t>
            </w:r>
          </w:p>
        </w:tc>
        <w:tc>
          <w:tcPr>
            <w:tcW w:w="1804" w:type="dxa"/>
          </w:tcPr>
          <w:p w:rsidR="00BC5723" w:rsidRDefault="00BC5723" w:rsidP="00BC5723">
            <w:pPr>
              <w:pStyle w:val="In-tableHeading"/>
              <w:jc w:val="center"/>
            </w:pPr>
            <w:r>
              <w:t xml:space="preserve">Metastatic </w:t>
            </w:r>
            <w:r w:rsidR="00EF3E22">
              <w:t xml:space="preserve">treated </w:t>
            </w:r>
            <w:r>
              <w:t>patients</w:t>
            </w:r>
            <w:r w:rsidR="000A27F1">
              <w:rPr>
                <w:vertAlign w:val="superscript"/>
              </w:rPr>
              <w:t>b</w:t>
            </w:r>
          </w:p>
        </w:tc>
        <w:tc>
          <w:tcPr>
            <w:tcW w:w="1804" w:type="dxa"/>
          </w:tcPr>
          <w:p w:rsidR="00BC5723" w:rsidRDefault="00EF3E22" w:rsidP="00BC5723">
            <w:pPr>
              <w:pStyle w:val="In-tableHeading"/>
              <w:jc w:val="center"/>
            </w:pPr>
            <w:r>
              <w:t xml:space="preserve">Tucatinib eligible </w:t>
            </w:r>
            <w:r w:rsidR="00BC5723">
              <w:t>patients</w:t>
            </w:r>
            <w:r w:rsidR="000A27F1">
              <w:rPr>
                <w:vertAlign w:val="superscript"/>
              </w:rPr>
              <w:t>b</w:t>
            </w:r>
          </w:p>
        </w:tc>
      </w:tr>
      <w:tr w:rsidR="00BC5723" w:rsidTr="00BC5723">
        <w:tc>
          <w:tcPr>
            <w:tcW w:w="1696" w:type="dxa"/>
          </w:tcPr>
          <w:p w:rsidR="00BC5723" w:rsidRPr="00BC5723" w:rsidRDefault="00BC5723" w:rsidP="00BC5723">
            <w:pPr>
              <w:pStyle w:val="In-tableHeading"/>
              <w:rPr>
                <w:b w:val="0"/>
              </w:rPr>
            </w:pPr>
            <w:r w:rsidRPr="00BC5723">
              <w:rPr>
                <w:b w:val="0"/>
              </w:rPr>
              <w:t>2016</w:t>
            </w:r>
          </w:p>
        </w:tc>
        <w:tc>
          <w:tcPr>
            <w:tcW w:w="1910"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3"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2</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r>
      <w:tr w:rsidR="00BC5723" w:rsidTr="00BC5723">
        <w:tc>
          <w:tcPr>
            <w:tcW w:w="1696" w:type="dxa"/>
          </w:tcPr>
          <w:p w:rsidR="00BC5723" w:rsidRPr="00BC5723" w:rsidRDefault="00BC5723" w:rsidP="00BC5723">
            <w:pPr>
              <w:pStyle w:val="In-tableHeading"/>
              <w:rPr>
                <w:b w:val="0"/>
              </w:rPr>
            </w:pPr>
            <w:r w:rsidRPr="00BC5723">
              <w:rPr>
                <w:b w:val="0"/>
              </w:rPr>
              <w:t>2017</w:t>
            </w:r>
          </w:p>
        </w:tc>
        <w:tc>
          <w:tcPr>
            <w:tcW w:w="1910"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3"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2</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r>
      <w:tr w:rsidR="00BC5723" w:rsidTr="00BC5723">
        <w:tc>
          <w:tcPr>
            <w:tcW w:w="1696" w:type="dxa"/>
          </w:tcPr>
          <w:p w:rsidR="00BC5723" w:rsidRPr="00BC5723" w:rsidRDefault="00BC5723" w:rsidP="00BC5723">
            <w:pPr>
              <w:pStyle w:val="In-tableHeading"/>
              <w:rPr>
                <w:b w:val="0"/>
              </w:rPr>
            </w:pPr>
            <w:r w:rsidRPr="00BC5723">
              <w:rPr>
                <w:b w:val="0"/>
              </w:rPr>
              <w:t>2018</w:t>
            </w:r>
          </w:p>
        </w:tc>
        <w:tc>
          <w:tcPr>
            <w:tcW w:w="1910"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3"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2</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r>
      <w:tr w:rsidR="00BC5723" w:rsidTr="00BC5723">
        <w:tc>
          <w:tcPr>
            <w:tcW w:w="1696" w:type="dxa"/>
          </w:tcPr>
          <w:p w:rsidR="00BC5723" w:rsidRPr="00BC5723" w:rsidRDefault="00BC5723" w:rsidP="00BC5723">
            <w:pPr>
              <w:pStyle w:val="In-tableHeading"/>
              <w:rPr>
                <w:b w:val="0"/>
              </w:rPr>
            </w:pPr>
            <w:r w:rsidRPr="00BC5723">
              <w:rPr>
                <w:b w:val="0"/>
              </w:rPr>
              <w:t>2019</w:t>
            </w:r>
          </w:p>
        </w:tc>
        <w:tc>
          <w:tcPr>
            <w:tcW w:w="1910"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3"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2</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r>
      <w:tr w:rsidR="00BC5723" w:rsidTr="00BC5723">
        <w:tc>
          <w:tcPr>
            <w:tcW w:w="1696" w:type="dxa"/>
          </w:tcPr>
          <w:p w:rsidR="00BC5723" w:rsidRPr="00BC5723" w:rsidRDefault="00BC5723" w:rsidP="00BC5723">
            <w:pPr>
              <w:pStyle w:val="In-tableHeading"/>
              <w:rPr>
                <w:b w:val="0"/>
              </w:rPr>
            </w:pPr>
            <w:r w:rsidRPr="00BC5723">
              <w:rPr>
                <w:b w:val="0"/>
              </w:rPr>
              <w:t>2020</w:t>
            </w:r>
          </w:p>
        </w:tc>
        <w:tc>
          <w:tcPr>
            <w:tcW w:w="1910"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3"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2</w:t>
            </w:r>
          </w:p>
        </w:tc>
        <w:tc>
          <w:tcPr>
            <w:tcW w:w="1804" w:type="dxa"/>
          </w:tcPr>
          <w:p w:rsidR="00BC5723" w:rsidRPr="002A79BC" w:rsidRDefault="002A79BC" w:rsidP="00BC5723">
            <w:pPr>
              <w:pStyle w:val="In-tableHeading"/>
              <w:jc w:val="center"/>
              <w:rPr>
                <w:b w:val="0"/>
              </w:rPr>
            </w:pPr>
            <w:r>
              <w:rPr>
                <w:b w:val="0"/>
                <w:noProof/>
                <w:color w:val="000000"/>
                <w:highlight w:val="black"/>
              </w:rPr>
              <w:t>''''''''''</w:t>
            </w:r>
            <w:r w:rsidR="00A46453" w:rsidRPr="00A46453">
              <w:rPr>
                <w:b w:val="0"/>
                <w:sz w:val="18"/>
                <w:szCs w:val="18"/>
                <w:vertAlign w:val="superscript"/>
              </w:rPr>
              <w:t>1</w:t>
            </w:r>
          </w:p>
        </w:tc>
      </w:tr>
    </w:tbl>
    <w:p w:rsidR="002D7235" w:rsidRDefault="002D7235" w:rsidP="002D7235">
      <w:pPr>
        <w:pStyle w:val="3-BodyText"/>
        <w:numPr>
          <w:ilvl w:val="0"/>
          <w:numId w:val="0"/>
        </w:numPr>
        <w:spacing w:after="0"/>
        <w:rPr>
          <w:rFonts w:ascii="Arial Narrow" w:hAnsi="Arial Narrow"/>
          <w:sz w:val="18"/>
          <w:szCs w:val="18"/>
        </w:rPr>
      </w:pPr>
      <w:r>
        <w:rPr>
          <w:rFonts w:ascii="Arial Narrow" w:hAnsi="Arial Narrow"/>
          <w:sz w:val="18"/>
          <w:szCs w:val="18"/>
        </w:rPr>
        <w:t>Source: Data extracted from January 2014 to December 2020</w:t>
      </w:r>
    </w:p>
    <w:p w:rsidR="002D45DF" w:rsidRDefault="002D45DF" w:rsidP="002D7235">
      <w:pPr>
        <w:pStyle w:val="3-BodyText"/>
        <w:numPr>
          <w:ilvl w:val="0"/>
          <w:numId w:val="0"/>
        </w:numPr>
        <w:spacing w:after="0"/>
        <w:rPr>
          <w:rFonts w:ascii="Arial Narrow" w:hAnsi="Arial Narrow"/>
          <w:sz w:val="18"/>
          <w:szCs w:val="18"/>
        </w:rPr>
      </w:pPr>
      <w:r>
        <w:rPr>
          <w:rFonts w:ascii="Arial Narrow" w:hAnsi="Arial Narrow"/>
          <w:sz w:val="18"/>
          <w:szCs w:val="18"/>
        </w:rPr>
        <w:t xml:space="preserve">PBS = Pharmaceutical Benefits Scheme; </w:t>
      </w:r>
      <w:r w:rsidRPr="002D45DF">
        <w:rPr>
          <w:rFonts w:ascii="Arial Narrow" w:hAnsi="Arial Narrow"/>
          <w:sz w:val="18"/>
          <w:szCs w:val="18"/>
        </w:rPr>
        <w:t>T-DM1 = ado-trastuzumab emtansine</w:t>
      </w:r>
    </w:p>
    <w:p w:rsidR="000A27F1" w:rsidRPr="002D45DF" w:rsidRDefault="000A27F1" w:rsidP="002D7235">
      <w:pPr>
        <w:pStyle w:val="3-BodyText"/>
        <w:numPr>
          <w:ilvl w:val="0"/>
          <w:numId w:val="0"/>
        </w:numPr>
        <w:spacing w:after="0"/>
        <w:rPr>
          <w:rFonts w:ascii="Arial Narrow" w:hAnsi="Arial Narrow"/>
          <w:sz w:val="18"/>
          <w:szCs w:val="18"/>
        </w:rPr>
      </w:pPr>
      <w:r w:rsidRPr="000A27F1">
        <w:rPr>
          <w:rFonts w:ascii="Arial Narrow" w:hAnsi="Arial Narrow"/>
          <w:sz w:val="18"/>
          <w:szCs w:val="18"/>
          <w:vertAlign w:val="superscript"/>
        </w:rPr>
        <w:t>a</w:t>
      </w:r>
      <w:r>
        <w:rPr>
          <w:rFonts w:ascii="Arial Narrow" w:hAnsi="Arial Narrow"/>
          <w:sz w:val="18"/>
          <w:szCs w:val="18"/>
        </w:rPr>
        <w:t xml:space="preserve"> Any initiation, not first initiation i.e. patients may be counted in both of these columns</w:t>
      </w:r>
    </w:p>
    <w:p w:rsidR="00BC5723" w:rsidRPr="002D7235" w:rsidRDefault="000A27F1" w:rsidP="002D7235">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b</w:t>
      </w:r>
      <w:r w:rsidR="00CF0F06" w:rsidRPr="002D7235">
        <w:rPr>
          <w:rFonts w:ascii="Arial Narrow" w:hAnsi="Arial Narrow"/>
          <w:sz w:val="18"/>
          <w:szCs w:val="18"/>
        </w:rPr>
        <w:t xml:space="preserve"> </w:t>
      </w:r>
      <w:r w:rsidR="002D7235" w:rsidRPr="002D7235">
        <w:rPr>
          <w:rFonts w:ascii="Arial Narrow" w:hAnsi="Arial Narrow"/>
          <w:sz w:val="18"/>
          <w:szCs w:val="18"/>
        </w:rPr>
        <w:t>Patients treated with trastuzumab</w:t>
      </w:r>
      <w:r w:rsidR="00387E8B">
        <w:rPr>
          <w:rFonts w:ascii="Arial Narrow" w:hAnsi="Arial Narrow"/>
          <w:sz w:val="18"/>
          <w:szCs w:val="18"/>
        </w:rPr>
        <w:t xml:space="preserve">, pertuzumab, T-DM1 </w:t>
      </w:r>
      <w:r w:rsidR="002D7235" w:rsidRPr="002D7235">
        <w:rPr>
          <w:rFonts w:ascii="Arial Narrow" w:hAnsi="Arial Narrow"/>
          <w:sz w:val="18"/>
          <w:szCs w:val="18"/>
        </w:rPr>
        <w:t xml:space="preserve">or lapatinib </w:t>
      </w:r>
      <w:r w:rsidR="00387E8B">
        <w:rPr>
          <w:rFonts w:ascii="Arial Narrow" w:hAnsi="Arial Narrow"/>
          <w:sz w:val="18"/>
          <w:szCs w:val="18"/>
        </w:rPr>
        <w:t>for metastatic disease</w:t>
      </w:r>
    </w:p>
    <w:p w:rsidR="002D7235" w:rsidRDefault="000A27F1" w:rsidP="002D7235">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c</w:t>
      </w:r>
      <w:r w:rsidR="002D7235" w:rsidRPr="002D7235">
        <w:rPr>
          <w:rFonts w:ascii="Arial Narrow" w:hAnsi="Arial Narrow"/>
          <w:sz w:val="18"/>
          <w:szCs w:val="18"/>
        </w:rPr>
        <w:t xml:space="preserve"> Patients with metastatic disease who have previously received T-DM1</w:t>
      </w:r>
      <w:r w:rsidR="00EF3E22">
        <w:rPr>
          <w:rFonts w:ascii="Arial Narrow" w:hAnsi="Arial Narrow"/>
          <w:sz w:val="18"/>
          <w:szCs w:val="18"/>
        </w:rPr>
        <w:t xml:space="preserve"> and were treated in third or later line with trastuzumab or lapatinib</w:t>
      </w:r>
    </w:p>
    <w:p w:rsidR="00A46453" w:rsidRPr="00E143DF" w:rsidRDefault="00A46453" w:rsidP="002D7235">
      <w:pPr>
        <w:pStyle w:val="3-BodyText"/>
        <w:numPr>
          <w:ilvl w:val="0"/>
          <w:numId w:val="0"/>
        </w:numPr>
        <w:spacing w:after="0"/>
        <w:rPr>
          <w:rFonts w:ascii="Arial Narrow" w:hAnsi="Arial Narrow"/>
          <w:i/>
          <w:sz w:val="18"/>
          <w:szCs w:val="18"/>
        </w:rPr>
      </w:pPr>
      <w:r w:rsidRPr="00E143DF">
        <w:rPr>
          <w:rFonts w:ascii="Arial Narrow" w:hAnsi="Arial Narrow"/>
          <w:i/>
          <w:sz w:val="18"/>
          <w:szCs w:val="18"/>
        </w:rPr>
        <w:t>The redacted values correspond to the following ranges:</w:t>
      </w:r>
    </w:p>
    <w:p w:rsidR="00A46453" w:rsidRPr="00E143DF" w:rsidRDefault="00A46453" w:rsidP="002D7235">
      <w:pPr>
        <w:pStyle w:val="3-BodyText"/>
        <w:numPr>
          <w:ilvl w:val="0"/>
          <w:numId w:val="0"/>
        </w:numPr>
        <w:spacing w:after="0"/>
        <w:rPr>
          <w:rFonts w:ascii="Arial Narrow" w:hAnsi="Arial Narrow"/>
          <w:i/>
          <w:sz w:val="18"/>
          <w:szCs w:val="18"/>
        </w:rPr>
      </w:pPr>
      <w:r w:rsidRPr="00E143DF">
        <w:rPr>
          <w:rFonts w:ascii="Arial Narrow" w:hAnsi="Arial Narrow"/>
          <w:i/>
          <w:sz w:val="18"/>
          <w:szCs w:val="18"/>
          <w:vertAlign w:val="superscript"/>
        </w:rPr>
        <w:t xml:space="preserve">1 </w:t>
      </w:r>
      <w:r w:rsidRPr="00E143DF">
        <w:rPr>
          <w:rFonts w:ascii="Arial Narrow" w:hAnsi="Arial Narrow"/>
          <w:i/>
          <w:sz w:val="18"/>
          <w:szCs w:val="18"/>
        </w:rPr>
        <w:t>&lt;500</w:t>
      </w:r>
    </w:p>
    <w:p w:rsidR="00A46453" w:rsidRPr="00E143DF" w:rsidRDefault="00A46453" w:rsidP="002D7235">
      <w:pPr>
        <w:pStyle w:val="3-BodyText"/>
        <w:numPr>
          <w:ilvl w:val="0"/>
          <w:numId w:val="0"/>
        </w:numPr>
        <w:spacing w:after="0"/>
        <w:rPr>
          <w:rFonts w:ascii="Arial Narrow" w:hAnsi="Arial Narrow"/>
          <w:i/>
          <w:sz w:val="18"/>
          <w:szCs w:val="18"/>
        </w:rPr>
      </w:pPr>
      <w:r w:rsidRPr="00E143DF">
        <w:rPr>
          <w:rFonts w:ascii="Arial Narrow" w:hAnsi="Arial Narrow"/>
          <w:i/>
          <w:sz w:val="18"/>
          <w:szCs w:val="18"/>
          <w:vertAlign w:val="superscript"/>
        </w:rPr>
        <w:t>2</w:t>
      </w:r>
      <w:r w:rsidRPr="00E143DF">
        <w:rPr>
          <w:rFonts w:ascii="Arial Narrow" w:hAnsi="Arial Narrow"/>
          <w:i/>
          <w:sz w:val="18"/>
          <w:szCs w:val="18"/>
        </w:rPr>
        <w:t xml:space="preserve"> 500 to &lt; 5,000</w:t>
      </w:r>
    </w:p>
    <w:p w:rsidR="002D7235" w:rsidRPr="002D7235" w:rsidRDefault="002D7235" w:rsidP="002D7235">
      <w:pPr>
        <w:pStyle w:val="3-BodyText"/>
        <w:numPr>
          <w:ilvl w:val="0"/>
          <w:numId w:val="0"/>
        </w:numPr>
        <w:spacing w:after="0"/>
        <w:rPr>
          <w:rFonts w:ascii="Arial Narrow" w:hAnsi="Arial Narrow"/>
          <w:sz w:val="18"/>
          <w:szCs w:val="18"/>
        </w:rPr>
      </w:pPr>
    </w:p>
    <w:p w:rsidR="00556C13" w:rsidRPr="008C1387" w:rsidRDefault="00556C13" w:rsidP="00B07FA7">
      <w:pPr>
        <w:pStyle w:val="3-BodyText"/>
      </w:pPr>
      <w:r w:rsidRPr="008C1387">
        <w:t>T</w:t>
      </w:r>
      <w:r w:rsidR="00B96AD7" w:rsidRPr="008C1387">
        <w:t>he</w:t>
      </w:r>
      <w:r w:rsidRPr="008C1387">
        <w:t xml:space="preserve"> submission’s use of linear extrapolation was also likely to have overestimated the number of eligible patients. Full PBS data showed that the total number of metastatic patients is growing at a slower but constant rate.</w:t>
      </w:r>
    </w:p>
    <w:p w:rsidR="00D244B6" w:rsidRPr="007561D2" w:rsidRDefault="003C206F" w:rsidP="00B07FA7">
      <w:pPr>
        <w:pStyle w:val="3-BodyText"/>
      </w:pPr>
      <w:r>
        <w:t xml:space="preserve">The submission applied uptake rates of 55% in Year 1, growing to 80% in Year 6. </w:t>
      </w:r>
      <w:r w:rsidR="00AF05B3">
        <w:t>T</w:t>
      </w:r>
      <w:r w:rsidR="005828A9" w:rsidRPr="007561D2">
        <w:t>h</w:t>
      </w:r>
      <w:r>
        <w:t xml:space="preserve">is </w:t>
      </w:r>
      <w:r w:rsidR="00D03D08">
        <w:t>wa</w:t>
      </w:r>
      <w:r w:rsidR="005828A9" w:rsidRPr="007561D2">
        <w:t xml:space="preserve">s likely underestimated. </w:t>
      </w:r>
    </w:p>
    <w:p w:rsidR="00847662" w:rsidRPr="007561D2" w:rsidRDefault="00CE475B" w:rsidP="00CE475B">
      <w:pPr>
        <w:pStyle w:val="3-BodyText"/>
      </w:pPr>
      <w:r w:rsidRPr="007561D2">
        <w:t>A compliance rate of 88.5% was assumed for all patients</w:t>
      </w:r>
      <w:r w:rsidR="00847662" w:rsidRPr="007561D2">
        <w:t xml:space="preserve">, sourced from the dose intensity In the HER2CLIMB trial. The application of the compliance rate and dose reductions may </w:t>
      </w:r>
      <w:r w:rsidR="00B07FA7">
        <w:t xml:space="preserve">have </w:t>
      </w:r>
      <w:r w:rsidR="00847662" w:rsidRPr="007561D2">
        <w:t>underestimate</w:t>
      </w:r>
      <w:r w:rsidR="00B07FA7">
        <w:t>d</w:t>
      </w:r>
      <w:r w:rsidR="00847662" w:rsidRPr="007561D2">
        <w:t xml:space="preserve"> the number of supplied scripts</w:t>
      </w:r>
      <w:r w:rsidRPr="007561D2">
        <w:t xml:space="preserve">. </w:t>
      </w:r>
    </w:p>
    <w:p w:rsidR="001671A0" w:rsidRDefault="0065508A" w:rsidP="001671A0">
      <w:pPr>
        <w:pStyle w:val="3-BodyText"/>
      </w:pPr>
      <w:r w:rsidRPr="007561D2">
        <w:t>The submission did not include grandfathered patients.</w:t>
      </w:r>
    </w:p>
    <w:p w:rsidR="0008090D" w:rsidRPr="0008090D" w:rsidRDefault="0008090D" w:rsidP="0008090D">
      <w:pPr>
        <w:pStyle w:val="2-SectionHeading"/>
        <w:numPr>
          <w:ilvl w:val="0"/>
          <w:numId w:val="0"/>
        </w:numPr>
        <w:outlineLvl w:val="1"/>
        <w:rPr>
          <w:rFonts w:eastAsiaTheme="majorEastAsia" w:cstheme="majorBidi"/>
          <w:i/>
          <w:snapToGrid/>
          <w:spacing w:val="5"/>
          <w:kern w:val="28"/>
          <w:sz w:val="28"/>
          <w:szCs w:val="36"/>
          <w:lang w:eastAsia="en-GB"/>
        </w:rPr>
      </w:pPr>
      <w:bookmarkStart w:id="24" w:name="_Toc62050870"/>
      <w:r w:rsidRPr="0008090D">
        <w:rPr>
          <w:rFonts w:eastAsiaTheme="majorEastAsia" w:cstheme="majorBidi"/>
          <w:i/>
          <w:snapToGrid/>
          <w:spacing w:val="5"/>
          <w:kern w:val="28"/>
          <w:sz w:val="28"/>
          <w:szCs w:val="36"/>
          <w:lang w:eastAsia="en-GB"/>
        </w:rPr>
        <w:t>Financial Management – Risk Sharing Arrangements</w:t>
      </w:r>
      <w:bookmarkEnd w:id="24"/>
    </w:p>
    <w:p w:rsidR="0008090D" w:rsidRDefault="0008090D" w:rsidP="0008090D">
      <w:pPr>
        <w:pStyle w:val="3-BodyText"/>
      </w:pPr>
      <w:r>
        <w:t>The submission did not propose a risk sharing arrangement.</w:t>
      </w:r>
    </w:p>
    <w:p w:rsidR="008C1387" w:rsidRPr="008C1387" w:rsidRDefault="008C1387" w:rsidP="008C1387">
      <w:pPr>
        <w:pStyle w:val="3-BodyText"/>
        <w:numPr>
          <w:ilvl w:val="0"/>
          <w:numId w:val="0"/>
        </w:numPr>
        <w:ind w:left="720"/>
        <w:rPr>
          <w:i/>
        </w:rPr>
      </w:pPr>
      <w:r w:rsidRPr="008C1387">
        <w:rPr>
          <w:i/>
        </w:rPr>
        <w:t>For more detail on PBAC’s view, see section 7 PBAC outcome.</w:t>
      </w:r>
    </w:p>
    <w:p w:rsidR="008C1387" w:rsidRPr="00D52702" w:rsidRDefault="008C1387" w:rsidP="008C1387">
      <w:pPr>
        <w:pStyle w:val="2-SectionHeading"/>
      </w:pPr>
      <w:r w:rsidRPr="00D52702">
        <w:t>PBAC Outcome</w:t>
      </w:r>
    </w:p>
    <w:p w:rsidR="00D53A00" w:rsidRDefault="008C1387" w:rsidP="008C1387">
      <w:pPr>
        <w:widowControl w:val="0"/>
        <w:numPr>
          <w:ilvl w:val="1"/>
          <w:numId w:val="1"/>
        </w:numPr>
        <w:spacing w:after="120"/>
        <w:rPr>
          <w:rFonts w:cs="Arial"/>
          <w:bCs/>
          <w:snapToGrid w:val="0"/>
          <w:lang w:val="en-GB"/>
        </w:rPr>
      </w:pPr>
      <w:r w:rsidRPr="0044401F">
        <w:rPr>
          <w:rFonts w:cs="Arial"/>
          <w:bCs/>
          <w:snapToGrid w:val="0"/>
          <w:lang w:val="en-GB"/>
        </w:rPr>
        <w:t xml:space="preserve">The </w:t>
      </w:r>
      <w:r w:rsidRPr="008746E9">
        <w:rPr>
          <w:rFonts w:cs="Arial"/>
          <w:bCs/>
          <w:snapToGrid w:val="0"/>
          <w:lang w:val="en-GB"/>
        </w:rPr>
        <w:t>PBAC did not recommend</w:t>
      </w:r>
      <w:r w:rsidR="000E77DD">
        <w:rPr>
          <w:rFonts w:cs="Arial"/>
          <w:bCs/>
          <w:snapToGrid w:val="0"/>
          <w:lang w:val="en-GB"/>
        </w:rPr>
        <w:t xml:space="preserve"> tucatinib, in combination with trastuzumab and capecitabine, for the </w:t>
      </w:r>
      <w:r w:rsidR="003A2059">
        <w:rPr>
          <w:rFonts w:cs="Arial"/>
          <w:bCs/>
          <w:snapToGrid w:val="0"/>
          <w:lang w:val="en-GB"/>
        </w:rPr>
        <w:t>treatment</w:t>
      </w:r>
      <w:r w:rsidR="000E77DD">
        <w:rPr>
          <w:rFonts w:cs="Arial"/>
          <w:bCs/>
          <w:snapToGrid w:val="0"/>
          <w:lang w:val="en-GB"/>
        </w:rPr>
        <w:t xml:space="preserve"> of HER2-positive (HER2+) metastatic breast cancer</w:t>
      </w:r>
      <w:r w:rsidR="00643297">
        <w:rPr>
          <w:rFonts w:cs="Arial"/>
          <w:bCs/>
          <w:snapToGrid w:val="0"/>
          <w:lang w:val="en-GB"/>
        </w:rPr>
        <w:t xml:space="preserve"> (mBC)</w:t>
      </w:r>
      <w:r w:rsidR="000E77DD">
        <w:rPr>
          <w:rFonts w:cs="Arial"/>
          <w:bCs/>
          <w:snapToGrid w:val="0"/>
          <w:lang w:val="en-GB"/>
        </w:rPr>
        <w:t xml:space="preserve">, including patients with brain metastases. </w:t>
      </w:r>
      <w:r w:rsidR="000E77DD" w:rsidRPr="006623CF">
        <w:rPr>
          <w:rFonts w:cstheme="minorHAnsi"/>
        </w:rPr>
        <w:t xml:space="preserve">The PBAC noted that tucatinib provided a clinical benefit in terms of progression free </w:t>
      </w:r>
      <w:r w:rsidR="000E77DD">
        <w:rPr>
          <w:rFonts w:cstheme="minorHAnsi"/>
        </w:rPr>
        <w:t xml:space="preserve">survival (PFS) </w:t>
      </w:r>
      <w:r w:rsidR="000E77DD" w:rsidRPr="006623CF">
        <w:rPr>
          <w:rFonts w:cstheme="minorHAnsi"/>
        </w:rPr>
        <w:t xml:space="preserve">and overall survival </w:t>
      </w:r>
      <w:r w:rsidR="000E77DD">
        <w:rPr>
          <w:rFonts w:cstheme="minorHAnsi"/>
        </w:rPr>
        <w:t xml:space="preserve">(OS) </w:t>
      </w:r>
      <w:r w:rsidR="000E77DD" w:rsidRPr="006623CF">
        <w:rPr>
          <w:rFonts w:cstheme="minorHAnsi"/>
        </w:rPr>
        <w:t>and acknowledged the high clinical need</w:t>
      </w:r>
      <w:r w:rsidR="000E77DD">
        <w:rPr>
          <w:rFonts w:cstheme="minorHAnsi"/>
        </w:rPr>
        <w:t>,</w:t>
      </w:r>
      <w:r w:rsidR="000E77DD" w:rsidRPr="006623CF">
        <w:rPr>
          <w:rFonts w:cstheme="minorHAnsi"/>
        </w:rPr>
        <w:t xml:space="preserve"> especially in the subgroup of patients with brain metastases. However, the PBAC considered that the incremental cost effectiveness ratio</w:t>
      </w:r>
      <w:r w:rsidR="000E77DD">
        <w:rPr>
          <w:rFonts w:cstheme="minorHAnsi"/>
        </w:rPr>
        <w:t xml:space="preserve"> (ICER)</w:t>
      </w:r>
      <w:r w:rsidR="000E77DD" w:rsidRPr="006623CF">
        <w:rPr>
          <w:rFonts w:cstheme="minorHAnsi"/>
        </w:rPr>
        <w:t xml:space="preserve"> was unacceptably high at the proposed price. The PBAC also considered that the number of treated patients was likely overestimated.</w:t>
      </w:r>
      <w:r w:rsidR="000E77DD">
        <w:rPr>
          <w:rFonts w:cs="Arial"/>
          <w:bCs/>
          <w:snapToGrid w:val="0"/>
          <w:lang w:val="en-GB"/>
        </w:rPr>
        <w:t xml:space="preserve"> </w:t>
      </w:r>
    </w:p>
    <w:p w:rsidR="00D53A00" w:rsidRDefault="00D53A00" w:rsidP="008C1387">
      <w:pPr>
        <w:widowControl w:val="0"/>
        <w:numPr>
          <w:ilvl w:val="1"/>
          <w:numId w:val="1"/>
        </w:numPr>
        <w:spacing w:after="120"/>
        <w:rPr>
          <w:rFonts w:cs="Arial"/>
          <w:bCs/>
          <w:snapToGrid w:val="0"/>
          <w:lang w:val="en-GB"/>
        </w:rPr>
      </w:pPr>
      <w:r>
        <w:rPr>
          <w:rFonts w:cs="Arial"/>
          <w:bCs/>
          <w:snapToGrid w:val="0"/>
          <w:lang w:val="en-GB"/>
        </w:rPr>
        <w:t xml:space="preserve">The PBAC noted the consumer comments which supported the listing of tucatinib for the treatment of HER2+ </w:t>
      </w:r>
      <w:r w:rsidR="00643297">
        <w:rPr>
          <w:rFonts w:cs="Arial"/>
          <w:bCs/>
          <w:snapToGrid w:val="0"/>
          <w:lang w:val="en-GB"/>
        </w:rPr>
        <w:t>mBC</w:t>
      </w:r>
      <w:r w:rsidR="003F2B26">
        <w:rPr>
          <w:rFonts w:cs="Arial"/>
          <w:bCs/>
          <w:snapToGrid w:val="0"/>
          <w:lang w:val="en-GB"/>
        </w:rPr>
        <w:t>, and in particular for patients</w:t>
      </w:r>
      <w:r>
        <w:rPr>
          <w:rFonts w:cs="Arial"/>
          <w:bCs/>
          <w:snapToGrid w:val="0"/>
          <w:lang w:val="en-GB"/>
        </w:rPr>
        <w:t xml:space="preserve"> with brain metastases.</w:t>
      </w:r>
    </w:p>
    <w:p w:rsidR="00D53A00" w:rsidRDefault="00D53A00" w:rsidP="008C1387">
      <w:pPr>
        <w:widowControl w:val="0"/>
        <w:numPr>
          <w:ilvl w:val="1"/>
          <w:numId w:val="1"/>
        </w:numPr>
        <w:spacing w:after="120"/>
        <w:rPr>
          <w:rFonts w:cs="Arial"/>
          <w:bCs/>
          <w:snapToGrid w:val="0"/>
          <w:lang w:val="en-GB"/>
        </w:rPr>
      </w:pPr>
      <w:r>
        <w:rPr>
          <w:rFonts w:cs="Arial"/>
          <w:bCs/>
          <w:snapToGrid w:val="0"/>
          <w:lang w:val="en-GB"/>
        </w:rPr>
        <w:t>The PBAC considered that the places in therapy for tucatinib in combination with trastuzumab and capecitabine</w:t>
      </w:r>
      <w:r w:rsidR="001A3634">
        <w:rPr>
          <w:rFonts w:cs="Arial"/>
          <w:bCs/>
          <w:snapToGrid w:val="0"/>
          <w:lang w:val="en-GB"/>
        </w:rPr>
        <w:t xml:space="preserve"> for the treatment of HER2+ </w:t>
      </w:r>
      <w:r w:rsidR="00643297">
        <w:rPr>
          <w:rFonts w:cs="Arial"/>
          <w:bCs/>
          <w:snapToGrid w:val="0"/>
          <w:lang w:val="en-GB"/>
        </w:rPr>
        <w:t>mBC</w:t>
      </w:r>
      <w:r>
        <w:rPr>
          <w:rFonts w:cs="Arial"/>
          <w:bCs/>
          <w:snapToGrid w:val="0"/>
          <w:lang w:val="en-GB"/>
        </w:rPr>
        <w:t xml:space="preserve">, </w:t>
      </w:r>
      <w:r w:rsidR="00475072">
        <w:rPr>
          <w:rFonts w:cs="Arial"/>
          <w:bCs/>
          <w:snapToGrid w:val="0"/>
          <w:lang w:val="en-GB"/>
        </w:rPr>
        <w:t>(</w:t>
      </w:r>
      <w:r>
        <w:rPr>
          <w:rFonts w:cs="Arial"/>
          <w:bCs/>
          <w:snapToGrid w:val="0"/>
          <w:lang w:val="en-GB"/>
        </w:rPr>
        <w:t xml:space="preserve">i.e. </w:t>
      </w:r>
      <w:r w:rsidR="00CD1067">
        <w:rPr>
          <w:rFonts w:cs="Arial"/>
          <w:bCs/>
          <w:snapToGrid w:val="0"/>
          <w:lang w:val="en-GB"/>
        </w:rPr>
        <w:t>as a</w:t>
      </w:r>
      <w:r>
        <w:rPr>
          <w:rFonts w:cs="Arial"/>
          <w:bCs/>
          <w:snapToGrid w:val="0"/>
          <w:lang w:val="en-GB"/>
        </w:rPr>
        <w:t xml:space="preserve"> third- or later line </w:t>
      </w:r>
      <w:r w:rsidR="00CD1067">
        <w:rPr>
          <w:rFonts w:cs="Arial"/>
          <w:bCs/>
          <w:snapToGrid w:val="0"/>
          <w:lang w:val="en-GB"/>
        </w:rPr>
        <w:t xml:space="preserve">treatment </w:t>
      </w:r>
      <w:r>
        <w:rPr>
          <w:rFonts w:cs="Arial"/>
          <w:bCs/>
          <w:snapToGrid w:val="0"/>
          <w:lang w:val="en-GB"/>
        </w:rPr>
        <w:t xml:space="preserve">in patients who have progressed following treatment with at least two prior lines of HER2-directed therapy </w:t>
      </w:r>
      <w:r w:rsidR="00656FB6">
        <w:rPr>
          <w:rFonts w:cs="Arial"/>
          <w:bCs/>
          <w:snapToGrid w:val="0"/>
          <w:lang w:val="en-GB"/>
        </w:rPr>
        <w:t xml:space="preserve">for metastatic disease </w:t>
      </w:r>
      <w:r>
        <w:rPr>
          <w:rFonts w:cs="Arial"/>
          <w:bCs/>
          <w:snapToGrid w:val="0"/>
          <w:lang w:val="en-GB"/>
        </w:rPr>
        <w:t xml:space="preserve">or </w:t>
      </w:r>
      <w:r w:rsidR="00CD1067">
        <w:rPr>
          <w:rFonts w:cs="Arial"/>
          <w:bCs/>
          <w:snapToGrid w:val="0"/>
          <w:lang w:val="en-GB"/>
        </w:rPr>
        <w:t xml:space="preserve">as </w:t>
      </w:r>
      <w:r>
        <w:rPr>
          <w:rFonts w:cs="Arial"/>
          <w:bCs/>
          <w:snapToGrid w:val="0"/>
          <w:lang w:val="en-GB"/>
        </w:rPr>
        <w:t xml:space="preserve">second-line </w:t>
      </w:r>
      <w:r w:rsidR="00CD1067">
        <w:rPr>
          <w:rFonts w:cs="Arial"/>
          <w:bCs/>
          <w:snapToGrid w:val="0"/>
          <w:lang w:val="en-GB"/>
        </w:rPr>
        <w:t xml:space="preserve">treatment </w:t>
      </w:r>
      <w:r>
        <w:rPr>
          <w:rFonts w:cs="Arial"/>
          <w:bCs/>
          <w:snapToGrid w:val="0"/>
          <w:lang w:val="en-GB"/>
        </w:rPr>
        <w:t>in patients who have progressed following treatment with one prior line of HER2-directed agents</w:t>
      </w:r>
      <w:r w:rsidR="001A3634">
        <w:rPr>
          <w:rFonts w:cs="Arial"/>
          <w:bCs/>
          <w:snapToGrid w:val="0"/>
          <w:lang w:val="en-GB"/>
        </w:rPr>
        <w:t xml:space="preserve"> </w:t>
      </w:r>
      <w:r w:rsidR="00CD1067">
        <w:rPr>
          <w:rFonts w:cs="Arial"/>
          <w:bCs/>
          <w:snapToGrid w:val="0"/>
          <w:lang w:val="en-GB"/>
        </w:rPr>
        <w:t xml:space="preserve">for </w:t>
      </w:r>
      <w:r w:rsidR="001A3634">
        <w:rPr>
          <w:rFonts w:cs="Arial"/>
          <w:bCs/>
          <w:snapToGrid w:val="0"/>
          <w:lang w:val="en-GB"/>
        </w:rPr>
        <w:t xml:space="preserve">metastatic </w:t>
      </w:r>
      <w:r w:rsidR="00CD1067">
        <w:rPr>
          <w:rFonts w:cs="Arial"/>
          <w:bCs/>
          <w:snapToGrid w:val="0"/>
          <w:lang w:val="en-GB"/>
        </w:rPr>
        <w:t>disease</w:t>
      </w:r>
      <w:r w:rsidR="001A3634">
        <w:rPr>
          <w:rFonts w:cs="Arial"/>
          <w:bCs/>
          <w:snapToGrid w:val="0"/>
          <w:lang w:val="en-GB"/>
        </w:rPr>
        <w:t xml:space="preserve"> and T-DM1 </w:t>
      </w:r>
      <w:r w:rsidR="00CD1067">
        <w:rPr>
          <w:rFonts w:cs="Arial"/>
          <w:bCs/>
          <w:snapToGrid w:val="0"/>
          <w:lang w:val="en-GB"/>
        </w:rPr>
        <w:t xml:space="preserve">for the treatment of </w:t>
      </w:r>
      <w:r w:rsidR="001A3634">
        <w:rPr>
          <w:rFonts w:cs="Arial"/>
          <w:bCs/>
          <w:snapToGrid w:val="0"/>
          <w:lang w:val="en-GB"/>
        </w:rPr>
        <w:t xml:space="preserve">either </w:t>
      </w:r>
      <w:r w:rsidR="00CD1067">
        <w:rPr>
          <w:rFonts w:cs="Arial"/>
          <w:bCs/>
          <w:snapToGrid w:val="0"/>
          <w:lang w:val="en-GB"/>
        </w:rPr>
        <w:t>a</w:t>
      </w:r>
      <w:r w:rsidR="001A3634">
        <w:rPr>
          <w:rFonts w:cs="Arial"/>
          <w:bCs/>
          <w:snapToGrid w:val="0"/>
          <w:lang w:val="en-GB"/>
        </w:rPr>
        <w:t xml:space="preserve">djuvant or metastatic </w:t>
      </w:r>
      <w:r w:rsidR="00CD1067">
        <w:rPr>
          <w:rFonts w:cs="Arial"/>
          <w:bCs/>
          <w:snapToGrid w:val="0"/>
          <w:lang w:val="en-GB"/>
        </w:rPr>
        <w:t>disease</w:t>
      </w:r>
      <w:r w:rsidR="00475072">
        <w:rPr>
          <w:rFonts w:cs="Arial"/>
          <w:bCs/>
          <w:snapToGrid w:val="0"/>
          <w:lang w:val="en-GB"/>
        </w:rPr>
        <w:t>)</w:t>
      </w:r>
      <w:r w:rsidR="001A3634">
        <w:rPr>
          <w:rFonts w:cs="Arial"/>
          <w:bCs/>
          <w:snapToGrid w:val="0"/>
          <w:lang w:val="en-GB"/>
        </w:rPr>
        <w:t>, were appropriate.</w:t>
      </w:r>
    </w:p>
    <w:p w:rsidR="001A3634" w:rsidRDefault="001A3634" w:rsidP="008C1387">
      <w:pPr>
        <w:widowControl w:val="0"/>
        <w:numPr>
          <w:ilvl w:val="1"/>
          <w:numId w:val="1"/>
        </w:numPr>
        <w:spacing w:after="120"/>
        <w:rPr>
          <w:rFonts w:cs="Arial"/>
          <w:bCs/>
          <w:snapToGrid w:val="0"/>
          <w:lang w:val="en-GB"/>
        </w:rPr>
      </w:pPr>
      <w:r>
        <w:rPr>
          <w:rFonts w:cs="Arial"/>
          <w:bCs/>
          <w:snapToGrid w:val="0"/>
          <w:lang w:val="en-GB"/>
        </w:rPr>
        <w:t>The PBAC considered that the nominated comparator of trastuzumab plus capecitabine was appropriate.</w:t>
      </w:r>
    </w:p>
    <w:p w:rsidR="001A3634" w:rsidRDefault="001A3634" w:rsidP="008C1387">
      <w:pPr>
        <w:widowControl w:val="0"/>
        <w:numPr>
          <w:ilvl w:val="1"/>
          <w:numId w:val="1"/>
        </w:numPr>
        <w:spacing w:after="120"/>
        <w:rPr>
          <w:rFonts w:cs="Arial"/>
          <w:bCs/>
          <w:snapToGrid w:val="0"/>
          <w:lang w:val="en-GB"/>
        </w:rPr>
      </w:pPr>
      <w:r>
        <w:rPr>
          <w:rFonts w:cs="Arial"/>
          <w:bCs/>
          <w:snapToGrid w:val="0"/>
          <w:lang w:val="en-GB"/>
        </w:rPr>
        <w:t>The PBAC noted that the submission was based on the results of one randomised controlled trial, HER2CLIMB, which compared treatment with tucatinib plus trastuzumab and capecitabine with placebo plus trastuzumab and capecitabine</w:t>
      </w:r>
      <w:r w:rsidR="002F778B">
        <w:rPr>
          <w:rFonts w:cs="Arial"/>
          <w:bCs/>
          <w:snapToGrid w:val="0"/>
          <w:lang w:val="en-GB"/>
        </w:rPr>
        <w:t xml:space="preserve"> in patients with HER2+ </w:t>
      </w:r>
      <w:r w:rsidR="00643297">
        <w:rPr>
          <w:rFonts w:cs="Arial"/>
          <w:bCs/>
          <w:snapToGrid w:val="0"/>
          <w:lang w:val="en-GB"/>
        </w:rPr>
        <w:t>mBC</w:t>
      </w:r>
      <w:r w:rsidR="002F778B">
        <w:rPr>
          <w:rFonts w:cs="Arial"/>
          <w:bCs/>
          <w:snapToGrid w:val="0"/>
          <w:lang w:val="en-GB"/>
        </w:rPr>
        <w:t xml:space="preserve"> who had received prior therapy </w:t>
      </w:r>
      <w:r w:rsidR="00CD1067">
        <w:rPr>
          <w:rFonts w:cs="Arial"/>
          <w:bCs/>
          <w:snapToGrid w:val="0"/>
          <w:lang w:val="en-GB"/>
        </w:rPr>
        <w:t xml:space="preserve">for </w:t>
      </w:r>
      <w:r w:rsidR="002F778B">
        <w:rPr>
          <w:rFonts w:cs="Arial"/>
          <w:bCs/>
          <w:snapToGrid w:val="0"/>
          <w:lang w:val="en-GB"/>
        </w:rPr>
        <w:t xml:space="preserve">metastatic </w:t>
      </w:r>
      <w:r w:rsidR="00CD1067">
        <w:rPr>
          <w:rFonts w:cs="Arial"/>
          <w:bCs/>
          <w:snapToGrid w:val="0"/>
          <w:lang w:val="en-GB"/>
        </w:rPr>
        <w:t>disease</w:t>
      </w:r>
      <w:r>
        <w:rPr>
          <w:rFonts w:cs="Arial"/>
          <w:bCs/>
          <w:snapToGrid w:val="0"/>
          <w:lang w:val="en-GB"/>
        </w:rPr>
        <w:t>.</w:t>
      </w:r>
      <w:r w:rsidR="00A8106D">
        <w:rPr>
          <w:rFonts w:cs="Arial"/>
          <w:bCs/>
          <w:snapToGrid w:val="0"/>
          <w:lang w:val="en-GB"/>
        </w:rPr>
        <w:t xml:space="preserve"> The PBAC noted that patients with brain metastases comprised 48% of the total HER2CLIMB population.</w:t>
      </w:r>
    </w:p>
    <w:p w:rsidR="002F778B" w:rsidRDefault="002F778B" w:rsidP="008C1387">
      <w:pPr>
        <w:widowControl w:val="0"/>
        <w:numPr>
          <w:ilvl w:val="1"/>
          <w:numId w:val="1"/>
        </w:numPr>
        <w:spacing w:after="120"/>
        <w:rPr>
          <w:rFonts w:cs="Arial"/>
          <w:bCs/>
          <w:snapToGrid w:val="0"/>
          <w:lang w:val="en-GB"/>
        </w:rPr>
      </w:pPr>
      <w:r>
        <w:rPr>
          <w:rFonts w:cs="Arial"/>
          <w:bCs/>
          <w:snapToGrid w:val="0"/>
          <w:lang w:val="en-GB"/>
        </w:rPr>
        <w:t xml:space="preserve">The PBAC noted that only 6% of patients in the HER2CLIMB trial had received tucatinib </w:t>
      </w:r>
      <w:r w:rsidR="00CD1067">
        <w:rPr>
          <w:rFonts w:cs="Arial"/>
          <w:bCs/>
          <w:snapToGrid w:val="0"/>
          <w:lang w:val="en-GB"/>
        </w:rPr>
        <w:t xml:space="preserve">as a </w:t>
      </w:r>
      <w:r>
        <w:rPr>
          <w:rFonts w:cs="Arial"/>
          <w:bCs/>
          <w:snapToGrid w:val="0"/>
          <w:lang w:val="en-GB"/>
        </w:rPr>
        <w:t xml:space="preserve">second-line metastatic </w:t>
      </w:r>
      <w:r w:rsidR="00CD1067">
        <w:rPr>
          <w:rFonts w:cs="Arial"/>
          <w:bCs/>
          <w:snapToGrid w:val="0"/>
          <w:lang w:val="en-GB"/>
        </w:rPr>
        <w:t>treatment</w:t>
      </w:r>
      <w:r>
        <w:rPr>
          <w:rFonts w:cs="Arial"/>
          <w:bCs/>
          <w:snapToGrid w:val="0"/>
          <w:lang w:val="en-GB"/>
        </w:rPr>
        <w:t xml:space="preserve">. The PBAC considered that tucatinib use in </w:t>
      </w:r>
      <w:r w:rsidR="00643297">
        <w:rPr>
          <w:rFonts w:cs="Arial"/>
          <w:bCs/>
          <w:snapToGrid w:val="0"/>
          <w:lang w:val="en-GB"/>
        </w:rPr>
        <w:t xml:space="preserve">this population in clinical practice </w:t>
      </w:r>
      <w:r>
        <w:rPr>
          <w:rFonts w:cs="Arial"/>
          <w:bCs/>
          <w:snapToGrid w:val="0"/>
          <w:lang w:val="en-GB"/>
        </w:rPr>
        <w:t>would likely be higher due to the use of T-DM1 in the adjuvant setting, which was not standard practice at the time HER2CLIMB was conducted.</w:t>
      </w:r>
    </w:p>
    <w:p w:rsidR="002F778B" w:rsidRDefault="002F778B" w:rsidP="008C1387">
      <w:pPr>
        <w:widowControl w:val="0"/>
        <w:numPr>
          <w:ilvl w:val="1"/>
          <w:numId w:val="1"/>
        </w:numPr>
        <w:spacing w:after="120"/>
        <w:rPr>
          <w:rFonts w:cs="Arial"/>
          <w:bCs/>
          <w:snapToGrid w:val="0"/>
          <w:lang w:val="en-GB"/>
        </w:rPr>
      </w:pPr>
      <w:r>
        <w:rPr>
          <w:rFonts w:cs="Arial"/>
          <w:bCs/>
          <w:snapToGrid w:val="0"/>
          <w:lang w:val="en-GB"/>
        </w:rPr>
        <w:t xml:space="preserve">The PBAC noted that tucatinib resulted in a statistically significant improvement in PFS (HR = 0.54; 95% CI: 0.42, 0.71; median improvement of 2.2 months) and OS (HR = 0.66; 95% CI: 0.50, 0.88; median improvement of 4.5 months) compared to placebo. </w:t>
      </w:r>
    </w:p>
    <w:p w:rsidR="00A06DF7" w:rsidRDefault="00A06DF7" w:rsidP="008C1387">
      <w:pPr>
        <w:widowControl w:val="0"/>
        <w:numPr>
          <w:ilvl w:val="1"/>
          <w:numId w:val="1"/>
        </w:numPr>
        <w:spacing w:after="120"/>
        <w:rPr>
          <w:rFonts w:cs="Arial"/>
          <w:bCs/>
          <w:snapToGrid w:val="0"/>
          <w:lang w:val="en-GB"/>
        </w:rPr>
      </w:pPr>
      <w:r>
        <w:rPr>
          <w:rFonts w:cs="Arial"/>
          <w:bCs/>
          <w:snapToGrid w:val="0"/>
          <w:lang w:val="en-GB"/>
        </w:rPr>
        <w:t>The PBAC noted that in patients with brain metastases tucatinib also resulted in a statistically significant improvement in PFS (HR = 0.48; 95% CI: 0.34, 0.69; median improvement of 2.2 months) compared to placebo. The PBAC noted that an exploratory analysis resulted in a statistically significant improvement in OS in patients with brain metastases (HR = 0.58; 95% CI: 0.40, 0.85).</w:t>
      </w:r>
    </w:p>
    <w:p w:rsidR="00A06DF7" w:rsidRPr="007561D2" w:rsidRDefault="00A06DF7" w:rsidP="00A06DF7">
      <w:pPr>
        <w:pStyle w:val="3-BodyText"/>
        <w:rPr>
          <w:color w:val="000000" w:themeColor="text1"/>
        </w:rPr>
      </w:pPr>
      <w:r>
        <w:rPr>
          <w:color w:val="000000" w:themeColor="text1"/>
        </w:rPr>
        <w:t>The PBAC considered that the d</w:t>
      </w:r>
      <w:r w:rsidRPr="007561D2">
        <w:rPr>
          <w:color w:val="000000" w:themeColor="text1"/>
        </w:rPr>
        <w:t>ata from the HER2CLIMB trial support</w:t>
      </w:r>
      <w:r>
        <w:rPr>
          <w:color w:val="000000" w:themeColor="text1"/>
        </w:rPr>
        <w:t>ed</w:t>
      </w:r>
      <w:r w:rsidRPr="007561D2">
        <w:rPr>
          <w:color w:val="000000" w:themeColor="text1"/>
        </w:rPr>
        <w:t xml:space="preserve"> the claim </w:t>
      </w:r>
      <w:r>
        <w:rPr>
          <w:color w:val="000000" w:themeColor="text1"/>
        </w:rPr>
        <w:t>that</w:t>
      </w:r>
      <w:r w:rsidRPr="007561D2">
        <w:rPr>
          <w:color w:val="000000" w:themeColor="text1"/>
        </w:rPr>
        <w:t xml:space="preserve"> the addition of tucatinib to trastuzumab and capecitabine improve</w:t>
      </w:r>
      <w:r w:rsidR="00643297">
        <w:rPr>
          <w:color w:val="000000" w:themeColor="text1"/>
        </w:rPr>
        <w:t>d</w:t>
      </w:r>
      <w:r w:rsidRPr="007561D2">
        <w:rPr>
          <w:color w:val="000000" w:themeColor="text1"/>
        </w:rPr>
        <w:t xml:space="preserve"> </w:t>
      </w:r>
      <w:r>
        <w:rPr>
          <w:color w:val="000000" w:themeColor="text1"/>
        </w:rPr>
        <w:t>PFS</w:t>
      </w:r>
      <w:r w:rsidRPr="007561D2">
        <w:rPr>
          <w:color w:val="000000" w:themeColor="text1"/>
        </w:rPr>
        <w:t xml:space="preserve"> and </w:t>
      </w:r>
      <w:r>
        <w:rPr>
          <w:color w:val="000000" w:themeColor="text1"/>
        </w:rPr>
        <w:t>OS</w:t>
      </w:r>
      <w:r w:rsidRPr="007561D2">
        <w:rPr>
          <w:color w:val="000000" w:themeColor="text1"/>
        </w:rPr>
        <w:t xml:space="preserve"> in patients with HER2+ </w:t>
      </w:r>
      <w:r w:rsidR="00643297">
        <w:rPr>
          <w:color w:val="000000" w:themeColor="text1"/>
        </w:rPr>
        <w:t>mBC</w:t>
      </w:r>
      <w:r w:rsidRPr="007561D2">
        <w:rPr>
          <w:color w:val="000000" w:themeColor="text1"/>
        </w:rPr>
        <w:t xml:space="preserve"> who have previously received treatment with pertuzumab</w:t>
      </w:r>
      <w:r>
        <w:rPr>
          <w:color w:val="000000" w:themeColor="text1"/>
        </w:rPr>
        <w:t>, trastuzumab</w:t>
      </w:r>
      <w:r w:rsidRPr="007561D2">
        <w:rPr>
          <w:color w:val="000000" w:themeColor="text1"/>
        </w:rPr>
        <w:t xml:space="preserve"> and T-DM1. Statistically significant increases in overall response rate and </w:t>
      </w:r>
      <w:r>
        <w:rPr>
          <w:color w:val="000000" w:themeColor="text1"/>
        </w:rPr>
        <w:t>PFS</w:t>
      </w:r>
      <w:r w:rsidRPr="007561D2">
        <w:rPr>
          <w:color w:val="000000" w:themeColor="text1"/>
        </w:rPr>
        <w:t xml:space="preserve"> were also observed in those with brain metastases.</w:t>
      </w:r>
    </w:p>
    <w:p w:rsidR="00522F43" w:rsidRDefault="00A06DF7" w:rsidP="008C1387">
      <w:pPr>
        <w:widowControl w:val="0"/>
        <w:numPr>
          <w:ilvl w:val="1"/>
          <w:numId w:val="1"/>
        </w:numPr>
        <w:spacing w:after="120"/>
        <w:rPr>
          <w:rFonts w:cs="Arial"/>
          <w:bCs/>
          <w:snapToGrid w:val="0"/>
          <w:lang w:val="en-GB"/>
        </w:rPr>
      </w:pPr>
      <w:r>
        <w:rPr>
          <w:rFonts w:cs="Arial"/>
          <w:bCs/>
          <w:snapToGrid w:val="0"/>
          <w:lang w:val="en-GB"/>
        </w:rPr>
        <w:t>With regards to safety, the PBAC noted that the nature of the adverse events reported in the two arms of the HER2CLIMB trial were similar, with higher rates reported in the tucatinib arm. The PBAC noted that the incidence of diarrhoea was s</w:t>
      </w:r>
      <w:r w:rsidR="00522F43">
        <w:rPr>
          <w:rFonts w:cs="Arial"/>
          <w:bCs/>
          <w:snapToGrid w:val="0"/>
          <w:lang w:val="en-GB"/>
        </w:rPr>
        <w:t xml:space="preserve">ignificantly higher in the tucatinib arm (80.9%) as compared to the placebo arm (53.3%) and considered that prophylaxis treatment would be required. </w:t>
      </w:r>
    </w:p>
    <w:p w:rsidR="00A06DF7" w:rsidRDefault="00522F43" w:rsidP="008C1387">
      <w:pPr>
        <w:widowControl w:val="0"/>
        <w:numPr>
          <w:ilvl w:val="1"/>
          <w:numId w:val="1"/>
        </w:numPr>
        <w:spacing w:after="120"/>
        <w:rPr>
          <w:rFonts w:cs="Arial"/>
          <w:bCs/>
          <w:snapToGrid w:val="0"/>
          <w:lang w:val="en-GB"/>
        </w:rPr>
      </w:pPr>
      <w:r>
        <w:rPr>
          <w:rFonts w:cs="Arial"/>
          <w:bCs/>
          <w:snapToGrid w:val="0"/>
          <w:lang w:val="en-GB"/>
        </w:rPr>
        <w:t xml:space="preserve">Overall, the PBAC considered that tucatinib was inferior to placebo in terms of comparative safety. </w:t>
      </w:r>
    </w:p>
    <w:p w:rsidR="008735E2" w:rsidRDefault="008735E2" w:rsidP="008C1387">
      <w:pPr>
        <w:widowControl w:val="0"/>
        <w:numPr>
          <w:ilvl w:val="1"/>
          <w:numId w:val="1"/>
        </w:numPr>
        <w:spacing w:after="120"/>
        <w:rPr>
          <w:rFonts w:cs="Arial"/>
          <w:bCs/>
          <w:snapToGrid w:val="0"/>
          <w:lang w:val="en-GB"/>
        </w:rPr>
      </w:pPr>
      <w:r>
        <w:rPr>
          <w:rFonts w:cs="Arial"/>
          <w:bCs/>
          <w:snapToGrid w:val="0"/>
          <w:lang w:val="en-GB"/>
        </w:rPr>
        <w:t xml:space="preserve">The PBAC noted that the submission presented a cost utility analysis comparing tucatinib </w:t>
      </w:r>
      <w:r w:rsidR="00643297">
        <w:rPr>
          <w:rFonts w:cs="Arial"/>
          <w:bCs/>
          <w:snapToGrid w:val="0"/>
          <w:lang w:val="en-GB"/>
        </w:rPr>
        <w:t>plus</w:t>
      </w:r>
      <w:r>
        <w:rPr>
          <w:rFonts w:cs="Arial"/>
          <w:bCs/>
          <w:snapToGrid w:val="0"/>
          <w:lang w:val="en-GB"/>
        </w:rPr>
        <w:t xml:space="preserve"> </w:t>
      </w:r>
      <w:r w:rsidR="00194FCE">
        <w:rPr>
          <w:rFonts w:cs="Arial"/>
          <w:bCs/>
          <w:snapToGrid w:val="0"/>
          <w:lang w:val="en-GB"/>
        </w:rPr>
        <w:t>trastuzu</w:t>
      </w:r>
      <w:r w:rsidR="00643297">
        <w:rPr>
          <w:rFonts w:cs="Arial"/>
          <w:bCs/>
          <w:snapToGrid w:val="0"/>
          <w:lang w:val="en-GB"/>
        </w:rPr>
        <w:t>m</w:t>
      </w:r>
      <w:r w:rsidR="00194FCE">
        <w:rPr>
          <w:rFonts w:cs="Arial"/>
          <w:bCs/>
          <w:snapToGrid w:val="0"/>
          <w:lang w:val="en-GB"/>
        </w:rPr>
        <w:t>a</w:t>
      </w:r>
      <w:r w:rsidR="00643297">
        <w:rPr>
          <w:rFonts w:cs="Arial"/>
          <w:bCs/>
          <w:snapToGrid w:val="0"/>
          <w:lang w:val="en-GB"/>
        </w:rPr>
        <w:t xml:space="preserve">b and </w:t>
      </w:r>
      <w:r>
        <w:rPr>
          <w:rFonts w:cs="Arial"/>
          <w:bCs/>
          <w:snapToGrid w:val="0"/>
          <w:lang w:val="en-GB"/>
        </w:rPr>
        <w:t xml:space="preserve">capecitabine with placebo </w:t>
      </w:r>
      <w:r w:rsidR="00643297">
        <w:rPr>
          <w:rFonts w:cs="Arial"/>
          <w:bCs/>
          <w:snapToGrid w:val="0"/>
          <w:lang w:val="en-GB"/>
        </w:rPr>
        <w:t>plus</w:t>
      </w:r>
      <w:r>
        <w:rPr>
          <w:rFonts w:cs="Arial"/>
          <w:bCs/>
          <w:snapToGrid w:val="0"/>
          <w:lang w:val="en-GB"/>
        </w:rPr>
        <w:t xml:space="preserve"> </w:t>
      </w:r>
      <w:r w:rsidR="00643297">
        <w:rPr>
          <w:rFonts w:cs="Arial"/>
          <w:bCs/>
          <w:snapToGrid w:val="0"/>
          <w:lang w:val="en-GB"/>
        </w:rPr>
        <w:t xml:space="preserve">trastuzumab and </w:t>
      </w:r>
      <w:r>
        <w:rPr>
          <w:rFonts w:cs="Arial"/>
          <w:bCs/>
          <w:snapToGrid w:val="0"/>
          <w:lang w:val="en-GB"/>
        </w:rPr>
        <w:t xml:space="preserve">capecitabine. </w:t>
      </w:r>
      <w:r w:rsidR="008B5BEE">
        <w:rPr>
          <w:rFonts w:cs="Arial"/>
          <w:bCs/>
          <w:snapToGrid w:val="0"/>
          <w:lang w:val="en-GB"/>
        </w:rPr>
        <w:t>The PBAC considered that the resultant ICER of $</w:t>
      </w:r>
      <w:r w:rsidR="00E143DF">
        <w:rPr>
          <w:rFonts w:cs="Arial"/>
          <w:bCs/>
          <w:snapToGrid w:val="0"/>
          <w:lang w:val="en-GB"/>
        </w:rPr>
        <w:t>255,000 to &lt; $355,000</w:t>
      </w:r>
      <w:r w:rsidR="008B5BEE">
        <w:rPr>
          <w:rFonts w:cs="Arial"/>
          <w:bCs/>
          <w:snapToGrid w:val="0"/>
          <w:lang w:val="en-GB"/>
        </w:rPr>
        <w:t xml:space="preserve"> per QALY was high</w:t>
      </w:r>
      <w:r w:rsidR="00772394">
        <w:rPr>
          <w:rFonts w:cs="Arial"/>
          <w:bCs/>
          <w:snapToGrid w:val="0"/>
          <w:lang w:val="en-GB"/>
        </w:rPr>
        <w:t xml:space="preserve"> and highly uncertain.</w:t>
      </w:r>
      <w:r w:rsidR="008B5BEE">
        <w:rPr>
          <w:rFonts w:cs="Arial"/>
          <w:bCs/>
          <w:snapToGrid w:val="0"/>
          <w:lang w:val="en-GB"/>
        </w:rPr>
        <w:t xml:space="preserve"> </w:t>
      </w:r>
    </w:p>
    <w:p w:rsidR="008B5BEE" w:rsidRDefault="008B5BEE" w:rsidP="008C1387">
      <w:pPr>
        <w:widowControl w:val="0"/>
        <w:numPr>
          <w:ilvl w:val="1"/>
          <w:numId w:val="1"/>
        </w:numPr>
        <w:spacing w:after="120"/>
        <w:rPr>
          <w:rFonts w:cs="Arial"/>
          <w:bCs/>
          <w:snapToGrid w:val="0"/>
          <w:lang w:val="en-GB"/>
        </w:rPr>
      </w:pPr>
      <w:r>
        <w:rPr>
          <w:rFonts w:cs="Arial"/>
          <w:bCs/>
          <w:snapToGrid w:val="0"/>
          <w:lang w:val="en-GB"/>
        </w:rPr>
        <w:t xml:space="preserve">The PBAC </w:t>
      </w:r>
      <w:r w:rsidR="00643297">
        <w:rPr>
          <w:rFonts w:cs="Arial"/>
          <w:bCs/>
          <w:snapToGrid w:val="0"/>
          <w:lang w:val="en-GB"/>
        </w:rPr>
        <w:t>noted the following issues with the economic model</w:t>
      </w:r>
      <w:r>
        <w:rPr>
          <w:rFonts w:cs="Arial"/>
          <w:bCs/>
          <w:snapToGrid w:val="0"/>
          <w:lang w:val="en-GB"/>
        </w:rPr>
        <w:t>:</w:t>
      </w:r>
    </w:p>
    <w:p w:rsidR="008B5BEE" w:rsidRDefault="00475072" w:rsidP="00C7670E">
      <w:pPr>
        <w:widowControl w:val="0"/>
        <w:numPr>
          <w:ilvl w:val="1"/>
          <w:numId w:val="32"/>
        </w:numPr>
        <w:spacing w:after="120"/>
        <w:ind w:left="1077" w:hanging="357"/>
        <w:rPr>
          <w:rFonts w:cs="Arial"/>
          <w:bCs/>
          <w:snapToGrid w:val="0"/>
          <w:lang w:val="en-GB"/>
        </w:rPr>
      </w:pPr>
      <w:r>
        <w:rPr>
          <w:rFonts w:cs="Arial"/>
          <w:bCs/>
          <w:snapToGrid w:val="0"/>
          <w:lang w:val="en-GB"/>
        </w:rPr>
        <w:t>T</w:t>
      </w:r>
      <w:r w:rsidR="008C0ABD">
        <w:rPr>
          <w:rFonts w:cs="Arial"/>
          <w:bCs/>
          <w:snapToGrid w:val="0"/>
          <w:lang w:val="en-GB"/>
        </w:rPr>
        <w:t xml:space="preserve">he </w:t>
      </w:r>
      <w:r w:rsidR="00643297">
        <w:rPr>
          <w:rFonts w:cs="Arial"/>
          <w:bCs/>
          <w:snapToGrid w:val="0"/>
          <w:lang w:val="en-GB"/>
        </w:rPr>
        <w:t xml:space="preserve">application of a </w:t>
      </w:r>
      <w:r w:rsidR="008C0ABD">
        <w:rPr>
          <w:rFonts w:cs="Arial"/>
          <w:bCs/>
          <w:snapToGrid w:val="0"/>
          <w:lang w:val="en-GB"/>
        </w:rPr>
        <w:t xml:space="preserve">10 year time horizon. The PBAC considered </w:t>
      </w:r>
      <w:r w:rsidR="00643297">
        <w:rPr>
          <w:rFonts w:cs="Arial"/>
          <w:bCs/>
          <w:snapToGrid w:val="0"/>
          <w:lang w:val="en-GB"/>
        </w:rPr>
        <w:t xml:space="preserve">that </w:t>
      </w:r>
      <w:r w:rsidR="008C0ABD">
        <w:rPr>
          <w:rFonts w:cs="Arial"/>
          <w:bCs/>
          <w:snapToGrid w:val="0"/>
          <w:lang w:val="en-GB"/>
        </w:rPr>
        <w:t xml:space="preserve">for patients with </w:t>
      </w:r>
      <w:r w:rsidR="00643297">
        <w:rPr>
          <w:rFonts w:cs="Arial"/>
          <w:bCs/>
          <w:snapToGrid w:val="0"/>
          <w:lang w:val="en-GB"/>
        </w:rPr>
        <w:t>mCB</w:t>
      </w:r>
      <w:r w:rsidR="00C7670E">
        <w:rPr>
          <w:rFonts w:cs="Arial"/>
          <w:bCs/>
          <w:snapToGrid w:val="0"/>
          <w:lang w:val="en-GB"/>
        </w:rPr>
        <w:t xml:space="preserve">, and particularly those with brain metastases, </w:t>
      </w:r>
      <w:r w:rsidR="008C0ABD">
        <w:rPr>
          <w:rFonts w:cs="Arial"/>
          <w:bCs/>
          <w:snapToGrid w:val="0"/>
          <w:lang w:val="en-GB"/>
        </w:rPr>
        <w:t>a five year time horizon would be more appropriate;</w:t>
      </w:r>
    </w:p>
    <w:p w:rsidR="00C63390" w:rsidRDefault="00475072" w:rsidP="00C7670E">
      <w:pPr>
        <w:widowControl w:val="0"/>
        <w:numPr>
          <w:ilvl w:val="1"/>
          <w:numId w:val="32"/>
        </w:numPr>
        <w:spacing w:after="120"/>
        <w:ind w:left="1077" w:hanging="357"/>
        <w:rPr>
          <w:rFonts w:cs="Arial"/>
          <w:bCs/>
          <w:snapToGrid w:val="0"/>
          <w:lang w:val="en-GB"/>
        </w:rPr>
      </w:pPr>
      <w:r>
        <w:rPr>
          <w:rFonts w:cs="Arial"/>
          <w:bCs/>
          <w:snapToGrid w:val="0"/>
          <w:lang w:val="en-GB"/>
        </w:rPr>
        <w:t>T</w:t>
      </w:r>
      <w:r w:rsidR="00C63390">
        <w:rPr>
          <w:rFonts w:cs="Arial"/>
          <w:bCs/>
          <w:snapToGrid w:val="0"/>
          <w:lang w:val="en-GB"/>
        </w:rPr>
        <w:t xml:space="preserve">he utilities applied in the model. The PBAC noted that the </w:t>
      </w:r>
      <w:r w:rsidR="008E3F2A">
        <w:rPr>
          <w:rFonts w:cs="Arial"/>
          <w:bCs/>
          <w:snapToGrid w:val="0"/>
          <w:lang w:val="en-GB"/>
        </w:rPr>
        <w:t xml:space="preserve">trial-based </w:t>
      </w:r>
      <w:r w:rsidR="00C63390">
        <w:rPr>
          <w:rFonts w:cs="Arial"/>
          <w:bCs/>
          <w:snapToGrid w:val="0"/>
          <w:lang w:val="en-GB"/>
        </w:rPr>
        <w:t xml:space="preserve">utility values were </w:t>
      </w:r>
      <w:r w:rsidR="00643297">
        <w:rPr>
          <w:rFonts w:cs="Arial"/>
          <w:bCs/>
          <w:snapToGrid w:val="0"/>
          <w:lang w:val="en-GB"/>
        </w:rPr>
        <w:t>not informative</w:t>
      </w:r>
      <w:r w:rsidR="008E3F2A">
        <w:rPr>
          <w:rFonts w:cs="Arial"/>
          <w:bCs/>
          <w:snapToGrid w:val="0"/>
          <w:lang w:val="en-GB"/>
        </w:rPr>
        <w:t xml:space="preserve"> as collection of quality of life data was introduced to HER2CLIMB follow</w:t>
      </w:r>
      <w:r w:rsidR="00194FCE">
        <w:rPr>
          <w:rFonts w:cs="Arial"/>
          <w:bCs/>
          <w:snapToGrid w:val="0"/>
          <w:lang w:val="en-GB"/>
        </w:rPr>
        <w:t xml:space="preserve">ing a late protocol amendment, </w:t>
      </w:r>
      <w:r w:rsidR="008E3F2A">
        <w:rPr>
          <w:rFonts w:cs="Arial"/>
          <w:bCs/>
          <w:snapToGrid w:val="0"/>
          <w:lang w:val="en-GB"/>
        </w:rPr>
        <w:t xml:space="preserve">only 54% of patients completed the baseline questionnaire and compliance </w:t>
      </w:r>
      <w:r w:rsidR="00A85BE5">
        <w:rPr>
          <w:rFonts w:cs="Arial"/>
          <w:bCs/>
          <w:snapToGrid w:val="0"/>
          <w:lang w:val="en-GB"/>
        </w:rPr>
        <w:t xml:space="preserve">was low. In addition, the PBAC noted that the utility values were higher than those reported in the literature and applied in previous PBAC submissions for </w:t>
      </w:r>
      <w:r w:rsidR="00643297">
        <w:rPr>
          <w:rFonts w:cs="Arial"/>
          <w:bCs/>
          <w:snapToGrid w:val="0"/>
          <w:lang w:val="en-GB"/>
        </w:rPr>
        <w:t>mBC</w:t>
      </w:r>
      <w:r w:rsidR="00A85BE5">
        <w:rPr>
          <w:rFonts w:cs="Arial"/>
          <w:bCs/>
          <w:snapToGrid w:val="0"/>
          <w:lang w:val="en-GB"/>
        </w:rPr>
        <w:t xml:space="preserve">. </w:t>
      </w:r>
      <w:r w:rsidR="00C63390">
        <w:rPr>
          <w:rFonts w:cs="Arial"/>
          <w:bCs/>
          <w:snapToGrid w:val="0"/>
          <w:lang w:val="en-GB"/>
        </w:rPr>
        <w:t>The PBAC considered that the utility values derived from Lloyd et al, 2006 were more clinically plausible;</w:t>
      </w:r>
    </w:p>
    <w:p w:rsidR="006708C4" w:rsidRDefault="00C63390" w:rsidP="00C7670E">
      <w:pPr>
        <w:widowControl w:val="0"/>
        <w:numPr>
          <w:ilvl w:val="1"/>
          <w:numId w:val="32"/>
        </w:numPr>
        <w:spacing w:after="120"/>
        <w:ind w:left="1077" w:hanging="357"/>
        <w:rPr>
          <w:rFonts w:cs="Arial"/>
          <w:bCs/>
          <w:snapToGrid w:val="0"/>
          <w:lang w:val="en-GB"/>
        </w:rPr>
      </w:pPr>
      <w:r>
        <w:rPr>
          <w:rFonts w:cs="Arial"/>
          <w:bCs/>
          <w:snapToGrid w:val="0"/>
          <w:lang w:val="en-GB"/>
        </w:rPr>
        <w:t>T</w:t>
      </w:r>
      <w:r w:rsidR="00F14DD0">
        <w:rPr>
          <w:rFonts w:cs="Arial"/>
          <w:bCs/>
          <w:snapToGrid w:val="0"/>
          <w:lang w:val="en-GB"/>
        </w:rPr>
        <w:t>he t</w:t>
      </w:r>
      <w:r w:rsidR="00475072">
        <w:rPr>
          <w:rFonts w:cs="Arial"/>
          <w:bCs/>
          <w:snapToGrid w:val="0"/>
          <w:lang w:val="en-GB"/>
        </w:rPr>
        <w:t xml:space="preserve">ucatinib drug costs </w:t>
      </w:r>
      <w:r w:rsidR="00F14DD0">
        <w:rPr>
          <w:rFonts w:cs="Arial"/>
          <w:bCs/>
          <w:snapToGrid w:val="0"/>
          <w:lang w:val="en-GB"/>
        </w:rPr>
        <w:t>applied in the model. The PBAC noted that the model assumed that all patients received 266 mg per dose (i.e. an 88.5% dose intensity was applied to a 300 mg dose). The PBAC considered that it would be more accurate to apply the distribution of doses from the trial. In addition, the PBAC noted that the submission did not apply a flat price per milligram across the 50 mg and 150 mg strengths (the cost of the 50 mg tablet per milligram was higher). The PBAC considered that a flat price per milligram should be used</w:t>
      </w:r>
      <w:r w:rsidR="006F3288">
        <w:rPr>
          <w:rFonts w:cs="Arial"/>
          <w:bCs/>
          <w:snapToGrid w:val="0"/>
          <w:lang w:val="en-GB"/>
        </w:rPr>
        <w:t xml:space="preserve"> and with tucatinib drug costs based on the cost per whole tablet received</w:t>
      </w:r>
      <w:r w:rsidR="00F14DD0">
        <w:rPr>
          <w:rFonts w:cs="Arial"/>
          <w:bCs/>
          <w:snapToGrid w:val="0"/>
          <w:lang w:val="en-GB"/>
        </w:rPr>
        <w:t xml:space="preserve">; </w:t>
      </w:r>
    </w:p>
    <w:p w:rsidR="00F14DD0" w:rsidRDefault="00F14DD0" w:rsidP="00C7670E">
      <w:pPr>
        <w:widowControl w:val="0"/>
        <w:numPr>
          <w:ilvl w:val="1"/>
          <w:numId w:val="32"/>
        </w:numPr>
        <w:spacing w:after="120"/>
        <w:ind w:left="1077" w:hanging="357"/>
        <w:rPr>
          <w:rFonts w:cs="Arial"/>
          <w:bCs/>
          <w:snapToGrid w:val="0"/>
          <w:lang w:val="en-GB"/>
        </w:rPr>
      </w:pPr>
      <w:r>
        <w:rPr>
          <w:rFonts w:cs="Arial"/>
          <w:bCs/>
          <w:snapToGrid w:val="0"/>
          <w:lang w:val="en-GB"/>
        </w:rPr>
        <w:t>Uncertainties relating to the point of extrapolation of the PFS and OS curves</w:t>
      </w:r>
      <w:r w:rsidR="0037464F">
        <w:rPr>
          <w:rFonts w:cs="Arial"/>
          <w:bCs/>
          <w:snapToGrid w:val="0"/>
          <w:lang w:val="en-GB"/>
        </w:rPr>
        <w:t>. The PBAC considered that Kaplan-Meier data should be used until approximately 20% of patients remained at risk in each arm;</w:t>
      </w:r>
    </w:p>
    <w:p w:rsidR="0037464F" w:rsidRDefault="0037464F" w:rsidP="00C7670E">
      <w:pPr>
        <w:widowControl w:val="0"/>
        <w:numPr>
          <w:ilvl w:val="1"/>
          <w:numId w:val="32"/>
        </w:numPr>
        <w:spacing w:after="120"/>
        <w:ind w:left="1077" w:hanging="357"/>
        <w:rPr>
          <w:rFonts w:cs="Arial"/>
          <w:bCs/>
          <w:snapToGrid w:val="0"/>
          <w:lang w:val="en-GB"/>
        </w:rPr>
      </w:pPr>
      <w:r>
        <w:rPr>
          <w:rFonts w:cs="Arial"/>
          <w:bCs/>
          <w:snapToGrid w:val="0"/>
          <w:lang w:val="en-GB"/>
        </w:rPr>
        <w:t>Uncertainties relating to the goodness of fit of the time to treatment discontinuation curve.</w:t>
      </w:r>
    </w:p>
    <w:p w:rsidR="00C7670E" w:rsidRPr="0037464F" w:rsidRDefault="0037464F" w:rsidP="00F62B72">
      <w:pPr>
        <w:widowControl w:val="0"/>
        <w:numPr>
          <w:ilvl w:val="1"/>
          <w:numId w:val="1"/>
        </w:numPr>
        <w:spacing w:after="120"/>
        <w:rPr>
          <w:rFonts w:cs="Arial"/>
          <w:bCs/>
          <w:snapToGrid w:val="0"/>
          <w:lang w:val="en-GB"/>
        </w:rPr>
      </w:pPr>
      <w:r w:rsidRPr="0037464F">
        <w:rPr>
          <w:rFonts w:cs="Arial"/>
          <w:bCs/>
          <w:snapToGrid w:val="0"/>
          <w:lang w:val="en-GB"/>
        </w:rPr>
        <w:t>The PBAC noted that a multivariate analysis adjusting for all of the above factors, except the time horizon, potentially underestimated the benefit of tucatinib (see paragraph 6.61). The PBAC considered that a scenario in which the time horizon, utilities and costing of tucatinib were revised would be a reasonable base case scenario (ICER = $</w:t>
      </w:r>
      <w:r w:rsidR="002E128D">
        <w:rPr>
          <w:rFonts w:cs="Arial"/>
          <w:bCs/>
          <w:snapToGrid w:val="0"/>
          <w:lang w:val="en-GB"/>
        </w:rPr>
        <w:t>355,000 to &lt; $455,000</w:t>
      </w:r>
      <w:r w:rsidRPr="0037464F">
        <w:rPr>
          <w:rFonts w:cs="Arial"/>
          <w:bCs/>
          <w:snapToGrid w:val="0"/>
          <w:lang w:val="en-GB"/>
        </w:rPr>
        <w:t xml:space="preserve"> per QALY). </w:t>
      </w:r>
      <w:r w:rsidR="00772394" w:rsidRPr="0037464F">
        <w:rPr>
          <w:rFonts w:cs="Arial"/>
          <w:bCs/>
          <w:snapToGrid w:val="0"/>
          <w:lang w:val="en-GB"/>
        </w:rPr>
        <w:t xml:space="preserve">Noting that previous treatments </w:t>
      </w:r>
      <w:r w:rsidR="000A27F1">
        <w:rPr>
          <w:rFonts w:cs="Arial"/>
          <w:bCs/>
          <w:snapToGrid w:val="0"/>
          <w:lang w:val="en-GB"/>
        </w:rPr>
        <w:t>for</w:t>
      </w:r>
      <w:r w:rsidR="00772394" w:rsidRPr="0037464F">
        <w:rPr>
          <w:rFonts w:cs="Arial"/>
          <w:bCs/>
          <w:snapToGrid w:val="0"/>
          <w:lang w:val="en-GB"/>
        </w:rPr>
        <w:t xml:space="preserve"> </w:t>
      </w:r>
      <w:r w:rsidR="00643297" w:rsidRPr="0037464F">
        <w:rPr>
          <w:rFonts w:cs="Arial"/>
          <w:bCs/>
          <w:snapToGrid w:val="0"/>
          <w:lang w:val="en-GB"/>
        </w:rPr>
        <w:t>mBC</w:t>
      </w:r>
      <w:r w:rsidR="00772394" w:rsidRPr="0037464F">
        <w:rPr>
          <w:rFonts w:cs="Arial"/>
          <w:bCs/>
          <w:snapToGrid w:val="0"/>
          <w:lang w:val="en-GB"/>
        </w:rPr>
        <w:t xml:space="preserve"> had been recommended with ICERs in the range of $45,000 to $75,000 per QALY and the effectiveness of tucatinib in patients with brain metastases, the PBAC considered that an ICER of $75,000</w:t>
      </w:r>
      <w:r w:rsidR="002E128D">
        <w:rPr>
          <w:rFonts w:cs="Arial"/>
          <w:bCs/>
          <w:snapToGrid w:val="0"/>
          <w:lang w:val="en-GB"/>
        </w:rPr>
        <w:t xml:space="preserve"> to &lt; $95,000</w:t>
      </w:r>
      <w:r w:rsidR="00772394" w:rsidRPr="0037464F">
        <w:rPr>
          <w:rFonts w:cs="Arial"/>
          <w:bCs/>
          <w:snapToGrid w:val="0"/>
          <w:lang w:val="en-GB"/>
        </w:rPr>
        <w:t xml:space="preserve"> per QALY would be reasonable. </w:t>
      </w:r>
    </w:p>
    <w:p w:rsidR="00A85BE5" w:rsidRDefault="00042305" w:rsidP="00DE01EE">
      <w:pPr>
        <w:widowControl w:val="0"/>
        <w:numPr>
          <w:ilvl w:val="1"/>
          <w:numId w:val="1"/>
        </w:numPr>
        <w:spacing w:after="120"/>
        <w:rPr>
          <w:rFonts w:cs="Arial"/>
          <w:bCs/>
          <w:snapToGrid w:val="0"/>
          <w:lang w:val="en-GB"/>
        </w:rPr>
      </w:pPr>
      <w:r>
        <w:rPr>
          <w:rFonts w:cs="Arial"/>
          <w:bCs/>
          <w:snapToGrid w:val="0"/>
          <w:lang w:val="en-GB"/>
        </w:rPr>
        <w:t>The PBAC noted that the</w:t>
      </w:r>
      <w:r w:rsidR="00A85BE5">
        <w:rPr>
          <w:rFonts w:cs="Arial"/>
          <w:bCs/>
          <w:snapToGrid w:val="0"/>
          <w:lang w:val="en-GB"/>
        </w:rPr>
        <w:t xml:space="preserve"> submission used a PBS 10% sample as the main source of patient estimates, but considered that the sample included too few patients for it to be a reliable source for estimating the number of metastatic patients.</w:t>
      </w:r>
      <w:r w:rsidR="0055218A">
        <w:rPr>
          <w:rFonts w:cs="Arial"/>
          <w:bCs/>
          <w:snapToGrid w:val="0"/>
          <w:lang w:val="en-GB"/>
        </w:rPr>
        <w:t xml:space="preserve"> The PBAC also considered that the linear extrapolation applied to the estimated number of metastatic patients overestimated the population and that the uptake rate was likely underestimated.</w:t>
      </w:r>
    </w:p>
    <w:p w:rsidR="00C63390" w:rsidRDefault="00042305" w:rsidP="00DE01EE">
      <w:pPr>
        <w:widowControl w:val="0"/>
        <w:numPr>
          <w:ilvl w:val="1"/>
          <w:numId w:val="1"/>
        </w:numPr>
        <w:spacing w:after="120"/>
        <w:rPr>
          <w:rFonts w:cs="Arial"/>
          <w:bCs/>
          <w:snapToGrid w:val="0"/>
          <w:lang w:val="en-GB"/>
        </w:rPr>
      </w:pPr>
      <w:r>
        <w:rPr>
          <w:rFonts w:cs="Arial"/>
          <w:bCs/>
          <w:snapToGrid w:val="0"/>
          <w:lang w:val="en-GB"/>
        </w:rPr>
        <w:t>The PBAC</w:t>
      </w:r>
      <w:r w:rsidR="00DE01EE">
        <w:rPr>
          <w:rFonts w:cs="Arial"/>
          <w:bCs/>
          <w:snapToGrid w:val="0"/>
          <w:lang w:val="en-GB"/>
        </w:rPr>
        <w:t xml:space="preserve"> recalled t</w:t>
      </w:r>
      <w:r w:rsidR="00194FCE">
        <w:rPr>
          <w:rFonts w:cs="Arial"/>
          <w:bCs/>
          <w:snapToGrid w:val="0"/>
          <w:lang w:val="en-GB"/>
        </w:rPr>
        <w:t>hat the T-DM1 trastuzumab emtans</w:t>
      </w:r>
      <w:r w:rsidR="00DE01EE">
        <w:rPr>
          <w:rFonts w:cs="Arial"/>
          <w:bCs/>
          <w:snapToGrid w:val="0"/>
          <w:lang w:val="en-GB"/>
        </w:rPr>
        <w:t xml:space="preserve">ine was listed on the PBS in April 2020 and considered that this listing </w:t>
      </w:r>
      <w:r w:rsidR="00CD1067">
        <w:rPr>
          <w:rFonts w:cs="Arial"/>
          <w:bCs/>
          <w:snapToGrid w:val="0"/>
          <w:lang w:val="en-GB"/>
        </w:rPr>
        <w:t xml:space="preserve">for </w:t>
      </w:r>
      <w:r w:rsidR="00DE01EE">
        <w:rPr>
          <w:rFonts w:cs="Arial"/>
          <w:bCs/>
          <w:snapToGrid w:val="0"/>
          <w:lang w:val="en-GB"/>
        </w:rPr>
        <w:t xml:space="preserve">adjuvant </w:t>
      </w:r>
      <w:r w:rsidR="00CD1067">
        <w:rPr>
          <w:rFonts w:cs="Arial"/>
          <w:bCs/>
          <w:snapToGrid w:val="0"/>
          <w:lang w:val="en-GB"/>
        </w:rPr>
        <w:t>disease</w:t>
      </w:r>
      <w:r w:rsidR="00DE01EE">
        <w:rPr>
          <w:rFonts w:cs="Arial"/>
          <w:bCs/>
          <w:snapToGrid w:val="0"/>
          <w:lang w:val="en-GB"/>
        </w:rPr>
        <w:t xml:space="preserve"> would likely reduce the number of patients progressi</w:t>
      </w:r>
      <w:r w:rsidR="00643297">
        <w:rPr>
          <w:rFonts w:cs="Arial"/>
          <w:bCs/>
          <w:snapToGrid w:val="0"/>
          <w:lang w:val="en-GB"/>
        </w:rPr>
        <w:t>ng</w:t>
      </w:r>
      <w:r w:rsidR="00DE01EE">
        <w:rPr>
          <w:rFonts w:cs="Arial"/>
          <w:bCs/>
          <w:snapToGrid w:val="0"/>
          <w:lang w:val="en-GB"/>
        </w:rPr>
        <w:t xml:space="preserve"> to later line treatments. Therefore, the PBAC</w:t>
      </w:r>
      <w:r>
        <w:rPr>
          <w:rFonts w:cs="Arial"/>
          <w:bCs/>
          <w:snapToGrid w:val="0"/>
          <w:lang w:val="en-GB"/>
        </w:rPr>
        <w:t xml:space="preserve"> </w:t>
      </w:r>
      <w:r w:rsidR="00643297">
        <w:rPr>
          <w:rFonts w:cs="Arial"/>
          <w:bCs/>
          <w:snapToGrid w:val="0"/>
          <w:lang w:val="en-GB"/>
        </w:rPr>
        <w:t xml:space="preserve">considered </w:t>
      </w:r>
      <w:r>
        <w:rPr>
          <w:rFonts w:cs="Arial"/>
          <w:bCs/>
          <w:snapToGrid w:val="0"/>
          <w:lang w:val="en-GB"/>
        </w:rPr>
        <w:t xml:space="preserve">that </w:t>
      </w:r>
      <w:r w:rsidR="00CF0F06">
        <w:rPr>
          <w:rFonts w:cs="Arial"/>
          <w:bCs/>
          <w:snapToGrid w:val="0"/>
          <w:lang w:val="en-GB"/>
        </w:rPr>
        <w:t xml:space="preserve">the </w:t>
      </w:r>
      <w:r w:rsidR="00656FB6">
        <w:rPr>
          <w:rFonts w:cs="Arial"/>
          <w:bCs/>
          <w:snapToGrid w:val="0"/>
          <w:lang w:val="en-GB"/>
        </w:rPr>
        <w:t xml:space="preserve">population eligible to </w:t>
      </w:r>
      <w:r w:rsidR="00CF0F06">
        <w:rPr>
          <w:rFonts w:cs="Arial"/>
          <w:bCs/>
          <w:snapToGrid w:val="0"/>
          <w:lang w:val="en-GB"/>
        </w:rPr>
        <w:t>receiv</w:t>
      </w:r>
      <w:r w:rsidR="00656FB6">
        <w:rPr>
          <w:rFonts w:cs="Arial"/>
          <w:bCs/>
          <w:snapToGrid w:val="0"/>
          <w:lang w:val="en-GB"/>
        </w:rPr>
        <w:t>e</w:t>
      </w:r>
      <w:r w:rsidR="00CF0F06">
        <w:rPr>
          <w:rFonts w:cs="Arial"/>
          <w:bCs/>
          <w:snapToGrid w:val="0"/>
          <w:lang w:val="en-GB"/>
        </w:rPr>
        <w:t xml:space="preserve"> tucatinib</w:t>
      </w:r>
      <w:r w:rsidR="00656FB6">
        <w:rPr>
          <w:rFonts w:cs="Arial"/>
          <w:bCs/>
          <w:snapToGrid w:val="0"/>
          <w:lang w:val="en-GB"/>
        </w:rPr>
        <w:t>, prior to uptake rates being applied,</w:t>
      </w:r>
      <w:r w:rsidR="00CF0F06">
        <w:rPr>
          <w:rFonts w:cs="Arial"/>
          <w:bCs/>
          <w:snapToGrid w:val="0"/>
          <w:lang w:val="en-GB"/>
        </w:rPr>
        <w:t xml:space="preserve"> should be no </w:t>
      </w:r>
      <w:r w:rsidR="00656FB6">
        <w:rPr>
          <w:rFonts w:cs="Arial"/>
          <w:bCs/>
          <w:snapToGrid w:val="0"/>
          <w:lang w:val="en-GB"/>
        </w:rPr>
        <w:t>greater</w:t>
      </w:r>
      <w:r w:rsidR="00CF0F06">
        <w:rPr>
          <w:rFonts w:cs="Arial"/>
          <w:bCs/>
          <w:snapToGrid w:val="0"/>
          <w:lang w:val="en-GB"/>
        </w:rPr>
        <w:t xml:space="preserve"> than </w:t>
      </w:r>
      <w:r w:rsidR="00CF0F06" w:rsidRPr="00CE506E">
        <w:rPr>
          <w:rFonts w:cs="Arial"/>
          <w:bCs/>
          <w:snapToGrid w:val="0"/>
          <w:lang w:val="en-GB"/>
        </w:rPr>
        <w:t>th</w:t>
      </w:r>
      <w:r w:rsidR="00656FB6" w:rsidRPr="00CE506E">
        <w:rPr>
          <w:rFonts w:cs="Arial"/>
          <w:bCs/>
          <w:snapToGrid w:val="0"/>
          <w:lang w:val="en-GB"/>
        </w:rPr>
        <w:t>at</w:t>
      </w:r>
      <w:r w:rsidR="00CF0F06" w:rsidRPr="00CE506E">
        <w:rPr>
          <w:rFonts w:cs="Arial"/>
          <w:bCs/>
          <w:snapToGrid w:val="0"/>
          <w:lang w:val="en-GB"/>
        </w:rPr>
        <w:t xml:space="preserve"> who initiated T-DM1 treatment before the adjuvant </w:t>
      </w:r>
      <w:r w:rsidR="002D7235" w:rsidRPr="00CE506E">
        <w:rPr>
          <w:rFonts w:cs="Arial"/>
          <w:bCs/>
          <w:snapToGrid w:val="0"/>
          <w:lang w:val="en-GB"/>
        </w:rPr>
        <w:t>T</w:t>
      </w:r>
      <w:r w:rsidR="00CF0F06" w:rsidRPr="00CE506E">
        <w:rPr>
          <w:rFonts w:cs="Arial"/>
          <w:bCs/>
          <w:snapToGrid w:val="0"/>
          <w:lang w:val="en-GB"/>
        </w:rPr>
        <w:t>-DM1 listing was available</w:t>
      </w:r>
      <w:r w:rsidR="00E45ABC" w:rsidRPr="00CE506E">
        <w:rPr>
          <w:rFonts w:cs="Arial"/>
          <w:bCs/>
          <w:snapToGrid w:val="0"/>
          <w:lang w:val="en-GB"/>
        </w:rPr>
        <w:t xml:space="preserve"> (see Table 17)</w:t>
      </w:r>
      <w:r w:rsidR="00CF0F06" w:rsidRPr="00CE506E">
        <w:rPr>
          <w:rFonts w:cs="Arial"/>
          <w:bCs/>
          <w:snapToGrid w:val="0"/>
          <w:lang w:val="en-GB"/>
        </w:rPr>
        <w:t>.</w:t>
      </w:r>
    </w:p>
    <w:p w:rsidR="002937D3" w:rsidRPr="002937D3" w:rsidRDefault="00C7670E" w:rsidP="00772394">
      <w:pPr>
        <w:widowControl w:val="0"/>
        <w:numPr>
          <w:ilvl w:val="1"/>
          <w:numId w:val="1"/>
        </w:numPr>
        <w:spacing w:after="120"/>
        <w:rPr>
          <w:rFonts w:cs="Arial"/>
          <w:bCs/>
          <w:snapToGrid w:val="0"/>
          <w:u w:val="single"/>
          <w:lang w:val="en-GB"/>
        </w:rPr>
      </w:pPr>
      <w:r w:rsidRPr="00772394">
        <w:rPr>
          <w:rFonts w:cs="Arial"/>
          <w:bCs/>
          <w:snapToGrid w:val="0"/>
          <w:lang w:val="en-GB"/>
        </w:rPr>
        <w:t xml:space="preserve">The PBAC considered the outstanding issues may be addressed in a simple resubmission for </w:t>
      </w:r>
      <w:r w:rsidR="00772394" w:rsidRPr="00772394">
        <w:rPr>
          <w:rFonts w:cs="Arial"/>
          <w:bCs/>
          <w:snapToGrid w:val="0"/>
          <w:lang w:val="en-GB"/>
        </w:rPr>
        <w:t>tucatinib</w:t>
      </w:r>
      <w:r w:rsidRPr="00772394">
        <w:rPr>
          <w:rFonts w:cs="Arial"/>
          <w:bCs/>
          <w:snapToGrid w:val="0"/>
          <w:lang w:val="en-GB"/>
        </w:rPr>
        <w:t xml:space="preserve"> if the following changes were made, without any additional amendm</w:t>
      </w:r>
      <w:r w:rsidR="00772394" w:rsidRPr="00772394">
        <w:rPr>
          <w:rFonts w:cs="Arial"/>
          <w:bCs/>
          <w:snapToGrid w:val="0"/>
          <w:lang w:val="en-GB"/>
        </w:rPr>
        <w:t>ents</w:t>
      </w:r>
      <w:r w:rsidR="00772394">
        <w:rPr>
          <w:rFonts w:cs="Arial"/>
          <w:bCs/>
          <w:snapToGrid w:val="0"/>
          <w:lang w:val="en-GB"/>
        </w:rPr>
        <w:t>,</w:t>
      </w:r>
      <w:r w:rsidR="00772394" w:rsidRPr="00772394">
        <w:rPr>
          <w:rFonts w:cs="Arial"/>
          <w:bCs/>
          <w:snapToGrid w:val="0"/>
          <w:lang w:val="en-GB"/>
        </w:rPr>
        <w:t xml:space="preserve"> to the</w:t>
      </w:r>
      <w:r w:rsidR="008E3F2A">
        <w:rPr>
          <w:rFonts w:cs="Arial"/>
          <w:bCs/>
          <w:snapToGrid w:val="0"/>
          <w:lang w:val="en-GB"/>
        </w:rPr>
        <w:t xml:space="preserve"> - </w:t>
      </w:r>
    </w:p>
    <w:p w:rsidR="00772394" w:rsidRPr="002937D3" w:rsidRDefault="00772394" w:rsidP="002937D3">
      <w:pPr>
        <w:pStyle w:val="ListParagraph"/>
        <w:widowControl w:val="0"/>
        <w:numPr>
          <w:ilvl w:val="0"/>
          <w:numId w:val="34"/>
        </w:numPr>
        <w:rPr>
          <w:bCs/>
          <w:u w:val="single"/>
          <w:lang w:val="en-GB"/>
        </w:rPr>
      </w:pPr>
      <w:r w:rsidRPr="002937D3">
        <w:rPr>
          <w:bCs/>
          <w:lang w:val="en-GB"/>
        </w:rPr>
        <w:t xml:space="preserve"> economic evaluation:</w:t>
      </w:r>
    </w:p>
    <w:p w:rsidR="00772394" w:rsidRPr="00772394" w:rsidRDefault="00772394" w:rsidP="002937D3">
      <w:pPr>
        <w:pStyle w:val="ListParagraph"/>
        <w:widowControl w:val="0"/>
        <w:numPr>
          <w:ilvl w:val="1"/>
          <w:numId w:val="33"/>
        </w:numPr>
        <w:ind w:left="1434" w:hanging="357"/>
        <w:rPr>
          <w:bCs/>
          <w:lang w:val="en-GB"/>
        </w:rPr>
      </w:pPr>
      <w:r>
        <w:rPr>
          <w:bCs/>
          <w:lang w:val="en-GB"/>
        </w:rPr>
        <w:t>a</w:t>
      </w:r>
      <w:r w:rsidRPr="00772394">
        <w:rPr>
          <w:bCs/>
          <w:lang w:val="en-GB"/>
        </w:rPr>
        <w:t>pplication of a five year time horizon;</w:t>
      </w:r>
    </w:p>
    <w:p w:rsidR="00772394" w:rsidRPr="00772394" w:rsidRDefault="00772394" w:rsidP="002937D3">
      <w:pPr>
        <w:pStyle w:val="ListParagraph"/>
        <w:widowControl w:val="0"/>
        <w:numPr>
          <w:ilvl w:val="1"/>
          <w:numId w:val="33"/>
        </w:numPr>
        <w:ind w:left="1434" w:hanging="357"/>
        <w:rPr>
          <w:bCs/>
          <w:lang w:val="en-GB"/>
        </w:rPr>
      </w:pPr>
      <w:r>
        <w:rPr>
          <w:bCs/>
          <w:lang w:val="en-GB"/>
        </w:rPr>
        <w:t>a</w:t>
      </w:r>
      <w:r w:rsidRPr="00772394">
        <w:rPr>
          <w:bCs/>
          <w:lang w:val="en-GB"/>
        </w:rPr>
        <w:t xml:space="preserve">pplication of utility values from Lloyd et al, 2006; </w:t>
      </w:r>
    </w:p>
    <w:p w:rsidR="00772394" w:rsidRPr="00772394" w:rsidRDefault="00772394" w:rsidP="002937D3">
      <w:pPr>
        <w:pStyle w:val="ListParagraph"/>
        <w:widowControl w:val="0"/>
        <w:numPr>
          <w:ilvl w:val="1"/>
          <w:numId w:val="33"/>
        </w:numPr>
        <w:ind w:left="1434" w:hanging="357"/>
        <w:rPr>
          <w:bCs/>
          <w:lang w:val="en-GB"/>
        </w:rPr>
      </w:pPr>
      <w:r>
        <w:rPr>
          <w:bCs/>
          <w:lang w:val="en-GB"/>
        </w:rPr>
        <w:t>u</w:t>
      </w:r>
      <w:r w:rsidRPr="00772394">
        <w:rPr>
          <w:bCs/>
          <w:lang w:val="en-GB"/>
        </w:rPr>
        <w:t xml:space="preserve">se of </w:t>
      </w:r>
      <w:r w:rsidR="00531C3A">
        <w:rPr>
          <w:bCs/>
          <w:lang w:val="en-GB"/>
        </w:rPr>
        <w:t>a flat price per milligram for tucatinib across the 50 mg and 150 mg strengths and application of the distribution of doses from the trial</w:t>
      </w:r>
      <w:r>
        <w:rPr>
          <w:bCs/>
          <w:lang w:val="en-GB"/>
        </w:rPr>
        <w:t>; and</w:t>
      </w:r>
    </w:p>
    <w:p w:rsidR="00772394" w:rsidRPr="00772394" w:rsidRDefault="00772394" w:rsidP="002937D3">
      <w:pPr>
        <w:pStyle w:val="ListParagraph"/>
        <w:widowControl w:val="0"/>
        <w:numPr>
          <w:ilvl w:val="1"/>
          <w:numId w:val="33"/>
        </w:numPr>
        <w:ind w:left="1434" w:hanging="357"/>
        <w:rPr>
          <w:bCs/>
          <w:lang w:val="en-GB"/>
        </w:rPr>
      </w:pPr>
      <w:r>
        <w:rPr>
          <w:bCs/>
          <w:lang w:val="en-GB"/>
        </w:rPr>
        <w:t xml:space="preserve">a </w:t>
      </w:r>
      <w:r w:rsidRPr="00772394">
        <w:rPr>
          <w:bCs/>
          <w:lang w:val="en-GB"/>
        </w:rPr>
        <w:t xml:space="preserve">price reduction resulting in an ICER of </w:t>
      </w:r>
      <w:r w:rsidRPr="00CD1067">
        <w:rPr>
          <w:bCs/>
          <w:lang w:val="en-GB"/>
        </w:rPr>
        <w:t>$75,000</w:t>
      </w:r>
      <w:r w:rsidR="002E128D">
        <w:rPr>
          <w:bCs/>
          <w:lang w:val="en-GB"/>
        </w:rPr>
        <w:t xml:space="preserve"> to &lt; $95,000</w:t>
      </w:r>
      <w:bookmarkStart w:id="25" w:name="_GoBack"/>
      <w:bookmarkEnd w:id="25"/>
      <w:r w:rsidRPr="00772394">
        <w:rPr>
          <w:bCs/>
          <w:lang w:val="en-GB"/>
        </w:rPr>
        <w:t xml:space="preserve"> per QALY</w:t>
      </w:r>
      <w:r w:rsidR="00E45ABC">
        <w:rPr>
          <w:bCs/>
          <w:lang w:val="en-GB"/>
        </w:rPr>
        <w:t>.</w:t>
      </w:r>
    </w:p>
    <w:p w:rsidR="00772394" w:rsidRDefault="002937D3" w:rsidP="002937D3">
      <w:pPr>
        <w:pStyle w:val="ListParagraph"/>
        <w:widowControl w:val="0"/>
        <w:numPr>
          <w:ilvl w:val="0"/>
          <w:numId w:val="34"/>
        </w:numPr>
        <w:rPr>
          <w:bCs/>
          <w:lang w:val="en-GB"/>
        </w:rPr>
      </w:pPr>
      <w:r>
        <w:rPr>
          <w:bCs/>
          <w:lang w:val="en-GB"/>
        </w:rPr>
        <w:t>utilisation and financial impact estimates:</w:t>
      </w:r>
    </w:p>
    <w:p w:rsidR="00DE01EE" w:rsidRPr="00DE01EE" w:rsidRDefault="00DE01EE" w:rsidP="00DE01EE">
      <w:pPr>
        <w:pStyle w:val="ListBullet"/>
        <w:numPr>
          <w:ilvl w:val="0"/>
          <w:numId w:val="36"/>
        </w:numPr>
        <w:spacing w:after="120"/>
        <w:ind w:left="1434" w:hanging="357"/>
        <w:rPr>
          <w:lang w:val="en-GB" w:eastAsia="en-AU"/>
        </w:rPr>
      </w:pPr>
      <w:r>
        <w:rPr>
          <w:lang w:val="en-GB" w:eastAsia="en-AU"/>
        </w:rPr>
        <w:t xml:space="preserve">patient numbers </w:t>
      </w:r>
      <w:r w:rsidR="00656FB6">
        <w:rPr>
          <w:lang w:val="en-GB" w:eastAsia="en-AU"/>
        </w:rPr>
        <w:t>based on t</w:t>
      </w:r>
      <w:r>
        <w:rPr>
          <w:lang w:val="en-GB" w:eastAsia="en-AU"/>
        </w:rPr>
        <w:t>hose who initiated T-DM1 treatment before the adjuvant T-DM1 listing was available, i.e. April 2020</w:t>
      </w:r>
      <w:r w:rsidR="00656FB6">
        <w:rPr>
          <w:lang w:val="en-GB" w:eastAsia="en-AU"/>
        </w:rPr>
        <w:t>, and then uptake rates applied to determine the tucatinib patient population</w:t>
      </w:r>
      <w:r>
        <w:rPr>
          <w:lang w:val="en-GB" w:eastAsia="en-AU"/>
        </w:rPr>
        <w:t>.</w:t>
      </w:r>
    </w:p>
    <w:p w:rsidR="00E45ABC" w:rsidRDefault="00E45ABC" w:rsidP="00E45ABC">
      <w:pPr>
        <w:widowControl w:val="0"/>
        <w:numPr>
          <w:ilvl w:val="1"/>
          <w:numId w:val="1"/>
        </w:numPr>
        <w:spacing w:after="120"/>
        <w:rPr>
          <w:rFonts w:cs="Arial"/>
          <w:bCs/>
          <w:snapToGrid w:val="0"/>
          <w:lang w:val="en-GB"/>
        </w:rPr>
      </w:pPr>
      <w:r>
        <w:rPr>
          <w:rFonts w:cs="Arial"/>
          <w:bCs/>
          <w:snapToGrid w:val="0"/>
          <w:lang w:val="en-GB"/>
        </w:rPr>
        <w:t>The PBAC considered that an Early Re-E</w:t>
      </w:r>
      <w:r w:rsidRPr="003D3B06">
        <w:rPr>
          <w:rFonts w:cs="Arial"/>
          <w:bCs/>
          <w:snapToGrid w:val="0"/>
          <w:lang w:val="en-GB"/>
        </w:rPr>
        <w:t xml:space="preserve">ntry pathway would be acceptable if the resubmission addressed each of the points in the above paragraph with no further adjustment. The </w:t>
      </w:r>
      <w:r>
        <w:rPr>
          <w:rFonts w:cs="Arial"/>
          <w:bCs/>
          <w:snapToGrid w:val="0"/>
          <w:lang w:val="en-GB"/>
        </w:rPr>
        <w:t>resubmission must be lodged by W</w:t>
      </w:r>
      <w:r w:rsidRPr="003D3B06">
        <w:rPr>
          <w:rFonts w:cs="Arial"/>
          <w:bCs/>
          <w:snapToGrid w:val="0"/>
          <w:lang w:val="en-GB"/>
        </w:rPr>
        <w:t>eek 7 of the current PBAC cycle or the next cycle. If any of these terms are no</w:t>
      </w:r>
      <w:r>
        <w:rPr>
          <w:rFonts w:cs="Arial"/>
          <w:bCs/>
          <w:snapToGrid w:val="0"/>
          <w:lang w:val="en-GB"/>
        </w:rPr>
        <w:t>t acceptable to the sponsor, a Standard Re-E</w:t>
      </w:r>
      <w:r w:rsidRPr="003D3B06">
        <w:rPr>
          <w:rFonts w:cs="Arial"/>
          <w:bCs/>
          <w:snapToGrid w:val="0"/>
          <w:lang w:val="en-GB"/>
        </w:rPr>
        <w:t>ntry pathway is available.</w:t>
      </w:r>
    </w:p>
    <w:p w:rsidR="00E45ABC" w:rsidRDefault="00E45ABC" w:rsidP="00E45ABC">
      <w:pPr>
        <w:widowControl w:val="0"/>
        <w:numPr>
          <w:ilvl w:val="1"/>
          <w:numId w:val="1"/>
        </w:numPr>
        <w:spacing w:after="120"/>
        <w:rPr>
          <w:rFonts w:cs="Arial"/>
          <w:bCs/>
          <w:snapToGrid w:val="0"/>
          <w:lang w:val="en-GB"/>
        </w:rPr>
      </w:pPr>
      <w:r w:rsidRPr="00E45ABC">
        <w:rPr>
          <w:rFonts w:cs="Arial"/>
          <w:bCs/>
          <w:snapToGrid w:val="0"/>
          <w:lang w:val="en-GB"/>
        </w:rPr>
        <w:t xml:space="preserve">The PBAC noted that this submission is eligible for an Independent Review. </w:t>
      </w:r>
    </w:p>
    <w:p w:rsidR="008C1387" w:rsidRPr="00525B39" w:rsidRDefault="008C1387" w:rsidP="008C1387">
      <w:pPr>
        <w:spacing w:before="240"/>
        <w:rPr>
          <w:rFonts w:cs="Arial"/>
          <w:b/>
          <w:bCs/>
          <w:snapToGrid w:val="0"/>
          <w:lang w:val="en-GB"/>
        </w:rPr>
      </w:pPr>
      <w:r w:rsidRPr="00525B39">
        <w:rPr>
          <w:rFonts w:cs="Arial"/>
          <w:b/>
          <w:bCs/>
          <w:snapToGrid w:val="0"/>
          <w:lang w:val="en-GB"/>
        </w:rPr>
        <w:t>Outcome:</w:t>
      </w:r>
    </w:p>
    <w:p w:rsidR="008C1387" w:rsidRPr="00525B39" w:rsidRDefault="008C1387" w:rsidP="008C1387">
      <w:pPr>
        <w:rPr>
          <w:rFonts w:cs="Arial"/>
          <w:bCs/>
          <w:snapToGrid w:val="0"/>
          <w:lang w:val="en-GB"/>
        </w:rPr>
      </w:pPr>
      <w:r w:rsidRPr="00525B39">
        <w:rPr>
          <w:rFonts w:cs="Arial"/>
          <w:bCs/>
          <w:snapToGrid w:val="0"/>
          <w:lang w:val="en-GB"/>
        </w:rPr>
        <w:t xml:space="preserve">Rejected </w:t>
      </w:r>
    </w:p>
    <w:p w:rsidR="00E45ABC" w:rsidRDefault="00E45ABC" w:rsidP="008C1387">
      <w:pPr>
        <w:pStyle w:val="NoSpacing"/>
        <w:rPr>
          <w:rFonts w:ascii="Calibri" w:hAnsi="Calibri" w:cs="Calibri"/>
        </w:rPr>
      </w:pPr>
    </w:p>
    <w:p w:rsidR="00E66A03" w:rsidRPr="00E66A03" w:rsidRDefault="00E66A03" w:rsidP="00E66A03">
      <w:pPr>
        <w:pStyle w:val="2-SectionHeading"/>
      </w:pPr>
      <w:r w:rsidRPr="00C07617">
        <w:t>Context for Decision</w:t>
      </w:r>
    </w:p>
    <w:p w:rsidR="00E66A03" w:rsidRPr="007129F2" w:rsidRDefault="00E66A03" w:rsidP="00E66A03">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66A03" w:rsidRPr="00E66A03" w:rsidRDefault="00E66A03" w:rsidP="00E66A03">
      <w:pPr>
        <w:pStyle w:val="2-SectionHeading"/>
      </w:pPr>
      <w:r>
        <w:t>Sponsor’s Comment</w:t>
      </w:r>
    </w:p>
    <w:p w:rsidR="00E66A03" w:rsidRPr="001179AC" w:rsidRDefault="00E66A03" w:rsidP="00E66A03">
      <w:pPr>
        <w:spacing w:after="120"/>
        <w:ind w:left="426" w:firstLine="294"/>
        <w:rPr>
          <w:rFonts w:cs="Arial"/>
          <w:bCs/>
        </w:rPr>
      </w:pPr>
      <w:r w:rsidRPr="00C07617">
        <w:rPr>
          <w:rFonts w:cs="Arial"/>
          <w:bCs/>
        </w:rPr>
        <w:t>The sponsor had no comment.</w:t>
      </w:r>
    </w:p>
    <w:p w:rsidR="00E66A03" w:rsidRDefault="00E66A03" w:rsidP="008C1387">
      <w:pPr>
        <w:pStyle w:val="NoSpacing"/>
        <w:rPr>
          <w:rFonts w:ascii="Calibri" w:hAnsi="Calibri" w:cs="Calibri"/>
        </w:rPr>
      </w:pPr>
    </w:p>
    <w:sectPr w:rsidR="00E66A03"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0457" w16cex:dateUtc="2021-02-18T23:03:00Z"/>
  <w16cex:commentExtensible w16cex:durableId="23DD0DDA" w16cex:dateUtc="2021-02-2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FA644" w16cid:durableId="23DA0324"/>
  <w16cid:commentId w16cid:paraId="38FF659C" w16cid:durableId="23DA0457"/>
  <w16cid:commentId w16cid:paraId="629651BC" w16cid:durableId="23DD0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D1" w:rsidRDefault="000112D1" w:rsidP="00124A51">
      <w:r>
        <w:separator/>
      </w:r>
    </w:p>
    <w:p w:rsidR="000112D1" w:rsidRDefault="000112D1"/>
  </w:endnote>
  <w:endnote w:type="continuationSeparator" w:id="0">
    <w:p w:rsidR="000112D1" w:rsidRDefault="000112D1" w:rsidP="00124A51">
      <w:r>
        <w:continuationSeparator/>
      </w:r>
    </w:p>
    <w:p w:rsidR="000112D1" w:rsidRDefault="0001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Default="0001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Default="000112D1">
    <w:pPr>
      <w:pStyle w:val="Footer"/>
      <w:jc w:val="center"/>
    </w:pPr>
  </w:p>
  <w:p w:rsidR="000112D1" w:rsidRPr="008C1387" w:rsidRDefault="00E44E8B">
    <w:pPr>
      <w:pStyle w:val="Footer"/>
      <w:jc w:val="center"/>
      <w:rPr>
        <w:b/>
      </w:rPr>
    </w:pPr>
    <w:sdt>
      <w:sdtPr>
        <w:id w:val="1145320021"/>
        <w:docPartObj>
          <w:docPartGallery w:val="Page Numbers (Bottom of Page)"/>
          <w:docPartUnique/>
        </w:docPartObj>
      </w:sdtPr>
      <w:sdtEndPr>
        <w:rPr>
          <w:b/>
          <w:noProof/>
        </w:rPr>
      </w:sdtEndPr>
      <w:sdtContent>
        <w:r w:rsidR="000112D1" w:rsidRPr="008C1387">
          <w:rPr>
            <w:b/>
          </w:rPr>
          <w:fldChar w:fldCharType="begin"/>
        </w:r>
        <w:r w:rsidR="000112D1" w:rsidRPr="008C1387">
          <w:rPr>
            <w:b/>
          </w:rPr>
          <w:instrText xml:space="preserve"> PAGE   \* MERGEFORMAT </w:instrText>
        </w:r>
        <w:r w:rsidR="000112D1" w:rsidRPr="008C1387">
          <w:rPr>
            <w:b/>
          </w:rPr>
          <w:fldChar w:fldCharType="separate"/>
        </w:r>
        <w:r>
          <w:rPr>
            <w:b/>
            <w:noProof/>
          </w:rPr>
          <w:t>36</w:t>
        </w:r>
        <w:r w:rsidR="000112D1" w:rsidRPr="008C1387">
          <w:rPr>
            <w:b/>
            <w:noProof/>
          </w:rPr>
          <w:fldChar w:fldCharType="end"/>
        </w:r>
      </w:sdtContent>
    </w:sdt>
  </w:p>
  <w:p w:rsidR="000112D1" w:rsidRPr="008C1387" w:rsidRDefault="000112D1" w:rsidP="008C1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Default="0001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D1" w:rsidRDefault="000112D1" w:rsidP="00124A51">
      <w:r>
        <w:separator/>
      </w:r>
    </w:p>
    <w:p w:rsidR="000112D1" w:rsidRDefault="000112D1"/>
  </w:footnote>
  <w:footnote w:type="continuationSeparator" w:id="0">
    <w:p w:rsidR="000112D1" w:rsidRDefault="000112D1" w:rsidP="00124A51">
      <w:r>
        <w:continuationSeparator/>
      </w:r>
    </w:p>
    <w:p w:rsidR="000112D1" w:rsidRDefault="000112D1"/>
  </w:footnote>
  <w:footnote w:id="1">
    <w:p w:rsidR="000112D1" w:rsidRPr="00050B83" w:rsidRDefault="000112D1" w:rsidP="00C22057">
      <w:pPr>
        <w:pStyle w:val="NormalWeb"/>
        <w:rPr>
          <w:rFonts w:cstheme="minorHAnsi"/>
          <w:snapToGrid/>
          <w:lang w:val="en-AU"/>
        </w:rPr>
      </w:pPr>
      <w:r w:rsidRPr="00050B83">
        <w:rPr>
          <w:rStyle w:val="FootnoteReference"/>
          <w:rFonts w:cstheme="minorHAnsi"/>
        </w:rPr>
        <w:footnoteRef/>
      </w:r>
      <w:r w:rsidRPr="00050B83">
        <w:rPr>
          <w:rFonts w:cstheme="minorHAnsi"/>
        </w:rPr>
        <w:t xml:space="preserve"> </w:t>
      </w:r>
      <w:r w:rsidRPr="00050B83">
        <w:rPr>
          <w:rFonts w:cstheme="minorHAnsi"/>
          <w:snapToGrid/>
          <w:sz w:val="20"/>
          <w:szCs w:val="20"/>
          <w:lang w:val="en-AU"/>
        </w:rPr>
        <w:t>https://www.accessdata.fda.gov/drugsatfda_docs/nda/2020/213411Orig1s000MultidisciplineR.pdf</w:t>
      </w:r>
    </w:p>
    <w:p w:rsidR="000112D1" w:rsidRDefault="000112D1">
      <w:pPr>
        <w:pStyle w:val="FootnoteText"/>
      </w:pPr>
    </w:p>
  </w:footnote>
  <w:footnote w:id="2">
    <w:p w:rsidR="000112D1" w:rsidRPr="0021257E" w:rsidRDefault="000112D1" w:rsidP="00B5265F">
      <w:pPr>
        <w:pStyle w:val="FootnoteText"/>
        <w:rPr>
          <w:rFonts w:asciiTheme="minorHAnsi" w:hAnsiTheme="minorHAnsi" w:cstheme="minorHAnsi"/>
          <w:lang w:val="en-GB"/>
        </w:rPr>
      </w:pPr>
      <w:r w:rsidRPr="0021257E">
        <w:rPr>
          <w:rStyle w:val="FootnoteReference"/>
          <w:rFonts w:asciiTheme="minorHAnsi" w:hAnsiTheme="minorHAnsi" w:cstheme="minorHAnsi"/>
        </w:rPr>
        <w:footnoteRef/>
      </w:r>
      <w:r w:rsidRPr="0021257E">
        <w:rPr>
          <w:rFonts w:asciiTheme="minorHAnsi" w:hAnsiTheme="minorHAnsi" w:cstheme="minorHAnsi"/>
        </w:rPr>
        <w:t xml:space="preserve"> </w:t>
      </w:r>
      <w:r w:rsidRPr="0021257E">
        <w:rPr>
          <w:rFonts w:asciiTheme="minorHAnsi" w:hAnsiTheme="minorHAnsi" w:cstheme="minorHAnsi"/>
          <w:lang w:val="en-GB"/>
        </w:rPr>
        <w:t xml:space="preserve">von Minckwitz G, Huang C-S, Mano MS, et al. Trastuzumab emtansine for residual invasive HER2-positive breast cancer. N Engl J Med 2019;380:617-28. </w:t>
      </w:r>
    </w:p>
    <w:p w:rsidR="000112D1" w:rsidRDefault="000112D1">
      <w:pPr>
        <w:pStyle w:val="FootnoteText"/>
      </w:pPr>
      <w:r w:rsidRPr="0021257E">
        <w:rPr>
          <w:rFonts w:asciiTheme="minorHAnsi" w:hAnsiTheme="minorHAnsi" w:cstheme="minorHAnsi"/>
        </w:rPr>
        <w:t>https://www.nejm.org/doi/suppl/10.1056/NEJMoa1814017/suppl_file/nejmoa1814017_appendix.pdf</w:t>
      </w:r>
    </w:p>
  </w:footnote>
  <w:footnote w:id="3">
    <w:p w:rsidR="000112D1" w:rsidRPr="00475072" w:rsidRDefault="000112D1">
      <w:pPr>
        <w:pStyle w:val="FootnoteText"/>
      </w:pPr>
      <w:r>
        <w:rPr>
          <w:rStyle w:val="FootnoteReference"/>
        </w:rPr>
        <w:footnoteRef/>
      </w:r>
      <w:r>
        <w:t xml:space="preserve"> </w:t>
      </w:r>
      <w:r w:rsidRPr="00475072">
        <w:rPr>
          <w:rFonts w:asciiTheme="minorHAnsi" w:hAnsiTheme="minorHAnsi" w:cs="Arial"/>
          <w:bCs/>
          <w:snapToGrid w:val="0"/>
        </w:rPr>
        <w:t>Cherny NI, Dafni U, Bogaerts J, et al: ESMO-Magnitude of Clinical Benefit Scale version 1.1. Annals of Oncology 28:2340-2366, 2017</w:t>
      </w:r>
    </w:p>
  </w:footnote>
  <w:footnote w:id="4">
    <w:p w:rsidR="000112D1" w:rsidRPr="004F41A0" w:rsidRDefault="000112D1" w:rsidP="00692E9E">
      <w:pPr>
        <w:pStyle w:val="FootnoteText"/>
        <w:rPr>
          <w:rFonts w:asciiTheme="minorHAnsi" w:hAnsiTheme="minorHAnsi" w:cstheme="minorHAnsi"/>
        </w:rPr>
      </w:pPr>
      <w:r w:rsidRPr="004F41A0">
        <w:rPr>
          <w:rStyle w:val="FootnoteReference"/>
          <w:rFonts w:asciiTheme="minorHAnsi" w:hAnsiTheme="minorHAnsi" w:cstheme="minorHAnsi"/>
        </w:rPr>
        <w:footnoteRef/>
      </w:r>
      <w:r w:rsidRPr="004F41A0">
        <w:rPr>
          <w:rFonts w:asciiTheme="minorHAnsi" w:hAnsiTheme="minorHAnsi" w:cstheme="minorHAnsi"/>
        </w:rPr>
        <w:t xml:space="preserve"> p137 FDA Multidisciplinary Review</w:t>
      </w:r>
    </w:p>
    <w:p w:rsidR="000112D1" w:rsidRPr="004F41A0" w:rsidRDefault="000112D1" w:rsidP="00692E9E">
      <w:pPr>
        <w:pStyle w:val="FootnoteText"/>
        <w:rPr>
          <w:rFonts w:asciiTheme="minorHAnsi" w:hAnsiTheme="minorHAnsi" w:cstheme="minorHAnsi"/>
        </w:rPr>
      </w:pPr>
      <w:r w:rsidRPr="00357380">
        <w:rPr>
          <w:rFonts w:asciiTheme="minorHAnsi" w:hAnsiTheme="minorHAnsi" w:cstheme="minorHAnsi"/>
        </w:rPr>
        <w:t xml:space="preserve">  </w:t>
      </w:r>
      <w:hyperlink r:id="rId1" w:history="1">
        <w:r w:rsidRPr="00357380">
          <w:rPr>
            <w:rStyle w:val="Hyperlink"/>
            <w:rFonts w:asciiTheme="minorHAnsi" w:hAnsiTheme="minorHAnsi" w:cstheme="minorHAnsi"/>
            <w:color w:val="auto"/>
          </w:rPr>
          <w:t>https://www.accessdata.fda.gov/drugsatfda_docs/nda/2020/213411Orig1s000MultidisciplineR.pdf</w:t>
        </w:r>
      </w:hyperlink>
      <w:r w:rsidRPr="00357380">
        <w:rPr>
          <w:rFonts w:asciiTheme="minorHAnsi" w:hAnsiTheme="minorHAnsi" w:cstheme="minorHAnsi"/>
        </w:rPr>
        <w:t xml:space="preserve"> </w:t>
      </w:r>
    </w:p>
  </w:footnote>
  <w:footnote w:id="5">
    <w:p w:rsidR="000112D1" w:rsidRPr="00B570AE" w:rsidRDefault="000112D1" w:rsidP="00681499">
      <w:pPr>
        <w:pStyle w:val="FootnoteText"/>
        <w:rPr>
          <w:rFonts w:asciiTheme="minorHAnsi" w:hAnsiTheme="minorHAnsi" w:cstheme="minorHAnsi"/>
        </w:rPr>
      </w:pPr>
      <w:r w:rsidRPr="00B570AE">
        <w:rPr>
          <w:rStyle w:val="FootnoteReference"/>
          <w:rFonts w:asciiTheme="minorHAnsi" w:hAnsiTheme="minorHAnsi" w:cstheme="minorHAnsi"/>
        </w:rPr>
        <w:footnoteRef/>
      </w:r>
      <w:r w:rsidRPr="00B570AE">
        <w:rPr>
          <w:rFonts w:asciiTheme="minorHAnsi" w:hAnsiTheme="minorHAnsi" w:cstheme="minorHAnsi"/>
        </w:rPr>
        <w:t xml:space="preserve"> </w:t>
      </w:r>
      <w:r w:rsidRPr="00B570AE">
        <w:rPr>
          <w:rFonts w:asciiTheme="minorHAnsi" w:hAnsiTheme="minorHAnsi" w:cstheme="minorHAnsi"/>
          <w:noProof/>
        </w:rPr>
        <w:t>T. Bachelot</w:t>
      </w:r>
      <w:r w:rsidRPr="00B570AE">
        <w:rPr>
          <w:rFonts w:asciiTheme="minorHAnsi" w:hAnsiTheme="minorHAnsi" w:cstheme="minorHAnsi"/>
          <w:i/>
          <w:noProof/>
        </w:rPr>
        <w:t xml:space="preserve"> et al.</w:t>
      </w:r>
      <w:r w:rsidRPr="00B570AE">
        <w:rPr>
          <w:rFonts w:asciiTheme="minorHAnsi" w:hAnsiTheme="minorHAnsi" w:cstheme="minorHAnsi"/>
          <w:noProof/>
        </w:rPr>
        <w:t xml:space="preserve"> Impact of tucatinib on progression free survival in patients with HER2+ metastatic breast cancer and stable or active brain metastases. </w:t>
      </w:r>
      <w:r w:rsidRPr="00B570AE">
        <w:rPr>
          <w:rFonts w:asciiTheme="minorHAnsi" w:hAnsiTheme="minorHAnsi" w:cstheme="minorHAnsi"/>
          <w:i/>
          <w:noProof/>
        </w:rPr>
        <w:t>Annals of Oncology</w:t>
      </w:r>
      <w:r w:rsidRPr="00B570AE">
        <w:rPr>
          <w:rFonts w:asciiTheme="minorHAnsi" w:hAnsiTheme="minorHAnsi" w:cstheme="minorHAnsi"/>
          <w:noProof/>
        </w:rPr>
        <w:t xml:space="preserve"> </w:t>
      </w:r>
      <w:r w:rsidRPr="00B570AE">
        <w:rPr>
          <w:rFonts w:asciiTheme="minorHAnsi" w:hAnsiTheme="minorHAnsi" w:cstheme="minorHAnsi"/>
          <w:b/>
          <w:noProof/>
        </w:rPr>
        <w:t>31 (suppl_4):</w:t>
      </w:r>
      <w:r w:rsidRPr="00B570AE">
        <w:rPr>
          <w:rFonts w:asciiTheme="minorHAnsi" w:hAnsiTheme="minorHAnsi" w:cstheme="minorHAnsi"/>
          <w:noProof/>
        </w:rPr>
        <w:t>, doi:10.1016/annonc/annonc268 (2020).</w:t>
      </w:r>
    </w:p>
  </w:footnote>
  <w:footnote w:id="6">
    <w:p w:rsidR="000112D1" w:rsidRDefault="000112D1">
      <w:pPr>
        <w:pStyle w:val="FootnoteText"/>
      </w:pPr>
      <w:r w:rsidRPr="00B570AE">
        <w:rPr>
          <w:rStyle w:val="FootnoteReference"/>
          <w:rFonts w:asciiTheme="minorHAnsi" w:hAnsiTheme="minorHAnsi" w:cstheme="minorHAnsi"/>
        </w:rPr>
        <w:footnoteRef/>
      </w:r>
      <w:r w:rsidRPr="00B570AE">
        <w:rPr>
          <w:rFonts w:asciiTheme="minorHAnsi" w:hAnsiTheme="minorHAnsi" w:cstheme="minorHAnsi"/>
        </w:rPr>
        <w:t xml:space="preserve"> Lin, N. U.</w:t>
      </w:r>
      <w:r w:rsidRPr="00B570AE">
        <w:rPr>
          <w:rFonts w:asciiTheme="minorHAnsi" w:hAnsiTheme="minorHAnsi" w:cstheme="minorHAnsi"/>
          <w:i/>
        </w:rPr>
        <w:t xml:space="preserve"> et al.</w:t>
      </w:r>
      <w:r w:rsidRPr="00B570AE">
        <w:rPr>
          <w:rFonts w:asciiTheme="minorHAnsi" w:hAnsiTheme="minorHAnsi" w:cstheme="minorHAnsi"/>
        </w:rPr>
        <w:t xml:space="preserve"> Intracranial Efficacy and Survival With Tucatinib Plus Trastuzumab and Capecitabine for Previously Treated HER2-Positive Breast Cancer With Brain Metastases in the HER2CLIMB Trial. </w:t>
      </w:r>
      <w:r w:rsidRPr="00B570AE">
        <w:rPr>
          <w:rFonts w:asciiTheme="minorHAnsi" w:hAnsiTheme="minorHAnsi" w:cstheme="minorHAnsi"/>
          <w:i/>
        </w:rPr>
        <w:t xml:space="preserve">Journal of Clinical Oncology </w:t>
      </w:r>
      <w:r w:rsidRPr="00B570AE">
        <w:rPr>
          <w:rFonts w:asciiTheme="minorHAnsi" w:hAnsiTheme="minorHAnsi" w:cstheme="minorHAnsi"/>
          <w:iCs/>
        </w:rPr>
        <w:t>2020</w:t>
      </w:r>
      <w:r w:rsidRPr="00B570AE">
        <w:rPr>
          <w:rFonts w:asciiTheme="minorHAnsi" w:hAnsiTheme="minorHAnsi" w:cstheme="minorHAnsi"/>
        </w:rPr>
        <w:t xml:space="preserve">: </w:t>
      </w:r>
      <w:r w:rsidRPr="00B570AE">
        <w:rPr>
          <w:rFonts w:asciiTheme="minorHAnsi" w:hAnsiTheme="minorHAnsi" w:cstheme="minorHAnsi"/>
          <w:b/>
        </w:rPr>
        <w:t>38</w:t>
      </w:r>
      <w:r w:rsidRPr="00B570AE">
        <w:rPr>
          <w:rFonts w:asciiTheme="minorHAnsi" w:hAnsiTheme="minorHAnsi" w:cstheme="minorHAnsi"/>
        </w:rPr>
        <w:t>, 2610-2619</w:t>
      </w:r>
    </w:p>
  </w:footnote>
  <w:footnote w:id="7">
    <w:p w:rsidR="000112D1" w:rsidRPr="004F41A0" w:rsidRDefault="000112D1">
      <w:pPr>
        <w:pStyle w:val="FootnoteText"/>
        <w:rPr>
          <w:rFonts w:ascii="Calibri" w:hAnsi="Calibri" w:cs="Calibri"/>
        </w:rPr>
      </w:pPr>
      <w:r w:rsidRPr="004F41A0">
        <w:rPr>
          <w:rStyle w:val="FootnoteReference"/>
          <w:rFonts w:ascii="Calibri" w:hAnsi="Calibri" w:cs="Calibri"/>
        </w:rPr>
        <w:footnoteRef/>
      </w:r>
      <w:r w:rsidRPr="004F41A0">
        <w:rPr>
          <w:rFonts w:ascii="Calibri" w:hAnsi="Calibri" w:cs="Calibri"/>
        </w:rPr>
        <w:t xml:space="preserve"> </w:t>
      </w:r>
      <w:hyperlink r:id="rId2" w:history="1">
        <w:r w:rsidRPr="008E0BBF">
          <w:rPr>
            <w:rStyle w:val="Hyperlink"/>
            <w:rFonts w:ascii="Calibri" w:hAnsi="Calibri" w:cs="Calibri"/>
            <w:color w:val="auto"/>
          </w:rPr>
          <w:t>https://www.accessdata.fda.gov/drugsatfda_docs/nda/2020/213411Orig1s000MultidisciplineR.pdf</w:t>
        </w:r>
      </w:hyperlink>
      <w:r w:rsidRPr="008E0BBF">
        <w:rPr>
          <w:rFonts w:ascii="Calibri" w:hAnsi="Calibri" w:cs="Calibri"/>
        </w:rPr>
        <w:t xml:space="preserve"> </w:t>
      </w:r>
    </w:p>
  </w:footnote>
  <w:footnote w:id="8">
    <w:p w:rsidR="000112D1" w:rsidRPr="00EE6557" w:rsidRDefault="000112D1" w:rsidP="00311441">
      <w:pPr>
        <w:pStyle w:val="FootnoteText"/>
        <w:rPr>
          <w:rFonts w:ascii="Arial Narrow" w:hAnsi="Arial Narrow"/>
        </w:rPr>
      </w:pPr>
      <w:r w:rsidRPr="00EE6557">
        <w:rPr>
          <w:rStyle w:val="FootnoteReference"/>
          <w:rFonts w:ascii="Arial Narrow" w:hAnsi="Arial Narrow"/>
        </w:rPr>
        <w:footnoteRef/>
      </w:r>
      <w:r w:rsidRPr="00EE6557">
        <w:rPr>
          <w:rFonts w:ascii="Arial Narrow" w:hAnsi="Arial Narrow"/>
        </w:rPr>
        <w:t xml:space="preserve"> Table 12, Pertuzumab PSD, March 2020 PBAC meeting </w:t>
      </w:r>
    </w:p>
  </w:footnote>
  <w:footnote w:id="9">
    <w:p w:rsidR="000112D1" w:rsidRPr="00EE6557" w:rsidRDefault="000112D1" w:rsidP="00311441">
      <w:pPr>
        <w:pStyle w:val="FootnoteText"/>
        <w:rPr>
          <w:rFonts w:ascii="Arial Narrow" w:hAnsi="Arial Narrow"/>
        </w:rPr>
      </w:pPr>
      <w:r w:rsidRPr="00EE6557">
        <w:rPr>
          <w:rStyle w:val="FootnoteReference"/>
          <w:rFonts w:ascii="Arial Narrow" w:hAnsi="Arial Narrow"/>
        </w:rPr>
        <w:footnoteRef/>
      </w:r>
      <w:r w:rsidRPr="00EE6557">
        <w:rPr>
          <w:rFonts w:ascii="Arial Narrow" w:hAnsi="Arial Narrow"/>
        </w:rPr>
        <w:t xml:space="preserve"> </w:t>
      </w:r>
      <w:r>
        <w:rPr>
          <w:rFonts w:ascii="Arial Narrow" w:hAnsi="Arial Narrow"/>
        </w:rPr>
        <w:t xml:space="preserve">Section 10, </w:t>
      </w:r>
      <w:r w:rsidRPr="00EE6557">
        <w:rPr>
          <w:rFonts w:ascii="Arial Narrow" w:hAnsi="Arial Narrow"/>
        </w:rPr>
        <w:t>T-DM1 PSD, July 2013 PBAC meeting</w:t>
      </w:r>
    </w:p>
  </w:footnote>
  <w:footnote w:id="10">
    <w:p w:rsidR="000112D1" w:rsidRDefault="000112D1" w:rsidP="00311441">
      <w:pPr>
        <w:pStyle w:val="FootnoteText"/>
      </w:pPr>
      <w:r w:rsidRPr="00EE6557">
        <w:rPr>
          <w:rStyle w:val="FootnoteReference"/>
          <w:rFonts w:ascii="Arial Narrow" w:hAnsi="Arial Narrow"/>
        </w:rPr>
        <w:footnoteRef/>
      </w:r>
      <w:r w:rsidRPr="00EE6557">
        <w:rPr>
          <w:rFonts w:ascii="Arial Narrow" w:hAnsi="Arial Narrow"/>
        </w:rPr>
        <w:t xml:space="preserve"> </w:t>
      </w:r>
      <w:r>
        <w:rPr>
          <w:rFonts w:ascii="Arial Narrow" w:hAnsi="Arial Narrow"/>
        </w:rPr>
        <w:t>P</w:t>
      </w:r>
      <w:r w:rsidRPr="00EE6557">
        <w:rPr>
          <w:rFonts w:ascii="Arial Narrow" w:hAnsi="Arial Narrow"/>
        </w:rPr>
        <w:t>aragraph 6.49, Trastuzumab PSD, November 2014 PBAC meeting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Default="000112D1">
    <w:pPr>
      <w:pStyle w:val="Header"/>
    </w:pPr>
    <w:r>
      <w:rPr>
        <w:noProof/>
        <w:lang w:eastAsia="en-AU"/>
      </w:rPr>
      <mc:AlternateContent>
        <mc:Choice Requires="wps">
          <w:drawing>
            <wp:anchor distT="0" distB="0" distL="114300" distR="114300" simplePos="0" relativeHeight="251689984" behindDoc="1" locked="0" layoutInCell="0" allowOverlap="1" wp14:anchorId="69364392" wp14:editId="15ED996B">
              <wp:simplePos x="0" y="0"/>
              <wp:positionH relativeFrom="margin">
                <wp:align>center</wp:align>
              </wp:positionH>
              <wp:positionV relativeFrom="margin">
                <wp:align>center</wp:align>
              </wp:positionV>
              <wp:extent cx="5387975" cy="2693670"/>
              <wp:effectExtent l="0" t="933450" r="0" b="8210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975"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12D1" w:rsidRDefault="000112D1" w:rsidP="008C1387">
                          <w:pPr>
                            <w:pStyle w:val="NormalWeb"/>
                            <w:spacing w:before="0" w:after="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364392" id="_x0000_t202" coordsize="21600,21600" o:spt="202" path="m,l,21600r21600,l21600,xe">
              <v:stroke joinstyle="miter"/>
              <v:path gradientshapeok="t" o:connecttype="rect"/>
            </v:shapetype>
            <v:shape id="Text Box 4" o:spid="_x0000_s1026" type="#_x0000_t202" style="position:absolute;left:0;text-align:left;margin-left:0;margin-top:0;width:424.25pt;height:212.1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uJ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" o:allowincell="f" filled="f" stroked="f">
              <v:stroke joinstyle="round"/>
              <o:lock v:ext="edit" shapetype="t"/>
              <v:textbox style="mso-fit-shape-to-text:t">
                <w:txbxContent>
                  <w:p w:rsidR="008710EE" w:rsidRDefault="008710EE" w:rsidP="008C1387">
                    <w:pPr>
                      <w:pStyle w:val="NormalWeb"/>
                      <w:spacing w:before="0" w:after="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Pr="008C1387" w:rsidRDefault="000112D1" w:rsidP="008C1387">
    <w:pPr>
      <w:jc w:val="center"/>
      <w:rPr>
        <w:i/>
      </w:rPr>
    </w:pPr>
    <w:r>
      <w:rPr>
        <w:i/>
      </w:rPr>
      <w:t>Public Summary Document</w:t>
    </w:r>
    <w:r w:rsidRPr="008C1387">
      <w:rPr>
        <w:i/>
      </w:rPr>
      <w:t xml:space="preserve"> – March 2021 PBAC Meeting</w:t>
    </w:r>
  </w:p>
  <w:p w:rsidR="000112D1" w:rsidRDefault="000112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D1" w:rsidRDefault="000112D1">
    <w:pPr>
      <w:pStyle w:val="Header"/>
    </w:pPr>
    <w:r>
      <w:rPr>
        <w:noProof/>
        <w:lang w:eastAsia="en-AU"/>
      </w:rPr>
      <mc:AlternateContent>
        <mc:Choice Requires="wps">
          <w:drawing>
            <wp:anchor distT="0" distB="0" distL="114300" distR="114300" simplePos="0" relativeHeight="251685888" behindDoc="1" locked="0" layoutInCell="0" allowOverlap="1" wp14:anchorId="6AE1C393" wp14:editId="30A33865">
              <wp:simplePos x="0" y="0"/>
              <wp:positionH relativeFrom="margin">
                <wp:align>center</wp:align>
              </wp:positionH>
              <wp:positionV relativeFrom="margin">
                <wp:align>center</wp:align>
              </wp:positionV>
              <wp:extent cx="5387975" cy="2693670"/>
              <wp:effectExtent l="0" t="933450" r="0" b="8210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975"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12D1" w:rsidRDefault="000112D1" w:rsidP="008C1387">
                          <w:pPr>
                            <w:pStyle w:val="NormalWeb"/>
                            <w:spacing w:before="0" w:after="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E1C393" id="_x0000_t202" coordsize="21600,21600" o:spt="202" path="m,l,21600r21600,l21600,xe">
              <v:stroke joinstyle="miter"/>
              <v:path gradientshapeok="t" o:connecttype="rect"/>
            </v:shapetype>
            <v:shape id="Text Box 2" o:spid="_x0000_s1027" type="#_x0000_t202" style="position:absolute;left:0;text-align:left;margin-left:0;margin-top:0;width:424.25pt;height:212.1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q9iwIAAAQ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" o:allowincell="f" filled="f" stroked="f">
              <v:stroke joinstyle="round"/>
              <o:lock v:ext="edit" shapetype="t"/>
              <v:textbox style="mso-fit-shape-to-text:t">
                <w:txbxContent>
                  <w:p w:rsidR="008710EE" w:rsidRDefault="008710EE" w:rsidP="008C1387">
                    <w:pPr>
                      <w:pStyle w:val="NormalWeb"/>
                      <w:spacing w:before="0" w:after="0"/>
                      <w:jc w:val="cente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65471"/>
    <w:multiLevelType w:val="hybridMultilevel"/>
    <w:tmpl w:val="999A55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41823"/>
    <w:multiLevelType w:val="multilevel"/>
    <w:tmpl w:val="A3300EC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D43F51"/>
    <w:multiLevelType w:val="hybridMultilevel"/>
    <w:tmpl w:val="6A023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auto"/>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9456AC"/>
    <w:multiLevelType w:val="hybridMultilevel"/>
    <w:tmpl w:val="9D4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37CC5"/>
    <w:multiLevelType w:val="hybridMultilevel"/>
    <w:tmpl w:val="C4C8A8E4"/>
    <w:lvl w:ilvl="0" w:tplc="81AE6CD2">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40690"/>
    <w:multiLevelType w:val="singleLevel"/>
    <w:tmpl w:val="E5988BCE"/>
    <w:lvl w:ilvl="0">
      <w:start w:val="1"/>
      <w:numFmt w:val="bullet"/>
      <w:pStyle w:val="TableBullet"/>
      <w:lvlText w:val=""/>
      <w:lvlJc w:val="left"/>
      <w:pPr>
        <w:tabs>
          <w:tab w:val="num" w:pos="360"/>
        </w:tabs>
        <w:ind w:left="216" w:hanging="216"/>
      </w:pPr>
      <w:rPr>
        <w:rFonts w:ascii="Symbol" w:hAnsi="Symbol" w:hint="default"/>
        <w:sz w:val="16"/>
      </w:rPr>
    </w:lvl>
  </w:abstractNum>
  <w:abstractNum w:abstractNumId="9" w15:restartNumberingAfterBreak="0">
    <w:nsid w:val="23291781"/>
    <w:multiLevelType w:val="hybridMultilevel"/>
    <w:tmpl w:val="216809BC"/>
    <w:lvl w:ilvl="0" w:tplc="BFC2116E">
      <w:start w:val="1"/>
      <w:numFmt w:val="bullet"/>
      <w:pStyle w:val="Bullet1"/>
      <w:lvlText w:val=""/>
      <w:lvlJc w:val="left"/>
      <w:pPr>
        <w:tabs>
          <w:tab w:val="num" w:pos="360"/>
        </w:tabs>
        <w:ind w:left="360" w:hanging="360"/>
      </w:pPr>
      <w:rPr>
        <w:rFonts w:ascii="Symbol" w:hAnsi="Symbol" w:hint="default"/>
      </w:rPr>
    </w:lvl>
    <w:lvl w:ilvl="1" w:tplc="4B489E5E">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FB1CE850"/>
    <w:lvl w:ilvl="0" w:tplc="F000EB3A">
      <w:start w:val="1"/>
      <w:numFmt w:val="decimal"/>
      <w:lvlText w:val="%1."/>
      <w:lvlJc w:val="left"/>
      <w:pPr>
        <w:ind w:left="1778" w:hanging="360"/>
      </w:pPr>
      <w:rPr>
        <w:rFonts w:hint="default"/>
        <w:b w:val="0"/>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317E14"/>
    <w:multiLevelType w:val="hybridMultilevel"/>
    <w:tmpl w:val="BC545F64"/>
    <w:lvl w:ilvl="0" w:tplc="FB90775E">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26C1C"/>
    <w:multiLevelType w:val="hybridMultilevel"/>
    <w:tmpl w:val="98B60E00"/>
    <w:lvl w:ilvl="0" w:tplc="7110F16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14F9E"/>
    <w:multiLevelType w:val="multilevel"/>
    <w:tmpl w:val="A3300EC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C3256"/>
    <w:multiLevelType w:val="multilevel"/>
    <w:tmpl w:val="A3300EC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FA5229"/>
    <w:multiLevelType w:val="hybridMultilevel"/>
    <w:tmpl w:val="EAF4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76182"/>
    <w:multiLevelType w:val="hybridMultilevel"/>
    <w:tmpl w:val="E9C4C4B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C8D012A"/>
    <w:multiLevelType w:val="hybridMultilevel"/>
    <w:tmpl w:val="92B242DA"/>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4FA94EF0"/>
    <w:multiLevelType w:val="hybridMultilevel"/>
    <w:tmpl w:val="AF80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271833"/>
    <w:multiLevelType w:val="hybridMultilevel"/>
    <w:tmpl w:val="08B08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B2108"/>
    <w:multiLevelType w:val="hybridMultilevel"/>
    <w:tmpl w:val="C0F4FD4E"/>
    <w:lvl w:ilvl="0" w:tplc="67545D4A">
      <w:start w:val="1"/>
      <w:numFmt w:val="decimal"/>
      <w:pStyle w:val="FigureES"/>
      <w:lvlText w:val="Figure ES.%1"/>
      <w:lvlJc w:val="left"/>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03D7A"/>
    <w:multiLevelType w:val="hybridMultilevel"/>
    <w:tmpl w:val="54FCC9DE"/>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780476CF"/>
    <w:multiLevelType w:val="hybridMultilevel"/>
    <w:tmpl w:val="6F709A6C"/>
    <w:lvl w:ilvl="0" w:tplc="0C090001">
      <w:start w:val="1"/>
      <w:numFmt w:val="bullet"/>
      <w:lvlText w:val=""/>
      <w:lvlJc w:val="left"/>
      <w:pPr>
        <w:ind w:left="720" w:hanging="360"/>
      </w:pPr>
      <w:rPr>
        <w:rFonts w:ascii="Symbol" w:hAnsi="Symbol" w:hint="default"/>
      </w:rPr>
    </w:lvl>
    <w:lvl w:ilvl="1" w:tplc="1458F4C8">
      <w:start w:val="1"/>
      <w:numFmt w:val="bullet"/>
      <w:lvlText w:val=""/>
      <w:lvlJc w:val="left"/>
      <w:pPr>
        <w:ind w:left="1440" w:hanging="360"/>
      </w:pPr>
      <w:rPr>
        <w:rFonts w:ascii="Symbol" w:hAnsi="Symbol" w:hint="default"/>
        <w:color w:val="auto"/>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8B96A45E"/>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6226AC"/>
    <w:multiLevelType w:val="hybridMultilevel"/>
    <w:tmpl w:val="CA525A1A"/>
    <w:lvl w:ilvl="0" w:tplc="F57E6B4A">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9B55AC6"/>
    <w:multiLevelType w:val="hybridMultilevel"/>
    <w:tmpl w:val="3F749B9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9"/>
  </w:num>
  <w:num w:numId="3">
    <w:abstractNumId w:val="20"/>
  </w:num>
  <w:num w:numId="4">
    <w:abstractNumId w:val="30"/>
  </w:num>
  <w:num w:numId="5">
    <w:abstractNumId w:val="23"/>
  </w:num>
  <w:num w:numId="6">
    <w:abstractNumId w:val="33"/>
  </w:num>
  <w:num w:numId="7">
    <w:abstractNumId w:val="7"/>
  </w:num>
  <w:num w:numId="8">
    <w:abstractNumId w:val="27"/>
  </w:num>
  <w:num w:numId="9">
    <w:abstractNumId w:val="9"/>
  </w:num>
  <w:num w:numId="10">
    <w:abstractNumId w:val="15"/>
  </w:num>
  <w:num w:numId="11">
    <w:abstractNumId w:val="18"/>
  </w:num>
  <w:num w:numId="12">
    <w:abstractNumId w:val="29"/>
  </w:num>
  <w:num w:numId="13">
    <w:abstractNumId w:val="24"/>
  </w:num>
  <w:num w:numId="14">
    <w:abstractNumId w:val="8"/>
  </w:num>
  <w:num w:numId="15">
    <w:abstractNumId w:val="11"/>
  </w:num>
  <w:num w:numId="16">
    <w:abstractNumId w:val="34"/>
  </w:num>
  <w:num w:numId="17">
    <w:abstractNumId w:val="21"/>
  </w:num>
  <w:num w:numId="18">
    <w:abstractNumId w:val="31"/>
  </w:num>
  <w:num w:numId="19">
    <w:abstractNumId w:val="32"/>
  </w:num>
  <w:num w:numId="20">
    <w:abstractNumId w:val="28"/>
  </w:num>
  <w:num w:numId="21">
    <w:abstractNumId w:val="22"/>
  </w:num>
  <w:num w:numId="22">
    <w:abstractNumId w:val="4"/>
  </w:num>
  <w:num w:numId="23">
    <w:abstractNumId w:val="20"/>
  </w:num>
  <w:num w:numId="24">
    <w:abstractNumId w:val="2"/>
  </w:num>
  <w:num w:numId="25">
    <w:abstractNumId w:val="25"/>
  </w:num>
  <w:num w:numId="26">
    <w:abstractNumId w:val="26"/>
  </w:num>
  <w:num w:numId="27">
    <w:abstractNumId w:val="5"/>
  </w:num>
  <w:num w:numId="28">
    <w:abstractNumId w:val="0"/>
  </w:num>
  <w:num w:numId="29">
    <w:abstractNumId w:val="12"/>
  </w:num>
  <w:num w:numId="30">
    <w:abstractNumId w:val="14"/>
  </w:num>
  <w:num w:numId="31">
    <w:abstractNumId w:val="10"/>
  </w:num>
  <w:num w:numId="32">
    <w:abstractNumId w:val="17"/>
  </w:num>
  <w:num w:numId="33">
    <w:abstractNumId w:val="3"/>
  </w:num>
  <w:num w:numId="34">
    <w:abstractNumId w:val="13"/>
  </w:num>
  <w:num w:numId="35">
    <w:abstractNumId w:val="16"/>
  </w:num>
  <w:num w:numId="36">
    <w:abstractNumId w:val="1"/>
  </w:num>
  <w:num w:numId="37">
    <w:abstractNumId w:val="30"/>
  </w:num>
  <w:num w:numId="38">
    <w:abstractNumId w:val="30"/>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DB"/>
    <w:rsid w:val="0000110B"/>
    <w:rsid w:val="00002F2B"/>
    <w:rsid w:val="00003499"/>
    <w:rsid w:val="00003874"/>
    <w:rsid w:val="000039B7"/>
    <w:rsid w:val="0000639A"/>
    <w:rsid w:val="00006C97"/>
    <w:rsid w:val="00006FEE"/>
    <w:rsid w:val="00010513"/>
    <w:rsid w:val="00010CCA"/>
    <w:rsid w:val="00010D49"/>
    <w:rsid w:val="000112D1"/>
    <w:rsid w:val="00013247"/>
    <w:rsid w:val="00013C86"/>
    <w:rsid w:val="000144D8"/>
    <w:rsid w:val="00015886"/>
    <w:rsid w:val="000162EF"/>
    <w:rsid w:val="00017BFC"/>
    <w:rsid w:val="00017E60"/>
    <w:rsid w:val="000207C9"/>
    <w:rsid w:val="00021766"/>
    <w:rsid w:val="00021DF3"/>
    <w:rsid w:val="0002225F"/>
    <w:rsid w:val="00022992"/>
    <w:rsid w:val="00022F56"/>
    <w:rsid w:val="00022FA5"/>
    <w:rsid w:val="00023400"/>
    <w:rsid w:val="00023763"/>
    <w:rsid w:val="000241AB"/>
    <w:rsid w:val="00025A31"/>
    <w:rsid w:val="00026492"/>
    <w:rsid w:val="0002652A"/>
    <w:rsid w:val="00026B28"/>
    <w:rsid w:val="000274B8"/>
    <w:rsid w:val="00031F5B"/>
    <w:rsid w:val="0003235E"/>
    <w:rsid w:val="00033863"/>
    <w:rsid w:val="00035939"/>
    <w:rsid w:val="00035DC0"/>
    <w:rsid w:val="00036620"/>
    <w:rsid w:val="00036829"/>
    <w:rsid w:val="00040895"/>
    <w:rsid w:val="00042305"/>
    <w:rsid w:val="00042726"/>
    <w:rsid w:val="0004275A"/>
    <w:rsid w:val="000435EE"/>
    <w:rsid w:val="0004385A"/>
    <w:rsid w:val="00043C37"/>
    <w:rsid w:val="0004471E"/>
    <w:rsid w:val="00045017"/>
    <w:rsid w:val="000453CE"/>
    <w:rsid w:val="00045A2B"/>
    <w:rsid w:val="00045BF9"/>
    <w:rsid w:val="0004698F"/>
    <w:rsid w:val="00050652"/>
    <w:rsid w:val="00050B83"/>
    <w:rsid w:val="00050E39"/>
    <w:rsid w:val="00052192"/>
    <w:rsid w:val="0005387B"/>
    <w:rsid w:val="000539D0"/>
    <w:rsid w:val="00054621"/>
    <w:rsid w:val="000546D7"/>
    <w:rsid w:val="000557AB"/>
    <w:rsid w:val="00056ECF"/>
    <w:rsid w:val="00057481"/>
    <w:rsid w:val="000604DF"/>
    <w:rsid w:val="00060C1D"/>
    <w:rsid w:val="00060D75"/>
    <w:rsid w:val="00062CD5"/>
    <w:rsid w:val="00063877"/>
    <w:rsid w:val="000653B5"/>
    <w:rsid w:val="00066360"/>
    <w:rsid w:val="000666DE"/>
    <w:rsid w:val="00066AF8"/>
    <w:rsid w:val="0007040D"/>
    <w:rsid w:val="00071248"/>
    <w:rsid w:val="00071A7B"/>
    <w:rsid w:val="0007207A"/>
    <w:rsid w:val="000720B9"/>
    <w:rsid w:val="000729B2"/>
    <w:rsid w:val="000737F7"/>
    <w:rsid w:val="00073C6B"/>
    <w:rsid w:val="000743B0"/>
    <w:rsid w:val="00074E84"/>
    <w:rsid w:val="000757EB"/>
    <w:rsid w:val="00076052"/>
    <w:rsid w:val="00076379"/>
    <w:rsid w:val="0007672F"/>
    <w:rsid w:val="00076B54"/>
    <w:rsid w:val="00076EA3"/>
    <w:rsid w:val="000774F0"/>
    <w:rsid w:val="00080909"/>
    <w:rsid w:val="0008090D"/>
    <w:rsid w:val="00080CB8"/>
    <w:rsid w:val="00080FA0"/>
    <w:rsid w:val="000812CA"/>
    <w:rsid w:val="0008170A"/>
    <w:rsid w:val="00081E63"/>
    <w:rsid w:val="0008258D"/>
    <w:rsid w:val="00082918"/>
    <w:rsid w:val="00083457"/>
    <w:rsid w:val="00083E99"/>
    <w:rsid w:val="00084FA8"/>
    <w:rsid w:val="000851E3"/>
    <w:rsid w:val="000856C5"/>
    <w:rsid w:val="00085AEA"/>
    <w:rsid w:val="00085C31"/>
    <w:rsid w:val="000902D9"/>
    <w:rsid w:val="000902F8"/>
    <w:rsid w:val="00090C7E"/>
    <w:rsid w:val="00091F7C"/>
    <w:rsid w:val="00092600"/>
    <w:rsid w:val="0009262B"/>
    <w:rsid w:val="00092EE9"/>
    <w:rsid w:val="0009329F"/>
    <w:rsid w:val="00093310"/>
    <w:rsid w:val="00093792"/>
    <w:rsid w:val="00093935"/>
    <w:rsid w:val="0009445C"/>
    <w:rsid w:val="00095200"/>
    <w:rsid w:val="00095A3A"/>
    <w:rsid w:val="00095E83"/>
    <w:rsid w:val="00095FE5"/>
    <w:rsid w:val="00096284"/>
    <w:rsid w:val="000968EB"/>
    <w:rsid w:val="00097B61"/>
    <w:rsid w:val="000A032D"/>
    <w:rsid w:val="000A042B"/>
    <w:rsid w:val="000A0A12"/>
    <w:rsid w:val="000A1BC0"/>
    <w:rsid w:val="000A27F1"/>
    <w:rsid w:val="000A39FF"/>
    <w:rsid w:val="000A3DEB"/>
    <w:rsid w:val="000A4DD4"/>
    <w:rsid w:val="000A6039"/>
    <w:rsid w:val="000A6208"/>
    <w:rsid w:val="000A6E40"/>
    <w:rsid w:val="000A7453"/>
    <w:rsid w:val="000A79AF"/>
    <w:rsid w:val="000A7BEF"/>
    <w:rsid w:val="000A7D08"/>
    <w:rsid w:val="000A7F49"/>
    <w:rsid w:val="000A7FF4"/>
    <w:rsid w:val="000B0121"/>
    <w:rsid w:val="000B0670"/>
    <w:rsid w:val="000B0813"/>
    <w:rsid w:val="000B0E75"/>
    <w:rsid w:val="000B2690"/>
    <w:rsid w:val="000B2BB5"/>
    <w:rsid w:val="000B2DCB"/>
    <w:rsid w:val="000B52F7"/>
    <w:rsid w:val="000B5951"/>
    <w:rsid w:val="000B5CE0"/>
    <w:rsid w:val="000B6C18"/>
    <w:rsid w:val="000B6CAC"/>
    <w:rsid w:val="000B6F28"/>
    <w:rsid w:val="000B7612"/>
    <w:rsid w:val="000B7641"/>
    <w:rsid w:val="000B78AE"/>
    <w:rsid w:val="000C0410"/>
    <w:rsid w:val="000C3D82"/>
    <w:rsid w:val="000C3DF9"/>
    <w:rsid w:val="000C45BD"/>
    <w:rsid w:val="000C47FE"/>
    <w:rsid w:val="000C531C"/>
    <w:rsid w:val="000C560E"/>
    <w:rsid w:val="000C6713"/>
    <w:rsid w:val="000C69CD"/>
    <w:rsid w:val="000D072E"/>
    <w:rsid w:val="000D1BFC"/>
    <w:rsid w:val="000D1D5D"/>
    <w:rsid w:val="000D27A7"/>
    <w:rsid w:val="000D281A"/>
    <w:rsid w:val="000D2848"/>
    <w:rsid w:val="000D326A"/>
    <w:rsid w:val="000D4199"/>
    <w:rsid w:val="000D51FB"/>
    <w:rsid w:val="000D64F3"/>
    <w:rsid w:val="000D7F4E"/>
    <w:rsid w:val="000E0640"/>
    <w:rsid w:val="000E0BD2"/>
    <w:rsid w:val="000E10AD"/>
    <w:rsid w:val="000E135D"/>
    <w:rsid w:val="000E1AA6"/>
    <w:rsid w:val="000E2FA1"/>
    <w:rsid w:val="000E38FF"/>
    <w:rsid w:val="000E423B"/>
    <w:rsid w:val="000E5B17"/>
    <w:rsid w:val="000E661D"/>
    <w:rsid w:val="000E6D3F"/>
    <w:rsid w:val="000E77DD"/>
    <w:rsid w:val="000E7C88"/>
    <w:rsid w:val="000F00BA"/>
    <w:rsid w:val="000F193F"/>
    <w:rsid w:val="000F316A"/>
    <w:rsid w:val="000F3C74"/>
    <w:rsid w:val="000F4BB8"/>
    <w:rsid w:val="000F4FA9"/>
    <w:rsid w:val="000F53FB"/>
    <w:rsid w:val="000F58AC"/>
    <w:rsid w:val="000F594B"/>
    <w:rsid w:val="000F69EA"/>
    <w:rsid w:val="000F6AC3"/>
    <w:rsid w:val="000F7127"/>
    <w:rsid w:val="000F7B54"/>
    <w:rsid w:val="001009BA"/>
    <w:rsid w:val="00100F8A"/>
    <w:rsid w:val="001036E7"/>
    <w:rsid w:val="00104284"/>
    <w:rsid w:val="0010452E"/>
    <w:rsid w:val="00104E5A"/>
    <w:rsid w:val="00104F5E"/>
    <w:rsid w:val="00105AE2"/>
    <w:rsid w:val="00105DA8"/>
    <w:rsid w:val="001060C6"/>
    <w:rsid w:val="00106B80"/>
    <w:rsid w:val="0010729C"/>
    <w:rsid w:val="0011032E"/>
    <w:rsid w:val="001108FB"/>
    <w:rsid w:val="0011136F"/>
    <w:rsid w:val="00112710"/>
    <w:rsid w:val="0011348B"/>
    <w:rsid w:val="0011349F"/>
    <w:rsid w:val="00115982"/>
    <w:rsid w:val="00116486"/>
    <w:rsid w:val="00116C53"/>
    <w:rsid w:val="001203C2"/>
    <w:rsid w:val="001205B6"/>
    <w:rsid w:val="00121799"/>
    <w:rsid w:val="00121B51"/>
    <w:rsid w:val="001222FC"/>
    <w:rsid w:val="001222FD"/>
    <w:rsid w:val="00122850"/>
    <w:rsid w:val="0012337E"/>
    <w:rsid w:val="001234CA"/>
    <w:rsid w:val="00123902"/>
    <w:rsid w:val="00124A51"/>
    <w:rsid w:val="00125D25"/>
    <w:rsid w:val="00126621"/>
    <w:rsid w:val="00126B1D"/>
    <w:rsid w:val="001301E9"/>
    <w:rsid w:val="001315D2"/>
    <w:rsid w:val="00131C1D"/>
    <w:rsid w:val="00131D82"/>
    <w:rsid w:val="00132B22"/>
    <w:rsid w:val="00132DF2"/>
    <w:rsid w:val="00132F05"/>
    <w:rsid w:val="00133D36"/>
    <w:rsid w:val="00134B4C"/>
    <w:rsid w:val="00137645"/>
    <w:rsid w:val="0014015A"/>
    <w:rsid w:val="00140701"/>
    <w:rsid w:val="00140E99"/>
    <w:rsid w:val="0014215F"/>
    <w:rsid w:val="0014331B"/>
    <w:rsid w:val="00143B31"/>
    <w:rsid w:val="00143B45"/>
    <w:rsid w:val="00143F67"/>
    <w:rsid w:val="00145540"/>
    <w:rsid w:val="001456B0"/>
    <w:rsid w:val="00145EA7"/>
    <w:rsid w:val="0014622A"/>
    <w:rsid w:val="00146984"/>
    <w:rsid w:val="00147CDA"/>
    <w:rsid w:val="001505F1"/>
    <w:rsid w:val="00151DE0"/>
    <w:rsid w:val="00152BA6"/>
    <w:rsid w:val="00152C59"/>
    <w:rsid w:val="00155AFB"/>
    <w:rsid w:val="00156F8F"/>
    <w:rsid w:val="001570BA"/>
    <w:rsid w:val="00157130"/>
    <w:rsid w:val="001576B1"/>
    <w:rsid w:val="00157815"/>
    <w:rsid w:val="00157AB2"/>
    <w:rsid w:val="0016047B"/>
    <w:rsid w:val="00160A4C"/>
    <w:rsid w:val="00161A63"/>
    <w:rsid w:val="0016218B"/>
    <w:rsid w:val="00162913"/>
    <w:rsid w:val="00162D77"/>
    <w:rsid w:val="0016324D"/>
    <w:rsid w:val="00163C50"/>
    <w:rsid w:val="00163EFF"/>
    <w:rsid w:val="00163F66"/>
    <w:rsid w:val="00165121"/>
    <w:rsid w:val="00165DE1"/>
    <w:rsid w:val="001661FB"/>
    <w:rsid w:val="001663DC"/>
    <w:rsid w:val="001666B0"/>
    <w:rsid w:val="00166A84"/>
    <w:rsid w:val="00166EA2"/>
    <w:rsid w:val="001671A0"/>
    <w:rsid w:val="0016767F"/>
    <w:rsid w:val="0017172C"/>
    <w:rsid w:val="00171A40"/>
    <w:rsid w:val="001726D3"/>
    <w:rsid w:val="00173565"/>
    <w:rsid w:val="00173B07"/>
    <w:rsid w:val="001747AF"/>
    <w:rsid w:val="001751FA"/>
    <w:rsid w:val="00177D5C"/>
    <w:rsid w:val="001817CA"/>
    <w:rsid w:val="00181D9C"/>
    <w:rsid w:val="00182B93"/>
    <w:rsid w:val="00183BC3"/>
    <w:rsid w:val="00184B0E"/>
    <w:rsid w:val="00185BB8"/>
    <w:rsid w:val="0018752F"/>
    <w:rsid w:val="00190C65"/>
    <w:rsid w:val="00190F3C"/>
    <w:rsid w:val="00191BF8"/>
    <w:rsid w:val="00193743"/>
    <w:rsid w:val="00193838"/>
    <w:rsid w:val="00194601"/>
    <w:rsid w:val="00194AD8"/>
    <w:rsid w:val="00194FCE"/>
    <w:rsid w:val="00195222"/>
    <w:rsid w:val="001967EF"/>
    <w:rsid w:val="001975D8"/>
    <w:rsid w:val="001A04B8"/>
    <w:rsid w:val="001A0578"/>
    <w:rsid w:val="001A178E"/>
    <w:rsid w:val="001A17DB"/>
    <w:rsid w:val="001A2289"/>
    <w:rsid w:val="001A2EF4"/>
    <w:rsid w:val="001A3634"/>
    <w:rsid w:val="001A3A7A"/>
    <w:rsid w:val="001A43FA"/>
    <w:rsid w:val="001A47C5"/>
    <w:rsid w:val="001A59FB"/>
    <w:rsid w:val="001A5E9E"/>
    <w:rsid w:val="001A6354"/>
    <w:rsid w:val="001A6366"/>
    <w:rsid w:val="001A7142"/>
    <w:rsid w:val="001A74F3"/>
    <w:rsid w:val="001A7AE8"/>
    <w:rsid w:val="001A7F72"/>
    <w:rsid w:val="001B0746"/>
    <w:rsid w:val="001B075D"/>
    <w:rsid w:val="001B0BCF"/>
    <w:rsid w:val="001B1B3A"/>
    <w:rsid w:val="001B204E"/>
    <w:rsid w:val="001B20D7"/>
    <w:rsid w:val="001B2372"/>
    <w:rsid w:val="001B3443"/>
    <w:rsid w:val="001B37D8"/>
    <w:rsid w:val="001B4D20"/>
    <w:rsid w:val="001B4F18"/>
    <w:rsid w:val="001B6A04"/>
    <w:rsid w:val="001C065C"/>
    <w:rsid w:val="001C1436"/>
    <w:rsid w:val="001C16B9"/>
    <w:rsid w:val="001C19D6"/>
    <w:rsid w:val="001C1F9F"/>
    <w:rsid w:val="001C202C"/>
    <w:rsid w:val="001C2165"/>
    <w:rsid w:val="001C2469"/>
    <w:rsid w:val="001C2A9B"/>
    <w:rsid w:val="001C333F"/>
    <w:rsid w:val="001C4299"/>
    <w:rsid w:val="001C4874"/>
    <w:rsid w:val="001C5C69"/>
    <w:rsid w:val="001C5EAA"/>
    <w:rsid w:val="001C5F94"/>
    <w:rsid w:val="001C6E66"/>
    <w:rsid w:val="001D1100"/>
    <w:rsid w:val="001D1391"/>
    <w:rsid w:val="001D1495"/>
    <w:rsid w:val="001D2504"/>
    <w:rsid w:val="001D25D7"/>
    <w:rsid w:val="001D4210"/>
    <w:rsid w:val="001D4AAB"/>
    <w:rsid w:val="001D4B3D"/>
    <w:rsid w:val="001D50B2"/>
    <w:rsid w:val="001D5899"/>
    <w:rsid w:val="001D5B6A"/>
    <w:rsid w:val="001D5F94"/>
    <w:rsid w:val="001D6079"/>
    <w:rsid w:val="001D6DC1"/>
    <w:rsid w:val="001D6EB2"/>
    <w:rsid w:val="001D714F"/>
    <w:rsid w:val="001D7645"/>
    <w:rsid w:val="001D76E8"/>
    <w:rsid w:val="001D7803"/>
    <w:rsid w:val="001E0276"/>
    <w:rsid w:val="001E1E86"/>
    <w:rsid w:val="001E238E"/>
    <w:rsid w:val="001E2483"/>
    <w:rsid w:val="001E259B"/>
    <w:rsid w:val="001E2A33"/>
    <w:rsid w:val="001E2B1E"/>
    <w:rsid w:val="001E2CFF"/>
    <w:rsid w:val="001E2F24"/>
    <w:rsid w:val="001E3012"/>
    <w:rsid w:val="001E30D4"/>
    <w:rsid w:val="001E34DF"/>
    <w:rsid w:val="001E38F0"/>
    <w:rsid w:val="001E464F"/>
    <w:rsid w:val="001E52EB"/>
    <w:rsid w:val="001E59CC"/>
    <w:rsid w:val="001E5C8C"/>
    <w:rsid w:val="001E5E6A"/>
    <w:rsid w:val="001E6055"/>
    <w:rsid w:val="001E61D2"/>
    <w:rsid w:val="001E65E6"/>
    <w:rsid w:val="001E740C"/>
    <w:rsid w:val="001F1235"/>
    <w:rsid w:val="001F1CB3"/>
    <w:rsid w:val="001F2DDE"/>
    <w:rsid w:val="001F345A"/>
    <w:rsid w:val="001F38B5"/>
    <w:rsid w:val="001F4081"/>
    <w:rsid w:val="001F4B45"/>
    <w:rsid w:val="001F4E5E"/>
    <w:rsid w:val="001F6A16"/>
    <w:rsid w:val="001F7361"/>
    <w:rsid w:val="001F745B"/>
    <w:rsid w:val="00200A1E"/>
    <w:rsid w:val="002011B0"/>
    <w:rsid w:val="00201B26"/>
    <w:rsid w:val="0020205F"/>
    <w:rsid w:val="002020D2"/>
    <w:rsid w:val="0020243E"/>
    <w:rsid w:val="002025EF"/>
    <w:rsid w:val="002028A0"/>
    <w:rsid w:val="00202F29"/>
    <w:rsid w:val="00203181"/>
    <w:rsid w:val="00203783"/>
    <w:rsid w:val="0020385F"/>
    <w:rsid w:val="00204A13"/>
    <w:rsid w:val="00204C43"/>
    <w:rsid w:val="002066DC"/>
    <w:rsid w:val="002068A0"/>
    <w:rsid w:val="00206A27"/>
    <w:rsid w:val="00206B89"/>
    <w:rsid w:val="00207021"/>
    <w:rsid w:val="0020732F"/>
    <w:rsid w:val="00207D00"/>
    <w:rsid w:val="0021053F"/>
    <w:rsid w:val="002105C1"/>
    <w:rsid w:val="002124CD"/>
    <w:rsid w:val="0021257E"/>
    <w:rsid w:val="00213385"/>
    <w:rsid w:val="00213EF5"/>
    <w:rsid w:val="00216445"/>
    <w:rsid w:val="002168C5"/>
    <w:rsid w:val="00216AA2"/>
    <w:rsid w:val="00216BF5"/>
    <w:rsid w:val="00217328"/>
    <w:rsid w:val="002212DE"/>
    <w:rsid w:val="00222746"/>
    <w:rsid w:val="00222C35"/>
    <w:rsid w:val="00223060"/>
    <w:rsid w:val="00223488"/>
    <w:rsid w:val="00223B49"/>
    <w:rsid w:val="00223D5A"/>
    <w:rsid w:val="00224281"/>
    <w:rsid w:val="00224DD4"/>
    <w:rsid w:val="00225A79"/>
    <w:rsid w:val="00225F0F"/>
    <w:rsid w:val="002278A0"/>
    <w:rsid w:val="0023063F"/>
    <w:rsid w:val="002309CC"/>
    <w:rsid w:val="00230DBB"/>
    <w:rsid w:val="00231A3C"/>
    <w:rsid w:val="00231B5B"/>
    <w:rsid w:val="00231D3E"/>
    <w:rsid w:val="0023209F"/>
    <w:rsid w:val="00233345"/>
    <w:rsid w:val="00233B8B"/>
    <w:rsid w:val="00233C01"/>
    <w:rsid w:val="0023413C"/>
    <w:rsid w:val="002346F0"/>
    <w:rsid w:val="002354DF"/>
    <w:rsid w:val="0023629D"/>
    <w:rsid w:val="00237255"/>
    <w:rsid w:val="00237906"/>
    <w:rsid w:val="00237A50"/>
    <w:rsid w:val="00237CF3"/>
    <w:rsid w:val="00240D79"/>
    <w:rsid w:val="00240EDE"/>
    <w:rsid w:val="00241185"/>
    <w:rsid w:val="00241820"/>
    <w:rsid w:val="002424AF"/>
    <w:rsid w:val="00243376"/>
    <w:rsid w:val="002439DC"/>
    <w:rsid w:val="00243B52"/>
    <w:rsid w:val="002441D2"/>
    <w:rsid w:val="00244DC8"/>
    <w:rsid w:val="002458BA"/>
    <w:rsid w:val="00245CE9"/>
    <w:rsid w:val="0024636C"/>
    <w:rsid w:val="002466D8"/>
    <w:rsid w:val="00246A5A"/>
    <w:rsid w:val="00247925"/>
    <w:rsid w:val="00250320"/>
    <w:rsid w:val="002508D4"/>
    <w:rsid w:val="00251006"/>
    <w:rsid w:val="002524D5"/>
    <w:rsid w:val="00252DD5"/>
    <w:rsid w:val="002539E1"/>
    <w:rsid w:val="00253AED"/>
    <w:rsid w:val="00253B1D"/>
    <w:rsid w:val="002543DE"/>
    <w:rsid w:val="00254902"/>
    <w:rsid w:val="00254DCF"/>
    <w:rsid w:val="0025534B"/>
    <w:rsid w:val="002556BF"/>
    <w:rsid w:val="0025585B"/>
    <w:rsid w:val="00255BB7"/>
    <w:rsid w:val="00255DA9"/>
    <w:rsid w:val="00257541"/>
    <w:rsid w:val="0025796A"/>
    <w:rsid w:val="002579C0"/>
    <w:rsid w:val="00257A39"/>
    <w:rsid w:val="00257AC4"/>
    <w:rsid w:val="00257BFA"/>
    <w:rsid w:val="00260116"/>
    <w:rsid w:val="00260DC6"/>
    <w:rsid w:val="00261970"/>
    <w:rsid w:val="00261EEF"/>
    <w:rsid w:val="00262A1A"/>
    <w:rsid w:val="00262A87"/>
    <w:rsid w:val="002630EB"/>
    <w:rsid w:val="00264D26"/>
    <w:rsid w:val="00264D71"/>
    <w:rsid w:val="00265AC8"/>
    <w:rsid w:val="0026751C"/>
    <w:rsid w:val="00267642"/>
    <w:rsid w:val="00267840"/>
    <w:rsid w:val="00267AEA"/>
    <w:rsid w:val="00267BA0"/>
    <w:rsid w:val="00267EE4"/>
    <w:rsid w:val="002700E6"/>
    <w:rsid w:val="002708E5"/>
    <w:rsid w:val="0027294B"/>
    <w:rsid w:val="00273EB4"/>
    <w:rsid w:val="00274682"/>
    <w:rsid w:val="00275121"/>
    <w:rsid w:val="00275C5A"/>
    <w:rsid w:val="002776E6"/>
    <w:rsid w:val="00281014"/>
    <w:rsid w:val="00282A05"/>
    <w:rsid w:val="00285986"/>
    <w:rsid w:val="0028665D"/>
    <w:rsid w:val="0028684F"/>
    <w:rsid w:val="00286CCF"/>
    <w:rsid w:val="00287DC0"/>
    <w:rsid w:val="00292066"/>
    <w:rsid w:val="00292A7F"/>
    <w:rsid w:val="00292D86"/>
    <w:rsid w:val="002937D3"/>
    <w:rsid w:val="00293E59"/>
    <w:rsid w:val="0029524E"/>
    <w:rsid w:val="002952CA"/>
    <w:rsid w:val="00295870"/>
    <w:rsid w:val="002A0787"/>
    <w:rsid w:val="002A1134"/>
    <w:rsid w:val="002A14AB"/>
    <w:rsid w:val="002A251B"/>
    <w:rsid w:val="002A2A38"/>
    <w:rsid w:val="002A2ADE"/>
    <w:rsid w:val="002A2F50"/>
    <w:rsid w:val="002A303C"/>
    <w:rsid w:val="002A4EF8"/>
    <w:rsid w:val="002A7679"/>
    <w:rsid w:val="002A790F"/>
    <w:rsid w:val="002A79BC"/>
    <w:rsid w:val="002A7AB3"/>
    <w:rsid w:val="002B05A1"/>
    <w:rsid w:val="002B09A4"/>
    <w:rsid w:val="002B1C1F"/>
    <w:rsid w:val="002B432F"/>
    <w:rsid w:val="002B54D4"/>
    <w:rsid w:val="002B605C"/>
    <w:rsid w:val="002B62B3"/>
    <w:rsid w:val="002B6754"/>
    <w:rsid w:val="002B6CCE"/>
    <w:rsid w:val="002B7B6B"/>
    <w:rsid w:val="002C1B28"/>
    <w:rsid w:val="002C2510"/>
    <w:rsid w:val="002C2775"/>
    <w:rsid w:val="002C27C1"/>
    <w:rsid w:val="002C3606"/>
    <w:rsid w:val="002C5099"/>
    <w:rsid w:val="002C5889"/>
    <w:rsid w:val="002C6AB1"/>
    <w:rsid w:val="002C71CE"/>
    <w:rsid w:val="002C7EC9"/>
    <w:rsid w:val="002D0331"/>
    <w:rsid w:val="002D08F8"/>
    <w:rsid w:val="002D339B"/>
    <w:rsid w:val="002D41DC"/>
    <w:rsid w:val="002D45DF"/>
    <w:rsid w:val="002D577C"/>
    <w:rsid w:val="002D7235"/>
    <w:rsid w:val="002E1071"/>
    <w:rsid w:val="002E128D"/>
    <w:rsid w:val="002E13C2"/>
    <w:rsid w:val="002E15B9"/>
    <w:rsid w:val="002E2158"/>
    <w:rsid w:val="002E22C8"/>
    <w:rsid w:val="002E42C2"/>
    <w:rsid w:val="002E4F02"/>
    <w:rsid w:val="002E5655"/>
    <w:rsid w:val="002E6603"/>
    <w:rsid w:val="002E73C6"/>
    <w:rsid w:val="002E7722"/>
    <w:rsid w:val="002E7B58"/>
    <w:rsid w:val="002F01F0"/>
    <w:rsid w:val="002F07BA"/>
    <w:rsid w:val="002F0DA9"/>
    <w:rsid w:val="002F1014"/>
    <w:rsid w:val="002F19E0"/>
    <w:rsid w:val="002F2B3B"/>
    <w:rsid w:val="002F3B60"/>
    <w:rsid w:val="002F442C"/>
    <w:rsid w:val="002F48C7"/>
    <w:rsid w:val="002F643C"/>
    <w:rsid w:val="002F71C0"/>
    <w:rsid w:val="002F74F1"/>
    <w:rsid w:val="002F778B"/>
    <w:rsid w:val="002F7E3E"/>
    <w:rsid w:val="00300031"/>
    <w:rsid w:val="00300042"/>
    <w:rsid w:val="00301017"/>
    <w:rsid w:val="0030155F"/>
    <w:rsid w:val="00301C7F"/>
    <w:rsid w:val="003029C9"/>
    <w:rsid w:val="0030377D"/>
    <w:rsid w:val="0030455F"/>
    <w:rsid w:val="003053A1"/>
    <w:rsid w:val="0030587B"/>
    <w:rsid w:val="0030610C"/>
    <w:rsid w:val="00306D98"/>
    <w:rsid w:val="00307031"/>
    <w:rsid w:val="0030786C"/>
    <w:rsid w:val="0031031A"/>
    <w:rsid w:val="00310981"/>
    <w:rsid w:val="00310F19"/>
    <w:rsid w:val="00311441"/>
    <w:rsid w:val="003124D9"/>
    <w:rsid w:val="00312594"/>
    <w:rsid w:val="00314F75"/>
    <w:rsid w:val="00315498"/>
    <w:rsid w:val="003160DA"/>
    <w:rsid w:val="00316474"/>
    <w:rsid w:val="00316972"/>
    <w:rsid w:val="0031715F"/>
    <w:rsid w:val="003172AF"/>
    <w:rsid w:val="0032035B"/>
    <w:rsid w:val="00322107"/>
    <w:rsid w:val="00322355"/>
    <w:rsid w:val="00322846"/>
    <w:rsid w:val="00322ACF"/>
    <w:rsid w:val="0032441D"/>
    <w:rsid w:val="003248FB"/>
    <w:rsid w:val="00324F0E"/>
    <w:rsid w:val="00326DA7"/>
    <w:rsid w:val="00326FD0"/>
    <w:rsid w:val="003270E4"/>
    <w:rsid w:val="00327FA6"/>
    <w:rsid w:val="0033034F"/>
    <w:rsid w:val="00330A19"/>
    <w:rsid w:val="00330DAA"/>
    <w:rsid w:val="00330F5C"/>
    <w:rsid w:val="003316FA"/>
    <w:rsid w:val="0033212B"/>
    <w:rsid w:val="00332949"/>
    <w:rsid w:val="00332CB6"/>
    <w:rsid w:val="003347CC"/>
    <w:rsid w:val="00334C4D"/>
    <w:rsid w:val="003366C9"/>
    <w:rsid w:val="003371B0"/>
    <w:rsid w:val="0034066B"/>
    <w:rsid w:val="00340BD3"/>
    <w:rsid w:val="00340DF1"/>
    <w:rsid w:val="00341482"/>
    <w:rsid w:val="0034262A"/>
    <w:rsid w:val="00343C71"/>
    <w:rsid w:val="00344195"/>
    <w:rsid w:val="00344916"/>
    <w:rsid w:val="003457A7"/>
    <w:rsid w:val="0034590D"/>
    <w:rsid w:val="00345C2C"/>
    <w:rsid w:val="00345ED3"/>
    <w:rsid w:val="003465C6"/>
    <w:rsid w:val="00346809"/>
    <w:rsid w:val="00351098"/>
    <w:rsid w:val="003517F9"/>
    <w:rsid w:val="00351BA9"/>
    <w:rsid w:val="00354F64"/>
    <w:rsid w:val="00355616"/>
    <w:rsid w:val="0035620E"/>
    <w:rsid w:val="00356CF9"/>
    <w:rsid w:val="00357380"/>
    <w:rsid w:val="00360345"/>
    <w:rsid w:val="003603DF"/>
    <w:rsid w:val="003613A3"/>
    <w:rsid w:val="003613BE"/>
    <w:rsid w:val="00361A05"/>
    <w:rsid w:val="003624C4"/>
    <w:rsid w:val="00363828"/>
    <w:rsid w:val="00363B00"/>
    <w:rsid w:val="00364793"/>
    <w:rsid w:val="00364AD3"/>
    <w:rsid w:val="003654AC"/>
    <w:rsid w:val="00366EE6"/>
    <w:rsid w:val="00370D55"/>
    <w:rsid w:val="003710CF"/>
    <w:rsid w:val="00371343"/>
    <w:rsid w:val="003725F4"/>
    <w:rsid w:val="00372CAF"/>
    <w:rsid w:val="0037358A"/>
    <w:rsid w:val="00373B86"/>
    <w:rsid w:val="0037464F"/>
    <w:rsid w:val="00374E01"/>
    <w:rsid w:val="00375075"/>
    <w:rsid w:val="003750F6"/>
    <w:rsid w:val="00375CB0"/>
    <w:rsid w:val="003760FC"/>
    <w:rsid w:val="003771B4"/>
    <w:rsid w:val="00377E11"/>
    <w:rsid w:val="00380298"/>
    <w:rsid w:val="0038365C"/>
    <w:rsid w:val="0038369B"/>
    <w:rsid w:val="00383B78"/>
    <w:rsid w:val="00385395"/>
    <w:rsid w:val="003854A9"/>
    <w:rsid w:val="00385A9D"/>
    <w:rsid w:val="00386FE7"/>
    <w:rsid w:val="00387E28"/>
    <w:rsid w:val="00387E8B"/>
    <w:rsid w:val="0039005E"/>
    <w:rsid w:val="003902B1"/>
    <w:rsid w:val="0039179C"/>
    <w:rsid w:val="003921F8"/>
    <w:rsid w:val="00392C5D"/>
    <w:rsid w:val="00392D8A"/>
    <w:rsid w:val="00393BAD"/>
    <w:rsid w:val="00393D53"/>
    <w:rsid w:val="00395462"/>
    <w:rsid w:val="00396896"/>
    <w:rsid w:val="00396FD0"/>
    <w:rsid w:val="003A07AA"/>
    <w:rsid w:val="003A136D"/>
    <w:rsid w:val="003A1A7A"/>
    <w:rsid w:val="003A2059"/>
    <w:rsid w:val="003A2392"/>
    <w:rsid w:val="003A2831"/>
    <w:rsid w:val="003A3CB6"/>
    <w:rsid w:val="003A3ED1"/>
    <w:rsid w:val="003A44DB"/>
    <w:rsid w:val="003A58A8"/>
    <w:rsid w:val="003A633C"/>
    <w:rsid w:val="003A71D3"/>
    <w:rsid w:val="003A7DA7"/>
    <w:rsid w:val="003B0165"/>
    <w:rsid w:val="003B1595"/>
    <w:rsid w:val="003B25E6"/>
    <w:rsid w:val="003B392E"/>
    <w:rsid w:val="003B3971"/>
    <w:rsid w:val="003B41B9"/>
    <w:rsid w:val="003B4C8C"/>
    <w:rsid w:val="003B55D1"/>
    <w:rsid w:val="003B5911"/>
    <w:rsid w:val="003B5B61"/>
    <w:rsid w:val="003B703B"/>
    <w:rsid w:val="003C1654"/>
    <w:rsid w:val="003C1C84"/>
    <w:rsid w:val="003C206F"/>
    <w:rsid w:val="003C2FB6"/>
    <w:rsid w:val="003C3F5A"/>
    <w:rsid w:val="003C51FF"/>
    <w:rsid w:val="003C5542"/>
    <w:rsid w:val="003C6466"/>
    <w:rsid w:val="003C66D1"/>
    <w:rsid w:val="003C6BF6"/>
    <w:rsid w:val="003C7D19"/>
    <w:rsid w:val="003C7D2F"/>
    <w:rsid w:val="003D0048"/>
    <w:rsid w:val="003D11FE"/>
    <w:rsid w:val="003D1828"/>
    <w:rsid w:val="003D1DE4"/>
    <w:rsid w:val="003D1E9A"/>
    <w:rsid w:val="003D2422"/>
    <w:rsid w:val="003D39A1"/>
    <w:rsid w:val="003D3B2E"/>
    <w:rsid w:val="003D3FBF"/>
    <w:rsid w:val="003D4A30"/>
    <w:rsid w:val="003D4BEE"/>
    <w:rsid w:val="003D4C09"/>
    <w:rsid w:val="003D511E"/>
    <w:rsid w:val="003D5D67"/>
    <w:rsid w:val="003D6B80"/>
    <w:rsid w:val="003D6C59"/>
    <w:rsid w:val="003D7452"/>
    <w:rsid w:val="003D79BB"/>
    <w:rsid w:val="003D7C98"/>
    <w:rsid w:val="003D7D9D"/>
    <w:rsid w:val="003E00D4"/>
    <w:rsid w:val="003E0543"/>
    <w:rsid w:val="003E17CC"/>
    <w:rsid w:val="003E2FC4"/>
    <w:rsid w:val="003E3A48"/>
    <w:rsid w:val="003E3AE0"/>
    <w:rsid w:val="003E4926"/>
    <w:rsid w:val="003E612D"/>
    <w:rsid w:val="003E6866"/>
    <w:rsid w:val="003E6B37"/>
    <w:rsid w:val="003E749E"/>
    <w:rsid w:val="003E7F44"/>
    <w:rsid w:val="003E7FFB"/>
    <w:rsid w:val="003F11E6"/>
    <w:rsid w:val="003F2B26"/>
    <w:rsid w:val="003F2D76"/>
    <w:rsid w:val="003F4156"/>
    <w:rsid w:val="003F4402"/>
    <w:rsid w:val="003F5ADF"/>
    <w:rsid w:val="003F6569"/>
    <w:rsid w:val="003F748D"/>
    <w:rsid w:val="00400B29"/>
    <w:rsid w:val="004013B4"/>
    <w:rsid w:val="0040236A"/>
    <w:rsid w:val="0040340C"/>
    <w:rsid w:val="0040504B"/>
    <w:rsid w:val="004059F4"/>
    <w:rsid w:val="00405CC9"/>
    <w:rsid w:val="00407EBB"/>
    <w:rsid w:val="00407FE5"/>
    <w:rsid w:val="004101B0"/>
    <w:rsid w:val="00410326"/>
    <w:rsid w:val="00410708"/>
    <w:rsid w:val="00410E5F"/>
    <w:rsid w:val="00410EC7"/>
    <w:rsid w:val="00410EDD"/>
    <w:rsid w:val="00410F29"/>
    <w:rsid w:val="004115ED"/>
    <w:rsid w:val="0041170A"/>
    <w:rsid w:val="00411B39"/>
    <w:rsid w:val="0041273E"/>
    <w:rsid w:val="004127A7"/>
    <w:rsid w:val="004128DC"/>
    <w:rsid w:val="00413A1E"/>
    <w:rsid w:val="00413A93"/>
    <w:rsid w:val="00414476"/>
    <w:rsid w:val="00414C2E"/>
    <w:rsid w:val="004151CF"/>
    <w:rsid w:val="00416364"/>
    <w:rsid w:val="0042047F"/>
    <w:rsid w:val="00420560"/>
    <w:rsid w:val="00420AA6"/>
    <w:rsid w:val="00420B9F"/>
    <w:rsid w:val="0042192C"/>
    <w:rsid w:val="00421F50"/>
    <w:rsid w:val="00422109"/>
    <w:rsid w:val="00422260"/>
    <w:rsid w:val="00423460"/>
    <w:rsid w:val="0042413F"/>
    <w:rsid w:val="004254EA"/>
    <w:rsid w:val="00426125"/>
    <w:rsid w:val="00426BC4"/>
    <w:rsid w:val="00426C54"/>
    <w:rsid w:val="00426F6E"/>
    <w:rsid w:val="00426F73"/>
    <w:rsid w:val="00427E5C"/>
    <w:rsid w:val="004303A3"/>
    <w:rsid w:val="0043103B"/>
    <w:rsid w:val="004319F8"/>
    <w:rsid w:val="00431E55"/>
    <w:rsid w:val="004321F6"/>
    <w:rsid w:val="004328AF"/>
    <w:rsid w:val="00432D5A"/>
    <w:rsid w:val="00433044"/>
    <w:rsid w:val="00433910"/>
    <w:rsid w:val="00433A5F"/>
    <w:rsid w:val="00434033"/>
    <w:rsid w:val="00434088"/>
    <w:rsid w:val="004341B7"/>
    <w:rsid w:val="00435EE3"/>
    <w:rsid w:val="004360F1"/>
    <w:rsid w:val="004362E5"/>
    <w:rsid w:val="0043660C"/>
    <w:rsid w:val="0043662D"/>
    <w:rsid w:val="00436EF2"/>
    <w:rsid w:val="004375B9"/>
    <w:rsid w:val="00437936"/>
    <w:rsid w:val="00437E68"/>
    <w:rsid w:val="00441060"/>
    <w:rsid w:val="00442039"/>
    <w:rsid w:val="00442232"/>
    <w:rsid w:val="004428D0"/>
    <w:rsid w:val="00442E4E"/>
    <w:rsid w:val="00443ED6"/>
    <w:rsid w:val="00443FE9"/>
    <w:rsid w:val="0044400E"/>
    <w:rsid w:val="00444050"/>
    <w:rsid w:val="00444185"/>
    <w:rsid w:val="004443A7"/>
    <w:rsid w:val="0044442C"/>
    <w:rsid w:val="0044512B"/>
    <w:rsid w:val="004453FF"/>
    <w:rsid w:val="00445941"/>
    <w:rsid w:val="004464EB"/>
    <w:rsid w:val="00446B9D"/>
    <w:rsid w:val="0044793B"/>
    <w:rsid w:val="00447C6E"/>
    <w:rsid w:val="00447D26"/>
    <w:rsid w:val="00447DFC"/>
    <w:rsid w:val="00450937"/>
    <w:rsid w:val="00451BA6"/>
    <w:rsid w:val="00451C41"/>
    <w:rsid w:val="00453958"/>
    <w:rsid w:val="0045562B"/>
    <w:rsid w:val="00455D45"/>
    <w:rsid w:val="00455DD3"/>
    <w:rsid w:val="00455E79"/>
    <w:rsid w:val="00457194"/>
    <w:rsid w:val="00457D1E"/>
    <w:rsid w:val="00460101"/>
    <w:rsid w:val="00460F7C"/>
    <w:rsid w:val="004618BF"/>
    <w:rsid w:val="00461CBA"/>
    <w:rsid w:val="00462F1B"/>
    <w:rsid w:val="00464595"/>
    <w:rsid w:val="004658B5"/>
    <w:rsid w:val="00465FC7"/>
    <w:rsid w:val="00466F10"/>
    <w:rsid w:val="0047149D"/>
    <w:rsid w:val="00471EA5"/>
    <w:rsid w:val="004724DD"/>
    <w:rsid w:val="00472A79"/>
    <w:rsid w:val="00472EF0"/>
    <w:rsid w:val="00473CA5"/>
    <w:rsid w:val="00473F19"/>
    <w:rsid w:val="00475072"/>
    <w:rsid w:val="00475789"/>
    <w:rsid w:val="00475944"/>
    <w:rsid w:val="00475E22"/>
    <w:rsid w:val="0048088E"/>
    <w:rsid w:val="00480F2B"/>
    <w:rsid w:val="00480F9F"/>
    <w:rsid w:val="00481C3C"/>
    <w:rsid w:val="00482720"/>
    <w:rsid w:val="00482888"/>
    <w:rsid w:val="00482D7E"/>
    <w:rsid w:val="0048328E"/>
    <w:rsid w:val="004834EE"/>
    <w:rsid w:val="004835E7"/>
    <w:rsid w:val="00483A4A"/>
    <w:rsid w:val="00484671"/>
    <w:rsid w:val="004848B3"/>
    <w:rsid w:val="004867E2"/>
    <w:rsid w:val="00486C0D"/>
    <w:rsid w:val="00490B17"/>
    <w:rsid w:val="004915AF"/>
    <w:rsid w:val="004918A3"/>
    <w:rsid w:val="00491B3A"/>
    <w:rsid w:val="00492CFD"/>
    <w:rsid w:val="00493743"/>
    <w:rsid w:val="00494207"/>
    <w:rsid w:val="00494DD5"/>
    <w:rsid w:val="00495909"/>
    <w:rsid w:val="004962D2"/>
    <w:rsid w:val="0049656C"/>
    <w:rsid w:val="00496602"/>
    <w:rsid w:val="00496A36"/>
    <w:rsid w:val="004979CE"/>
    <w:rsid w:val="004A073A"/>
    <w:rsid w:val="004A08E9"/>
    <w:rsid w:val="004A0A54"/>
    <w:rsid w:val="004A0D2D"/>
    <w:rsid w:val="004A0DA1"/>
    <w:rsid w:val="004A0EC4"/>
    <w:rsid w:val="004A13D6"/>
    <w:rsid w:val="004A23A7"/>
    <w:rsid w:val="004A23DB"/>
    <w:rsid w:val="004A258E"/>
    <w:rsid w:val="004A3324"/>
    <w:rsid w:val="004A3C84"/>
    <w:rsid w:val="004A52E9"/>
    <w:rsid w:val="004A5862"/>
    <w:rsid w:val="004A5A74"/>
    <w:rsid w:val="004A6040"/>
    <w:rsid w:val="004A6051"/>
    <w:rsid w:val="004A6597"/>
    <w:rsid w:val="004A6D7D"/>
    <w:rsid w:val="004A6EEA"/>
    <w:rsid w:val="004A7848"/>
    <w:rsid w:val="004B1CB4"/>
    <w:rsid w:val="004B2F18"/>
    <w:rsid w:val="004B39F8"/>
    <w:rsid w:val="004B3DDB"/>
    <w:rsid w:val="004B44FD"/>
    <w:rsid w:val="004B4FCA"/>
    <w:rsid w:val="004B5CFC"/>
    <w:rsid w:val="004B6B6E"/>
    <w:rsid w:val="004B6DF8"/>
    <w:rsid w:val="004B6F79"/>
    <w:rsid w:val="004B774D"/>
    <w:rsid w:val="004C0777"/>
    <w:rsid w:val="004C19AC"/>
    <w:rsid w:val="004C1CED"/>
    <w:rsid w:val="004C233B"/>
    <w:rsid w:val="004C338D"/>
    <w:rsid w:val="004C383B"/>
    <w:rsid w:val="004C456B"/>
    <w:rsid w:val="004C4AED"/>
    <w:rsid w:val="004C55E8"/>
    <w:rsid w:val="004C5B57"/>
    <w:rsid w:val="004C77DA"/>
    <w:rsid w:val="004C7BFE"/>
    <w:rsid w:val="004D0AE4"/>
    <w:rsid w:val="004D2C2D"/>
    <w:rsid w:val="004D3E8B"/>
    <w:rsid w:val="004D40A2"/>
    <w:rsid w:val="004D5066"/>
    <w:rsid w:val="004D5409"/>
    <w:rsid w:val="004D606A"/>
    <w:rsid w:val="004D69B5"/>
    <w:rsid w:val="004D7227"/>
    <w:rsid w:val="004D763B"/>
    <w:rsid w:val="004D7ACE"/>
    <w:rsid w:val="004E07B7"/>
    <w:rsid w:val="004E0E7F"/>
    <w:rsid w:val="004E0EB8"/>
    <w:rsid w:val="004E1838"/>
    <w:rsid w:val="004E18E9"/>
    <w:rsid w:val="004E2803"/>
    <w:rsid w:val="004E2ADC"/>
    <w:rsid w:val="004E3C37"/>
    <w:rsid w:val="004E43B2"/>
    <w:rsid w:val="004E44C1"/>
    <w:rsid w:val="004E4A8D"/>
    <w:rsid w:val="004E5E5C"/>
    <w:rsid w:val="004E5FB1"/>
    <w:rsid w:val="004E6E72"/>
    <w:rsid w:val="004E6EC9"/>
    <w:rsid w:val="004E7223"/>
    <w:rsid w:val="004F02DC"/>
    <w:rsid w:val="004F0A89"/>
    <w:rsid w:val="004F0CDA"/>
    <w:rsid w:val="004F116E"/>
    <w:rsid w:val="004F1B9E"/>
    <w:rsid w:val="004F1D02"/>
    <w:rsid w:val="004F2259"/>
    <w:rsid w:val="004F2679"/>
    <w:rsid w:val="004F2F21"/>
    <w:rsid w:val="004F3DE5"/>
    <w:rsid w:val="004F41A0"/>
    <w:rsid w:val="004F48AF"/>
    <w:rsid w:val="004F6913"/>
    <w:rsid w:val="004F721A"/>
    <w:rsid w:val="004F761F"/>
    <w:rsid w:val="004F7865"/>
    <w:rsid w:val="0050046E"/>
    <w:rsid w:val="00500BC5"/>
    <w:rsid w:val="0050174E"/>
    <w:rsid w:val="00501854"/>
    <w:rsid w:val="0050219B"/>
    <w:rsid w:val="005025A8"/>
    <w:rsid w:val="00503651"/>
    <w:rsid w:val="00503F17"/>
    <w:rsid w:val="005048B6"/>
    <w:rsid w:val="00505ECB"/>
    <w:rsid w:val="00506163"/>
    <w:rsid w:val="00506928"/>
    <w:rsid w:val="00506983"/>
    <w:rsid w:val="005077EF"/>
    <w:rsid w:val="00511AD5"/>
    <w:rsid w:val="00511DC7"/>
    <w:rsid w:val="00512FDC"/>
    <w:rsid w:val="005130ED"/>
    <w:rsid w:val="005139F5"/>
    <w:rsid w:val="005142C5"/>
    <w:rsid w:val="0051479A"/>
    <w:rsid w:val="0051501B"/>
    <w:rsid w:val="005152B5"/>
    <w:rsid w:val="00515CE4"/>
    <w:rsid w:val="00515D32"/>
    <w:rsid w:val="00515FE6"/>
    <w:rsid w:val="005170C5"/>
    <w:rsid w:val="0052088E"/>
    <w:rsid w:val="00520BB2"/>
    <w:rsid w:val="0052123C"/>
    <w:rsid w:val="00521319"/>
    <w:rsid w:val="00522BC8"/>
    <w:rsid w:val="00522F43"/>
    <w:rsid w:val="00523917"/>
    <w:rsid w:val="00523C28"/>
    <w:rsid w:val="005243A9"/>
    <w:rsid w:val="00524DD9"/>
    <w:rsid w:val="0052665B"/>
    <w:rsid w:val="00526B43"/>
    <w:rsid w:val="005274FB"/>
    <w:rsid w:val="00527F50"/>
    <w:rsid w:val="0053096A"/>
    <w:rsid w:val="00531440"/>
    <w:rsid w:val="005314DA"/>
    <w:rsid w:val="0053176B"/>
    <w:rsid w:val="00531C3A"/>
    <w:rsid w:val="005324A5"/>
    <w:rsid w:val="0053454C"/>
    <w:rsid w:val="00536E71"/>
    <w:rsid w:val="00536F42"/>
    <w:rsid w:val="00537182"/>
    <w:rsid w:val="00540021"/>
    <w:rsid w:val="00540278"/>
    <w:rsid w:val="00541EDD"/>
    <w:rsid w:val="005420E2"/>
    <w:rsid w:val="00542743"/>
    <w:rsid w:val="00542C2D"/>
    <w:rsid w:val="00543B8A"/>
    <w:rsid w:val="00543F8A"/>
    <w:rsid w:val="0054419B"/>
    <w:rsid w:val="005452C1"/>
    <w:rsid w:val="005454FA"/>
    <w:rsid w:val="005459EF"/>
    <w:rsid w:val="00545B96"/>
    <w:rsid w:val="005478BD"/>
    <w:rsid w:val="005479E3"/>
    <w:rsid w:val="0055027E"/>
    <w:rsid w:val="00550C11"/>
    <w:rsid w:val="005514BE"/>
    <w:rsid w:val="00551985"/>
    <w:rsid w:val="0055218A"/>
    <w:rsid w:val="00552BD3"/>
    <w:rsid w:val="00552E98"/>
    <w:rsid w:val="005532A0"/>
    <w:rsid w:val="0055384B"/>
    <w:rsid w:val="005546E4"/>
    <w:rsid w:val="00555109"/>
    <w:rsid w:val="005554C3"/>
    <w:rsid w:val="0055656F"/>
    <w:rsid w:val="005567A2"/>
    <w:rsid w:val="00556B35"/>
    <w:rsid w:val="00556C13"/>
    <w:rsid w:val="0055741A"/>
    <w:rsid w:val="005611B7"/>
    <w:rsid w:val="00561898"/>
    <w:rsid w:val="005618D4"/>
    <w:rsid w:val="00561E39"/>
    <w:rsid w:val="00561F87"/>
    <w:rsid w:val="00563E78"/>
    <w:rsid w:val="0056488D"/>
    <w:rsid w:val="00565DF0"/>
    <w:rsid w:val="005668AE"/>
    <w:rsid w:val="0056696F"/>
    <w:rsid w:val="0056719C"/>
    <w:rsid w:val="00570B7A"/>
    <w:rsid w:val="00572269"/>
    <w:rsid w:val="0057244A"/>
    <w:rsid w:val="00572BE0"/>
    <w:rsid w:val="00572D0C"/>
    <w:rsid w:val="00572F26"/>
    <w:rsid w:val="00574FDE"/>
    <w:rsid w:val="005750C5"/>
    <w:rsid w:val="005752DE"/>
    <w:rsid w:val="00575D8D"/>
    <w:rsid w:val="00575E00"/>
    <w:rsid w:val="00576972"/>
    <w:rsid w:val="00576B45"/>
    <w:rsid w:val="005802AF"/>
    <w:rsid w:val="00580AAF"/>
    <w:rsid w:val="00581252"/>
    <w:rsid w:val="005828A9"/>
    <w:rsid w:val="00583699"/>
    <w:rsid w:val="0058380E"/>
    <w:rsid w:val="005841E6"/>
    <w:rsid w:val="00584395"/>
    <w:rsid w:val="00585114"/>
    <w:rsid w:val="00585CDD"/>
    <w:rsid w:val="00587058"/>
    <w:rsid w:val="00590028"/>
    <w:rsid w:val="0059030B"/>
    <w:rsid w:val="00591957"/>
    <w:rsid w:val="00592600"/>
    <w:rsid w:val="005926E5"/>
    <w:rsid w:val="00593899"/>
    <w:rsid w:val="00593B64"/>
    <w:rsid w:val="00594FAD"/>
    <w:rsid w:val="00595AF6"/>
    <w:rsid w:val="00595D1B"/>
    <w:rsid w:val="00596A9F"/>
    <w:rsid w:val="00597BF9"/>
    <w:rsid w:val="005A012E"/>
    <w:rsid w:val="005A01E8"/>
    <w:rsid w:val="005A04DD"/>
    <w:rsid w:val="005A1A9E"/>
    <w:rsid w:val="005A1AB2"/>
    <w:rsid w:val="005A26C9"/>
    <w:rsid w:val="005A309A"/>
    <w:rsid w:val="005A3392"/>
    <w:rsid w:val="005A373D"/>
    <w:rsid w:val="005A4887"/>
    <w:rsid w:val="005A4CE1"/>
    <w:rsid w:val="005A5219"/>
    <w:rsid w:val="005A631C"/>
    <w:rsid w:val="005A6F8D"/>
    <w:rsid w:val="005A7A6D"/>
    <w:rsid w:val="005B0B58"/>
    <w:rsid w:val="005B0C61"/>
    <w:rsid w:val="005B11FF"/>
    <w:rsid w:val="005B1794"/>
    <w:rsid w:val="005B1EAF"/>
    <w:rsid w:val="005B4349"/>
    <w:rsid w:val="005B4E53"/>
    <w:rsid w:val="005B5857"/>
    <w:rsid w:val="005B60F4"/>
    <w:rsid w:val="005B730F"/>
    <w:rsid w:val="005C19C4"/>
    <w:rsid w:val="005C1B83"/>
    <w:rsid w:val="005C25FF"/>
    <w:rsid w:val="005C2D55"/>
    <w:rsid w:val="005C2FC9"/>
    <w:rsid w:val="005C346B"/>
    <w:rsid w:val="005C403B"/>
    <w:rsid w:val="005C4BA8"/>
    <w:rsid w:val="005C69B6"/>
    <w:rsid w:val="005C7387"/>
    <w:rsid w:val="005C7A13"/>
    <w:rsid w:val="005D044D"/>
    <w:rsid w:val="005D0ABD"/>
    <w:rsid w:val="005D18AD"/>
    <w:rsid w:val="005D1942"/>
    <w:rsid w:val="005D26B4"/>
    <w:rsid w:val="005D393F"/>
    <w:rsid w:val="005D3DF2"/>
    <w:rsid w:val="005D4D1E"/>
    <w:rsid w:val="005D50F6"/>
    <w:rsid w:val="005D5738"/>
    <w:rsid w:val="005D68A1"/>
    <w:rsid w:val="005D7520"/>
    <w:rsid w:val="005D7B4A"/>
    <w:rsid w:val="005E0159"/>
    <w:rsid w:val="005E236B"/>
    <w:rsid w:val="005E337C"/>
    <w:rsid w:val="005E3CC7"/>
    <w:rsid w:val="005E4D21"/>
    <w:rsid w:val="005E4FA1"/>
    <w:rsid w:val="005E63A8"/>
    <w:rsid w:val="005E6CBC"/>
    <w:rsid w:val="005E72FF"/>
    <w:rsid w:val="005E73C0"/>
    <w:rsid w:val="005E7A67"/>
    <w:rsid w:val="005F1CE1"/>
    <w:rsid w:val="005F2706"/>
    <w:rsid w:val="005F2FD3"/>
    <w:rsid w:val="005F4B18"/>
    <w:rsid w:val="005F5343"/>
    <w:rsid w:val="005F65B5"/>
    <w:rsid w:val="005F6A8F"/>
    <w:rsid w:val="005F6BB7"/>
    <w:rsid w:val="005F7588"/>
    <w:rsid w:val="00600CA0"/>
    <w:rsid w:val="0060168F"/>
    <w:rsid w:val="006019A4"/>
    <w:rsid w:val="00603DB9"/>
    <w:rsid w:val="0060477D"/>
    <w:rsid w:val="00604E48"/>
    <w:rsid w:val="00605A50"/>
    <w:rsid w:val="00606FBA"/>
    <w:rsid w:val="00607483"/>
    <w:rsid w:val="00607669"/>
    <w:rsid w:val="006076F4"/>
    <w:rsid w:val="00607AFD"/>
    <w:rsid w:val="00610C44"/>
    <w:rsid w:val="00612F26"/>
    <w:rsid w:val="00612F97"/>
    <w:rsid w:val="00613154"/>
    <w:rsid w:val="00613225"/>
    <w:rsid w:val="0061345D"/>
    <w:rsid w:val="00614D27"/>
    <w:rsid w:val="0061549B"/>
    <w:rsid w:val="00615B47"/>
    <w:rsid w:val="00615BF1"/>
    <w:rsid w:val="0061642F"/>
    <w:rsid w:val="00616802"/>
    <w:rsid w:val="00616CB3"/>
    <w:rsid w:val="006177EA"/>
    <w:rsid w:val="00617E12"/>
    <w:rsid w:val="00620B5C"/>
    <w:rsid w:val="00620C25"/>
    <w:rsid w:val="00621477"/>
    <w:rsid w:val="00621ADA"/>
    <w:rsid w:val="00621C82"/>
    <w:rsid w:val="00622A5E"/>
    <w:rsid w:val="0062351A"/>
    <w:rsid w:val="00623F7B"/>
    <w:rsid w:val="006252BC"/>
    <w:rsid w:val="006263E1"/>
    <w:rsid w:val="006265C6"/>
    <w:rsid w:val="00626AA9"/>
    <w:rsid w:val="00626C75"/>
    <w:rsid w:val="00627173"/>
    <w:rsid w:val="006275FC"/>
    <w:rsid w:val="00627797"/>
    <w:rsid w:val="00630217"/>
    <w:rsid w:val="0063158F"/>
    <w:rsid w:val="006319D8"/>
    <w:rsid w:val="00631D6B"/>
    <w:rsid w:val="00632183"/>
    <w:rsid w:val="006329D1"/>
    <w:rsid w:val="006330A1"/>
    <w:rsid w:val="00633C65"/>
    <w:rsid w:val="006343FD"/>
    <w:rsid w:val="0063479F"/>
    <w:rsid w:val="00634949"/>
    <w:rsid w:val="00634B3D"/>
    <w:rsid w:val="00634E5B"/>
    <w:rsid w:val="006353F0"/>
    <w:rsid w:val="006357B5"/>
    <w:rsid w:val="00635F21"/>
    <w:rsid w:val="006364A1"/>
    <w:rsid w:val="0063678E"/>
    <w:rsid w:val="006375F1"/>
    <w:rsid w:val="00637BFD"/>
    <w:rsid w:val="0064091B"/>
    <w:rsid w:val="006409CE"/>
    <w:rsid w:val="00641C4E"/>
    <w:rsid w:val="00641FB3"/>
    <w:rsid w:val="006421BA"/>
    <w:rsid w:val="00642205"/>
    <w:rsid w:val="00643297"/>
    <w:rsid w:val="0064434C"/>
    <w:rsid w:val="00644C62"/>
    <w:rsid w:val="00645A5D"/>
    <w:rsid w:val="006471CC"/>
    <w:rsid w:val="00647A29"/>
    <w:rsid w:val="00650719"/>
    <w:rsid w:val="0065079F"/>
    <w:rsid w:val="006516B5"/>
    <w:rsid w:val="00652984"/>
    <w:rsid w:val="00652A28"/>
    <w:rsid w:val="0065379F"/>
    <w:rsid w:val="00653D53"/>
    <w:rsid w:val="00654D7F"/>
    <w:rsid w:val="00654DD9"/>
    <w:rsid w:val="0065508A"/>
    <w:rsid w:val="00655239"/>
    <w:rsid w:val="00656188"/>
    <w:rsid w:val="0065673A"/>
    <w:rsid w:val="00656FB6"/>
    <w:rsid w:val="0065715A"/>
    <w:rsid w:val="006608E5"/>
    <w:rsid w:val="006610F1"/>
    <w:rsid w:val="00661C6B"/>
    <w:rsid w:val="006630B4"/>
    <w:rsid w:val="00663D2F"/>
    <w:rsid w:val="00666126"/>
    <w:rsid w:val="00667439"/>
    <w:rsid w:val="006708C4"/>
    <w:rsid w:val="00670AD2"/>
    <w:rsid w:val="00670D39"/>
    <w:rsid w:val="00671004"/>
    <w:rsid w:val="00672646"/>
    <w:rsid w:val="00673907"/>
    <w:rsid w:val="00673A41"/>
    <w:rsid w:val="00674961"/>
    <w:rsid w:val="00674E42"/>
    <w:rsid w:val="00675D88"/>
    <w:rsid w:val="006763D5"/>
    <w:rsid w:val="006766CF"/>
    <w:rsid w:val="00680DEF"/>
    <w:rsid w:val="00681098"/>
    <w:rsid w:val="006813F8"/>
    <w:rsid w:val="00681499"/>
    <w:rsid w:val="00681647"/>
    <w:rsid w:val="00682112"/>
    <w:rsid w:val="00682BA6"/>
    <w:rsid w:val="00686603"/>
    <w:rsid w:val="0068685D"/>
    <w:rsid w:val="00686957"/>
    <w:rsid w:val="006872BA"/>
    <w:rsid w:val="00690795"/>
    <w:rsid w:val="00691648"/>
    <w:rsid w:val="006917D7"/>
    <w:rsid w:val="00692E9E"/>
    <w:rsid w:val="0069434C"/>
    <w:rsid w:val="00694F44"/>
    <w:rsid w:val="00695F2F"/>
    <w:rsid w:val="00696F51"/>
    <w:rsid w:val="006979A5"/>
    <w:rsid w:val="00697BF5"/>
    <w:rsid w:val="00697F83"/>
    <w:rsid w:val="006A143F"/>
    <w:rsid w:val="006A3154"/>
    <w:rsid w:val="006A34D9"/>
    <w:rsid w:val="006A4405"/>
    <w:rsid w:val="006A4971"/>
    <w:rsid w:val="006A6B99"/>
    <w:rsid w:val="006A6D4D"/>
    <w:rsid w:val="006A7E5F"/>
    <w:rsid w:val="006B0D62"/>
    <w:rsid w:val="006B1137"/>
    <w:rsid w:val="006B1399"/>
    <w:rsid w:val="006B1B2D"/>
    <w:rsid w:val="006B261B"/>
    <w:rsid w:val="006B2A55"/>
    <w:rsid w:val="006B2C90"/>
    <w:rsid w:val="006B325C"/>
    <w:rsid w:val="006B3560"/>
    <w:rsid w:val="006B35E6"/>
    <w:rsid w:val="006B376C"/>
    <w:rsid w:val="006B45F1"/>
    <w:rsid w:val="006B465A"/>
    <w:rsid w:val="006B4F4A"/>
    <w:rsid w:val="006B553C"/>
    <w:rsid w:val="006B55DC"/>
    <w:rsid w:val="006B585F"/>
    <w:rsid w:val="006B6DD0"/>
    <w:rsid w:val="006B7E73"/>
    <w:rsid w:val="006C0399"/>
    <w:rsid w:val="006C18CA"/>
    <w:rsid w:val="006C22D3"/>
    <w:rsid w:val="006C2A8E"/>
    <w:rsid w:val="006C3255"/>
    <w:rsid w:val="006C3C43"/>
    <w:rsid w:val="006C3DCD"/>
    <w:rsid w:val="006C3E90"/>
    <w:rsid w:val="006C3F26"/>
    <w:rsid w:val="006C6A9B"/>
    <w:rsid w:val="006C7285"/>
    <w:rsid w:val="006D0BBE"/>
    <w:rsid w:val="006D0D17"/>
    <w:rsid w:val="006D1DC9"/>
    <w:rsid w:val="006D2185"/>
    <w:rsid w:val="006D2AEC"/>
    <w:rsid w:val="006D39F4"/>
    <w:rsid w:val="006D3B66"/>
    <w:rsid w:val="006D3C7D"/>
    <w:rsid w:val="006D41A9"/>
    <w:rsid w:val="006D4659"/>
    <w:rsid w:val="006D5D5F"/>
    <w:rsid w:val="006D66C3"/>
    <w:rsid w:val="006D68FB"/>
    <w:rsid w:val="006E0265"/>
    <w:rsid w:val="006E0BD4"/>
    <w:rsid w:val="006E24C8"/>
    <w:rsid w:val="006E2868"/>
    <w:rsid w:val="006E2B23"/>
    <w:rsid w:val="006E2F14"/>
    <w:rsid w:val="006E3170"/>
    <w:rsid w:val="006E3E9D"/>
    <w:rsid w:val="006E6522"/>
    <w:rsid w:val="006E68A4"/>
    <w:rsid w:val="006E6EBB"/>
    <w:rsid w:val="006F1590"/>
    <w:rsid w:val="006F241C"/>
    <w:rsid w:val="006F2A3A"/>
    <w:rsid w:val="006F2D46"/>
    <w:rsid w:val="006F306C"/>
    <w:rsid w:val="006F3288"/>
    <w:rsid w:val="006F3B2D"/>
    <w:rsid w:val="006F3BDA"/>
    <w:rsid w:val="006F47CC"/>
    <w:rsid w:val="006F63A5"/>
    <w:rsid w:val="006F79EF"/>
    <w:rsid w:val="007009EB"/>
    <w:rsid w:val="00700CE7"/>
    <w:rsid w:val="0070142B"/>
    <w:rsid w:val="00701BF9"/>
    <w:rsid w:val="0070276E"/>
    <w:rsid w:val="00702C05"/>
    <w:rsid w:val="00702F8F"/>
    <w:rsid w:val="007039FC"/>
    <w:rsid w:val="00704F87"/>
    <w:rsid w:val="0070501F"/>
    <w:rsid w:val="007054F3"/>
    <w:rsid w:val="00706F2C"/>
    <w:rsid w:val="007079FC"/>
    <w:rsid w:val="00710B35"/>
    <w:rsid w:val="00711285"/>
    <w:rsid w:val="00711A36"/>
    <w:rsid w:val="00712762"/>
    <w:rsid w:val="0071410D"/>
    <w:rsid w:val="00714C26"/>
    <w:rsid w:val="00715056"/>
    <w:rsid w:val="0071529C"/>
    <w:rsid w:val="00715A05"/>
    <w:rsid w:val="00716BCA"/>
    <w:rsid w:val="007170DA"/>
    <w:rsid w:val="007172A6"/>
    <w:rsid w:val="007172AD"/>
    <w:rsid w:val="0071732B"/>
    <w:rsid w:val="00720181"/>
    <w:rsid w:val="00720801"/>
    <w:rsid w:val="00720BC1"/>
    <w:rsid w:val="00722A1A"/>
    <w:rsid w:val="00722B1B"/>
    <w:rsid w:val="00723426"/>
    <w:rsid w:val="00723F3E"/>
    <w:rsid w:val="0072416F"/>
    <w:rsid w:val="007246FB"/>
    <w:rsid w:val="007271D3"/>
    <w:rsid w:val="00727316"/>
    <w:rsid w:val="00727C94"/>
    <w:rsid w:val="00731B0A"/>
    <w:rsid w:val="00731EAE"/>
    <w:rsid w:val="00733073"/>
    <w:rsid w:val="007336FA"/>
    <w:rsid w:val="00734AC1"/>
    <w:rsid w:val="00734F3A"/>
    <w:rsid w:val="00735033"/>
    <w:rsid w:val="00735328"/>
    <w:rsid w:val="00735714"/>
    <w:rsid w:val="00735B5C"/>
    <w:rsid w:val="00735ECA"/>
    <w:rsid w:val="0073685B"/>
    <w:rsid w:val="00737891"/>
    <w:rsid w:val="00740A56"/>
    <w:rsid w:val="00741EEE"/>
    <w:rsid w:val="00743329"/>
    <w:rsid w:val="007437CE"/>
    <w:rsid w:val="00743968"/>
    <w:rsid w:val="00744987"/>
    <w:rsid w:val="007449BF"/>
    <w:rsid w:val="00746BC0"/>
    <w:rsid w:val="0074787C"/>
    <w:rsid w:val="00747F13"/>
    <w:rsid w:val="007510B4"/>
    <w:rsid w:val="007516BA"/>
    <w:rsid w:val="00751911"/>
    <w:rsid w:val="00751BF5"/>
    <w:rsid w:val="00752142"/>
    <w:rsid w:val="007523F9"/>
    <w:rsid w:val="00752406"/>
    <w:rsid w:val="0075351F"/>
    <w:rsid w:val="0075357E"/>
    <w:rsid w:val="00755BED"/>
    <w:rsid w:val="007561D2"/>
    <w:rsid w:val="007573E8"/>
    <w:rsid w:val="00760302"/>
    <w:rsid w:val="00760C4E"/>
    <w:rsid w:val="00760EAE"/>
    <w:rsid w:val="00760F9E"/>
    <w:rsid w:val="00761B14"/>
    <w:rsid w:val="00761B9D"/>
    <w:rsid w:val="007627BE"/>
    <w:rsid w:val="00764E0B"/>
    <w:rsid w:val="00764F03"/>
    <w:rsid w:val="00765B1A"/>
    <w:rsid w:val="00766D6F"/>
    <w:rsid w:val="00767BE6"/>
    <w:rsid w:val="007702A4"/>
    <w:rsid w:val="007702D2"/>
    <w:rsid w:val="00771179"/>
    <w:rsid w:val="007719E4"/>
    <w:rsid w:val="00772394"/>
    <w:rsid w:val="0077261D"/>
    <w:rsid w:val="007733DD"/>
    <w:rsid w:val="00774524"/>
    <w:rsid w:val="00775988"/>
    <w:rsid w:val="007759CB"/>
    <w:rsid w:val="007766AC"/>
    <w:rsid w:val="00777291"/>
    <w:rsid w:val="00777335"/>
    <w:rsid w:val="00777A02"/>
    <w:rsid w:val="00777FCC"/>
    <w:rsid w:val="00780FD4"/>
    <w:rsid w:val="00781185"/>
    <w:rsid w:val="0078262F"/>
    <w:rsid w:val="00782729"/>
    <w:rsid w:val="00783D8B"/>
    <w:rsid w:val="007843F2"/>
    <w:rsid w:val="00785A9F"/>
    <w:rsid w:val="00792039"/>
    <w:rsid w:val="007925DF"/>
    <w:rsid w:val="007926EC"/>
    <w:rsid w:val="00793B97"/>
    <w:rsid w:val="00794AD4"/>
    <w:rsid w:val="00794B45"/>
    <w:rsid w:val="00794CC4"/>
    <w:rsid w:val="00796DA3"/>
    <w:rsid w:val="00797375"/>
    <w:rsid w:val="00797AD4"/>
    <w:rsid w:val="007A08AA"/>
    <w:rsid w:val="007A0A12"/>
    <w:rsid w:val="007A132D"/>
    <w:rsid w:val="007A1345"/>
    <w:rsid w:val="007A1F08"/>
    <w:rsid w:val="007A2A89"/>
    <w:rsid w:val="007A2DDB"/>
    <w:rsid w:val="007A3D34"/>
    <w:rsid w:val="007A40DE"/>
    <w:rsid w:val="007A4431"/>
    <w:rsid w:val="007A5249"/>
    <w:rsid w:val="007A688A"/>
    <w:rsid w:val="007A70BA"/>
    <w:rsid w:val="007A7DB5"/>
    <w:rsid w:val="007B0D68"/>
    <w:rsid w:val="007B101C"/>
    <w:rsid w:val="007B14CB"/>
    <w:rsid w:val="007B251D"/>
    <w:rsid w:val="007B2783"/>
    <w:rsid w:val="007B4188"/>
    <w:rsid w:val="007B4F58"/>
    <w:rsid w:val="007B5046"/>
    <w:rsid w:val="007B528D"/>
    <w:rsid w:val="007B53B2"/>
    <w:rsid w:val="007B63CA"/>
    <w:rsid w:val="007B77D1"/>
    <w:rsid w:val="007B7ECE"/>
    <w:rsid w:val="007C07C7"/>
    <w:rsid w:val="007C115B"/>
    <w:rsid w:val="007C1813"/>
    <w:rsid w:val="007C1CD9"/>
    <w:rsid w:val="007C22B8"/>
    <w:rsid w:val="007C32EF"/>
    <w:rsid w:val="007C361D"/>
    <w:rsid w:val="007C39E0"/>
    <w:rsid w:val="007C3E91"/>
    <w:rsid w:val="007C4B84"/>
    <w:rsid w:val="007C517D"/>
    <w:rsid w:val="007C70FF"/>
    <w:rsid w:val="007C710C"/>
    <w:rsid w:val="007C79AA"/>
    <w:rsid w:val="007C7C25"/>
    <w:rsid w:val="007D004F"/>
    <w:rsid w:val="007D0135"/>
    <w:rsid w:val="007D064E"/>
    <w:rsid w:val="007D0B38"/>
    <w:rsid w:val="007D1750"/>
    <w:rsid w:val="007D371B"/>
    <w:rsid w:val="007D3B52"/>
    <w:rsid w:val="007D43AB"/>
    <w:rsid w:val="007D4FD4"/>
    <w:rsid w:val="007D5440"/>
    <w:rsid w:val="007D6253"/>
    <w:rsid w:val="007D69EB"/>
    <w:rsid w:val="007E01C9"/>
    <w:rsid w:val="007E0F8B"/>
    <w:rsid w:val="007E128F"/>
    <w:rsid w:val="007E49D0"/>
    <w:rsid w:val="007E4F0E"/>
    <w:rsid w:val="007E650A"/>
    <w:rsid w:val="007E6C97"/>
    <w:rsid w:val="007F1017"/>
    <w:rsid w:val="007F17C5"/>
    <w:rsid w:val="007F261B"/>
    <w:rsid w:val="007F2E5B"/>
    <w:rsid w:val="007F4328"/>
    <w:rsid w:val="007F4A3F"/>
    <w:rsid w:val="007F4A61"/>
    <w:rsid w:val="007F5255"/>
    <w:rsid w:val="007F56CC"/>
    <w:rsid w:val="007F61C2"/>
    <w:rsid w:val="007F73AD"/>
    <w:rsid w:val="00800FE6"/>
    <w:rsid w:val="00805142"/>
    <w:rsid w:val="00805FCE"/>
    <w:rsid w:val="0080622D"/>
    <w:rsid w:val="00806AB8"/>
    <w:rsid w:val="00806D0B"/>
    <w:rsid w:val="00807A8B"/>
    <w:rsid w:val="00807ADE"/>
    <w:rsid w:val="00810B8D"/>
    <w:rsid w:val="0081118F"/>
    <w:rsid w:val="00811383"/>
    <w:rsid w:val="00812149"/>
    <w:rsid w:val="008121F6"/>
    <w:rsid w:val="008126D4"/>
    <w:rsid w:val="00812CAC"/>
    <w:rsid w:val="008133E0"/>
    <w:rsid w:val="0081431F"/>
    <w:rsid w:val="00815DD7"/>
    <w:rsid w:val="00816272"/>
    <w:rsid w:val="00816361"/>
    <w:rsid w:val="008166EF"/>
    <w:rsid w:val="00816FEF"/>
    <w:rsid w:val="0082000C"/>
    <w:rsid w:val="008201EB"/>
    <w:rsid w:val="00820A8C"/>
    <w:rsid w:val="00821339"/>
    <w:rsid w:val="008215FB"/>
    <w:rsid w:val="008222DA"/>
    <w:rsid w:val="008224FA"/>
    <w:rsid w:val="008227A1"/>
    <w:rsid w:val="00822EF1"/>
    <w:rsid w:val="00823174"/>
    <w:rsid w:val="0082329A"/>
    <w:rsid w:val="008235D1"/>
    <w:rsid w:val="00824B6D"/>
    <w:rsid w:val="00824DB0"/>
    <w:rsid w:val="00824E6C"/>
    <w:rsid w:val="00825412"/>
    <w:rsid w:val="00825751"/>
    <w:rsid w:val="008264EB"/>
    <w:rsid w:val="00826723"/>
    <w:rsid w:val="00827910"/>
    <w:rsid w:val="008305C1"/>
    <w:rsid w:val="00830805"/>
    <w:rsid w:val="0083170E"/>
    <w:rsid w:val="00832242"/>
    <w:rsid w:val="00833B05"/>
    <w:rsid w:val="00833D54"/>
    <w:rsid w:val="00834560"/>
    <w:rsid w:val="008362B4"/>
    <w:rsid w:val="00837AB6"/>
    <w:rsid w:val="008403F2"/>
    <w:rsid w:val="00840CA2"/>
    <w:rsid w:val="00842F67"/>
    <w:rsid w:val="0084374F"/>
    <w:rsid w:val="00843ECE"/>
    <w:rsid w:val="00844A22"/>
    <w:rsid w:val="00846D91"/>
    <w:rsid w:val="008475F1"/>
    <w:rsid w:val="00847662"/>
    <w:rsid w:val="00847703"/>
    <w:rsid w:val="00847DF5"/>
    <w:rsid w:val="008520FB"/>
    <w:rsid w:val="0085309D"/>
    <w:rsid w:val="00853598"/>
    <w:rsid w:val="008536B4"/>
    <w:rsid w:val="0085454C"/>
    <w:rsid w:val="008545BA"/>
    <w:rsid w:val="00854CD1"/>
    <w:rsid w:val="00855F76"/>
    <w:rsid w:val="00856897"/>
    <w:rsid w:val="00856E9A"/>
    <w:rsid w:val="0086075D"/>
    <w:rsid w:val="00860F1C"/>
    <w:rsid w:val="00862502"/>
    <w:rsid w:val="00862CC1"/>
    <w:rsid w:val="008630D3"/>
    <w:rsid w:val="00865E82"/>
    <w:rsid w:val="00865F53"/>
    <w:rsid w:val="008660D4"/>
    <w:rsid w:val="00866560"/>
    <w:rsid w:val="00866E98"/>
    <w:rsid w:val="00867391"/>
    <w:rsid w:val="008710EE"/>
    <w:rsid w:val="008712A6"/>
    <w:rsid w:val="00871FA9"/>
    <w:rsid w:val="008726F7"/>
    <w:rsid w:val="008728E9"/>
    <w:rsid w:val="00872B31"/>
    <w:rsid w:val="0087313D"/>
    <w:rsid w:val="008735E2"/>
    <w:rsid w:val="00873A43"/>
    <w:rsid w:val="00873C8B"/>
    <w:rsid w:val="0088045E"/>
    <w:rsid w:val="00880A8A"/>
    <w:rsid w:val="00881EDE"/>
    <w:rsid w:val="00882874"/>
    <w:rsid w:val="00882E3C"/>
    <w:rsid w:val="00883787"/>
    <w:rsid w:val="00885094"/>
    <w:rsid w:val="008855E4"/>
    <w:rsid w:val="00885B3C"/>
    <w:rsid w:val="0088637C"/>
    <w:rsid w:val="00886662"/>
    <w:rsid w:val="00886CD2"/>
    <w:rsid w:val="00886E22"/>
    <w:rsid w:val="00886E8F"/>
    <w:rsid w:val="00887E8A"/>
    <w:rsid w:val="00890951"/>
    <w:rsid w:val="008911BF"/>
    <w:rsid w:val="00891CCE"/>
    <w:rsid w:val="00891E6F"/>
    <w:rsid w:val="0089275D"/>
    <w:rsid w:val="00892A36"/>
    <w:rsid w:val="00893239"/>
    <w:rsid w:val="008932F6"/>
    <w:rsid w:val="00894271"/>
    <w:rsid w:val="00894489"/>
    <w:rsid w:val="008960AD"/>
    <w:rsid w:val="008963A5"/>
    <w:rsid w:val="00896D5D"/>
    <w:rsid w:val="008979D0"/>
    <w:rsid w:val="008979E4"/>
    <w:rsid w:val="008A3363"/>
    <w:rsid w:val="008A3371"/>
    <w:rsid w:val="008A34DC"/>
    <w:rsid w:val="008A3C3E"/>
    <w:rsid w:val="008A4A66"/>
    <w:rsid w:val="008A55A3"/>
    <w:rsid w:val="008A625E"/>
    <w:rsid w:val="008A72CF"/>
    <w:rsid w:val="008A79DE"/>
    <w:rsid w:val="008A7F7D"/>
    <w:rsid w:val="008B0FE8"/>
    <w:rsid w:val="008B12ED"/>
    <w:rsid w:val="008B1757"/>
    <w:rsid w:val="008B1B17"/>
    <w:rsid w:val="008B1B83"/>
    <w:rsid w:val="008B22C0"/>
    <w:rsid w:val="008B2656"/>
    <w:rsid w:val="008B497F"/>
    <w:rsid w:val="008B552F"/>
    <w:rsid w:val="008B5BEE"/>
    <w:rsid w:val="008B61CF"/>
    <w:rsid w:val="008B6AF2"/>
    <w:rsid w:val="008B7992"/>
    <w:rsid w:val="008B7C46"/>
    <w:rsid w:val="008B7D7E"/>
    <w:rsid w:val="008C063F"/>
    <w:rsid w:val="008C0A1A"/>
    <w:rsid w:val="008C0ABD"/>
    <w:rsid w:val="008C0DE1"/>
    <w:rsid w:val="008C1387"/>
    <w:rsid w:val="008C1EED"/>
    <w:rsid w:val="008C21F4"/>
    <w:rsid w:val="008C3EC4"/>
    <w:rsid w:val="008C5610"/>
    <w:rsid w:val="008C5739"/>
    <w:rsid w:val="008C66CB"/>
    <w:rsid w:val="008C7007"/>
    <w:rsid w:val="008C7A01"/>
    <w:rsid w:val="008C7ECB"/>
    <w:rsid w:val="008D0213"/>
    <w:rsid w:val="008D1D9D"/>
    <w:rsid w:val="008D2368"/>
    <w:rsid w:val="008D3B86"/>
    <w:rsid w:val="008D4755"/>
    <w:rsid w:val="008D4C3D"/>
    <w:rsid w:val="008D5028"/>
    <w:rsid w:val="008D5194"/>
    <w:rsid w:val="008D5CA1"/>
    <w:rsid w:val="008D6963"/>
    <w:rsid w:val="008D6CA1"/>
    <w:rsid w:val="008D6DD7"/>
    <w:rsid w:val="008D743C"/>
    <w:rsid w:val="008E0BBF"/>
    <w:rsid w:val="008E0D3C"/>
    <w:rsid w:val="008E1811"/>
    <w:rsid w:val="008E1B9E"/>
    <w:rsid w:val="008E24B7"/>
    <w:rsid w:val="008E3693"/>
    <w:rsid w:val="008E3F2A"/>
    <w:rsid w:val="008E44C3"/>
    <w:rsid w:val="008E48A6"/>
    <w:rsid w:val="008E55AB"/>
    <w:rsid w:val="008E6134"/>
    <w:rsid w:val="008F02A2"/>
    <w:rsid w:val="008F120A"/>
    <w:rsid w:val="008F27E0"/>
    <w:rsid w:val="008F388B"/>
    <w:rsid w:val="008F4088"/>
    <w:rsid w:val="008F47D9"/>
    <w:rsid w:val="008F48EB"/>
    <w:rsid w:val="008F4F0B"/>
    <w:rsid w:val="008F56DD"/>
    <w:rsid w:val="008F612F"/>
    <w:rsid w:val="009046C4"/>
    <w:rsid w:val="009062A5"/>
    <w:rsid w:val="009102D5"/>
    <w:rsid w:val="00910FA7"/>
    <w:rsid w:val="00911272"/>
    <w:rsid w:val="00911922"/>
    <w:rsid w:val="00911FD5"/>
    <w:rsid w:val="00912297"/>
    <w:rsid w:val="0091328B"/>
    <w:rsid w:val="0091351D"/>
    <w:rsid w:val="009135D6"/>
    <w:rsid w:val="00914C77"/>
    <w:rsid w:val="00914EE7"/>
    <w:rsid w:val="00917A24"/>
    <w:rsid w:val="00921ACB"/>
    <w:rsid w:val="00921E77"/>
    <w:rsid w:val="00922842"/>
    <w:rsid w:val="0092369B"/>
    <w:rsid w:val="009239FC"/>
    <w:rsid w:val="009243F5"/>
    <w:rsid w:val="00924BC2"/>
    <w:rsid w:val="00924FA5"/>
    <w:rsid w:val="009256BD"/>
    <w:rsid w:val="00925846"/>
    <w:rsid w:val="00925EDF"/>
    <w:rsid w:val="0092692B"/>
    <w:rsid w:val="00926DCD"/>
    <w:rsid w:val="009274A9"/>
    <w:rsid w:val="00931E83"/>
    <w:rsid w:val="0093230B"/>
    <w:rsid w:val="00932EE8"/>
    <w:rsid w:val="009339B9"/>
    <w:rsid w:val="00934988"/>
    <w:rsid w:val="00937089"/>
    <w:rsid w:val="009377B6"/>
    <w:rsid w:val="00937C1E"/>
    <w:rsid w:val="00937FE6"/>
    <w:rsid w:val="00943230"/>
    <w:rsid w:val="009446C0"/>
    <w:rsid w:val="00944F8A"/>
    <w:rsid w:val="00945C37"/>
    <w:rsid w:val="00945D97"/>
    <w:rsid w:val="00950650"/>
    <w:rsid w:val="0095097C"/>
    <w:rsid w:val="00950C4F"/>
    <w:rsid w:val="009510A2"/>
    <w:rsid w:val="00951283"/>
    <w:rsid w:val="00952A51"/>
    <w:rsid w:val="00952BBC"/>
    <w:rsid w:val="00953257"/>
    <w:rsid w:val="00953E0A"/>
    <w:rsid w:val="0095474C"/>
    <w:rsid w:val="00956E35"/>
    <w:rsid w:val="00957930"/>
    <w:rsid w:val="00960F82"/>
    <w:rsid w:val="009622E8"/>
    <w:rsid w:val="0096237F"/>
    <w:rsid w:val="00962CB9"/>
    <w:rsid w:val="00964312"/>
    <w:rsid w:val="00964F42"/>
    <w:rsid w:val="00964F79"/>
    <w:rsid w:val="009656C3"/>
    <w:rsid w:val="00965A21"/>
    <w:rsid w:val="00965B8A"/>
    <w:rsid w:val="009663DB"/>
    <w:rsid w:val="0097071F"/>
    <w:rsid w:val="00970C11"/>
    <w:rsid w:val="009717AC"/>
    <w:rsid w:val="0097239D"/>
    <w:rsid w:val="0097253D"/>
    <w:rsid w:val="00972F06"/>
    <w:rsid w:val="0097302E"/>
    <w:rsid w:val="00974D7B"/>
    <w:rsid w:val="009751C1"/>
    <w:rsid w:val="009762C9"/>
    <w:rsid w:val="00976419"/>
    <w:rsid w:val="009766EC"/>
    <w:rsid w:val="009779D9"/>
    <w:rsid w:val="009801EE"/>
    <w:rsid w:val="009811F1"/>
    <w:rsid w:val="009826C0"/>
    <w:rsid w:val="00982939"/>
    <w:rsid w:val="00982D9E"/>
    <w:rsid w:val="009838C1"/>
    <w:rsid w:val="00983E57"/>
    <w:rsid w:val="009843D5"/>
    <w:rsid w:val="00985256"/>
    <w:rsid w:val="00985DE2"/>
    <w:rsid w:val="0098675D"/>
    <w:rsid w:val="009874B7"/>
    <w:rsid w:val="00990A1C"/>
    <w:rsid w:val="009912E5"/>
    <w:rsid w:val="00992225"/>
    <w:rsid w:val="009926E0"/>
    <w:rsid w:val="0099451E"/>
    <w:rsid w:val="00995161"/>
    <w:rsid w:val="00995D55"/>
    <w:rsid w:val="00996014"/>
    <w:rsid w:val="00996B1A"/>
    <w:rsid w:val="009A09BB"/>
    <w:rsid w:val="009A0D4D"/>
    <w:rsid w:val="009A1677"/>
    <w:rsid w:val="009A1B39"/>
    <w:rsid w:val="009A24A5"/>
    <w:rsid w:val="009A251F"/>
    <w:rsid w:val="009A2DCC"/>
    <w:rsid w:val="009A2F01"/>
    <w:rsid w:val="009A313B"/>
    <w:rsid w:val="009A5288"/>
    <w:rsid w:val="009A5ABC"/>
    <w:rsid w:val="009A5BAD"/>
    <w:rsid w:val="009A5BB7"/>
    <w:rsid w:val="009A664D"/>
    <w:rsid w:val="009A7F10"/>
    <w:rsid w:val="009B15F6"/>
    <w:rsid w:val="009B212B"/>
    <w:rsid w:val="009B2494"/>
    <w:rsid w:val="009B2766"/>
    <w:rsid w:val="009B31CF"/>
    <w:rsid w:val="009B3384"/>
    <w:rsid w:val="009B3DB8"/>
    <w:rsid w:val="009B3E26"/>
    <w:rsid w:val="009B452B"/>
    <w:rsid w:val="009B4FBD"/>
    <w:rsid w:val="009B7208"/>
    <w:rsid w:val="009B76CD"/>
    <w:rsid w:val="009C0F0C"/>
    <w:rsid w:val="009C0F27"/>
    <w:rsid w:val="009C1CA5"/>
    <w:rsid w:val="009C3706"/>
    <w:rsid w:val="009C3A3A"/>
    <w:rsid w:val="009C3E4D"/>
    <w:rsid w:val="009C47AF"/>
    <w:rsid w:val="009C60D0"/>
    <w:rsid w:val="009C66E0"/>
    <w:rsid w:val="009C683E"/>
    <w:rsid w:val="009C69CE"/>
    <w:rsid w:val="009C6CEA"/>
    <w:rsid w:val="009C7772"/>
    <w:rsid w:val="009C7B85"/>
    <w:rsid w:val="009C7FD8"/>
    <w:rsid w:val="009D0077"/>
    <w:rsid w:val="009D0254"/>
    <w:rsid w:val="009D0A4F"/>
    <w:rsid w:val="009D0D19"/>
    <w:rsid w:val="009D1A64"/>
    <w:rsid w:val="009D4B4D"/>
    <w:rsid w:val="009D4C7B"/>
    <w:rsid w:val="009D5B91"/>
    <w:rsid w:val="009D61BA"/>
    <w:rsid w:val="009D6DE7"/>
    <w:rsid w:val="009D792E"/>
    <w:rsid w:val="009E00E4"/>
    <w:rsid w:val="009E0DFE"/>
    <w:rsid w:val="009E2AC5"/>
    <w:rsid w:val="009E2D04"/>
    <w:rsid w:val="009E31F6"/>
    <w:rsid w:val="009E4C07"/>
    <w:rsid w:val="009E7658"/>
    <w:rsid w:val="009F1258"/>
    <w:rsid w:val="009F146C"/>
    <w:rsid w:val="009F1A86"/>
    <w:rsid w:val="009F1BB0"/>
    <w:rsid w:val="009F2D3A"/>
    <w:rsid w:val="009F33BE"/>
    <w:rsid w:val="009F4149"/>
    <w:rsid w:val="009F55EA"/>
    <w:rsid w:val="009F5E39"/>
    <w:rsid w:val="009F6F81"/>
    <w:rsid w:val="00A001C9"/>
    <w:rsid w:val="00A01184"/>
    <w:rsid w:val="00A020C5"/>
    <w:rsid w:val="00A024DC"/>
    <w:rsid w:val="00A02767"/>
    <w:rsid w:val="00A0294B"/>
    <w:rsid w:val="00A02DA2"/>
    <w:rsid w:val="00A0327A"/>
    <w:rsid w:val="00A037C2"/>
    <w:rsid w:val="00A03D43"/>
    <w:rsid w:val="00A04380"/>
    <w:rsid w:val="00A04D2A"/>
    <w:rsid w:val="00A05472"/>
    <w:rsid w:val="00A05C32"/>
    <w:rsid w:val="00A0653F"/>
    <w:rsid w:val="00A06DF7"/>
    <w:rsid w:val="00A07DDD"/>
    <w:rsid w:val="00A10020"/>
    <w:rsid w:val="00A10C83"/>
    <w:rsid w:val="00A11CD0"/>
    <w:rsid w:val="00A12EE7"/>
    <w:rsid w:val="00A13948"/>
    <w:rsid w:val="00A14A83"/>
    <w:rsid w:val="00A1555B"/>
    <w:rsid w:val="00A155C5"/>
    <w:rsid w:val="00A15673"/>
    <w:rsid w:val="00A15CB3"/>
    <w:rsid w:val="00A16AD8"/>
    <w:rsid w:val="00A16E0C"/>
    <w:rsid w:val="00A2079D"/>
    <w:rsid w:val="00A214A9"/>
    <w:rsid w:val="00A21C95"/>
    <w:rsid w:val="00A21CF3"/>
    <w:rsid w:val="00A23ABE"/>
    <w:rsid w:val="00A24813"/>
    <w:rsid w:val="00A2533A"/>
    <w:rsid w:val="00A2653B"/>
    <w:rsid w:val="00A26E19"/>
    <w:rsid w:val="00A26FCA"/>
    <w:rsid w:val="00A27AEC"/>
    <w:rsid w:val="00A27C4D"/>
    <w:rsid w:val="00A320DB"/>
    <w:rsid w:val="00A33BCB"/>
    <w:rsid w:val="00A3444F"/>
    <w:rsid w:val="00A35800"/>
    <w:rsid w:val="00A35910"/>
    <w:rsid w:val="00A35C41"/>
    <w:rsid w:val="00A35D16"/>
    <w:rsid w:val="00A36305"/>
    <w:rsid w:val="00A36753"/>
    <w:rsid w:val="00A37BCD"/>
    <w:rsid w:val="00A404C2"/>
    <w:rsid w:val="00A410AE"/>
    <w:rsid w:val="00A41689"/>
    <w:rsid w:val="00A41D81"/>
    <w:rsid w:val="00A420F9"/>
    <w:rsid w:val="00A42592"/>
    <w:rsid w:val="00A43C59"/>
    <w:rsid w:val="00A45692"/>
    <w:rsid w:val="00A46453"/>
    <w:rsid w:val="00A47CBF"/>
    <w:rsid w:val="00A501EE"/>
    <w:rsid w:val="00A505AF"/>
    <w:rsid w:val="00A50BB1"/>
    <w:rsid w:val="00A50ECD"/>
    <w:rsid w:val="00A512B8"/>
    <w:rsid w:val="00A518F3"/>
    <w:rsid w:val="00A52729"/>
    <w:rsid w:val="00A53675"/>
    <w:rsid w:val="00A53E14"/>
    <w:rsid w:val="00A546F4"/>
    <w:rsid w:val="00A54850"/>
    <w:rsid w:val="00A557D5"/>
    <w:rsid w:val="00A564D7"/>
    <w:rsid w:val="00A567C6"/>
    <w:rsid w:val="00A56804"/>
    <w:rsid w:val="00A56997"/>
    <w:rsid w:val="00A56B6A"/>
    <w:rsid w:val="00A57481"/>
    <w:rsid w:val="00A57845"/>
    <w:rsid w:val="00A578DC"/>
    <w:rsid w:val="00A57E15"/>
    <w:rsid w:val="00A57FD1"/>
    <w:rsid w:val="00A617F9"/>
    <w:rsid w:val="00A63A0F"/>
    <w:rsid w:val="00A63B56"/>
    <w:rsid w:val="00A640E2"/>
    <w:rsid w:val="00A64D65"/>
    <w:rsid w:val="00A651FE"/>
    <w:rsid w:val="00A65AB9"/>
    <w:rsid w:val="00A66329"/>
    <w:rsid w:val="00A66C7C"/>
    <w:rsid w:val="00A6725B"/>
    <w:rsid w:val="00A67383"/>
    <w:rsid w:val="00A70605"/>
    <w:rsid w:val="00A70880"/>
    <w:rsid w:val="00A70F43"/>
    <w:rsid w:val="00A72F59"/>
    <w:rsid w:val="00A73134"/>
    <w:rsid w:val="00A73CC9"/>
    <w:rsid w:val="00A76001"/>
    <w:rsid w:val="00A76AC8"/>
    <w:rsid w:val="00A777B2"/>
    <w:rsid w:val="00A804FF"/>
    <w:rsid w:val="00A8106D"/>
    <w:rsid w:val="00A825D4"/>
    <w:rsid w:val="00A828F6"/>
    <w:rsid w:val="00A82B73"/>
    <w:rsid w:val="00A83205"/>
    <w:rsid w:val="00A83AC4"/>
    <w:rsid w:val="00A84B16"/>
    <w:rsid w:val="00A85745"/>
    <w:rsid w:val="00A85BE5"/>
    <w:rsid w:val="00A8695E"/>
    <w:rsid w:val="00A86A09"/>
    <w:rsid w:val="00A86AA2"/>
    <w:rsid w:val="00A86E8B"/>
    <w:rsid w:val="00A87164"/>
    <w:rsid w:val="00A903BC"/>
    <w:rsid w:val="00A912C4"/>
    <w:rsid w:val="00A91339"/>
    <w:rsid w:val="00A924DA"/>
    <w:rsid w:val="00A93072"/>
    <w:rsid w:val="00A938BD"/>
    <w:rsid w:val="00A93953"/>
    <w:rsid w:val="00A959D8"/>
    <w:rsid w:val="00A96174"/>
    <w:rsid w:val="00A961C4"/>
    <w:rsid w:val="00A967AD"/>
    <w:rsid w:val="00AA0374"/>
    <w:rsid w:val="00AA0464"/>
    <w:rsid w:val="00AA113D"/>
    <w:rsid w:val="00AA16EB"/>
    <w:rsid w:val="00AA2BCD"/>
    <w:rsid w:val="00AA393F"/>
    <w:rsid w:val="00AA46C3"/>
    <w:rsid w:val="00AA5913"/>
    <w:rsid w:val="00AA5E3A"/>
    <w:rsid w:val="00AA6BD5"/>
    <w:rsid w:val="00AA6BD8"/>
    <w:rsid w:val="00AA6C7D"/>
    <w:rsid w:val="00AA7FD6"/>
    <w:rsid w:val="00AB02EC"/>
    <w:rsid w:val="00AB042A"/>
    <w:rsid w:val="00AB1270"/>
    <w:rsid w:val="00AB19EF"/>
    <w:rsid w:val="00AB1B2E"/>
    <w:rsid w:val="00AB2235"/>
    <w:rsid w:val="00AB2D34"/>
    <w:rsid w:val="00AB32F4"/>
    <w:rsid w:val="00AB3300"/>
    <w:rsid w:val="00AB3430"/>
    <w:rsid w:val="00AB37B9"/>
    <w:rsid w:val="00AB4AD1"/>
    <w:rsid w:val="00AB5538"/>
    <w:rsid w:val="00AB5E07"/>
    <w:rsid w:val="00AB6564"/>
    <w:rsid w:val="00AB6D7F"/>
    <w:rsid w:val="00AB7CFA"/>
    <w:rsid w:val="00AB7F42"/>
    <w:rsid w:val="00AC0059"/>
    <w:rsid w:val="00AC0C71"/>
    <w:rsid w:val="00AC131A"/>
    <w:rsid w:val="00AC13D2"/>
    <w:rsid w:val="00AC182C"/>
    <w:rsid w:val="00AC4D16"/>
    <w:rsid w:val="00AC5B48"/>
    <w:rsid w:val="00AC6324"/>
    <w:rsid w:val="00AC6BF9"/>
    <w:rsid w:val="00AC7AE5"/>
    <w:rsid w:val="00AD05F6"/>
    <w:rsid w:val="00AD13DA"/>
    <w:rsid w:val="00AD1450"/>
    <w:rsid w:val="00AD2D7B"/>
    <w:rsid w:val="00AD2F24"/>
    <w:rsid w:val="00AD3FD5"/>
    <w:rsid w:val="00AD4426"/>
    <w:rsid w:val="00AD6502"/>
    <w:rsid w:val="00AD6D1B"/>
    <w:rsid w:val="00AE0695"/>
    <w:rsid w:val="00AE1343"/>
    <w:rsid w:val="00AE1824"/>
    <w:rsid w:val="00AE1859"/>
    <w:rsid w:val="00AE3E7E"/>
    <w:rsid w:val="00AE4EB2"/>
    <w:rsid w:val="00AE519E"/>
    <w:rsid w:val="00AE5441"/>
    <w:rsid w:val="00AE55BC"/>
    <w:rsid w:val="00AE61B7"/>
    <w:rsid w:val="00AE7723"/>
    <w:rsid w:val="00AF04E7"/>
    <w:rsid w:val="00AF05B3"/>
    <w:rsid w:val="00AF0B4A"/>
    <w:rsid w:val="00AF1315"/>
    <w:rsid w:val="00AF19BF"/>
    <w:rsid w:val="00AF1F0C"/>
    <w:rsid w:val="00AF2ABF"/>
    <w:rsid w:val="00AF2DC3"/>
    <w:rsid w:val="00AF3031"/>
    <w:rsid w:val="00AF4292"/>
    <w:rsid w:val="00AF4C7F"/>
    <w:rsid w:val="00AF751A"/>
    <w:rsid w:val="00AF7973"/>
    <w:rsid w:val="00B00DE5"/>
    <w:rsid w:val="00B014BF"/>
    <w:rsid w:val="00B033E5"/>
    <w:rsid w:val="00B03A63"/>
    <w:rsid w:val="00B03EC8"/>
    <w:rsid w:val="00B04F72"/>
    <w:rsid w:val="00B05AE8"/>
    <w:rsid w:val="00B06D8C"/>
    <w:rsid w:val="00B07FA7"/>
    <w:rsid w:val="00B13AF3"/>
    <w:rsid w:val="00B14BF0"/>
    <w:rsid w:val="00B151C6"/>
    <w:rsid w:val="00B1601B"/>
    <w:rsid w:val="00B16025"/>
    <w:rsid w:val="00B16244"/>
    <w:rsid w:val="00B16290"/>
    <w:rsid w:val="00B17C2F"/>
    <w:rsid w:val="00B201A4"/>
    <w:rsid w:val="00B201D1"/>
    <w:rsid w:val="00B213A6"/>
    <w:rsid w:val="00B22563"/>
    <w:rsid w:val="00B225A8"/>
    <w:rsid w:val="00B226E4"/>
    <w:rsid w:val="00B235B0"/>
    <w:rsid w:val="00B23D0E"/>
    <w:rsid w:val="00B248F6"/>
    <w:rsid w:val="00B24DF6"/>
    <w:rsid w:val="00B2513D"/>
    <w:rsid w:val="00B26308"/>
    <w:rsid w:val="00B267F9"/>
    <w:rsid w:val="00B2731A"/>
    <w:rsid w:val="00B2785D"/>
    <w:rsid w:val="00B30F6E"/>
    <w:rsid w:val="00B31DB2"/>
    <w:rsid w:val="00B3487D"/>
    <w:rsid w:val="00B34E9C"/>
    <w:rsid w:val="00B34FE2"/>
    <w:rsid w:val="00B35166"/>
    <w:rsid w:val="00B357D8"/>
    <w:rsid w:val="00B360F4"/>
    <w:rsid w:val="00B36A00"/>
    <w:rsid w:val="00B3729E"/>
    <w:rsid w:val="00B372F6"/>
    <w:rsid w:val="00B375B2"/>
    <w:rsid w:val="00B37BFC"/>
    <w:rsid w:val="00B4028F"/>
    <w:rsid w:val="00B40358"/>
    <w:rsid w:val="00B4160E"/>
    <w:rsid w:val="00B41614"/>
    <w:rsid w:val="00B41B15"/>
    <w:rsid w:val="00B42851"/>
    <w:rsid w:val="00B42F80"/>
    <w:rsid w:val="00B435CB"/>
    <w:rsid w:val="00B4395F"/>
    <w:rsid w:val="00B43D2B"/>
    <w:rsid w:val="00B45E6E"/>
    <w:rsid w:val="00B4696A"/>
    <w:rsid w:val="00B505C8"/>
    <w:rsid w:val="00B50DB8"/>
    <w:rsid w:val="00B5175E"/>
    <w:rsid w:val="00B51CB3"/>
    <w:rsid w:val="00B51DBA"/>
    <w:rsid w:val="00B52379"/>
    <w:rsid w:val="00B5265F"/>
    <w:rsid w:val="00B52750"/>
    <w:rsid w:val="00B53654"/>
    <w:rsid w:val="00B53905"/>
    <w:rsid w:val="00B53982"/>
    <w:rsid w:val="00B54B5B"/>
    <w:rsid w:val="00B552DF"/>
    <w:rsid w:val="00B5562E"/>
    <w:rsid w:val="00B55862"/>
    <w:rsid w:val="00B55D65"/>
    <w:rsid w:val="00B56B70"/>
    <w:rsid w:val="00B56CB6"/>
    <w:rsid w:val="00B57000"/>
    <w:rsid w:val="00B570AE"/>
    <w:rsid w:val="00B601A8"/>
    <w:rsid w:val="00B60478"/>
    <w:rsid w:val="00B608D7"/>
    <w:rsid w:val="00B60939"/>
    <w:rsid w:val="00B60A86"/>
    <w:rsid w:val="00B60AFD"/>
    <w:rsid w:val="00B61572"/>
    <w:rsid w:val="00B62715"/>
    <w:rsid w:val="00B64178"/>
    <w:rsid w:val="00B64631"/>
    <w:rsid w:val="00B64B6D"/>
    <w:rsid w:val="00B64C09"/>
    <w:rsid w:val="00B64D4A"/>
    <w:rsid w:val="00B65611"/>
    <w:rsid w:val="00B70256"/>
    <w:rsid w:val="00B70CE0"/>
    <w:rsid w:val="00B70E0D"/>
    <w:rsid w:val="00B70E8E"/>
    <w:rsid w:val="00B71643"/>
    <w:rsid w:val="00B721AA"/>
    <w:rsid w:val="00B7245A"/>
    <w:rsid w:val="00B72F95"/>
    <w:rsid w:val="00B740FC"/>
    <w:rsid w:val="00B7544C"/>
    <w:rsid w:val="00B76C92"/>
    <w:rsid w:val="00B81122"/>
    <w:rsid w:val="00B818A4"/>
    <w:rsid w:val="00B83276"/>
    <w:rsid w:val="00B8367C"/>
    <w:rsid w:val="00B83E08"/>
    <w:rsid w:val="00B84011"/>
    <w:rsid w:val="00B84117"/>
    <w:rsid w:val="00B8413C"/>
    <w:rsid w:val="00B8470D"/>
    <w:rsid w:val="00B850C0"/>
    <w:rsid w:val="00B858F0"/>
    <w:rsid w:val="00B85AA2"/>
    <w:rsid w:val="00B862D6"/>
    <w:rsid w:val="00B8649C"/>
    <w:rsid w:val="00B8695D"/>
    <w:rsid w:val="00B87311"/>
    <w:rsid w:val="00B87324"/>
    <w:rsid w:val="00B87F0A"/>
    <w:rsid w:val="00B916A2"/>
    <w:rsid w:val="00B9197A"/>
    <w:rsid w:val="00B92D0B"/>
    <w:rsid w:val="00B93EE0"/>
    <w:rsid w:val="00B93F31"/>
    <w:rsid w:val="00B9490E"/>
    <w:rsid w:val="00B94945"/>
    <w:rsid w:val="00B94DD6"/>
    <w:rsid w:val="00B9500F"/>
    <w:rsid w:val="00B959E3"/>
    <w:rsid w:val="00B9683B"/>
    <w:rsid w:val="00B96AD7"/>
    <w:rsid w:val="00B96F59"/>
    <w:rsid w:val="00BA28CF"/>
    <w:rsid w:val="00BA2C8E"/>
    <w:rsid w:val="00BA322D"/>
    <w:rsid w:val="00BA3301"/>
    <w:rsid w:val="00BA4BC4"/>
    <w:rsid w:val="00BA63FA"/>
    <w:rsid w:val="00BA69DC"/>
    <w:rsid w:val="00BA7693"/>
    <w:rsid w:val="00BA778A"/>
    <w:rsid w:val="00BB00B3"/>
    <w:rsid w:val="00BB0828"/>
    <w:rsid w:val="00BB0BDD"/>
    <w:rsid w:val="00BB176C"/>
    <w:rsid w:val="00BB1C2E"/>
    <w:rsid w:val="00BB2A73"/>
    <w:rsid w:val="00BB305D"/>
    <w:rsid w:val="00BB3A45"/>
    <w:rsid w:val="00BB4ACC"/>
    <w:rsid w:val="00BB6B67"/>
    <w:rsid w:val="00BB703E"/>
    <w:rsid w:val="00BB732D"/>
    <w:rsid w:val="00BB7405"/>
    <w:rsid w:val="00BB76A0"/>
    <w:rsid w:val="00BB7FB8"/>
    <w:rsid w:val="00BC08C6"/>
    <w:rsid w:val="00BC0E58"/>
    <w:rsid w:val="00BC2905"/>
    <w:rsid w:val="00BC3170"/>
    <w:rsid w:val="00BC3294"/>
    <w:rsid w:val="00BC3631"/>
    <w:rsid w:val="00BC3690"/>
    <w:rsid w:val="00BC38A5"/>
    <w:rsid w:val="00BC3EFB"/>
    <w:rsid w:val="00BC4F30"/>
    <w:rsid w:val="00BC54D9"/>
    <w:rsid w:val="00BC5723"/>
    <w:rsid w:val="00BC591F"/>
    <w:rsid w:val="00BC5933"/>
    <w:rsid w:val="00BC6B63"/>
    <w:rsid w:val="00BC7D6D"/>
    <w:rsid w:val="00BD0623"/>
    <w:rsid w:val="00BD07CD"/>
    <w:rsid w:val="00BD2108"/>
    <w:rsid w:val="00BD3CE2"/>
    <w:rsid w:val="00BD3FC3"/>
    <w:rsid w:val="00BD5375"/>
    <w:rsid w:val="00BD555A"/>
    <w:rsid w:val="00BD56E7"/>
    <w:rsid w:val="00BD59B3"/>
    <w:rsid w:val="00BD68A3"/>
    <w:rsid w:val="00BD6938"/>
    <w:rsid w:val="00BD6CF3"/>
    <w:rsid w:val="00BD736A"/>
    <w:rsid w:val="00BE0484"/>
    <w:rsid w:val="00BE0ECA"/>
    <w:rsid w:val="00BE2180"/>
    <w:rsid w:val="00BE21F2"/>
    <w:rsid w:val="00BE3720"/>
    <w:rsid w:val="00BE4275"/>
    <w:rsid w:val="00BE5358"/>
    <w:rsid w:val="00BE572A"/>
    <w:rsid w:val="00BE5ADA"/>
    <w:rsid w:val="00BE5BD9"/>
    <w:rsid w:val="00BE6B0C"/>
    <w:rsid w:val="00BF06AE"/>
    <w:rsid w:val="00BF0F95"/>
    <w:rsid w:val="00BF1E98"/>
    <w:rsid w:val="00BF2433"/>
    <w:rsid w:val="00BF29A0"/>
    <w:rsid w:val="00BF3AC0"/>
    <w:rsid w:val="00BF406F"/>
    <w:rsid w:val="00BF4A3C"/>
    <w:rsid w:val="00BF506E"/>
    <w:rsid w:val="00BF61C9"/>
    <w:rsid w:val="00BF66A1"/>
    <w:rsid w:val="00BF69F0"/>
    <w:rsid w:val="00BF6C94"/>
    <w:rsid w:val="00BF7224"/>
    <w:rsid w:val="00BF7992"/>
    <w:rsid w:val="00C00424"/>
    <w:rsid w:val="00C0246C"/>
    <w:rsid w:val="00C0379C"/>
    <w:rsid w:val="00C05165"/>
    <w:rsid w:val="00C0753C"/>
    <w:rsid w:val="00C07DFB"/>
    <w:rsid w:val="00C10BA9"/>
    <w:rsid w:val="00C1179F"/>
    <w:rsid w:val="00C11E3D"/>
    <w:rsid w:val="00C122BB"/>
    <w:rsid w:val="00C12C14"/>
    <w:rsid w:val="00C13538"/>
    <w:rsid w:val="00C1414D"/>
    <w:rsid w:val="00C14321"/>
    <w:rsid w:val="00C15F04"/>
    <w:rsid w:val="00C179B3"/>
    <w:rsid w:val="00C17CFC"/>
    <w:rsid w:val="00C17E3F"/>
    <w:rsid w:val="00C200AA"/>
    <w:rsid w:val="00C22057"/>
    <w:rsid w:val="00C237ED"/>
    <w:rsid w:val="00C23D45"/>
    <w:rsid w:val="00C24632"/>
    <w:rsid w:val="00C25418"/>
    <w:rsid w:val="00C25508"/>
    <w:rsid w:val="00C25D9C"/>
    <w:rsid w:val="00C26800"/>
    <w:rsid w:val="00C273D2"/>
    <w:rsid w:val="00C2778B"/>
    <w:rsid w:val="00C30885"/>
    <w:rsid w:val="00C31649"/>
    <w:rsid w:val="00C3313A"/>
    <w:rsid w:val="00C3434C"/>
    <w:rsid w:val="00C351E6"/>
    <w:rsid w:val="00C35938"/>
    <w:rsid w:val="00C360A8"/>
    <w:rsid w:val="00C40385"/>
    <w:rsid w:val="00C406EE"/>
    <w:rsid w:val="00C40738"/>
    <w:rsid w:val="00C41719"/>
    <w:rsid w:val="00C41768"/>
    <w:rsid w:val="00C41B4A"/>
    <w:rsid w:val="00C41C8A"/>
    <w:rsid w:val="00C43BA8"/>
    <w:rsid w:val="00C43DC4"/>
    <w:rsid w:val="00C44A7F"/>
    <w:rsid w:val="00C44B1C"/>
    <w:rsid w:val="00C44FB8"/>
    <w:rsid w:val="00C46474"/>
    <w:rsid w:val="00C46E7B"/>
    <w:rsid w:val="00C475AA"/>
    <w:rsid w:val="00C47B67"/>
    <w:rsid w:val="00C47D4A"/>
    <w:rsid w:val="00C51432"/>
    <w:rsid w:val="00C5348F"/>
    <w:rsid w:val="00C53C98"/>
    <w:rsid w:val="00C542B6"/>
    <w:rsid w:val="00C55B54"/>
    <w:rsid w:val="00C56FCF"/>
    <w:rsid w:val="00C570FB"/>
    <w:rsid w:val="00C57B6C"/>
    <w:rsid w:val="00C6001C"/>
    <w:rsid w:val="00C619E5"/>
    <w:rsid w:val="00C61A05"/>
    <w:rsid w:val="00C61CB3"/>
    <w:rsid w:val="00C628A6"/>
    <w:rsid w:val="00C63390"/>
    <w:rsid w:val="00C64344"/>
    <w:rsid w:val="00C65108"/>
    <w:rsid w:val="00C65183"/>
    <w:rsid w:val="00C65576"/>
    <w:rsid w:val="00C65CAD"/>
    <w:rsid w:val="00C66165"/>
    <w:rsid w:val="00C666DE"/>
    <w:rsid w:val="00C7060A"/>
    <w:rsid w:val="00C7151A"/>
    <w:rsid w:val="00C717E3"/>
    <w:rsid w:val="00C71994"/>
    <w:rsid w:val="00C71F60"/>
    <w:rsid w:val="00C72241"/>
    <w:rsid w:val="00C73EA2"/>
    <w:rsid w:val="00C74580"/>
    <w:rsid w:val="00C750C8"/>
    <w:rsid w:val="00C7560F"/>
    <w:rsid w:val="00C7670E"/>
    <w:rsid w:val="00C770E9"/>
    <w:rsid w:val="00C80542"/>
    <w:rsid w:val="00C80A0E"/>
    <w:rsid w:val="00C80DBD"/>
    <w:rsid w:val="00C81FCE"/>
    <w:rsid w:val="00C8213F"/>
    <w:rsid w:val="00C82BAF"/>
    <w:rsid w:val="00C84251"/>
    <w:rsid w:val="00C85154"/>
    <w:rsid w:val="00C866F3"/>
    <w:rsid w:val="00C8797A"/>
    <w:rsid w:val="00C900B8"/>
    <w:rsid w:val="00C905F6"/>
    <w:rsid w:val="00C90C71"/>
    <w:rsid w:val="00C9153B"/>
    <w:rsid w:val="00C91FD1"/>
    <w:rsid w:val="00C92C5D"/>
    <w:rsid w:val="00C931CF"/>
    <w:rsid w:val="00C938CF"/>
    <w:rsid w:val="00C93FA2"/>
    <w:rsid w:val="00C94053"/>
    <w:rsid w:val="00C95411"/>
    <w:rsid w:val="00C954E5"/>
    <w:rsid w:val="00C95750"/>
    <w:rsid w:val="00C9624D"/>
    <w:rsid w:val="00C969DA"/>
    <w:rsid w:val="00C96C2D"/>
    <w:rsid w:val="00C97353"/>
    <w:rsid w:val="00C97452"/>
    <w:rsid w:val="00C977F4"/>
    <w:rsid w:val="00CA0D47"/>
    <w:rsid w:val="00CA1000"/>
    <w:rsid w:val="00CA119E"/>
    <w:rsid w:val="00CA2679"/>
    <w:rsid w:val="00CA2C77"/>
    <w:rsid w:val="00CA338E"/>
    <w:rsid w:val="00CA39A9"/>
    <w:rsid w:val="00CA444F"/>
    <w:rsid w:val="00CA5245"/>
    <w:rsid w:val="00CA5497"/>
    <w:rsid w:val="00CA58CD"/>
    <w:rsid w:val="00CA6475"/>
    <w:rsid w:val="00CA71F4"/>
    <w:rsid w:val="00CA7B09"/>
    <w:rsid w:val="00CB06BE"/>
    <w:rsid w:val="00CB10D4"/>
    <w:rsid w:val="00CB12A5"/>
    <w:rsid w:val="00CB1CAC"/>
    <w:rsid w:val="00CB1EC9"/>
    <w:rsid w:val="00CB248A"/>
    <w:rsid w:val="00CB2F2A"/>
    <w:rsid w:val="00CB4C8C"/>
    <w:rsid w:val="00CB5B1A"/>
    <w:rsid w:val="00CB6B22"/>
    <w:rsid w:val="00CB6E48"/>
    <w:rsid w:val="00CB7F5F"/>
    <w:rsid w:val="00CC0118"/>
    <w:rsid w:val="00CC07C1"/>
    <w:rsid w:val="00CC092F"/>
    <w:rsid w:val="00CC0D59"/>
    <w:rsid w:val="00CC10CF"/>
    <w:rsid w:val="00CC173D"/>
    <w:rsid w:val="00CC1B39"/>
    <w:rsid w:val="00CC2E1C"/>
    <w:rsid w:val="00CC35EA"/>
    <w:rsid w:val="00CC36A5"/>
    <w:rsid w:val="00CC3848"/>
    <w:rsid w:val="00CC3B71"/>
    <w:rsid w:val="00CC50A5"/>
    <w:rsid w:val="00CC71BB"/>
    <w:rsid w:val="00CD0556"/>
    <w:rsid w:val="00CD1067"/>
    <w:rsid w:val="00CD3102"/>
    <w:rsid w:val="00CD3110"/>
    <w:rsid w:val="00CD3B5B"/>
    <w:rsid w:val="00CD3F77"/>
    <w:rsid w:val="00CD4174"/>
    <w:rsid w:val="00CD513F"/>
    <w:rsid w:val="00CD5D24"/>
    <w:rsid w:val="00CD6ADC"/>
    <w:rsid w:val="00CD7193"/>
    <w:rsid w:val="00CD7959"/>
    <w:rsid w:val="00CD7B98"/>
    <w:rsid w:val="00CE2F24"/>
    <w:rsid w:val="00CE38C8"/>
    <w:rsid w:val="00CE3A62"/>
    <w:rsid w:val="00CE475B"/>
    <w:rsid w:val="00CE506E"/>
    <w:rsid w:val="00CE6274"/>
    <w:rsid w:val="00CE6301"/>
    <w:rsid w:val="00CE6C11"/>
    <w:rsid w:val="00CE77B6"/>
    <w:rsid w:val="00CF0079"/>
    <w:rsid w:val="00CF0322"/>
    <w:rsid w:val="00CF0F06"/>
    <w:rsid w:val="00CF1615"/>
    <w:rsid w:val="00CF16F2"/>
    <w:rsid w:val="00CF2157"/>
    <w:rsid w:val="00CF25E2"/>
    <w:rsid w:val="00CF279B"/>
    <w:rsid w:val="00CF2B8D"/>
    <w:rsid w:val="00CF3CF7"/>
    <w:rsid w:val="00CF456B"/>
    <w:rsid w:val="00CF5A22"/>
    <w:rsid w:val="00CF5D04"/>
    <w:rsid w:val="00CF6582"/>
    <w:rsid w:val="00CF7D36"/>
    <w:rsid w:val="00D0081A"/>
    <w:rsid w:val="00D00AFA"/>
    <w:rsid w:val="00D00E0E"/>
    <w:rsid w:val="00D0262E"/>
    <w:rsid w:val="00D03D08"/>
    <w:rsid w:val="00D05E3D"/>
    <w:rsid w:val="00D06139"/>
    <w:rsid w:val="00D07935"/>
    <w:rsid w:val="00D07B21"/>
    <w:rsid w:val="00D108EC"/>
    <w:rsid w:val="00D110BD"/>
    <w:rsid w:val="00D11394"/>
    <w:rsid w:val="00D11995"/>
    <w:rsid w:val="00D12E0D"/>
    <w:rsid w:val="00D130D6"/>
    <w:rsid w:val="00D1326E"/>
    <w:rsid w:val="00D13675"/>
    <w:rsid w:val="00D141E1"/>
    <w:rsid w:val="00D15314"/>
    <w:rsid w:val="00D15FD1"/>
    <w:rsid w:val="00D17D6C"/>
    <w:rsid w:val="00D214FA"/>
    <w:rsid w:val="00D2155B"/>
    <w:rsid w:val="00D22BDB"/>
    <w:rsid w:val="00D23272"/>
    <w:rsid w:val="00D23D11"/>
    <w:rsid w:val="00D244B6"/>
    <w:rsid w:val="00D2492B"/>
    <w:rsid w:val="00D26146"/>
    <w:rsid w:val="00D261AF"/>
    <w:rsid w:val="00D262FD"/>
    <w:rsid w:val="00D270AC"/>
    <w:rsid w:val="00D27313"/>
    <w:rsid w:val="00D2754D"/>
    <w:rsid w:val="00D27B27"/>
    <w:rsid w:val="00D31ACA"/>
    <w:rsid w:val="00D33B9C"/>
    <w:rsid w:val="00D33BE9"/>
    <w:rsid w:val="00D33C2B"/>
    <w:rsid w:val="00D33F93"/>
    <w:rsid w:val="00D357FF"/>
    <w:rsid w:val="00D3585B"/>
    <w:rsid w:val="00D35D19"/>
    <w:rsid w:val="00D364E9"/>
    <w:rsid w:val="00D404C8"/>
    <w:rsid w:val="00D40822"/>
    <w:rsid w:val="00D424C7"/>
    <w:rsid w:val="00D426DD"/>
    <w:rsid w:val="00D42E79"/>
    <w:rsid w:val="00D430E1"/>
    <w:rsid w:val="00D43A9A"/>
    <w:rsid w:val="00D43B2A"/>
    <w:rsid w:val="00D43D83"/>
    <w:rsid w:val="00D443E2"/>
    <w:rsid w:val="00D444A4"/>
    <w:rsid w:val="00D44811"/>
    <w:rsid w:val="00D44F0D"/>
    <w:rsid w:val="00D451D6"/>
    <w:rsid w:val="00D461C5"/>
    <w:rsid w:val="00D47366"/>
    <w:rsid w:val="00D47575"/>
    <w:rsid w:val="00D47EF0"/>
    <w:rsid w:val="00D50A1D"/>
    <w:rsid w:val="00D5243B"/>
    <w:rsid w:val="00D52B72"/>
    <w:rsid w:val="00D52DC7"/>
    <w:rsid w:val="00D533EC"/>
    <w:rsid w:val="00D533FD"/>
    <w:rsid w:val="00D53448"/>
    <w:rsid w:val="00D53A00"/>
    <w:rsid w:val="00D56A95"/>
    <w:rsid w:val="00D60E18"/>
    <w:rsid w:val="00D60F22"/>
    <w:rsid w:val="00D617DB"/>
    <w:rsid w:val="00D61C7F"/>
    <w:rsid w:val="00D61E44"/>
    <w:rsid w:val="00D626B0"/>
    <w:rsid w:val="00D64EE4"/>
    <w:rsid w:val="00D66EB2"/>
    <w:rsid w:val="00D67074"/>
    <w:rsid w:val="00D70F16"/>
    <w:rsid w:val="00D728D1"/>
    <w:rsid w:val="00D72AE9"/>
    <w:rsid w:val="00D72F57"/>
    <w:rsid w:val="00D73853"/>
    <w:rsid w:val="00D75B60"/>
    <w:rsid w:val="00D75D20"/>
    <w:rsid w:val="00D76A44"/>
    <w:rsid w:val="00D7706C"/>
    <w:rsid w:val="00D80985"/>
    <w:rsid w:val="00D80BBB"/>
    <w:rsid w:val="00D815EF"/>
    <w:rsid w:val="00D819C9"/>
    <w:rsid w:val="00D81F26"/>
    <w:rsid w:val="00D82F5E"/>
    <w:rsid w:val="00D8327C"/>
    <w:rsid w:val="00D85099"/>
    <w:rsid w:val="00D86231"/>
    <w:rsid w:val="00D91923"/>
    <w:rsid w:val="00D91F4F"/>
    <w:rsid w:val="00D921C5"/>
    <w:rsid w:val="00D93656"/>
    <w:rsid w:val="00D93753"/>
    <w:rsid w:val="00D9455D"/>
    <w:rsid w:val="00D948DA"/>
    <w:rsid w:val="00D957CA"/>
    <w:rsid w:val="00D96831"/>
    <w:rsid w:val="00D97184"/>
    <w:rsid w:val="00D97E1C"/>
    <w:rsid w:val="00DA0418"/>
    <w:rsid w:val="00DA2E2F"/>
    <w:rsid w:val="00DA3167"/>
    <w:rsid w:val="00DA4DC3"/>
    <w:rsid w:val="00DA4F31"/>
    <w:rsid w:val="00DA77A5"/>
    <w:rsid w:val="00DA7AE1"/>
    <w:rsid w:val="00DB0959"/>
    <w:rsid w:val="00DB160B"/>
    <w:rsid w:val="00DB1FC5"/>
    <w:rsid w:val="00DB3DBF"/>
    <w:rsid w:val="00DB3E7E"/>
    <w:rsid w:val="00DB484F"/>
    <w:rsid w:val="00DB4BB2"/>
    <w:rsid w:val="00DB73CF"/>
    <w:rsid w:val="00DC04F6"/>
    <w:rsid w:val="00DC0690"/>
    <w:rsid w:val="00DC133F"/>
    <w:rsid w:val="00DC1A2B"/>
    <w:rsid w:val="00DC1D65"/>
    <w:rsid w:val="00DC24F6"/>
    <w:rsid w:val="00DC2802"/>
    <w:rsid w:val="00DC3C57"/>
    <w:rsid w:val="00DC3CB1"/>
    <w:rsid w:val="00DC3DFB"/>
    <w:rsid w:val="00DC4CB7"/>
    <w:rsid w:val="00DC5501"/>
    <w:rsid w:val="00DC6E08"/>
    <w:rsid w:val="00DC7154"/>
    <w:rsid w:val="00DC759B"/>
    <w:rsid w:val="00DC75C8"/>
    <w:rsid w:val="00DC7C28"/>
    <w:rsid w:val="00DC7E4A"/>
    <w:rsid w:val="00DC7E8A"/>
    <w:rsid w:val="00DD0D7B"/>
    <w:rsid w:val="00DD0F78"/>
    <w:rsid w:val="00DD156A"/>
    <w:rsid w:val="00DD1D4A"/>
    <w:rsid w:val="00DD273C"/>
    <w:rsid w:val="00DD3F28"/>
    <w:rsid w:val="00DD4537"/>
    <w:rsid w:val="00DD4729"/>
    <w:rsid w:val="00DD493D"/>
    <w:rsid w:val="00DD4DD8"/>
    <w:rsid w:val="00DD4E15"/>
    <w:rsid w:val="00DD59F9"/>
    <w:rsid w:val="00DD5A55"/>
    <w:rsid w:val="00DD5CA1"/>
    <w:rsid w:val="00DD6C5F"/>
    <w:rsid w:val="00DD6F80"/>
    <w:rsid w:val="00DE01EE"/>
    <w:rsid w:val="00DE12B9"/>
    <w:rsid w:val="00DE21A5"/>
    <w:rsid w:val="00DE2304"/>
    <w:rsid w:val="00DE3138"/>
    <w:rsid w:val="00DE37F8"/>
    <w:rsid w:val="00DE4FCB"/>
    <w:rsid w:val="00DE50A1"/>
    <w:rsid w:val="00DE5D07"/>
    <w:rsid w:val="00DE72A7"/>
    <w:rsid w:val="00DE7832"/>
    <w:rsid w:val="00DE789B"/>
    <w:rsid w:val="00DE7F8D"/>
    <w:rsid w:val="00DF18FC"/>
    <w:rsid w:val="00DF25E5"/>
    <w:rsid w:val="00DF3BEF"/>
    <w:rsid w:val="00DF4214"/>
    <w:rsid w:val="00DF4988"/>
    <w:rsid w:val="00DF5AC0"/>
    <w:rsid w:val="00DF5D2B"/>
    <w:rsid w:val="00DF6CCD"/>
    <w:rsid w:val="00DF722C"/>
    <w:rsid w:val="00E00E8E"/>
    <w:rsid w:val="00E04BE4"/>
    <w:rsid w:val="00E04C38"/>
    <w:rsid w:val="00E05630"/>
    <w:rsid w:val="00E05D4B"/>
    <w:rsid w:val="00E06CE8"/>
    <w:rsid w:val="00E06DBB"/>
    <w:rsid w:val="00E06DC4"/>
    <w:rsid w:val="00E10149"/>
    <w:rsid w:val="00E11340"/>
    <w:rsid w:val="00E122A1"/>
    <w:rsid w:val="00E13725"/>
    <w:rsid w:val="00E143DF"/>
    <w:rsid w:val="00E146CA"/>
    <w:rsid w:val="00E16372"/>
    <w:rsid w:val="00E2087D"/>
    <w:rsid w:val="00E20A66"/>
    <w:rsid w:val="00E20E4D"/>
    <w:rsid w:val="00E20ED6"/>
    <w:rsid w:val="00E21358"/>
    <w:rsid w:val="00E22101"/>
    <w:rsid w:val="00E2249B"/>
    <w:rsid w:val="00E22730"/>
    <w:rsid w:val="00E22A0D"/>
    <w:rsid w:val="00E2409F"/>
    <w:rsid w:val="00E24302"/>
    <w:rsid w:val="00E244F6"/>
    <w:rsid w:val="00E245B2"/>
    <w:rsid w:val="00E24D75"/>
    <w:rsid w:val="00E25B85"/>
    <w:rsid w:val="00E266CA"/>
    <w:rsid w:val="00E26C76"/>
    <w:rsid w:val="00E2771E"/>
    <w:rsid w:val="00E27902"/>
    <w:rsid w:val="00E30241"/>
    <w:rsid w:val="00E30A6A"/>
    <w:rsid w:val="00E311EF"/>
    <w:rsid w:val="00E32180"/>
    <w:rsid w:val="00E32E78"/>
    <w:rsid w:val="00E330AE"/>
    <w:rsid w:val="00E33A62"/>
    <w:rsid w:val="00E34024"/>
    <w:rsid w:val="00E3469A"/>
    <w:rsid w:val="00E34948"/>
    <w:rsid w:val="00E34C98"/>
    <w:rsid w:val="00E350BF"/>
    <w:rsid w:val="00E36EF8"/>
    <w:rsid w:val="00E37569"/>
    <w:rsid w:val="00E379E0"/>
    <w:rsid w:val="00E37F20"/>
    <w:rsid w:val="00E401B2"/>
    <w:rsid w:val="00E40793"/>
    <w:rsid w:val="00E40EF3"/>
    <w:rsid w:val="00E41E30"/>
    <w:rsid w:val="00E42F73"/>
    <w:rsid w:val="00E43D70"/>
    <w:rsid w:val="00E44C87"/>
    <w:rsid w:val="00E44E8B"/>
    <w:rsid w:val="00E45ABC"/>
    <w:rsid w:val="00E45CC5"/>
    <w:rsid w:val="00E45FFB"/>
    <w:rsid w:val="00E466F3"/>
    <w:rsid w:val="00E46E39"/>
    <w:rsid w:val="00E47B2C"/>
    <w:rsid w:val="00E50994"/>
    <w:rsid w:val="00E51560"/>
    <w:rsid w:val="00E51898"/>
    <w:rsid w:val="00E53FC8"/>
    <w:rsid w:val="00E54347"/>
    <w:rsid w:val="00E55424"/>
    <w:rsid w:val="00E55915"/>
    <w:rsid w:val="00E55BB5"/>
    <w:rsid w:val="00E605F8"/>
    <w:rsid w:val="00E65E79"/>
    <w:rsid w:val="00E66564"/>
    <w:rsid w:val="00E66A03"/>
    <w:rsid w:val="00E66BA2"/>
    <w:rsid w:val="00E67416"/>
    <w:rsid w:val="00E6766C"/>
    <w:rsid w:val="00E718B6"/>
    <w:rsid w:val="00E71AF6"/>
    <w:rsid w:val="00E723BA"/>
    <w:rsid w:val="00E72A94"/>
    <w:rsid w:val="00E73499"/>
    <w:rsid w:val="00E73581"/>
    <w:rsid w:val="00E74F9F"/>
    <w:rsid w:val="00E75468"/>
    <w:rsid w:val="00E75DC2"/>
    <w:rsid w:val="00E77DBC"/>
    <w:rsid w:val="00E80B46"/>
    <w:rsid w:val="00E82E29"/>
    <w:rsid w:val="00E833F7"/>
    <w:rsid w:val="00E83BDF"/>
    <w:rsid w:val="00E86309"/>
    <w:rsid w:val="00E87A1D"/>
    <w:rsid w:val="00E9094A"/>
    <w:rsid w:val="00E91D35"/>
    <w:rsid w:val="00E926A5"/>
    <w:rsid w:val="00E95824"/>
    <w:rsid w:val="00E96A9F"/>
    <w:rsid w:val="00E96B3C"/>
    <w:rsid w:val="00E97CD2"/>
    <w:rsid w:val="00EA0D90"/>
    <w:rsid w:val="00EA1182"/>
    <w:rsid w:val="00EA17C3"/>
    <w:rsid w:val="00EA1BA6"/>
    <w:rsid w:val="00EA28E7"/>
    <w:rsid w:val="00EA2CAA"/>
    <w:rsid w:val="00EA3864"/>
    <w:rsid w:val="00EA3D88"/>
    <w:rsid w:val="00EA4E40"/>
    <w:rsid w:val="00EA50A0"/>
    <w:rsid w:val="00EA52DD"/>
    <w:rsid w:val="00EA6C8A"/>
    <w:rsid w:val="00EA76A1"/>
    <w:rsid w:val="00EA7F1C"/>
    <w:rsid w:val="00EB0406"/>
    <w:rsid w:val="00EB110B"/>
    <w:rsid w:val="00EB15B6"/>
    <w:rsid w:val="00EB2164"/>
    <w:rsid w:val="00EB2917"/>
    <w:rsid w:val="00EB3D06"/>
    <w:rsid w:val="00EB4916"/>
    <w:rsid w:val="00EB7476"/>
    <w:rsid w:val="00EC00C9"/>
    <w:rsid w:val="00EC0DD9"/>
    <w:rsid w:val="00EC16CB"/>
    <w:rsid w:val="00EC1A31"/>
    <w:rsid w:val="00EC2649"/>
    <w:rsid w:val="00EC2B34"/>
    <w:rsid w:val="00EC31ED"/>
    <w:rsid w:val="00EC3949"/>
    <w:rsid w:val="00EC4719"/>
    <w:rsid w:val="00EC5836"/>
    <w:rsid w:val="00EC688C"/>
    <w:rsid w:val="00EC7F2B"/>
    <w:rsid w:val="00ED067D"/>
    <w:rsid w:val="00ED07EE"/>
    <w:rsid w:val="00ED0B3B"/>
    <w:rsid w:val="00ED16AF"/>
    <w:rsid w:val="00ED1C4A"/>
    <w:rsid w:val="00ED1F50"/>
    <w:rsid w:val="00ED2B32"/>
    <w:rsid w:val="00ED2E59"/>
    <w:rsid w:val="00ED4085"/>
    <w:rsid w:val="00ED57EA"/>
    <w:rsid w:val="00ED5BAB"/>
    <w:rsid w:val="00ED5BD4"/>
    <w:rsid w:val="00ED60EA"/>
    <w:rsid w:val="00ED7F02"/>
    <w:rsid w:val="00EE01E0"/>
    <w:rsid w:val="00EE07D3"/>
    <w:rsid w:val="00EE0A76"/>
    <w:rsid w:val="00EE13D7"/>
    <w:rsid w:val="00EE188E"/>
    <w:rsid w:val="00EE1996"/>
    <w:rsid w:val="00EE1BF6"/>
    <w:rsid w:val="00EE1C01"/>
    <w:rsid w:val="00EE22AF"/>
    <w:rsid w:val="00EE29C0"/>
    <w:rsid w:val="00EE3CCB"/>
    <w:rsid w:val="00EE4126"/>
    <w:rsid w:val="00EE4416"/>
    <w:rsid w:val="00EE6557"/>
    <w:rsid w:val="00EE6EBD"/>
    <w:rsid w:val="00EF0160"/>
    <w:rsid w:val="00EF0171"/>
    <w:rsid w:val="00EF11BE"/>
    <w:rsid w:val="00EF1B25"/>
    <w:rsid w:val="00EF1DA0"/>
    <w:rsid w:val="00EF2C16"/>
    <w:rsid w:val="00EF2E5D"/>
    <w:rsid w:val="00EF39B7"/>
    <w:rsid w:val="00EF3E22"/>
    <w:rsid w:val="00EF4747"/>
    <w:rsid w:val="00EF4BF8"/>
    <w:rsid w:val="00EF61A9"/>
    <w:rsid w:val="00EF6C1D"/>
    <w:rsid w:val="00EF74AE"/>
    <w:rsid w:val="00EF7581"/>
    <w:rsid w:val="00EF7D28"/>
    <w:rsid w:val="00F008C0"/>
    <w:rsid w:val="00F00BEA"/>
    <w:rsid w:val="00F0220E"/>
    <w:rsid w:val="00F02253"/>
    <w:rsid w:val="00F03C2E"/>
    <w:rsid w:val="00F045F0"/>
    <w:rsid w:val="00F0470D"/>
    <w:rsid w:val="00F04A66"/>
    <w:rsid w:val="00F04B4B"/>
    <w:rsid w:val="00F04EAC"/>
    <w:rsid w:val="00F0516C"/>
    <w:rsid w:val="00F054B2"/>
    <w:rsid w:val="00F056B8"/>
    <w:rsid w:val="00F067A2"/>
    <w:rsid w:val="00F07B9E"/>
    <w:rsid w:val="00F10B2C"/>
    <w:rsid w:val="00F10F52"/>
    <w:rsid w:val="00F1116F"/>
    <w:rsid w:val="00F11ED8"/>
    <w:rsid w:val="00F11F29"/>
    <w:rsid w:val="00F1263A"/>
    <w:rsid w:val="00F12C39"/>
    <w:rsid w:val="00F13793"/>
    <w:rsid w:val="00F14142"/>
    <w:rsid w:val="00F14C6E"/>
    <w:rsid w:val="00F14DD0"/>
    <w:rsid w:val="00F15B77"/>
    <w:rsid w:val="00F1634B"/>
    <w:rsid w:val="00F163D4"/>
    <w:rsid w:val="00F170E1"/>
    <w:rsid w:val="00F17730"/>
    <w:rsid w:val="00F17800"/>
    <w:rsid w:val="00F1785E"/>
    <w:rsid w:val="00F20129"/>
    <w:rsid w:val="00F20D40"/>
    <w:rsid w:val="00F219E4"/>
    <w:rsid w:val="00F219F2"/>
    <w:rsid w:val="00F21C07"/>
    <w:rsid w:val="00F2356A"/>
    <w:rsid w:val="00F24837"/>
    <w:rsid w:val="00F25287"/>
    <w:rsid w:val="00F2575F"/>
    <w:rsid w:val="00F26884"/>
    <w:rsid w:val="00F27565"/>
    <w:rsid w:val="00F279A0"/>
    <w:rsid w:val="00F310D4"/>
    <w:rsid w:val="00F31D5A"/>
    <w:rsid w:val="00F31DE6"/>
    <w:rsid w:val="00F321FD"/>
    <w:rsid w:val="00F32AA1"/>
    <w:rsid w:val="00F33197"/>
    <w:rsid w:val="00F33975"/>
    <w:rsid w:val="00F33DE9"/>
    <w:rsid w:val="00F34762"/>
    <w:rsid w:val="00F34C7B"/>
    <w:rsid w:val="00F35244"/>
    <w:rsid w:val="00F358B2"/>
    <w:rsid w:val="00F35E6D"/>
    <w:rsid w:val="00F35E89"/>
    <w:rsid w:val="00F3619A"/>
    <w:rsid w:val="00F36602"/>
    <w:rsid w:val="00F36BA5"/>
    <w:rsid w:val="00F37333"/>
    <w:rsid w:val="00F40AAA"/>
    <w:rsid w:val="00F40BA7"/>
    <w:rsid w:val="00F40F9D"/>
    <w:rsid w:val="00F4122D"/>
    <w:rsid w:val="00F41ACD"/>
    <w:rsid w:val="00F434A3"/>
    <w:rsid w:val="00F44A28"/>
    <w:rsid w:val="00F45FFD"/>
    <w:rsid w:val="00F46826"/>
    <w:rsid w:val="00F46CB6"/>
    <w:rsid w:val="00F46DF1"/>
    <w:rsid w:val="00F4756D"/>
    <w:rsid w:val="00F47DE8"/>
    <w:rsid w:val="00F511A7"/>
    <w:rsid w:val="00F51F7F"/>
    <w:rsid w:val="00F522DE"/>
    <w:rsid w:val="00F53961"/>
    <w:rsid w:val="00F5420D"/>
    <w:rsid w:val="00F542C1"/>
    <w:rsid w:val="00F545C2"/>
    <w:rsid w:val="00F54A9F"/>
    <w:rsid w:val="00F55AFA"/>
    <w:rsid w:val="00F55E73"/>
    <w:rsid w:val="00F55EDA"/>
    <w:rsid w:val="00F56471"/>
    <w:rsid w:val="00F56C80"/>
    <w:rsid w:val="00F574F4"/>
    <w:rsid w:val="00F60092"/>
    <w:rsid w:val="00F606AF"/>
    <w:rsid w:val="00F60A55"/>
    <w:rsid w:val="00F61C18"/>
    <w:rsid w:val="00F61D2E"/>
    <w:rsid w:val="00F62B72"/>
    <w:rsid w:val="00F63860"/>
    <w:rsid w:val="00F64995"/>
    <w:rsid w:val="00F65C27"/>
    <w:rsid w:val="00F65F4B"/>
    <w:rsid w:val="00F678DC"/>
    <w:rsid w:val="00F67A69"/>
    <w:rsid w:val="00F67ABD"/>
    <w:rsid w:val="00F67EDF"/>
    <w:rsid w:val="00F701D2"/>
    <w:rsid w:val="00F70BFF"/>
    <w:rsid w:val="00F70C9D"/>
    <w:rsid w:val="00F70D86"/>
    <w:rsid w:val="00F710B6"/>
    <w:rsid w:val="00F715C4"/>
    <w:rsid w:val="00F73B04"/>
    <w:rsid w:val="00F74CD9"/>
    <w:rsid w:val="00F7513C"/>
    <w:rsid w:val="00F807B0"/>
    <w:rsid w:val="00F80A7B"/>
    <w:rsid w:val="00F80D9E"/>
    <w:rsid w:val="00F80E5D"/>
    <w:rsid w:val="00F81E78"/>
    <w:rsid w:val="00F83958"/>
    <w:rsid w:val="00F83A52"/>
    <w:rsid w:val="00F850B9"/>
    <w:rsid w:val="00F850DE"/>
    <w:rsid w:val="00F851CE"/>
    <w:rsid w:val="00F86524"/>
    <w:rsid w:val="00F866F1"/>
    <w:rsid w:val="00F87775"/>
    <w:rsid w:val="00F90C6B"/>
    <w:rsid w:val="00F90CF7"/>
    <w:rsid w:val="00F90F2F"/>
    <w:rsid w:val="00F91219"/>
    <w:rsid w:val="00F92444"/>
    <w:rsid w:val="00F924B4"/>
    <w:rsid w:val="00F930C2"/>
    <w:rsid w:val="00F9393E"/>
    <w:rsid w:val="00F967B6"/>
    <w:rsid w:val="00F96827"/>
    <w:rsid w:val="00F96FD0"/>
    <w:rsid w:val="00F97A78"/>
    <w:rsid w:val="00FA0B03"/>
    <w:rsid w:val="00FA0B20"/>
    <w:rsid w:val="00FA12D2"/>
    <w:rsid w:val="00FA1D99"/>
    <w:rsid w:val="00FA24E7"/>
    <w:rsid w:val="00FA26EF"/>
    <w:rsid w:val="00FA2910"/>
    <w:rsid w:val="00FA2D46"/>
    <w:rsid w:val="00FA3D50"/>
    <w:rsid w:val="00FA5EE6"/>
    <w:rsid w:val="00FA7956"/>
    <w:rsid w:val="00FA7985"/>
    <w:rsid w:val="00FB1EA3"/>
    <w:rsid w:val="00FB2FCB"/>
    <w:rsid w:val="00FB3531"/>
    <w:rsid w:val="00FB4031"/>
    <w:rsid w:val="00FB4535"/>
    <w:rsid w:val="00FB5819"/>
    <w:rsid w:val="00FB5CF8"/>
    <w:rsid w:val="00FB612B"/>
    <w:rsid w:val="00FB6FA4"/>
    <w:rsid w:val="00FB7C4E"/>
    <w:rsid w:val="00FB7C55"/>
    <w:rsid w:val="00FC062F"/>
    <w:rsid w:val="00FC1074"/>
    <w:rsid w:val="00FC1884"/>
    <w:rsid w:val="00FC1E04"/>
    <w:rsid w:val="00FC1E81"/>
    <w:rsid w:val="00FC371D"/>
    <w:rsid w:val="00FC4BA5"/>
    <w:rsid w:val="00FC5965"/>
    <w:rsid w:val="00FC5F0B"/>
    <w:rsid w:val="00FC5F42"/>
    <w:rsid w:val="00FC789B"/>
    <w:rsid w:val="00FC78E5"/>
    <w:rsid w:val="00FD0A18"/>
    <w:rsid w:val="00FD0D93"/>
    <w:rsid w:val="00FD1904"/>
    <w:rsid w:val="00FD1B90"/>
    <w:rsid w:val="00FD2100"/>
    <w:rsid w:val="00FD2329"/>
    <w:rsid w:val="00FD2D2D"/>
    <w:rsid w:val="00FD436C"/>
    <w:rsid w:val="00FD446D"/>
    <w:rsid w:val="00FD4F2C"/>
    <w:rsid w:val="00FD5F81"/>
    <w:rsid w:val="00FD6394"/>
    <w:rsid w:val="00FE03C7"/>
    <w:rsid w:val="00FE0A55"/>
    <w:rsid w:val="00FE0E6C"/>
    <w:rsid w:val="00FE1CDC"/>
    <w:rsid w:val="00FE38FF"/>
    <w:rsid w:val="00FE3A2D"/>
    <w:rsid w:val="00FE4C3A"/>
    <w:rsid w:val="00FE5730"/>
    <w:rsid w:val="00FE6FB4"/>
    <w:rsid w:val="00FE70C3"/>
    <w:rsid w:val="00FF0437"/>
    <w:rsid w:val="00FF1412"/>
    <w:rsid w:val="00FF25C9"/>
    <w:rsid w:val="00FF2AD9"/>
    <w:rsid w:val="00FF359F"/>
    <w:rsid w:val="00FF3DCF"/>
    <w:rsid w:val="00FF492C"/>
    <w:rsid w:val="00FF4A21"/>
    <w:rsid w:val="00FF4B0A"/>
    <w:rsid w:val="00FF513A"/>
    <w:rsid w:val="00FF554C"/>
    <w:rsid w:val="00FF5AA3"/>
    <w:rsid w:val="00FF5AD8"/>
    <w:rsid w:val="00FF5B05"/>
    <w:rsid w:val="00FF6016"/>
    <w:rsid w:val="00FF7C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15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5D"/>
    <w:pPr>
      <w:jc w:val="both"/>
    </w:pPr>
    <w:rPr>
      <w:rFonts w:asciiTheme="minorHAnsi" w:hAnsiTheme="minorHAnsi"/>
      <w:sz w:val="24"/>
      <w:szCs w:val="24"/>
      <w:lang w:eastAsia="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8D0213"/>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D0213"/>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Char Char Char,Char Char1,Table caption,IB Caption,Medical Caption,Medical Caption Char,Caption Char1 Char Char,Caption Char Char Char Char,Caption Char Char Char Char Char,Caption Char1 Char1,c,Caption 3,appendix"/>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Table caption Char,IB Caption Char,Medical Caption Char1,Medical Caption Char Char,Caption Char1 Char Char Char,Caption Char Char Char Char Char1,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ummary Bullets,Table Legend,Bullet List,Section 5,Styl moj,Akapit z listą11,L,Bullets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ummary Bullets Char,Table Legend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887E8A"/>
    <w:rPr>
      <w:rFonts w:ascii="Arial Narrow" w:hAnsi="Arial Narrow"/>
      <w:snapToGrid w:val="0"/>
      <w:sz w:val="20"/>
    </w:rPr>
  </w:style>
  <w:style w:type="character" w:customStyle="1" w:styleId="TabletextChar">
    <w:name w:val="Table text Char"/>
    <w:link w:val="Tabletext"/>
    <w:rsid w:val="00887E8A"/>
    <w:rPr>
      <w:rFonts w:ascii="Arial Narrow" w:hAnsi="Arial Narrow"/>
      <w:snapToGrid w:val="0"/>
      <w:szCs w:val="24"/>
      <w:lang w:eastAsia="en-GB"/>
    </w:rPr>
  </w:style>
  <w:style w:type="paragraph" w:customStyle="1" w:styleId="TableHeading">
    <w:name w:val="TableHeading"/>
    <w:basedOn w:val="Normal"/>
    <w:qFormat/>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basedOn w:val="Normal"/>
    <w:link w:val="CommentTextChar"/>
    <w:rsid w:val="00FD2100"/>
    <w:rPr>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val="0"/>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8536B4"/>
    <w:rPr>
      <w:rFonts w:ascii="Cambria" w:eastAsia="Cambria" w:hAnsi="Cambria"/>
      <w:sz w:val="20"/>
      <w:szCs w:val="20"/>
      <w:lang w:eastAsia="en-US"/>
    </w:rPr>
  </w:style>
  <w:style w:type="character" w:customStyle="1" w:styleId="FootnoteTextChar">
    <w:name w:val="Footnote Text Char"/>
    <w:basedOn w:val="DefaultParagraphFont"/>
    <w:link w:val="FootnoteText"/>
    <w:rsid w:val="008536B4"/>
    <w:rPr>
      <w:rFonts w:ascii="Cambria" w:eastAsia="Cambria" w:hAnsi="Cambria"/>
      <w:lang w:eastAsia="en-US"/>
    </w:rPr>
  </w:style>
  <w:style w:type="character" w:styleId="FootnoteReference">
    <w:name w:val="footnote reference"/>
    <w:basedOn w:val="DefaultParagraphFont"/>
    <w:semiHidden/>
    <w:unhideWhenUsed/>
    <w:rsid w:val="008536B4"/>
    <w:rPr>
      <w:vertAlign w:val="superscript"/>
    </w:rPr>
  </w:style>
  <w:style w:type="character" w:customStyle="1" w:styleId="apple-converted-space">
    <w:name w:val="apple-converted-space"/>
    <w:basedOn w:val="DefaultParagraphFont"/>
    <w:rsid w:val="00DE7F8D"/>
  </w:style>
  <w:style w:type="character" w:customStyle="1" w:styleId="hitinf">
    <w:name w:val="hit_inf"/>
    <w:basedOn w:val="DefaultParagraphFont"/>
    <w:rsid w:val="00DE7F8D"/>
  </w:style>
  <w:style w:type="paragraph" w:customStyle="1" w:styleId="TableText1">
    <w:name w:val="TableText"/>
    <w:basedOn w:val="Normal"/>
    <w:link w:val="TableTextChar1"/>
    <w:qFormat/>
    <w:rsid w:val="00076379"/>
    <w:pPr>
      <w:keepNext/>
      <w:spacing w:line="264" w:lineRule="auto"/>
    </w:pPr>
    <w:rPr>
      <w:rFonts w:ascii="Arial Narrow" w:eastAsiaTheme="minorHAnsi" w:hAnsi="Arial Narrow" w:cs="Arial Narrow"/>
      <w:sz w:val="22"/>
      <w:szCs w:val="22"/>
      <w:lang w:eastAsia="en-US" w:bidi="en-US"/>
    </w:rPr>
  </w:style>
  <w:style w:type="character" w:customStyle="1" w:styleId="TableTextChar1">
    <w:name w:val="TableText Char"/>
    <w:link w:val="TableText1"/>
    <w:rsid w:val="00076379"/>
    <w:rPr>
      <w:rFonts w:ascii="Arial Narrow" w:eastAsiaTheme="minorHAnsi" w:hAnsi="Arial Narrow" w:cs="Arial Narrow"/>
      <w:sz w:val="22"/>
      <w:szCs w:val="22"/>
      <w:lang w:eastAsia="en-US" w:bidi="en-US"/>
    </w:rPr>
  </w:style>
  <w:style w:type="paragraph" w:customStyle="1" w:styleId="TableorfigureAbbreviationsandSource">
    <w:name w:val="Table or figure Abbreviations and Source"/>
    <w:next w:val="Normal"/>
    <w:qFormat/>
    <w:rsid w:val="00A56997"/>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uiPriority w:val="99"/>
    <w:semiHidden/>
    <w:unhideWhenUsed/>
    <w:rsid w:val="00E34024"/>
    <w:rPr>
      <w:color w:val="605E5C"/>
      <w:shd w:val="clear" w:color="auto" w:fill="E1DFDD"/>
    </w:rPr>
  </w:style>
  <w:style w:type="paragraph" w:customStyle="1" w:styleId="EndNoteBibliography">
    <w:name w:val="EndNote Bibliography"/>
    <w:basedOn w:val="Normal"/>
    <w:link w:val="EndNoteBibliographyChar"/>
    <w:rsid w:val="006F1590"/>
    <w:pPr>
      <w:spacing w:after="120" w:line="240" w:lineRule="exact"/>
      <w:ind w:left="720" w:hanging="720"/>
    </w:pPr>
    <w:rPr>
      <w:rFonts w:ascii="Arial" w:eastAsiaTheme="minorHAnsi" w:hAnsi="Arial"/>
      <w:sz w:val="20"/>
      <w:szCs w:val="20"/>
      <w:lang w:val="en-US" w:eastAsia="en-US"/>
    </w:rPr>
  </w:style>
  <w:style w:type="character" w:customStyle="1" w:styleId="EndNoteBibliographyChar">
    <w:name w:val="EndNote Bibliography Char"/>
    <w:basedOn w:val="DefaultParagraphFont"/>
    <w:link w:val="EndNoteBibliography"/>
    <w:rsid w:val="006F1590"/>
    <w:rPr>
      <w:rFonts w:ascii="Arial" w:eastAsiaTheme="minorHAnsi" w:hAnsi="Arial" w:cs="Arial"/>
      <w:lang w:val="en-US" w:eastAsia="en-US"/>
    </w:rPr>
  </w:style>
  <w:style w:type="table" w:customStyle="1" w:styleId="TableGrid1">
    <w:name w:val="Table Grid1"/>
    <w:basedOn w:val="TableNormal"/>
    <w:next w:val="TableGrid"/>
    <w:uiPriority w:val="59"/>
    <w:rsid w:val="00570B7A"/>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0E5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rsid w:val="00AF751A"/>
    <w:pPr>
      <w:numPr>
        <w:numId w:val="7"/>
      </w:numPr>
      <w:spacing w:after="160"/>
      <w:ind w:left="1134" w:hanging="1134"/>
    </w:pPr>
    <w:rPr>
      <w:rFonts w:ascii="Arial" w:eastAsiaTheme="minorHAnsi" w:hAnsi="Arial" w:cstheme="minorBidi"/>
      <w:b/>
      <w:sz w:val="20"/>
      <w:szCs w:val="20"/>
      <w:lang w:val="en-US" w:eastAsia="en-US"/>
    </w:rPr>
  </w:style>
  <w:style w:type="paragraph" w:customStyle="1" w:styleId="paragraph">
    <w:name w:val="paragraph"/>
    <w:basedOn w:val="Normal"/>
    <w:link w:val="paragraphChar"/>
    <w:uiPriority w:val="99"/>
    <w:qFormat/>
    <w:rsid w:val="007D1750"/>
    <w:pPr>
      <w:spacing w:before="200" w:line="320" w:lineRule="exact"/>
    </w:pPr>
    <w:rPr>
      <w:rFonts w:ascii="Verdana" w:hAnsi="Verdana"/>
      <w:sz w:val="20"/>
      <w:szCs w:val="20"/>
      <w:lang w:val="en-US" w:eastAsia="en-US"/>
    </w:rPr>
  </w:style>
  <w:style w:type="character" w:customStyle="1" w:styleId="paragraphChar">
    <w:name w:val="paragraph Char"/>
    <w:link w:val="paragraph"/>
    <w:uiPriority w:val="99"/>
    <w:rsid w:val="007D1750"/>
    <w:rPr>
      <w:rFonts w:ascii="Verdana" w:hAnsi="Verdana"/>
      <w:lang w:val="en-US" w:eastAsia="en-US"/>
    </w:rPr>
  </w:style>
  <w:style w:type="paragraph" w:customStyle="1" w:styleId="FigureES">
    <w:name w:val="Figure ES"/>
    <w:basedOn w:val="BodyText"/>
    <w:qFormat/>
    <w:rsid w:val="000E1AA6"/>
    <w:pPr>
      <w:numPr>
        <w:numId w:val="8"/>
      </w:numPr>
      <w:spacing w:line="360" w:lineRule="auto"/>
      <w:ind w:left="1418" w:hanging="1418"/>
    </w:pPr>
    <w:rPr>
      <w:rFonts w:ascii="Arial" w:hAnsi="Arial"/>
      <w:b/>
      <w:sz w:val="20"/>
      <w:lang w:eastAsia="en-US"/>
    </w:rPr>
  </w:style>
  <w:style w:type="paragraph" w:customStyle="1" w:styleId="Bullet1">
    <w:name w:val="Bullet 1"/>
    <w:basedOn w:val="Normal"/>
    <w:next w:val="Normal"/>
    <w:qFormat/>
    <w:rsid w:val="009A251F"/>
    <w:pPr>
      <w:numPr>
        <w:numId w:val="9"/>
      </w:numPr>
      <w:tabs>
        <w:tab w:val="clear" w:pos="360"/>
        <w:tab w:val="num" w:pos="426"/>
      </w:tabs>
      <w:spacing w:before="40" w:after="40" w:line="360" w:lineRule="auto"/>
      <w:ind w:left="426" w:hanging="426"/>
    </w:pPr>
    <w:rPr>
      <w:rFonts w:ascii="Arial" w:hAnsi="Arial"/>
      <w:sz w:val="20"/>
      <w:lang w:eastAsia="en-US"/>
    </w:rPr>
  </w:style>
  <w:style w:type="paragraph" w:customStyle="1" w:styleId="Bullet2">
    <w:name w:val="Bullet 2"/>
    <w:basedOn w:val="Normal"/>
    <w:next w:val="Normal"/>
    <w:qFormat/>
    <w:rsid w:val="009A251F"/>
    <w:pPr>
      <w:numPr>
        <w:ilvl w:val="1"/>
        <w:numId w:val="9"/>
      </w:numPr>
      <w:tabs>
        <w:tab w:val="clear" w:pos="1440"/>
        <w:tab w:val="num" w:pos="851"/>
      </w:tabs>
      <w:spacing w:line="360" w:lineRule="auto"/>
      <w:ind w:left="851" w:hanging="425"/>
    </w:pPr>
    <w:rPr>
      <w:rFonts w:ascii="Arial" w:hAnsi="Arial"/>
      <w:sz w:val="20"/>
      <w:lang w:eastAsia="en-US"/>
    </w:rPr>
  </w:style>
  <w:style w:type="paragraph" w:customStyle="1" w:styleId="Bulleted">
    <w:name w:val="Bulleted"/>
    <w:basedOn w:val="BodyText"/>
    <w:qFormat/>
    <w:rsid w:val="007054F3"/>
    <w:pPr>
      <w:numPr>
        <w:numId w:val="10"/>
      </w:numPr>
      <w:spacing w:before="120" w:after="120"/>
    </w:pPr>
    <w:rPr>
      <w:rFonts w:eastAsiaTheme="minorHAnsi"/>
      <w:szCs w:val="20"/>
      <w:lang w:val="en-US" w:eastAsia="en-US"/>
    </w:rPr>
  </w:style>
  <w:style w:type="paragraph" w:customStyle="1" w:styleId="MediumGrid1-Accent21">
    <w:name w:val="Medium Grid 1 - Accent 21"/>
    <w:basedOn w:val="Normal"/>
    <w:uiPriority w:val="34"/>
    <w:qFormat/>
    <w:rsid w:val="009C3E4D"/>
    <w:pPr>
      <w:ind w:left="720"/>
    </w:pPr>
    <w:rPr>
      <w:rFonts w:eastAsiaTheme="minorHAnsi" w:cstheme="minorBidi"/>
      <w:sz w:val="22"/>
      <w:szCs w:val="22"/>
      <w:lang w:eastAsia="en-US"/>
    </w:rPr>
  </w:style>
  <w:style w:type="paragraph" w:customStyle="1" w:styleId="Tableheadingrow">
    <w:name w:val="Table heading row"/>
    <w:qFormat/>
    <w:rsid w:val="009C3E4D"/>
    <w:pPr>
      <w:keepNext/>
    </w:pPr>
    <w:rPr>
      <w:rFonts w:ascii="Arial Narrow" w:eastAsiaTheme="majorEastAsia" w:hAnsi="Arial Narrow"/>
      <w:b/>
      <w:szCs w:val="24"/>
      <w:lang w:val="en-US"/>
    </w:rPr>
  </w:style>
  <w:style w:type="character" w:customStyle="1" w:styleId="UnresolvedMention2">
    <w:name w:val="Unresolved Mention2"/>
    <w:basedOn w:val="DefaultParagraphFont"/>
    <w:uiPriority w:val="99"/>
    <w:semiHidden/>
    <w:unhideWhenUsed/>
    <w:rsid w:val="0028684F"/>
    <w:rPr>
      <w:color w:val="605E5C"/>
      <w:shd w:val="clear" w:color="auto" w:fill="E1DFDD"/>
    </w:rPr>
  </w:style>
  <w:style w:type="table" w:customStyle="1" w:styleId="TableStyle">
    <w:name w:val="Table Style"/>
    <w:basedOn w:val="TableGrid"/>
    <w:uiPriority w:val="99"/>
    <w:rsid w:val="00355616"/>
    <w:pPr>
      <w:spacing w:before="40" w:after="40"/>
    </w:pPr>
    <w:rPr>
      <w:rFonts w:ascii="Arial Narrow" w:eastAsiaTheme="minorHAnsi" w:hAnsi="Arial Narrow" w:cstheme="minorBidi"/>
      <w:szCs w:val="22"/>
      <w:lang w:val="en-US" w:eastAsia="en-US"/>
    </w:rPr>
    <w:tblPr/>
    <w:trPr>
      <w:cantSplit/>
    </w:trPr>
    <w:tblStylePr w:type="firstRow">
      <w:pPr>
        <w:jc w:val="left"/>
      </w:pPr>
      <w:rPr>
        <w:rFonts w:ascii="Franklin Gothic Medium" w:hAnsi="Franklin Gothic Medium"/>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paragraph" w:customStyle="1" w:styleId="Style1">
    <w:name w:val="Style1"/>
    <w:basedOn w:val="TableHeading"/>
    <w:qFormat/>
    <w:rsid w:val="006E6EBB"/>
  </w:style>
  <w:style w:type="paragraph" w:customStyle="1" w:styleId="TableheadingperPBAC">
    <w:name w:val="Table heading per PBAC"/>
    <w:basedOn w:val="Normal"/>
    <w:qFormat/>
    <w:rsid w:val="002B54D4"/>
    <w:rPr>
      <w:rFonts w:ascii="Arial Narrow" w:hAnsi="Arial Narrow"/>
      <w:b/>
      <w:bCs/>
      <w:sz w:val="20"/>
      <w:szCs w:val="20"/>
    </w:rPr>
  </w:style>
  <w:style w:type="paragraph" w:customStyle="1" w:styleId="TableBullet">
    <w:name w:val="TableBullet"/>
    <w:basedOn w:val="TableText1"/>
    <w:uiPriority w:val="99"/>
    <w:rsid w:val="00931E83"/>
    <w:pPr>
      <w:numPr>
        <w:numId w:val="14"/>
      </w:numPr>
      <w:tabs>
        <w:tab w:val="clear" w:pos="360"/>
        <w:tab w:val="left" w:pos="216"/>
      </w:tabs>
      <w:ind w:left="720" w:hanging="360"/>
      <w:jc w:val="left"/>
    </w:pPr>
  </w:style>
  <w:style w:type="paragraph" w:customStyle="1" w:styleId="3-SubsectionHeading">
    <w:name w:val="3-Subsection Heading"/>
    <w:basedOn w:val="Heading2"/>
    <w:next w:val="Normal"/>
    <w:link w:val="3-SubsectionHeadingChar"/>
    <w:qFormat/>
    <w:rsid w:val="0008090D"/>
    <w:pPr>
      <w:keepNext/>
      <w:spacing w:before="120" w:after="120"/>
    </w:pPr>
    <w:rPr>
      <w:rFonts w:eastAsiaTheme="majorEastAsia" w:cstheme="majorBidi"/>
      <w:color w:val="365F91" w:themeColor="accent1" w:themeShade="BF"/>
      <w:spacing w:val="5"/>
      <w:kern w:val="28"/>
      <w:szCs w:val="36"/>
      <w:lang w:eastAsia="en-AU"/>
    </w:rPr>
  </w:style>
  <w:style w:type="character" w:customStyle="1" w:styleId="3-SubsectionHeadingChar">
    <w:name w:val="3-Subsection Heading Char"/>
    <w:basedOn w:val="Heading2Char"/>
    <w:link w:val="3-SubsectionHeading"/>
    <w:rsid w:val="0008090D"/>
    <w:rPr>
      <w:rFonts w:asciiTheme="minorHAnsi" w:eastAsiaTheme="majorEastAsia" w:hAnsiTheme="minorHAnsi" w:cstheme="majorBidi"/>
      <w:b/>
      <w:i/>
      <w:color w:val="365F91" w:themeColor="accent1" w:themeShade="BF"/>
      <w:spacing w:val="5"/>
      <w:kern w:val="28"/>
      <w:sz w:val="28"/>
      <w:szCs w:val="36"/>
    </w:rPr>
  </w:style>
  <w:style w:type="paragraph" w:customStyle="1" w:styleId="PBACESHeading1">
    <w:name w:val="PBAC ES Heading 1"/>
    <w:basedOn w:val="Heading1"/>
    <w:next w:val="ListParagraph"/>
    <w:uiPriority w:val="1"/>
    <w:qFormat/>
    <w:rsid w:val="00CA5497"/>
    <w:pPr>
      <w:keepNext/>
      <w:keepLines/>
      <w:tabs>
        <w:tab w:val="left" w:pos="1077"/>
      </w:tabs>
      <w:spacing w:before="240" w:after="120"/>
      <w:jc w:val="left"/>
    </w:pPr>
    <w:rPr>
      <w:rFonts w:cs="Arial"/>
      <w:caps w:val="0"/>
      <w:snapToGrid w:val="0"/>
      <w:szCs w:val="32"/>
      <w:lang w:eastAsia="en-US"/>
    </w:rPr>
  </w:style>
  <w:style w:type="paragraph" w:customStyle="1" w:styleId="MSACHeading1">
    <w:name w:val="MSAC Heading 1"/>
    <w:basedOn w:val="Heading1"/>
    <w:next w:val="Normal"/>
    <w:uiPriority w:val="1"/>
    <w:qFormat/>
    <w:rsid w:val="00CA5497"/>
    <w:pPr>
      <w:keepNext/>
      <w:keepLines/>
      <w:spacing w:before="160" w:after="240" w:line="259" w:lineRule="auto"/>
      <w:jc w:val="left"/>
    </w:pPr>
    <w:rPr>
      <w:rFonts w:ascii="Times New Roman" w:eastAsiaTheme="majorEastAsia" w:hAnsi="Times New Roman" w:cstheme="majorBidi"/>
      <w:caps w:val="0"/>
      <w:sz w:val="24"/>
      <w:szCs w:val="28"/>
      <w:lang w:eastAsia="en-US"/>
    </w:rPr>
  </w:style>
  <w:style w:type="paragraph" w:customStyle="1" w:styleId="MSACESHeading2">
    <w:name w:val="MSAC ES Heading 2"/>
    <w:basedOn w:val="Heading2"/>
    <w:next w:val="Normal"/>
    <w:uiPriority w:val="1"/>
    <w:qFormat/>
    <w:rsid w:val="00CA5497"/>
    <w:pPr>
      <w:keepNext/>
      <w:keepLines/>
      <w:spacing w:before="360" w:after="120"/>
      <w:ind w:left="720" w:hanging="720"/>
      <w:jc w:val="left"/>
    </w:pPr>
    <w:rPr>
      <w:rFonts w:ascii="Cambria" w:eastAsiaTheme="majorEastAsia" w:hAnsi="Cambria" w:cstheme="majorBidi"/>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280">
      <w:bodyDiv w:val="1"/>
      <w:marLeft w:val="0"/>
      <w:marRight w:val="0"/>
      <w:marTop w:val="0"/>
      <w:marBottom w:val="0"/>
      <w:divBdr>
        <w:top w:val="none" w:sz="0" w:space="0" w:color="auto"/>
        <w:left w:val="none" w:sz="0" w:space="0" w:color="auto"/>
        <w:bottom w:val="none" w:sz="0" w:space="0" w:color="auto"/>
        <w:right w:val="none" w:sz="0" w:space="0" w:color="auto"/>
      </w:divBdr>
    </w:div>
    <w:div w:id="13506698">
      <w:bodyDiv w:val="1"/>
      <w:marLeft w:val="0"/>
      <w:marRight w:val="0"/>
      <w:marTop w:val="0"/>
      <w:marBottom w:val="0"/>
      <w:divBdr>
        <w:top w:val="none" w:sz="0" w:space="0" w:color="auto"/>
        <w:left w:val="none" w:sz="0" w:space="0" w:color="auto"/>
        <w:bottom w:val="none" w:sz="0" w:space="0" w:color="auto"/>
        <w:right w:val="none" w:sz="0" w:space="0" w:color="auto"/>
      </w:divBdr>
      <w:divsChild>
        <w:div w:id="1088968907">
          <w:marLeft w:val="0"/>
          <w:marRight w:val="0"/>
          <w:marTop w:val="0"/>
          <w:marBottom w:val="0"/>
          <w:divBdr>
            <w:top w:val="none" w:sz="0" w:space="0" w:color="auto"/>
            <w:left w:val="none" w:sz="0" w:space="0" w:color="auto"/>
            <w:bottom w:val="none" w:sz="0" w:space="0" w:color="auto"/>
            <w:right w:val="none" w:sz="0" w:space="0" w:color="auto"/>
          </w:divBdr>
          <w:divsChild>
            <w:div w:id="581256048">
              <w:marLeft w:val="0"/>
              <w:marRight w:val="0"/>
              <w:marTop w:val="0"/>
              <w:marBottom w:val="0"/>
              <w:divBdr>
                <w:top w:val="none" w:sz="0" w:space="0" w:color="auto"/>
                <w:left w:val="none" w:sz="0" w:space="0" w:color="auto"/>
                <w:bottom w:val="none" w:sz="0" w:space="0" w:color="auto"/>
                <w:right w:val="none" w:sz="0" w:space="0" w:color="auto"/>
              </w:divBdr>
              <w:divsChild>
                <w:div w:id="747193033">
                  <w:marLeft w:val="0"/>
                  <w:marRight w:val="0"/>
                  <w:marTop w:val="0"/>
                  <w:marBottom w:val="0"/>
                  <w:divBdr>
                    <w:top w:val="none" w:sz="0" w:space="0" w:color="auto"/>
                    <w:left w:val="none" w:sz="0" w:space="0" w:color="auto"/>
                    <w:bottom w:val="none" w:sz="0" w:space="0" w:color="auto"/>
                    <w:right w:val="none" w:sz="0" w:space="0" w:color="auto"/>
                  </w:divBdr>
                </w:div>
              </w:divsChild>
            </w:div>
            <w:div w:id="596332731">
              <w:marLeft w:val="0"/>
              <w:marRight w:val="0"/>
              <w:marTop w:val="0"/>
              <w:marBottom w:val="0"/>
              <w:divBdr>
                <w:top w:val="none" w:sz="0" w:space="0" w:color="auto"/>
                <w:left w:val="none" w:sz="0" w:space="0" w:color="auto"/>
                <w:bottom w:val="none" w:sz="0" w:space="0" w:color="auto"/>
                <w:right w:val="none" w:sz="0" w:space="0" w:color="auto"/>
              </w:divBdr>
              <w:divsChild>
                <w:div w:id="8941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8482">
          <w:marLeft w:val="0"/>
          <w:marRight w:val="0"/>
          <w:marTop w:val="0"/>
          <w:marBottom w:val="0"/>
          <w:divBdr>
            <w:top w:val="none" w:sz="0" w:space="0" w:color="auto"/>
            <w:left w:val="none" w:sz="0" w:space="0" w:color="auto"/>
            <w:bottom w:val="none" w:sz="0" w:space="0" w:color="auto"/>
            <w:right w:val="none" w:sz="0" w:space="0" w:color="auto"/>
          </w:divBdr>
          <w:divsChild>
            <w:div w:id="816604203">
              <w:marLeft w:val="0"/>
              <w:marRight w:val="0"/>
              <w:marTop w:val="0"/>
              <w:marBottom w:val="0"/>
              <w:divBdr>
                <w:top w:val="none" w:sz="0" w:space="0" w:color="auto"/>
                <w:left w:val="none" w:sz="0" w:space="0" w:color="auto"/>
                <w:bottom w:val="none" w:sz="0" w:space="0" w:color="auto"/>
                <w:right w:val="none" w:sz="0" w:space="0" w:color="auto"/>
              </w:divBdr>
              <w:divsChild>
                <w:div w:id="19079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093">
      <w:bodyDiv w:val="1"/>
      <w:marLeft w:val="0"/>
      <w:marRight w:val="0"/>
      <w:marTop w:val="0"/>
      <w:marBottom w:val="0"/>
      <w:divBdr>
        <w:top w:val="none" w:sz="0" w:space="0" w:color="auto"/>
        <w:left w:val="none" w:sz="0" w:space="0" w:color="auto"/>
        <w:bottom w:val="none" w:sz="0" w:space="0" w:color="auto"/>
        <w:right w:val="none" w:sz="0" w:space="0" w:color="auto"/>
      </w:divBdr>
      <w:divsChild>
        <w:div w:id="1257984483">
          <w:marLeft w:val="0"/>
          <w:marRight w:val="0"/>
          <w:marTop w:val="0"/>
          <w:marBottom w:val="0"/>
          <w:divBdr>
            <w:top w:val="none" w:sz="0" w:space="0" w:color="auto"/>
            <w:left w:val="none" w:sz="0" w:space="0" w:color="auto"/>
            <w:bottom w:val="none" w:sz="0" w:space="0" w:color="auto"/>
            <w:right w:val="none" w:sz="0" w:space="0" w:color="auto"/>
          </w:divBdr>
          <w:divsChild>
            <w:div w:id="1090932810">
              <w:marLeft w:val="0"/>
              <w:marRight w:val="0"/>
              <w:marTop w:val="0"/>
              <w:marBottom w:val="0"/>
              <w:divBdr>
                <w:top w:val="none" w:sz="0" w:space="0" w:color="auto"/>
                <w:left w:val="none" w:sz="0" w:space="0" w:color="auto"/>
                <w:bottom w:val="none" w:sz="0" w:space="0" w:color="auto"/>
                <w:right w:val="none" w:sz="0" w:space="0" w:color="auto"/>
              </w:divBdr>
              <w:divsChild>
                <w:div w:id="8233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4784">
      <w:bodyDiv w:val="1"/>
      <w:marLeft w:val="0"/>
      <w:marRight w:val="0"/>
      <w:marTop w:val="0"/>
      <w:marBottom w:val="0"/>
      <w:divBdr>
        <w:top w:val="none" w:sz="0" w:space="0" w:color="auto"/>
        <w:left w:val="none" w:sz="0" w:space="0" w:color="auto"/>
        <w:bottom w:val="none" w:sz="0" w:space="0" w:color="auto"/>
        <w:right w:val="none" w:sz="0" w:space="0" w:color="auto"/>
      </w:divBdr>
      <w:divsChild>
        <w:div w:id="916862830">
          <w:marLeft w:val="0"/>
          <w:marRight w:val="0"/>
          <w:marTop w:val="0"/>
          <w:marBottom w:val="0"/>
          <w:divBdr>
            <w:top w:val="none" w:sz="0" w:space="0" w:color="auto"/>
            <w:left w:val="none" w:sz="0" w:space="0" w:color="auto"/>
            <w:bottom w:val="none" w:sz="0" w:space="0" w:color="auto"/>
            <w:right w:val="none" w:sz="0" w:space="0" w:color="auto"/>
          </w:divBdr>
          <w:divsChild>
            <w:div w:id="1322155939">
              <w:marLeft w:val="0"/>
              <w:marRight w:val="0"/>
              <w:marTop w:val="0"/>
              <w:marBottom w:val="0"/>
              <w:divBdr>
                <w:top w:val="none" w:sz="0" w:space="0" w:color="auto"/>
                <w:left w:val="none" w:sz="0" w:space="0" w:color="auto"/>
                <w:bottom w:val="none" w:sz="0" w:space="0" w:color="auto"/>
                <w:right w:val="none" w:sz="0" w:space="0" w:color="auto"/>
              </w:divBdr>
              <w:divsChild>
                <w:div w:id="11811246">
                  <w:marLeft w:val="0"/>
                  <w:marRight w:val="0"/>
                  <w:marTop w:val="0"/>
                  <w:marBottom w:val="0"/>
                  <w:divBdr>
                    <w:top w:val="none" w:sz="0" w:space="0" w:color="auto"/>
                    <w:left w:val="none" w:sz="0" w:space="0" w:color="auto"/>
                    <w:bottom w:val="none" w:sz="0" w:space="0" w:color="auto"/>
                    <w:right w:val="none" w:sz="0" w:space="0" w:color="auto"/>
                  </w:divBdr>
                  <w:divsChild>
                    <w:div w:id="3636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3091">
      <w:bodyDiv w:val="1"/>
      <w:marLeft w:val="0"/>
      <w:marRight w:val="0"/>
      <w:marTop w:val="0"/>
      <w:marBottom w:val="0"/>
      <w:divBdr>
        <w:top w:val="none" w:sz="0" w:space="0" w:color="auto"/>
        <w:left w:val="none" w:sz="0" w:space="0" w:color="auto"/>
        <w:bottom w:val="none" w:sz="0" w:space="0" w:color="auto"/>
        <w:right w:val="none" w:sz="0" w:space="0" w:color="auto"/>
      </w:divBdr>
      <w:divsChild>
        <w:div w:id="53549998">
          <w:marLeft w:val="0"/>
          <w:marRight w:val="0"/>
          <w:marTop w:val="0"/>
          <w:marBottom w:val="0"/>
          <w:divBdr>
            <w:top w:val="none" w:sz="0" w:space="0" w:color="auto"/>
            <w:left w:val="none" w:sz="0" w:space="0" w:color="auto"/>
            <w:bottom w:val="none" w:sz="0" w:space="0" w:color="auto"/>
            <w:right w:val="none" w:sz="0" w:space="0" w:color="auto"/>
          </w:divBdr>
          <w:divsChild>
            <w:div w:id="1292397729">
              <w:marLeft w:val="0"/>
              <w:marRight w:val="0"/>
              <w:marTop w:val="0"/>
              <w:marBottom w:val="0"/>
              <w:divBdr>
                <w:top w:val="none" w:sz="0" w:space="0" w:color="auto"/>
                <w:left w:val="none" w:sz="0" w:space="0" w:color="auto"/>
                <w:bottom w:val="none" w:sz="0" w:space="0" w:color="auto"/>
                <w:right w:val="none" w:sz="0" w:space="0" w:color="auto"/>
              </w:divBdr>
              <w:divsChild>
                <w:div w:id="1962952140">
                  <w:marLeft w:val="0"/>
                  <w:marRight w:val="0"/>
                  <w:marTop w:val="0"/>
                  <w:marBottom w:val="0"/>
                  <w:divBdr>
                    <w:top w:val="none" w:sz="0" w:space="0" w:color="auto"/>
                    <w:left w:val="none" w:sz="0" w:space="0" w:color="auto"/>
                    <w:bottom w:val="none" w:sz="0" w:space="0" w:color="auto"/>
                    <w:right w:val="none" w:sz="0" w:space="0" w:color="auto"/>
                  </w:divBdr>
                  <w:divsChild>
                    <w:div w:id="2290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6475">
      <w:bodyDiv w:val="1"/>
      <w:marLeft w:val="0"/>
      <w:marRight w:val="0"/>
      <w:marTop w:val="0"/>
      <w:marBottom w:val="0"/>
      <w:divBdr>
        <w:top w:val="none" w:sz="0" w:space="0" w:color="auto"/>
        <w:left w:val="none" w:sz="0" w:space="0" w:color="auto"/>
        <w:bottom w:val="none" w:sz="0" w:space="0" w:color="auto"/>
        <w:right w:val="none" w:sz="0" w:space="0" w:color="auto"/>
      </w:divBdr>
      <w:divsChild>
        <w:div w:id="1820413314">
          <w:marLeft w:val="0"/>
          <w:marRight w:val="0"/>
          <w:marTop w:val="0"/>
          <w:marBottom w:val="0"/>
          <w:divBdr>
            <w:top w:val="none" w:sz="0" w:space="0" w:color="auto"/>
            <w:left w:val="none" w:sz="0" w:space="0" w:color="auto"/>
            <w:bottom w:val="none" w:sz="0" w:space="0" w:color="auto"/>
            <w:right w:val="none" w:sz="0" w:space="0" w:color="auto"/>
          </w:divBdr>
          <w:divsChild>
            <w:div w:id="880555525">
              <w:marLeft w:val="0"/>
              <w:marRight w:val="0"/>
              <w:marTop w:val="0"/>
              <w:marBottom w:val="0"/>
              <w:divBdr>
                <w:top w:val="none" w:sz="0" w:space="0" w:color="auto"/>
                <w:left w:val="none" w:sz="0" w:space="0" w:color="auto"/>
                <w:bottom w:val="none" w:sz="0" w:space="0" w:color="auto"/>
                <w:right w:val="none" w:sz="0" w:space="0" w:color="auto"/>
              </w:divBdr>
              <w:divsChild>
                <w:div w:id="36708512">
                  <w:marLeft w:val="0"/>
                  <w:marRight w:val="0"/>
                  <w:marTop w:val="0"/>
                  <w:marBottom w:val="0"/>
                  <w:divBdr>
                    <w:top w:val="none" w:sz="0" w:space="0" w:color="auto"/>
                    <w:left w:val="none" w:sz="0" w:space="0" w:color="auto"/>
                    <w:bottom w:val="none" w:sz="0" w:space="0" w:color="auto"/>
                    <w:right w:val="none" w:sz="0" w:space="0" w:color="auto"/>
                  </w:divBdr>
                  <w:divsChild>
                    <w:div w:id="16073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1655094">
      <w:bodyDiv w:val="1"/>
      <w:marLeft w:val="0"/>
      <w:marRight w:val="0"/>
      <w:marTop w:val="0"/>
      <w:marBottom w:val="0"/>
      <w:divBdr>
        <w:top w:val="none" w:sz="0" w:space="0" w:color="auto"/>
        <w:left w:val="none" w:sz="0" w:space="0" w:color="auto"/>
        <w:bottom w:val="none" w:sz="0" w:space="0" w:color="auto"/>
        <w:right w:val="none" w:sz="0" w:space="0" w:color="auto"/>
      </w:divBdr>
    </w:div>
    <w:div w:id="115561150">
      <w:bodyDiv w:val="1"/>
      <w:marLeft w:val="0"/>
      <w:marRight w:val="0"/>
      <w:marTop w:val="0"/>
      <w:marBottom w:val="0"/>
      <w:divBdr>
        <w:top w:val="none" w:sz="0" w:space="0" w:color="auto"/>
        <w:left w:val="none" w:sz="0" w:space="0" w:color="auto"/>
        <w:bottom w:val="none" w:sz="0" w:space="0" w:color="auto"/>
        <w:right w:val="none" w:sz="0" w:space="0" w:color="auto"/>
      </w:divBdr>
      <w:divsChild>
        <w:div w:id="2095278951">
          <w:marLeft w:val="0"/>
          <w:marRight w:val="0"/>
          <w:marTop w:val="0"/>
          <w:marBottom w:val="0"/>
          <w:divBdr>
            <w:top w:val="none" w:sz="0" w:space="0" w:color="auto"/>
            <w:left w:val="none" w:sz="0" w:space="0" w:color="auto"/>
            <w:bottom w:val="none" w:sz="0" w:space="0" w:color="auto"/>
            <w:right w:val="none" w:sz="0" w:space="0" w:color="auto"/>
          </w:divBdr>
          <w:divsChild>
            <w:div w:id="1432044388">
              <w:marLeft w:val="0"/>
              <w:marRight w:val="0"/>
              <w:marTop w:val="0"/>
              <w:marBottom w:val="0"/>
              <w:divBdr>
                <w:top w:val="none" w:sz="0" w:space="0" w:color="auto"/>
                <w:left w:val="none" w:sz="0" w:space="0" w:color="auto"/>
                <w:bottom w:val="none" w:sz="0" w:space="0" w:color="auto"/>
                <w:right w:val="none" w:sz="0" w:space="0" w:color="auto"/>
              </w:divBdr>
              <w:divsChild>
                <w:div w:id="1818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2581853">
      <w:bodyDiv w:val="1"/>
      <w:marLeft w:val="0"/>
      <w:marRight w:val="0"/>
      <w:marTop w:val="0"/>
      <w:marBottom w:val="0"/>
      <w:divBdr>
        <w:top w:val="none" w:sz="0" w:space="0" w:color="auto"/>
        <w:left w:val="none" w:sz="0" w:space="0" w:color="auto"/>
        <w:bottom w:val="none" w:sz="0" w:space="0" w:color="auto"/>
        <w:right w:val="none" w:sz="0" w:space="0" w:color="auto"/>
      </w:divBdr>
      <w:divsChild>
        <w:div w:id="183173317">
          <w:marLeft w:val="0"/>
          <w:marRight w:val="0"/>
          <w:marTop w:val="0"/>
          <w:marBottom w:val="0"/>
          <w:divBdr>
            <w:top w:val="none" w:sz="0" w:space="0" w:color="auto"/>
            <w:left w:val="none" w:sz="0" w:space="0" w:color="auto"/>
            <w:bottom w:val="none" w:sz="0" w:space="0" w:color="auto"/>
            <w:right w:val="none" w:sz="0" w:space="0" w:color="auto"/>
          </w:divBdr>
          <w:divsChild>
            <w:div w:id="576673031">
              <w:marLeft w:val="0"/>
              <w:marRight w:val="0"/>
              <w:marTop w:val="0"/>
              <w:marBottom w:val="0"/>
              <w:divBdr>
                <w:top w:val="none" w:sz="0" w:space="0" w:color="auto"/>
                <w:left w:val="none" w:sz="0" w:space="0" w:color="auto"/>
                <w:bottom w:val="none" w:sz="0" w:space="0" w:color="auto"/>
                <w:right w:val="none" w:sz="0" w:space="0" w:color="auto"/>
              </w:divBdr>
              <w:divsChild>
                <w:div w:id="378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1578">
      <w:bodyDiv w:val="1"/>
      <w:marLeft w:val="0"/>
      <w:marRight w:val="0"/>
      <w:marTop w:val="0"/>
      <w:marBottom w:val="0"/>
      <w:divBdr>
        <w:top w:val="none" w:sz="0" w:space="0" w:color="auto"/>
        <w:left w:val="none" w:sz="0" w:space="0" w:color="auto"/>
        <w:bottom w:val="none" w:sz="0" w:space="0" w:color="auto"/>
        <w:right w:val="none" w:sz="0" w:space="0" w:color="auto"/>
      </w:divBdr>
      <w:divsChild>
        <w:div w:id="741409122">
          <w:marLeft w:val="0"/>
          <w:marRight w:val="0"/>
          <w:marTop w:val="0"/>
          <w:marBottom w:val="0"/>
          <w:divBdr>
            <w:top w:val="none" w:sz="0" w:space="0" w:color="auto"/>
            <w:left w:val="none" w:sz="0" w:space="0" w:color="auto"/>
            <w:bottom w:val="none" w:sz="0" w:space="0" w:color="auto"/>
            <w:right w:val="none" w:sz="0" w:space="0" w:color="auto"/>
          </w:divBdr>
          <w:divsChild>
            <w:div w:id="891817736">
              <w:marLeft w:val="0"/>
              <w:marRight w:val="0"/>
              <w:marTop w:val="0"/>
              <w:marBottom w:val="0"/>
              <w:divBdr>
                <w:top w:val="none" w:sz="0" w:space="0" w:color="auto"/>
                <w:left w:val="none" w:sz="0" w:space="0" w:color="auto"/>
                <w:bottom w:val="none" w:sz="0" w:space="0" w:color="auto"/>
                <w:right w:val="none" w:sz="0" w:space="0" w:color="auto"/>
              </w:divBdr>
              <w:divsChild>
                <w:div w:id="723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6661">
      <w:bodyDiv w:val="1"/>
      <w:marLeft w:val="0"/>
      <w:marRight w:val="0"/>
      <w:marTop w:val="0"/>
      <w:marBottom w:val="0"/>
      <w:divBdr>
        <w:top w:val="none" w:sz="0" w:space="0" w:color="auto"/>
        <w:left w:val="none" w:sz="0" w:space="0" w:color="auto"/>
        <w:bottom w:val="none" w:sz="0" w:space="0" w:color="auto"/>
        <w:right w:val="none" w:sz="0" w:space="0" w:color="auto"/>
      </w:divBdr>
      <w:divsChild>
        <w:div w:id="663123212">
          <w:marLeft w:val="0"/>
          <w:marRight w:val="0"/>
          <w:marTop w:val="0"/>
          <w:marBottom w:val="0"/>
          <w:divBdr>
            <w:top w:val="none" w:sz="0" w:space="0" w:color="auto"/>
            <w:left w:val="none" w:sz="0" w:space="0" w:color="auto"/>
            <w:bottom w:val="none" w:sz="0" w:space="0" w:color="auto"/>
            <w:right w:val="none" w:sz="0" w:space="0" w:color="auto"/>
          </w:divBdr>
          <w:divsChild>
            <w:div w:id="1614097732">
              <w:marLeft w:val="0"/>
              <w:marRight w:val="0"/>
              <w:marTop w:val="0"/>
              <w:marBottom w:val="0"/>
              <w:divBdr>
                <w:top w:val="none" w:sz="0" w:space="0" w:color="auto"/>
                <w:left w:val="none" w:sz="0" w:space="0" w:color="auto"/>
                <w:bottom w:val="none" w:sz="0" w:space="0" w:color="auto"/>
                <w:right w:val="none" w:sz="0" w:space="0" w:color="auto"/>
              </w:divBdr>
              <w:divsChild>
                <w:div w:id="1137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2401">
      <w:bodyDiv w:val="1"/>
      <w:marLeft w:val="0"/>
      <w:marRight w:val="0"/>
      <w:marTop w:val="0"/>
      <w:marBottom w:val="0"/>
      <w:divBdr>
        <w:top w:val="none" w:sz="0" w:space="0" w:color="auto"/>
        <w:left w:val="none" w:sz="0" w:space="0" w:color="auto"/>
        <w:bottom w:val="none" w:sz="0" w:space="0" w:color="auto"/>
        <w:right w:val="none" w:sz="0" w:space="0" w:color="auto"/>
      </w:divBdr>
    </w:div>
    <w:div w:id="155651566">
      <w:bodyDiv w:val="1"/>
      <w:marLeft w:val="0"/>
      <w:marRight w:val="0"/>
      <w:marTop w:val="0"/>
      <w:marBottom w:val="0"/>
      <w:divBdr>
        <w:top w:val="none" w:sz="0" w:space="0" w:color="auto"/>
        <w:left w:val="none" w:sz="0" w:space="0" w:color="auto"/>
        <w:bottom w:val="none" w:sz="0" w:space="0" w:color="auto"/>
        <w:right w:val="none" w:sz="0" w:space="0" w:color="auto"/>
      </w:divBdr>
      <w:divsChild>
        <w:div w:id="79526340">
          <w:marLeft w:val="0"/>
          <w:marRight w:val="0"/>
          <w:marTop w:val="0"/>
          <w:marBottom w:val="0"/>
          <w:divBdr>
            <w:top w:val="none" w:sz="0" w:space="0" w:color="auto"/>
            <w:left w:val="none" w:sz="0" w:space="0" w:color="auto"/>
            <w:bottom w:val="none" w:sz="0" w:space="0" w:color="auto"/>
            <w:right w:val="none" w:sz="0" w:space="0" w:color="auto"/>
          </w:divBdr>
          <w:divsChild>
            <w:div w:id="828594009">
              <w:marLeft w:val="0"/>
              <w:marRight w:val="0"/>
              <w:marTop w:val="0"/>
              <w:marBottom w:val="0"/>
              <w:divBdr>
                <w:top w:val="none" w:sz="0" w:space="0" w:color="auto"/>
                <w:left w:val="none" w:sz="0" w:space="0" w:color="auto"/>
                <w:bottom w:val="none" w:sz="0" w:space="0" w:color="auto"/>
                <w:right w:val="none" w:sz="0" w:space="0" w:color="auto"/>
              </w:divBdr>
              <w:divsChild>
                <w:div w:id="15803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3816">
      <w:bodyDiv w:val="1"/>
      <w:marLeft w:val="0"/>
      <w:marRight w:val="0"/>
      <w:marTop w:val="0"/>
      <w:marBottom w:val="0"/>
      <w:divBdr>
        <w:top w:val="none" w:sz="0" w:space="0" w:color="auto"/>
        <w:left w:val="none" w:sz="0" w:space="0" w:color="auto"/>
        <w:bottom w:val="none" w:sz="0" w:space="0" w:color="auto"/>
        <w:right w:val="none" w:sz="0" w:space="0" w:color="auto"/>
      </w:divBdr>
      <w:divsChild>
        <w:div w:id="1992904283">
          <w:marLeft w:val="0"/>
          <w:marRight w:val="0"/>
          <w:marTop w:val="0"/>
          <w:marBottom w:val="0"/>
          <w:divBdr>
            <w:top w:val="none" w:sz="0" w:space="0" w:color="auto"/>
            <w:left w:val="none" w:sz="0" w:space="0" w:color="auto"/>
            <w:bottom w:val="none" w:sz="0" w:space="0" w:color="auto"/>
            <w:right w:val="none" w:sz="0" w:space="0" w:color="auto"/>
          </w:divBdr>
          <w:divsChild>
            <w:div w:id="995259703">
              <w:marLeft w:val="0"/>
              <w:marRight w:val="0"/>
              <w:marTop w:val="0"/>
              <w:marBottom w:val="0"/>
              <w:divBdr>
                <w:top w:val="none" w:sz="0" w:space="0" w:color="auto"/>
                <w:left w:val="none" w:sz="0" w:space="0" w:color="auto"/>
                <w:bottom w:val="none" w:sz="0" w:space="0" w:color="auto"/>
                <w:right w:val="none" w:sz="0" w:space="0" w:color="auto"/>
              </w:divBdr>
              <w:divsChild>
                <w:div w:id="728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64">
      <w:bodyDiv w:val="1"/>
      <w:marLeft w:val="0"/>
      <w:marRight w:val="0"/>
      <w:marTop w:val="0"/>
      <w:marBottom w:val="0"/>
      <w:divBdr>
        <w:top w:val="none" w:sz="0" w:space="0" w:color="auto"/>
        <w:left w:val="none" w:sz="0" w:space="0" w:color="auto"/>
        <w:bottom w:val="none" w:sz="0" w:space="0" w:color="auto"/>
        <w:right w:val="none" w:sz="0" w:space="0" w:color="auto"/>
      </w:divBdr>
    </w:div>
    <w:div w:id="187450399">
      <w:bodyDiv w:val="1"/>
      <w:marLeft w:val="0"/>
      <w:marRight w:val="0"/>
      <w:marTop w:val="0"/>
      <w:marBottom w:val="0"/>
      <w:divBdr>
        <w:top w:val="none" w:sz="0" w:space="0" w:color="auto"/>
        <w:left w:val="none" w:sz="0" w:space="0" w:color="auto"/>
        <w:bottom w:val="none" w:sz="0" w:space="0" w:color="auto"/>
        <w:right w:val="none" w:sz="0" w:space="0" w:color="auto"/>
      </w:divBdr>
    </w:div>
    <w:div w:id="204369385">
      <w:bodyDiv w:val="1"/>
      <w:marLeft w:val="0"/>
      <w:marRight w:val="0"/>
      <w:marTop w:val="0"/>
      <w:marBottom w:val="0"/>
      <w:divBdr>
        <w:top w:val="none" w:sz="0" w:space="0" w:color="auto"/>
        <w:left w:val="none" w:sz="0" w:space="0" w:color="auto"/>
        <w:bottom w:val="none" w:sz="0" w:space="0" w:color="auto"/>
        <w:right w:val="none" w:sz="0" w:space="0" w:color="auto"/>
      </w:divBdr>
    </w:div>
    <w:div w:id="205456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4559">
          <w:marLeft w:val="0"/>
          <w:marRight w:val="0"/>
          <w:marTop w:val="0"/>
          <w:marBottom w:val="0"/>
          <w:divBdr>
            <w:top w:val="none" w:sz="0" w:space="0" w:color="auto"/>
            <w:left w:val="none" w:sz="0" w:space="0" w:color="auto"/>
            <w:bottom w:val="none" w:sz="0" w:space="0" w:color="auto"/>
            <w:right w:val="none" w:sz="0" w:space="0" w:color="auto"/>
          </w:divBdr>
          <w:divsChild>
            <w:div w:id="936837873">
              <w:marLeft w:val="0"/>
              <w:marRight w:val="0"/>
              <w:marTop w:val="0"/>
              <w:marBottom w:val="0"/>
              <w:divBdr>
                <w:top w:val="none" w:sz="0" w:space="0" w:color="auto"/>
                <w:left w:val="none" w:sz="0" w:space="0" w:color="auto"/>
                <w:bottom w:val="none" w:sz="0" w:space="0" w:color="auto"/>
                <w:right w:val="none" w:sz="0" w:space="0" w:color="auto"/>
              </w:divBdr>
              <w:divsChild>
                <w:div w:id="317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6943">
      <w:bodyDiv w:val="1"/>
      <w:marLeft w:val="0"/>
      <w:marRight w:val="0"/>
      <w:marTop w:val="0"/>
      <w:marBottom w:val="0"/>
      <w:divBdr>
        <w:top w:val="none" w:sz="0" w:space="0" w:color="auto"/>
        <w:left w:val="none" w:sz="0" w:space="0" w:color="auto"/>
        <w:bottom w:val="none" w:sz="0" w:space="0" w:color="auto"/>
        <w:right w:val="none" w:sz="0" w:space="0" w:color="auto"/>
      </w:divBdr>
      <w:divsChild>
        <w:div w:id="1462648903">
          <w:marLeft w:val="0"/>
          <w:marRight w:val="0"/>
          <w:marTop w:val="0"/>
          <w:marBottom w:val="0"/>
          <w:divBdr>
            <w:top w:val="none" w:sz="0" w:space="0" w:color="auto"/>
            <w:left w:val="none" w:sz="0" w:space="0" w:color="auto"/>
            <w:bottom w:val="none" w:sz="0" w:space="0" w:color="auto"/>
            <w:right w:val="none" w:sz="0" w:space="0" w:color="auto"/>
          </w:divBdr>
          <w:divsChild>
            <w:div w:id="1570336891">
              <w:marLeft w:val="0"/>
              <w:marRight w:val="0"/>
              <w:marTop w:val="0"/>
              <w:marBottom w:val="0"/>
              <w:divBdr>
                <w:top w:val="none" w:sz="0" w:space="0" w:color="auto"/>
                <w:left w:val="none" w:sz="0" w:space="0" w:color="auto"/>
                <w:bottom w:val="none" w:sz="0" w:space="0" w:color="auto"/>
                <w:right w:val="none" w:sz="0" w:space="0" w:color="auto"/>
              </w:divBdr>
              <w:divsChild>
                <w:div w:id="19254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3185">
      <w:bodyDiv w:val="1"/>
      <w:marLeft w:val="0"/>
      <w:marRight w:val="0"/>
      <w:marTop w:val="0"/>
      <w:marBottom w:val="0"/>
      <w:divBdr>
        <w:top w:val="none" w:sz="0" w:space="0" w:color="auto"/>
        <w:left w:val="none" w:sz="0" w:space="0" w:color="auto"/>
        <w:bottom w:val="none" w:sz="0" w:space="0" w:color="auto"/>
        <w:right w:val="none" w:sz="0" w:space="0" w:color="auto"/>
      </w:divBdr>
      <w:divsChild>
        <w:div w:id="942112083">
          <w:marLeft w:val="0"/>
          <w:marRight w:val="0"/>
          <w:marTop w:val="0"/>
          <w:marBottom w:val="0"/>
          <w:divBdr>
            <w:top w:val="none" w:sz="0" w:space="0" w:color="auto"/>
            <w:left w:val="none" w:sz="0" w:space="0" w:color="auto"/>
            <w:bottom w:val="none" w:sz="0" w:space="0" w:color="auto"/>
            <w:right w:val="none" w:sz="0" w:space="0" w:color="auto"/>
          </w:divBdr>
          <w:divsChild>
            <w:div w:id="803738700">
              <w:marLeft w:val="0"/>
              <w:marRight w:val="0"/>
              <w:marTop w:val="0"/>
              <w:marBottom w:val="0"/>
              <w:divBdr>
                <w:top w:val="none" w:sz="0" w:space="0" w:color="auto"/>
                <w:left w:val="none" w:sz="0" w:space="0" w:color="auto"/>
                <w:bottom w:val="none" w:sz="0" w:space="0" w:color="auto"/>
                <w:right w:val="none" w:sz="0" w:space="0" w:color="auto"/>
              </w:divBdr>
              <w:divsChild>
                <w:div w:id="15931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5956">
      <w:bodyDiv w:val="1"/>
      <w:marLeft w:val="0"/>
      <w:marRight w:val="0"/>
      <w:marTop w:val="0"/>
      <w:marBottom w:val="0"/>
      <w:divBdr>
        <w:top w:val="none" w:sz="0" w:space="0" w:color="auto"/>
        <w:left w:val="none" w:sz="0" w:space="0" w:color="auto"/>
        <w:bottom w:val="none" w:sz="0" w:space="0" w:color="auto"/>
        <w:right w:val="none" w:sz="0" w:space="0" w:color="auto"/>
      </w:divBdr>
      <w:divsChild>
        <w:div w:id="1067611385">
          <w:marLeft w:val="0"/>
          <w:marRight w:val="0"/>
          <w:marTop w:val="0"/>
          <w:marBottom w:val="0"/>
          <w:divBdr>
            <w:top w:val="none" w:sz="0" w:space="0" w:color="auto"/>
            <w:left w:val="none" w:sz="0" w:space="0" w:color="auto"/>
            <w:bottom w:val="none" w:sz="0" w:space="0" w:color="auto"/>
            <w:right w:val="none" w:sz="0" w:space="0" w:color="auto"/>
          </w:divBdr>
          <w:divsChild>
            <w:div w:id="1015585">
              <w:marLeft w:val="0"/>
              <w:marRight w:val="0"/>
              <w:marTop w:val="0"/>
              <w:marBottom w:val="0"/>
              <w:divBdr>
                <w:top w:val="none" w:sz="0" w:space="0" w:color="auto"/>
                <w:left w:val="none" w:sz="0" w:space="0" w:color="auto"/>
                <w:bottom w:val="none" w:sz="0" w:space="0" w:color="auto"/>
                <w:right w:val="none" w:sz="0" w:space="0" w:color="auto"/>
              </w:divBdr>
              <w:divsChild>
                <w:div w:id="5480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953">
      <w:bodyDiv w:val="1"/>
      <w:marLeft w:val="0"/>
      <w:marRight w:val="0"/>
      <w:marTop w:val="0"/>
      <w:marBottom w:val="0"/>
      <w:divBdr>
        <w:top w:val="none" w:sz="0" w:space="0" w:color="auto"/>
        <w:left w:val="none" w:sz="0" w:space="0" w:color="auto"/>
        <w:bottom w:val="none" w:sz="0" w:space="0" w:color="auto"/>
        <w:right w:val="none" w:sz="0" w:space="0" w:color="auto"/>
      </w:divBdr>
    </w:div>
    <w:div w:id="233516775">
      <w:bodyDiv w:val="1"/>
      <w:marLeft w:val="0"/>
      <w:marRight w:val="0"/>
      <w:marTop w:val="0"/>
      <w:marBottom w:val="0"/>
      <w:divBdr>
        <w:top w:val="none" w:sz="0" w:space="0" w:color="auto"/>
        <w:left w:val="none" w:sz="0" w:space="0" w:color="auto"/>
        <w:bottom w:val="none" w:sz="0" w:space="0" w:color="auto"/>
        <w:right w:val="none" w:sz="0" w:space="0" w:color="auto"/>
      </w:divBdr>
    </w:div>
    <w:div w:id="253709145">
      <w:bodyDiv w:val="1"/>
      <w:marLeft w:val="0"/>
      <w:marRight w:val="0"/>
      <w:marTop w:val="0"/>
      <w:marBottom w:val="0"/>
      <w:divBdr>
        <w:top w:val="none" w:sz="0" w:space="0" w:color="auto"/>
        <w:left w:val="none" w:sz="0" w:space="0" w:color="auto"/>
        <w:bottom w:val="none" w:sz="0" w:space="0" w:color="auto"/>
        <w:right w:val="none" w:sz="0" w:space="0" w:color="auto"/>
      </w:divBdr>
      <w:divsChild>
        <w:div w:id="427506983">
          <w:marLeft w:val="0"/>
          <w:marRight w:val="0"/>
          <w:marTop w:val="0"/>
          <w:marBottom w:val="0"/>
          <w:divBdr>
            <w:top w:val="none" w:sz="0" w:space="0" w:color="auto"/>
            <w:left w:val="none" w:sz="0" w:space="0" w:color="auto"/>
            <w:bottom w:val="none" w:sz="0" w:space="0" w:color="auto"/>
            <w:right w:val="none" w:sz="0" w:space="0" w:color="auto"/>
          </w:divBdr>
          <w:divsChild>
            <w:div w:id="330792152">
              <w:marLeft w:val="0"/>
              <w:marRight w:val="0"/>
              <w:marTop w:val="0"/>
              <w:marBottom w:val="0"/>
              <w:divBdr>
                <w:top w:val="none" w:sz="0" w:space="0" w:color="auto"/>
                <w:left w:val="none" w:sz="0" w:space="0" w:color="auto"/>
                <w:bottom w:val="none" w:sz="0" w:space="0" w:color="auto"/>
                <w:right w:val="none" w:sz="0" w:space="0" w:color="auto"/>
              </w:divBdr>
              <w:divsChild>
                <w:div w:id="2024015196">
                  <w:marLeft w:val="0"/>
                  <w:marRight w:val="0"/>
                  <w:marTop w:val="0"/>
                  <w:marBottom w:val="0"/>
                  <w:divBdr>
                    <w:top w:val="none" w:sz="0" w:space="0" w:color="auto"/>
                    <w:left w:val="none" w:sz="0" w:space="0" w:color="auto"/>
                    <w:bottom w:val="none" w:sz="0" w:space="0" w:color="auto"/>
                    <w:right w:val="none" w:sz="0" w:space="0" w:color="auto"/>
                  </w:divBdr>
                  <w:divsChild>
                    <w:div w:id="14547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51104">
      <w:bodyDiv w:val="1"/>
      <w:marLeft w:val="0"/>
      <w:marRight w:val="0"/>
      <w:marTop w:val="0"/>
      <w:marBottom w:val="0"/>
      <w:divBdr>
        <w:top w:val="none" w:sz="0" w:space="0" w:color="auto"/>
        <w:left w:val="none" w:sz="0" w:space="0" w:color="auto"/>
        <w:bottom w:val="none" w:sz="0" w:space="0" w:color="auto"/>
        <w:right w:val="none" w:sz="0" w:space="0" w:color="auto"/>
      </w:divBdr>
      <w:divsChild>
        <w:div w:id="578294966">
          <w:marLeft w:val="0"/>
          <w:marRight w:val="0"/>
          <w:marTop w:val="0"/>
          <w:marBottom w:val="0"/>
          <w:divBdr>
            <w:top w:val="none" w:sz="0" w:space="0" w:color="auto"/>
            <w:left w:val="none" w:sz="0" w:space="0" w:color="auto"/>
            <w:bottom w:val="none" w:sz="0" w:space="0" w:color="auto"/>
            <w:right w:val="none" w:sz="0" w:space="0" w:color="auto"/>
          </w:divBdr>
          <w:divsChild>
            <w:div w:id="1439788517">
              <w:marLeft w:val="0"/>
              <w:marRight w:val="0"/>
              <w:marTop w:val="0"/>
              <w:marBottom w:val="0"/>
              <w:divBdr>
                <w:top w:val="none" w:sz="0" w:space="0" w:color="auto"/>
                <w:left w:val="none" w:sz="0" w:space="0" w:color="auto"/>
                <w:bottom w:val="none" w:sz="0" w:space="0" w:color="auto"/>
                <w:right w:val="none" w:sz="0" w:space="0" w:color="auto"/>
              </w:divBdr>
              <w:divsChild>
                <w:div w:id="666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30439">
      <w:bodyDiv w:val="1"/>
      <w:marLeft w:val="0"/>
      <w:marRight w:val="0"/>
      <w:marTop w:val="0"/>
      <w:marBottom w:val="0"/>
      <w:divBdr>
        <w:top w:val="none" w:sz="0" w:space="0" w:color="auto"/>
        <w:left w:val="none" w:sz="0" w:space="0" w:color="auto"/>
        <w:bottom w:val="none" w:sz="0" w:space="0" w:color="auto"/>
        <w:right w:val="none" w:sz="0" w:space="0" w:color="auto"/>
      </w:divBdr>
    </w:div>
    <w:div w:id="313489724">
      <w:bodyDiv w:val="1"/>
      <w:marLeft w:val="0"/>
      <w:marRight w:val="0"/>
      <w:marTop w:val="0"/>
      <w:marBottom w:val="0"/>
      <w:divBdr>
        <w:top w:val="none" w:sz="0" w:space="0" w:color="auto"/>
        <w:left w:val="none" w:sz="0" w:space="0" w:color="auto"/>
        <w:bottom w:val="none" w:sz="0" w:space="0" w:color="auto"/>
        <w:right w:val="none" w:sz="0" w:space="0" w:color="auto"/>
      </w:divBdr>
      <w:divsChild>
        <w:div w:id="1606035109">
          <w:marLeft w:val="0"/>
          <w:marRight w:val="0"/>
          <w:marTop w:val="0"/>
          <w:marBottom w:val="0"/>
          <w:divBdr>
            <w:top w:val="none" w:sz="0" w:space="0" w:color="auto"/>
            <w:left w:val="none" w:sz="0" w:space="0" w:color="auto"/>
            <w:bottom w:val="none" w:sz="0" w:space="0" w:color="auto"/>
            <w:right w:val="none" w:sz="0" w:space="0" w:color="auto"/>
          </w:divBdr>
          <w:divsChild>
            <w:div w:id="429396262">
              <w:marLeft w:val="0"/>
              <w:marRight w:val="0"/>
              <w:marTop w:val="0"/>
              <w:marBottom w:val="0"/>
              <w:divBdr>
                <w:top w:val="none" w:sz="0" w:space="0" w:color="auto"/>
                <w:left w:val="none" w:sz="0" w:space="0" w:color="auto"/>
                <w:bottom w:val="none" w:sz="0" w:space="0" w:color="auto"/>
                <w:right w:val="none" w:sz="0" w:space="0" w:color="auto"/>
              </w:divBdr>
              <w:divsChild>
                <w:div w:id="1021473417">
                  <w:marLeft w:val="0"/>
                  <w:marRight w:val="0"/>
                  <w:marTop w:val="0"/>
                  <w:marBottom w:val="0"/>
                  <w:divBdr>
                    <w:top w:val="none" w:sz="0" w:space="0" w:color="auto"/>
                    <w:left w:val="none" w:sz="0" w:space="0" w:color="auto"/>
                    <w:bottom w:val="none" w:sz="0" w:space="0" w:color="auto"/>
                    <w:right w:val="none" w:sz="0" w:space="0" w:color="auto"/>
                  </w:divBdr>
                  <w:divsChild>
                    <w:div w:id="4195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348096">
      <w:bodyDiv w:val="1"/>
      <w:marLeft w:val="0"/>
      <w:marRight w:val="0"/>
      <w:marTop w:val="0"/>
      <w:marBottom w:val="0"/>
      <w:divBdr>
        <w:top w:val="none" w:sz="0" w:space="0" w:color="auto"/>
        <w:left w:val="none" w:sz="0" w:space="0" w:color="auto"/>
        <w:bottom w:val="none" w:sz="0" w:space="0" w:color="auto"/>
        <w:right w:val="none" w:sz="0" w:space="0" w:color="auto"/>
      </w:divBdr>
      <w:divsChild>
        <w:div w:id="670714132">
          <w:marLeft w:val="0"/>
          <w:marRight w:val="0"/>
          <w:marTop w:val="0"/>
          <w:marBottom w:val="0"/>
          <w:divBdr>
            <w:top w:val="none" w:sz="0" w:space="0" w:color="auto"/>
            <w:left w:val="none" w:sz="0" w:space="0" w:color="auto"/>
            <w:bottom w:val="none" w:sz="0" w:space="0" w:color="auto"/>
            <w:right w:val="none" w:sz="0" w:space="0" w:color="auto"/>
          </w:divBdr>
          <w:divsChild>
            <w:div w:id="1634562327">
              <w:marLeft w:val="0"/>
              <w:marRight w:val="0"/>
              <w:marTop w:val="0"/>
              <w:marBottom w:val="0"/>
              <w:divBdr>
                <w:top w:val="none" w:sz="0" w:space="0" w:color="auto"/>
                <w:left w:val="none" w:sz="0" w:space="0" w:color="auto"/>
                <w:bottom w:val="none" w:sz="0" w:space="0" w:color="auto"/>
                <w:right w:val="none" w:sz="0" w:space="0" w:color="auto"/>
              </w:divBdr>
              <w:divsChild>
                <w:div w:id="19504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2975">
      <w:bodyDiv w:val="1"/>
      <w:marLeft w:val="0"/>
      <w:marRight w:val="0"/>
      <w:marTop w:val="0"/>
      <w:marBottom w:val="0"/>
      <w:divBdr>
        <w:top w:val="none" w:sz="0" w:space="0" w:color="auto"/>
        <w:left w:val="none" w:sz="0" w:space="0" w:color="auto"/>
        <w:bottom w:val="none" w:sz="0" w:space="0" w:color="auto"/>
        <w:right w:val="none" w:sz="0" w:space="0" w:color="auto"/>
      </w:divBdr>
      <w:divsChild>
        <w:div w:id="1329478507">
          <w:marLeft w:val="0"/>
          <w:marRight w:val="0"/>
          <w:marTop w:val="0"/>
          <w:marBottom w:val="0"/>
          <w:divBdr>
            <w:top w:val="none" w:sz="0" w:space="0" w:color="auto"/>
            <w:left w:val="none" w:sz="0" w:space="0" w:color="auto"/>
            <w:bottom w:val="none" w:sz="0" w:space="0" w:color="auto"/>
            <w:right w:val="none" w:sz="0" w:space="0" w:color="auto"/>
          </w:divBdr>
          <w:divsChild>
            <w:div w:id="1362823928">
              <w:marLeft w:val="0"/>
              <w:marRight w:val="0"/>
              <w:marTop w:val="0"/>
              <w:marBottom w:val="0"/>
              <w:divBdr>
                <w:top w:val="none" w:sz="0" w:space="0" w:color="auto"/>
                <w:left w:val="none" w:sz="0" w:space="0" w:color="auto"/>
                <w:bottom w:val="none" w:sz="0" w:space="0" w:color="auto"/>
                <w:right w:val="none" w:sz="0" w:space="0" w:color="auto"/>
              </w:divBdr>
              <w:divsChild>
                <w:div w:id="1314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958">
      <w:bodyDiv w:val="1"/>
      <w:marLeft w:val="0"/>
      <w:marRight w:val="0"/>
      <w:marTop w:val="0"/>
      <w:marBottom w:val="0"/>
      <w:divBdr>
        <w:top w:val="none" w:sz="0" w:space="0" w:color="auto"/>
        <w:left w:val="none" w:sz="0" w:space="0" w:color="auto"/>
        <w:bottom w:val="none" w:sz="0" w:space="0" w:color="auto"/>
        <w:right w:val="none" w:sz="0" w:space="0" w:color="auto"/>
      </w:divBdr>
    </w:div>
    <w:div w:id="377708108">
      <w:bodyDiv w:val="1"/>
      <w:marLeft w:val="0"/>
      <w:marRight w:val="0"/>
      <w:marTop w:val="0"/>
      <w:marBottom w:val="0"/>
      <w:divBdr>
        <w:top w:val="none" w:sz="0" w:space="0" w:color="auto"/>
        <w:left w:val="none" w:sz="0" w:space="0" w:color="auto"/>
        <w:bottom w:val="none" w:sz="0" w:space="0" w:color="auto"/>
        <w:right w:val="none" w:sz="0" w:space="0" w:color="auto"/>
      </w:divBdr>
      <w:divsChild>
        <w:div w:id="710960069">
          <w:marLeft w:val="0"/>
          <w:marRight w:val="0"/>
          <w:marTop w:val="0"/>
          <w:marBottom w:val="0"/>
          <w:divBdr>
            <w:top w:val="none" w:sz="0" w:space="0" w:color="auto"/>
            <w:left w:val="none" w:sz="0" w:space="0" w:color="auto"/>
            <w:bottom w:val="none" w:sz="0" w:space="0" w:color="auto"/>
            <w:right w:val="none" w:sz="0" w:space="0" w:color="auto"/>
          </w:divBdr>
          <w:divsChild>
            <w:div w:id="696085586">
              <w:marLeft w:val="0"/>
              <w:marRight w:val="0"/>
              <w:marTop w:val="0"/>
              <w:marBottom w:val="0"/>
              <w:divBdr>
                <w:top w:val="none" w:sz="0" w:space="0" w:color="auto"/>
                <w:left w:val="none" w:sz="0" w:space="0" w:color="auto"/>
                <w:bottom w:val="none" w:sz="0" w:space="0" w:color="auto"/>
                <w:right w:val="none" w:sz="0" w:space="0" w:color="auto"/>
              </w:divBdr>
              <w:divsChild>
                <w:div w:id="1714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11636">
      <w:bodyDiv w:val="1"/>
      <w:marLeft w:val="0"/>
      <w:marRight w:val="0"/>
      <w:marTop w:val="0"/>
      <w:marBottom w:val="0"/>
      <w:divBdr>
        <w:top w:val="none" w:sz="0" w:space="0" w:color="auto"/>
        <w:left w:val="none" w:sz="0" w:space="0" w:color="auto"/>
        <w:bottom w:val="none" w:sz="0" w:space="0" w:color="auto"/>
        <w:right w:val="none" w:sz="0" w:space="0" w:color="auto"/>
      </w:divBdr>
      <w:divsChild>
        <w:div w:id="1381438120">
          <w:marLeft w:val="0"/>
          <w:marRight w:val="0"/>
          <w:marTop w:val="0"/>
          <w:marBottom w:val="0"/>
          <w:divBdr>
            <w:top w:val="none" w:sz="0" w:space="0" w:color="auto"/>
            <w:left w:val="none" w:sz="0" w:space="0" w:color="auto"/>
            <w:bottom w:val="none" w:sz="0" w:space="0" w:color="auto"/>
            <w:right w:val="none" w:sz="0" w:space="0" w:color="auto"/>
          </w:divBdr>
          <w:divsChild>
            <w:div w:id="927620832">
              <w:marLeft w:val="0"/>
              <w:marRight w:val="0"/>
              <w:marTop w:val="0"/>
              <w:marBottom w:val="0"/>
              <w:divBdr>
                <w:top w:val="none" w:sz="0" w:space="0" w:color="auto"/>
                <w:left w:val="none" w:sz="0" w:space="0" w:color="auto"/>
                <w:bottom w:val="none" w:sz="0" w:space="0" w:color="auto"/>
                <w:right w:val="none" w:sz="0" w:space="0" w:color="auto"/>
              </w:divBdr>
              <w:divsChild>
                <w:div w:id="358896861">
                  <w:marLeft w:val="0"/>
                  <w:marRight w:val="0"/>
                  <w:marTop w:val="0"/>
                  <w:marBottom w:val="0"/>
                  <w:divBdr>
                    <w:top w:val="none" w:sz="0" w:space="0" w:color="auto"/>
                    <w:left w:val="none" w:sz="0" w:space="0" w:color="auto"/>
                    <w:bottom w:val="none" w:sz="0" w:space="0" w:color="auto"/>
                    <w:right w:val="none" w:sz="0" w:space="0" w:color="auto"/>
                  </w:divBdr>
                </w:div>
              </w:divsChild>
            </w:div>
            <w:div w:id="561790635">
              <w:marLeft w:val="0"/>
              <w:marRight w:val="0"/>
              <w:marTop w:val="0"/>
              <w:marBottom w:val="0"/>
              <w:divBdr>
                <w:top w:val="none" w:sz="0" w:space="0" w:color="auto"/>
                <w:left w:val="none" w:sz="0" w:space="0" w:color="auto"/>
                <w:bottom w:val="none" w:sz="0" w:space="0" w:color="auto"/>
                <w:right w:val="none" w:sz="0" w:space="0" w:color="auto"/>
              </w:divBdr>
              <w:divsChild>
                <w:div w:id="18375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4399">
          <w:marLeft w:val="0"/>
          <w:marRight w:val="0"/>
          <w:marTop w:val="0"/>
          <w:marBottom w:val="0"/>
          <w:divBdr>
            <w:top w:val="none" w:sz="0" w:space="0" w:color="auto"/>
            <w:left w:val="none" w:sz="0" w:space="0" w:color="auto"/>
            <w:bottom w:val="none" w:sz="0" w:space="0" w:color="auto"/>
            <w:right w:val="none" w:sz="0" w:space="0" w:color="auto"/>
          </w:divBdr>
          <w:divsChild>
            <w:div w:id="1394234669">
              <w:marLeft w:val="0"/>
              <w:marRight w:val="0"/>
              <w:marTop w:val="0"/>
              <w:marBottom w:val="0"/>
              <w:divBdr>
                <w:top w:val="none" w:sz="0" w:space="0" w:color="auto"/>
                <w:left w:val="none" w:sz="0" w:space="0" w:color="auto"/>
                <w:bottom w:val="none" w:sz="0" w:space="0" w:color="auto"/>
                <w:right w:val="none" w:sz="0" w:space="0" w:color="auto"/>
              </w:divBdr>
              <w:divsChild>
                <w:div w:id="1373073198">
                  <w:marLeft w:val="0"/>
                  <w:marRight w:val="0"/>
                  <w:marTop w:val="0"/>
                  <w:marBottom w:val="0"/>
                  <w:divBdr>
                    <w:top w:val="none" w:sz="0" w:space="0" w:color="auto"/>
                    <w:left w:val="none" w:sz="0" w:space="0" w:color="auto"/>
                    <w:bottom w:val="none" w:sz="0" w:space="0" w:color="auto"/>
                    <w:right w:val="none" w:sz="0" w:space="0" w:color="auto"/>
                  </w:divBdr>
                </w:div>
              </w:divsChild>
            </w:div>
            <w:div w:id="458761939">
              <w:marLeft w:val="0"/>
              <w:marRight w:val="0"/>
              <w:marTop w:val="0"/>
              <w:marBottom w:val="0"/>
              <w:divBdr>
                <w:top w:val="none" w:sz="0" w:space="0" w:color="auto"/>
                <w:left w:val="none" w:sz="0" w:space="0" w:color="auto"/>
                <w:bottom w:val="none" w:sz="0" w:space="0" w:color="auto"/>
                <w:right w:val="none" w:sz="0" w:space="0" w:color="auto"/>
              </w:divBdr>
              <w:divsChild>
                <w:div w:id="13956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3649">
      <w:bodyDiv w:val="1"/>
      <w:marLeft w:val="0"/>
      <w:marRight w:val="0"/>
      <w:marTop w:val="0"/>
      <w:marBottom w:val="0"/>
      <w:divBdr>
        <w:top w:val="none" w:sz="0" w:space="0" w:color="auto"/>
        <w:left w:val="none" w:sz="0" w:space="0" w:color="auto"/>
        <w:bottom w:val="none" w:sz="0" w:space="0" w:color="auto"/>
        <w:right w:val="none" w:sz="0" w:space="0" w:color="auto"/>
      </w:divBdr>
      <w:divsChild>
        <w:div w:id="419527432">
          <w:marLeft w:val="0"/>
          <w:marRight w:val="0"/>
          <w:marTop w:val="0"/>
          <w:marBottom w:val="0"/>
          <w:divBdr>
            <w:top w:val="none" w:sz="0" w:space="0" w:color="auto"/>
            <w:left w:val="none" w:sz="0" w:space="0" w:color="auto"/>
            <w:bottom w:val="none" w:sz="0" w:space="0" w:color="auto"/>
            <w:right w:val="none" w:sz="0" w:space="0" w:color="auto"/>
          </w:divBdr>
          <w:divsChild>
            <w:div w:id="1198392774">
              <w:marLeft w:val="0"/>
              <w:marRight w:val="0"/>
              <w:marTop w:val="0"/>
              <w:marBottom w:val="0"/>
              <w:divBdr>
                <w:top w:val="none" w:sz="0" w:space="0" w:color="auto"/>
                <w:left w:val="none" w:sz="0" w:space="0" w:color="auto"/>
                <w:bottom w:val="none" w:sz="0" w:space="0" w:color="auto"/>
                <w:right w:val="none" w:sz="0" w:space="0" w:color="auto"/>
              </w:divBdr>
              <w:divsChild>
                <w:div w:id="5740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42384">
      <w:bodyDiv w:val="1"/>
      <w:marLeft w:val="0"/>
      <w:marRight w:val="0"/>
      <w:marTop w:val="0"/>
      <w:marBottom w:val="0"/>
      <w:divBdr>
        <w:top w:val="none" w:sz="0" w:space="0" w:color="auto"/>
        <w:left w:val="none" w:sz="0" w:space="0" w:color="auto"/>
        <w:bottom w:val="none" w:sz="0" w:space="0" w:color="auto"/>
        <w:right w:val="none" w:sz="0" w:space="0" w:color="auto"/>
      </w:divBdr>
    </w:div>
    <w:div w:id="441800424">
      <w:bodyDiv w:val="1"/>
      <w:marLeft w:val="0"/>
      <w:marRight w:val="0"/>
      <w:marTop w:val="0"/>
      <w:marBottom w:val="0"/>
      <w:divBdr>
        <w:top w:val="none" w:sz="0" w:space="0" w:color="auto"/>
        <w:left w:val="none" w:sz="0" w:space="0" w:color="auto"/>
        <w:bottom w:val="none" w:sz="0" w:space="0" w:color="auto"/>
        <w:right w:val="none" w:sz="0" w:space="0" w:color="auto"/>
      </w:divBdr>
    </w:div>
    <w:div w:id="464156456">
      <w:bodyDiv w:val="1"/>
      <w:marLeft w:val="0"/>
      <w:marRight w:val="0"/>
      <w:marTop w:val="0"/>
      <w:marBottom w:val="0"/>
      <w:divBdr>
        <w:top w:val="none" w:sz="0" w:space="0" w:color="auto"/>
        <w:left w:val="none" w:sz="0" w:space="0" w:color="auto"/>
        <w:bottom w:val="none" w:sz="0" w:space="0" w:color="auto"/>
        <w:right w:val="none" w:sz="0" w:space="0" w:color="auto"/>
      </w:divBdr>
    </w:div>
    <w:div w:id="482283793">
      <w:bodyDiv w:val="1"/>
      <w:marLeft w:val="0"/>
      <w:marRight w:val="0"/>
      <w:marTop w:val="0"/>
      <w:marBottom w:val="0"/>
      <w:divBdr>
        <w:top w:val="none" w:sz="0" w:space="0" w:color="auto"/>
        <w:left w:val="none" w:sz="0" w:space="0" w:color="auto"/>
        <w:bottom w:val="none" w:sz="0" w:space="0" w:color="auto"/>
        <w:right w:val="none" w:sz="0" w:space="0" w:color="auto"/>
      </w:divBdr>
    </w:div>
    <w:div w:id="483082046">
      <w:bodyDiv w:val="1"/>
      <w:marLeft w:val="0"/>
      <w:marRight w:val="0"/>
      <w:marTop w:val="0"/>
      <w:marBottom w:val="0"/>
      <w:divBdr>
        <w:top w:val="none" w:sz="0" w:space="0" w:color="auto"/>
        <w:left w:val="none" w:sz="0" w:space="0" w:color="auto"/>
        <w:bottom w:val="none" w:sz="0" w:space="0" w:color="auto"/>
        <w:right w:val="none" w:sz="0" w:space="0" w:color="auto"/>
      </w:divBdr>
    </w:div>
    <w:div w:id="487477727">
      <w:bodyDiv w:val="1"/>
      <w:marLeft w:val="0"/>
      <w:marRight w:val="0"/>
      <w:marTop w:val="0"/>
      <w:marBottom w:val="0"/>
      <w:divBdr>
        <w:top w:val="none" w:sz="0" w:space="0" w:color="auto"/>
        <w:left w:val="none" w:sz="0" w:space="0" w:color="auto"/>
        <w:bottom w:val="none" w:sz="0" w:space="0" w:color="auto"/>
        <w:right w:val="none" w:sz="0" w:space="0" w:color="auto"/>
      </w:divBdr>
    </w:div>
    <w:div w:id="492600619">
      <w:bodyDiv w:val="1"/>
      <w:marLeft w:val="0"/>
      <w:marRight w:val="0"/>
      <w:marTop w:val="0"/>
      <w:marBottom w:val="0"/>
      <w:divBdr>
        <w:top w:val="none" w:sz="0" w:space="0" w:color="auto"/>
        <w:left w:val="none" w:sz="0" w:space="0" w:color="auto"/>
        <w:bottom w:val="none" w:sz="0" w:space="0" w:color="auto"/>
        <w:right w:val="none" w:sz="0" w:space="0" w:color="auto"/>
      </w:divBdr>
      <w:divsChild>
        <w:div w:id="2010211225">
          <w:marLeft w:val="0"/>
          <w:marRight w:val="0"/>
          <w:marTop w:val="0"/>
          <w:marBottom w:val="0"/>
          <w:divBdr>
            <w:top w:val="none" w:sz="0" w:space="0" w:color="auto"/>
            <w:left w:val="none" w:sz="0" w:space="0" w:color="auto"/>
            <w:bottom w:val="none" w:sz="0" w:space="0" w:color="auto"/>
            <w:right w:val="none" w:sz="0" w:space="0" w:color="auto"/>
          </w:divBdr>
          <w:divsChild>
            <w:div w:id="160774171">
              <w:marLeft w:val="0"/>
              <w:marRight w:val="0"/>
              <w:marTop w:val="0"/>
              <w:marBottom w:val="0"/>
              <w:divBdr>
                <w:top w:val="none" w:sz="0" w:space="0" w:color="auto"/>
                <w:left w:val="none" w:sz="0" w:space="0" w:color="auto"/>
                <w:bottom w:val="none" w:sz="0" w:space="0" w:color="auto"/>
                <w:right w:val="none" w:sz="0" w:space="0" w:color="auto"/>
              </w:divBdr>
              <w:divsChild>
                <w:div w:id="1232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918">
      <w:bodyDiv w:val="1"/>
      <w:marLeft w:val="0"/>
      <w:marRight w:val="0"/>
      <w:marTop w:val="0"/>
      <w:marBottom w:val="0"/>
      <w:divBdr>
        <w:top w:val="none" w:sz="0" w:space="0" w:color="auto"/>
        <w:left w:val="none" w:sz="0" w:space="0" w:color="auto"/>
        <w:bottom w:val="none" w:sz="0" w:space="0" w:color="auto"/>
        <w:right w:val="none" w:sz="0" w:space="0" w:color="auto"/>
      </w:divBdr>
      <w:divsChild>
        <w:div w:id="377971623">
          <w:marLeft w:val="0"/>
          <w:marRight w:val="0"/>
          <w:marTop w:val="0"/>
          <w:marBottom w:val="0"/>
          <w:divBdr>
            <w:top w:val="none" w:sz="0" w:space="0" w:color="auto"/>
            <w:left w:val="none" w:sz="0" w:space="0" w:color="auto"/>
            <w:bottom w:val="none" w:sz="0" w:space="0" w:color="auto"/>
            <w:right w:val="none" w:sz="0" w:space="0" w:color="auto"/>
          </w:divBdr>
          <w:divsChild>
            <w:div w:id="1155605340">
              <w:marLeft w:val="0"/>
              <w:marRight w:val="0"/>
              <w:marTop w:val="0"/>
              <w:marBottom w:val="0"/>
              <w:divBdr>
                <w:top w:val="none" w:sz="0" w:space="0" w:color="auto"/>
                <w:left w:val="none" w:sz="0" w:space="0" w:color="auto"/>
                <w:bottom w:val="none" w:sz="0" w:space="0" w:color="auto"/>
                <w:right w:val="none" w:sz="0" w:space="0" w:color="auto"/>
              </w:divBdr>
              <w:divsChild>
                <w:div w:id="5993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4228">
      <w:bodyDiv w:val="1"/>
      <w:marLeft w:val="0"/>
      <w:marRight w:val="0"/>
      <w:marTop w:val="0"/>
      <w:marBottom w:val="0"/>
      <w:divBdr>
        <w:top w:val="none" w:sz="0" w:space="0" w:color="auto"/>
        <w:left w:val="none" w:sz="0" w:space="0" w:color="auto"/>
        <w:bottom w:val="none" w:sz="0" w:space="0" w:color="auto"/>
        <w:right w:val="none" w:sz="0" w:space="0" w:color="auto"/>
      </w:divBdr>
      <w:divsChild>
        <w:div w:id="1819150384">
          <w:marLeft w:val="0"/>
          <w:marRight w:val="0"/>
          <w:marTop w:val="0"/>
          <w:marBottom w:val="0"/>
          <w:divBdr>
            <w:top w:val="none" w:sz="0" w:space="0" w:color="auto"/>
            <w:left w:val="none" w:sz="0" w:space="0" w:color="auto"/>
            <w:bottom w:val="none" w:sz="0" w:space="0" w:color="auto"/>
            <w:right w:val="none" w:sz="0" w:space="0" w:color="auto"/>
          </w:divBdr>
          <w:divsChild>
            <w:div w:id="1414350886">
              <w:marLeft w:val="0"/>
              <w:marRight w:val="0"/>
              <w:marTop w:val="0"/>
              <w:marBottom w:val="0"/>
              <w:divBdr>
                <w:top w:val="none" w:sz="0" w:space="0" w:color="auto"/>
                <w:left w:val="none" w:sz="0" w:space="0" w:color="auto"/>
                <w:bottom w:val="none" w:sz="0" w:space="0" w:color="auto"/>
                <w:right w:val="none" w:sz="0" w:space="0" w:color="auto"/>
              </w:divBdr>
              <w:divsChild>
                <w:div w:id="248195851">
                  <w:marLeft w:val="0"/>
                  <w:marRight w:val="0"/>
                  <w:marTop w:val="0"/>
                  <w:marBottom w:val="0"/>
                  <w:divBdr>
                    <w:top w:val="none" w:sz="0" w:space="0" w:color="auto"/>
                    <w:left w:val="none" w:sz="0" w:space="0" w:color="auto"/>
                    <w:bottom w:val="none" w:sz="0" w:space="0" w:color="auto"/>
                    <w:right w:val="none" w:sz="0" w:space="0" w:color="auto"/>
                  </w:divBdr>
                  <w:divsChild>
                    <w:div w:id="11291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9420">
      <w:bodyDiv w:val="1"/>
      <w:marLeft w:val="0"/>
      <w:marRight w:val="0"/>
      <w:marTop w:val="0"/>
      <w:marBottom w:val="0"/>
      <w:divBdr>
        <w:top w:val="none" w:sz="0" w:space="0" w:color="auto"/>
        <w:left w:val="none" w:sz="0" w:space="0" w:color="auto"/>
        <w:bottom w:val="none" w:sz="0" w:space="0" w:color="auto"/>
        <w:right w:val="none" w:sz="0" w:space="0" w:color="auto"/>
      </w:divBdr>
      <w:divsChild>
        <w:div w:id="835992905">
          <w:marLeft w:val="0"/>
          <w:marRight w:val="0"/>
          <w:marTop w:val="0"/>
          <w:marBottom w:val="0"/>
          <w:divBdr>
            <w:top w:val="none" w:sz="0" w:space="0" w:color="auto"/>
            <w:left w:val="none" w:sz="0" w:space="0" w:color="auto"/>
            <w:bottom w:val="none" w:sz="0" w:space="0" w:color="auto"/>
            <w:right w:val="none" w:sz="0" w:space="0" w:color="auto"/>
          </w:divBdr>
          <w:divsChild>
            <w:div w:id="1373336877">
              <w:marLeft w:val="0"/>
              <w:marRight w:val="0"/>
              <w:marTop w:val="0"/>
              <w:marBottom w:val="0"/>
              <w:divBdr>
                <w:top w:val="none" w:sz="0" w:space="0" w:color="auto"/>
                <w:left w:val="none" w:sz="0" w:space="0" w:color="auto"/>
                <w:bottom w:val="none" w:sz="0" w:space="0" w:color="auto"/>
                <w:right w:val="none" w:sz="0" w:space="0" w:color="auto"/>
              </w:divBdr>
              <w:divsChild>
                <w:div w:id="673847069">
                  <w:marLeft w:val="0"/>
                  <w:marRight w:val="0"/>
                  <w:marTop w:val="0"/>
                  <w:marBottom w:val="0"/>
                  <w:divBdr>
                    <w:top w:val="none" w:sz="0" w:space="0" w:color="auto"/>
                    <w:left w:val="none" w:sz="0" w:space="0" w:color="auto"/>
                    <w:bottom w:val="none" w:sz="0" w:space="0" w:color="auto"/>
                    <w:right w:val="none" w:sz="0" w:space="0" w:color="auto"/>
                  </w:divBdr>
                </w:div>
              </w:divsChild>
            </w:div>
            <w:div w:id="487064170">
              <w:marLeft w:val="0"/>
              <w:marRight w:val="0"/>
              <w:marTop w:val="0"/>
              <w:marBottom w:val="0"/>
              <w:divBdr>
                <w:top w:val="none" w:sz="0" w:space="0" w:color="auto"/>
                <w:left w:val="none" w:sz="0" w:space="0" w:color="auto"/>
                <w:bottom w:val="none" w:sz="0" w:space="0" w:color="auto"/>
                <w:right w:val="none" w:sz="0" w:space="0" w:color="auto"/>
              </w:divBdr>
              <w:divsChild>
                <w:div w:id="1735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010">
          <w:marLeft w:val="0"/>
          <w:marRight w:val="0"/>
          <w:marTop w:val="0"/>
          <w:marBottom w:val="0"/>
          <w:divBdr>
            <w:top w:val="none" w:sz="0" w:space="0" w:color="auto"/>
            <w:left w:val="none" w:sz="0" w:space="0" w:color="auto"/>
            <w:bottom w:val="none" w:sz="0" w:space="0" w:color="auto"/>
            <w:right w:val="none" w:sz="0" w:space="0" w:color="auto"/>
          </w:divBdr>
          <w:divsChild>
            <w:div w:id="555358775">
              <w:marLeft w:val="0"/>
              <w:marRight w:val="0"/>
              <w:marTop w:val="0"/>
              <w:marBottom w:val="0"/>
              <w:divBdr>
                <w:top w:val="none" w:sz="0" w:space="0" w:color="auto"/>
                <w:left w:val="none" w:sz="0" w:space="0" w:color="auto"/>
                <w:bottom w:val="none" w:sz="0" w:space="0" w:color="auto"/>
                <w:right w:val="none" w:sz="0" w:space="0" w:color="auto"/>
              </w:divBdr>
              <w:divsChild>
                <w:div w:id="8124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17631">
      <w:bodyDiv w:val="1"/>
      <w:marLeft w:val="0"/>
      <w:marRight w:val="0"/>
      <w:marTop w:val="0"/>
      <w:marBottom w:val="0"/>
      <w:divBdr>
        <w:top w:val="none" w:sz="0" w:space="0" w:color="auto"/>
        <w:left w:val="none" w:sz="0" w:space="0" w:color="auto"/>
        <w:bottom w:val="none" w:sz="0" w:space="0" w:color="auto"/>
        <w:right w:val="none" w:sz="0" w:space="0" w:color="auto"/>
      </w:divBdr>
    </w:div>
    <w:div w:id="526482530">
      <w:bodyDiv w:val="1"/>
      <w:marLeft w:val="0"/>
      <w:marRight w:val="0"/>
      <w:marTop w:val="0"/>
      <w:marBottom w:val="0"/>
      <w:divBdr>
        <w:top w:val="none" w:sz="0" w:space="0" w:color="auto"/>
        <w:left w:val="none" w:sz="0" w:space="0" w:color="auto"/>
        <w:bottom w:val="none" w:sz="0" w:space="0" w:color="auto"/>
        <w:right w:val="none" w:sz="0" w:space="0" w:color="auto"/>
      </w:divBdr>
      <w:divsChild>
        <w:div w:id="2058553492">
          <w:marLeft w:val="0"/>
          <w:marRight w:val="0"/>
          <w:marTop w:val="0"/>
          <w:marBottom w:val="0"/>
          <w:divBdr>
            <w:top w:val="none" w:sz="0" w:space="0" w:color="auto"/>
            <w:left w:val="none" w:sz="0" w:space="0" w:color="auto"/>
            <w:bottom w:val="none" w:sz="0" w:space="0" w:color="auto"/>
            <w:right w:val="none" w:sz="0" w:space="0" w:color="auto"/>
          </w:divBdr>
          <w:divsChild>
            <w:div w:id="1297956541">
              <w:marLeft w:val="0"/>
              <w:marRight w:val="0"/>
              <w:marTop w:val="0"/>
              <w:marBottom w:val="0"/>
              <w:divBdr>
                <w:top w:val="none" w:sz="0" w:space="0" w:color="auto"/>
                <w:left w:val="none" w:sz="0" w:space="0" w:color="auto"/>
                <w:bottom w:val="none" w:sz="0" w:space="0" w:color="auto"/>
                <w:right w:val="none" w:sz="0" w:space="0" w:color="auto"/>
              </w:divBdr>
              <w:divsChild>
                <w:div w:id="14766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3090">
      <w:bodyDiv w:val="1"/>
      <w:marLeft w:val="0"/>
      <w:marRight w:val="0"/>
      <w:marTop w:val="0"/>
      <w:marBottom w:val="0"/>
      <w:divBdr>
        <w:top w:val="none" w:sz="0" w:space="0" w:color="auto"/>
        <w:left w:val="none" w:sz="0" w:space="0" w:color="auto"/>
        <w:bottom w:val="none" w:sz="0" w:space="0" w:color="auto"/>
        <w:right w:val="none" w:sz="0" w:space="0" w:color="auto"/>
      </w:divBdr>
      <w:divsChild>
        <w:div w:id="273749882">
          <w:marLeft w:val="0"/>
          <w:marRight w:val="0"/>
          <w:marTop w:val="0"/>
          <w:marBottom w:val="0"/>
          <w:divBdr>
            <w:top w:val="none" w:sz="0" w:space="0" w:color="auto"/>
            <w:left w:val="none" w:sz="0" w:space="0" w:color="auto"/>
            <w:bottom w:val="none" w:sz="0" w:space="0" w:color="auto"/>
            <w:right w:val="none" w:sz="0" w:space="0" w:color="auto"/>
          </w:divBdr>
          <w:divsChild>
            <w:div w:id="1601332892">
              <w:marLeft w:val="0"/>
              <w:marRight w:val="0"/>
              <w:marTop w:val="0"/>
              <w:marBottom w:val="0"/>
              <w:divBdr>
                <w:top w:val="none" w:sz="0" w:space="0" w:color="auto"/>
                <w:left w:val="none" w:sz="0" w:space="0" w:color="auto"/>
                <w:bottom w:val="none" w:sz="0" w:space="0" w:color="auto"/>
                <w:right w:val="none" w:sz="0" w:space="0" w:color="auto"/>
              </w:divBdr>
              <w:divsChild>
                <w:div w:id="1047606528">
                  <w:marLeft w:val="0"/>
                  <w:marRight w:val="0"/>
                  <w:marTop w:val="0"/>
                  <w:marBottom w:val="0"/>
                  <w:divBdr>
                    <w:top w:val="none" w:sz="0" w:space="0" w:color="auto"/>
                    <w:left w:val="none" w:sz="0" w:space="0" w:color="auto"/>
                    <w:bottom w:val="none" w:sz="0" w:space="0" w:color="auto"/>
                    <w:right w:val="none" w:sz="0" w:space="0" w:color="auto"/>
                  </w:divBdr>
                  <w:divsChild>
                    <w:div w:id="18154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9974">
      <w:bodyDiv w:val="1"/>
      <w:marLeft w:val="0"/>
      <w:marRight w:val="0"/>
      <w:marTop w:val="0"/>
      <w:marBottom w:val="0"/>
      <w:divBdr>
        <w:top w:val="none" w:sz="0" w:space="0" w:color="auto"/>
        <w:left w:val="none" w:sz="0" w:space="0" w:color="auto"/>
        <w:bottom w:val="none" w:sz="0" w:space="0" w:color="auto"/>
        <w:right w:val="none" w:sz="0" w:space="0" w:color="auto"/>
      </w:divBdr>
      <w:divsChild>
        <w:div w:id="778064476">
          <w:marLeft w:val="0"/>
          <w:marRight w:val="0"/>
          <w:marTop w:val="0"/>
          <w:marBottom w:val="0"/>
          <w:divBdr>
            <w:top w:val="none" w:sz="0" w:space="0" w:color="auto"/>
            <w:left w:val="none" w:sz="0" w:space="0" w:color="auto"/>
            <w:bottom w:val="none" w:sz="0" w:space="0" w:color="auto"/>
            <w:right w:val="none" w:sz="0" w:space="0" w:color="auto"/>
          </w:divBdr>
          <w:divsChild>
            <w:div w:id="138231727">
              <w:marLeft w:val="0"/>
              <w:marRight w:val="0"/>
              <w:marTop w:val="0"/>
              <w:marBottom w:val="0"/>
              <w:divBdr>
                <w:top w:val="none" w:sz="0" w:space="0" w:color="auto"/>
                <w:left w:val="none" w:sz="0" w:space="0" w:color="auto"/>
                <w:bottom w:val="none" w:sz="0" w:space="0" w:color="auto"/>
                <w:right w:val="none" w:sz="0" w:space="0" w:color="auto"/>
              </w:divBdr>
              <w:divsChild>
                <w:div w:id="7990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3252">
      <w:bodyDiv w:val="1"/>
      <w:marLeft w:val="0"/>
      <w:marRight w:val="0"/>
      <w:marTop w:val="0"/>
      <w:marBottom w:val="0"/>
      <w:divBdr>
        <w:top w:val="none" w:sz="0" w:space="0" w:color="auto"/>
        <w:left w:val="none" w:sz="0" w:space="0" w:color="auto"/>
        <w:bottom w:val="none" w:sz="0" w:space="0" w:color="auto"/>
        <w:right w:val="none" w:sz="0" w:space="0" w:color="auto"/>
      </w:divBdr>
      <w:divsChild>
        <w:div w:id="569584323">
          <w:marLeft w:val="0"/>
          <w:marRight w:val="0"/>
          <w:marTop w:val="0"/>
          <w:marBottom w:val="0"/>
          <w:divBdr>
            <w:top w:val="none" w:sz="0" w:space="0" w:color="auto"/>
            <w:left w:val="none" w:sz="0" w:space="0" w:color="auto"/>
            <w:bottom w:val="none" w:sz="0" w:space="0" w:color="auto"/>
            <w:right w:val="none" w:sz="0" w:space="0" w:color="auto"/>
          </w:divBdr>
          <w:divsChild>
            <w:div w:id="1250695674">
              <w:marLeft w:val="0"/>
              <w:marRight w:val="0"/>
              <w:marTop w:val="0"/>
              <w:marBottom w:val="0"/>
              <w:divBdr>
                <w:top w:val="none" w:sz="0" w:space="0" w:color="auto"/>
                <w:left w:val="none" w:sz="0" w:space="0" w:color="auto"/>
                <w:bottom w:val="none" w:sz="0" w:space="0" w:color="auto"/>
                <w:right w:val="none" w:sz="0" w:space="0" w:color="auto"/>
              </w:divBdr>
              <w:divsChild>
                <w:div w:id="18873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8987">
      <w:bodyDiv w:val="1"/>
      <w:marLeft w:val="0"/>
      <w:marRight w:val="0"/>
      <w:marTop w:val="0"/>
      <w:marBottom w:val="0"/>
      <w:divBdr>
        <w:top w:val="none" w:sz="0" w:space="0" w:color="auto"/>
        <w:left w:val="none" w:sz="0" w:space="0" w:color="auto"/>
        <w:bottom w:val="none" w:sz="0" w:space="0" w:color="auto"/>
        <w:right w:val="none" w:sz="0" w:space="0" w:color="auto"/>
      </w:divBdr>
    </w:div>
    <w:div w:id="618530810">
      <w:bodyDiv w:val="1"/>
      <w:marLeft w:val="0"/>
      <w:marRight w:val="0"/>
      <w:marTop w:val="0"/>
      <w:marBottom w:val="0"/>
      <w:divBdr>
        <w:top w:val="none" w:sz="0" w:space="0" w:color="auto"/>
        <w:left w:val="none" w:sz="0" w:space="0" w:color="auto"/>
        <w:bottom w:val="none" w:sz="0" w:space="0" w:color="auto"/>
        <w:right w:val="none" w:sz="0" w:space="0" w:color="auto"/>
      </w:divBdr>
    </w:div>
    <w:div w:id="620769403">
      <w:bodyDiv w:val="1"/>
      <w:marLeft w:val="0"/>
      <w:marRight w:val="0"/>
      <w:marTop w:val="0"/>
      <w:marBottom w:val="0"/>
      <w:divBdr>
        <w:top w:val="none" w:sz="0" w:space="0" w:color="auto"/>
        <w:left w:val="none" w:sz="0" w:space="0" w:color="auto"/>
        <w:bottom w:val="none" w:sz="0" w:space="0" w:color="auto"/>
        <w:right w:val="none" w:sz="0" w:space="0" w:color="auto"/>
      </w:divBdr>
      <w:divsChild>
        <w:div w:id="225991347">
          <w:marLeft w:val="0"/>
          <w:marRight w:val="0"/>
          <w:marTop w:val="0"/>
          <w:marBottom w:val="0"/>
          <w:divBdr>
            <w:top w:val="none" w:sz="0" w:space="0" w:color="auto"/>
            <w:left w:val="none" w:sz="0" w:space="0" w:color="auto"/>
            <w:bottom w:val="none" w:sz="0" w:space="0" w:color="auto"/>
            <w:right w:val="none" w:sz="0" w:space="0" w:color="auto"/>
          </w:divBdr>
          <w:divsChild>
            <w:div w:id="1941445811">
              <w:marLeft w:val="0"/>
              <w:marRight w:val="0"/>
              <w:marTop w:val="0"/>
              <w:marBottom w:val="0"/>
              <w:divBdr>
                <w:top w:val="none" w:sz="0" w:space="0" w:color="auto"/>
                <w:left w:val="none" w:sz="0" w:space="0" w:color="auto"/>
                <w:bottom w:val="none" w:sz="0" w:space="0" w:color="auto"/>
                <w:right w:val="none" w:sz="0" w:space="0" w:color="auto"/>
              </w:divBdr>
              <w:divsChild>
                <w:div w:id="10329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6010">
      <w:bodyDiv w:val="1"/>
      <w:marLeft w:val="0"/>
      <w:marRight w:val="0"/>
      <w:marTop w:val="0"/>
      <w:marBottom w:val="0"/>
      <w:divBdr>
        <w:top w:val="none" w:sz="0" w:space="0" w:color="auto"/>
        <w:left w:val="none" w:sz="0" w:space="0" w:color="auto"/>
        <w:bottom w:val="none" w:sz="0" w:space="0" w:color="auto"/>
        <w:right w:val="none" w:sz="0" w:space="0" w:color="auto"/>
      </w:divBdr>
      <w:divsChild>
        <w:div w:id="3094186">
          <w:marLeft w:val="0"/>
          <w:marRight w:val="0"/>
          <w:marTop w:val="0"/>
          <w:marBottom w:val="0"/>
          <w:divBdr>
            <w:top w:val="none" w:sz="0" w:space="0" w:color="auto"/>
            <w:left w:val="none" w:sz="0" w:space="0" w:color="auto"/>
            <w:bottom w:val="none" w:sz="0" w:space="0" w:color="auto"/>
            <w:right w:val="none" w:sz="0" w:space="0" w:color="auto"/>
          </w:divBdr>
          <w:divsChild>
            <w:div w:id="8801655">
              <w:marLeft w:val="0"/>
              <w:marRight w:val="0"/>
              <w:marTop w:val="0"/>
              <w:marBottom w:val="0"/>
              <w:divBdr>
                <w:top w:val="none" w:sz="0" w:space="0" w:color="auto"/>
                <w:left w:val="none" w:sz="0" w:space="0" w:color="auto"/>
                <w:bottom w:val="none" w:sz="0" w:space="0" w:color="auto"/>
                <w:right w:val="none" w:sz="0" w:space="0" w:color="auto"/>
              </w:divBdr>
              <w:divsChild>
                <w:div w:id="20166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4763">
      <w:bodyDiv w:val="1"/>
      <w:marLeft w:val="0"/>
      <w:marRight w:val="0"/>
      <w:marTop w:val="0"/>
      <w:marBottom w:val="0"/>
      <w:divBdr>
        <w:top w:val="none" w:sz="0" w:space="0" w:color="auto"/>
        <w:left w:val="none" w:sz="0" w:space="0" w:color="auto"/>
        <w:bottom w:val="none" w:sz="0" w:space="0" w:color="auto"/>
        <w:right w:val="none" w:sz="0" w:space="0" w:color="auto"/>
      </w:divBdr>
    </w:div>
    <w:div w:id="643122683">
      <w:bodyDiv w:val="1"/>
      <w:marLeft w:val="0"/>
      <w:marRight w:val="0"/>
      <w:marTop w:val="0"/>
      <w:marBottom w:val="0"/>
      <w:divBdr>
        <w:top w:val="none" w:sz="0" w:space="0" w:color="auto"/>
        <w:left w:val="none" w:sz="0" w:space="0" w:color="auto"/>
        <w:bottom w:val="none" w:sz="0" w:space="0" w:color="auto"/>
        <w:right w:val="none" w:sz="0" w:space="0" w:color="auto"/>
      </w:divBdr>
    </w:div>
    <w:div w:id="659961197">
      <w:bodyDiv w:val="1"/>
      <w:marLeft w:val="0"/>
      <w:marRight w:val="0"/>
      <w:marTop w:val="0"/>
      <w:marBottom w:val="0"/>
      <w:divBdr>
        <w:top w:val="none" w:sz="0" w:space="0" w:color="auto"/>
        <w:left w:val="none" w:sz="0" w:space="0" w:color="auto"/>
        <w:bottom w:val="none" w:sz="0" w:space="0" w:color="auto"/>
        <w:right w:val="none" w:sz="0" w:space="0" w:color="auto"/>
      </w:divBdr>
      <w:divsChild>
        <w:div w:id="1024482662">
          <w:marLeft w:val="0"/>
          <w:marRight w:val="0"/>
          <w:marTop w:val="0"/>
          <w:marBottom w:val="0"/>
          <w:divBdr>
            <w:top w:val="none" w:sz="0" w:space="0" w:color="auto"/>
            <w:left w:val="none" w:sz="0" w:space="0" w:color="auto"/>
            <w:bottom w:val="none" w:sz="0" w:space="0" w:color="auto"/>
            <w:right w:val="none" w:sz="0" w:space="0" w:color="auto"/>
          </w:divBdr>
          <w:divsChild>
            <w:div w:id="1640526561">
              <w:marLeft w:val="0"/>
              <w:marRight w:val="0"/>
              <w:marTop w:val="0"/>
              <w:marBottom w:val="0"/>
              <w:divBdr>
                <w:top w:val="none" w:sz="0" w:space="0" w:color="auto"/>
                <w:left w:val="none" w:sz="0" w:space="0" w:color="auto"/>
                <w:bottom w:val="none" w:sz="0" w:space="0" w:color="auto"/>
                <w:right w:val="none" w:sz="0" w:space="0" w:color="auto"/>
              </w:divBdr>
              <w:divsChild>
                <w:div w:id="21055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6875">
      <w:bodyDiv w:val="1"/>
      <w:marLeft w:val="0"/>
      <w:marRight w:val="0"/>
      <w:marTop w:val="0"/>
      <w:marBottom w:val="0"/>
      <w:divBdr>
        <w:top w:val="none" w:sz="0" w:space="0" w:color="auto"/>
        <w:left w:val="none" w:sz="0" w:space="0" w:color="auto"/>
        <w:bottom w:val="none" w:sz="0" w:space="0" w:color="auto"/>
        <w:right w:val="none" w:sz="0" w:space="0" w:color="auto"/>
      </w:divBdr>
      <w:divsChild>
        <w:div w:id="834347805">
          <w:marLeft w:val="0"/>
          <w:marRight w:val="0"/>
          <w:marTop w:val="0"/>
          <w:marBottom w:val="0"/>
          <w:divBdr>
            <w:top w:val="none" w:sz="0" w:space="0" w:color="auto"/>
            <w:left w:val="none" w:sz="0" w:space="0" w:color="auto"/>
            <w:bottom w:val="none" w:sz="0" w:space="0" w:color="auto"/>
            <w:right w:val="none" w:sz="0" w:space="0" w:color="auto"/>
          </w:divBdr>
        </w:div>
      </w:divsChild>
    </w:div>
    <w:div w:id="731732950">
      <w:bodyDiv w:val="1"/>
      <w:marLeft w:val="0"/>
      <w:marRight w:val="0"/>
      <w:marTop w:val="0"/>
      <w:marBottom w:val="0"/>
      <w:divBdr>
        <w:top w:val="none" w:sz="0" w:space="0" w:color="auto"/>
        <w:left w:val="none" w:sz="0" w:space="0" w:color="auto"/>
        <w:bottom w:val="none" w:sz="0" w:space="0" w:color="auto"/>
        <w:right w:val="none" w:sz="0" w:space="0" w:color="auto"/>
      </w:divBdr>
      <w:divsChild>
        <w:div w:id="857964397">
          <w:marLeft w:val="0"/>
          <w:marRight w:val="0"/>
          <w:marTop w:val="0"/>
          <w:marBottom w:val="0"/>
          <w:divBdr>
            <w:top w:val="none" w:sz="0" w:space="0" w:color="auto"/>
            <w:left w:val="none" w:sz="0" w:space="0" w:color="auto"/>
            <w:bottom w:val="none" w:sz="0" w:space="0" w:color="auto"/>
            <w:right w:val="none" w:sz="0" w:space="0" w:color="auto"/>
          </w:divBdr>
          <w:divsChild>
            <w:div w:id="921135813">
              <w:marLeft w:val="0"/>
              <w:marRight w:val="0"/>
              <w:marTop w:val="0"/>
              <w:marBottom w:val="0"/>
              <w:divBdr>
                <w:top w:val="none" w:sz="0" w:space="0" w:color="auto"/>
                <w:left w:val="none" w:sz="0" w:space="0" w:color="auto"/>
                <w:bottom w:val="none" w:sz="0" w:space="0" w:color="auto"/>
                <w:right w:val="none" w:sz="0" w:space="0" w:color="auto"/>
              </w:divBdr>
              <w:divsChild>
                <w:div w:id="2530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7846">
      <w:bodyDiv w:val="1"/>
      <w:marLeft w:val="0"/>
      <w:marRight w:val="0"/>
      <w:marTop w:val="0"/>
      <w:marBottom w:val="0"/>
      <w:divBdr>
        <w:top w:val="none" w:sz="0" w:space="0" w:color="auto"/>
        <w:left w:val="none" w:sz="0" w:space="0" w:color="auto"/>
        <w:bottom w:val="none" w:sz="0" w:space="0" w:color="auto"/>
        <w:right w:val="none" w:sz="0" w:space="0" w:color="auto"/>
      </w:divBdr>
    </w:div>
    <w:div w:id="797067201">
      <w:bodyDiv w:val="1"/>
      <w:marLeft w:val="0"/>
      <w:marRight w:val="0"/>
      <w:marTop w:val="0"/>
      <w:marBottom w:val="0"/>
      <w:divBdr>
        <w:top w:val="none" w:sz="0" w:space="0" w:color="auto"/>
        <w:left w:val="none" w:sz="0" w:space="0" w:color="auto"/>
        <w:bottom w:val="none" w:sz="0" w:space="0" w:color="auto"/>
        <w:right w:val="none" w:sz="0" w:space="0" w:color="auto"/>
      </w:divBdr>
      <w:divsChild>
        <w:div w:id="1540245897">
          <w:marLeft w:val="0"/>
          <w:marRight w:val="0"/>
          <w:marTop w:val="0"/>
          <w:marBottom w:val="0"/>
          <w:divBdr>
            <w:top w:val="none" w:sz="0" w:space="0" w:color="auto"/>
            <w:left w:val="none" w:sz="0" w:space="0" w:color="auto"/>
            <w:bottom w:val="none" w:sz="0" w:space="0" w:color="auto"/>
            <w:right w:val="none" w:sz="0" w:space="0" w:color="auto"/>
          </w:divBdr>
          <w:divsChild>
            <w:div w:id="1113859487">
              <w:marLeft w:val="0"/>
              <w:marRight w:val="0"/>
              <w:marTop w:val="0"/>
              <w:marBottom w:val="0"/>
              <w:divBdr>
                <w:top w:val="none" w:sz="0" w:space="0" w:color="auto"/>
                <w:left w:val="none" w:sz="0" w:space="0" w:color="auto"/>
                <w:bottom w:val="none" w:sz="0" w:space="0" w:color="auto"/>
                <w:right w:val="none" w:sz="0" w:space="0" w:color="auto"/>
              </w:divBdr>
              <w:divsChild>
                <w:div w:id="7127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9362">
      <w:bodyDiv w:val="1"/>
      <w:marLeft w:val="0"/>
      <w:marRight w:val="0"/>
      <w:marTop w:val="0"/>
      <w:marBottom w:val="0"/>
      <w:divBdr>
        <w:top w:val="none" w:sz="0" w:space="0" w:color="auto"/>
        <w:left w:val="none" w:sz="0" w:space="0" w:color="auto"/>
        <w:bottom w:val="none" w:sz="0" w:space="0" w:color="auto"/>
        <w:right w:val="none" w:sz="0" w:space="0" w:color="auto"/>
      </w:divBdr>
    </w:div>
    <w:div w:id="810174472">
      <w:bodyDiv w:val="1"/>
      <w:marLeft w:val="0"/>
      <w:marRight w:val="0"/>
      <w:marTop w:val="0"/>
      <w:marBottom w:val="0"/>
      <w:divBdr>
        <w:top w:val="none" w:sz="0" w:space="0" w:color="auto"/>
        <w:left w:val="none" w:sz="0" w:space="0" w:color="auto"/>
        <w:bottom w:val="none" w:sz="0" w:space="0" w:color="auto"/>
        <w:right w:val="none" w:sz="0" w:space="0" w:color="auto"/>
      </w:divBdr>
      <w:divsChild>
        <w:div w:id="1308702008">
          <w:marLeft w:val="0"/>
          <w:marRight w:val="0"/>
          <w:marTop w:val="0"/>
          <w:marBottom w:val="0"/>
          <w:divBdr>
            <w:top w:val="none" w:sz="0" w:space="0" w:color="auto"/>
            <w:left w:val="none" w:sz="0" w:space="0" w:color="auto"/>
            <w:bottom w:val="none" w:sz="0" w:space="0" w:color="auto"/>
            <w:right w:val="none" w:sz="0" w:space="0" w:color="auto"/>
          </w:divBdr>
          <w:divsChild>
            <w:div w:id="454834062">
              <w:marLeft w:val="0"/>
              <w:marRight w:val="0"/>
              <w:marTop w:val="0"/>
              <w:marBottom w:val="0"/>
              <w:divBdr>
                <w:top w:val="none" w:sz="0" w:space="0" w:color="auto"/>
                <w:left w:val="none" w:sz="0" w:space="0" w:color="auto"/>
                <w:bottom w:val="none" w:sz="0" w:space="0" w:color="auto"/>
                <w:right w:val="none" w:sz="0" w:space="0" w:color="auto"/>
              </w:divBdr>
              <w:divsChild>
                <w:div w:id="12949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5107">
      <w:bodyDiv w:val="1"/>
      <w:marLeft w:val="0"/>
      <w:marRight w:val="0"/>
      <w:marTop w:val="0"/>
      <w:marBottom w:val="0"/>
      <w:divBdr>
        <w:top w:val="none" w:sz="0" w:space="0" w:color="auto"/>
        <w:left w:val="none" w:sz="0" w:space="0" w:color="auto"/>
        <w:bottom w:val="none" w:sz="0" w:space="0" w:color="auto"/>
        <w:right w:val="none" w:sz="0" w:space="0" w:color="auto"/>
      </w:divBdr>
      <w:divsChild>
        <w:div w:id="363213385">
          <w:marLeft w:val="0"/>
          <w:marRight w:val="0"/>
          <w:marTop w:val="0"/>
          <w:marBottom w:val="0"/>
          <w:divBdr>
            <w:top w:val="none" w:sz="0" w:space="0" w:color="auto"/>
            <w:left w:val="none" w:sz="0" w:space="0" w:color="auto"/>
            <w:bottom w:val="none" w:sz="0" w:space="0" w:color="auto"/>
            <w:right w:val="none" w:sz="0" w:space="0" w:color="auto"/>
          </w:divBdr>
          <w:divsChild>
            <w:div w:id="1037392576">
              <w:marLeft w:val="0"/>
              <w:marRight w:val="0"/>
              <w:marTop w:val="0"/>
              <w:marBottom w:val="0"/>
              <w:divBdr>
                <w:top w:val="none" w:sz="0" w:space="0" w:color="auto"/>
                <w:left w:val="none" w:sz="0" w:space="0" w:color="auto"/>
                <w:bottom w:val="none" w:sz="0" w:space="0" w:color="auto"/>
                <w:right w:val="none" w:sz="0" w:space="0" w:color="auto"/>
              </w:divBdr>
              <w:divsChild>
                <w:div w:id="13267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2091">
      <w:bodyDiv w:val="1"/>
      <w:marLeft w:val="0"/>
      <w:marRight w:val="0"/>
      <w:marTop w:val="0"/>
      <w:marBottom w:val="0"/>
      <w:divBdr>
        <w:top w:val="none" w:sz="0" w:space="0" w:color="auto"/>
        <w:left w:val="none" w:sz="0" w:space="0" w:color="auto"/>
        <w:bottom w:val="none" w:sz="0" w:space="0" w:color="auto"/>
        <w:right w:val="none" w:sz="0" w:space="0" w:color="auto"/>
      </w:divBdr>
    </w:div>
    <w:div w:id="831066539">
      <w:bodyDiv w:val="1"/>
      <w:marLeft w:val="0"/>
      <w:marRight w:val="0"/>
      <w:marTop w:val="0"/>
      <w:marBottom w:val="0"/>
      <w:divBdr>
        <w:top w:val="none" w:sz="0" w:space="0" w:color="auto"/>
        <w:left w:val="none" w:sz="0" w:space="0" w:color="auto"/>
        <w:bottom w:val="none" w:sz="0" w:space="0" w:color="auto"/>
        <w:right w:val="none" w:sz="0" w:space="0" w:color="auto"/>
      </w:divBdr>
      <w:divsChild>
        <w:div w:id="1836532885">
          <w:marLeft w:val="0"/>
          <w:marRight w:val="0"/>
          <w:marTop w:val="0"/>
          <w:marBottom w:val="0"/>
          <w:divBdr>
            <w:top w:val="none" w:sz="0" w:space="0" w:color="auto"/>
            <w:left w:val="none" w:sz="0" w:space="0" w:color="auto"/>
            <w:bottom w:val="none" w:sz="0" w:space="0" w:color="auto"/>
            <w:right w:val="none" w:sz="0" w:space="0" w:color="auto"/>
          </w:divBdr>
          <w:divsChild>
            <w:div w:id="342557742">
              <w:marLeft w:val="0"/>
              <w:marRight w:val="0"/>
              <w:marTop w:val="0"/>
              <w:marBottom w:val="0"/>
              <w:divBdr>
                <w:top w:val="none" w:sz="0" w:space="0" w:color="auto"/>
                <w:left w:val="none" w:sz="0" w:space="0" w:color="auto"/>
                <w:bottom w:val="none" w:sz="0" w:space="0" w:color="auto"/>
                <w:right w:val="none" w:sz="0" w:space="0" w:color="auto"/>
              </w:divBdr>
              <w:divsChild>
                <w:div w:id="1379623663">
                  <w:marLeft w:val="0"/>
                  <w:marRight w:val="0"/>
                  <w:marTop w:val="0"/>
                  <w:marBottom w:val="0"/>
                  <w:divBdr>
                    <w:top w:val="none" w:sz="0" w:space="0" w:color="auto"/>
                    <w:left w:val="none" w:sz="0" w:space="0" w:color="auto"/>
                    <w:bottom w:val="none" w:sz="0" w:space="0" w:color="auto"/>
                    <w:right w:val="none" w:sz="0" w:space="0" w:color="auto"/>
                  </w:divBdr>
                  <w:divsChild>
                    <w:div w:id="15507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8822">
      <w:bodyDiv w:val="1"/>
      <w:marLeft w:val="0"/>
      <w:marRight w:val="0"/>
      <w:marTop w:val="0"/>
      <w:marBottom w:val="0"/>
      <w:divBdr>
        <w:top w:val="none" w:sz="0" w:space="0" w:color="auto"/>
        <w:left w:val="none" w:sz="0" w:space="0" w:color="auto"/>
        <w:bottom w:val="none" w:sz="0" w:space="0" w:color="auto"/>
        <w:right w:val="none" w:sz="0" w:space="0" w:color="auto"/>
      </w:divBdr>
      <w:divsChild>
        <w:div w:id="924845388">
          <w:marLeft w:val="0"/>
          <w:marRight w:val="0"/>
          <w:marTop w:val="0"/>
          <w:marBottom w:val="0"/>
          <w:divBdr>
            <w:top w:val="none" w:sz="0" w:space="0" w:color="auto"/>
            <w:left w:val="none" w:sz="0" w:space="0" w:color="auto"/>
            <w:bottom w:val="none" w:sz="0" w:space="0" w:color="auto"/>
            <w:right w:val="none" w:sz="0" w:space="0" w:color="auto"/>
          </w:divBdr>
          <w:divsChild>
            <w:div w:id="2003508598">
              <w:marLeft w:val="0"/>
              <w:marRight w:val="0"/>
              <w:marTop w:val="0"/>
              <w:marBottom w:val="0"/>
              <w:divBdr>
                <w:top w:val="none" w:sz="0" w:space="0" w:color="auto"/>
                <w:left w:val="none" w:sz="0" w:space="0" w:color="auto"/>
                <w:bottom w:val="none" w:sz="0" w:space="0" w:color="auto"/>
                <w:right w:val="none" w:sz="0" w:space="0" w:color="auto"/>
              </w:divBdr>
              <w:divsChild>
                <w:div w:id="1032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5493">
      <w:bodyDiv w:val="1"/>
      <w:marLeft w:val="0"/>
      <w:marRight w:val="0"/>
      <w:marTop w:val="0"/>
      <w:marBottom w:val="0"/>
      <w:divBdr>
        <w:top w:val="none" w:sz="0" w:space="0" w:color="auto"/>
        <w:left w:val="none" w:sz="0" w:space="0" w:color="auto"/>
        <w:bottom w:val="none" w:sz="0" w:space="0" w:color="auto"/>
        <w:right w:val="none" w:sz="0" w:space="0" w:color="auto"/>
      </w:divBdr>
    </w:div>
    <w:div w:id="856963688">
      <w:bodyDiv w:val="1"/>
      <w:marLeft w:val="0"/>
      <w:marRight w:val="0"/>
      <w:marTop w:val="0"/>
      <w:marBottom w:val="0"/>
      <w:divBdr>
        <w:top w:val="none" w:sz="0" w:space="0" w:color="auto"/>
        <w:left w:val="none" w:sz="0" w:space="0" w:color="auto"/>
        <w:bottom w:val="none" w:sz="0" w:space="0" w:color="auto"/>
        <w:right w:val="none" w:sz="0" w:space="0" w:color="auto"/>
      </w:divBdr>
    </w:div>
    <w:div w:id="861237456">
      <w:bodyDiv w:val="1"/>
      <w:marLeft w:val="0"/>
      <w:marRight w:val="0"/>
      <w:marTop w:val="0"/>
      <w:marBottom w:val="0"/>
      <w:divBdr>
        <w:top w:val="none" w:sz="0" w:space="0" w:color="auto"/>
        <w:left w:val="none" w:sz="0" w:space="0" w:color="auto"/>
        <w:bottom w:val="none" w:sz="0" w:space="0" w:color="auto"/>
        <w:right w:val="none" w:sz="0" w:space="0" w:color="auto"/>
      </w:divBdr>
      <w:divsChild>
        <w:div w:id="1125393565">
          <w:marLeft w:val="0"/>
          <w:marRight w:val="0"/>
          <w:marTop w:val="0"/>
          <w:marBottom w:val="0"/>
          <w:divBdr>
            <w:top w:val="none" w:sz="0" w:space="0" w:color="auto"/>
            <w:left w:val="none" w:sz="0" w:space="0" w:color="auto"/>
            <w:bottom w:val="none" w:sz="0" w:space="0" w:color="auto"/>
            <w:right w:val="none" w:sz="0" w:space="0" w:color="auto"/>
          </w:divBdr>
          <w:divsChild>
            <w:div w:id="993215471">
              <w:marLeft w:val="0"/>
              <w:marRight w:val="0"/>
              <w:marTop w:val="0"/>
              <w:marBottom w:val="0"/>
              <w:divBdr>
                <w:top w:val="none" w:sz="0" w:space="0" w:color="auto"/>
                <w:left w:val="none" w:sz="0" w:space="0" w:color="auto"/>
                <w:bottom w:val="none" w:sz="0" w:space="0" w:color="auto"/>
                <w:right w:val="none" w:sz="0" w:space="0" w:color="auto"/>
              </w:divBdr>
              <w:divsChild>
                <w:div w:id="1074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1333">
      <w:bodyDiv w:val="1"/>
      <w:marLeft w:val="0"/>
      <w:marRight w:val="0"/>
      <w:marTop w:val="0"/>
      <w:marBottom w:val="0"/>
      <w:divBdr>
        <w:top w:val="none" w:sz="0" w:space="0" w:color="auto"/>
        <w:left w:val="none" w:sz="0" w:space="0" w:color="auto"/>
        <w:bottom w:val="none" w:sz="0" w:space="0" w:color="auto"/>
        <w:right w:val="none" w:sz="0" w:space="0" w:color="auto"/>
      </w:divBdr>
      <w:divsChild>
        <w:div w:id="1272543388">
          <w:marLeft w:val="0"/>
          <w:marRight w:val="0"/>
          <w:marTop w:val="0"/>
          <w:marBottom w:val="0"/>
          <w:divBdr>
            <w:top w:val="none" w:sz="0" w:space="0" w:color="auto"/>
            <w:left w:val="none" w:sz="0" w:space="0" w:color="auto"/>
            <w:bottom w:val="none" w:sz="0" w:space="0" w:color="auto"/>
            <w:right w:val="none" w:sz="0" w:space="0" w:color="auto"/>
          </w:divBdr>
          <w:divsChild>
            <w:div w:id="1417360580">
              <w:marLeft w:val="0"/>
              <w:marRight w:val="0"/>
              <w:marTop w:val="0"/>
              <w:marBottom w:val="0"/>
              <w:divBdr>
                <w:top w:val="none" w:sz="0" w:space="0" w:color="auto"/>
                <w:left w:val="none" w:sz="0" w:space="0" w:color="auto"/>
                <w:bottom w:val="none" w:sz="0" w:space="0" w:color="auto"/>
                <w:right w:val="none" w:sz="0" w:space="0" w:color="auto"/>
              </w:divBdr>
              <w:divsChild>
                <w:div w:id="1319457913">
                  <w:marLeft w:val="0"/>
                  <w:marRight w:val="0"/>
                  <w:marTop w:val="0"/>
                  <w:marBottom w:val="0"/>
                  <w:divBdr>
                    <w:top w:val="none" w:sz="0" w:space="0" w:color="auto"/>
                    <w:left w:val="none" w:sz="0" w:space="0" w:color="auto"/>
                    <w:bottom w:val="none" w:sz="0" w:space="0" w:color="auto"/>
                    <w:right w:val="none" w:sz="0" w:space="0" w:color="auto"/>
                  </w:divBdr>
                  <w:divsChild>
                    <w:div w:id="14194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3101">
      <w:bodyDiv w:val="1"/>
      <w:marLeft w:val="0"/>
      <w:marRight w:val="0"/>
      <w:marTop w:val="0"/>
      <w:marBottom w:val="0"/>
      <w:divBdr>
        <w:top w:val="none" w:sz="0" w:space="0" w:color="auto"/>
        <w:left w:val="none" w:sz="0" w:space="0" w:color="auto"/>
        <w:bottom w:val="none" w:sz="0" w:space="0" w:color="auto"/>
        <w:right w:val="none" w:sz="0" w:space="0" w:color="auto"/>
      </w:divBdr>
      <w:divsChild>
        <w:div w:id="1436171149">
          <w:marLeft w:val="0"/>
          <w:marRight w:val="0"/>
          <w:marTop w:val="0"/>
          <w:marBottom w:val="0"/>
          <w:divBdr>
            <w:top w:val="none" w:sz="0" w:space="0" w:color="auto"/>
            <w:left w:val="none" w:sz="0" w:space="0" w:color="auto"/>
            <w:bottom w:val="none" w:sz="0" w:space="0" w:color="auto"/>
            <w:right w:val="none" w:sz="0" w:space="0" w:color="auto"/>
          </w:divBdr>
          <w:divsChild>
            <w:div w:id="1070494483">
              <w:marLeft w:val="0"/>
              <w:marRight w:val="0"/>
              <w:marTop w:val="0"/>
              <w:marBottom w:val="0"/>
              <w:divBdr>
                <w:top w:val="none" w:sz="0" w:space="0" w:color="auto"/>
                <w:left w:val="none" w:sz="0" w:space="0" w:color="auto"/>
                <w:bottom w:val="none" w:sz="0" w:space="0" w:color="auto"/>
                <w:right w:val="none" w:sz="0" w:space="0" w:color="auto"/>
              </w:divBdr>
              <w:divsChild>
                <w:div w:id="16960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3114">
      <w:bodyDiv w:val="1"/>
      <w:marLeft w:val="0"/>
      <w:marRight w:val="0"/>
      <w:marTop w:val="0"/>
      <w:marBottom w:val="0"/>
      <w:divBdr>
        <w:top w:val="none" w:sz="0" w:space="0" w:color="auto"/>
        <w:left w:val="none" w:sz="0" w:space="0" w:color="auto"/>
        <w:bottom w:val="none" w:sz="0" w:space="0" w:color="auto"/>
        <w:right w:val="none" w:sz="0" w:space="0" w:color="auto"/>
      </w:divBdr>
      <w:divsChild>
        <w:div w:id="195430562">
          <w:marLeft w:val="0"/>
          <w:marRight w:val="0"/>
          <w:marTop w:val="0"/>
          <w:marBottom w:val="0"/>
          <w:divBdr>
            <w:top w:val="none" w:sz="0" w:space="0" w:color="auto"/>
            <w:left w:val="none" w:sz="0" w:space="0" w:color="auto"/>
            <w:bottom w:val="none" w:sz="0" w:space="0" w:color="auto"/>
            <w:right w:val="none" w:sz="0" w:space="0" w:color="auto"/>
          </w:divBdr>
          <w:divsChild>
            <w:div w:id="1249852153">
              <w:marLeft w:val="0"/>
              <w:marRight w:val="0"/>
              <w:marTop w:val="0"/>
              <w:marBottom w:val="0"/>
              <w:divBdr>
                <w:top w:val="none" w:sz="0" w:space="0" w:color="auto"/>
                <w:left w:val="none" w:sz="0" w:space="0" w:color="auto"/>
                <w:bottom w:val="none" w:sz="0" w:space="0" w:color="auto"/>
                <w:right w:val="none" w:sz="0" w:space="0" w:color="auto"/>
              </w:divBdr>
              <w:divsChild>
                <w:div w:id="762066908">
                  <w:marLeft w:val="0"/>
                  <w:marRight w:val="0"/>
                  <w:marTop w:val="0"/>
                  <w:marBottom w:val="0"/>
                  <w:divBdr>
                    <w:top w:val="none" w:sz="0" w:space="0" w:color="auto"/>
                    <w:left w:val="none" w:sz="0" w:space="0" w:color="auto"/>
                    <w:bottom w:val="none" w:sz="0" w:space="0" w:color="auto"/>
                    <w:right w:val="none" w:sz="0" w:space="0" w:color="auto"/>
                  </w:divBdr>
                  <w:divsChild>
                    <w:div w:id="1648127792">
                      <w:marLeft w:val="0"/>
                      <w:marRight w:val="0"/>
                      <w:marTop w:val="0"/>
                      <w:marBottom w:val="0"/>
                      <w:divBdr>
                        <w:top w:val="none" w:sz="0" w:space="0" w:color="auto"/>
                        <w:left w:val="none" w:sz="0" w:space="0" w:color="auto"/>
                        <w:bottom w:val="none" w:sz="0" w:space="0" w:color="auto"/>
                        <w:right w:val="none" w:sz="0" w:space="0" w:color="auto"/>
                      </w:divBdr>
                    </w:div>
                  </w:divsChild>
                </w:div>
                <w:div w:id="205722802">
                  <w:marLeft w:val="0"/>
                  <w:marRight w:val="0"/>
                  <w:marTop w:val="0"/>
                  <w:marBottom w:val="0"/>
                  <w:divBdr>
                    <w:top w:val="none" w:sz="0" w:space="0" w:color="auto"/>
                    <w:left w:val="none" w:sz="0" w:space="0" w:color="auto"/>
                    <w:bottom w:val="none" w:sz="0" w:space="0" w:color="auto"/>
                    <w:right w:val="none" w:sz="0" w:space="0" w:color="auto"/>
                  </w:divBdr>
                  <w:divsChild>
                    <w:div w:id="33315743">
                      <w:marLeft w:val="0"/>
                      <w:marRight w:val="0"/>
                      <w:marTop w:val="0"/>
                      <w:marBottom w:val="0"/>
                      <w:divBdr>
                        <w:top w:val="none" w:sz="0" w:space="0" w:color="auto"/>
                        <w:left w:val="none" w:sz="0" w:space="0" w:color="auto"/>
                        <w:bottom w:val="none" w:sz="0" w:space="0" w:color="auto"/>
                        <w:right w:val="none" w:sz="0" w:space="0" w:color="auto"/>
                      </w:divBdr>
                    </w:div>
                  </w:divsChild>
                </w:div>
                <w:div w:id="786696756">
                  <w:marLeft w:val="0"/>
                  <w:marRight w:val="0"/>
                  <w:marTop w:val="0"/>
                  <w:marBottom w:val="0"/>
                  <w:divBdr>
                    <w:top w:val="none" w:sz="0" w:space="0" w:color="auto"/>
                    <w:left w:val="none" w:sz="0" w:space="0" w:color="auto"/>
                    <w:bottom w:val="none" w:sz="0" w:space="0" w:color="auto"/>
                    <w:right w:val="none" w:sz="0" w:space="0" w:color="auto"/>
                  </w:divBdr>
                  <w:divsChild>
                    <w:div w:id="335961984">
                      <w:marLeft w:val="0"/>
                      <w:marRight w:val="0"/>
                      <w:marTop w:val="0"/>
                      <w:marBottom w:val="0"/>
                      <w:divBdr>
                        <w:top w:val="none" w:sz="0" w:space="0" w:color="auto"/>
                        <w:left w:val="none" w:sz="0" w:space="0" w:color="auto"/>
                        <w:bottom w:val="none" w:sz="0" w:space="0" w:color="auto"/>
                        <w:right w:val="none" w:sz="0" w:space="0" w:color="auto"/>
                      </w:divBdr>
                      <w:divsChild>
                        <w:div w:id="1701198891">
                          <w:marLeft w:val="0"/>
                          <w:marRight w:val="0"/>
                          <w:marTop w:val="0"/>
                          <w:marBottom w:val="0"/>
                          <w:divBdr>
                            <w:top w:val="none" w:sz="0" w:space="0" w:color="auto"/>
                            <w:left w:val="none" w:sz="0" w:space="0" w:color="auto"/>
                            <w:bottom w:val="none" w:sz="0" w:space="0" w:color="auto"/>
                            <w:right w:val="none" w:sz="0" w:space="0" w:color="auto"/>
                          </w:divBdr>
                          <w:divsChild>
                            <w:div w:id="1862937939">
                              <w:marLeft w:val="0"/>
                              <w:marRight w:val="0"/>
                              <w:marTop w:val="0"/>
                              <w:marBottom w:val="0"/>
                              <w:divBdr>
                                <w:top w:val="none" w:sz="0" w:space="0" w:color="auto"/>
                                <w:left w:val="none" w:sz="0" w:space="0" w:color="auto"/>
                                <w:bottom w:val="none" w:sz="0" w:space="0" w:color="auto"/>
                                <w:right w:val="none" w:sz="0" w:space="0" w:color="auto"/>
                              </w:divBdr>
                            </w:div>
                          </w:divsChild>
                        </w:div>
                        <w:div w:id="989020512">
                          <w:marLeft w:val="0"/>
                          <w:marRight w:val="0"/>
                          <w:marTop w:val="0"/>
                          <w:marBottom w:val="0"/>
                          <w:divBdr>
                            <w:top w:val="none" w:sz="0" w:space="0" w:color="auto"/>
                            <w:left w:val="none" w:sz="0" w:space="0" w:color="auto"/>
                            <w:bottom w:val="none" w:sz="0" w:space="0" w:color="auto"/>
                            <w:right w:val="none" w:sz="0" w:space="0" w:color="auto"/>
                          </w:divBdr>
                          <w:divsChild>
                            <w:div w:id="19690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3055">
                      <w:marLeft w:val="0"/>
                      <w:marRight w:val="0"/>
                      <w:marTop w:val="0"/>
                      <w:marBottom w:val="0"/>
                      <w:divBdr>
                        <w:top w:val="none" w:sz="0" w:space="0" w:color="auto"/>
                        <w:left w:val="none" w:sz="0" w:space="0" w:color="auto"/>
                        <w:bottom w:val="none" w:sz="0" w:space="0" w:color="auto"/>
                        <w:right w:val="none" w:sz="0" w:space="0" w:color="auto"/>
                      </w:divBdr>
                      <w:divsChild>
                        <w:div w:id="937829621">
                          <w:marLeft w:val="0"/>
                          <w:marRight w:val="0"/>
                          <w:marTop w:val="0"/>
                          <w:marBottom w:val="0"/>
                          <w:divBdr>
                            <w:top w:val="none" w:sz="0" w:space="0" w:color="auto"/>
                            <w:left w:val="none" w:sz="0" w:space="0" w:color="auto"/>
                            <w:bottom w:val="none" w:sz="0" w:space="0" w:color="auto"/>
                            <w:right w:val="none" w:sz="0" w:space="0" w:color="auto"/>
                          </w:divBdr>
                          <w:divsChild>
                            <w:div w:id="9633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8199">
                      <w:marLeft w:val="0"/>
                      <w:marRight w:val="0"/>
                      <w:marTop w:val="0"/>
                      <w:marBottom w:val="0"/>
                      <w:divBdr>
                        <w:top w:val="none" w:sz="0" w:space="0" w:color="auto"/>
                        <w:left w:val="none" w:sz="0" w:space="0" w:color="auto"/>
                        <w:bottom w:val="none" w:sz="0" w:space="0" w:color="auto"/>
                        <w:right w:val="none" w:sz="0" w:space="0" w:color="auto"/>
                      </w:divBdr>
                      <w:divsChild>
                        <w:div w:id="745492865">
                          <w:marLeft w:val="0"/>
                          <w:marRight w:val="0"/>
                          <w:marTop w:val="0"/>
                          <w:marBottom w:val="0"/>
                          <w:divBdr>
                            <w:top w:val="none" w:sz="0" w:space="0" w:color="auto"/>
                            <w:left w:val="none" w:sz="0" w:space="0" w:color="auto"/>
                            <w:bottom w:val="none" w:sz="0" w:space="0" w:color="auto"/>
                            <w:right w:val="none" w:sz="0" w:space="0" w:color="auto"/>
                          </w:divBdr>
                          <w:divsChild>
                            <w:div w:id="17285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4612">
                  <w:marLeft w:val="0"/>
                  <w:marRight w:val="0"/>
                  <w:marTop w:val="0"/>
                  <w:marBottom w:val="0"/>
                  <w:divBdr>
                    <w:top w:val="none" w:sz="0" w:space="0" w:color="auto"/>
                    <w:left w:val="none" w:sz="0" w:space="0" w:color="auto"/>
                    <w:bottom w:val="none" w:sz="0" w:space="0" w:color="auto"/>
                    <w:right w:val="none" w:sz="0" w:space="0" w:color="auto"/>
                  </w:divBdr>
                  <w:divsChild>
                    <w:div w:id="1796748971">
                      <w:marLeft w:val="0"/>
                      <w:marRight w:val="0"/>
                      <w:marTop w:val="0"/>
                      <w:marBottom w:val="0"/>
                      <w:divBdr>
                        <w:top w:val="none" w:sz="0" w:space="0" w:color="auto"/>
                        <w:left w:val="none" w:sz="0" w:space="0" w:color="auto"/>
                        <w:bottom w:val="none" w:sz="0" w:space="0" w:color="auto"/>
                        <w:right w:val="none" w:sz="0" w:space="0" w:color="auto"/>
                      </w:divBdr>
                    </w:div>
                  </w:divsChild>
                </w:div>
                <w:div w:id="1941255958">
                  <w:marLeft w:val="0"/>
                  <w:marRight w:val="0"/>
                  <w:marTop w:val="0"/>
                  <w:marBottom w:val="0"/>
                  <w:divBdr>
                    <w:top w:val="none" w:sz="0" w:space="0" w:color="auto"/>
                    <w:left w:val="none" w:sz="0" w:space="0" w:color="auto"/>
                    <w:bottom w:val="none" w:sz="0" w:space="0" w:color="auto"/>
                    <w:right w:val="none" w:sz="0" w:space="0" w:color="auto"/>
                  </w:divBdr>
                  <w:divsChild>
                    <w:div w:id="1195070997">
                      <w:marLeft w:val="0"/>
                      <w:marRight w:val="0"/>
                      <w:marTop w:val="0"/>
                      <w:marBottom w:val="0"/>
                      <w:divBdr>
                        <w:top w:val="none" w:sz="0" w:space="0" w:color="auto"/>
                        <w:left w:val="none" w:sz="0" w:space="0" w:color="auto"/>
                        <w:bottom w:val="none" w:sz="0" w:space="0" w:color="auto"/>
                        <w:right w:val="none" w:sz="0" w:space="0" w:color="auto"/>
                      </w:divBdr>
                    </w:div>
                  </w:divsChild>
                </w:div>
                <w:div w:id="788664965">
                  <w:marLeft w:val="0"/>
                  <w:marRight w:val="0"/>
                  <w:marTop w:val="0"/>
                  <w:marBottom w:val="0"/>
                  <w:divBdr>
                    <w:top w:val="none" w:sz="0" w:space="0" w:color="auto"/>
                    <w:left w:val="none" w:sz="0" w:space="0" w:color="auto"/>
                    <w:bottom w:val="none" w:sz="0" w:space="0" w:color="auto"/>
                    <w:right w:val="none" w:sz="0" w:space="0" w:color="auto"/>
                  </w:divBdr>
                  <w:divsChild>
                    <w:div w:id="1346596219">
                      <w:marLeft w:val="0"/>
                      <w:marRight w:val="0"/>
                      <w:marTop w:val="0"/>
                      <w:marBottom w:val="0"/>
                      <w:divBdr>
                        <w:top w:val="none" w:sz="0" w:space="0" w:color="auto"/>
                        <w:left w:val="none" w:sz="0" w:space="0" w:color="auto"/>
                        <w:bottom w:val="none" w:sz="0" w:space="0" w:color="auto"/>
                        <w:right w:val="none" w:sz="0" w:space="0" w:color="auto"/>
                      </w:divBdr>
                    </w:div>
                  </w:divsChild>
                </w:div>
                <w:div w:id="425351283">
                  <w:marLeft w:val="0"/>
                  <w:marRight w:val="0"/>
                  <w:marTop w:val="0"/>
                  <w:marBottom w:val="0"/>
                  <w:divBdr>
                    <w:top w:val="none" w:sz="0" w:space="0" w:color="auto"/>
                    <w:left w:val="none" w:sz="0" w:space="0" w:color="auto"/>
                    <w:bottom w:val="none" w:sz="0" w:space="0" w:color="auto"/>
                    <w:right w:val="none" w:sz="0" w:space="0" w:color="auto"/>
                  </w:divBdr>
                  <w:divsChild>
                    <w:div w:id="1432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5388">
      <w:bodyDiv w:val="1"/>
      <w:marLeft w:val="0"/>
      <w:marRight w:val="0"/>
      <w:marTop w:val="0"/>
      <w:marBottom w:val="0"/>
      <w:divBdr>
        <w:top w:val="none" w:sz="0" w:space="0" w:color="auto"/>
        <w:left w:val="none" w:sz="0" w:space="0" w:color="auto"/>
        <w:bottom w:val="none" w:sz="0" w:space="0" w:color="auto"/>
        <w:right w:val="none" w:sz="0" w:space="0" w:color="auto"/>
      </w:divBdr>
      <w:divsChild>
        <w:div w:id="201133218">
          <w:marLeft w:val="0"/>
          <w:marRight w:val="0"/>
          <w:marTop w:val="0"/>
          <w:marBottom w:val="0"/>
          <w:divBdr>
            <w:top w:val="none" w:sz="0" w:space="0" w:color="auto"/>
            <w:left w:val="none" w:sz="0" w:space="0" w:color="auto"/>
            <w:bottom w:val="none" w:sz="0" w:space="0" w:color="auto"/>
            <w:right w:val="none" w:sz="0" w:space="0" w:color="auto"/>
          </w:divBdr>
          <w:divsChild>
            <w:div w:id="858277119">
              <w:marLeft w:val="0"/>
              <w:marRight w:val="0"/>
              <w:marTop w:val="0"/>
              <w:marBottom w:val="0"/>
              <w:divBdr>
                <w:top w:val="none" w:sz="0" w:space="0" w:color="auto"/>
                <w:left w:val="none" w:sz="0" w:space="0" w:color="auto"/>
                <w:bottom w:val="none" w:sz="0" w:space="0" w:color="auto"/>
                <w:right w:val="none" w:sz="0" w:space="0" w:color="auto"/>
              </w:divBdr>
              <w:divsChild>
                <w:div w:id="644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58319">
      <w:bodyDiv w:val="1"/>
      <w:marLeft w:val="0"/>
      <w:marRight w:val="0"/>
      <w:marTop w:val="0"/>
      <w:marBottom w:val="0"/>
      <w:divBdr>
        <w:top w:val="none" w:sz="0" w:space="0" w:color="auto"/>
        <w:left w:val="none" w:sz="0" w:space="0" w:color="auto"/>
        <w:bottom w:val="none" w:sz="0" w:space="0" w:color="auto"/>
        <w:right w:val="none" w:sz="0" w:space="0" w:color="auto"/>
      </w:divBdr>
    </w:div>
    <w:div w:id="1041710228">
      <w:bodyDiv w:val="1"/>
      <w:marLeft w:val="0"/>
      <w:marRight w:val="0"/>
      <w:marTop w:val="0"/>
      <w:marBottom w:val="0"/>
      <w:divBdr>
        <w:top w:val="none" w:sz="0" w:space="0" w:color="auto"/>
        <w:left w:val="none" w:sz="0" w:space="0" w:color="auto"/>
        <w:bottom w:val="none" w:sz="0" w:space="0" w:color="auto"/>
        <w:right w:val="none" w:sz="0" w:space="0" w:color="auto"/>
      </w:divBdr>
    </w:div>
    <w:div w:id="1047028709">
      <w:bodyDiv w:val="1"/>
      <w:marLeft w:val="0"/>
      <w:marRight w:val="0"/>
      <w:marTop w:val="0"/>
      <w:marBottom w:val="0"/>
      <w:divBdr>
        <w:top w:val="none" w:sz="0" w:space="0" w:color="auto"/>
        <w:left w:val="none" w:sz="0" w:space="0" w:color="auto"/>
        <w:bottom w:val="none" w:sz="0" w:space="0" w:color="auto"/>
        <w:right w:val="none" w:sz="0" w:space="0" w:color="auto"/>
      </w:divBdr>
    </w:div>
    <w:div w:id="1081175027">
      <w:bodyDiv w:val="1"/>
      <w:marLeft w:val="0"/>
      <w:marRight w:val="0"/>
      <w:marTop w:val="0"/>
      <w:marBottom w:val="0"/>
      <w:divBdr>
        <w:top w:val="none" w:sz="0" w:space="0" w:color="auto"/>
        <w:left w:val="none" w:sz="0" w:space="0" w:color="auto"/>
        <w:bottom w:val="none" w:sz="0" w:space="0" w:color="auto"/>
        <w:right w:val="none" w:sz="0" w:space="0" w:color="auto"/>
      </w:divBdr>
      <w:divsChild>
        <w:div w:id="1847018526">
          <w:marLeft w:val="0"/>
          <w:marRight w:val="0"/>
          <w:marTop w:val="0"/>
          <w:marBottom w:val="0"/>
          <w:divBdr>
            <w:top w:val="none" w:sz="0" w:space="0" w:color="auto"/>
            <w:left w:val="none" w:sz="0" w:space="0" w:color="auto"/>
            <w:bottom w:val="none" w:sz="0" w:space="0" w:color="auto"/>
            <w:right w:val="none" w:sz="0" w:space="0" w:color="auto"/>
          </w:divBdr>
          <w:divsChild>
            <w:div w:id="1326395198">
              <w:marLeft w:val="0"/>
              <w:marRight w:val="0"/>
              <w:marTop w:val="0"/>
              <w:marBottom w:val="0"/>
              <w:divBdr>
                <w:top w:val="none" w:sz="0" w:space="0" w:color="auto"/>
                <w:left w:val="none" w:sz="0" w:space="0" w:color="auto"/>
                <w:bottom w:val="none" w:sz="0" w:space="0" w:color="auto"/>
                <w:right w:val="none" w:sz="0" w:space="0" w:color="auto"/>
              </w:divBdr>
              <w:divsChild>
                <w:div w:id="17329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8804">
      <w:bodyDiv w:val="1"/>
      <w:marLeft w:val="0"/>
      <w:marRight w:val="0"/>
      <w:marTop w:val="0"/>
      <w:marBottom w:val="0"/>
      <w:divBdr>
        <w:top w:val="none" w:sz="0" w:space="0" w:color="auto"/>
        <w:left w:val="none" w:sz="0" w:space="0" w:color="auto"/>
        <w:bottom w:val="none" w:sz="0" w:space="0" w:color="auto"/>
        <w:right w:val="none" w:sz="0" w:space="0" w:color="auto"/>
      </w:divBdr>
    </w:div>
    <w:div w:id="1101755824">
      <w:bodyDiv w:val="1"/>
      <w:marLeft w:val="0"/>
      <w:marRight w:val="0"/>
      <w:marTop w:val="0"/>
      <w:marBottom w:val="0"/>
      <w:divBdr>
        <w:top w:val="none" w:sz="0" w:space="0" w:color="auto"/>
        <w:left w:val="none" w:sz="0" w:space="0" w:color="auto"/>
        <w:bottom w:val="none" w:sz="0" w:space="0" w:color="auto"/>
        <w:right w:val="none" w:sz="0" w:space="0" w:color="auto"/>
      </w:divBdr>
    </w:div>
    <w:div w:id="1102143355">
      <w:bodyDiv w:val="1"/>
      <w:marLeft w:val="0"/>
      <w:marRight w:val="0"/>
      <w:marTop w:val="0"/>
      <w:marBottom w:val="0"/>
      <w:divBdr>
        <w:top w:val="none" w:sz="0" w:space="0" w:color="auto"/>
        <w:left w:val="none" w:sz="0" w:space="0" w:color="auto"/>
        <w:bottom w:val="none" w:sz="0" w:space="0" w:color="auto"/>
        <w:right w:val="none" w:sz="0" w:space="0" w:color="auto"/>
      </w:divBdr>
      <w:divsChild>
        <w:div w:id="747923014">
          <w:marLeft w:val="0"/>
          <w:marRight w:val="0"/>
          <w:marTop w:val="0"/>
          <w:marBottom w:val="0"/>
          <w:divBdr>
            <w:top w:val="none" w:sz="0" w:space="0" w:color="auto"/>
            <w:left w:val="none" w:sz="0" w:space="0" w:color="auto"/>
            <w:bottom w:val="none" w:sz="0" w:space="0" w:color="auto"/>
            <w:right w:val="none" w:sz="0" w:space="0" w:color="auto"/>
          </w:divBdr>
          <w:divsChild>
            <w:div w:id="1535729919">
              <w:marLeft w:val="0"/>
              <w:marRight w:val="0"/>
              <w:marTop w:val="0"/>
              <w:marBottom w:val="0"/>
              <w:divBdr>
                <w:top w:val="none" w:sz="0" w:space="0" w:color="auto"/>
                <w:left w:val="none" w:sz="0" w:space="0" w:color="auto"/>
                <w:bottom w:val="none" w:sz="0" w:space="0" w:color="auto"/>
                <w:right w:val="none" w:sz="0" w:space="0" w:color="auto"/>
              </w:divBdr>
              <w:divsChild>
                <w:div w:id="4630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9135">
      <w:bodyDiv w:val="1"/>
      <w:marLeft w:val="0"/>
      <w:marRight w:val="0"/>
      <w:marTop w:val="0"/>
      <w:marBottom w:val="0"/>
      <w:divBdr>
        <w:top w:val="none" w:sz="0" w:space="0" w:color="auto"/>
        <w:left w:val="none" w:sz="0" w:space="0" w:color="auto"/>
        <w:bottom w:val="none" w:sz="0" w:space="0" w:color="auto"/>
        <w:right w:val="none" w:sz="0" w:space="0" w:color="auto"/>
      </w:divBdr>
      <w:divsChild>
        <w:div w:id="1387293925">
          <w:marLeft w:val="0"/>
          <w:marRight w:val="0"/>
          <w:marTop w:val="0"/>
          <w:marBottom w:val="0"/>
          <w:divBdr>
            <w:top w:val="none" w:sz="0" w:space="0" w:color="auto"/>
            <w:left w:val="none" w:sz="0" w:space="0" w:color="auto"/>
            <w:bottom w:val="none" w:sz="0" w:space="0" w:color="auto"/>
            <w:right w:val="none" w:sz="0" w:space="0" w:color="auto"/>
          </w:divBdr>
          <w:divsChild>
            <w:div w:id="396906003">
              <w:marLeft w:val="0"/>
              <w:marRight w:val="0"/>
              <w:marTop w:val="0"/>
              <w:marBottom w:val="0"/>
              <w:divBdr>
                <w:top w:val="none" w:sz="0" w:space="0" w:color="auto"/>
                <w:left w:val="none" w:sz="0" w:space="0" w:color="auto"/>
                <w:bottom w:val="none" w:sz="0" w:space="0" w:color="auto"/>
                <w:right w:val="none" w:sz="0" w:space="0" w:color="auto"/>
              </w:divBdr>
              <w:divsChild>
                <w:div w:id="17946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9757">
      <w:bodyDiv w:val="1"/>
      <w:marLeft w:val="0"/>
      <w:marRight w:val="0"/>
      <w:marTop w:val="0"/>
      <w:marBottom w:val="0"/>
      <w:divBdr>
        <w:top w:val="none" w:sz="0" w:space="0" w:color="auto"/>
        <w:left w:val="none" w:sz="0" w:space="0" w:color="auto"/>
        <w:bottom w:val="none" w:sz="0" w:space="0" w:color="auto"/>
        <w:right w:val="none" w:sz="0" w:space="0" w:color="auto"/>
      </w:divBdr>
      <w:divsChild>
        <w:div w:id="1043284585">
          <w:marLeft w:val="0"/>
          <w:marRight w:val="0"/>
          <w:marTop w:val="0"/>
          <w:marBottom w:val="0"/>
          <w:divBdr>
            <w:top w:val="none" w:sz="0" w:space="0" w:color="auto"/>
            <w:left w:val="none" w:sz="0" w:space="0" w:color="auto"/>
            <w:bottom w:val="none" w:sz="0" w:space="0" w:color="auto"/>
            <w:right w:val="none" w:sz="0" w:space="0" w:color="auto"/>
          </w:divBdr>
          <w:divsChild>
            <w:div w:id="1367634816">
              <w:marLeft w:val="0"/>
              <w:marRight w:val="0"/>
              <w:marTop w:val="0"/>
              <w:marBottom w:val="0"/>
              <w:divBdr>
                <w:top w:val="none" w:sz="0" w:space="0" w:color="auto"/>
                <w:left w:val="none" w:sz="0" w:space="0" w:color="auto"/>
                <w:bottom w:val="none" w:sz="0" w:space="0" w:color="auto"/>
                <w:right w:val="none" w:sz="0" w:space="0" w:color="auto"/>
              </w:divBdr>
              <w:divsChild>
                <w:div w:id="1795444914">
                  <w:marLeft w:val="0"/>
                  <w:marRight w:val="0"/>
                  <w:marTop w:val="0"/>
                  <w:marBottom w:val="0"/>
                  <w:divBdr>
                    <w:top w:val="none" w:sz="0" w:space="0" w:color="auto"/>
                    <w:left w:val="none" w:sz="0" w:space="0" w:color="auto"/>
                    <w:bottom w:val="none" w:sz="0" w:space="0" w:color="auto"/>
                    <w:right w:val="none" w:sz="0" w:space="0" w:color="auto"/>
                  </w:divBdr>
                </w:div>
              </w:divsChild>
            </w:div>
            <w:div w:id="1607612418">
              <w:marLeft w:val="0"/>
              <w:marRight w:val="0"/>
              <w:marTop w:val="0"/>
              <w:marBottom w:val="0"/>
              <w:divBdr>
                <w:top w:val="none" w:sz="0" w:space="0" w:color="auto"/>
                <w:left w:val="none" w:sz="0" w:space="0" w:color="auto"/>
                <w:bottom w:val="none" w:sz="0" w:space="0" w:color="auto"/>
                <w:right w:val="none" w:sz="0" w:space="0" w:color="auto"/>
              </w:divBdr>
              <w:divsChild>
                <w:div w:id="548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0830">
      <w:bodyDiv w:val="1"/>
      <w:marLeft w:val="0"/>
      <w:marRight w:val="0"/>
      <w:marTop w:val="0"/>
      <w:marBottom w:val="0"/>
      <w:divBdr>
        <w:top w:val="none" w:sz="0" w:space="0" w:color="auto"/>
        <w:left w:val="none" w:sz="0" w:space="0" w:color="auto"/>
        <w:bottom w:val="none" w:sz="0" w:space="0" w:color="auto"/>
        <w:right w:val="none" w:sz="0" w:space="0" w:color="auto"/>
      </w:divBdr>
      <w:divsChild>
        <w:div w:id="696741237">
          <w:marLeft w:val="0"/>
          <w:marRight w:val="0"/>
          <w:marTop w:val="0"/>
          <w:marBottom w:val="0"/>
          <w:divBdr>
            <w:top w:val="none" w:sz="0" w:space="0" w:color="auto"/>
            <w:left w:val="none" w:sz="0" w:space="0" w:color="auto"/>
            <w:bottom w:val="none" w:sz="0" w:space="0" w:color="auto"/>
            <w:right w:val="none" w:sz="0" w:space="0" w:color="auto"/>
          </w:divBdr>
          <w:divsChild>
            <w:div w:id="1961304351">
              <w:marLeft w:val="0"/>
              <w:marRight w:val="0"/>
              <w:marTop w:val="0"/>
              <w:marBottom w:val="0"/>
              <w:divBdr>
                <w:top w:val="none" w:sz="0" w:space="0" w:color="auto"/>
                <w:left w:val="none" w:sz="0" w:space="0" w:color="auto"/>
                <w:bottom w:val="none" w:sz="0" w:space="0" w:color="auto"/>
                <w:right w:val="none" w:sz="0" w:space="0" w:color="auto"/>
              </w:divBdr>
              <w:divsChild>
                <w:div w:id="1079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1127">
      <w:bodyDiv w:val="1"/>
      <w:marLeft w:val="0"/>
      <w:marRight w:val="0"/>
      <w:marTop w:val="0"/>
      <w:marBottom w:val="0"/>
      <w:divBdr>
        <w:top w:val="none" w:sz="0" w:space="0" w:color="auto"/>
        <w:left w:val="none" w:sz="0" w:space="0" w:color="auto"/>
        <w:bottom w:val="none" w:sz="0" w:space="0" w:color="auto"/>
        <w:right w:val="none" w:sz="0" w:space="0" w:color="auto"/>
      </w:divBdr>
      <w:divsChild>
        <w:div w:id="859785029">
          <w:marLeft w:val="0"/>
          <w:marRight w:val="0"/>
          <w:marTop w:val="0"/>
          <w:marBottom w:val="0"/>
          <w:divBdr>
            <w:top w:val="none" w:sz="0" w:space="0" w:color="auto"/>
            <w:left w:val="none" w:sz="0" w:space="0" w:color="auto"/>
            <w:bottom w:val="none" w:sz="0" w:space="0" w:color="auto"/>
            <w:right w:val="none" w:sz="0" w:space="0" w:color="auto"/>
          </w:divBdr>
          <w:divsChild>
            <w:div w:id="1628973817">
              <w:marLeft w:val="0"/>
              <w:marRight w:val="0"/>
              <w:marTop w:val="0"/>
              <w:marBottom w:val="0"/>
              <w:divBdr>
                <w:top w:val="none" w:sz="0" w:space="0" w:color="auto"/>
                <w:left w:val="none" w:sz="0" w:space="0" w:color="auto"/>
                <w:bottom w:val="none" w:sz="0" w:space="0" w:color="auto"/>
                <w:right w:val="none" w:sz="0" w:space="0" w:color="auto"/>
              </w:divBdr>
              <w:divsChild>
                <w:div w:id="432407208">
                  <w:marLeft w:val="0"/>
                  <w:marRight w:val="0"/>
                  <w:marTop w:val="0"/>
                  <w:marBottom w:val="0"/>
                  <w:divBdr>
                    <w:top w:val="none" w:sz="0" w:space="0" w:color="auto"/>
                    <w:left w:val="none" w:sz="0" w:space="0" w:color="auto"/>
                    <w:bottom w:val="none" w:sz="0" w:space="0" w:color="auto"/>
                    <w:right w:val="none" w:sz="0" w:space="0" w:color="auto"/>
                  </w:divBdr>
                  <w:divsChild>
                    <w:div w:id="14781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68">
      <w:bodyDiv w:val="1"/>
      <w:marLeft w:val="0"/>
      <w:marRight w:val="0"/>
      <w:marTop w:val="0"/>
      <w:marBottom w:val="0"/>
      <w:divBdr>
        <w:top w:val="none" w:sz="0" w:space="0" w:color="auto"/>
        <w:left w:val="none" w:sz="0" w:space="0" w:color="auto"/>
        <w:bottom w:val="none" w:sz="0" w:space="0" w:color="auto"/>
        <w:right w:val="none" w:sz="0" w:space="0" w:color="auto"/>
      </w:divBdr>
      <w:divsChild>
        <w:div w:id="2033453379">
          <w:marLeft w:val="0"/>
          <w:marRight w:val="0"/>
          <w:marTop w:val="0"/>
          <w:marBottom w:val="0"/>
          <w:divBdr>
            <w:top w:val="none" w:sz="0" w:space="0" w:color="auto"/>
            <w:left w:val="none" w:sz="0" w:space="0" w:color="auto"/>
            <w:bottom w:val="none" w:sz="0" w:space="0" w:color="auto"/>
            <w:right w:val="none" w:sz="0" w:space="0" w:color="auto"/>
          </w:divBdr>
          <w:divsChild>
            <w:div w:id="427312716">
              <w:marLeft w:val="0"/>
              <w:marRight w:val="0"/>
              <w:marTop w:val="0"/>
              <w:marBottom w:val="0"/>
              <w:divBdr>
                <w:top w:val="none" w:sz="0" w:space="0" w:color="auto"/>
                <w:left w:val="none" w:sz="0" w:space="0" w:color="auto"/>
                <w:bottom w:val="none" w:sz="0" w:space="0" w:color="auto"/>
                <w:right w:val="none" w:sz="0" w:space="0" w:color="auto"/>
              </w:divBdr>
              <w:divsChild>
                <w:div w:id="2597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8609">
      <w:bodyDiv w:val="1"/>
      <w:marLeft w:val="0"/>
      <w:marRight w:val="0"/>
      <w:marTop w:val="0"/>
      <w:marBottom w:val="0"/>
      <w:divBdr>
        <w:top w:val="none" w:sz="0" w:space="0" w:color="auto"/>
        <w:left w:val="none" w:sz="0" w:space="0" w:color="auto"/>
        <w:bottom w:val="none" w:sz="0" w:space="0" w:color="auto"/>
        <w:right w:val="none" w:sz="0" w:space="0" w:color="auto"/>
      </w:divBdr>
      <w:divsChild>
        <w:div w:id="614019037">
          <w:marLeft w:val="0"/>
          <w:marRight w:val="0"/>
          <w:marTop w:val="0"/>
          <w:marBottom w:val="0"/>
          <w:divBdr>
            <w:top w:val="none" w:sz="0" w:space="0" w:color="auto"/>
            <w:left w:val="none" w:sz="0" w:space="0" w:color="auto"/>
            <w:bottom w:val="none" w:sz="0" w:space="0" w:color="auto"/>
            <w:right w:val="none" w:sz="0" w:space="0" w:color="auto"/>
          </w:divBdr>
          <w:divsChild>
            <w:div w:id="1983847634">
              <w:marLeft w:val="0"/>
              <w:marRight w:val="0"/>
              <w:marTop w:val="0"/>
              <w:marBottom w:val="0"/>
              <w:divBdr>
                <w:top w:val="none" w:sz="0" w:space="0" w:color="auto"/>
                <w:left w:val="none" w:sz="0" w:space="0" w:color="auto"/>
                <w:bottom w:val="none" w:sz="0" w:space="0" w:color="auto"/>
                <w:right w:val="none" w:sz="0" w:space="0" w:color="auto"/>
              </w:divBdr>
              <w:divsChild>
                <w:div w:id="1404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1750">
      <w:bodyDiv w:val="1"/>
      <w:marLeft w:val="0"/>
      <w:marRight w:val="0"/>
      <w:marTop w:val="0"/>
      <w:marBottom w:val="0"/>
      <w:divBdr>
        <w:top w:val="none" w:sz="0" w:space="0" w:color="auto"/>
        <w:left w:val="none" w:sz="0" w:space="0" w:color="auto"/>
        <w:bottom w:val="none" w:sz="0" w:space="0" w:color="auto"/>
        <w:right w:val="none" w:sz="0" w:space="0" w:color="auto"/>
      </w:divBdr>
      <w:divsChild>
        <w:div w:id="1576352247">
          <w:marLeft w:val="0"/>
          <w:marRight w:val="0"/>
          <w:marTop w:val="0"/>
          <w:marBottom w:val="0"/>
          <w:divBdr>
            <w:top w:val="none" w:sz="0" w:space="0" w:color="auto"/>
            <w:left w:val="none" w:sz="0" w:space="0" w:color="auto"/>
            <w:bottom w:val="none" w:sz="0" w:space="0" w:color="auto"/>
            <w:right w:val="none" w:sz="0" w:space="0" w:color="auto"/>
          </w:divBdr>
          <w:divsChild>
            <w:div w:id="947809106">
              <w:marLeft w:val="0"/>
              <w:marRight w:val="0"/>
              <w:marTop w:val="0"/>
              <w:marBottom w:val="0"/>
              <w:divBdr>
                <w:top w:val="none" w:sz="0" w:space="0" w:color="auto"/>
                <w:left w:val="none" w:sz="0" w:space="0" w:color="auto"/>
                <w:bottom w:val="none" w:sz="0" w:space="0" w:color="auto"/>
                <w:right w:val="none" w:sz="0" w:space="0" w:color="auto"/>
              </w:divBdr>
              <w:divsChild>
                <w:div w:id="16149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055">
      <w:bodyDiv w:val="1"/>
      <w:marLeft w:val="0"/>
      <w:marRight w:val="0"/>
      <w:marTop w:val="0"/>
      <w:marBottom w:val="0"/>
      <w:divBdr>
        <w:top w:val="none" w:sz="0" w:space="0" w:color="auto"/>
        <w:left w:val="none" w:sz="0" w:space="0" w:color="auto"/>
        <w:bottom w:val="none" w:sz="0" w:space="0" w:color="auto"/>
        <w:right w:val="none" w:sz="0" w:space="0" w:color="auto"/>
      </w:divBdr>
    </w:div>
    <w:div w:id="1238248499">
      <w:bodyDiv w:val="1"/>
      <w:marLeft w:val="0"/>
      <w:marRight w:val="0"/>
      <w:marTop w:val="0"/>
      <w:marBottom w:val="0"/>
      <w:divBdr>
        <w:top w:val="none" w:sz="0" w:space="0" w:color="auto"/>
        <w:left w:val="none" w:sz="0" w:space="0" w:color="auto"/>
        <w:bottom w:val="none" w:sz="0" w:space="0" w:color="auto"/>
        <w:right w:val="none" w:sz="0" w:space="0" w:color="auto"/>
      </w:divBdr>
      <w:divsChild>
        <w:div w:id="30569172">
          <w:marLeft w:val="0"/>
          <w:marRight w:val="0"/>
          <w:marTop w:val="0"/>
          <w:marBottom w:val="0"/>
          <w:divBdr>
            <w:top w:val="none" w:sz="0" w:space="0" w:color="auto"/>
            <w:left w:val="none" w:sz="0" w:space="0" w:color="auto"/>
            <w:bottom w:val="none" w:sz="0" w:space="0" w:color="auto"/>
            <w:right w:val="none" w:sz="0" w:space="0" w:color="auto"/>
          </w:divBdr>
          <w:divsChild>
            <w:div w:id="48039686">
              <w:marLeft w:val="0"/>
              <w:marRight w:val="0"/>
              <w:marTop w:val="0"/>
              <w:marBottom w:val="0"/>
              <w:divBdr>
                <w:top w:val="none" w:sz="0" w:space="0" w:color="auto"/>
                <w:left w:val="none" w:sz="0" w:space="0" w:color="auto"/>
                <w:bottom w:val="none" w:sz="0" w:space="0" w:color="auto"/>
                <w:right w:val="none" w:sz="0" w:space="0" w:color="auto"/>
              </w:divBdr>
              <w:divsChild>
                <w:div w:id="11660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8636">
      <w:bodyDiv w:val="1"/>
      <w:marLeft w:val="0"/>
      <w:marRight w:val="0"/>
      <w:marTop w:val="0"/>
      <w:marBottom w:val="0"/>
      <w:divBdr>
        <w:top w:val="none" w:sz="0" w:space="0" w:color="auto"/>
        <w:left w:val="none" w:sz="0" w:space="0" w:color="auto"/>
        <w:bottom w:val="none" w:sz="0" w:space="0" w:color="auto"/>
        <w:right w:val="none" w:sz="0" w:space="0" w:color="auto"/>
      </w:divBdr>
    </w:div>
    <w:div w:id="1250655021">
      <w:bodyDiv w:val="1"/>
      <w:marLeft w:val="0"/>
      <w:marRight w:val="0"/>
      <w:marTop w:val="0"/>
      <w:marBottom w:val="0"/>
      <w:divBdr>
        <w:top w:val="none" w:sz="0" w:space="0" w:color="auto"/>
        <w:left w:val="none" w:sz="0" w:space="0" w:color="auto"/>
        <w:bottom w:val="none" w:sz="0" w:space="0" w:color="auto"/>
        <w:right w:val="none" w:sz="0" w:space="0" w:color="auto"/>
      </w:divBdr>
      <w:divsChild>
        <w:div w:id="594244464">
          <w:marLeft w:val="0"/>
          <w:marRight w:val="0"/>
          <w:marTop w:val="0"/>
          <w:marBottom w:val="0"/>
          <w:divBdr>
            <w:top w:val="none" w:sz="0" w:space="0" w:color="auto"/>
            <w:left w:val="none" w:sz="0" w:space="0" w:color="auto"/>
            <w:bottom w:val="none" w:sz="0" w:space="0" w:color="auto"/>
            <w:right w:val="none" w:sz="0" w:space="0" w:color="auto"/>
          </w:divBdr>
          <w:divsChild>
            <w:div w:id="1028067030">
              <w:marLeft w:val="0"/>
              <w:marRight w:val="0"/>
              <w:marTop w:val="0"/>
              <w:marBottom w:val="0"/>
              <w:divBdr>
                <w:top w:val="none" w:sz="0" w:space="0" w:color="auto"/>
                <w:left w:val="none" w:sz="0" w:space="0" w:color="auto"/>
                <w:bottom w:val="none" w:sz="0" w:space="0" w:color="auto"/>
                <w:right w:val="none" w:sz="0" w:space="0" w:color="auto"/>
              </w:divBdr>
              <w:divsChild>
                <w:div w:id="1327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598">
      <w:bodyDiv w:val="1"/>
      <w:marLeft w:val="0"/>
      <w:marRight w:val="0"/>
      <w:marTop w:val="0"/>
      <w:marBottom w:val="0"/>
      <w:divBdr>
        <w:top w:val="none" w:sz="0" w:space="0" w:color="auto"/>
        <w:left w:val="none" w:sz="0" w:space="0" w:color="auto"/>
        <w:bottom w:val="none" w:sz="0" w:space="0" w:color="auto"/>
        <w:right w:val="none" w:sz="0" w:space="0" w:color="auto"/>
      </w:divBdr>
      <w:divsChild>
        <w:div w:id="2058579454">
          <w:marLeft w:val="0"/>
          <w:marRight w:val="0"/>
          <w:marTop w:val="0"/>
          <w:marBottom w:val="0"/>
          <w:divBdr>
            <w:top w:val="none" w:sz="0" w:space="0" w:color="auto"/>
            <w:left w:val="none" w:sz="0" w:space="0" w:color="auto"/>
            <w:bottom w:val="none" w:sz="0" w:space="0" w:color="auto"/>
            <w:right w:val="none" w:sz="0" w:space="0" w:color="auto"/>
          </w:divBdr>
          <w:divsChild>
            <w:div w:id="912853503">
              <w:marLeft w:val="0"/>
              <w:marRight w:val="0"/>
              <w:marTop w:val="0"/>
              <w:marBottom w:val="0"/>
              <w:divBdr>
                <w:top w:val="none" w:sz="0" w:space="0" w:color="auto"/>
                <w:left w:val="none" w:sz="0" w:space="0" w:color="auto"/>
                <w:bottom w:val="none" w:sz="0" w:space="0" w:color="auto"/>
                <w:right w:val="none" w:sz="0" w:space="0" w:color="auto"/>
              </w:divBdr>
              <w:divsChild>
                <w:div w:id="4285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0992">
      <w:bodyDiv w:val="1"/>
      <w:marLeft w:val="0"/>
      <w:marRight w:val="0"/>
      <w:marTop w:val="0"/>
      <w:marBottom w:val="0"/>
      <w:divBdr>
        <w:top w:val="none" w:sz="0" w:space="0" w:color="auto"/>
        <w:left w:val="none" w:sz="0" w:space="0" w:color="auto"/>
        <w:bottom w:val="none" w:sz="0" w:space="0" w:color="auto"/>
        <w:right w:val="none" w:sz="0" w:space="0" w:color="auto"/>
      </w:divBdr>
      <w:divsChild>
        <w:div w:id="147982519">
          <w:marLeft w:val="0"/>
          <w:marRight w:val="0"/>
          <w:marTop w:val="0"/>
          <w:marBottom w:val="0"/>
          <w:divBdr>
            <w:top w:val="none" w:sz="0" w:space="0" w:color="auto"/>
            <w:left w:val="none" w:sz="0" w:space="0" w:color="auto"/>
            <w:bottom w:val="none" w:sz="0" w:space="0" w:color="auto"/>
            <w:right w:val="none" w:sz="0" w:space="0" w:color="auto"/>
          </w:divBdr>
          <w:divsChild>
            <w:div w:id="1262488827">
              <w:marLeft w:val="0"/>
              <w:marRight w:val="0"/>
              <w:marTop w:val="0"/>
              <w:marBottom w:val="0"/>
              <w:divBdr>
                <w:top w:val="none" w:sz="0" w:space="0" w:color="auto"/>
                <w:left w:val="none" w:sz="0" w:space="0" w:color="auto"/>
                <w:bottom w:val="none" w:sz="0" w:space="0" w:color="auto"/>
                <w:right w:val="none" w:sz="0" w:space="0" w:color="auto"/>
              </w:divBdr>
              <w:divsChild>
                <w:div w:id="8230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9874">
      <w:bodyDiv w:val="1"/>
      <w:marLeft w:val="0"/>
      <w:marRight w:val="0"/>
      <w:marTop w:val="0"/>
      <w:marBottom w:val="0"/>
      <w:divBdr>
        <w:top w:val="none" w:sz="0" w:space="0" w:color="auto"/>
        <w:left w:val="none" w:sz="0" w:space="0" w:color="auto"/>
        <w:bottom w:val="none" w:sz="0" w:space="0" w:color="auto"/>
        <w:right w:val="none" w:sz="0" w:space="0" w:color="auto"/>
      </w:divBdr>
    </w:div>
    <w:div w:id="1329477723">
      <w:bodyDiv w:val="1"/>
      <w:marLeft w:val="0"/>
      <w:marRight w:val="0"/>
      <w:marTop w:val="0"/>
      <w:marBottom w:val="0"/>
      <w:divBdr>
        <w:top w:val="none" w:sz="0" w:space="0" w:color="auto"/>
        <w:left w:val="none" w:sz="0" w:space="0" w:color="auto"/>
        <w:bottom w:val="none" w:sz="0" w:space="0" w:color="auto"/>
        <w:right w:val="none" w:sz="0" w:space="0" w:color="auto"/>
      </w:divBdr>
    </w:div>
    <w:div w:id="1329865101">
      <w:bodyDiv w:val="1"/>
      <w:marLeft w:val="0"/>
      <w:marRight w:val="0"/>
      <w:marTop w:val="0"/>
      <w:marBottom w:val="0"/>
      <w:divBdr>
        <w:top w:val="none" w:sz="0" w:space="0" w:color="auto"/>
        <w:left w:val="none" w:sz="0" w:space="0" w:color="auto"/>
        <w:bottom w:val="none" w:sz="0" w:space="0" w:color="auto"/>
        <w:right w:val="none" w:sz="0" w:space="0" w:color="auto"/>
      </w:divBdr>
      <w:divsChild>
        <w:div w:id="667366232">
          <w:marLeft w:val="0"/>
          <w:marRight w:val="0"/>
          <w:marTop w:val="0"/>
          <w:marBottom w:val="0"/>
          <w:divBdr>
            <w:top w:val="none" w:sz="0" w:space="0" w:color="auto"/>
            <w:left w:val="none" w:sz="0" w:space="0" w:color="auto"/>
            <w:bottom w:val="none" w:sz="0" w:space="0" w:color="auto"/>
            <w:right w:val="none" w:sz="0" w:space="0" w:color="auto"/>
          </w:divBdr>
          <w:divsChild>
            <w:div w:id="97458169">
              <w:marLeft w:val="0"/>
              <w:marRight w:val="0"/>
              <w:marTop w:val="0"/>
              <w:marBottom w:val="0"/>
              <w:divBdr>
                <w:top w:val="none" w:sz="0" w:space="0" w:color="auto"/>
                <w:left w:val="none" w:sz="0" w:space="0" w:color="auto"/>
                <w:bottom w:val="none" w:sz="0" w:space="0" w:color="auto"/>
                <w:right w:val="none" w:sz="0" w:space="0" w:color="auto"/>
              </w:divBdr>
              <w:divsChild>
                <w:div w:id="1801680791">
                  <w:marLeft w:val="0"/>
                  <w:marRight w:val="0"/>
                  <w:marTop w:val="0"/>
                  <w:marBottom w:val="0"/>
                  <w:divBdr>
                    <w:top w:val="none" w:sz="0" w:space="0" w:color="auto"/>
                    <w:left w:val="none" w:sz="0" w:space="0" w:color="auto"/>
                    <w:bottom w:val="none" w:sz="0" w:space="0" w:color="auto"/>
                    <w:right w:val="none" w:sz="0" w:space="0" w:color="auto"/>
                  </w:divBdr>
                  <w:divsChild>
                    <w:div w:id="480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6758">
      <w:bodyDiv w:val="1"/>
      <w:marLeft w:val="0"/>
      <w:marRight w:val="0"/>
      <w:marTop w:val="0"/>
      <w:marBottom w:val="0"/>
      <w:divBdr>
        <w:top w:val="none" w:sz="0" w:space="0" w:color="auto"/>
        <w:left w:val="none" w:sz="0" w:space="0" w:color="auto"/>
        <w:bottom w:val="none" w:sz="0" w:space="0" w:color="auto"/>
        <w:right w:val="none" w:sz="0" w:space="0" w:color="auto"/>
      </w:divBdr>
      <w:divsChild>
        <w:div w:id="2053380120">
          <w:marLeft w:val="0"/>
          <w:marRight w:val="0"/>
          <w:marTop w:val="0"/>
          <w:marBottom w:val="0"/>
          <w:divBdr>
            <w:top w:val="none" w:sz="0" w:space="0" w:color="auto"/>
            <w:left w:val="none" w:sz="0" w:space="0" w:color="auto"/>
            <w:bottom w:val="none" w:sz="0" w:space="0" w:color="auto"/>
            <w:right w:val="none" w:sz="0" w:space="0" w:color="auto"/>
          </w:divBdr>
          <w:divsChild>
            <w:div w:id="178591732">
              <w:marLeft w:val="0"/>
              <w:marRight w:val="0"/>
              <w:marTop w:val="0"/>
              <w:marBottom w:val="0"/>
              <w:divBdr>
                <w:top w:val="none" w:sz="0" w:space="0" w:color="auto"/>
                <w:left w:val="none" w:sz="0" w:space="0" w:color="auto"/>
                <w:bottom w:val="none" w:sz="0" w:space="0" w:color="auto"/>
                <w:right w:val="none" w:sz="0" w:space="0" w:color="auto"/>
              </w:divBdr>
              <w:divsChild>
                <w:div w:id="1009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4997">
      <w:bodyDiv w:val="1"/>
      <w:marLeft w:val="0"/>
      <w:marRight w:val="0"/>
      <w:marTop w:val="0"/>
      <w:marBottom w:val="0"/>
      <w:divBdr>
        <w:top w:val="none" w:sz="0" w:space="0" w:color="auto"/>
        <w:left w:val="none" w:sz="0" w:space="0" w:color="auto"/>
        <w:bottom w:val="none" w:sz="0" w:space="0" w:color="auto"/>
        <w:right w:val="none" w:sz="0" w:space="0" w:color="auto"/>
      </w:divBdr>
    </w:div>
    <w:div w:id="1392968917">
      <w:bodyDiv w:val="1"/>
      <w:marLeft w:val="0"/>
      <w:marRight w:val="0"/>
      <w:marTop w:val="0"/>
      <w:marBottom w:val="0"/>
      <w:divBdr>
        <w:top w:val="none" w:sz="0" w:space="0" w:color="auto"/>
        <w:left w:val="none" w:sz="0" w:space="0" w:color="auto"/>
        <w:bottom w:val="none" w:sz="0" w:space="0" w:color="auto"/>
        <w:right w:val="none" w:sz="0" w:space="0" w:color="auto"/>
      </w:divBdr>
      <w:divsChild>
        <w:div w:id="1595898437">
          <w:marLeft w:val="0"/>
          <w:marRight w:val="0"/>
          <w:marTop w:val="0"/>
          <w:marBottom w:val="0"/>
          <w:divBdr>
            <w:top w:val="none" w:sz="0" w:space="0" w:color="auto"/>
            <w:left w:val="none" w:sz="0" w:space="0" w:color="auto"/>
            <w:bottom w:val="none" w:sz="0" w:space="0" w:color="auto"/>
            <w:right w:val="none" w:sz="0" w:space="0" w:color="auto"/>
          </w:divBdr>
          <w:divsChild>
            <w:div w:id="173617535">
              <w:marLeft w:val="0"/>
              <w:marRight w:val="0"/>
              <w:marTop w:val="0"/>
              <w:marBottom w:val="0"/>
              <w:divBdr>
                <w:top w:val="none" w:sz="0" w:space="0" w:color="auto"/>
                <w:left w:val="none" w:sz="0" w:space="0" w:color="auto"/>
                <w:bottom w:val="none" w:sz="0" w:space="0" w:color="auto"/>
                <w:right w:val="none" w:sz="0" w:space="0" w:color="auto"/>
              </w:divBdr>
              <w:divsChild>
                <w:div w:id="13741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530">
      <w:bodyDiv w:val="1"/>
      <w:marLeft w:val="0"/>
      <w:marRight w:val="0"/>
      <w:marTop w:val="0"/>
      <w:marBottom w:val="0"/>
      <w:divBdr>
        <w:top w:val="none" w:sz="0" w:space="0" w:color="auto"/>
        <w:left w:val="none" w:sz="0" w:space="0" w:color="auto"/>
        <w:bottom w:val="none" w:sz="0" w:space="0" w:color="auto"/>
        <w:right w:val="none" w:sz="0" w:space="0" w:color="auto"/>
      </w:divBdr>
      <w:divsChild>
        <w:div w:id="1653213220">
          <w:marLeft w:val="0"/>
          <w:marRight w:val="0"/>
          <w:marTop w:val="0"/>
          <w:marBottom w:val="0"/>
          <w:divBdr>
            <w:top w:val="none" w:sz="0" w:space="0" w:color="auto"/>
            <w:left w:val="none" w:sz="0" w:space="0" w:color="auto"/>
            <w:bottom w:val="none" w:sz="0" w:space="0" w:color="auto"/>
            <w:right w:val="none" w:sz="0" w:space="0" w:color="auto"/>
          </w:divBdr>
          <w:divsChild>
            <w:div w:id="1704867473">
              <w:marLeft w:val="0"/>
              <w:marRight w:val="0"/>
              <w:marTop w:val="0"/>
              <w:marBottom w:val="0"/>
              <w:divBdr>
                <w:top w:val="none" w:sz="0" w:space="0" w:color="auto"/>
                <w:left w:val="none" w:sz="0" w:space="0" w:color="auto"/>
                <w:bottom w:val="none" w:sz="0" w:space="0" w:color="auto"/>
                <w:right w:val="none" w:sz="0" w:space="0" w:color="auto"/>
              </w:divBdr>
              <w:divsChild>
                <w:div w:id="11137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8725">
      <w:bodyDiv w:val="1"/>
      <w:marLeft w:val="0"/>
      <w:marRight w:val="0"/>
      <w:marTop w:val="0"/>
      <w:marBottom w:val="0"/>
      <w:divBdr>
        <w:top w:val="none" w:sz="0" w:space="0" w:color="auto"/>
        <w:left w:val="none" w:sz="0" w:space="0" w:color="auto"/>
        <w:bottom w:val="none" w:sz="0" w:space="0" w:color="auto"/>
        <w:right w:val="none" w:sz="0" w:space="0" w:color="auto"/>
      </w:divBdr>
      <w:divsChild>
        <w:div w:id="494497685">
          <w:marLeft w:val="0"/>
          <w:marRight w:val="0"/>
          <w:marTop w:val="0"/>
          <w:marBottom w:val="0"/>
          <w:divBdr>
            <w:top w:val="none" w:sz="0" w:space="0" w:color="auto"/>
            <w:left w:val="none" w:sz="0" w:space="0" w:color="auto"/>
            <w:bottom w:val="none" w:sz="0" w:space="0" w:color="auto"/>
            <w:right w:val="none" w:sz="0" w:space="0" w:color="auto"/>
          </w:divBdr>
          <w:divsChild>
            <w:div w:id="1397581805">
              <w:marLeft w:val="0"/>
              <w:marRight w:val="0"/>
              <w:marTop w:val="0"/>
              <w:marBottom w:val="0"/>
              <w:divBdr>
                <w:top w:val="none" w:sz="0" w:space="0" w:color="auto"/>
                <w:left w:val="none" w:sz="0" w:space="0" w:color="auto"/>
                <w:bottom w:val="none" w:sz="0" w:space="0" w:color="auto"/>
                <w:right w:val="none" w:sz="0" w:space="0" w:color="auto"/>
              </w:divBdr>
              <w:divsChild>
                <w:div w:id="1964263611">
                  <w:marLeft w:val="0"/>
                  <w:marRight w:val="0"/>
                  <w:marTop w:val="0"/>
                  <w:marBottom w:val="0"/>
                  <w:divBdr>
                    <w:top w:val="none" w:sz="0" w:space="0" w:color="auto"/>
                    <w:left w:val="none" w:sz="0" w:space="0" w:color="auto"/>
                    <w:bottom w:val="none" w:sz="0" w:space="0" w:color="auto"/>
                    <w:right w:val="none" w:sz="0" w:space="0" w:color="auto"/>
                  </w:divBdr>
                  <w:divsChild>
                    <w:div w:id="1621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8134">
      <w:bodyDiv w:val="1"/>
      <w:marLeft w:val="0"/>
      <w:marRight w:val="0"/>
      <w:marTop w:val="0"/>
      <w:marBottom w:val="0"/>
      <w:divBdr>
        <w:top w:val="none" w:sz="0" w:space="0" w:color="auto"/>
        <w:left w:val="none" w:sz="0" w:space="0" w:color="auto"/>
        <w:bottom w:val="none" w:sz="0" w:space="0" w:color="auto"/>
        <w:right w:val="none" w:sz="0" w:space="0" w:color="auto"/>
      </w:divBdr>
      <w:divsChild>
        <w:div w:id="841630647">
          <w:marLeft w:val="0"/>
          <w:marRight w:val="0"/>
          <w:marTop w:val="0"/>
          <w:marBottom w:val="0"/>
          <w:divBdr>
            <w:top w:val="none" w:sz="0" w:space="0" w:color="auto"/>
            <w:left w:val="none" w:sz="0" w:space="0" w:color="auto"/>
            <w:bottom w:val="none" w:sz="0" w:space="0" w:color="auto"/>
            <w:right w:val="none" w:sz="0" w:space="0" w:color="auto"/>
          </w:divBdr>
          <w:divsChild>
            <w:div w:id="1265649243">
              <w:marLeft w:val="0"/>
              <w:marRight w:val="0"/>
              <w:marTop w:val="0"/>
              <w:marBottom w:val="0"/>
              <w:divBdr>
                <w:top w:val="none" w:sz="0" w:space="0" w:color="auto"/>
                <w:left w:val="none" w:sz="0" w:space="0" w:color="auto"/>
                <w:bottom w:val="none" w:sz="0" w:space="0" w:color="auto"/>
                <w:right w:val="none" w:sz="0" w:space="0" w:color="auto"/>
              </w:divBdr>
              <w:divsChild>
                <w:div w:id="18709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0822">
      <w:bodyDiv w:val="1"/>
      <w:marLeft w:val="0"/>
      <w:marRight w:val="0"/>
      <w:marTop w:val="0"/>
      <w:marBottom w:val="0"/>
      <w:divBdr>
        <w:top w:val="none" w:sz="0" w:space="0" w:color="auto"/>
        <w:left w:val="none" w:sz="0" w:space="0" w:color="auto"/>
        <w:bottom w:val="none" w:sz="0" w:space="0" w:color="auto"/>
        <w:right w:val="none" w:sz="0" w:space="0" w:color="auto"/>
      </w:divBdr>
      <w:divsChild>
        <w:div w:id="2092845100">
          <w:marLeft w:val="0"/>
          <w:marRight w:val="0"/>
          <w:marTop w:val="0"/>
          <w:marBottom w:val="0"/>
          <w:divBdr>
            <w:top w:val="none" w:sz="0" w:space="0" w:color="auto"/>
            <w:left w:val="none" w:sz="0" w:space="0" w:color="auto"/>
            <w:bottom w:val="none" w:sz="0" w:space="0" w:color="auto"/>
            <w:right w:val="none" w:sz="0" w:space="0" w:color="auto"/>
          </w:divBdr>
          <w:divsChild>
            <w:div w:id="1178697026">
              <w:marLeft w:val="0"/>
              <w:marRight w:val="0"/>
              <w:marTop w:val="0"/>
              <w:marBottom w:val="0"/>
              <w:divBdr>
                <w:top w:val="none" w:sz="0" w:space="0" w:color="auto"/>
                <w:left w:val="none" w:sz="0" w:space="0" w:color="auto"/>
                <w:bottom w:val="none" w:sz="0" w:space="0" w:color="auto"/>
                <w:right w:val="none" w:sz="0" w:space="0" w:color="auto"/>
              </w:divBdr>
              <w:divsChild>
                <w:div w:id="923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6209">
      <w:bodyDiv w:val="1"/>
      <w:marLeft w:val="0"/>
      <w:marRight w:val="0"/>
      <w:marTop w:val="0"/>
      <w:marBottom w:val="0"/>
      <w:divBdr>
        <w:top w:val="none" w:sz="0" w:space="0" w:color="auto"/>
        <w:left w:val="none" w:sz="0" w:space="0" w:color="auto"/>
        <w:bottom w:val="none" w:sz="0" w:space="0" w:color="auto"/>
        <w:right w:val="none" w:sz="0" w:space="0" w:color="auto"/>
      </w:divBdr>
      <w:divsChild>
        <w:div w:id="1424761874">
          <w:marLeft w:val="0"/>
          <w:marRight w:val="0"/>
          <w:marTop w:val="0"/>
          <w:marBottom w:val="0"/>
          <w:divBdr>
            <w:top w:val="none" w:sz="0" w:space="0" w:color="auto"/>
            <w:left w:val="none" w:sz="0" w:space="0" w:color="auto"/>
            <w:bottom w:val="none" w:sz="0" w:space="0" w:color="auto"/>
            <w:right w:val="none" w:sz="0" w:space="0" w:color="auto"/>
          </w:divBdr>
          <w:divsChild>
            <w:div w:id="1596161815">
              <w:marLeft w:val="0"/>
              <w:marRight w:val="0"/>
              <w:marTop w:val="0"/>
              <w:marBottom w:val="0"/>
              <w:divBdr>
                <w:top w:val="none" w:sz="0" w:space="0" w:color="auto"/>
                <w:left w:val="none" w:sz="0" w:space="0" w:color="auto"/>
                <w:bottom w:val="none" w:sz="0" w:space="0" w:color="auto"/>
                <w:right w:val="none" w:sz="0" w:space="0" w:color="auto"/>
              </w:divBdr>
              <w:divsChild>
                <w:div w:id="8907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6070">
      <w:bodyDiv w:val="1"/>
      <w:marLeft w:val="0"/>
      <w:marRight w:val="0"/>
      <w:marTop w:val="0"/>
      <w:marBottom w:val="0"/>
      <w:divBdr>
        <w:top w:val="none" w:sz="0" w:space="0" w:color="auto"/>
        <w:left w:val="none" w:sz="0" w:space="0" w:color="auto"/>
        <w:bottom w:val="none" w:sz="0" w:space="0" w:color="auto"/>
        <w:right w:val="none" w:sz="0" w:space="0" w:color="auto"/>
      </w:divBdr>
    </w:div>
    <w:div w:id="1562444708">
      <w:bodyDiv w:val="1"/>
      <w:marLeft w:val="0"/>
      <w:marRight w:val="0"/>
      <w:marTop w:val="0"/>
      <w:marBottom w:val="0"/>
      <w:divBdr>
        <w:top w:val="none" w:sz="0" w:space="0" w:color="auto"/>
        <w:left w:val="none" w:sz="0" w:space="0" w:color="auto"/>
        <w:bottom w:val="none" w:sz="0" w:space="0" w:color="auto"/>
        <w:right w:val="none" w:sz="0" w:space="0" w:color="auto"/>
      </w:divBdr>
    </w:div>
    <w:div w:id="1634751466">
      <w:bodyDiv w:val="1"/>
      <w:marLeft w:val="0"/>
      <w:marRight w:val="0"/>
      <w:marTop w:val="0"/>
      <w:marBottom w:val="0"/>
      <w:divBdr>
        <w:top w:val="none" w:sz="0" w:space="0" w:color="auto"/>
        <w:left w:val="none" w:sz="0" w:space="0" w:color="auto"/>
        <w:bottom w:val="none" w:sz="0" w:space="0" w:color="auto"/>
        <w:right w:val="none" w:sz="0" w:space="0" w:color="auto"/>
      </w:divBdr>
      <w:divsChild>
        <w:div w:id="1637636008">
          <w:marLeft w:val="0"/>
          <w:marRight w:val="0"/>
          <w:marTop w:val="0"/>
          <w:marBottom w:val="0"/>
          <w:divBdr>
            <w:top w:val="none" w:sz="0" w:space="0" w:color="auto"/>
            <w:left w:val="none" w:sz="0" w:space="0" w:color="auto"/>
            <w:bottom w:val="none" w:sz="0" w:space="0" w:color="auto"/>
            <w:right w:val="none" w:sz="0" w:space="0" w:color="auto"/>
          </w:divBdr>
          <w:divsChild>
            <w:div w:id="663704186">
              <w:marLeft w:val="0"/>
              <w:marRight w:val="0"/>
              <w:marTop w:val="0"/>
              <w:marBottom w:val="0"/>
              <w:divBdr>
                <w:top w:val="none" w:sz="0" w:space="0" w:color="auto"/>
                <w:left w:val="none" w:sz="0" w:space="0" w:color="auto"/>
                <w:bottom w:val="none" w:sz="0" w:space="0" w:color="auto"/>
                <w:right w:val="none" w:sz="0" w:space="0" w:color="auto"/>
              </w:divBdr>
              <w:divsChild>
                <w:div w:id="2002194738">
                  <w:marLeft w:val="0"/>
                  <w:marRight w:val="0"/>
                  <w:marTop w:val="0"/>
                  <w:marBottom w:val="0"/>
                  <w:divBdr>
                    <w:top w:val="none" w:sz="0" w:space="0" w:color="auto"/>
                    <w:left w:val="none" w:sz="0" w:space="0" w:color="auto"/>
                    <w:bottom w:val="none" w:sz="0" w:space="0" w:color="auto"/>
                    <w:right w:val="none" w:sz="0" w:space="0" w:color="auto"/>
                  </w:divBdr>
                </w:div>
              </w:divsChild>
            </w:div>
            <w:div w:id="258178811">
              <w:marLeft w:val="0"/>
              <w:marRight w:val="0"/>
              <w:marTop w:val="0"/>
              <w:marBottom w:val="0"/>
              <w:divBdr>
                <w:top w:val="none" w:sz="0" w:space="0" w:color="auto"/>
                <w:left w:val="none" w:sz="0" w:space="0" w:color="auto"/>
                <w:bottom w:val="none" w:sz="0" w:space="0" w:color="auto"/>
                <w:right w:val="none" w:sz="0" w:space="0" w:color="auto"/>
              </w:divBdr>
              <w:divsChild>
                <w:div w:id="666523284">
                  <w:marLeft w:val="0"/>
                  <w:marRight w:val="0"/>
                  <w:marTop w:val="0"/>
                  <w:marBottom w:val="0"/>
                  <w:divBdr>
                    <w:top w:val="none" w:sz="0" w:space="0" w:color="auto"/>
                    <w:left w:val="none" w:sz="0" w:space="0" w:color="auto"/>
                    <w:bottom w:val="none" w:sz="0" w:space="0" w:color="auto"/>
                    <w:right w:val="none" w:sz="0" w:space="0" w:color="auto"/>
                  </w:divBdr>
                </w:div>
              </w:divsChild>
            </w:div>
            <w:div w:id="1927379342">
              <w:marLeft w:val="0"/>
              <w:marRight w:val="0"/>
              <w:marTop w:val="0"/>
              <w:marBottom w:val="0"/>
              <w:divBdr>
                <w:top w:val="none" w:sz="0" w:space="0" w:color="auto"/>
                <w:left w:val="none" w:sz="0" w:space="0" w:color="auto"/>
                <w:bottom w:val="none" w:sz="0" w:space="0" w:color="auto"/>
                <w:right w:val="none" w:sz="0" w:space="0" w:color="auto"/>
              </w:divBdr>
              <w:divsChild>
                <w:div w:id="12877122">
                  <w:marLeft w:val="0"/>
                  <w:marRight w:val="0"/>
                  <w:marTop w:val="0"/>
                  <w:marBottom w:val="0"/>
                  <w:divBdr>
                    <w:top w:val="none" w:sz="0" w:space="0" w:color="auto"/>
                    <w:left w:val="none" w:sz="0" w:space="0" w:color="auto"/>
                    <w:bottom w:val="none" w:sz="0" w:space="0" w:color="auto"/>
                    <w:right w:val="none" w:sz="0" w:space="0" w:color="auto"/>
                  </w:divBdr>
                </w:div>
              </w:divsChild>
            </w:div>
            <w:div w:id="2094542033">
              <w:marLeft w:val="0"/>
              <w:marRight w:val="0"/>
              <w:marTop w:val="0"/>
              <w:marBottom w:val="0"/>
              <w:divBdr>
                <w:top w:val="none" w:sz="0" w:space="0" w:color="auto"/>
                <w:left w:val="none" w:sz="0" w:space="0" w:color="auto"/>
                <w:bottom w:val="none" w:sz="0" w:space="0" w:color="auto"/>
                <w:right w:val="none" w:sz="0" w:space="0" w:color="auto"/>
              </w:divBdr>
              <w:divsChild>
                <w:div w:id="1399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3825">
          <w:marLeft w:val="0"/>
          <w:marRight w:val="0"/>
          <w:marTop w:val="0"/>
          <w:marBottom w:val="0"/>
          <w:divBdr>
            <w:top w:val="none" w:sz="0" w:space="0" w:color="auto"/>
            <w:left w:val="none" w:sz="0" w:space="0" w:color="auto"/>
            <w:bottom w:val="none" w:sz="0" w:space="0" w:color="auto"/>
            <w:right w:val="none" w:sz="0" w:space="0" w:color="auto"/>
          </w:divBdr>
          <w:divsChild>
            <w:div w:id="869222810">
              <w:marLeft w:val="0"/>
              <w:marRight w:val="0"/>
              <w:marTop w:val="0"/>
              <w:marBottom w:val="0"/>
              <w:divBdr>
                <w:top w:val="none" w:sz="0" w:space="0" w:color="auto"/>
                <w:left w:val="none" w:sz="0" w:space="0" w:color="auto"/>
                <w:bottom w:val="none" w:sz="0" w:space="0" w:color="auto"/>
                <w:right w:val="none" w:sz="0" w:space="0" w:color="auto"/>
              </w:divBdr>
              <w:divsChild>
                <w:div w:id="1456094783">
                  <w:marLeft w:val="0"/>
                  <w:marRight w:val="0"/>
                  <w:marTop w:val="0"/>
                  <w:marBottom w:val="0"/>
                  <w:divBdr>
                    <w:top w:val="none" w:sz="0" w:space="0" w:color="auto"/>
                    <w:left w:val="none" w:sz="0" w:space="0" w:color="auto"/>
                    <w:bottom w:val="none" w:sz="0" w:space="0" w:color="auto"/>
                    <w:right w:val="none" w:sz="0" w:space="0" w:color="auto"/>
                  </w:divBdr>
                  <w:divsChild>
                    <w:div w:id="1628975320">
                      <w:marLeft w:val="0"/>
                      <w:marRight w:val="0"/>
                      <w:marTop w:val="0"/>
                      <w:marBottom w:val="0"/>
                      <w:divBdr>
                        <w:top w:val="none" w:sz="0" w:space="0" w:color="auto"/>
                        <w:left w:val="none" w:sz="0" w:space="0" w:color="auto"/>
                        <w:bottom w:val="none" w:sz="0" w:space="0" w:color="auto"/>
                        <w:right w:val="none" w:sz="0" w:space="0" w:color="auto"/>
                      </w:divBdr>
                    </w:div>
                  </w:divsChild>
                </w:div>
                <w:div w:id="170267874">
                  <w:marLeft w:val="0"/>
                  <w:marRight w:val="0"/>
                  <w:marTop w:val="0"/>
                  <w:marBottom w:val="0"/>
                  <w:divBdr>
                    <w:top w:val="none" w:sz="0" w:space="0" w:color="auto"/>
                    <w:left w:val="none" w:sz="0" w:space="0" w:color="auto"/>
                    <w:bottom w:val="none" w:sz="0" w:space="0" w:color="auto"/>
                    <w:right w:val="none" w:sz="0" w:space="0" w:color="auto"/>
                  </w:divBdr>
                  <w:divsChild>
                    <w:div w:id="512695208">
                      <w:marLeft w:val="0"/>
                      <w:marRight w:val="0"/>
                      <w:marTop w:val="0"/>
                      <w:marBottom w:val="0"/>
                      <w:divBdr>
                        <w:top w:val="none" w:sz="0" w:space="0" w:color="auto"/>
                        <w:left w:val="none" w:sz="0" w:space="0" w:color="auto"/>
                        <w:bottom w:val="none" w:sz="0" w:space="0" w:color="auto"/>
                        <w:right w:val="none" w:sz="0" w:space="0" w:color="auto"/>
                      </w:divBdr>
                    </w:div>
                  </w:divsChild>
                </w:div>
                <w:div w:id="1232305883">
                  <w:marLeft w:val="0"/>
                  <w:marRight w:val="0"/>
                  <w:marTop w:val="0"/>
                  <w:marBottom w:val="0"/>
                  <w:divBdr>
                    <w:top w:val="none" w:sz="0" w:space="0" w:color="auto"/>
                    <w:left w:val="none" w:sz="0" w:space="0" w:color="auto"/>
                    <w:bottom w:val="none" w:sz="0" w:space="0" w:color="auto"/>
                    <w:right w:val="none" w:sz="0" w:space="0" w:color="auto"/>
                  </w:divBdr>
                  <w:divsChild>
                    <w:div w:id="1233153215">
                      <w:marLeft w:val="0"/>
                      <w:marRight w:val="0"/>
                      <w:marTop w:val="0"/>
                      <w:marBottom w:val="0"/>
                      <w:divBdr>
                        <w:top w:val="none" w:sz="0" w:space="0" w:color="auto"/>
                        <w:left w:val="none" w:sz="0" w:space="0" w:color="auto"/>
                        <w:bottom w:val="none" w:sz="0" w:space="0" w:color="auto"/>
                        <w:right w:val="none" w:sz="0" w:space="0" w:color="auto"/>
                      </w:divBdr>
                      <w:divsChild>
                        <w:div w:id="925959197">
                          <w:marLeft w:val="0"/>
                          <w:marRight w:val="0"/>
                          <w:marTop w:val="0"/>
                          <w:marBottom w:val="0"/>
                          <w:divBdr>
                            <w:top w:val="none" w:sz="0" w:space="0" w:color="auto"/>
                            <w:left w:val="none" w:sz="0" w:space="0" w:color="auto"/>
                            <w:bottom w:val="none" w:sz="0" w:space="0" w:color="auto"/>
                            <w:right w:val="none" w:sz="0" w:space="0" w:color="auto"/>
                          </w:divBdr>
                          <w:divsChild>
                            <w:div w:id="493451077">
                              <w:marLeft w:val="0"/>
                              <w:marRight w:val="0"/>
                              <w:marTop w:val="0"/>
                              <w:marBottom w:val="0"/>
                              <w:divBdr>
                                <w:top w:val="none" w:sz="0" w:space="0" w:color="auto"/>
                                <w:left w:val="none" w:sz="0" w:space="0" w:color="auto"/>
                                <w:bottom w:val="none" w:sz="0" w:space="0" w:color="auto"/>
                                <w:right w:val="none" w:sz="0" w:space="0" w:color="auto"/>
                              </w:divBdr>
                            </w:div>
                          </w:divsChild>
                        </w:div>
                        <w:div w:id="1334915871">
                          <w:marLeft w:val="0"/>
                          <w:marRight w:val="0"/>
                          <w:marTop w:val="0"/>
                          <w:marBottom w:val="0"/>
                          <w:divBdr>
                            <w:top w:val="none" w:sz="0" w:space="0" w:color="auto"/>
                            <w:left w:val="none" w:sz="0" w:space="0" w:color="auto"/>
                            <w:bottom w:val="none" w:sz="0" w:space="0" w:color="auto"/>
                            <w:right w:val="none" w:sz="0" w:space="0" w:color="auto"/>
                          </w:divBdr>
                          <w:divsChild>
                            <w:div w:id="12555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1177">
                      <w:marLeft w:val="0"/>
                      <w:marRight w:val="0"/>
                      <w:marTop w:val="0"/>
                      <w:marBottom w:val="0"/>
                      <w:divBdr>
                        <w:top w:val="none" w:sz="0" w:space="0" w:color="auto"/>
                        <w:left w:val="none" w:sz="0" w:space="0" w:color="auto"/>
                        <w:bottom w:val="none" w:sz="0" w:space="0" w:color="auto"/>
                        <w:right w:val="none" w:sz="0" w:space="0" w:color="auto"/>
                      </w:divBdr>
                      <w:divsChild>
                        <w:div w:id="2017688595">
                          <w:marLeft w:val="0"/>
                          <w:marRight w:val="0"/>
                          <w:marTop w:val="0"/>
                          <w:marBottom w:val="0"/>
                          <w:divBdr>
                            <w:top w:val="none" w:sz="0" w:space="0" w:color="auto"/>
                            <w:left w:val="none" w:sz="0" w:space="0" w:color="auto"/>
                            <w:bottom w:val="none" w:sz="0" w:space="0" w:color="auto"/>
                            <w:right w:val="none" w:sz="0" w:space="0" w:color="auto"/>
                          </w:divBdr>
                          <w:divsChild>
                            <w:div w:id="12537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305">
                      <w:marLeft w:val="0"/>
                      <w:marRight w:val="0"/>
                      <w:marTop w:val="0"/>
                      <w:marBottom w:val="0"/>
                      <w:divBdr>
                        <w:top w:val="none" w:sz="0" w:space="0" w:color="auto"/>
                        <w:left w:val="none" w:sz="0" w:space="0" w:color="auto"/>
                        <w:bottom w:val="none" w:sz="0" w:space="0" w:color="auto"/>
                        <w:right w:val="none" w:sz="0" w:space="0" w:color="auto"/>
                      </w:divBdr>
                      <w:divsChild>
                        <w:div w:id="507404951">
                          <w:marLeft w:val="0"/>
                          <w:marRight w:val="0"/>
                          <w:marTop w:val="0"/>
                          <w:marBottom w:val="0"/>
                          <w:divBdr>
                            <w:top w:val="none" w:sz="0" w:space="0" w:color="auto"/>
                            <w:left w:val="none" w:sz="0" w:space="0" w:color="auto"/>
                            <w:bottom w:val="none" w:sz="0" w:space="0" w:color="auto"/>
                            <w:right w:val="none" w:sz="0" w:space="0" w:color="auto"/>
                          </w:divBdr>
                          <w:divsChild>
                            <w:div w:id="17675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2697">
                  <w:marLeft w:val="0"/>
                  <w:marRight w:val="0"/>
                  <w:marTop w:val="0"/>
                  <w:marBottom w:val="0"/>
                  <w:divBdr>
                    <w:top w:val="none" w:sz="0" w:space="0" w:color="auto"/>
                    <w:left w:val="none" w:sz="0" w:space="0" w:color="auto"/>
                    <w:bottom w:val="none" w:sz="0" w:space="0" w:color="auto"/>
                    <w:right w:val="none" w:sz="0" w:space="0" w:color="auto"/>
                  </w:divBdr>
                  <w:divsChild>
                    <w:div w:id="937448093">
                      <w:marLeft w:val="0"/>
                      <w:marRight w:val="0"/>
                      <w:marTop w:val="0"/>
                      <w:marBottom w:val="0"/>
                      <w:divBdr>
                        <w:top w:val="none" w:sz="0" w:space="0" w:color="auto"/>
                        <w:left w:val="none" w:sz="0" w:space="0" w:color="auto"/>
                        <w:bottom w:val="none" w:sz="0" w:space="0" w:color="auto"/>
                        <w:right w:val="none" w:sz="0" w:space="0" w:color="auto"/>
                      </w:divBdr>
                    </w:div>
                  </w:divsChild>
                </w:div>
                <w:div w:id="260991683">
                  <w:marLeft w:val="0"/>
                  <w:marRight w:val="0"/>
                  <w:marTop w:val="0"/>
                  <w:marBottom w:val="0"/>
                  <w:divBdr>
                    <w:top w:val="none" w:sz="0" w:space="0" w:color="auto"/>
                    <w:left w:val="none" w:sz="0" w:space="0" w:color="auto"/>
                    <w:bottom w:val="none" w:sz="0" w:space="0" w:color="auto"/>
                    <w:right w:val="none" w:sz="0" w:space="0" w:color="auto"/>
                  </w:divBdr>
                  <w:divsChild>
                    <w:div w:id="674381639">
                      <w:marLeft w:val="0"/>
                      <w:marRight w:val="0"/>
                      <w:marTop w:val="0"/>
                      <w:marBottom w:val="0"/>
                      <w:divBdr>
                        <w:top w:val="none" w:sz="0" w:space="0" w:color="auto"/>
                        <w:left w:val="none" w:sz="0" w:space="0" w:color="auto"/>
                        <w:bottom w:val="none" w:sz="0" w:space="0" w:color="auto"/>
                        <w:right w:val="none" w:sz="0" w:space="0" w:color="auto"/>
                      </w:divBdr>
                    </w:div>
                  </w:divsChild>
                </w:div>
                <w:div w:id="1929920190">
                  <w:marLeft w:val="0"/>
                  <w:marRight w:val="0"/>
                  <w:marTop w:val="0"/>
                  <w:marBottom w:val="0"/>
                  <w:divBdr>
                    <w:top w:val="none" w:sz="0" w:space="0" w:color="auto"/>
                    <w:left w:val="none" w:sz="0" w:space="0" w:color="auto"/>
                    <w:bottom w:val="none" w:sz="0" w:space="0" w:color="auto"/>
                    <w:right w:val="none" w:sz="0" w:space="0" w:color="auto"/>
                  </w:divBdr>
                  <w:divsChild>
                    <w:div w:id="1616326215">
                      <w:marLeft w:val="0"/>
                      <w:marRight w:val="0"/>
                      <w:marTop w:val="0"/>
                      <w:marBottom w:val="0"/>
                      <w:divBdr>
                        <w:top w:val="none" w:sz="0" w:space="0" w:color="auto"/>
                        <w:left w:val="none" w:sz="0" w:space="0" w:color="auto"/>
                        <w:bottom w:val="none" w:sz="0" w:space="0" w:color="auto"/>
                        <w:right w:val="none" w:sz="0" w:space="0" w:color="auto"/>
                      </w:divBdr>
                    </w:div>
                  </w:divsChild>
                </w:div>
                <w:div w:id="1380591203">
                  <w:marLeft w:val="0"/>
                  <w:marRight w:val="0"/>
                  <w:marTop w:val="0"/>
                  <w:marBottom w:val="0"/>
                  <w:divBdr>
                    <w:top w:val="none" w:sz="0" w:space="0" w:color="auto"/>
                    <w:left w:val="none" w:sz="0" w:space="0" w:color="auto"/>
                    <w:bottom w:val="none" w:sz="0" w:space="0" w:color="auto"/>
                    <w:right w:val="none" w:sz="0" w:space="0" w:color="auto"/>
                  </w:divBdr>
                  <w:divsChild>
                    <w:div w:id="176626982">
                      <w:marLeft w:val="0"/>
                      <w:marRight w:val="0"/>
                      <w:marTop w:val="0"/>
                      <w:marBottom w:val="0"/>
                      <w:divBdr>
                        <w:top w:val="none" w:sz="0" w:space="0" w:color="auto"/>
                        <w:left w:val="none" w:sz="0" w:space="0" w:color="auto"/>
                        <w:bottom w:val="none" w:sz="0" w:space="0" w:color="auto"/>
                        <w:right w:val="none" w:sz="0" w:space="0" w:color="auto"/>
                      </w:divBdr>
                    </w:div>
                  </w:divsChild>
                </w:div>
                <w:div w:id="885141465">
                  <w:marLeft w:val="0"/>
                  <w:marRight w:val="0"/>
                  <w:marTop w:val="0"/>
                  <w:marBottom w:val="0"/>
                  <w:divBdr>
                    <w:top w:val="none" w:sz="0" w:space="0" w:color="auto"/>
                    <w:left w:val="none" w:sz="0" w:space="0" w:color="auto"/>
                    <w:bottom w:val="none" w:sz="0" w:space="0" w:color="auto"/>
                    <w:right w:val="none" w:sz="0" w:space="0" w:color="auto"/>
                  </w:divBdr>
                  <w:divsChild>
                    <w:div w:id="4431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711">
          <w:marLeft w:val="0"/>
          <w:marRight w:val="0"/>
          <w:marTop w:val="0"/>
          <w:marBottom w:val="0"/>
          <w:divBdr>
            <w:top w:val="none" w:sz="0" w:space="0" w:color="auto"/>
            <w:left w:val="none" w:sz="0" w:space="0" w:color="auto"/>
            <w:bottom w:val="none" w:sz="0" w:space="0" w:color="auto"/>
            <w:right w:val="none" w:sz="0" w:space="0" w:color="auto"/>
          </w:divBdr>
          <w:divsChild>
            <w:div w:id="1698848791">
              <w:marLeft w:val="0"/>
              <w:marRight w:val="0"/>
              <w:marTop w:val="0"/>
              <w:marBottom w:val="0"/>
              <w:divBdr>
                <w:top w:val="none" w:sz="0" w:space="0" w:color="auto"/>
                <w:left w:val="none" w:sz="0" w:space="0" w:color="auto"/>
                <w:bottom w:val="none" w:sz="0" w:space="0" w:color="auto"/>
                <w:right w:val="none" w:sz="0" w:space="0" w:color="auto"/>
              </w:divBdr>
              <w:divsChild>
                <w:div w:id="1932081305">
                  <w:marLeft w:val="0"/>
                  <w:marRight w:val="0"/>
                  <w:marTop w:val="0"/>
                  <w:marBottom w:val="0"/>
                  <w:divBdr>
                    <w:top w:val="none" w:sz="0" w:space="0" w:color="auto"/>
                    <w:left w:val="none" w:sz="0" w:space="0" w:color="auto"/>
                    <w:bottom w:val="none" w:sz="0" w:space="0" w:color="auto"/>
                    <w:right w:val="none" w:sz="0" w:space="0" w:color="auto"/>
                  </w:divBdr>
                  <w:divsChild>
                    <w:div w:id="333067541">
                      <w:marLeft w:val="0"/>
                      <w:marRight w:val="0"/>
                      <w:marTop w:val="0"/>
                      <w:marBottom w:val="0"/>
                      <w:divBdr>
                        <w:top w:val="none" w:sz="0" w:space="0" w:color="auto"/>
                        <w:left w:val="none" w:sz="0" w:space="0" w:color="auto"/>
                        <w:bottom w:val="none" w:sz="0" w:space="0" w:color="auto"/>
                        <w:right w:val="none" w:sz="0" w:space="0" w:color="auto"/>
                      </w:divBdr>
                    </w:div>
                  </w:divsChild>
                </w:div>
                <w:div w:id="869535163">
                  <w:marLeft w:val="0"/>
                  <w:marRight w:val="0"/>
                  <w:marTop w:val="0"/>
                  <w:marBottom w:val="0"/>
                  <w:divBdr>
                    <w:top w:val="none" w:sz="0" w:space="0" w:color="auto"/>
                    <w:left w:val="none" w:sz="0" w:space="0" w:color="auto"/>
                    <w:bottom w:val="none" w:sz="0" w:space="0" w:color="auto"/>
                    <w:right w:val="none" w:sz="0" w:space="0" w:color="auto"/>
                  </w:divBdr>
                  <w:divsChild>
                    <w:div w:id="1691372257">
                      <w:marLeft w:val="0"/>
                      <w:marRight w:val="0"/>
                      <w:marTop w:val="0"/>
                      <w:marBottom w:val="0"/>
                      <w:divBdr>
                        <w:top w:val="none" w:sz="0" w:space="0" w:color="auto"/>
                        <w:left w:val="none" w:sz="0" w:space="0" w:color="auto"/>
                        <w:bottom w:val="none" w:sz="0" w:space="0" w:color="auto"/>
                        <w:right w:val="none" w:sz="0" w:space="0" w:color="auto"/>
                      </w:divBdr>
                    </w:div>
                  </w:divsChild>
                </w:div>
                <w:div w:id="2134013950">
                  <w:marLeft w:val="0"/>
                  <w:marRight w:val="0"/>
                  <w:marTop w:val="0"/>
                  <w:marBottom w:val="0"/>
                  <w:divBdr>
                    <w:top w:val="none" w:sz="0" w:space="0" w:color="auto"/>
                    <w:left w:val="none" w:sz="0" w:space="0" w:color="auto"/>
                    <w:bottom w:val="none" w:sz="0" w:space="0" w:color="auto"/>
                    <w:right w:val="none" w:sz="0" w:space="0" w:color="auto"/>
                  </w:divBdr>
                  <w:divsChild>
                    <w:div w:id="1408728736">
                      <w:marLeft w:val="0"/>
                      <w:marRight w:val="0"/>
                      <w:marTop w:val="0"/>
                      <w:marBottom w:val="0"/>
                      <w:divBdr>
                        <w:top w:val="none" w:sz="0" w:space="0" w:color="auto"/>
                        <w:left w:val="none" w:sz="0" w:space="0" w:color="auto"/>
                        <w:bottom w:val="none" w:sz="0" w:space="0" w:color="auto"/>
                        <w:right w:val="none" w:sz="0" w:space="0" w:color="auto"/>
                      </w:divBdr>
                    </w:div>
                  </w:divsChild>
                </w:div>
                <w:div w:id="1285963074">
                  <w:marLeft w:val="0"/>
                  <w:marRight w:val="0"/>
                  <w:marTop w:val="0"/>
                  <w:marBottom w:val="0"/>
                  <w:divBdr>
                    <w:top w:val="none" w:sz="0" w:space="0" w:color="auto"/>
                    <w:left w:val="none" w:sz="0" w:space="0" w:color="auto"/>
                    <w:bottom w:val="none" w:sz="0" w:space="0" w:color="auto"/>
                    <w:right w:val="none" w:sz="0" w:space="0" w:color="auto"/>
                  </w:divBdr>
                  <w:divsChild>
                    <w:div w:id="1816751514">
                      <w:marLeft w:val="0"/>
                      <w:marRight w:val="0"/>
                      <w:marTop w:val="0"/>
                      <w:marBottom w:val="0"/>
                      <w:divBdr>
                        <w:top w:val="none" w:sz="0" w:space="0" w:color="auto"/>
                        <w:left w:val="none" w:sz="0" w:space="0" w:color="auto"/>
                        <w:bottom w:val="none" w:sz="0" w:space="0" w:color="auto"/>
                        <w:right w:val="none" w:sz="0" w:space="0" w:color="auto"/>
                      </w:divBdr>
                    </w:div>
                  </w:divsChild>
                </w:div>
                <w:div w:id="1205756547">
                  <w:marLeft w:val="0"/>
                  <w:marRight w:val="0"/>
                  <w:marTop w:val="0"/>
                  <w:marBottom w:val="0"/>
                  <w:divBdr>
                    <w:top w:val="none" w:sz="0" w:space="0" w:color="auto"/>
                    <w:left w:val="none" w:sz="0" w:space="0" w:color="auto"/>
                    <w:bottom w:val="none" w:sz="0" w:space="0" w:color="auto"/>
                    <w:right w:val="none" w:sz="0" w:space="0" w:color="auto"/>
                  </w:divBdr>
                  <w:divsChild>
                    <w:div w:id="830759915">
                      <w:marLeft w:val="0"/>
                      <w:marRight w:val="0"/>
                      <w:marTop w:val="0"/>
                      <w:marBottom w:val="0"/>
                      <w:divBdr>
                        <w:top w:val="none" w:sz="0" w:space="0" w:color="auto"/>
                        <w:left w:val="none" w:sz="0" w:space="0" w:color="auto"/>
                        <w:bottom w:val="none" w:sz="0" w:space="0" w:color="auto"/>
                        <w:right w:val="none" w:sz="0" w:space="0" w:color="auto"/>
                      </w:divBdr>
                    </w:div>
                  </w:divsChild>
                </w:div>
                <w:div w:id="1633055744">
                  <w:marLeft w:val="0"/>
                  <w:marRight w:val="0"/>
                  <w:marTop w:val="0"/>
                  <w:marBottom w:val="0"/>
                  <w:divBdr>
                    <w:top w:val="none" w:sz="0" w:space="0" w:color="auto"/>
                    <w:left w:val="none" w:sz="0" w:space="0" w:color="auto"/>
                    <w:bottom w:val="none" w:sz="0" w:space="0" w:color="auto"/>
                    <w:right w:val="none" w:sz="0" w:space="0" w:color="auto"/>
                  </w:divBdr>
                  <w:divsChild>
                    <w:div w:id="1403983726">
                      <w:marLeft w:val="0"/>
                      <w:marRight w:val="0"/>
                      <w:marTop w:val="0"/>
                      <w:marBottom w:val="0"/>
                      <w:divBdr>
                        <w:top w:val="none" w:sz="0" w:space="0" w:color="auto"/>
                        <w:left w:val="none" w:sz="0" w:space="0" w:color="auto"/>
                        <w:bottom w:val="none" w:sz="0" w:space="0" w:color="auto"/>
                        <w:right w:val="none" w:sz="0" w:space="0" w:color="auto"/>
                      </w:divBdr>
                    </w:div>
                  </w:divsChild>
                </w:div>
                <w:div w:id="752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2313">
      <w:bodyDiv w:val="1"/>
      <w:marLeft w:val="0"/>
      <w:marRight w:val="0"/>
      <w:marTop w:val="0"/>
      <w:marBottom w:val="0"/>
      <w:divBdr>
        <w:top w:val="none" w:sz="0" w:space="0" w:color="auto"/>
        <w:left w:val="none" w:sz="0" w:space="0" w:color="auto"/>
        <w:bottom w:val="none" w:sz="0" w:space="0" w:color="auto"/>
        <w:right w:val="none" w:sz="0" w:space="0" w:color="auto"/>
      </w:divBdr>
      <w:divsChild>
        <w:div w:id="1978802958">
          <w:marLeft w:val="0"/>
          <w:marRight w:val="0"/>
          <w:marTop w:val="0"/>
          <w:marBottom w:val="0"/>
          <w:divBdr>
            <w:top w:val="none" w:sz="0" w:space="0" w:color="auto"/>
            <w:left w:val="none" w:sz="0" w:space="0" w:color="auto"/>
            <w:bottom w:val="none" w:sz="0" w:space="0" w:color="auto"/>
            <w:right w:val="none" w:sz="0" w:space="0" w:color="auto"/>
          </w:divBdr>
          <w:divsChild>
            <w:div w:id="417289035">
              <w:marLeft w:val="0"/>
              <w:marRight w:val="0"/>
              <w:marTop w:val="0"/>
              <w:marBottom w:val="0"/>
              <w:divBdr>
                <w:top w:val="none" w:sz="0" w:space="0" w:color="auto"/>
                <w:left w:val="none" w:sz="0" w:space="0" w:color="auto"/>
                <w:bottom w:val="none" w:sz="0" w:space="0" w:color="auto"/>
                <w:right w:val="none" w:sz="0" w:space="0" w:color="auto"/>
              </w:divBdr>
              <w:divsChild>
                <w:div w:id="6550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3978">
      <w:bodyDiv w:val="1"/>
      <w:marLeft w:val="0"/>
      <w:marRight w:val="0"/>
      <w:marTop w:val="0"/>
      <w:marBottom w:val="0"/>
      <w:divBdr>
        <w:top w:val="none" w:sz="0" w:space="0" w:color="auto"/>
        <w:left w:val="none" w:sz="0" w:space="0" w:color="auto"/>
        <w:bottom w:val="none" w:sz="0" w:space="0" w:color="auto"/>
        <w:right w:val="none" w:sz="0" w:space="0" w:color="auto"/>
      </w:divBdr>
      <w:divsChild>
        <w:div w:id="702170019">
          <w:marLeft w:val="0"/>
          <w:marRight w:val="0"/>
          <w:marTop w:val="0"/>
          <w:marBottom w:val="0"/>
          <w:divBdr>
            <w:top w:val="none" w:sz="0" w:space="0" w:color="auto"/>
            <w:left w:val="none" w:sz="0" w:space="0" w:color="auto"/>
            <w:bottom w:val="none" w:sz="0" w:space="0" w:color="auto"/>
            <w:right w:val="none" w:sz="0" w:space="0" w:color="auto"/>
          </w:divBdr>
          <w:divsChild>
            <w:div w:id="1648585403">
              <w:marLeft w:val="0"/>
              <w:marRight w:val="0"/>
              <w:marTop w:val="0"/>
              <w:marBottom w:val="0"/>
              <w:divBdr>
                <w:top w:val="none" w:sz="0" w:space="0" w:color="auto"/>
                <w:left w:val="none" w:sz="0" w:space="0" w:color="auto"/>
                <w:bottom w:val="none" w:sz="0" w:space="0" w:color="auto"/>
                <w:right w:val="none" w:sz="0" w:space="0" w:color="auto"/>
              </w:divBdr>
              <w:divsChild>
                <w:div w:id="920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5675">
      <w:bodyDiv w:val="1"/>
      <w:marLeft w:val="0"/>
      <w:marRight w:val="0"/>
      <w:marTop w:val="0"/>
      <w:marBottom w:val="0"/>
      <w:divBdr>
        <w:top w:val="none" w:sz="0" w:space="0" w:color="auto"/>
        <w:left w:val="none" w:sz="0" w:space="0" w:color="auto"/>
        <w:bottom w:val="none" w:sz="0" w:space="0" w:color="auto"/>
        <w:right w:val="none" w:sz="0" w:space="0" w:color="auto"/>
      </w:divBdr>
    </w:div>
    <w:div w:id="1670517403">
      <w:bodyDiv w:val="1"/>
      <w:marLeft w:val="0"/>
      <w:marRight w:val="0"/>
      <w:marTop w:val="0"/>
      <w:marBottom w:val="0"/>
      <w:divBdr>
        <w:top w:val="none" w:sz="0" w:space="0" w:color="auto"/>
        <w:left w:val="none" w:sz="0" w:space="0" w:color="auto"/>
        <w:bottom w:val="none" w:sz="0" w:space="0" w:color="auto"/>
        <w:right w:val="none" w:sz="0" w:space="0" w:color="auto"/>
      </w:divBdr>
    </w:div>
    <w:div w:id="1681616483">
      <w:bodyDiv w:val="1"/>
      <w:marLeft w:val="0"/>
      <w:marRight w:val="0"/>
      <w:marTop w:val="0"/>
      <w:marBottom w:val="0"/>
      <w:divBdr>
        <w:top w:val="none" w:sz="0" w:space="0" w:color="auto"/>
        <w:left w:val="none" w:sz="0" w:space="0" w:color="auto"/>
        <w:bottom w:val="none" w:sz="0" w:space="0" w:color="auto"/>
        <w:right w:val="none" w:sz="0" w:space="0" w:color="auto"/>
      </w:divBdr>
      <w:divsChild>
        <w:div w:id="260528280">
          <w:marLeft w:val="0"/>
          <w:marRight w:val="0"/>
          <w:marTop w:val="0"/>
          <w:marBottom w:val="0"/>
          <w:divBdr>
            <w:top w:val="none" w:sz="0" w:space="0" w:color="auto"/>
            <w:left w:val="none" w:sz="0" w:space="0" w:color="auto"/>
            <w:bottom w:val="none" w:sz="0" w:space="0" w:color="auto"/>
            <w:right w:val="none" w:sz="0" w:space="0" w:color="auto"/>
          </w:divBdr>
          <w:divsChild>
            <w:div w:id="1759209903">
              <w:marLeft w:val="0"/>
              <w:marRight w:val="0"/>
              <w:marTop w:val="0"/>
              <w:marBottom w:val="0"/>
              <w:divBdr>
                <w:top w:val="none" w:sz="0" w:space="0" w:color="auto"/>
                <w:left w:val="none" w:sz="0" w:space="0" w:color="auto"/>
                <w:bottom w:val="none" w:sz="0" w:space="0" w:color="auto"/>
                <w:right w:val="none" w:sz="0" w:space="0" w:color="auto"/>
              </w:divBdr>
              <w:divsChild>
                <w:div w:id="1776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8953">
      <w:bodyDiv w:val="1"/>
      <w:marLeft w:val="0"/>
      <w:marRight w:val="0"/>
      <w:marTop w:val="0"/>
      <w:marBottom w:val="0"/>
      <w:divBdr>
        <w:top w:val="none" w:sz="0" w:space="0" w:color="auto"/>
        <w:left w:val="none" w:sz="0" w:space="0" w:color="auto"/>
        <w:bottom w:val="none" w:sz="0" w:space="0" w:color="auto"/>
        <w:right w:val="none" w:sz="0" w:space="0" w:color="auto"/>
      </w:divBdr>
    </w:div>
    <w:div w:id="1709984626">
      <w:bodyDiv w:val="1"/>
      <w:marLeft w:val="0"/>
      <w:marRight w:val="0"/>
      <w:marTop w:val="0"/>
      <w:marBottom w:val="0"/>
      <w:divBdr>
        <w:top w:val="none" w:sz="0" w:space="0" w:color="auto"/>
        <w:left w:val="none" w:sz="0" w:space="0" w:color="auto"/>
        <w:bottom w:val="none" w:sz="0" w:space="0" w:color="auto"/>
        <w:right w:val="none" w:sz="0" w:space="0" w:color="auto"/>
      </w:divBdr>
      <w:divsChild>
        <w:div w:id="912201072">
          <w:marLeft w:val="0"/>
          <w:marRight w:val="0"/>
          <w:marTop w:val="0"/>
          <w:marBottom w:val="0"/>
          <w:divBdr>
            <w:top w:val="none" w:sz="0" w:space="0" w:color="auto"/>
            <w:left w:val="none" w:sz="0" w:space="0" w:color="auto"/>
            <w:bottom w:val="none" w:sz="0" w:space="0" w:color="auto"/>
            <w:right w:val="none" w:sz="0" w:space="0" w:color="auto"/>
          </w:divBdr>
          <w:divsChild>
            <w:div w:id="462188113">
              <w:marLeft w:val="0"/>
              <w:marRight w:val="0"/>
              <w:marTop w:val="0"/>
              <w:marBottom w:val="0"/>
              <w:divBdr>
                <w:top w:val="none" w:sz="0" w:space="0" w:color="auto"/>
                <w:left w:val="none" w:sz="0" w:space="0" w:color="auto"/>
                <w:bottom w:val="none" w:sz="0" w:space="0" w:color="auto"/>
                <w:right w:val="none" w:sz="0" w:space="0" w:color="auto"/>
              </w:divBdr>
              <w:divsChild>
                <w:div w:id="15996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211">
      <w:bodyDiv w:val="1"/>
      <w:marLeft w:val="0"/>
      <w:marRight w:val="0"/>
      <w:marTop w:val="0"/>
      <w:marBottom w:val="0"/>
      <w:divBdr>
        <w:top w:val="none" w:sz="0" w:space="0" w:color="auto"/>
        <w:left w:val="none" w:sz="0" w:space="0" w:color="auto"/>
        <w:bottom w:val="none" w:sz="0" w:space="0" w:color="auto"/>
        <w:right w:val="none" w:sz="0" w:space="0" w:color="auto"/>
      </w:divBdr>
      <w:divsChild>
        <w:div w:id="195510055">
          <w:marLeft w:val="0"/>
          <w:marRight w:val="0"/>
          <w:marTop w:val="0"/>
          <w:marBottom w:val="0"/>
          <w:divBdr>
            <w:top w:val="none" w:sz="0" w:space="0" w:color="auto"/>
            <w:left w:val="none" w:sz="0" w:space="0" w:color="auto"/>
            <w:bottom w:val="none" w:sz="0" w:space="0" w:color="auto"/>
            <w:right w:val="none" w:sz="0" w:space="0" w:color="auto"/>
          </w:divBdr>
          <w:divsChild>
            <w:div w:id="2090806689">
              <w:marLeft w:val="0"/>
              <w:marRight w:val="0"/>
              <w:marTop w:val="0"/>
              <w:marBottom w:val="0"/>
              <w:divBdr>
                <w:top w:val="none" w:sz="0" w:space="0" w:color="auto"/>
                <w:left w:val="none" w:sz="0" w:space="0" w:color="auto"/>
                <w:bottom w:val="none" w:sz="0" w:space="0" w:color="auto"/>
                <w:right w:val="none" w:sz="0" w:space="0" w:color="auto"/>
              </w:divBdr>
              <w:divsChild>
                <w:div w:id="1877348833">
                  <w:marLeft w:val="0"/>
                  <w:marRight w:val="0"/>
                  <w:marTop w:val="0"/>
                  <w:marBottom w:val="0"/>
                  <w:divBdr>
                    <w:top w:val="none" w:sz="0" w:space="0" w:color="auto"/>
                    <w:left w:val="none" w:sz="0" w:space="0" w:color="auto"/>
                    <w:bottom w:val="none" w:sz="0" w:space="0" w:color="auto"/>
                    <w:right w:val="none" w:sz="0" w:space="0" w:color="auto"/>
                  </w:divBdr>
                </w:div>
              </w:divsChild>
            </w:div>
            <w:div w:id="971977645">
              <w:marLeft w:val="0"/>
              <w:marRight w:val="0"/>
              <w:marTop w:val="0"/>
              <w:marBottom w:val="0"/>
              <w:divBdr>
                <w:top w:val="none" w:sz="0" w:space="0" w:color="auto"/>
                <w:left w:val="none" w:sz="0" w:space="0" w:color="auto"/>
                <w:bottom w:val="none" w:sz="0" w:space="0" w:color="auto"/>
                <w:right w:val="none" w:sz="0" w:space="0" w:color="auto"/>
              </w:divBdr>
              <w:divsChild>
                <w:div w:id="92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6599">
      <w:bodyDiv w:val="1"/>
      <w:marLeft w:val="0"/>
      <w:marRight w:val="0"/>
      <w:marTop w:val="0"/>
      <w:marBottom w:val="0"/>
      <w:divBdr>
        <w:top w:val="none" w:sz="0" w:space="0" w:color="auto"/>
        <w:left w:val="none" w:sz="0" w:space="0" w:color="auto"/>
        <w:bottom w:val="none" w:sz="0" w:space="0" w:color="auto"/>
        <w:right w:val="none" w:sz="0" w:space="0" w:color="auto"/>
      </w:divBdr>
      <w:divsChild>
        <w:div w:id="1779445215">
          <w:marLeft w:val="0"/>
          <w:marRight w:val="0"/>
          <w:marTop w:val="0"/>
          <w:marBottom w:val="0"/>
          <w:divBdr>
            <w:top w:val="none" w:sz="0" w:space="0" w:color="auto"/>
            <w:left w:val="none" w:sz="0" w:space="0" w:color="auto"/>
            <w:bottom w:val="none" w:sz="0" w:space="0" w:color="auto"/>
            <w:right w:val="none" w:sz="0" w:space="0" w:color="auto"/>
          </w:divBdr>
          <w:divsChild>
            <w:div w:id="1502889168">
              <w:marLeft w:val="0"/>
              <w:marRight w:val="0"/>
              <w:marTop w:val="0"/>
              <w:marBottom w:val="0"/>
              <w:divBdr>
                <w:top w:val="none" w:sz="0" w:space="0" w:color="auto"/>
                <w:left w:val="none" w:sz="0" w:space="0" w:color="auto"/>
                <w:bottom w:val="none" w:sz="0" w:space="0" w:color="auto"/>
                <w:right w:val="none" w:sz="0" w:space="0" w:color="auto"/>
              </w:divBdr>
              <w:divsChild>
                <w:div w:id="2355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50739">
      <w:bodyDiv w:val="1"/>
      <w:marLeft w:val="0"/>
      <w:marRight w:val="0"/>
      <w:marTop w:val="0"/>
      <w:marBottom w:val="0"/>
      <w:divBdr>
        <w:top w:val="none" w:sz="0" w:space="0" w:color="auto"/>
        <w:left w:val="none" w:sz="0" w:space="0" w:color="auto"/>
        <w:bottom w:val="none" w:sz="0" w:space="0" w:color="auto"/>
        <w:right w:val="none" w:sz="0" w:space="0" w:color="auto"/>
      </w:divBdr>
      <w:divsChild>
        <w:div w:id="1255699960">
          <w:marLeft w:val="0"/>
          <w:marRight w:val="0"/>
          <w:marTop w:val="0"/>
          <w:marBottom w:val="0"/>
          <w:divBdr>
            <w:top w:val="none" w:sz="0" w:space="0" w:color="auto"/>
            <w:left w:val="none" w:sz="0" w:space="0" w:color="auto"/>
            <w:bottom w:val="none" w:sz="0" w:space="0" w:color="auto"/>
            <w:right w:val="none" w:sz="0" w:space="0" w:color="auto"/>
          </w:divBdr>
          <w:divsChild>
            <w:div w:id="1316252904">
              <w:marLeft w:val="0"/>
              <w:marRight w:val="0"/>
              <w:marTop w:val="0"/>
              <w:marBottom w:val="0"/>
              <w:divBdr>
                <w:top w:val="none" w:sz="0" w:space="0" w:color="auto"/>
                <w:left w:val="none" w:sz="0" w:space="0" w:color="auto"/>
                <w:bottom w:val="none" w:sz="0" w:space="0" w:color="auto"/>
                <w:right w:val="none" w:sz="0" w:space="0" w:color="auto"/>
              </w:divBdr>
              <w:divsChild>
                <w:div w:id="244918293">
                  <w:marLeft w:val="0"/>
                  <w:marRight w:val="0"/>
                  <w:marTop w:val="0"/>
                  <w:marBottom w:val="0"/>
                  <w:divBdr>
                    <w:top w:val="none" w:sz="0" w:space="0" w:color="auto"/>
                    <w:left w:val="none" w:sz="0" w:space="0" w:color="auto"/>
                    <w:bottom w:val="none" w:sz="0" w:space="0" w:color="auto"/>
                    <w:right w:val="none" w:sz="0" w:space="0" w:color="auto"/>
                  </w:divBdr>
                </w:div>
              </w:divsChild>
            </w:div>
            <w:div w:id="1058359244">
              <w:marLeft w:val="0"/>
              <w:marRight w:val="0"/>
              <w:marTop w:val="0"/>
              <w:marBottom w:val="0"/>
              <w:divBdr>
                <w:top w:val="none" w:sz="0" w:space="0" w:color="auto"/>
                <w:left w:val="none" w:sz="0" w:space="0" w:color="auto"/>
                <w:bottom w:val="none" w:sz="0" w:space="0" w:color="auto"/>
                <w:right w:val="none" w:sz="0" w:space="0" w:color="auto"/>
              </w:divBdr>
              <w:divsChild>
                <w:div w:id="2064330880">
                  <w:marLeft w:val="0"/>
                  <w:marRight w:val="0"/>
                  <w:marTop w:val="0"/>
                  <w:marBottom w:val="0"/>
                  <w:divBdr>
                    <w:top w:val="none" w:sz="0" w:space="0" w:color="auto"/>
                    <w:left w:val="none" w:sz="0" w:space="0" w:color="auto"/>
                    <w:bottom w:val="none" w:sz="0" w:space="0" w:color="auto"/>
                    <w:right w:val="none" w:sz="0" w:space="0" w:color="auto"/>
                  </w:divBdr>
                </w:div>
              </w:divsChild>
            </w:div>
            <w:div w:id="1183518904">
              <w:marLeft w:val="0"/>
              <w:marRight w:val="0"/>
              <w:marTop w:val="0"/>
              <w:marBottom w:val="0"/>
              <w:divBdr>
                <w:top w:val="none" w:sz="0" w:space="0" w:color="auto"/>
                <w:left w:val="none" w:sz="0" w:space="0" w:color="auto"/>
                <w:bottom w:val="none" w:sz="0" w:space="0" w:color="auto"/>
                <w:right w:val="none" w:sz="0" w:space="0" w:color="auto"/>
              </w:divBdr>
              <w:divsChild>
                <w:div w:id="480662709">
                  <w:marLeft w:val="0"/>
                  <w:marRight w:val="0"/>
                  <w:marTop w:val="0"/>
                  <w:marBottom w:val="0"/>
                  <w:divBdr>
                    <w:top w:val="none" w:sz="0" w:space="0" w:color="auto"/>
                    <w:left w:val="none" w:sz="0" w:space="0" w:color="auto"/>
                    <w:bottom w:val="none" w:sz="0" w:space="0" w:color="auto"/>
                    <w:right w:val="none" w:sz="0" w:space="0" w:color="auto"/>
                  </w:divBdr>
                </w:div>
              </w:divsChild>
            </w:div>
            <w:div w:id="1803033977">
              <w:marLeft w:val="0"/>
              <w:marRight w:val="0"/>
              <w:marTop w:val="0"/>
              <w:marBottom w:val="0"/>
              <w:divBdr>
                <w:top w:val="none" w:sz="0" w:space="0" w:color="auto"/>
                <w:left w:val="none" w:sz="0" w:space="0" w:color="auto"/>
                <w:bottom w:val="none" w:sz="0" w:space="0" w:color="auto"/>
                <w:right w:val="none" w:sz="0" w:space="0" w:color="auto"/>
              </w:divBdr>
              <w:divsChild>
                <w:div w:id="37974700">
                  <w:marLeft w:val="0"/>
                  <w:marRight w:val="0"/>
                  <w:marTop w:val="0"/>
                  <w:marBottom w:val="0"/>
                  <w:divBdr>
                    <w:top w:val="none" w:sz="0" w:space="0" w:color="auto"/>
                    <w:left w:val="none" w:sz="0" w:space="0" w:color="auto"/>
                    <w:bottom w:val="none" w:sz="0" w:space="0" w:color="auto"/>
                    <w:right w:val="none" w:sz="0" w:space="0" w:color="auto"/>
                  </w:divBdr>
                </w:div>
              </w:divsChild>
            </w:div>
            <w:div w:id="2043826088">
              <w:marLeft w:val="0"/>
              <w:marRight w:val="0"/>
              <w:marTop w:val="0"/>
              <w:marBottom w:val="0"/>
              <w:divBdr>
                <w:top w:val="none" w:sz="0" w:space="0" w:color="auto"/>
                <w:left w:val="none" w:sz="0" w:space="0" w:color="auto"/>
                <w:bottom w:val="none" w:sz="0" w:space="0" w:color="auto"/>
                <w:right w:val="none" w:sz="0" w:space="0" w:color="auto"/>
              </w:divBdr>
              <w:divsChild>
                <w:div w:id="814487383">
                  <w:marLeft w:val="0"/>
                  <w:marRight w:val="0"/>
                  <w:marTop w:val="0"/>
                  <w:marBottom w:val="0"/>
                  <w:divBdr>
                    <w:top w:val="none" w:sz="0" w:space="0" w:color="auto"/>
                    <w:left w:val="none" w:sz="0" w:space="0" w:color="auto"/>
                    <w:bottom w:val="none" w:sz="0" w:space="0" w:color="auto"/>
                    <w:right w:val="none" w:sz="0" w:space="0" w:color="auto"/>
                  </w:divBdr>
                </w:div>
              </w:divsChild>
            </w:div>
            <w:div w:id="1502232122">
              <w:marLeft w:val="0"/>
              <w:marRight w:val="0"/>
              <w:marTop w:val="0"/>
              <w:marBottom w:val="0"/>
              <w:divBdr>
                <w:top w:val="none" w:sz="0" w:space="0" w:color="auto"/>
                <w:left w:val="none" w:sz="0" w:space="0" w:color="auto"/>
                <w:bottom w:val="none" w:sz="0" w:space="0" w:color="auto"/>
                <w:right w:val="none" w:sz="0" w:space="0" w:color="auto"/>
              </w:divBdr>
              <w:divsChild>
                <w:div w:id="265844820">
                  <w:marLeft w:val="0"/>
                  <w:marRight w:val="0"/>
                  <w:marTop w:val="0"/>
                  <w:marBottom w:val="0"/>
                  <w:divBdr>
                    <w:top w:val="none" w:sz="0" w:space="0" w:color="auto"/>
                    <w:left w:val="none" w:sz="0" w:space="0" w:color="auto"/>
                    <w:bottom w:val="none" w:sz="0" w:space="0" w:color="auto"/>
                    <w:right w:val="none" w:sz="0" w:space="0" w:color="auto"/>
                  </w:divBdr>
                </w:div>
              </w:divsChild>
            </w:div>
            <w:div w:id="1777870572">
              <w:marLeft w:val="0"/>
              <w:marRight w:val="0"/>
              <w:marTop w:val="0"/>
              <w:marBottom w:val="0"/>
              <w:divBdr>
                <w:top w:val="none" w:sz="0" w:space="0" w:color="auto"/>
                <w:left w:val="none" w:sz="0" w:space="0" w:color="auto"/>
                <w:bottom w:val="none" w:sz="0" w:space="0" w:color="auto"/>
                <w:right w:val="none" w:sz="0" w:space="0" w:color="auto"/>
              </w:divBdr>
              <w:divsChild>
                <w:div w:id="15879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8734">
      <w:bodyDiv w:val="1"/>
      <w:marLeft w:val="0"/>
      <w:marRight w:val="0"/>
      <w:marTop w:val="0"/>
      <w:marBottom w:val="0"/>
      <w:divBdr>
        <w:top w:val="none" w:sz="0" w:space="0" w:color="auto"/>
        <w:left w:val="none" w:sz="0" w:space="0" w:color="auto"/>
        <w:bottom w:val="none" w:sz="0" w:space="0" w:color="auto"/>
        <w:right w:val="none" w:sz="0" w:space="0" w:color="auto"/>
      </w:divBdr>
      <w:divsChild>
        <w:div w:id="486938345">
          <w:marLeft w:val="0"/>
          <w:marRight w:val="0"/>
          <w:marTop w:val="0"/>
          <w:marBottom w:val="0"/>
          <w:divBdr>
            <w:top w:val="none" w:sz="0" w:space="0" w:color="auto"/>
            <w:left w:val="none" w:sz="0" w:space="0" w:color="auto"/>
            <w:bottom w:val="none" w:sz="0" w:space="0" w:color="auto"/>
            <w:right w:val="none" w:sz="0" w:space="0" w:color="auto"/>
          </w:divBdr>
          <w:divsChild>
            <w:div w:id="1849982015">
              <w:marLeft w:val="0"/>
              <w:marRight w:val="0"/>
              <w:marTop w:val="0"/>
              <w:marBottom w:val="0"/>
              <w:divBdr>
                <w:top w:val="none" w:sz="0" w:space="0" w:color="auto"/>
                <w:left w:val="none" w:sz="0" w:space="0" w:color="auto"/>
                <w:bottom w:val="none" w:sz="0" w:space="0" w:color="auto"/>
                <w:right w:val="none" w:sz="0" w:space="0" w:color="auto"/>
              </w:divBdr>
              <w:divsChild>
                <w:div w:id="2027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4640">
      <w:bodyDiv w:val="1"/>
      <w:marLeft w:val="0"/>
      <w:marRight w:val="0"/>
      <w:marTop w:val="0"/>
      <w:marBottom w:val="0"/>
      <w:divBdr>
        <w:top w:val="none" w:sz="0" w:space="0" w:color="auto"/>
        <w:left w:val="none" w:sz="0" w:space="0" w:color="auto"/>
        <w:bottom w:val="none" w:sz="0" w:space="0" w:color="auto"/>
        <w:right w:val="none" w:sz="0" w:space="0" w:color="auto"/>
      </w:divBdr>
      <w:divsChild>
        <w:div w:id="897864112">
          <w:marLeft w:val="0"/>
          <w:marRight w:val="0"/>
          <w:marTop w:val="0"/>
          <w:marBottom w:val="0"/>
          <w:divBdr>
            <w:top w:val="none" w:sz="0" w:space="0" w:color="auto"/>
            <w:left w:val="none" w:sz="0" w:space="0" w:color="auto"/>
            <w:bottom w:val="none" w:sz="0" w:space="0" w:color="auto"/>
            <w:right w:val="none" w:sz="0" w:space="0" w:color="auto"/>
          </w:divBdr>
          <w:divsChild>
            <w:div w:id="1860191568">
              <w:marLeft w:val="0"/>
              <w:marRight w:val="0"/>
              <w:marTop w:val="0"/>
              <w:marBottom w:val="0"/>
              <w:divBdr>
                <w:top w:val="none" w:sz="0" w:space="0" w:color="auto"/>
                <w:left w:val="none" w:sz="0" w:space="0" w:color="auto"/>
                <w:bottom w:val="none" w:sz="0" w:space="0" w:color="auto"/>
                <w:right w:val="none" w:sz="0" w:space="0" w:color="auto"/>
              </w:divBdr>
              <w:divsChild>
                <w:div w:id="1111362400">
                  <w:marLeft w:val="0"/>
                  <w:marRight w:val="0"/>
                  <w:marTop w:val="0"/>
                  <w:marBottom w:val="0"/>
                  <w:divBdr>
                    <w:top w:val="none" w:sz="0" w:space="0" w:color="auto"/>
                    <w:left w:val="none" w:sz="0" w:space="0" w:color="auto"/>
                    <w:bottom w:val="none" w:sz="0" w:space="0" w:color="auto"/>
                    <w:right w:val="none" w:sz="0" w:space="0" w:color="auto"/>
                  </w:divBdr>
                  <w:divsChild>
                    <w:div w:id="11682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0942">
      <w:bodyDiv w:val="1"/>
      <w:marLeft w:val="0"/>
      <w:marRight w:val="0"/>
      <w:marTop w:val="0"/>
      <w:marBottom w:val="0"/>
      <w:divBdr>
        <w:top w:val="none" w:sz="0" w:space="0" w:color="auto"/>
        <w:left w:val="none" w:sz="0" w:space="0" w:color="auto"/>
        <w:bottom w:val="none" w:sz="0" w:space="0" w:color="auto"/>
        <w:right w:val="none" w:sz="0" w:space="0" w:color="auto"/>
      </w:divBdr>
    </w:div>
    <w:div w:id="1779520345">
      <w:bodyDiv w:val="1"/>
      <w:marLeft w:val="0"/>
      <w:marRight w:val="0"/>
      <w:marTop w:val="0"/>
      <w:marBottom w:val="0"/>
      <w:divBdr>
        <w:top w:val="none" w:sz="0" w:space="0" w:color="auto"/>
        <w:left w:val="none" w:sz="0" w:space="0" w:color="auto"/>
        <w:bottom w:val="none" w:sz="0" w:space="0" w:color="auto"/>
        <w:right w:val="none" w:sz="0" w:space="0" w:color="auto"/>
      </w:divBdr>
    </w:div>
    <w:div w:id="1779836637">
      <w:bodyDiv w:val="1"/>
      <w:marLeft w:val="0"/>
      <w:marRight w:val="0"/>
      <w:marTop w:val="0"/>
      <w:marBottom w:val="0"/>
      <w:divBdr>
        <w:top w:val="none" w:sz="0" w:space="0" w:color="auto"/>
        <w:left w:val="none" w:sz="0" w:space="0" w:color="auto"/>
        <w:bottom w:val="none" w:sz="0" w:space="0" w:color="auto"/>
        <w:right w:val="none" w:sz="0" w:space="0" w:color="auto"/>
      </w:divBdr>
      <w:divsChild>
        <w:div w:id="1711421480">
          <w:marLeft w:val="0"/>
          <w:marRight w:val="0"/>
          <w:marTop w:val="0"/>
          <w:marBottom w:val="0"/>
          <w:divBdr>
            <w:top w:val="none" w:sz="0" w:space="0" w:color="auto"/>
            <w:left w:val="none" w:sz="0" w:space="0" w:color="auto"/>
            <w:bottom w:val="none" w:sz="0" w:space="0" w:color="auto"/>
            <w:right w:val="none" w:sz="0" w:space="0" w:color="auto"/>
          </w:divBdr>
          <w:divsChild>
            <w:div w:id="301690720">
              <w:marLeft w:val="0"/>
              <w:marRight w:val="0"/>
              <w:marTop w:val="0"/>
              <w:marBottom w:val="0"/>
              <w:divBdr>
                <w:top w:val="none" w:sz="0" w:space="0" w:color="auto"/>
                <w:left w:val="none" w:sz="0" w:space="0" w:color="auto"/>
                <w:bottom w:val="none" w:sz="0" w:space="0" w:color="auto"/>
                <w:right w:val="none" w:sz="0" w:space="0" w:color="auto"/>
              </w:divBdr>
              <w:divsChild>
                <w:div w:id="1725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3212">
      <w:bodyDiv w:val="1"/>
      <w:marLeft w:val="0"/>
      <w:marRight w:val="0"/>
      <w:marTop w:val="0"/>
      <w:marBottom w:val="0"/>
      <w:divBdr>
        <w:top w:val="none" w:sz="0" w:space="0" w:color="auto"/>
        <w:left w:val="none" w:sz="0" w:space="0" w:color="auto"/>
        <w:bottom w:val="none" w:sz="0" w:space="0" w:color="auto"/>
        <w:right w:val="none" w:sz="0" w:space="0" w:color="auto"/>
      </w:divBdr>
      <w:divsChild>
        <w:div w:id="1374958795">
          <w:marLeft w:val="0"/>
          <w:marRight w:val="0"/>
          <w:marTop w:val="0"/>
          <w:marBottom w:val="0"/>
          <w:divBdr>
            <w:top w:val="none" w:sz="0" w:space="0" w:color="auto"/>
            <w:left w:val="none" w:sz="0" w:space="0" w:color="auto"/>
            <w:bottom w:val="none" w:sz="0" w:space="0" w:color="auto"/>
            <w:right w:val="none" w:sz="0" w:space="0" w:color="auto"/>
          </w:divBdr>
          <w:divsChild>
            <w:div w:id="667489417">
              <w:marLeft w:val="0"/>
              <w:marRight w:val="0"/>
              <w:marTop w:val="0"/>
              <w:marBottom w:val="0"/>
              <w:divBdr>
                <w:top w:val="none" w:sz="0" w:space="0" w:color="auto"/>
                <w:left w:val="none" w:sz="0" w:space="0" w:color="auto"/>
                <w:bottom w:val="none" w:sz="0" w:space="0" w:color="auto"/>
                <w:right w:val="none" w:sz="0" w:space="0" w:color="auto"/>
              </w:divBdr>
              <w:divsChild>
                <w:div w:id="72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0774">
      <w:bodyDiv w:val="1"/>
      <w:marLeft w:val="0"/>
      <w:marRight w:val="0"/>
      <w:marTop w:val="0"/>
      <w:marBottom w:val="0"/>
      <w:divBdr>
        <w:top w:val="none" w:sz="0" w:space="0" w:color="auto"/>
        <w:left w:val="none" w:sz="0" w:space="0" w:color="auto"/>
        <w:bottom w:val="none" w:sz="0" w:space="0" w:color="auto"/>
        <w:right w:val="none" w:sz="0" w:space="0" w:color="auto"/>
      </w:divBdr>
      <w:divsChild>
        <w:div w:id="1533882621">
          <w:marLeft w:val="0"/>
          <w:marRight w:val="0"/>
          <w:marTop w:val="0"/>
          <w:marBottom w:val="0"/>
          <w:divBdr>
            <w:top w:val="none" w:sz="0" w:space="0" w:color="auto"/>
            <w:left w:val="none" w:sz="0" w:space="0" w:color="auto"/>
            <w:bottom w:val="none" w:sz="0" w:space="0" w:color="auto"/>
            <w:right w:val="none" w:sz="0" w:space="0" w:color="auto"/>
          </w:divBdr>
          <w:divsChild>
            <w:div w:id="372271160">
              <w:marLeft w:val="0"/>
              <w:marRight w:val="0"/>
              <w:marTop w:val="0"/>
              <w:marBottom w:val="0"/>
              <w:divBdr>
                <w:top w:val="none" w:sz="0" w:space="0" w:color="auto"/>
                <w:left w:val="none" w:sz="0" w:space="0" w:color="auto"/>
                <w:bottom w:val="none" w:sz="0" w:space="0" w:color="auto"/>
                <w:right w:val="none" w:sz="0" w:space="0" w:color="auto"/>
              </w:divBdr>
              <w:divsChild>
                <w:div w:id="1019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6393">
      <w:bodyDiv w:val="1"/>
      <w:marLeft w:val="0"/>
      <w:marRight w:val="0"/>
      <w:marTop w:val="0"/>
      <w:marBottom w:val="0"/>
      <w:divBdr>
        <w:top w:val="none" w:sz="0" w:space="0" w:color="auto"/>
        <w:left w:val="none" w:sz="0" w:space="0" w:color="auto"/>
        <w:bottom w:val="none" w:sz="0" w:space="0" w:color="auto"/>
        <w:right w:val="none" w:sz="0" w:space="0" w:color="auto"/>
      </w:divBdr>
    </w:div>
    <w:div w:id="1806701055">
      <w:bodyDiv w:val="1"/>
      <w:marLeft w:val="0"/>
      <w:marRight w:val="0"/>
      <w:marTop w:val="0"/>
      <w:marBottom w:val="0"/>
      <w:divBdr>
        <w:top w:val="none" w:sz="0" w:space="0" w:color="auto"/>
        <w:left w:val="none" w:sz="0" w:space="0" w:color="auto"/>
        <w:bottom w:val="none" w:sz="0" w:space="0" w:color="auto"/>
        <w:right w:val="none" w:sz="0" w:space="0" w:color="auto"/>
      </w:divBdr>
      <w:divsChild>
        <w:div w:id="867371852">
          <w:marLeft w:val="0"/>
          <w:marRight w:val="0"/>
          <w:marTop w:val="0"/>
          <w:marBottom w:val="0"/>
          <w:divBdr>
            <w:top w:val="none" w:sz="0" w:space="0" w:color="auto"/>
            <w:left w:val="none" w:sz="0" w:space="0" w:color="auto"/>
            <w:bottom w:val="none" w:sz="0" w:space="0" w:color="auto"/>
            <w:right w:val="none" w:sz="0" w:space="0" w:color="auto"/>
          </w:divBdr>
          <w:divsChild>
            <w:div w:id="1888448254">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686">
      <w:bodyDiv w:val="1"/>
      <w:marLeft w:val="0"/>
      <w:marRight w:val="0"/>
      <w:marTop w:val="0"/>
      <w:marBottom w:val="0"/>
      <w:divBdr>
        <w:top w:val="none" w:sz="0" w:space="0" w:color="auto"/>
        <w:left w:val="none" w:sz="0" w:space="0" w:color="auto"/>
        <w:bottom w:val="none" w:sz="0" w:space="0" w:color="auto"/>
        <w:right w:val="none" w:sz="0" w:space="0" w:color="auto"/>
      </w:divBdr>
      <w:divsChild>
        <w:div w:id="1405373011">
          <w:marLeft w:val="0"/>
          <w:marRight w:val="0"/>
          <w:marTop w:val="0"/>
          <w:marBottom w:val="0"/>
          <w:divBdr>
            <w:top w:val="none" w:sz="0" w:space="0" w:color="auto"/>
            <w:left w:val="none" w:sz="0" w:space="0" w:color="auto"/>
            <w:bottom w:val="none" w:sz="0" w:space="0" w:color="auto"/>
            <w:right w:val="none" w:sz="0" w:space="0" w:color="auto"/>
          </w:divBdr>
          <w:divsChild>
            <w:div w:id="1795102977">
              <w:marLeft w:val="0"/>
              <w:marRight w:val="0"/>
              <w:marTop w:val="0"/>
              <w:marBottom w:val="0"/>
              <w:divBdr>
                <w:top w:val="none" w:sz="0" w:space="0" w:color="auto"/>
                <w:left w:val="none" w:sz="0" w:space="0" w:color="auto"/>
                <w:bottom w:val="none" w:sz="0" w:space="0" w:color="auto"/>
                <w:right w:val="none" w:sz="0" w:space="0" w:color="auto"/>
              </w:divBdr>
              <w:divsChild>
                <w:div w:id="2036032155">
                  <w:marLeft w:val="0"/>
                  <w:marRight w:val="0"/>
                  <w:marTop w:val="0"/>
                  <w:marBottom w:val="0"/>
                  <w:divBdr>
                    <w:top w:val="none" w:sz="0" w:space="0" w:color="auto"/>
                    <w:left w:val="none" w:sz="0" w:space="0" w:color="auto"/>
                    <w:bottom w:val="none" w:sz="0" w:space="0" w:color="auto"/>
                    <w:right w:val="none" w:sz="0" w:space="0" w:color="auto"/>
                  </w:divBdr>
                  <w:divsChild>
                    <w:div w:id="1512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6757">
      <w:bodyDiv w:val="1"/>
      <w:marLeft w:val="0"/>
      <w:marRight w:val="0"/>
      <w:marTop w:val="0"/>
      <w:marBottom w:val="0"/>
      <w:divBdr>
        <w:top w:val="none" w:sz="0" w:space="0" w:color="auto"/>
        <w:left w:val="none" w:sz="0" w:space="0" w:color="auto"/>
        <w:bottom w:val="none" w:sz="0" w:space="0" w:color="auto"/>
        <w:right w:val="none" w:sz="0" w:space="0" w:color="auto"/>
      </w:divBdr>
      <w:divsChild>
        <w:div w:id="1707751151">
          <w:marLeft w:val="0"/>
          <w:marRight w:val="0"/>
          <w:marTop w:val="0"/>
          <w:marBottom w:val="0"/>
          <w:divBdr>
            <w:top w:val="none" w:sz="0" w:space="0" w:color="auto"/>
            <w:left w:val="none" w:sz="0" w:space="0" w:color="auto"/>
            <w:bottom w:val="none" w:sz="0" w:space="0" w:color="auto"/>
            <w:right w:val="none" w:sz="0" w:space="0" w:color="auto"/>
          </w:divBdr>
          <w:divsChild>
            <w:div w:id="572199711">
              <w:marLeft w:val="0"/>
              <w:marRight w:val="0"/>
              <w:marTop w:val="0"/>
              <w:marBottom w:val="0"/>
              <w:divBdr>
                <w:top w:val="none" w:sz="0" w:space="0" w:color="auto"/>
                <w:left w:val="none" w:sz="0" w:space="0" w:color="auto"/>
                <w:bottom w:val="none" w:sz="0" w:space="0" w:color="auto"/>
                <w:right w:val="none" w:sz="0" w:space="0" w:color="auto"/>
              </w:divBdr>
              <w:divsChild>
                <w:div w:id="1045133254">
                  <w:marLeft w:val="0"/>
                  <w:marRight w:val="0"/>
                  <w:marTop w:val="0"/>
                  <w:marBottom w:val="0"/>
                  <w:divBdr>
                    <w:top w:val="none" w:sz="0" w:space="0" w:color="auto"/>
                    <w:left w:val="none" w:sz="0" w:space="0" w:color="auto"/>
                    <w:bottom w:val="none" w:sz="0" w:space="0" w:color="auto"/>
                    <w:right w:val="none" w:sz="0" w:space="0" w:color="auto"/>
                  </w:divBdr>
                </w:div>
              </w:divsChild>
            </w:div>
            <w:div w:id="500043192">
              <w:marLeft w:val="0"/>
              <w:marRight w:val="0"/>
              <w:marTop w:val="0"/>
              <w:marBottom w:val="0"/>
              <w:divBdr>
                <w:top w:val="none" w:sz="0" w:space="0" w:color="auto"/>
                <w:left w:val="none" w:sz="0" w:space="0" w:color="auto"/>
                <w:bottom w:val="none" w:sz="0" w:space="0" w:color="auto"/>
                <w:right w:val="none" w:sz="0" w:space="0" w:color="auto"/>
              </w:divBdr>
              <w:divsChild>
                <w:div w:id="7115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4754">
          <w:marLeft w:val="0"/>
          <w:marRight w:val="0"/>
          <w:marTop w:val="0"/>
          <w:marBottom w:val="0"/>
          <w:divBdr>
            <w:top w:val="none" w:sz="0" w:space="0" w:color="auto"/>
            <w:left w:val="none" w:sz="0" w:space="0" w:color="auto"/>
            <w:bottom w:val="none" w:sz="0" w:space="0" w:color="auto"/>
            <w:right w:val="none" w:sz="0" w:space="0" w:color="auto"/>
          </w:divBdr>
          <w:divsChild>
            <w:div w:id="2125927507">
              <w:marLeft w:val="0"/>
              <w:marRight w:val="0"/>
              <w:marTop w:val="0"/>
              <w:marBottom w:val="0"/>
              <w:divBdr>
                <w:top w:val="none" w:sz="0" w:space="0" w:color="auto"/>
                <w:left w:val="none" w:sz="0" w:space="0" w:color="auto"/>
                <w:bottom w:val="none" w:sz="0" w:space="0" w:color="auto"/>
                <w:right w:val="none" w:sz="0" w:space="0" w:color="auto"/>
              </w:divBdr>
              <w:divsChild>
                <w:div w:id="1996102731">
                  <w:marLeft w:val="0"/>
                  <w:marRight w:val="0"/>
                  <w:marTop w:val="0"/>
                  <w:marBottom w:val="0"/>
                  <w:divBdr>
                    <w:top w:val="none" w:sz="0" w:space="0" w:color="auto"/>
                    <w:left w:val="none" w:sz="0" w:space="0" w:color="auto"/>
                    <w:bottom w:val="none" w:sz="0" w:space="0" w:color="auto"/>
                    <w:right w:val="none" w:sz="0" w:space="0" w:color="auto"/>
                  </w:divBdr>
                </w:div>
              </w:divsChild>
            </w:div>
            <w:div w:id="1796632219">
              <w:marLeft w:val="0"/>
              <w:marRight w:val="0"/>
              <w:marTop w:val="0"/>
              <w:marBottom w:val="0"/>
              <w:divBdr>
                <w:top w:val="none" w:sz="0" w:space="0" w:color="auto"/>
                <w:left w:val="none" w:sz="0" w:space="0" w:color="auto"/>
                <w:bottom w:val="none" w:sz="0" w:space="0" w:color="auto"/>
                <w:right w:val="none" w:sz="0" w:space="0" w:color="auto"/>
              </w:divBdr>
              <w:divsChild>
                <w:div w:id="9266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053804">
      <w:bodyDiv w:val="1"/>
      <w:marLeft w:val="0"/>
      <w:marRight w:val="0"/>
      <w:marTop w:val="0"/>
      <w:marBottom w:val="0"/>
      <w:divBdr>
        <w:top w:val="none" w:sz="0" w:space="0" w:color="auto"/>
        <w:left w:val="none" w:sz="0" w:space="0" w:color="auto"/>
        <w:bottom w:val="none" w:sz="0" w:space="0" w:color="auto"/>
        <w:right w:val="none" w:sz="0" w:space="0" w:color="auto"/>
      </w:divBdr>
      <w:divsChild>
        <w:div w:id="366637550">
          <w:marLeft w:val="0"/>
          <w:marRight w:val="0"/>
          <w:marTop w:val="0"/>
          <w:marBottom w:val="0"/>
          <w:divBdr>
            <w:top w:val="none" w:sz="0" w:space="0" w:color="auto"/>
            <w:left w:val="none" w:sz="0" w:space="0" w:color="auto"/>
            <w:bottom w:val="none" w:sz="0" w:space="0" w:color="auto"/>
            <w:right w:val="none" w:sz="0" w:space="0" w:color="auto"/>
          </w:divBdr>
          <w:divsChild>
            <w:div w:id="1159736695">
              <w:marLeft w:val="0"/>
              <w:marRight w:val="0"/>
              <w:marTop w:val="0"/>
              <w:marBottom w:val="0"/>
              <w:divBdr>
                <w:top w:val="none" w:sz="0" w:space="0" w:color="auto"/>
                <w:left w:val="none" w:sz="0" w:space="0" w:color="auto"/>
                <w:bottom w:val="none" w:sz="0" w:space="0" w:color="auto"/>
                <w:right w:val="none" w:sz="0" w:space="0" w:color="auto"/>
              </w:divBdr>
              <w:divsChild>
                <w:div w:id="208149554">
                  <w:marLeft w:val="0"/>
                  <w:marRight w:val="0"/>
                  <w:marTop w:val="0"/>
                  <w:marBottom w:val="0"/>
                  <w:divBdr>
                    <w:top w:val="none" w:sz="0" w:space="0" w:color="auto"/>
                    <w:left w:val="none" w:sz="0" w:space="0" w:color="auto"/>
                    <w:bottom w:val="none" w:sz="0" w:space="0" w:color="auto"/>
                    <w:right w:val="none" w:sz="0" w:space="0" w:color="auto"/>
                  </w:divBdr>
                </w:div>
              </w:divsChild>
            </w:div>
            <w:div w:id="470710051">
              <w:marLeft w:val="0"/>
              <w:marRight w:val="0"/>
              <w:marTop w:val="0"/>
              <w:marBottom w:val="0"/>
              <w:divBdr>
                <w:top w:val="none" w:sz="0" w:space="0" w:color="auto"/>
                <w:left w:val="none" w:sz="0" w:space="0" w:color="auto"/>
                <w:bottom w:val="none" w:sz="0" w:space="0" w:color="auto"/>
                <w:right w:val="none" w:sz="0" w:space="0" w:color="auto"/>
              </w:divBdr>
              <w:divsChild>
                <w:div w:id="1319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3162">
          <w:marLeft w:val="0"/>
          <w:marRight w:val="0"/>
          <w:marTop w:val="0"/>
          <w:marBottom w:val="0"/>
          <w:divBdr>
            <w:top w:val="none" w:sz="0" w:space="0" w:color="auto"/>
            <w:left w:val="none" w:sz="0" w:space="0" w:color="auto"/>
            <w:bottom w:val="none" w:sz="0" w:space="0" w:color="auto"/>
            <w:right w:val="none" w:sz="0" w:space="0" w:color="auto"/>
          </w:divBdr>
          <w:divsChild>
            <w:div w:id="1681272876">
              <w:marLeft w:val="0"/>
              <w:marRight w:val="0"/>
              <w:marTop w:val="0"/>
              <w:marBottom w:val="0"/>
              <w:divBdr>
                <w:top w:val="none" w:sz="0" w:space="0" w:color="auto"/>
                <w:left w:val="none" w:sz="0" w:space="0" w:color="auto"/>
                <w:bottom w:val="none" w:sz="0" w:space="0" w:color="auto"/>
                <w:right w:val="none" w:sz="0" w:space="0" w:color="auto"/>
              </w:divBdr>
              <w:divsChild>
                <w:div w:id="19027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2572">
      <w:bodyDiv w:val="1"/>
      <w:marLeft w:val="0"/>
      <w:marRight w:val="0"/>
      <w:marTop w:val="0"/>
      <w:marBottom w:val="0"/>
      <w:divBdr>
        <w:top w:val="none" w:sz="0" w:space="0" w:color="auto"/>
        <w:left w:val="none" w:sz="0" w:space="0" w:color="auto"/>
        <w:bottom w:val="none" w:sz="0" w:space="0" w:color="auto"/>
        <w:right w:val="none" w:sz="0" w:space="0" w:color="auto"/>
      </w:divBdr>
    </w:div>
    <w:div w:id="1971933027">
      <w:bodyDiv w:val="1"/>
      <w:marLeft w:val="0"/>
      <w:marRight w:val="0"/>
      <w:marTop w:val="0"/>
      <w:marBottom w:val="0"/>
      <w:divBdr>
        <w:top w:val="none" w:sz="0" w:space="0" w:color="auto"/>
        <w:left w:val="none" w:sz="0" w:space="0" w:color="auto"/>
        <w:bottom w:val="none" w:sz="0" w:space="0" w:color="auto"/>
        <w:right w:val="none" w:sz="0" w:space="0" w:color="auto"/>
      </w:divBdr>
    </w:div>
    <w:div w:id="2015645556">
      <w:bodyDiv w:val="1"/>
      <w:marLeft w:val="0"/>
      <w:marRight w:val="0"/>
      <w:marTop w:val="0"/>
      <w:marBottom w:val="0"/>
      <w:divBdr>
        <w:top w:val="none" w:sz="0" w:space="0" w:color="auto"/>
        <w:left w:val="none" w:sz="0" w:space="0" w:color="auto"/>
        <w:bottom w:val="none" w:sz="0" w:space="0" w:color="auto"/>
        <w:right w:val="none" w:sz="0" w:space="0" w:color="auto"/>
      </w:divBdr>
    </w:div>
    <w:div w:id="2038043603">
      <w:bodyDiv w:val="1"/>
      <w:marLeft w:val="0"/>
      <w:marRight w:val="0"/>
      <w:marTop w:val="0"/>
      <w:marBottom w:val="0"/>
      <w:divBdr>
        <w:top w:val="none" w:sz="0" w:space="0" w:color="auto"/>
        <w:left w:val="none" w:sz="0" w:space="0" w:color="auto"/>
        <w:bottom w:val="none" w:sz="0" w:space="0" w:color="auto"/>
        <w:right w:val="none" w:sz="0" w:space="0" w:color="auto"/>
      </w:divBdr>
    </w:div>
    <w:div w:id="21286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ccessdata.fda.gov/drugsatfda_docs/nda/2020/213411Orig1s000MultidisciplineR.pdf" TargetMode="External"/><Relationship Id="rId1" Type="http://schemas.openxmlformats.org/officeDocument/2006/relationships/hyperlink" Target="https://www.accessdata.fda.gov/drugsatfda_docs/nda/2020/213411Orig1s000Multidiscipli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3C04-C61C-4F9F-927C-E4DF2CD3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13038</Words>
  <Characters>72625</Characters>
  <Application>Microsoft Office Word</Application>
  <DocSecurity>0</DocSecurity>
  <Lines>605</Lines>
  <Paragraphs>170</Paragraphs>
  <ScaleCrop>false</ScaleCrop>
  <Company/>
  <LinksUpToDate>false</LinksUpToDate>
  <CharactersWithSpaces>85493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2021-07-07T02:17:00Z</dcterms:created>
  <dcterms:modified xsi:type="dcterms:W3CDTF">2021-07-07T02:17:00Z</dcterms:modified>
</cp:coreProperties>
</file>