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354F5E" w:rsidRDefault="0050306E" w:rsidP="00D12336">
      <w:pPr>
        <w:pStyle w:val="1-MainHeading"/>
      </w:pPr>
      <w:bookmarkStart w:id="0" w:name="_Toc62029179"/>
      <w:bookmarkStart w:id="1" w:name="_GoBack"/>
      <w:bookmarkEnd w:id="1"/>
      <w:r w:rsidRPr="00354F5E">
        <w:t>6.12</w:t>
      </w:r>
      <w:r w:rsidR="00163F66" w:rsidRPr="00354F5E">
        <w:tab/>
      </w:r>
      <w:r w:rsidR="004967DF" w:rsidRPr="00354F5E">
        <w:t>UPADACITINIB</w:t>
      </w:r>
      <w:r w:rsidR="00163F66" w:rsidRPr="00354F5E">
        <w:t>,</w:t>
      </w:r>
      <w:r w:rsidR="00163F66" w:rsidRPr="00354F5E">
        <w:br/>
      </w:r>
      <w:r w:rsidR="004967DF" w:rsidRPr="00354F5E">
        <w:t>Tablet 15</w:t>
      </w:r>
      <w:r w:rsidR="008066FD" w:rsidRPr="00354F5E">
        <w:t xml:space="preserve"> </w:t>
      </w:r>
      <w:r w:rsidR="004967DF" w:rsidRPr="00354F5E">
        <w:t>mg</w:t>
      </w:r>
      <w:r w:rsidR="00163F66" w:rsidRPr="00354F5E">
        <w:t>,</w:t>
      </w:r>
      <w:r w:rsidR="00163F66" w:rsidRPr="00354F5E">
        <w:br/>
      </w:r>
      <w:r w:rsidR="00E351A3" w:rsidRPr="00354F5E">
        <w:t>Rinvoq</w:t>
      </w:r>
      <w:r w:rsidR="00B60939" w:rsidRPr="00354F5E">
        <w:rPr>
          <w:vertAlign w:val="superscript"/>
        </w:rPr>
        <w:t>®</w:t>
      </w:r>
      <w:r w:rsidR="004A6040" w:rsidRPr="00354F5E">
        <w:t>,</w:t>
      </w:r>
      <w:r w:rsidR="004A6040" w:rsidRPr="00354F5E">
        <w:br/>
      </w:r>
      <w:r w:rsidR="008066FD" w:rsidRPr="00354F5E">
        <w:t>AbbV</w:t>
      </w:r>
      <w:r w:rsidR="004967DF" w:rsidRPr="00354F5E">
        <w:t>ie Pty Ltd</w:t>
      </w:r>
      <w:r w:rsidR="00B60939" w:rsidRPr="00354F5E">
        <w:t>.</w:t>
      </w:r>
      <w:bookmarkEnd w:id="0"/>
    </w:p>
    <w:p w:rsidR="00B50DB8" w:rsidRPr="00354F5E" w:rsidRDefault="00B50DB8" w:rsidP="00D12336">
      <w:pPr>
        <w:pStyle w:val="2-SectionHeading"/>
      </w:pPr>
      <w:bookmarkStart w:id="2" w:name="_Toc62029181"/>
      <w:r w:rsidRPr="00354F5E">
        <w:t xml:space="preserve">Purpose of </w:t>
      </w:r>
      <w:r w:rsidR="00CD7193" w:rsidRPr="00354F5E">
        <w:t>s</w:t>
      </w:r>
      <w:r w:rsidR="00BB3A45" w:rsidRPr="00354F5E">
        <w:t>ubmission</w:t>
      </w:r>
      <w:bookmarkEnd w:id="2"/>
    </w:p>
    <w:p w:rsidR="0030210F" w:rsidRPr="00354F5E" w:rsidRDefault="007170DA" w:rsidP="00D12336">
      <w:pPr>
        <w:pStyle w:val="3-BodyText"/>
      </w:pPr>
      <w:r w:rsidRPr="00354F5E">
        <w:t>The submission requested</w:t>
      </w:r>
      <w:r w:rsidR="007C2870" w:rsidRPr="00354F5E">
        <w:t xml:space="preserve"> </w:t>
      </w:r>
      <w:r w:rsidR="005365CB" w:rsidRPr="00354F5E">
        <w:t xml:space="preserve">a </w:t>
      </w:r>
      <w:r w:rsidR="004E6D7B" w:rsidRPr="00354F5E">
        <w:t>General Schedule,</w:t>
      </w:r>
      <w:r w:rsidR="005365CB" w:rsidRPr="00354F5E">
        <w:t xml:space="preserve"> </w:t>
      </w:r>
      <w:r w:rsidR="007C2870" w:rsidRPr="00354F5E">
        <w:t xml:space="preserve">Authority Required </w:t>
      </w:r>
      <w:r w:rsidR="008B1757" w:rsidRPr="00354F5E">
        <w:t xml:space="preserve">listing for </w:t>
      </w:r>
      <w:r w:rsidR="007C2870" w:rsidRPr="00354F5E">
        <w:t xml:space="preserve">upadacitinib (UPA) </w:t>
      </w:r>
      <w:r w:rsidR="008B1757" w:rsidRPr="00354F5E">
        <w:t xml:space="preserve">for </w:t>
      </w:r>
      <w:r w:rsidR="0050174E" w:rsidRPr="00354F5E">
        <w:t xml:space="preserve">the </w:t>
      </w:r>
      <w:r w:rsidR="008B1757" w:rsidRPr="00354F5E">
        <w:t xml:space="preserve">treatment of </w:t>
      </w:r>
      <w:r w:rsidR="007C2870" w:rsidRPr="00354F5E">
        <w:t xml:space="preserve">severe </w:t>
      </w:r>
      <w:r w:rsidR="005365CB" w:rsidRPr="00354F5E">
        <w:t xml:space="preserve">active </w:t>
      </w:r>
      <w:r w:rsidR="007C2870" w:rsidRPr="00354F5E">
        <w:t>psoriatic arthritis</w:t>
      </w:r>
      <w:r w:rsidR="007E5919" w:rsidRPr="00354F5E">
        <w:t xml:space="preserve"> (PsA)</w:t>
      </w:r>
      <w:r w:rsidR="007C2870" w:rsidRPr="00354F5E">
        <w:t xml:space="preserve"> in patients who have failed to achieve an adequate response to conventional disease modifying anti rheumatic drugs (cDMARDs).</w:t>
      </w:r>
      <w:r w:rsidR="0030210F" w:rsidRPr="00354F5E">
        <w:t xml:space="preserve"> This was the first submission to the PBAC for the requested indication; UPA is currently PBS listed for rheumatoid arthritis and</w:t>
      </w:r>
      <w:r w:rsidR="0006193D" w:rsidRPr="00354F5E">
        <w:t xml:space="preserve"> was recommended by</w:t>
      </w:r>
      <w:r w:rsidR="0030210F" w:rsidRPr="00354F5E">
        <w:t xml:space="preserve"> the PBAC </w:t>
      </w:r>
      <w:r w:rsidR="00290C58" w:rsidRPr="00354F5E">
        <w:t xml:space="preserve">at </w:t>
      </w:r>
      <w:r w:rsidR="0030210F" w:rsidRPr="00354F5E">
        <w:t>the March 2021 meeting for the treatment of ankylosing spondylitis.</w:t>
      </w:r>
    </w:p>
    <w:p w:rsidR="00297981" w:rsidRPr="00354F5E" w:rsidRDefault="00297981" w:rsidP="00D12336">
      <w:pPr>
        <w:pStyle w:val="3-BodyText"/>
      </w:pPr>
      <w:r w:rsidRPr="00354F5E">
        <w:t xml:space="preserve">Listing was requested on the basis of a cost-minimisation analysis versus tofacitinib (TOF), which is </w:t>
      </w:r>
      <w:r w:rsidR="009155F4" w:rsidRPr="00354F5E">
        <w:t xml:space="preserve">the only other Janus </w:t>
      </w:r>
      <w:r w:rsidR="008F17AF" w:rsidRPr="00354F5E">
        <w:t>k</w:t>
      </w:r>
      <w:r w:rsidR="009155F4" w:rsidRPr="00354F5E">
        <w:t>inase (JAK) inhibitor currently listed on the PBS for PsA</w:t>
      </w:r>
      <w:r w:rsidRPr="00354F5E">
        <w:t>.</w:t>
      </w:r>
      <w:r w:rsidR="0030210F" w:rsidRPr="00354F5E">
        <w:t xml:space="preserve"> </w:t>
      </w:r>
      <w:r w:rsidR="0030210F" w:rsidRPr="00354F5E">
        <w:rPr>
          <w:iCs/>
        </w:rPr>
        <w:t>If listed</w:t>
      </w:r>
      <w:r w:rsidR="008260BF" w:rsidRPr="00354F5E">
        <w:rPr>
          <w:iCs/>
        </w:rPr>
        <w:t>,</w:t>
      </w:r>
      <w:r w:rsidR="0030210F" w:rsidRPr="00354F5E">
        <w:rPr>
          <w:iCs/>
        </w:rPr>
        <w:t xml:space="preserve"> UPA would be one of ten treatment alternatives including TOF and eight biologic disease modifying anti rheumatic drugs (bDMARDs)</w:t>
      </w:r>
      <w:r w:rsidR="008260BF" w:rsidRPr="00354F5E">
        <w:rPr>
          <w:iCs/>
        </w:rPr>
        <w:t xml:space="preserve">. </w:t>
      </w:r>
    </w:p>
    <w:p w:rsidR="008B1757" w:rsidRPr="00354F5E" w:rsidRDefault="008B1757" w:rsidP="00D12336">
      <w:pPr>
        <w:pStyle w:val="TableFigureHeading"/>
        <w:rPr>
          <w:rStyle w:val="CommentReference"/>
          <w:b/>
          <w:szCs w:val="24"/>
        </w:rPr>
      </w:pPr>
      <w:r w:rsidRPr="00354F5E">
        <w:rPr>
          <w:rStyle w:val="CommentReference"/>
          <w:b/>
          <w:szCs w:val="24"/>
        </w:rPr>
        <w:t xml:space="preserve">Table </w:t>
      </w:r>
      <w:r w:rsidR="00242136" w:rsidRPr="00354F5E">
        <w:rPr>
          <w:rStyle w:val="CommentReference"/>
          <w:b/>
          <w:szCs w:val="24"/>
        </w:rPr>
        <w:t>1</w:t>
      </w:r>
      <w:r w:rsidRPr="00354F5E">
        <w:rPr>
          <w:rStyle w:val="CommentReference"/>
          <w:b/>
          <w:szCs w:val="24"/>
        </w:rPr>
        <w:t>:</w:t>
      </w:r>
      <w:r w:rsidR="00BC591F" w:rsidRPr="00354F5E">
        <w:rPr>
          <w:rStyle w:val="CommentReference"/>
          <w:b/>
          <w:szCs w:val="24"/>
        </w:rPr>
        <w:t xml:space="preserve"> </w:t>
      </w:r>
      <w:r w:rsidRPr="00354F5E">
        <w:rPr>
          <w:rStyle w:val="CommentReference"/>
          <w:b/>
          <w:szCs w:val="24"/>
        </w:rPr>
        <w:t>Key components of the clinical issue addressed by the submission</w:t>
      </w:r>
      <w:r w:rsidR="007170DA" w:rsidRPr="00354F5E">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374"/>
      </w:tblGrid>
      <w:tr w:rsidR="00242136" w:rsidRPr="00354F5E" w:rsidTr="004D0E77">
        <w:tc>
          <w:tcPr>
            <w:tcW w:w="911" w:type="pct"/>
            <w:vAlign w:val="center"/>
          </w:tcPr>
          <w:p w:rsidR="00242136" w:rsidRPr="00354F5E" w:rsidRDefault="00242136" w:rsidP="00D12336">
            <w:pPr>
              <w:pStyle w:val="In-tableHeading"/>
              <w:rPr>
                <w:lang w:val="en-AU"/>
              </w:rPr>
            </w:pPr>
            <w:r w:rsidRPr="00354F5E">
              <w:rPr>
                <w:lang w:val="en-AU"/>
              </w:rPr>
              <w:t>Component</w:t>
            </w:r>
          </w:p>
        </w:tc>
        <w:tc>
          <w:tcPr>
            <w:tcW w:w="4089" w:type="pct"/>
            <w:vAlign w:val="center"/>
          </w:tcPr>
          <w:p w:rsidR="00242136" w:rsidRPr="00354F5E" w:rsidRDefault="00242136" w:rsidP="00D12336">
            <w:pPr>
              <w:pStyle w:val="In-tableHeading"/>
              <w:rPr>
                <w:lang w:val="en-AU"/>
              </w:rPr>
            </w:pPr>
            <w:r w:rsidRPr="00354F5E">
              <w:rPr>
                <w:lang w:val="en-AU"/>
              </w:rPr>
              <w:t>Description</w:t>
            </w:r>
          </w:p>
        </w:tc>
      </w:tr>
      <w:tr w:rsidR="00242136" w:rsidRPr="00354F5E" w:rsidTr="004D0E77">
        <w:tc>
          <w:tcPr>
            <w:tcW w:w="911" w:type="pct"/>
            <w:vAlign w:val="center"/>
          </w:tcPr>
          <w:p w:rsidR="00242136" w:rsidRPr="00354F5E" w:rsidRDefault="00242136" w:rsidP="00D12336">
            <w:pPr>
              <w:pStyle w:val="TableText0"/>
            </w:pPr>
            <w:r w:rsidRPr="00354F5E">
              <w:t>Population</w:t>
            </w:r>
          </w:p>
        </w:tc>
        <w:tc>
          <w:tcPr>
            <w:tcW w:w="4089" w:type="pct"/>
            <w:vAlign w:val="center"/>
          </w:tcPr>
          <w:p w:rsidR="00242136" w:rsidRPr="00354F5E" w:rsidRDefault="00242136" w:rsidP="00D12336">
            <w:pPr>
              <w:pStyle w:val="TableText0"/>
            </w:pPr>
            <w:r w:rsidRPr="00354F5E">
              <w:t>Patients with severe PsA in whom an adequate response has not been achieved with at least 6 months of intensive treatment with cDMARDs</w:t>
            </w:r>
          </w:p>
        </w:tc>
      </w:tr>
      <w:tr w:rsidR="00242136" w:rsidRPr="00354F5E" w:rsidTr="004D0E77">
        <w:tc>
          <w:tcPr>
            <w:tcW w:w="911" w:type="pct"/>
            <w:vAlign w:val="center"/>
          </w:tcPr>
          <w:p w:rsidR="00242136" w:rsidRPr="00354F5E" w:rsidRDefault="00242136" w:rsidP="00D12336">
            <w:pPr>
              <w:pStyle w:val="TableText0"/>
            </w:pPr>
            <w:r w:rsidRPr="00354F5E">
              <w:t>Intervention</w:t>
            </w:r>
          </w:p>
        </w:tc>
        <w:tc>
          <w:tcPr>
            <w:tcW w:w="4089" w:type="pct"/>
            <w:vAlign w:val="center"/>
          </w:tcPr>
          <w:p w:rsidR="00242136" w:rsidRPr="00354F5E" w:rsidRDefault="00242136" w:rsidP="00D12336">
            <w:pPr>
              <w:pStyle w:val="TableText0"/>
            </w:pPr>
            <w:r w:rsidRPr="00354F5E">
              <w:t>Upadacitinib 15mg tablet, orally once daily</w:t>
            </w:r>
          </w:p>
        </w:tc>
      </w:tr>
      <w:tr w:rsidR="00242136" w:rsidRPr="00354F5E" w:rsidTr="004D0E77">
        <w:tc>
          <w:tcPr>
            <w:tcW w:w="911" w:type="pct"/>
            <w:vAlign w:val="center"/>
          </w:tcPr>
          <w:p w:rsidR="00242136" w:rsidRPr="00354F5E" w:rsidRDefault="00242136" w:rsidP="00D12336">
            <w:pPr>
              <w:pStyle w:val="TableText0"/>
            </w:pPr>
            <w:r w:rsidRPr="00354F5E">
              <w:t>Comparator</w:t>
            </w:r>
          </w:p>
        </w:tc>
        <w:tc>
          <w:tcPr>
            <w:tcW w:w="4089" w:type="pct"/>
            <w:vAlign w:val="center"/>
          </w:tcPr>
          <w:p w:rsidR="00242136" w:rsidRPr="00354F5E" w:rsidRDefault="00242136" w:rsidP="00D12336">
            <w:pPr>
              <w:pStyle w:val="TableText0"/>
            </w:pPr>
            <w:r w:rsidRPr="00354F5E">
              <w:t>Tofacitinib 5mg tablet, orally twice daily</w:t>
            </w:r>
          </w:p>
        </w:tc>
      </w:tr>
      <w:tr w:rsidR="00242136" w:rsidRPr="00354F5E" w:rsidTr="004D0E77">
        <w:tc>
          <w:tcPr>
            <w:tcW w:w="911" w:type="pct"/>
            <w:vAlign w:val="center"/>
          </w:tcPr>
          <w:p w:rsidR="00242136" w:rsidRPr="00354F5E" w:rsidRDefault="00242136" w:rsidP="00D12336">
            <w:pPr>
              <w:pStyle w:val="TableText0"/>
            </w:pPr>
            <w:r w:rsidRPr="00354F5E">
              <w:t>Outcomes</w:t>
            </w:r>
          </w:p>
        </w:tc>
        <w:tc>
          <w:tcPr>
            <w:tcW w:w="4089" w:type="pct"/>
            <w:vAlign w:val="center"/>
          </w:tcPr>
          <w:p w:rsidR="00242136" w:rsidRPr="00354F5E" w:rsidRDefault="00242136" w:rsidP="00D12336">
            <w:pPr>
              <w:pStyle w:val="TableText0"/>
            </w:pPr>
            <w:r w:rsidRPr="00354F5E">
              <w:t xml:space="preserve">Disease activity outcomes: clinical responses (ACR20, ACR50, ACR70) reported as the percentage of patients achieving 20%, 50% or 70% functional improvement in the American College of Rheumatology response criteria at week 12/3 months; PASI75 improvement from baseline at week 12/3 months. </w:t>
            </w:r>
          </w:p>
          <w:p w:rsidR="00242136" w:rsidRPr="00354F5E" w:rsidRDefault="00242136" w:rsidP="00D12336">
            <w:pPr>
              <w:pStyle w:val="TableText0"/>
            </w:pPr>
            <w:r w:rsidRPr="00354F5E">
              <w:t xml:space="preserve">Patient reported outcomes: improvement in physical function measured by the Health Assessment Questionnaire-Disability Index (HAQ-DI) from baseline to week 12/3 months. </w:t>
            </w:r>
          </w:p>
        </w:tc>
      </w:tr>
      <w:tr w:rsidR="00242136" w:rsidRPr="00354F5E" w:rsidTr="004D0E77">
        <w:tc>
          <w:tcPr>
            <w:tcW w:w="911" w:type="pct"/>
            <w:vAlign w:val="center"/>
          </w:tcPr>
          <w:p w:rsidR="00242136" w:rsidRPr="00354F5E" w:rsidRDefault="00242136" w:rsidP="00D12336">
            <w:pPr>
              <w:pStyle w:val="TableText0"/>
            </w:pPr>
            <w:r w:rsidRPr="00354F5E">
              <w:t>Clinical claim</w:t>
            </w:r>
          </w:p>
        </w:tc>
        <w:tc>
          <w:tcPr>
            <w:tcW w:w="4089" w:type="pct"/>
            <w:vAlign w:val="center"/>
          </w:tcPr>
          <w:p w:rsidR="00242136" w:rsidRPr="00354F5E" w:rsidRDefault="00242136" w:rsidP="00D12336">
            <w:pPr>
              <w:pStyle w:val="TableText0"/>
            </w:pPr>
            <w:r w:rsidRPr="00354F5E">
              <w:t>Upadacitinib is non-inferior to tofacitinib in terms of efficacy and safety in patients with severe PsA for whom an adequate response has not been achieved with conventional therapies.</w:t>
            </w:r>
          </w:p>
        </w:tc>
      </w:tr>
    </w:tbl>
    <w:p w:rsidR="00242136" w:rsidRPr="00354F5E" w:rsidRDefault="00242136" w:rsidP="00D12336">
      <w:pPr>
        <w:pStyle w:val="TableFigureFooter"/>
      </w:pPr>
      <w:r w:rsidRPr="00354F5E">
        <w:t>Source: Table1-1, p13 of the submission.</w:t>
      </w:r>
    </w:p>
    <w:p w:rsidR="00242136" w:rsidRPr="00354F5E" w:rsidRDefault="00242136" w:rsidP="00D12336">
      <w:pPr>
        <w:pStyle w:val="TableFigureFooter"/>
      </w:pPr>
      <w:r w:rsidRPr="00354F5E">
        <w:rPr>
          <w:rFonts w:cstheme="minorHAnsi"/>
          <w:szCs w:val="18"/>
        </w:rPr>
        <w:t>Abbreviations: ACR, American College of Rheumatology; ACR20/50/50, ≥20/50/70% improvement in tender and swollen joint counts and ≥20/50/70% improvement in 3 of 5 remaining ACR core set measures; PASI, Psoriasis Area and Severity Index; PASI75, ≥75% improvement from baseline; cDMARD = conventional disease modifying anti-rheumatic drugs; PsA = psoriatic arthritis.</w:t>
      </w:r>
    </w:p>
    <w:p w:rsidR="005C25FF" w:rsidRPr="00354F5E" w:rsidRDefault="005C25FF" w:rsidP="00D12336">
      <w:pPr>
        <w:pStyle w:val="2-SectionHeading"/>
      </w:pPr>
      <w:bookmarkStart w:id="3" w:name="_Toc62029182"/>
      <w:r w:rsidRPr="00354F5E">
        <w:t>Background</w:t>
      </w:r>
      <w:bookmarkEnd w:id="3"/>
    </w:p>
    <w:p w:rsidR="005C25FF" w:rsidRPr="00354F5E" w:rsidRDefault="005C25FF" w:rsidP="00D12336">
      <w:pPr>
        <w:pStyle w:val="4-SubsectionHeading"/>
        <w:rPr>
          <w:i w:val="0"/>
        </w:rPr>
      </w:pPr>
      <w:bookmarkStart w:id="4" w:name="_Toc22897638"/>
      <w:bookmarkStart w:id="5" w:name="_Toc62029183"/>
      <w:r w:rsidRPr="00354F5E">
        <w:rPr>
          <w:i w:val="0"/>
        </w:rPr>
        <w:t>Registration status</w:t>
      </w:r>
      <w:bookmarkEnd w:id="4"/>
      <w:bookmarkEnd w:id="5"/>
    </w:p>
    <w:p w:rsidR="005C25FF" w:rsidRPr="00354F5E" w:rsidRDefault="00242136" w:rsidP="00D12336">
      <w:pPr>
        <w:pStyle w:val="3-BodyText"/>
      </w:pPr>
      <w:r w:rsidRPr="00354F5E">
        <w:t>The submission was made under the TGA/PBAC Parallel Process</w:t>
      </w:r>
      <w:r w:rsidR="00354F5E">
        <w:t xml:space="preserve">. </w:t>
      </w:r>
      <w:r w:rsidR="00117B1D" w:rsidRPr="00354F5E">
        <w:t>At time of PBAC consideration: The TGA Delegate’s Overview</w:t>
      </w:r>
      <w:r w:rsidR="007D0F3D" w:rsidRPr="00354F5E">
        <w:t xml:space="preserve"> </w:t>
      </w:r>
      <w:r w:rsidR="00117B1D" w:rsidRPr="00354F5E">
        <w:t>was available.</w:t>
      </w:r>
    </w:p>
    <w:p w:rsidR="006E0501" w:rsidRDefault="00F731B6" w:rsidP="006E0501">
      <w:pPr>
        <w:pStyle w:val="3-BodyText"/>
      </w:pPr>
      <w:r>
        <w:t>The TGA Delegate was supportive of registration for the following indication:</w:t>
      </w:r>
    </w:p>
    <w:p w:rsidR="000A0AA0" w:rsidRDefault="00F731B6" w:rsidP="006E0501">
      <w:pPr>
        <w:pStyle w:val="3-BodyText"/>
        <w:numPr>
          <w:ilvl w:val="0"/>
          <w:numId w:val="0"/>
        </w:numPr>
        <w:ind w:left="720"/>
      </w:pPr>
      <w:r w:rsidRPr="006E0501">
        <w:lastRenderedPageBreak/>
        <w:t>‘Upadactinib is indicated for the treatment of moderate to severe active psoriatic arthritis in adult patients who have responded inadequately to, or who are intolerant to, one or more DMARDs. Upadactinib may be used as monotherapy or in combination with a non-biological DMARD’.</w:t>
      </w:r>
      <w:r>
        <w:t xml:space="preserve">  </w:t>
      </w:r>
      <w:bookmarkStart w:id="6" w:name="_Toc62029184"/>
    </w:p>
    <w:p w:rsidR="00B60939" w:rsidRPr="00354F5E" w:rsidRDefault="00B50DB8" w:rsidP="00D12336">
      <w:pPr>
        <w:pStyle w:val="2-SectionHeading"/>
      </w:pPr>
      <w:r w:rsidRPr="00354F5E">
        <w:t>Requested listing</w:t>
      </w:r>
      <w:bookmarkEnd w:id="6"/>
    </w:p>
    <w:p w:rsidR="006E0501" w:rsidRDefault="006E0501">
      <w:r>
        <w:br w:type="page"/>
      </w:r>
    </w:p>
    <w:tbl>
      <w:tblPr>
        <w:tblW w:w="4984" w:type="pct"/>
        <w:tblInd w:w="28" w:type="dxa"/>
        <w:tblCellMar>
          <w:left w:w="28" w:type="dxa"/>
          <w:right w:w="28" w:type="dxa"/>
        </w:tblCellMar>
        <w:tblLook w:val="0000" w:firstRow="0" w:lastRow="0" w:firstColumn="0" w:lastColumn="0" w:noHBand="0" w:noVBand="0"/>
      </w:tblPr>
      <w:tblGrid>
        <w:gridCol w:w="2059"/>
        <w:gridCol w:w="1024"/>
        <w:gridCol w:w="992"/>
        <w:gridCol w:w="813"/>
        <w:gridCol w:w="768"/>
        <w:gridCol w:w="1384"/>
        <w:gridCol w:w="1958"/>
      </w:tblGrid>
      <w:tr w:rsidR="00541314" w:rsidRPr="00354F5E" w:rsidTr="00541314">
        <w:trPr>
          <w:trHeight w:val="463"/>
        </w:trPr>
        <w:tc>
          <w:tcPr>
            <w:tcW w:w="1713" w:type="pct"/>
            <w:gridSpan w:val="2"/>
            <w:tcBorders>
              <w:top w:val="single" w:sz="4" w:space="0" w:color="auto"/>
              <w:bottom w:val="single" w:sz="4" w:space="0" w:color="auto"/>
            </w:tcBorders>
            <w:vAlign w:val="center"/>
          </w:tcPr>
          <w:p w:rsidR="00541314" w:rsidRPr="00354F5E" w:rsidRDefault="00541314" w:rsidP="00D12336">
            <w:pPr>
              <w:keepNext/>
              <w:jc w:val="left"/>
              <w:rPr>
                <w:rFonts w:ascii="Arial Narrow" w:hAnsi="Arial Narrow"/>
                <w:b/>
                <w:sz w:val="20"/>
                <w:szCs w:val="20"/>
              </w:rPr>
            </w:pPr>
            <w:r w:rsidRPr="00354F5E">
              <w:rPr>
                <w:rFonts w:ascii="Arial Narrow" w:hAnsi="Arial Narrow"/>
                <w:b/>
                <w:sz w:val="20"/>
                <w:szCs w:val="20"/>
              </w:rPr>
              <w:lastRenderedPageBreak/>
              <w:t>Name, Restriction,</w:t>
            </w:r>
          </w:p>
          <w:p w:rsidR="00541314" w:rsidRPr="00354F5E" w:rsidRDefault="00541314" w:rsidP="00D12336">
            <w:pPr>
              <w:keepNext/>
              <w:jc w:val="left"/>
              <w:rPr>
                <w:rFonts w:ascii="Arial Narrow" w:hAnsi="Arial Narrow"/>
                <w:b/>
                <w:sz w:val="20"/>
                <w:szCs w:val="20"/>
              </w:rPr>
            </w:pPr>
            <w:r w:rsidRPr="00354F5E">
              <w:rPr>
                <w:rFonts w:ascii="Arial Narrow" w:hAnsi="Arial Narrow"/>
                <w:b/>
                <w:sz w:val="20"/>
                <w:szCs w:val="20"/>
              </w:rPr>
              <w:t>Manner of administration and form</w:t>
            </w:r>
          </w:p>
        </w:tc>
        <w:tc>
          <w:tcPr>
            <w:tcW w:w="551" w:type="pct"/>
            <w:tcBorders>
              <w:top w:val="single" w:sz="4" w:space="0" w:color="auto"/>
              <w:bottom w:val="single" w:sz="4" w:space="0" w:color="auto"/>
            </w:tcBorders>
            <w:vAlign w:val="center"/>
          </w:tcPr>
          <w:p w:rsidR="00541314" w:rsidRPr="00354F5E" w:rsidRDefault="00541314" w:rsidP="00D12336">
            <w:pPr>
              <w:keepNext/>
              <w:jc w:val="center"/>
              <w:rPr>
                <w:rFonts w:ascii="Arial Narrow" w:hAnsi="Arial Narrow"/>
                <w:b/>
                <w:sz w:val="20"/>
                <w:szCs w:val="20"/>
              </w:rPr>
            </w:pPr>
            <w:r w:rsidRPr="00354F5E">
              <w:rPr>
                <w:rFonts w:ascii="Arial Narrow" w:hAnsi="Arial Narrow"/>
                <w:b/>
                <w:sz w:val="20"/>
                <w:szCs w:val="20"/>
              </w:rPr>
              <w:t>Maximum</w:t>
            </w:r>
          </w:p>
          <w:p w:rsidR="00541314" w:rsidRPr="00354F5E" w:rsidRDefault="00541314" w:rsidP="00D12336">
            <w:pPr>
              <w:keepNext/>
              <w:jc w:val="center"/>
              <w:rPr>
                <w:rFonts w:ascii="Arial Narrow" w:hAnsi="Arial Narrow"/>
                <w:b/>
                <w:sz w:val="20"/>
                <w:szCs w:val="20"/>
              </w:rPr>
            </w:pPr>
            <w:r w:rsidRPr="00354F5E">
              <w:rPr>
                <w:rFonts w:ascii="Arial Narrow" w:hAnsi="Arial Narrow"/>
                <w:b/>
                <w:sz w:val="20"/>
                <w:szCs w:val="20"/>
              </w:rPr>
              <w:t>quantity (packs)</w:t>
            </w:r>
          </w:p>
        </w:tc>
        <w:tc>
          <w:tcPr>
            <w:tcW w:w="452" w:type="pct"/>
            <w:tcBorders>
              <w:top w:val="single" w:sz="4" w:space="0" w:color="auto"/>
              <w:bottom w:val="single" w:sz="4" w:space="0" w:color="auto"/>
            </w:tcBorders>
            <w:vAlign w:val="center"/>
          </w:tcPr>
          <w:p w:rsidR="00541314" w:rsidRPr="00354F5E" w:rsidRDefault="00541314" w:rsidP="00D12336">
            <w:pPr>
              <w:keepNext/>
              <w:jc w:val="center"/>
              <w:rPr>
                <w:rFonts w:ascii="Arial Narrow" w:hAnsi="Arial Narrow"/>
                <w:b/>
                <w:sz w:val="20"/>
                <w:szCs w:val="20"/>
              </w:rPr>
            </w:pPr>
            <w:r w:rsidRPr="00354F5E">
              <w:rPr>
                <w:rFonts w:ascii="Arial Narrow" w:hAnsi="Arial Narrow"/>
                <w:b/>
                <w:sz w:val="20"/>
                <w:szCs w:val="20"/>
              </w:rPr>
              <w:t>Maximum</w:t>
            </w:r>
          </w:p>
          <w:p w:rsidR="00541314" w:rsidRPr="00354F5E" w:rsidRDefault="00541314" w:rsidP="00D12336">
            <w:pPr>
              <w:keepNext/>
              <w:jc w:val="center"/>
              <w:rPr>
                <w:rFonts w:ascii="Arial Narrow" w:hAnsi="Arial Narrow" w:cs="Times New Roman"/>
                <w:b/>
                <w:sz w:val="20"/>
                <w:szCs w:val="20"/>
              </w:rPr>
            </w:pPr>
            <w:r w:rsidRPr="00354F5E">
              <w:rPr>
                <w:rFonts w:ascii="Arial Narrow" w:hAnsi="Arial Narrow"/>
                <w:b/>
                <w:sz w:val="20"/>
                <w:szCs w:val="20"/>
              </w:rPr>
              <w:t>quantity (units)</w:t>
            </w:r>
          </w:p>
        </w:tc>
        <w:tc>
          <w:tcPr>
            <w:tcW w:w="427" w:type="pct"/>
            <w:tcBorders>
              <w:top w:val="single" w:sz="4" w:space="0" w:color="auto"/>
              <w:bottom w:val="single" w:sz="4" w:space="0" w:color="auto"/>
            </w:tcBorders>
            <w:vAlign w:val="center"/>
          </w:tcPr>
          <w:p w:rsidR="00541314" w:rsidRPr="00354F5E" w:rsidRDefault="00541314" w:rsidP="00D12336">
            <w:pPr>
              <w:keepNext/>
              <w:jc w:val="center"/>
              <w:rPr>
                <w:rFonts w:ascii="Arial Narrow" w:hAnsi="Arial Narrow"/>
                <w:b/>
                <w:sz w:val="20"/>
                <w:szCs w:val="20"/>
              </w:rPr>
            </w:pPr>
            <w:r w:rsidRPr="00354F5E">
              <w:rPr>
                <w:rFonts w:ascii="Arial Narrow" w:hAnsi="Arial Narrow" w:cs="Times New Roman"/>
                <w:b/>
                <w:sz w:val="20"/>
                <w:szCs w:val="20"/>
              </w:rPr>
              <w:t>№</w:t>
            </w:r>
            <w:r w:rsidRPr="00354F5E">
              <w:rPr>
                <w:rFonts w:ascii="Arial Narrow" w:hAnsi="Arial Narrow"/>
                <w:b/>
                <w:sz w:val="20"/>
                <w:szCs w:val="20"/>
              </w:rPr>
              <w:t>.of</w:t>
            </w:r>
          </w:p>
          <w:p w:rsidR="00541314" w:rsidRPr="00354F5E" w:rsidRDefault="00541314" w:rsidP="00D12336">
            <w:pPr>
              <w:keepNext/>
              <w:jc w:val="center"/>
              <w:rPr>
                <w:rFonts w:ascii="Arial Narrow" w:hAnsi="Arial Narrow"/>
                <w:b/>
                <w:sz w:val="20"/>
                <w:szCs w:val="20"/>
              </w:rPr>
            </w:pPr>
            <w:r w:rsidRPr="00354F5E">
              <w:rPr>
                <w:rFonts w:ascii="Arial Narrow" w:hAnsi="Arial Narrow"/>
                <w:b/>
                <w:sz w:val="20"/>
                <w:szCs w:val="20"/>
              </w:rPr>
              <w:t>Rpts</w:t>
            </w:r>
          </w:p>
        </w:tc>
        <w:tc>
          <w:tcPr>
            <w:tcW w:w="769" w:type="pct"/>
            <w:tcBorders>
              <w:top w:val="single" w:sz="4" w:space="0" w:color="auto"/>
              <w:bottom w:val="single" w:sz="4" w:space="0" w:color="auto"/>
            </w:tcBorders>
            <w:vAlign w:val="center"/>
          </w:tcPr>
          <w:p w:rsidR="00541314" w:rsidRPr="00354F5E" w:rsidRDefault="00541314" w:rsidP="00D12336">
            <w:pPr>
              <w:keepNext/>
              <w:jc w:val="center"/>
              <w:rPr>
                <w:rFonts w:ascii="Arial Narrow" w:hAnsi="Arial Narrow"/>
                <w:b/>
                <w:sz w:val="20"/>
                <w:szCs w:val="20"/>
              </w:rPr>
            </w:pPr>
            <w:r w:rsidRPr="00354F5E">
              <w:rPr>
                <w:rFonts w:ascii="Arial Narrow" w:hAnsi="Arial Narrow"/>
                <w:b/>
                <w:sz w:val="20"/>
                <w:szCs w:val="20"/>
              </w:rPr>
              <w:t>Dispensed price for maximum quantity (DPMQ)</w:t>
            </w:r>
          </w:p>
        </w:tc>
        <w:tc>
          <w:tcPr>
            <w:tcW w:w="1088" w:type="pct"/>
            <w:tcBorders>
              <w:top w:val="single" w:sz="4" w:space="0" w:color="auto"/>
              <w:bottom w:val="single" w:sz="4" w:space="0" w:color="auto"/>
            </w:tcBorders>
            <w:vAlign w:val="center"/>
          </w:tcPr>
          <w:p w:rsidR="00541314" w:rsidRPr="00354F5E" w:rsidRDefault="00541314" w:rsidP="00D12336">
            <w:pPr>
              <w:keepNext/>
              <w:jc w:val="center"/>
              <w:rPr>
                <w:rFonts w:ascii="Arial Narrow" w:hAnsi="Arial Narrow"/>
                <w:b/>
                <w:sz w:val="20"/>
                <w:szCs w:val="20"/>
              </w:rPr>
            </w:pPr>
            <w:r w:rsidRPr="00354F5E">
              <w:rPr>
                <w:rFonts w:ascii="Arial Narrow" w:hAnsi="Arial Narrow"/>
                <w:b/>
                <w:sz w:val="20"/>
                <w:szCs w:val="20"/>
              </w:rPr>
              <w:t>Proprietary Name and Manufacturer</w:t>
            </w:r>
          </w:p>
        </w:tc>
      </w:tr>
      <w:tr w:rsidR="00541314" w:rsidRPr="00354F5E" w:rsidTr="00E03E29">
        <w:trPr>
          <w:trHeight w:val="79"/>
        </w:trPr>
        <w:tc>
          <w:tcPr>
            <w:tcW w:w="1713" w:type="pct"/>
            <w:gridSpan w:val="2"/>
            <w:vAlign w:val="center"/>
          </w:tcPr>
          <w:p w:rsidR="00541314" w:rsidRPr="00354F5E" w:rsidRDefault="00541314" w:rsidP="00D12336">
            <w:pPr>
              <w:keepNext/>
              <w:jc w:val="left"/>
              <w:rPr>
                <w:rFonts w:ascii="Arial Narrow" w:hAnsi="Arial Narrow"/>
                <w:sz w:val="20"/>
              </w:rPr>
            </w:pPr>
            <w:r w:rsidRPr="00354F5E">
              <w:rPr>
                <w:rFonts w:ascii="Arial Narrow" w:hAnsi="Arial Narrow"/>
                <w:sz w:val="20"/>
              </w:rPr>
              <w:t>UPADACITINIB</w:t>
            </w:r>
          </w:p>
        </w:tc>
        <w:tc>
          <w:tcPr>
            <w:tcW w:w="551" w:type="pct"/>
            <w:vAlign w:val="center"/>
          </w:tcPr>
          <w:p w:rsidR="00541314" w:rsidRPr="00354F5E" w:rsidRDefault="00541314" w:rsidP="00D12336">
            <w:pPr>
              <w:keepNext/>
              <w:jc w:val="center"/>
              <w:rPr>
                <w:rFonts w:ascii="Arial Narrow" w:hAnsi="Arial Narrow"/>
                <w:sz w:val="20"/>
              </w:rPr>
            </w:pPr>
          </w:p>
        </w:tc>
        <w:tc>
          <w:tcPr>
            <w:tcW w:w="452" w:type="pct"/>
            <w:vAlign w:val="center"/>
          </w:tcPr>
          <w:p w:rsidR="00541314" w:rsidRPr="00354F5E" w:rsidRDefault="00541314" w:rsidP="00D12336">
            <w:pPr>
              <w:keepNext/>
              <w:jc w:val="center"/>
              <w:rPr>
                <w:rFonts w:ascii="Arial Narrow" w:hAnsi="Arial Narrow"/>
                <w:sz w:val="20"/>
              </w:rPr>
            </w:pPr>
          </w:p>
        </w:tc>
        <w:tc>
          <w:tcPr>
            <w:tcW w:w="427" w:type="pct"/>
            <w:vAlign w:val="center"/>
          </w:tcPr>
          <w:p w:rsidR="00541314" w:rsidRPr="00354F5E" w:rsidRDefault="00541314" w:rsidP="00D12336">
            <w:pPr>
              <w:keepNext/>
              <w:jc w:val="center"/>
              <w:rPr>
                <w:rFonts w:ascii="Arial Narrow" w:hAnsi="Arial Narrow"/>
                <w:sz w:val="20"/>
              </w:rPr>
            </w:pPr>
          </w:p>
        </w:tc>
        <w:tc>
          <w:tcPr>
            <w:tcW w:w="769" w:type="pct"/>
            <w:vAlign w:val="center"/>
          </w:tcPr>
          <w:p w:rsidR="00541314" w:rsidRPr="00354F5E" w:rsidRDefault="00541314" w:rsidP="00D12336">
            <w:pPr>
              <w:keepNext/>
              <w:jc w:val="center"/>
              <w:rPr>
                <w:rFonts w:ascii="Arial Narrow" w:hAnsi="Arial Narrow"/>
                <w:sz w:val="20"/>
              </w:rPr>
            </w:pPr>
          </w:p>
        </w:tc>
        <w:tc>
          <w:tcPr>
            <w:tcW w:w="1088" w:type="pct"/>
            <w:vAlign w:val="center"/>
          </w:tcPr>
          <w:p w:rsidR="00541314" w:rsidRPr="00354F5E" w:rsidRDefault="00541314" w:rsidP="00D12336">
            <w:pPr>
              <w:keepNext/>
              <w:jc w:val="center"/>
              <w:rPr>
                <w:rFonts w:ascii="Arial Narrow" w:hAnsi="Arial Narrow"/>
                <w:sz w:val="20"/>
              </w:rPr>
            </w:pPr>
          </w:p>
        </w:tc>
      </w:tr>
      <w:tr w:rsidR="00541314" w:rsidRPr="00354F5E" w:rsidTr="00E03E29">
        <w:trPr>
          <w:trHeight w:val="135"/>
        </w:trPr>
        <w:tc>
          <w:tcPr>
            <w:tcW w:w="1713" w:type="pct"/>
            <w:gridSpan w:val="2"/>
            <w:vAlign w:val="center"/>
          </w:tcPr>
          <w:p w:rsidR="00541314" w:rsidRPr="00354F5E" w:rsidRDefault="00541314" w:rsidP="00D12336">
            <w:pPr>
              <w:keepNext/>
              <w:jc w:val="left"/>
              <w:rPr>
                <w:rFonts w:ascii="Arial Narrow" w:hAnsi="Arial Narrow"/>
                <w:sz w:val="20"/>
                <w:u w:val="single"/>
              </w:rPr>
            </w:pPr>
            <w:r w:rsidRPr="00354F5E">
              <w:rPr>
                <w:rFonts w:ascii="Arial Narrow" w:hAnsi="Arial Narrow"/>
                <w:sz w:val="20"/>
                <w:u w:val="single"/>
              </w:rPr>
              <w:t>Initial 1, 2, 3</w:t>
            </w:r>
          </w:p>
          <w:p w:rsidR="00541314" w:rsidRPr="00354F5E" w:rsidRDefault="00541314" w:rsidP="00D12336">
            <w:pPr>
              <w:keepNext/>
              <w:jc w:val="left"/>
              <w:rPr>
                <w:rFonts w:ascii="Arial Narrow" w:hAnsi="Arial Narrow"/>
                <w:sz w:val="20"/>
              </w:rPr>
            </w:pPr>
            <w:r w:rsidRPr="00354F5E">
              <w:rPr>
                <w:rFonts w:ascii="Arial Narrow" w:hAnsi="Arial Narrow"/>
                <w:sz w:val="20"/>
              </w:rPr>
              <w:t>15 mg modified release tablet, 28</w:t>
            </w:r>
          </w:p>
        </w:tc>
        <w:tc>
          <w:tcPr>
            <w:tcW w:w="551" w:type="pct"/>
            <w:vAlign w:val="center"/>
          </w:tcPr>
          <w:p w:rsidR="00541314" w:rsidRPr="00354F5E" w:rsidRDefault="00541314" w:rsidP="00D12336">
            <w:pPr>
              <w:keepNext/>
              <w:jc w:val="center"/>
              <w:rPr>
                <w:rFonts w:ascii="Arial Narrow" w:hAnsi="Arial Narrow"/>
                <w:sz w:val="20"/>
              </w:rPr>
            </w:pPr>
            <w:r w:rsidRPr="00354F5E">
              <w:rPr>
                <w:rFonts w:ascii="Arial Narrow" w:hAnsi="Arial Narrow"/>
                <w:sz w:val="20"/>
              </w:rPr>
              <w:t>1</w:t>
            </w:r>
          </w:p>
        </w:tc>
        <w:tc>
          <w:tcPr>
            <w:tcW w:w="452" w:type="pct"/>
            <w:vAlign w:val="center"/>
          </w:tcPr>
          <w:p w:rsidR="00541314" w:rsidRPr="00354F5E" w:rsidRDefault="00541314" w:rsidP="00D12336">
            <w:pPr>
              <w:keepNext/>
              <w:jc w:val="center"/>
              <w:rPr>
                <w:rFonts w:ascii="Arial Narrow" w:hAnsi="Arial Narrow"/>
                <w:sz w:val="20"/>
              </w:rPr>
            </w:pPr>
            <w:r w:rsidRPr="00354F5E">
              <w:rPr>
                <w:rFonts w:ascii="Arial Narrow" w:hAnsi="Arial Narrow"/>
                <w:sz w:val="20"/>
              </w:rPr>
              <w:t>28</w:t>
            </w:r>
          </w:p>
        </w:tc>
        <w:tc>
          <w:tcPr>
            <w:tcW w:w="427" w:type="pct"/>
            <w:vAlign w:val="center"/>
          </w:tcPr>
          <w:p w:rsidR="00541314" w:rsidRPr="00354F5E" w:rsidRDefault="00541314" w:rsidP="00D12336">
            <w:pPr>
              <w:keepNext/>
              <w:jc w:val="center"/>
              <w:rPr>
                <w:rFonts w:ascii="Arial Narrow" w:hAnsi="Arial Narrow"/>
                <w:sz w:val="20"/>
              </w:rPr>
            </w:pPr>
            <w:r w:rsidRPr="00354F5E">
              <w:rPr>
                <w:rFonts w:ascii="Arial Narrow" w:hAnsi="Arial Narrow"/>
                <w:sz w:val="20"/>
              </w:rPr>
              <w:t>3</w:t>
            </w:r>
          </w:p>
        </w:tc>
        <w:tc>
          <w:tcPr>
            <w:tcW w:w="769" w:type="pct"/>
            <w:vAlign w:val="center"/>
          </w:tcPr>
          <w:p w:rsidR="00541314" w:rsidRPr="00354F5E" w:rsidRDefault="00541314" w:rsidP="00D12336">
            <w:pPr>
              <w:keepNext/>
              <w:jc w:val="center"/>
              <w:rPr>
                <w:rFonts w:ascii="Arial Narrow" w:hAnsi="Arial Narrow"/>
                <w:sz w:val="20"/>
              </w:rPr>
            </w:pPr>
            <w:r w:rsidRPr="00354F5E">
              <w:rPr>
                <w:rFonts w:ascii="Arial Narrow" w:hAnsi="Arial Narrow"/>
                <w:sz w:val="20"/>
              </w:rPr>
              <w:t>$1,271.34^</w:t>
            </w:r>
          </w:p>
        </w:tc>
        <w:tc>
          <w:tcPr>
            <w:tcW w:w="1088" w:type="pct"/>
            <w:vMerge w:val="restart"/>
            <w:vAlign w:val="center"/>
          </w:tcPr>
          <w:p w:rsidR="00541314" w:rsidRPr="00354F5E" w:rsidRDefault="00541314" w:rsidP="00D12336">
            <w:pPr>
              <w:keepNext/>
              <w:jc w:val="center"/>
              <w:rPr>
                <w:rFonts w:ascii="Arial Narrow" w:hAnsi="Arial Narrow"/>
                <w:sz w:val="20"/>
              </w:rPr>
            </w:pPr>
            <w:r w:rsidRPr="00354F5E">
              <w:rPr>
                <w:rFonts w:ascii="Arial Narrow" w:hAnsi="Arial Narrow"/>
                <w:sz w:val="20"/>
              </w:rPr>
              <w:t>RINVOQ,</w:t>
            </w:r>
          </w:p>
          <w:p w:rsidR="00541314" w:rsidRPr="00354F5E" w:rsidRDefault="00541314" w:rsidP="00D12336">
            <w:pPr>
              <w:keepNext/>
              <w:jc w:val="center"/>
              <w:rPr>
                <w:rFonts w:ascii="Arial Narrow" w:hAnsi="Arial Narrow"/>
                <w:sz w:val="20"/>
              </w:rPr>
            </w:pPr>
            <w:r w:rsidRPr="00354F5E">
              <w:rPr>
                <w:rFonts w:ascii="Arial Narrow" w:hAnsi="Arial Narrow"/>
                <w:sz w:val="20"/>
              </w:rPr>
              <w:t>AbbVie Pty Ltd</w:t>
            </w:r>
          </w:p>
        </w:tc>
      </w:tr>
      <w:tr w:rsidR="00541314" w:rsidRPr="00354F5E" w:rsidTr="00E03E29">
        <w:trPr>
          <w:trHeight w:val="70"/>
        </w:trPr>
        <w:tc>
          <w:tcPr>
            <w:tcW w:w="1713" w:type="pct"/>
            <w:gridSpan w:val="2"/>
            <w:vAlign w:val="center"/>
          </w:tcPr>
          <w:p w:rsidR="00541314" w:rsidRPr="00354F5E" w:rsidRDefault="00541314" w:rsidP="00D12336">
            <w:pPr>
              <w:keepNext/>
              <w:jc w:val="left"/>
              <w:rPr>
                <w:rFonts w:ascii="Arial Narrow" w:hAnsi="Arial Narrow"/>
                <w:sz w:val="20"/>
                <w:u w:val="single"/>
              </w:rPr>
            </w:pPr>
            <w:r w:rsidRPr="00354F5E">
              <w:rPr>
                <w:rFonts w:ascii="Arial Narrow" w:hAnsi="Arial Narrow"/>
                <w:sz w:val="20"/>
                <w:u w:val="single"/>
              </w:rPr>
              <w:t>Initial – grandfathered patients</w:t>
            </w:r>
          </w:p>
          <w:p w:rsidR="00541314" w:rsidRPr="00354F5E" w:rsidRDefault="00541314" w:rsidP="00D12336">
            <w:pPr>
              <w:keepNext/>
              <w:jc w:val="left"/>
              <w:rPr>
                <w:rFonts w:ascii="Arial Narrow" w:hAnsi="Arial Narrow"/>
                <w:sz w:val="20"/>
              </w:rPr>
            </w:pPr>
            <w:r w:rsidRPr="00354F5E">
              <w:rPr>
                <w:rFonts w:ascii="Arial Narrow" w:hAnsi="Arial Narrow"/>
                <w:sz w:val="20"/>
              </w:rPr>
              <w:t>15 mg modified release tablet, 28</w:t>
            </w:r>
          </w:p>
        </w:tc>
        <w:tc>
          <w:tcPr>
            <w:tcW w:w="551" w:type="pct"/>
            <w:vAlign w:val="center"/>
          </w:tcPr>
          <w:p w:rsidR="00541314" w:rsidRPr="00354F5E" w:rsidRDefault="00541314" w:rsidP="00D12336">
            <w:pPr>
              <w:keepNext/>
              <w:jc w:val="center"/>
              <w:rPr>
                <w:rFonts w:ascii="Arial Narrow" w:hAnsi="Arial Narrow"/>
                <w:sz w:val="20"/>
              </w:rPr>
            </w:pPr>
            <w:r w:rsidRPr="00354F5E">
              <w:rPr>
                <w:rFonts w:ascii="Arial Narrow" w:hAnsi="Arial Narrow"/>
                <w:sz w:val="20"/>
              </w:rPr>
              <w:t>1</w:t>
            </w:r>
          </w:p>
        </w:tc>
        <w:tc>
          <w:tcPr>
            <w:tcW w:w="452" w:type="pct"/>
            <w:vAlign w:val="center"/>
          </w:tcPr>
          <w:p w:rsidR="00541314" w:rsidRPr="00354F5E" w:rsidRDefault="00541314" w:rsidP="00D12336">
            <w:pPr>
              <w:keepNext/>
              <w:jc w:val="center"/>
              <w:rPr>
                <w:rFonts w:ascii="Arial Narrow" w:hAnsi="Arial Narrow"/>
                <w:sz w:val="20"/>
              </w:rPr>
            </w:pPr>
            <w:r w:rsidRPr="00354F5E">
              <w:rPr>
                <w:rFonts w:ascii="Arial Narrow" w:hAnsi="Arial Narrow"/>
                <w:sz w:val="20"/>
              </w:rPr>
              <w:t>28</w:t>
            </w:r>
          </w:p>
        </w:tc>
        <w:tc>
          <w:tcPr>
            <w:tcW w:w="427" w:type="pct"/>
            <w:vAlign w:val="center"/>
          </w:tcPr>
          <w:p w:rsidR="00541314" w:rsidRPr="00354F5E" w:rsidRDefault="00541314" w:rsidP="00D12336">
            <w:pPr>
              <w:keepNext/>
              <w:jc w:val="center"/>
              <w:rPr>
                <w:rFonts w:ascii="Arial Narrow" w:hAnsi="Arial Narrow"/>
                <w:sz w:val="20"/>
              </w:rPr>
            </w:pPr>
            <w:r w:rsidRPr="00354F5E">
              <w:rPr>
                <w:rFonts w:ascii="Arial Narrow" w:hAnsi="Arial Narrow"/>
                <w:sz w:val="20"/>
              </w:rPr>
              <w:t>5</w:t>
            </w:r>
          </w:p>
        </w:tc>
        <w:tc>
          <w:tcPr>
            <w:tcW w:w="769" w:type="pct"/>
            <w:vAlign w:val="center"/>
          </w:tcPr>
          <w:p w:rsidR="00541314" w:rsidRPr="00354F5E" w:rsidRDefault="00541314" w:rsidP="00D12336">
            <w:pPr>
              <w:keepNext/>
              <w:jc w:val="center"/>
              <w:rPr>
                <w:rFonts w:ascii="Arial Narrow" w:hAnsi="Arial Narrow"/>
                <w:sz w:val="20"/>
              </w:rPr>
            </w:pPr>
            <w:r w:rsidRPr="00354F5E">
              <w:rPr>
                <w:rFonts w:ascii="Arial Narrow" w:hAnsi="Arial Narrow"/>
                <w:sz w:val="20"/>
              </w:rPr>
              <w:t>$1,271.34^</w:t>
            </w:r>
          </w:p>
        </w:tc>
        <w:tc>
          <w:tcPr>
            <w:tcW w:w="1088" w:type="pct"/>
            <w:vMerge/>
            <w:vAlign w:val="center"/>
          </w:tcPr>
          <w:p w:rsidR="00541314" w:rsidRPr="00354F5E" w:rsidRDefault="00541314" w:rsidP="00D12336">
            <w:pPr>
              <w:keepNext/>
              <w:jc w:val="center"/>
              <w:rPr>
                <w:rFonts w:ascii="Arial Narrow" w:hAnsi="Arial Narrow"/>
                <w:sz w:val="20"/>
              </w:rPr>
            </w:pPr>
          </w:p>
        </w:tc>
      </w:tr>
      <w:tr w:rsidR="00541314" w:rsidRPr="00354F5E" w:rsidTr="00E03E29">
        <w:trPr>
          <w:trHeight w:val="77"/>
        </w:trPr>
        <w:tc>
          <w:tcPr>
            <w:tcW w:w="1713" w:type="pct"/>
            <w:gridSpan w:val="2"/>
            <w:vAlign w:val="center"/>
          </w:tcPr>
          <w:p w:rsidR="00541314" w:rsidRPr="00354F5E" w:rsidRDefault="00E03E29" w:rsidP="00D12336">
            <w:pPr>
              <w:keepNext/>
              <w:jc w:val="left"/>
              <w:rPr>
                <w:rFonts w:ascii="Arial Narrow" w:hAnsi="Arial Narrow"/>
                <w:sz w:val="20"/>
                <w:u w:val="single"/>
              </w:rPr>
            </w:pPr>
            <w:r w:rsidRPr="00354F5E">
              <w:rPr>
                <w:rFonts w:ascii="Arial Narrow" w:hAnsi="Arial Narrow"/>
                <w:sz w:val="20"/>
                <w:u w:val="single"/>
              </w:rPr>
              <w:t>Continuing treatment</w:t>
            </w:r>
          </w:p>
          <w:p w:rsidR="00541314" w:rsidRPr="00354F5E" w:rsidRDefault="00541314" w:rsidP="00D12336">
            <w:pPr>
              <w:keepNext/>
              <w:jc w:val="left"/>
              <w:rPr>
                <w:rFonts w:ascii="Arial Narrow" w:hAnsi="Arial Narrow"/>
                <w:sz w:val="20"/>
              </w:rPr>
            </w:pPr>
            <w:r w:rsidRPr="00354F5E">
              <w:rPr>
                <w:rFonts w:ascii="Arial Narrow" w:hAnsi="Arial Narrow"/>
                <w:sz w:val="20"/>
              </w:rPr>
              <w:t>15 mg modified release tablet, 28</w:t>
            </w:r>
          </w:p>
        </w:tc>
        <w:tc>
          <w:tcPr>
            <w:tcW w:w="551" w:type="pct"/>
            <w:vAlign w:val="center"/>
          </w:tcPr>
          <w:p w:rsidR="00541314" w:rsidRPr="00354F5E" w:rsidRDefault="00541314" w:rsidP="00D12336">
            <w:pPr>
              <w:keepNext/>
              <w:jc w:val="center"/>
              <w:rPr>
                <w:rFonts w:ascii="Arial Narrow" w:hAnsi="Arial Narrow"/>
                <w:sz w:val="20"/>
              </w:rPr>
            </w:pPr>
            <w:r w:rsidRPr="00354F5E">
              <w:rPr>
                <w:rFonts w:ascii="Arial Narrow" w:hAnsi="Arial Narrow"/>
                <w:sz w:val="20"/>
              </w:rPr>
              <w:t>1</w:t>
            </w:r>
          </w:p>
        </w:tc>
        <w:tc>
          <w:tcPr>
            <w:tcW w:w="452" w:type="pct"/>
            <w:vAlign w:val="center"/>
          </w:tcPr>
          <w:p w:rsidR="00541314" w:rsidRPr="00354F5E" w:rsidRDefault="00541314" w:rsidP="00D12336">
            <w:pPr>
              <w:keepNext/>
              <w:jc w:val="center"/>
              <w:rPr>
                <w:rFonts w:ascii="Arial Narrow" w:hAnsi="Arial Narrow"/>
                <w:sz w:val="20"/>
              </w:rPr>
            </w:pPr>
            <w:r w:rsidRPr="00354F5E">
              <w:rPr>
                <w:rFonts w:ascii="Arial Narrow" w:hAnsi="Arial Narrow"/>
                <w:sz w:val="20"/>
              </w:rPr>
              <w:t>28</w:t>
            </w:r>
          </w:p>
        </w:tc>
        <w:tc>
          <w:tcPr>
            <w:tcW w:w="427" w:type="pct"/>
            <w:vAlign w:val="center"/>
          </w:tcPr>
          <w:p w:rsidR="00541314" w:rsidRPr="00354F5E" w:rsidRDefault="00541314" w:rsidP="00D12336">
            <w:pPr>
              <w:keepNext/>
              <w:jc w:val="center"/>
              <w:rPr>
                <w:rFonts w:ascii="Arial Narrow" w:hAnsi="Arial Narrow"/>
                <w:sz w:val="20"/>
              </w:rPr>
            </w:pPr>
            <w:r w:rsidRPr="00354F5E">
              <w:rPr>
                <w:rFonts w:ascii="Arial Narrow" w:hAnsi="Arial Narrow"/>
                <w:sz w:val="20"/>
              </w:rPr>
              <w:t>5</w:t>
            </w:r>
          </w:p>
        </w:tc>
        <w:tc>
          <w:tcPr>
            <w:tcW w:w="769" w:type="pct"/>
            <w:vAlign w:val="center"/>
          </w:tcPr>
          <w:p w:rsidR="00541314" w:rsidRPr="00354F5E" w:rsidRDefault="00541314" w:rsidP="00D12336">
            <w:pPr>
              <w:keepNext/>
              <w:jc w:val="center"/>
              <w:rPr>
                <w:rFonts w:ascii="Arial Narrow" w:hAnsi="Arial Narrow"/>
                <w:sz w:val="20"/>
              </w:rPr>
            </w:pPr>
            <w:r w:rsidRPr="00354F5E">
              <w:rPr>
                <w:rFonts w:ascii="Arial Narrow" w:hAnsi="Arial Narrow"/>
                <w:sz w:val="20"/>
              </w:rPr>
              <w:t>$1,271.34^</w:t>
            </w:r>
          </w:p>
        </w:tc>
        <w:tc>
          <w:tcPr>
            <w:tcW w:w="1088" w:type="pct"/>
            <w:vMerge/>
            <w:vAlign w:val="center"/>
          </w:tcPr>
          <w:p w:rsidR="00541314" w:rsidRPr="00354F5E" w:rsidRDefault="00541314" w:rsidP="00D12336">
            <w:pPr>
              <w:keepNext/>
              <w:jc w:val="center"/>
              <w:rPr>
                <w:rFonts w:ascii="Arial Narrow" w:hAnsi="Arial Narrow"/>
                <w:sz w:val="20"/>
              </w:rPr>
            </w:pPr>
          </w:p>
        </w:tc>
      </w:tr>
      <w:tr w:rsidR="00D77FBF" w:rsidRPr="00354F5E" w:rsidTr="007B5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D77FBF" w:rsidRPr="00354F5E" w:rsidRDefault="00D77FBF" w:rsidP="00D12336">
            <w:pPr>
              <w:pStyle w:val="Tabletext"/>
            </w:pPr>
            <w:r w:rsidRPr="00354F5E">
              <w:rPr>
                <w:b/>
              </w:rPr>
              <w:t>Category / Program:</w:t>
            </w:r>
          </w:p>
        </w:tc>
        <w:tc>
          <w:tcPr>
            <w:tcW w:w="3856" w:type="pct"/>
            <w:gridSpan w:val="6"/>
            <w:tcBorders>
              <w:top w:val="single" w:sz="4" w:space="0" w:color="auto"/>
              <w:left w:val="single" w:sz="4" w:space="0" w:color="auto"/>
              <w:bottom w:val="single" w:sz="4" w:space="0" w:color="auto"/>
              <w:right w:val="single" w:sz="4" w:space="0" w:color="auto"/>
            </w:tcBorders>
          </w:tcPr>
          <w:p w:rsidR="00D77FBF" w:rsidRPr="00354F5E" w:rsidRDefault="00D77FBF" w:rsidP="00D12336">
            <w:pPr>
              <w:pStyle w:val="Tabletext"/>
            </w:pPr>
            <w:r w:rsidRPr="00354F5E">
              <w:t>GENERAL – General Schedule (Code GE)</w:t>
            </w:r>
          </w:p>
        </w:tc>
      </w:tr>
      <w:tr w:rsidR="00D77FBF" w:rsidRPr="00354F5E" w:rsidTr="007B5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D77FBF" w:rsidRPr="00354F5E" w:rsidRDefault="00D77FBF" w:rsidP="00D12336">
            <w:pPr>
              <w:pStyle w:val="Tabletext"/>
            </w:pPr>
            <w:r w:rsidRPr="00354F5E">
              <w:rPr>
                <w:b/>
              </w:rPr>
              <w:t>Prescriber type:</w:t>
            </w:r>
          </w:p>
        </w:tc>
        <w:tc>
          <w:tcPr>
            <w:tcW w:w="3856" w:type="pct"/>
            <w:gridSpan w:val="6"/>
            <w:tcBorders>
              <w:top w:val="single" w:sz="4" w:space="0" w:color="auto"/>
              <w:left w:val="single" w:sz="4" w:space="0" w:color="auto"/>
              <w:bottom w:val="single" w:sz="4" w:space="0" w:color="auto"/>
              <w:right w:val="single" w:sz="4" w:space="0" w:color="auto"/>
            </w:tcBorders>
          </w:tcPr>
          <w:p w:rsidR="00D77FBF" w:rsidRPr="00354F5E" w:rsidRDefault="00D77FBF" w:rsidP="00D12336">
            <w:pPr>
              <w:pStyle w:val="Tabletext"/>
            </w:pPr>
            <w:r w:rsidRPr="00354F5E">
              <w:fldChar w:fldCharType="begin">
                <w:ffData>
                  <w:name w:val=""/>
                  <w:enabled/>
                  <w:calcOnExit w:val="0"/>
                  <w:checkBox>
                    <w:sizeAuto/>
                    <w:default w:val="1"/>
                  </w:checkBox>
                </w:ffData>
              </w:fldChar>
            </w:r>
            <w:r w:rsidRPr="00354F5E">
              <w:instrText xml:space="preserve"> FORMCHECKBOX </w:instrText>
            </w:r>
            <w:r w:rsidR="002D5A94">
              <w:fldChar w:fldCharType="separate"/>
            </w:r>
            <w:r w:rsidRPr="00354F5E">
              <w:fldChar w:fldCharType="end"/>
            </w:r>
            <w:r w:rsidRPr="00354F5E">
              <w:t>Medical Practitioners</w:t>
            </w:r>
          </w:p>
        </w:tc>
      </w:tr>
      <w:tr w:rsidR="00D77FBF" w:rsidRPr="00354F5E" w:rsidTr="007B5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D77FBF" w:rsidRPr="00354F5E" w:rsidRDefault="00D77FBF" w:rsidP="00D12336">
            <w:pPr>
              <w:pStyle w:val="Tabletext"/>
            </w:pPr>
            <w:r w:rsidRPr="00354F5E">
              <w:rPr>
                <w:b/>
              </w:rPr>
              <w:t>Severity:</w:t>
            </w:r>
          </w:p>
        </w:tc>
        <w:tc>
          <w:tcPr>
            <w:tcW w:w="3856" w:type="pct"/>
            <w:gridSpan w:val="6"/>
            <w:tcBorders>
              <w:top w:val="single" w:sz="4" w:space="0" w:color="auto"/>
              <w:left w:val="single" w:sz="4" w:space="0" w:color="auto"/>
              <w:bottom w:val="single" w:sz="4" w:space="0" w:color="auto"/>
              <w:right w:val="single" w:sz="4" w:space="0" w:color="auto"/>
            </w:tcBorders>
          </w:tcPr>
          <w:p w:rsidR="00D77FBF" w:rsidRPr="00354F5E" w:rsidRDefault="00D77FBF" w:rsidP="00D12336">
            <w:pPr>
              <w:pStyle w:val="Tabletext"/>
            </w:pPr>
            <w:r w:rsidRPr="00354F5E">
              <w:t>Severe</w:t>
            </w:r>
          </w:p>
        </w:tc>
      </w:tr>
      <w:tr w:rsidR="00D77FBF" w:rsidRPr="00354F5E" w:rsidTr="007B5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D77FBF" w:rsidRPr="00354F5E" w:rsidRDefault="00D77FBF" w:rsidP="00D12336">
            <w:pPr>
              <w:pStyle w:val="Tabletext"/>
            </w:pPr>
            <w:r w:rsidRPr="00354F5E">
              <w:rPr>
                <w:b/>
              </w:rPr>
              <w:t>Condition:</w:t>
            </w:r>
          </w:p>
        </w:tc>
        <w:tc>
          <w:tcPr>
            <w:tcW w:w="3856" w:type="pct"/>
            <w:gridSpan w:val="6"/>
            <w:tcBorders>
              <w:top w:val="single" w:sz="4" w:space="0" w:color="auto"/>
              <w:left w:val="single" w:sz="4" w:space="0" w:color="auto"/>
              <w:bottom w:val="single" w:sz="4" w:space="0" w:color="auto"/>
              <w:right w:val="single" w:sz="4" w:space="0" w:color="auto"/>
            </w:tcBorders>
          </w:tcPr>
          <w:p w:rsidR="00D77FBF" w:rsidRPr="00354F5E" w:rsidRDefault="00D77FBF" w:rsidP="00D12336">
            <w:pPr>
              <w:pStyle w:val="Tabletext"/>
            </w:pPr>
            <w:r w:rsidRPr="00354F5E">
              <w:t xml:space="preserve">Psoriatic arthritis </w:t>
            </w:r>
          </w:p>
        </w:tc>
      </w:tr>
      <w:tr w:rsidR="00D77FBF" w:rsidRPr="00354F5E" w:rsidTr="009A0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12" w:space="0" w:color="auto"/>
              <w:right w:val="single" w:sz="4" w:space="0" w:color="auto"/>
            </w:tcBorders>
          </w:tcPr>
          <w:p w:rsidR="00D77FBF" w:rsidRPr="00354F5E" w:rsidRDefault="00D77FBF" w:rsidP="00D12336">
            <w:pPr>
              <w:pStyle w:val="Tabletext"/>
            </w:pPr>
            <w:r w:rsidRPr="00354F5E">
              <w:rPr>
                <w:b/>
              </w:rPr>
              <w:t>PBS Indication:</w:t>
            </w:r>
          </w:p>
        </w:tc>
        <w:tc>
          <w:tcPr>
            <w:tcW w:w="3856" w:type="pct"/>
            <w:gridSpan w:val="6"/>
            <w:tcBorders>
              <w:top w:val="single" w:sz="4" w:space="0" w:color="auto"/>
              <w:left w:val="single" w:sz="4" w:space="0" w:color="auto"/>
              <w:bottom w:val="single" w:sz="12" w:space="0" w:color="auto"/>
              <w:right w:val="single" w:sz="4" w:space="0" w:color="auto"/>
            </w:tcBorders>
          </w:tcPr>
          <w:p w:rsidR="00D77FBF" w:rsidRPr="00354F5E" w:rsidRDefault="00D77FBF" w:rsidP="00D12336">
            <w:pPr>
              <w:pStyle w:val="Tabletext"/>
            </w:pPr>
            <w:r w:rsidRPr="00354F5E">
              <w:t>Severe Psoriatic Arthritis</w:t>
            </w:r>
          </w:p>
        </w:tc>
      </w:tr>
      <w:tr w:rsidR="00D77FBF" w:rsidRPr="00354F5E" w:rsidTr="009A0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12" w:space="0" w:color="auto"/>
              <w:left w:val="single" w:sz="4" w:space="0" w:color="auto"/>
              <w:bottom w:val="single" w:sz="4" w:space="0" w:color="auto"/>
              <w:right w:val="single" w:sz="4" w:space="0" w:color="auto"/>
            </w:tcBorders>
          </w:tcPr>
          <w:p w:rsidR="00D77FBF" w:rsidRPr="00354F5E" w:rsidRDefault="00D77FBF" w:rsidP="00D12336">
            <w:pPr>
              <w:pStyle w:val="Tabletext"/>
            </w:pPr>
            <w:r w:rsidRPr="00354F5E">
              <w:rPr>
                <w:b/>
              </w:rPr>
              <w:t>Treatment phase:</w:t>
            </w:r>
          </w:p>
        </w:tc>
        <w:tc>
          <w:tcPr>
            <w:tcW w:w="3856" w:type="pct"/>
            <w:gridSpan w:val="6"/>
            <w:tcBorders>
              <w:top w:val="single" w:sz="12" w:space="0" w:color="auto"/>
              <w:left w:val="single" w:sz="4" w:space="0" w:color="auto"/>
              <w:bottom w:val="single" w:sz="4" w:space="0" w:color="auto"/>
              <w:right w:val="single" w:sz="4" w:space="0" w:color="auto"/>
            </w:tcBorders>
          </w:tcPr>
          <w:p w:rsidR="00D77FBF" w:rsidRPr="00354F5E" w:rsidRDefault="00D77FBF" w:rsidP="00D12336">
            <w:pPr>
              <w:pStyle w:val="Tabletext"/>
            </w:pPr>
            <w:r w:rsidRPr="00354F5E">
              <w:t>Initial treatment</w:t>
            </w:r>
          </w:p>
        </w:tc>
      </w:tr>
      <w:tr w:rsidR="00D77FBF" w:rsidRPr="00354F5E" w:rsidTr="007B5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D77FBF" w:rsidRPr="00354F5E" w:rsidRDefault="00D77FBF" w:rsidP="00D12336">
            <w:pPr>
              <w:pStyle w:val="Tabletext"/>
            </w:pPr>
            <w:r w:rsidRPr="00354F5E">
              <w:rPr>
                <w:b/>
              </w:rPr>
              <w:t>Restriction:</w:t>
            </w:r>
          </w:p>
        </w:tc>
        <w:tc>
          <w:tcPr>
            <w:tcW w:w="3856" w:type="pct"/>
            <w:gridSpan w:val="6"/>
            <w:tcBorders>
              <w:top w:val="single" w:sz="4" w:space="0" w:color="auto"/>
              <w:left w:val="single" w:sz="4" w:space="0" w:color="auto"/>
              <w:bottom w:val="single" w:sz="4" w:space="0" w:color="auto"/>
              <w:right w:val="single" w:sz="4" w:space="0" w:color="auto"/>
            </w:tcBorders>
          </w:tcPr>
          <w:p w:rsidR="00D77FBF" w:rsidRPr="00354F5E" w:rsidRDefault="00D77FBF" w:rsidP="00D12336">
            <w:pPr>
              <w:pStyle w:val="Tabletext"/>
            </w:pPr>
            <w:r w:rsidRPr="00354F5E">
              <w:fldChar w:fldCharType="begin">
                <w:ffData>
                  <w:name w:val=""/>
                  <w:enabled/>
                  <w:calcOnExit w:val="0"/>
                  <w:checkBox>
                    <w:sizeAuto/>
                    <w:default w:val="1"/>
                  </w:checkBox>
                </w:ffData>
              </w:fldChar>
            </w:r>
            <w:r w:rsidRPr="00354F5E">
              <w:instrText xml:space="preserve"> FORMCHECKBOX </w:instrText>
            </w:r>
            <w:r w:rsidR="002D5A94">
              <w:fldChar w:fldCharType="separate"/>
            </w:r>
            <w:r w:rsidRPr="00354F5E">
              <w:fldChar w:fldCharType="end"/>
            </w:r>
            <w:r w:rsidRPr="00354F5E">
              <w:t>Authority Required - In Writing</w:t>
            </w:r>
          </w:p>
        </w:tc>
      </w:tr>
      <w:tr w:rsidR="00D77FBF" w:rsidRPr="00354F5E" w:rsidTr="007B5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D77FBF" w:rsidRPr="00354F5E" w:rsidRDefault="00D77FBF" w:rsidP="00D12336">
            <w:pPr>
              <w:pStyle w:val="Tabletext"/>
            </w:pPr>
            <w:r w:rsidRPr="00354F5E">
              <w:rPr>
                <w:b/>
              </w:rPr>
              <w:t>Treatment criteria:</w:t>
            </w:r>
          </w:p>
        </w:tc>
        <w:tc>
          <w:tcPr>
            <w:tcW w:w="3856" w:type="pct"/>
            <w:gridSpan w:val="6"/>
            <w:tcBorders>
              <w:top w:val="single" w:sz="4" w:space="0" w:color="auto"/>
              <w:left w:val="single" w:sz="4" w:space="0" w:color="auto"/>
              <w:bottom w:val="single" w:sz="4" w:space="0" w:color="auto"/>
              <w:right w:val="single" w:sz="4" w:space="0" w:color="auto"/>
            </w:tcBorders>
          </w:tcPr>
          <w:p w:rsidR="00D77FBF" w:rsidRPr="00354F5E" w:rsidRDefault="00D77FBF" w:rsidP="00D12336">
            <w:pPr>
              <w:pStyle w:val="Tabletext"/>
            </w:pPr>
            <w:r w:rsidRPr="00354F5E">
              <w:rPr>
                <w:rFonts w:cs="Arial"/>
              </w:rPr>
              <w:t>Must be treated by a rheumatologist OR a clinical immunologist with expertise in the management of psoriatic arthritis.</w:t>
            </w:r>
          </w:p>
        </w:tc>
      </w:tr>
      <w:tr w:rsidR="00D77FBF" w:rsidRPr="00354F5E" w:rsidTr="007B5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D77FBF" w:rsidRPr="00354F5E" w:rsidRDefault="00D77FBF" w:rsidP="00D12336">
            <w:pPr>
              <w:pStyle w:val="Tabletext"/>
            </w:pPr>
            <w:r w:rsidRPr="00354F5E">
              <w:rPr>
                <w:b/>
              </w:rPr>
              <w:t>Clinical criteria:</w:t>
            </w:r>
          </w:p>
        </w:tc>
        <w:tc>
          <w:tcPr>
            <w:tcW w:w="3856" w:type="pct"/>
            <w:gridSpan w:val="6"/>
            <w:tcBorders>
              <w:top w:val="single" w:sz="4" w:space="0" w:color="auto"/>
              <w:left w:val="single" w:sz="4" w:space="0" w:color="auto"/>
              <w:bottom w:val="single" w:sz="4" w:space="0" w:color="auto"/>
              <w:right w:val="single" w:sz="4" w:space="0" w:color="auto"/>
            </w:tcBorders>
          </w:tcPr>
          <w:p w:rsidR="00D77FBF" w:rsidRPr="00354F5E" w:rsidRDefault="00D77FBF" w:rsidP="00D12336">
            <w:pPr>
              <w:pStyle w:val="TableText0"/>
              <w:keepNext w:val="0"/>
              <w:rPr>
                <w:rFonts w:cs="Arial"/>
              </w:rPr>
            </w:pPr>
            <w:r w:rsidRPr="00354F5E">
              <w:rPr>
                <w:rFonts w:cs="Arial"/>
              </w:rPr>
              <w:t>As per other PBS-listed JAK inhibitor/bDMARDs, where:</w:t>
            </w:r>
          </w:p>
          <w:p w:rsidR="00D77FBF" w:rsidRPr="00354F5E" w:rsidRDefault="00D77FBF" w:rsidP="00D12336">
            <w:pPr>
              <w:pStyle w:val="Tabletext"/>
            </w:pPr>
            <w:r w:rsidRPr="00354F5E">
              <w:rPr>
                <w:szCs w:val="20"/>
              </w:rPr>
              <w:t>Patient must not receive more than 16 weeks of treatment under this restriction.</w:t>
            </w:r>
          </w:p>
        </w:tc>
      </w:tr>
      <w:tr w:rsidR="00D77FBF" w:rsidRPr="00354F5E" w:rsidTr="007B5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D77FBF" w:rsidRPr="00354F5E" w:rsidRDefault="00D77FBF" w:rsidP="00D12336">
            <w:pPr>
              <w:pStyle w:val="Tabletext"/>
            </w:pPr>
            <w:r w:rsidRPr="00354F5E">
              <w:rPr>
                <w:b/>
              </w:rPr>
              <w:t>Population criteria:</w:t>
            </w:r>
          </w:p>
        </w:tc>
        <w:tc>
          <w:tcPr>
            <w:tcW w:w="3856" w:type="pct"/>
            <w:gridSpan w:val="6"/>
            <w:tcBorders>
              <w:top w:val="single" w:sz="4" w:space="0" w:color="auto"/>
              <w:left w:val="single" w:sz="4" w:space="0" w:color="auto"/>
              <w:bottom w:val="single" w:sz="4" w:space="0" w:color="auto"/>
              <w:right w:val="single" w:sz="4" w:space="0" w:color="auto"/>
            </w:tcBorders>
          </w:tcPr>
          <w:p w:rsidR="00D77FBF" w:rsidRPr="00354F5E" w:rsidRDefault="00D77FBF" w:rsidP="00D12336">
            <w:pPr>
              <w:pStyle w:val="Tabletext"/>
            </w:pPr>
            <w:r w:rsidRPr="00354F5E">
              <w:t>Patient must be aged 18 years or older.</w:t>
            </w:r>
          </w:p>
        </w:tc>
      </w:tr>
      <w:tr w:rsidR="00D77FBF" w:rsidRPr="00354F5E" w:rsidTr="009A0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12" w:space="0" w:color="auto"/>
              <w:right w:val="single" w:sz="4" w:space="0" w:color="auto"/>
            </w:tcBorders>
          </w:tcPr>
          <w:p w:rsidR="00D77FBF" w:rsidRPr="00354F5E" w:rsidRDefault="00D77FBF" w:rsidP="00D12336">
            <w:pPr>
              <w:pStyle w:val="Tabletext"/>
            </w:pPr>
            <w:r w:rsidRPr="00354F5E">
              <w:rPr>
                <w:b/>
              </w:rPr>
              <w:t>Prescriber Instructions:</w:t>
            </w:r>
          </w:p>
        </w:tc>
        <w:tc>
          <w:tcPr>
            <w:tcW w:w="3856" w:type="pct"/>
            <w:gridSpan w:val="6"/>
            <w:tcBorders>
              <w:top w:val="single" w:sz="4" w:space="0" w:color="auto"/>
              <w:left w:val="single" w:sz="4" w:space="0" w:color="auto"/>
              <w:bottom w:val="single" w:sz="12" w:space="0" w:color="auto"/>
              <w:right w:val="single" w:sz="4" w:space="0" w:color="auto"/>
            </w:tcBorders>
          </w:tcPr>
          <w:p w:rsidR="00D77FBF" w:rsidRPr="00354F5E" w:rsidRDefault="00D77FBF" w:rsidP="00D12336">
            <w:pPr>
              <w:pStyle w:val="TableText0"/>
              <w:keepNext w:val="0"/>
            </w:pPr>
            <w:r w:rsidRPr="00354F5E">
              <w:t>As per other PBS-listed JAK inhibitor/bDMARDs, where:</w:t>
            </w:r>
          </w:p>
          <w:p w:rsidR="00D77FBF" w:rsidRPr="00354F5E" w:rsidRDefault="00D77FBF" w:rsidP="00D12336">
            <w:pPr>
              <w:pStyle w:val="Tabletext"/>
            </w:pPr>
            <w:r w:rsidRPr="00354F5E">
              <w:rPr>
                <w:rFonts w:cs="Arial"/>
                <w:szCs w:val="20"/>
              </w:rPr>
              <w:t>An assessment of a patient's response to an initial course of treatment must be conducted following a minimum of 12 weeks of therapy.</w:t>
            </w:r>
          </w:p>
        </w:tc>
      </w:tr>
      <w:tr w:rsidR="00D77FBF" w:rsidRPr="00354F5E" w:rsidTr="009A0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12" w:space="0" w:color="auto"/>
              <w:left w:val="single" w:sz="4" w:space="0" w:color="auto"/>
              <w:bottom w:val="single" w:sz="4" w:space="0" w:color="auto"/>
              <w:right w:val="single" w:sz="4" w:space="0" w:color="auto"/>
            </w:tcBorders>
          </w:tcPr>
          <w:p w:rsidR="00D77FBF" w:rsidRPr="00354F5E" w:rsidRDefault="00D77FBF" w:rsidP="00D12336">
            <w:pPr>
              <w:pStyle w:val="Tabletext"/>
            </w:pPr>
            <w:r w:rsidRPr="00354F5E">
              <w:rPr>
                <w:b/>
              </w:rPr>
              <w:t>Treatment phase:</w:t>
            </w:r>
          </w:p>
        </w:tc>
        <w:tc>
          <w:tcPr>
            <w:tcW w:w="3856" w:type="pct"/>
            <w:gridSpan w:val="6"/>
            <w:tcBorders>
              <w:top w:val="single" w:sz="12" w:space="0" w:color="auto"/>
              <w:left w:val="single" w:sz="4" w:space="0" w:color="auto"/>
              <w:bottom w:val="single" w:sz="4" w:space="0" w:color="auto"/>
              <w:right w:val="single" w:sz="4" w:space="0" w:color="auto"/>
            </w:tcBorders>
          </w:tcPr>
          <w:p w:rsidR="00D77FBF" w:rsidRPr="00354F5E" w:rsidRDefault="00D77FBF" w:rsidP="00D12336">
            <w:pPr>
              <w:pStyle w:val="Tabletext"/>
            </w:pPr>
            <w:r w:rsidRPr="00354F5E">
              <w:t>Initial treatment: grandfathered patients</w:t>
            </w:r>
          </w:p>
        </w:tc>
      </w:tr>
      <w:tr w:rsidR="00D77FBF" w:rsidRPr="00354F5E" w:rsidTr="007B5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D77FBF" w:rsidRPr="00354F5E" w:rsidRDefault="00D77FBF" w:rsidP="00D12336">
            <w:pPr>
              <w:pStyle w:val="Tabletext"/>
            </w:pPr>
            <w:r w:rsidRPr="00354F5E">
              <w:rPr>
                <w:b/>
              </w:rPr>
              <w:t>Restriction:</w:t>
            </w:r>
          </w:p>
        </w:tc>
        <w:tc>
          <w:tcPr>
            <w:tcW w:w="3856" w:type="pct"/>
            <w:gridSpan w:val="6"/>
            <w:tcBorders>
              <w:top w:val="single" w:sz="4" w:space="0" w:color="auto"/>
              <w:left w:val="single" w:sz="4" w:space="0" w:color="auto"/>
              <w:bottom w:val="single" w:sz="4" w:space="0" w:color="auto"/>
              <w:right w:val="single" w:sz="4" w:space="0" w:color="auto"/>
            </w:tcBorders>
          </w:tcPr>
          <w:p w:rsidR="00D77FBF" w:rsidRPr="00354F5E" w:rsidRDefault="00D77FBF" w:rsidP="00D12336">
            <w:pPr>
              <w:pStyle w:val="Tabletext"/>
            </w:pPr>
            <w:r w:rsidRPr="00354F5E">
              <w:rPr>
                <w:bCs/>
              </w:rPr>
              <w:fldChar w:fldCharType="begin">
                <w:ffData>
                  <w:name w:val=""/>
                  <w:enabled/>
                  <w:calcOnExit w:val="0"/>
                  <w:checkBox>
                    <w:sizeAuto/>
                    <w:default w:val="1"/>
                  </w:checkBox>
                </w:ffData>
              </w:fldChar>
            </w:r>
            <w:r w:rsidRPr="00354F5E">
              <w:instrText xml:space="preserve"> FORMCHECKBOX </w:instrText>
            </w:r>
            <w:r w:rsidR="002D5A94">
              <w:rPr>
                <w:bCs/>
              </w:rPr>
            </w:r>
            <w:r w:rsidR="002D5A94">
              <w:rPr>
                <w:bCs/>
              </w:rPr>
              <w:fldChar w:fldCharType="separate"/>
            </w:r>
            <w:r w:rsidRPr="00354F5E">
              <w:rPr>
                <w:bCs/>
              </w:rPr>
              <w:fldChar w:fldCharType="end"/>
            </w:r>
            <w:r w:rsidRPr="00354F5E">
              <w:t>Authority Required - In Writing</w:t>
            </w:r>
          </w:p>
        </w:tc>
      </w:tr>
      <w:tr w:rsidR="00D77FBF" w:rsidRPr="00354F5E" w:rsidTr="007B5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D77FBF" w:rsidRPr="00354F5E" w:rsidRDefault="00D77FBF" w:rsidP="00D12336">
            <w:pPr>
              <w:pStyle w:val="Tabletext"/>
            </w:pPr>
            <w:r w:rsidRPr="00354F5E">
              <w:rPr>
                <w:b/>
              </w:rPr>
              <w:t>Treatment criteria:</w:t>
            </w:r>
          </w:p>
        </w:tc>
        <w:tc>
          <w:tcPr>
            <w:tcW w:w="3856" w:type="pct"/>
            <w:gridSpan w:val="6"/>
            <w:tcBorders>
              <w:top w:val="single" w:sz="4" w:space="0" w:color="auto"/>
              <w:left w:val="single" w:sz="4" w:space="0" w:color="auto"/>
              <w:bottom w:val="single" w:sz="4" w:space="0" w:color="auto"/>
              <w:right w:val="single" w:sz="4" w:space="0" w:color="auto"/>
            </w:tcBorders>
          </w:tcPr>
          <w:p w:rsidR="00D77FBF" w:rsidRPr="00354F5E" w:rsidRDefault="00D77FBF" w:rsidP="00D12336">
            <w:pPr>
              <w:pStyle w:val="Tabletext"/>
              <w:rPr>
                <w:color w:val="000000"/>
              </w:rPr>
            </w:pPr>
            <w:r w:rsidRPr="00354F5E">
              <w:rPr>
                <w:rFonts w:cs="Arial"/>
              </w:rPr>
              <w:t>Must be treated by a rheumatologist OR a clinical immunologist with expertise in the management of psoriatic arthritis.</w:t>
            </w:r>
          </w:p>
        </w:tc>
      </w:tr>
      <w:tr w:rsidR="00D77FBF" w:rsidRPr="00354F5E" w:rsidTr="007B5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D77FBF" w:rsidRPr="00354F5E" w:rsidRDefault="00D77FBF" w:rsidP="00D12336">
            <w:pPr>
              <w:pStyle w:val="Tabletext"/>
            </w:pPr>
            <w:r w:rsidRPr="00354F5E">
              <w:rPr>
                <w:b/>
              </w:rPr>
              <w:t>Clinical criteria:</w:t>
            </w:r>
          </w:p>
        </w:tc>
        <w:tc>
          <w:tcPr>
            <w:tcW w:w="3856" w:type="pct"/>
            <w:gridSpan w:val="6"/>
            <w:tcBorders>
              <w:top w:val="single" w:sz="4" w:space="0" w:color="auto"/>
              <w:left w:val="single" w:sz="4" w:space="0" w:color="auto"/>
              <w:bottom w:val="single" w:sz="4" w:space="0" w:color="auto"/>
              <w:right w:val="single" w:sz="4" w:space="0" w:color="auto"/>
            </w:tcBorders>
          </w:tcPr>
          <w:p w:rsidR="00D77FBF" w:rsidRPr="00354F5E" w:rsidRDefault="00D77FBF" w:rsidP="00D12336">
            <w:pPr>
              <w:pStyle w:val="TableText0"/>
              <w:keepNext w:val="0"/>
              <w:rPr>
                <w:rFonts w:cs="Arial"/>
              </w:rPr>
            </w:pPr>
            <w:r w:rsidRPr="00354F5E">
              <w:rPr>
                <w:rFonts w:cs="Arial"/>
              </w:rPr>
              <w:t>As per other PBS-listed JAK inhibitor/bDMARDs, where:</w:t>
            </w:r>
          </w:p>
          <w:p w:rsidR="00D77FBF" w:rsidRPr="00354F5E" w:rsidRDefault="00D77FBF" w:rsidP="00D12336">
            <w:pPr>
              <w:rPr>
                <w:rFonts w:ascii="Arial Narrow" w:hAnsi="Arial Narrow"/>
                <w:sz w:val="20"/>
                <w:szCs w:val="20"/>
              </w:rPr>
            </w:pPr>
            <w:r w:rsidRPr="00354F5E">
              <w:rPr>
                <w:rFonts w:ascii="Arial Narrow" w:hAnsi="Arial Narrow"/>
                <w:sz w:val="20"/>
                <w:szCs w:val="20"/>
              </w:rPr>
              <w:t xml:space="preserve">Patient must have demonstrated an adequate response following at least 12 weeks of non-PBS-subsidised treatment with this drug for this condition. </w:t>
            </w:r>
          </w:p>
          <w:p w:rsidR="00D77FBF" w:rsidRPr="00354F5E" w:rsidRDefault="00D77FBF" w:rsidP="00D12336">
            <w:pPr>
              <w:pStyle w:val="Tabletext"/>
              <w:rPr>
                <w:color w:val="000000"/>
              </w:rPr>
            </w:pPr>
            <w:r w:rsidRPr="00354F5E">
              <w:rPr>
                <w:szCs w:val="20"/>
              </w:rPr>
              <w:t>Patient must not receive more than 24 weeks of treatment under this restriction.</w:t>
            </w:r>
          </w:p>
        </w:tc>
      </w:tr>
      <w:tr w:rsidR="00D77FBF" w:rsidRPr="00354F5E" w:rsidTr="007B5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D77FBF" w:rsidRPr="00354F5E" w:rsidRDefault="00D77FBF" w:rsidP="00D12336">
            <w:pPr>
              <w:pStyle w:val="Tabletext"/>
              <w:rPr>
                <w:b/>
              </w:rPr>
            </w:pPr>
            <w:r w:rsidRPr="00354F5E">
              <w:rPr>
                <w:b/>
              </w:rPr>
              <w:t>Population criteria:</w:t>
            </w:r>
          </w:p>
        </w:tc>
        <w:tc>
          <w:tcPr>
            <w:tcW w:w="3856" w:type="pct"/>
            <w:gridSpan w:val="6"/>
            <w:tcBorders>
              <w:top w:val="single" w:sz="4" w:space="0" w:color="auto"/>
              <w:left w:val="single" w:sz="4" w:space="0" w:color="auto"/>
              <w:bottom w:val="single" w:sz="4" w:space="0" w:color="auto"/>
              <w:right w:val="single" w:sz="4" w:space="0" w:color="auto"/>
            </w:tcBorders>
          </w:tcPr>
          <w:p w:rsidR="00D77FBF" w:rsidRPr="00354F5E" w:rsidRDefault="00D77FBF" w:rsidP="00D12336">
            <w:pPr>
              <w:rPr>
                <w:rFonts w:ascii="Arial Narrow" w:hAnsi="Arial Narrow"/>
                <w:sz w:val="20"/>
                <w:szCs w:val="20"/>
              </w:rPr>
            </w:pPr>
            <w:r w:rsidRPr="00354F5E">
              <w:rPr>
                <w:rFonts w:ascii="Arial Narrow" w:hAnsi="Arial Narrow"/>
                <w:sz w:val="20"/>
                <w:szCs w:val="20"/>
              </w:rPr>
              <w:t>Patient must be aged 18 years or older.</w:t>
            </w:r>
          </w:p>
        </w:tc>
      </w:tr>
      <w:tr w:rsidR="00D77FBF" w:rsidRPr="00354F5E" w:rsidTr="009A0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12" w:space="0" w:color="auto"/>
              <w:right w:val="single" w:sz="4" w:space="0" w:color="auto"/>
            </w:tcBorders>
          </w:tcPr>
          <w:p w:rsidR="00D77FBF" w:rsidRPr="00354F5E" w:rsidRDefault="00D77FBF" w:rsidP="00D12336">
            <w:pPr>
              <w:pStyle w:val="Tabletext"/>
              <w:rPr>
                <w:b/>
              </w:rPr>
            </w:pPr>
            <w:r w:rsidRPr="00354F5E">
              <w:rPr>
                <w:b/>
              </w:rPr>
              <w:t>Prescriber Instructions:</w:t>
            </w:r>
          </w:p>
        </w:tc>
        <w:tc>
          <w:tcPr>
            <w:tcW w:w="3856" w:type="pct"/>
            <w:gridSpan w:val="6"/>
            <w:tcBorders>
              <w:top w:val="single" w:sz="4" w:space="0" w:color="auto"/>
              <w:left w:val="single" w:sz="4" w:space="0" w:color="auto"/>
              <w:bottom w:val="single" w:sz="12" w:space="0" w:color="auto"/>
              <w:right w:val="single" w:sz="4" w:space="0" w:color="auto"/>
            </w:tcBorders>
          </w:tcPr>
          <w:p w:rsidR="00D77FBF" w:rsidRPr="00354F5E" w:rsidRDefault="00D77FBF" w:rsidP="00D12336">
            <w:pPr>
              <w:pStyle w:val="TableText0"/>
              <w:keepNext w:val="0"/>
              <w:rPr>
                <w:szCs w:val="20"/>
              </w:rPr>
            </w:pPr>
            <w:r w:rsidRPr="00354F5E">
              <w:rPr>
                <w:szCs w:val="20"/>
              </w:rPr>
              <w:t xml:space="preserve">As per other PBS-listed JAK inhibitor/bDMARDs, </w:t>
            </w:r>
            <w:r w:rsidRPr="00354F5E">
              <w:rPr>
                <w:rFonts w:cs="Arial"/>
                <w:szCs w:val="20"/>
              </w:rPr>
              <w:t>where:</w:t>
            </w:r>
          </w:p>
          <w:p w:rsidR="00D77FBF" w:rsidRPr="00354F5E" w:rsidRDefault="00D77FBF" w:rsidP="00D12336">
            <w:pPr>
              <w:rPr>
                <w:rFonts w:ascii="Arial Narrow" w:hAnsi="Arial Narrow"/>
                <w:sz w:val="20"/>
                <w:szCs w:val="20"/>
              </w:rPr>
            </w:pPr>
            <w:r w:rsidRPr="00354F5E">
              <w:rPr>
                <w:rFonts w:ascii="Arial Narrow" w:hAnsi="Arial Narrow"/>
                <w:sz w:val="20"/>
                <w:szCs w:val="20"/>
              </w:rPr>
              <w:t>A patient may qualify for PBS-subsidised treatment under this restriction once only.</w:t>
            </w:r>
          </w:p>
          <w:p w:rsidR="00D77FBF" w:rsidRPr="00354F5E" w:rsidRDefault="00D77FBF" w:rsidP="00D12336">
            <w:pPr>
              <w:rPr>
                <w:rFonts w:ascii="Arial Narrow" w:hAnsi="Arial Narrow"/>
                <w:sz w:val="20"/>
                <w:szCs w:val="20"/>
              </w:rPr>
            </w:pPr>
            <w:r w:rsidRPr="00354F5E">
              <w:rPr>
                <w:rFonts w:ascii="Arial Narrow" w:hAnsi="Arial Narrow"/>
                <w:sz w:val="20"/>
                <w:szCs w:val="20"/>
              </w:rPr>
              <w:t>For continuing PBS-subsidised treatment, a Grandfathered patient must qualify under the Continuing treatment criteria.</w:t>
            </w:r>
          </w:p>
        </w:tc>
      </w:tr>
      <w:tr w:rsidR="00D77FBF" w:rsidRPr="00354F5E" w:rsidTr="009A0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12" w:space="0" w:color="auto"/>
              <w:left w:val="single" w:sz="4" w:space="0" w:color="auto"/>
              <w:bottom w:val="single" w:sz="4" w:space="0" w:color="auto"/>
              <w:right w:val="single" w:sz="4" w:space="0" w:color="auto"/>
            </w:tcBorders>
          </w:tcPr>
          <w:p w:rsidR="00D77FBF" w:rsidRPr="00354F5E" w:rsidRDefault="00D77FBF" w:rsidP="00D12336">
            <w:pPr>
              <w:pStyle w:val="Tabletext"/>
              <w:rPr>
                <w:b/>
              </w:rPr>
            </w:pPr>
            <w:r w:rsidRPr="00354F5E">
              <w:rPr>
                <w:b/>
              </w:rPr>
              <w:t>Treatment phase:</w:t>
            </w:r>
          </w:p>
        </w:tc>
        <w:tc>
          <w:tcPr>
            <w:tcW w:w="3856" w:type="pct"/>
            <w:gridSpan w:val="6"/>
            <w:tcBorders>
              <w:top w:val="single" w:sz="12" w:space="0" w:color="auto"/>
              <w:left w:val="single" w:sz="4" w:space="0" w:color="auto"/>
              <w:bottom w:val="single" w:sz="4" w:space="0" w:color="auto"/>
              <w:right w:val="single" w:sz="4" w:space="0" w:color="auto"/>
            </w:tcBorders>
          </w:tcPr>
          <w:p w:rsidR="00D77FBF" w:rsidRPr="00354F5E" w:rsidRDefault="00D77FBF" w:rsidP="00D12336">
            <w:pPr>
              <w:rPr>
                <w:rFonts w:ascii="Arial Narrow" w:hAnsi="Arial Narrow"/>
                <w:sz w:val="20"/>
                <w:szCs w:val="20"/>
              </w:rPr>
            </w:pPr>
            <w:r w:rsidRPr="00354F5E">
              <w:rPr>
                <w:rFonts w:ascii="Arial Narrow" w:hAnsi="Arial Narrow"/>
                <w:sz w:val="20"/>
                <w:szCs w:val="20"/>
              </w:rPr>
              <w:t>Continuing treatment</w:t>
            </w:r>
          </w:p>
        </w:tc>
      </w:tr>
      <w:tr w:rsidR="00D77FBF" w:rsidRPr="00354F5E" w:rsidTr="007B5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D77FBF" w:rsidRPr="00354F5E" w:rsidRDefault="00D77FBF" w:rsidP="00D12336">
            <w:pPr>
              <w:pStyle w:val="Tabletext"/>
              <w:rPr>
                <w:b/>
              </w:rPr>
            </w:pPr>
            <w:r w:rsidRPr="00354F5E">
              <w:rPr>
                <w:b/>
              </w:rPr>
              <w:t>Restriction:</w:t>
            </w:r>
          </w:p>
        </w:tc>
        <w:tc>
          <w:tcPr>
            <w:tcW w:w="3856" w:type="pct"/>
            <w:gridSpan w:val="6"/>
            <w:tcBorders>
              <w:top w:val="single" w:sz="4" w:space="0" w:color="auto"/>
              <w:left w:val="single" w:sz="4" w:space="0" w:color="auto"/>
              <w:bottom w:val="single" w:sz="4" w:space="0" w:color="auto"/>
              <w:right w:val="single" w:sz="4" w:space="0" w:color="auto"/>
            </w:tcBorders>
          </w:tcPr>
          <w:p w:rsidR="00D77FBF" w:rsidRPr="00354F5E" w:rsidRDefault="00D77FBF" w:rsidP="00D12336">
            <w:pPr>
              <w:rPr>
                <w:rFonts w:ascii="Arial Narrow" w:hAnsi="Arial Narrow"/>
                <w:sz w:val="20"/>
                <w:szCs w:val="20"/>
              </w:rPr>
            </w:pPr>
            <w:r w:rsidRPr="00354F5E">
              <w:rPr>
                <w:rFonts w:ascii="Arial Narrow" w:hAnsi="Arial Narrow"/>
                <w:sz w:val="20"/>
                <w:szCs w:val="20"/>
              </w:rPr>
              <w:fldChar w:fldCharType="begin">
                <w:ffData>
                  <w:name w:val=""/>
                  <w:enabled/>
                  <w:calcOnExit w:val="0"/>
                  <w:checkBox>
                    <w:sizeAuto/>
                    <w:default w:val="1"/>
                  </w:checkBox>
                </w:ffData>
              </w:fldChar>
            </w:r>
            <w:r w:rsidRPr="00354F5E">
              <w:rPr>
                <w:rFonts w:ascii="Arial Narrow" w:hAnsi="Arial Narrow"/>
                <w:sz w:val="20"/>
                <w:szCs w:val="20"/>
              </w:rPr>
              <w:instrText xml:space="preserve"> FORMCHECKBOX </w:instrText>
            </w:r>
            <w:r w:rsidR="002D5A94">
              <w:rPr>
                <w:rFonts w:ascii="Arial Narrow" w:hAnsi="Arial Narrow"/>
                <w:sz w:val="20"/>
                <w:szCs w:val="20"/>
              </w:rPr>
            </w:r>
            <w:r w:rsidR="002D5A94">
              <w:rPr>
                <w:rFonts w:ascii="Arial Narrow" w:hAnsi="Arial Narrow"/>
                <w:sz w:val="20"/>
                <w:szCs w:val="20"/>
              </w:rPr>
              <w:fldChar w:fldCharType="separate"/>
            </w:r>
            <w:r w:rsidRPr="00354F5E">
              <w:rPr>
                <w:rFonts w:ascii="Arial Narrow" w:hAnsi="Arial Narrow"/>
                <w:sz w:val="20"/>
                <w:szCs w:val="20"/>
              </w:rPr>
              <w:fldChar w:fldCharType="end"/>
            </w:r>
            <w:r w:rsidRPr="00354F5E">
              <w:rPr>
                <w:rFonts w:ascii="Arial Narrow" w:hAnsi="Arial Narrow"/>
                <w:sz w:val="20"/>
                <w:szCs w:val="20"/>
              </w:rPr>
              <w:t>Authority Required - In Writing</w:t>
            </w:r>
          </w:p>
        </w:tc>
      </w:tr>
      <w:tr w:rsidR="00D77FBF" w:rsidRPr="00354F5E" w:rsidTr="007B5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D77FBF" w:rsidRPr="00354F5E" w:rsidRDefault="00D77FBF" w:rsidP="00D12336">
            <w:pPr>
              <w:pStyle w:val="Tabletext"/>
              <w:rPr>
                <w:b/>
              </w:rPr>
            </w:pPr>
            <w:r w:rsidRPr="00354F5E">
              <w:rPr>
                <w:b/>
              </w:rPr>
              <w:t>Clinical criteria:</w:t>
            </w:r>
          </w:p>
        </w:tc>
        <w:tc>
          <w:tcPr>
            <w:tcW w:w="3856" w:type="pct"/>
            <w:gridSpan w:val="6"/>
            <w:tcBorders>
              <w:top w:val="single" w:sz="4" w:space="0" w:color="auto"/>
              <w:left w:val="single" w:sz="4" w:space="0" w:color="auto"/>
              <w:bottom w:val="single" w:sz="4" w:space="0" w:color="auto"/>
              <w:right w:val="single" w:sz="4" w:space="0" w:color="auto"/>
            </w:tcBorders>
          </w:tcPr>
          <w:p w:rsidR="00D77FBF" w:rsidRPr="00354F5E" w:rsidRDefault="00D77FBF" w:rsidP="00D12336">
            <w:pPr>
              <w:pStyle w:val="TableText0"/>
              <w:keepNext w:val="0"/>
              <w:rPr>
                <w:rFonts w:cs="Arial"/>
                <w:szCs w:val="20"/>
              </w:rPr>
            </w:pPr>
            <w:r w:rsidRPr="00354F5E">
              <w:rPr>
                <w:rFonts w:cs="Arial"/>
                <w:szCs w:val="20"/>
              </w:rPr>
              <w:t>As per other PBS-listed JAK inhibitor/bDMARDs, where:</w:t>
            </w:r>
          </w:p>
          <w:p w:rsidR="00D77FBF" w:rsidRPr="00354F5E" w:rsidRDefault="00D77FBF" w:rsidP="00D12336">
            <w:pPr>
              <w:pStyle w:val="TableText0"/>
              <w:keepNext w:val="0"/>
              <w:rPr>
                <w:rFonts w:cs="Arial"/>
                <w:szCs w:val="20"/>
              </w:rPr>
            </w:pPr>
            <w:r w:rsidRPr="00354F5E">
              <w:rPr>
                <w:rFonts w:cs="Arial"/>
                <w:szCs w:val="20"/>
              </w:rPr>
              <w:t>Patient must have demonstrated an adequate response to treatment with this drug.</w:t>
            </w:r>
          </w:p>
          <w:p w:rsidR="00D77FBF" w:rsidRPr="00354F5E" w:rsidRDefault="00D77FBF" w:rsidP="00D12336">
            <w:pPr>
              <w:rPr>
                <w:rFonts w:ascii="Arial Narrow" w:hAnsi="Arial Narrow"/>
                <w:sz w:val="20"/>
                <w:szCs w:val="20"/>
              </w:rPr>
            </w:pPr>
            <w:r w:rsidRPr="00354F5E">
              <w:rPr>
                <w:rFonts w:ascii="Arial Narrow" w:hAnsi="Arial Narrow"/>
                <w:sz w:val="20"/>
                <w:szCs w:val="20"/>
              </w:rPr>
              <w:t>Patient must not receive more than 24 weeks of treatment under this restriction.</w:t>
            </w:r>
          </w:p>
        </w:tc>
      </w:tr>
      <w:tr w:rsidR="00D77FBF" w:rsidRPr="00354F5E" w:rsidTr="007B5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D77FBF" w:rsidRPr="00354F5E" w:rsidRDefault="00D77FBF" w:rsidP="00D12336">
            <w:pPr>
              <w:pStyle w:val="Tabletext"/>
              <w:rPr>
                <w:b/>
              </w:rPr>
            </w:pPr>
            <w:r w:rsidRPr="00354F5E">
              <w:rPr>
                <w:b/>
              </w:rPr>
              <w:t>Prescriber Instructions:</w:t>
            </w:r>
          </w:p>
        </w:tc>
        <w:tc>
          <w:tcPr>
            <w:tcW w:w="3856" w:type="pct"/>
            <w:gridSpan w:val="6"/>
            <w:tcBorders>
              <w:top w:val="single" w:sz="4" w:space="0" w:color="auto"/>
              <w:left w:val="single" w:sz="4" w:space="0" w:color="auto"/>
              <w:bottom w:val="single" w:sz="4" w:space="0" w:color="auto"/>
              <w:right w:val="single" w:sz="4" w:space="0" w:color="auto"/>
            </w:tcBorders>
          </w:tcPr>
          <w:p w:rsidR="00D77FBF" w:rsidRPr="00354F5E" w:rsidRDefault="00D77FBF" w:rsidP="00D12336">
            <w:pPr>
              <w:rPr>
                <w:rFonts w:ascii="Arial Narrow" w:hAnsi="Arial Narrow"/>
                <w:sz w:val="20"/>
                <w:szCs w:val="20"/>
              </w:rPr>
            </w:pPr>
            <w:r w:rsidRPr="00354F5E">
              <w:rPr>
                <w:rFonts w:ascii="Arial Narrow" w:hAnsi="Arial Narrow"/>
                <w:sz w:val="20"/>
                <w:szCs w:val="20"/>
              </w:rPr>
              <w:t>As per other PBS-listed JAK inhibitor/bDMARDs.</w:t>
            </w:r>
          </w:p>
        </w:tc>
      </w:tr>
    </w:tbl>
    <w:p w:rsidR="00B60939" w:rsidRPr="00354F5E" w:rsidRDefault="00541314" w:rsidP="00D12336">
      <w:pPr>
        <w:rPr>
          <w:rFonts w:ascii="Arial Narrow" w:hAnsi="Arial Narrow"/>
          <w:sz w:val="18"/>
          <w:szCs w:val="20"/>
        </w:rPr>
      </w:pPr>
      <w:r w:rsidRPr="00354F5E">
        <w:rPr>
          <w:rFonts w:ascii="Arial Narrow" w:hAnsi="Arial Narrow"/>
          <w:sz w:val="18"/>
          <w:szCs w:val="20"/>
        </w:rPr>
        <w:t xml:space="preserve">Source: Table 1-7 p23 of the submission and Attachment: 03-Resctriction_Upadacitinib PsA, located in key documents folder alongside the submission. </w:t>
      </w:r>
    </w:p>
    <w:p w:rsidR="009F08A1" w:rsidRPr="00354F5E" w:rsidRDefault="009F08A1" w:rsidP="00D12336">
      <w:pPr>
        <w:pStyle w:val="TableFooter"/>
      </w:pPr>
      <w:r w:rsidRPr="00354F5E">
        <w:rPr>
          <w:vertAlign w:val="superscript"/>
        </w:rPr>
        <w:t>^</w:t>
      </w:r>
      <w:r w:rsidRPr="00354F5E">
        <w:t>Requested published DPMQ (effective from 1 January 2021 based on the 7th Community Pharmacy Agreement); confidential effective price to be determined.</w:t>
      </w:r>
    </w:p>
    <w:p w:rsidR="003017A7" w:rsidRPr="00354F5E" w:rsidRDefault="003017A7" w:rsidP="00D12336">
      <w:pPr>
        <w:pStyle w:val="TableFooter"/>
        <w:rPr>
          <w:szCs w:val="20"/>
        </w:rPr>
      </w:pPr>
      <w:r w:rsidRPr="00354F5E">
        <w:rPr>
          <w:szCs w:val="20"/>
        </w:rPr>
        <w:t xml:space="preserve">Abbreviations: JAK=janus kinase; bDMARD=biological disease modifying anti-rheumatic drug. </w:t>
      </w:r>
    </w:p>
    <w:p w:rsidR="008A2826" w:rsidRPr="00354F5E" w:rsidRDefault="008A2826" w:rsidP="00D12336">
      <w:pPr>
        <w:rPr>
          <w:rFonts w:ascii="Arial Narrow" w:hAnsi="Arial Narrow"/>
          <w:sz w:val="20"/>
          <w:szCs w:val="20"/>
        </w:rPr>
      </w:pPr>
    </w:p>
    <w:p w:rsidR="002305CA" w:rsidRPr="00354F5E" w:rsidRDefault="008A2826" w:rsidP="00D12336">
      <w:pPr>
        <w:pStyle w:val="3-BodyText"/>
      </w:pPr>
      <w:r w:rsidRPr="00354F5E">
        <w:t xml:space="preserve">The sponsor requested </w:t>
      </w:r>
      <w:r w:rsidR="008F17AF" w:rsidRPr="00354F5E">
        <w:t xml:space="preserve">General Schedule, </w:t>
      </w:r>
      <w:r w:rsidRPr="00354F5E">
        <w:t>Authority Required (in writing) PBS listing of UPA 15mg tablets for initial</w:t>
      </w:r>
      <w:r w:rsidR="009F08A1" w:rsidRPr="00354F5E">
        <w:t xml:space="preserve"> </w:t>
      </w:r>
      <w:r w:rsidRPr="00354F5E">
        <w:t xml:space="preserve">and continuing treatment of severe active </w:t>
      </w:r>
      <w:r w:rsidR="007E5919" w:rsidRPr="00354F5E">
        <w:t>PsA</w:t>
      </w:r>
      <w:r w:rsidR="009F08A1" w:rsidRPr="00354F5E">
        <w:t xml:space="preserve">, </w:t>
      </w:r>
      <w:r w:rsidR="009F08A1" w:rsidRPr="00354F5E">
        <w:lastRenderedPageBreak/>
        <w:t>including for grandfathered patients</w:t>
      </w:r>
      <w:r w:rsidRPr="00354F5E">
        <w:t>.</w:t>
      </w:r>
      <w:r w:rsidR="009A0944" w:rsidRPr="00354F5E">
        <w:t xml:space="preserve"> </w:t>
      </w:r>
      <w:r w:rsidR="002305CA" w:rsidRPr="00354F5E">
        <w:t xml:space="preserve">The </w:t>
      </w:r>
      <w:r w:rsidR="00A14915" w:rsidRPr="00354F5E">
        <w:t xml:space="preserve">wording of the </w:t>
      </w:r>
      <w:r w:rsidR="002305CA" w:rsidRPr="00354F5E">
        <w:t xml:space="preserve">requested restriction </w:t>
      </w:r>
      <w:r w:rsidR="00A14915" w:rsidRPr="00354F5E">
        <w:t>w</w:t>
      </w:r>
      <w:r w:rsidR="004632DC" w:rsidRPr="00354F5E">
        <w:t>as</w:t>
      </w:r>
      <w:r w:rsidR="005E4C35" w:rsidRPr="00354F5E">
        <w:t xml:space="preserve"> consistent with </w:t>
      </w:r>
      <w:r w:rsidR="002305CA" w:rsidRPr="00354F5E">
        <w:t xml:space="preserve">approved </w:t>
      </w:r>
      <w:r w:rsidR="005E4C35" w:rsidRPr="00354F5E">
        <w:t xml:space="preserve">criteria </w:t>
      </w:r>
      <w:r w:rsidR="002305CA" w:rsidRPr="00354F5E">
        <w:t>for TOF and bDMARDs</w:t>
      </w:r>
      <w:r w:rsidR="00C105AD" w:rsidRPr="00354F5E">
        <w:t>.</w:t>
      </w:r>
    </w:p>
    <w:p w:rsidR="00A14915" w:rsidRPr="00354F5E" w:rsidRDefault="00A14915" w:rsidP="00D12336">
      <w:pPr>
        <w:pStyle w:val="3-BodyText"/>
      </w:pPr>
      <w:r w:rsidRPr="00354F5E">
        <w:t xml:space="preserve">The submission stated that a grandfather clause will be necessary to allow </w:t>
      </w:r>
      <w:r w:rsidR="006478F9">
        <w:t>&lt; 500</w:t>
      </w:r>
      <w:r w:rsidR="006478F9" w:rsidRPr="00354F5E">
        <w:t xml:space="preserve"> </w:t>
      </w:r>
      <w:r w:rsidRPr="00354F5E">
        <w:t xml:space="preserve">patients from a planned Patient Familiarisation </w:t>
      </w:r>
      <w:r w:rsidR="000436CC" w:rsidRPr="00354F5E">
        <w:t xml:space="preserve">Program </w:t>
      </w:r>
      <w:r w:rsidRPr="00354F5E">
        <w:t xml:space="preserve">(launched upon TGA registration) and </w:t>
      </w:r>
      <w:r w:rsidR="006478F9">
        <w:t>&lt; 500</w:t>
      </w:r>
      <w:r w:rsidR="006478F9" w:rsidRPr="00354F5E">
        <w:t xml:space="preserve"> </w:t>
      </w:r>
      <w:r w:rsidRPr="00354F5E">
        <w:t xml:space="preserve">patients who are enrolled in the long-term extension phases of UPA clinical trials to transition to PBS-subsidised treatment. </w:t>
      </w:r>
    </w:p>
    <w:p w:rsidR="008A2826" w:rsidRPr="00354F5E" w:rsidRDefault="009A0944" w:rsidP="00D12336">
      <w:pPr>
        <w:pStyle w:val="3-BodyText"/>
      </w:pPr>
      <w:r w:rsidRPr="00354F5E">
        <w:t>The requested quantities (including repeats) permit up to 16 weeks of initial treatment (4 packs) followed by 24 weeks of continuing therapy (6 packs). Grandfathered patients would be eligible for a maximum of 24 weeks of initial PBS treatment (before assessment under the continuing treatment restriction).</w:t>
      </w:r>
      <w:r w:rsidR="00E03E29" w:rsidRPr="00354F5E">
        <w:t xml:space="preserve"> </w:t>
      </w:r>
      <w:r w:rsidR="00E03E29" w:rsidRPr="00354F5E">
        <w:rPr>
          <w:iCs/>
        </w:rPr>
        <w:t>Patients treated with UPA must meet the response criteria after at least 12 weeks of initial treatment, and maintain that response thereafter, to be eligible for continuing treatment.</w:t>
      </w:r>
    </w:p>
    <w:p w:rsidR="009155F4" w:rsidRPr="00354F5E" w:rsidRDefault="009F08A1" w:rsidP="00D12336">
      <w:pPr>
        <w:pStyle w:val="3-BodyText"/>
      </w:pPr>
      <w:r w:rsidRPr="00354F5E">
        <w:t xml:space="preserve">The sponsor requested a Special Pricing Arrangement that would maintain the current published DPMQ for UPA </w:t>
      </w:r>
      <w:r w:rsidR="005E4C35" w:rsidRPr="00354F5E">
        <w:t>(</w:t>
      </w:r>
      <w:r w:rsidR="0041534D" w:rsidRPr="00354F5E">
        <w:t xml:space="preserve">DPMQ = $1,271.34 </w:t>
      </w:r>
      <w:r w:rsidRPr="00354F5E">
        <w:t>as per the current PBS listing for rheumatoid arthritis</w:t>
      </w:r>
      <w:r w:rsidR="005E4C35" w:rsidRPr="00354F5E">
        <w:t>)</w:t>
      </w:r>
      <w:r w:rsidRPr="00354F5E">
        <w:t>, and an effective price based on a cost-minimisation analysis to TOF 5mg twice daily. The submission stated that the effective price for TOF 5mg was unknown and therefore an effective price was not calculated.</w:t>
      </w:r>
    </w:p>
    <w:p w:rsidR="00B779ED" w:rsidRPr="00354F5E" w:rsidRDefault="009155F4" w:rsidP="00B779ED">
      <w:pPr>
        <w:pStyle w:val="3-BodyText"/>
      </w:pPr>
      <w:r w:rsidRPr="00354F5E">
        <w:t xml:space="preserve">The sponsor also requested that the PBAC does not treat UPA as interchangeable on an individual basis with bDMARDs for PsA according to Section 101(3BA) of the </w:t>
      </w:r>
      <w:r w:rsidRPr="006478F9">
        <w:rPr>
          <w:i/>
        </w:rPr>
        <w:t>National Health Act</w:t>
      </w:r>
      <w:r w:rsidRPr="00354F5E">
        <w:t xml:space="preserve"> </w:t>
      </w:r>
      <w:r w:rsidRPr="006478F9">
        <w:rPr>
          <w:i/>
        </w:rPr>
        <w:t>1953</w:t>
      </w:r>
      <w:r w:rsidRPr="00354F5E">
        <w:t>, given UPA is not a biologic and has a different mode of action and method of administration</w:t>
      </w:r>
      <w:r w:rsidR="004632DC" w:rsidRPr="00354F5E">
        <w:t xml:space="preserve"> (i.e. JAK inhibitor with oral administration compared to the bDMARDs administered via subcutaneous injection or intravenous infusion)</w:t>
      </w:r>
      <w:r w:rsidR="002067E7" w:rsidRPr="00354F5E">
        <w:t xml:space="preserve">. </w:t>
      </w:r>
      <w:r w:rsidR="00350DB4" w:rsidRPr="00354F5E">
        <w:rPr>
          <w:iCs/>
        </w:rPr>
        <w:t>In November 2020, t</w:t>
      </w:r>
      <w:r w:rsidR="00841B6B" w:rsidRPr="00354F5E">
        <w:rPr>
          <w:iCs/>
        </w:rPr>
        <w:t xml:space="preserve">he PBAC reaffirmed that TOF, another JAK inhibitor, </w:t>
      </w:r>
      <w:r w:rsidR="00350DB4" w:rsidRPr="00354F5E">
        <w:rPr>
          <w:iCs/>
        </w:rPr>
        <w:t xml:space="preserve">should be treated as interchangeable with </w:t>
      </w:r>
      <w:r w:rsidR="008212DA" w:rsidRPr="00354F5E">
        <w:rPr>
          <w:iCs/>
        </w:rPr>
        <w:t xml:space="preserve">certolizumab pegol, guselkumab, ustekinumab, secukinumab </w:t>
      </w:r>
      <w:r w:rsidR="00350DB4" w:rsidRPr="00354F5E">
        <w:rPr>
          <w:iCs/>
        </w:rPr>
        <w:t xml:space="preserve">for PsA </w:t>
      </w:r>
      <w:r w:rsidR="00350DB4" w:rsidRPr="00354F5E">
        <w:rPr>
          <w:rFonts w:cstheme="minorHAnsi"/>
          <w:iCs/>
        </w:rPr>
        <w:t>(</w:t>
      </w:r>
      <w:r w:rsidR="00BD55C6" w:rsidRPr="00354F5E">
        <w:rPr>
          <w:rFonts w:cstheme="minorHAnsi"/>
          <w:iCs/>
        </w:rPr>
        <w:t xml:space="preserve">Tofacitinib </w:t>
      </w:r>
      <w:r w:rsidR="001C5BDA" w:rsidRPr="00354F5E">
        <w:rPr>
          <w:rFonts w:cstheme="minorHAnsi"/>
          <w:iCs/>
        </w:rPr>
        <w:t>Outcome Statement</w:t>
      </w:r>
      <w:r w:rsidR="00BD55C6" w:rsidRPr="00354F5E">
        <w:rPr>
          <w:rFonts w:cstheme="minorHAnsi"/>
          <w:iCs/>
        </w:rPr>
        <w:t xml:space="preserve"> November 2020 PBAC meeting</w:t>
      </w:r>
      <w:r w:rsidR="00350DB4" w:rsidRPr="00354F5E">
        <w:rPr>
          <w:rFonts w:cstheme="minorHAnsi"/>
          <w:iCs/>
        </w:rPr>
        <w:t>)</w:t>
      </w:r>
      <w:r w:rsidR="00350DB4" w:rsidRPr="00354F5E">
        <w:rPr>
          <w:iCs/>
        </w:rPr>
        <w:t xml:space="preserve">. </w:t>
      </w:r>
    </w:p>
    <w:p w:rsidR="00B779ED" w:rsidRPr="00354F5E" w:rsidRDefault="00B779ED" w:rsidP="00B779ED">
      <w:pPr>
        <w:pStyle w:val="ListParagraph"/>
        <w:numPr>
          <w:ilvl w:val="0"/>
          <w:numId w:val="0"/>
        </w:numPr>
        <w:ind w:left="709"/>
        <w:rPr>
          <w:i/>
        </w:rPr>
      </w:pPr>
      <w:r w:rsidRPr="00354F5E">
        <w:rPr>
          <w:i/>
        </w:rPr>
        <w:t>For more detail on PBAC’s view, see section 7 PBAC outcome.</w:t>
      </w:r>
    </w:p>
    <w:p w:rsidR="00B50DB8" w:rsidRPr="00354F5E" w:rsidRDefault="00203181" w:rsidP="00D12336">
      <w:pPr>
        <w:pStyle w:val="2-SectionHeading"/>
      </w:pPr>
      <w:bookmarkStart w:id="7" w:name="_Toc62029185"/>
      <w:r w:rsidRPr="00354F5E">
        <w:t xml:space="preserve">Population and </w:t>
      </w:r>
      <w:r w:rsidR="008E0D3C" w:rsidRPr="00354F5E">
        <w:t>d</w:t>
      </w:r>
      <w:r w:rsidRPr="00354F5E">
        <w:t>isease</w:t>
      </w:r>
      <w:bookmarkEnd w:id="7"/>
    </w:p>
    <w:p w:rsidR="00085052" w:rsidRPr="00354F5E" w:rsidRDefault="00085052" w:rsidP="00D12336">
      <w:pPr>
        <w:pStyle w:val="3-BodyText"/>
      </w:pPr>
      <w:r w:rsidRPr="00354F5E">
        <w:t>PsA is a chronic inflammatory musculoskeletal disease associated with psoriasis. PsA consist</w:t>
      </w:r>
      <w:r w:rsidR="003017A7" w:rsidRPr="00354F5E">
        <w:t>s</w:t>
      </w:r>
      <w:r w:rsidRPr="00354F5E">
        <w:t xml:space="preserve"> of the coexisting progression of joint disease and skin inflammation. Patients with PsA experience pain, swelling, joint tenderness and joint deformity, which results in a loss of function and limited movement, impacting productivity and quality of life. </w:t>
      </w:r>
      <w:r w:rsidR="0032250B" w:rsidRPr="00354F5E">
        <w:t>The population targeted in the submission was patients with severe active PsA in whom an adequate response had not been achieved with at least 6 months of intensive treatment with cDMARDs</w:t>
      </w:r>
      <w:r w:rsidR="009155F4" w:rsidRPr="00354F5E">
        <w:t>, as per the requested PBS criteria.</w:t>
      </w:r>
    </w:p>
    <w:p w:rsidR="009155F4" w:rsidRPr="00354F5E" w:rsidRDefault="003017A7" w:rsidP="00D12336">
      <w:pPr>
        <w:pStyle w:val="3-BodyText"/>
      </w:pPr>
      <w:r w:rsidRPr="00354F5E">
        <w:t xml:space="preserve">UPA </w:t>
      </w:r>
      <w:r w:rsidR="0032066B" w:rsidRPr="00354F5E">
        <w:t>is an oral, selective and reversible inhibitor of JAK1</w:t>
      </w:r>
      <w:r w:rsidRPr="00354F5E">
        <w:t xml:space="preserve">, which is important in transmitting inflammatory cytokine signals active in PsA. </w:t>
      </w:r>
      <w:r w:rsidR="009155F4" w:rsidRPr="00354F5E">
        <w:t>The recommended dose in the draft product information (PI) for PsA is UPA 15mg orally once daily</w:t>
      </w:r>
      <w:r w:rsidR="0006193D" w:rsidRPr="00354F5E">
        <w:t xml:space="preserve"> which</w:t>
      </w:r>
      <w:r w:rsidR="009155F4" w:rsidRPr="00354F5E">
        <w:rPr>
          <w:iCs/>
        </w:rPr>
        <w:t xml:space="preserve"> is the same as the approved dose for rheumatoid arthritis.</w:t>
      </w:r>
    </w:p>
    <w:p w:rsidR="00B779ED" w:rsidRPr="00354F5E" w:rsidRDefault="008260BF" w:rsidP="00B779ED">
      <w:pPr>
        <w:pStyle w:val="3-BodyText"/>
      </w:pPr>
      <w:r w:rsidRPr="00354F5E">
        <w:lastRenderedPageBreak/>
        <w:t>If listed,</w:t>
      </w:r>
      <w:r w:rsidR="00EE6787" w:rsidRPr="00354F5E">
        <w:t xml:space="preserve"> UPA will become an alternative treatment option to TOF and eight </w:t>
      </w:r>
      <w:r w:rsidRPr="00354F5E">
        <w:t>bDMARDs</w:t>
      </w:r>
      <w:r w:rsidR="00EE6787" w:rsidRPr="00354F5E">
        <w:t xml:space="preserve"> available on the PBS:</w:t>
      </w:r>
      <w:r w:rsidRPr="00354F5E">
        <w:t xml:space="preserve"> </w:t>
      </w:r>
      <w:r w:rsidR="00EE6787" w:rsidRPr="00354F5E">
        <w:t xml:space="preserve">etanercept, infliximab, adalimumab, golimumab, certolizumab pegol, ustekinumab, secukinumab, and ixekizumab. </w:t>
      </w:r>
      <w:r w:rsidR="00EE6787" w:rsidRPr="00354F5E">
        <w:rPr>
          <w:iCs/>
        </w:rPr>
        <w:t>Under</w:t>
      </w:r>
      <w:r w:rsidR="00CF6B9E" w:rsidRPr="00354F5E">
        <w:rPr>
          <w:iCs/>
        </w:rPr>
        <w:t xml:space="preserve"> current</w:t>
      </w:r>
      <w:r w:rsidR="00EE6787" w:rsidRPr="00354F5E">
        <w:rPr>
          <w:iCs/>
        </w:rPr>
        <w:t xml:space="preserve"> PBS criteria, patients may fail or cease to respond to three PBS-subsidised treatments during a ‘treatment cycle’ before being required to undergo a </w:t>
      </w:r>
      <w:r w:rsidR="00FB5706" w:rsidRPr="00354F5E">
        <w:rPr>
          <w:iCs/>
        </w:rPr>
        <w:t>five-year</w:t>
      </w:r>
      <w:r w:rsidR="00EE6787" w:rsidRPr="00354F5E">
        <w:rPr>
          <w:iCs/>
        </w:rPr>
        <w:t xml:space="preserve"> break.</w:t>
      </w:r>
    </w:p>
    <w:p w:rsidR="00B779ED" w:rsidRPr="00354F5E" w:rsidRDefault="00B779ED" w:rsidP="00B779ED">
      <w:pPr>
        <w:pStyle w:val="ListParagraph"/>
        <w:numPr>
          <w:ilvl w:val="0"/>
          <w:numId w:val="0"/>
        </w:numPr>
        <w:ind w:left="709"/>
        <w:rPr>
          <w:i/>
        </w:rPr>
      </w:pPr>
      <w:r w:rsidRPr="00354F5E">
        <w:rPr>
          <w:i/>
        </w:rPr>
        <w:t>For more detail on PBAC’s view, see section 7 PBAC outcome.</w:t>
      </w:r>
    </w:p>
    <w:p w:rsidR="00B50DB8" w:rsidRPr="00354F5E" w:rsidRDefault="00B50DB8" w:rsidP="00D12336">
      <w:pPr>
        <w:pStyle w:val="2-SectionHeading"/>
      </w:pPr>
      <w:bookmarkStart w:id="8" w:name="_Toc62029186"/>
      <w:r w:rsidRPr="00354F5E">
        <w:t>Comparator</w:t>
      </w:r>
      <w:bookmarkEnd w:id="8"/>
    </w:p>
    <w:p w:rsidR="0024251F" w:rsidRPr="00354F5E" w:rsidRDefault="007B5D18" w:rsidP="00D12336">
      <w:pPr>
        <w:pStyle w:val="3-BodyText"/>
      </w:pPr>
      <w:r w:rsidRPr="00354F5E">
        <w:t xml:space="preserve">The submission nominated TOF 5mg twice daily as the main comparator. TOF is </w:t>
      </w:r>
      <w:r w:rsidR="0024251F" w:rsidRPr="00354F5E">
        <w:t xml:space="preserve">the only other </w:t>
      </w:r>
      <w:r w:rsidRPr="00354F5E">
        <w:t xml:space="preserve">JAK inhibitor </w:t>
      </w:r>
      <w:r w:rsidR="0024251F" w:rsidRPr="00354F5E">
        <w:t>currently PBS listed for PsA and shares the same route of administration. The submission also acknowledged in</w:t>
      </w:r>
      <w:r w:rsidR="003B0943" w:rsidRPr="00354F5E">
        <w:t xml:space="preserve"> the utilisation and financial estimates</w:t>
      </w:r>
      <w:r w:rsidR="0024251F" w:rsidRPr="00354F5E">
        <w:t xml:space="preserve"> that UPA would replace any of the bDMARDs available for PsA.</w:t>
      </w:r>
    </w:p>
    <w:p w:rsidR="00866B22" w:rsidRPr="00354F5E" w:rsidRDefault="00866B22" w:rsidP="00D12336">
      <w:pPr>
        <w:pStyle w:val="3-BodyText"/>
      </w:pPr>
      <w:r w:rsidRPr="00354F5E">
        <w:t xml:space="preserve">The PBAC has previously considered ustekinumab, secukinumab, certolizumab pegol and </w:t>
      </w:r>
      <w:r w:rsidR="00F36CC7" w:rsidRPr="00354F5E">
        <w:t xml:space="preserve">TOF </w:t>
      </w:r>
      <w:r w:rsidRPr="00354F5E">
        <w:t xml:space="preserve">to be ‘lower tier’ medicines (i.e., less effective) and etanercept, adalimumab, infliximab, ixekizumab and golimumab </w:t>
      </w:r>
      <w:r w:rsidR="003B0943" w:rsidRPr="00354F5E">
        <w:t xml:space="preserve">to be </w:t>
      </w:r>
      <w:r w:rsidRPr="00354F5E">
        <w:t>‘higher tier’ medicines (i.e., more effective) for the treatment of PsA.</w:t>
      </w:r>
      <w:r w:rsidR="00F36CC7" w:rsidRPr="00354F5E">
        <w:t xml:space="preserve"> </w:t>
      </w:r>
    </w:p>
    <w:p w:rsidR="00C70183" w:rsidRPr="00354F5E" w:rsidRDefault="00027E8D" w:rsidP="00D12336">
      <w:pPr>
        <w:pStyle w:val="3-BodyText"/>
        <w:rPr>
          <w:snapToGrid/>
        </w:rPr>
      </w:pPr>
      <w:r w:rsidRPr="00354F5E">
        <w:t xml:space="preserve">In recent decisions, the PBAC had considered all </w:t>
      </w:r>
      <w:r w:rsidR="003B0943" w:rsidRPr="00354F5E">
        <w:t xml:space="preserve">currently listed treatments for </w:t>
      </w:r>
      <w:r w:rsidR="00F36CC7" w:rsidRPr="00354F5E">
        <w:t>PsA</w:t>
      </w:r>
      <w:r w:rsidR="00866B22" w:rsidRPr="00354F5E">
        <w:t xml:space="preserve"> </w:t>
      </w:r>
      <w:r w:rsidRPr="00354F5E">
        <w:t>including TOF and bDMARDs</w:t>
      </w:r>
      <w:r w:rsidR="00866B22" w:rsidRPr="00354F5E">
        <w:t xml:space="preserve"> (irrespective of their effectiveness ‘tier’)</w:t>
      </w:r>
      <w:r w:rsidR="00FC676E" w:rsidRPr="00354F5E">
        <w:t xml:space="preserve"> </w:t>
      </w:r>
      <w:r w:rsidRPr="00354F5E">
        <w:t xml:space="preserve">as relevant </w:t>
      </w:r>
      <w:r w:rsidR="003B0943" w:rsidRPr="00354F5E">
        <w:t xml:space="preserve">alternative therapies </w:t>
      </w:r>
      <w:r w:rsidRPr="00354F5E">
        <w:t>because they may be replaced in practice</w:t>
      </w:r>
      <w:r w:rsidR="0050602A" w:rsidRPr="00354F5E">
        <w:t>; and i</w:t>
      </w:r>
      <w:r w:rsidRPr="00354F5E">
        <w:t xml:space="preserve">n the absence of evidence of </w:t>
      </w:r>
      <w:r w:rsidR="009B5B0F" w:rsidRPr="00354F5E">
        <w:t xml:space="preserve">a significant improvement in efficacy or reduction of toxicity, </w:t>
      </w:r>
      <w:r w:rsidRPr="00354F5E">
        <w:t xml:space="preserve">recommended listing </w:t>
      </w:r>
      <w:r w:rsidR="0050602A" w:rsidRPr="00354F5E">
        <w:t xml:space="preserve">on a cost-minimisation basis to the lowest cost alternative </w:t>
      </w:r>
      <w:r w:rsidR="00545021" w:rsidRPr="00354F5E">
        <w:t>(paragraph 7.1, Tofacitinib</w:t>
      </w:r>
      <w:r w:rsidR="008038A4">
        <w:t xml:space="preserve"> </w:t>
      </w:r>
      <w:r w:rsidR="009A2839">
        <w:t>Public Summary Document</w:t>
      </w:r>
      <w:r w:rsidR="009A2839" w:rsidRPr="00354F5E">
        <w:t xml:space="preserve"> </w:t>
      </w:r>
      <w:r w:rsidR="008038A4">
        <w:t>(</w:t>
      </w:r>
      <w:r w:rsidR="00545021" w:rsidRPr="00354F5E">
        <w:t>PSD</w:t>
      </w:r>
      <w:r w:rsidR="008038A4">
        <w:t>)</w:t>
      </w:r>
      <w:r w:rsidR="00545021" w:rsidRPr="00354F5E">
        <w:t xml:space="preserve"> November 2018; paragraph 7.1, Ixekizumab, PSD July 2018).</w:t>
      </w:r>
      <w:r w:rsidR="00970B5E" w:rsidRPr="00354F5E">
        <w:t xml:space="preserve"> </w:t>
      </w:r>
      <w:r w:rsidR="00C70183" w:rsidRPr="00354F5E">
        <w:t xml:space="preserve">For guselkumab, </w:t>
      </w:r>
      <w:r w:rsidR="00672C83" w:rsidRPr="00354F5E">
        <w:t>to account for the lack of evidence to support non-</w:t>
      </w:r>
      <w:r w:rsidR="00672C83" w:rsidRPr="00354F5E">
        <w:rPr>
          <w:snapToGrid/>
        </w:rPr>
        <w:t>inferiority to the higher tier medicines,</w:t>
      </w:r>
      <w:r w:rsidR="00672C83" w:rsidRPr="00354F5E">
        <w:t xml:space="preserve"> </w:t>
      </w:r>
      <w:r w:rsidR="00C70183" w:rsidRPr="00354F5E">
        <w:t>the PBAC considered the price must be less than the higher tier bDMARDs</w:t>
      </w:r>
      <w:r w:rsidR="00C70183" w:rsidRPr="00354F5E">
        <w:rPr>
          <w:snapToGrid/>
        </w:rPr>
        <w:t xml:space="preserve"> and could not be any more costly than any of the lower tier bDMARDs (</w:t>
      </w:r>
      <w:r w:rsidR="004B7C36" w:rsidRPr="00354F5E">
        <w:rPr>
          <w:snapToGrid/>
        </w:rPr>
        <w:t xml:space="preserve">guselkumab </w:t>
      </w:r>
      <w:r w:rsidR="006478F9">
        <w:rPr>
          <w:snapToGrid/>
        </w:rPr>
        <w:t>PSD</w:t>
      </w:r>
      <w:r w:rsidR="004B7C36" w:rsidRPr="00354F5E">
        <w:rPr>
          <w:snapToGrid/>
        </w:rPr>
        <w:t>, November 2020 PBAC meeting</w:t>
      </w:r>
      <w:r w:rsidR="00C70183" w:rsidRPr="00354F5E">
        <w:rPr>
          <w:snapToGrid/>
        </w:rPr>
        <w:t>).</w:t>
      </w:r>
      <w:r w:rsidR="00331A26" w:rsidRPr="00354F5E">
        <w:rPr>
          <w:snapToGrid/>
        </w:rPr>
        <w:t xml:space="preserve"> </w:t>
      </w:r>
    </w:p>
    <w:p w:rsidR="00B779ED" w:rsidRPr="00354F5E" w:rsidRDefault="00545021" w:rsidP="00B779ED">
      <w:pPr>
        <w:pStyle w:val="3-BodyText"/>
        <w:spacing w:after="160"/>
        <w:rPr>
          <w:iCs/>
        </w:rPr>
      </w:pPr>
      <w:r w:rsidRPr="00354F5E">
        <w:t>Under Section 101(3B) of the National Health Act (1953), the PBAC cannot recommend listing a therapy that is substantially more costly than an alternative therapy unless it is satisfied that the therapy provides, for some patients, a significant improvement in efficacy and/or reduction in toxicity.</w:t>
      </w:r>
      <w:r w:rsidR="00B85039" w:rsidRPr="00354F5E">
        <w:t xml:space="preserve"> </w:t>
      </w:r>
      <w:r w:rsidRPr="00354F5E">
        <w:t xml:space="preserve">The submission did not present any evidence that UPA provided a significant improvement in efficacy and/or reduction in toxicity compared to </w:t>
      </w:r>
      <w:r w:rsidR="00B85039" w:rsidRPr="00354F5E">
        <w:t xml:space="preserve">any alternative, and therefore </w:t>
      </w:r>
      <w:r w:rsidR="00A14915" w:rsidRPr="00354F5E">
        <w:rPr>
          <w:iCs/>
        </w:rPr>
        <w:t>there was no basis for UPA to have a price advantage over any relevant alternative for an equivalent treatment period.</w:t>
      </w:r>
      <w:r w:rsidR="00A65DA7" w:rsidRPr="00354F5E">
        <w:rPr>
          <w:iCs/>
        </w:rPr>
        <w:t xml:space="preserve"> Direct evidence presented in the submission </w:t>
      </w:r>
      <w:r w:rsidR="00010B8C" w:rsidRPr="00354F5E">
        <w:rPr>
          <w:iCs/>
        </w:rPr>
        <w:t>supported</w:t>
      </w:r>
      <w:r w:rsidR="00A65DA7" w:rsidRPr="00354F5E">
        <w:rPr>
          <w:iCs/>
        </w:rPr>
        <w:t xml:space="preserve"> </w:t>
      </w:r>
      <w:r w:rsidR="006943AA" w:rsidRPr="00354F5E">
        <w:rPr>
          <w:iCs/>
        </w:rPr>
        <w:t>non-inferior effectiveness between</w:t>
      </w:r>
      <w:r w:rsidR="00A65DA7" w:rsidRPr="00354F5E">
        <w:rPr>
          <w:iCs/>
        </w:rPr>
        <w:t xml:space="preserve"> UPA </w:t>
      </w:r>
      <w:r w:rsidR="006943AA" w:rsidRPr="00354F5E">
        <w:rPr>
          <w:iCs/>
        </w:rPr>
        <w:t>and</w:t>
      </w:r>
      <w:r w:rsidR="00A65DA7" w:rsidRPr="00354F5E">
        <w:rPr>
          <w:iCs/>
        </w:rPr>
        <w:t xml:space="preserve"> adalimumab (a higher tier drug); whereas the indirect evidence, on which the clinical claim was based, </w:t>
      </w:r>
      <w:r w:rsidR="006943AA" w:rsidRPr="00354F5E">
        <w:rPr>
          <w:iCs/>
        </w:rPr>
        <w:t xml:space="preserve">supported non-inferior effectiveness between UPA and </w:t>
      </w:r>
      <w:r w:rsidR="00A65DA7" w:rsidRPr="00354F5E">
        <w:rPr>
          <w:iCs/>
        </w:rPr>
        <w:t>TOF (a lower tier drug).</w:t>
      </w:r>
    </w:p>
    <w:p w:rsidR="00B779ED" w:rsidRPr="00354F5E" w:rsidRDefault="00B779ED" w:rsidP="00B779ED">
      <w:pPr>
        <w:pStyle w:val="ListParagraph"/>
        <w:numPr>
          <w:ilvl w:val="0"/>
          <w:numId w:val="0"/>
        </w:numPr>
        <w:ind w:left="709"/>
        <w:rPr>
          <w:i/>
        </w:rPr>
      </w:pPr>
      <w:r w:rsidRPr="00354F5E">
        <w:rPr>
          <w:i/>
        </w:rPr>
        <w:t>For more detail on PBAC’s view, see section 7 PBAC outcome.</w:t>
      </w:r>
    </w:p>
    <w:p w:rsidR="00223D5A" w:rsidRPr="00354F5E" w:rsidRDefault="00223D5A" w:rsidP="00D12336">
      <w:pPr>
        <w:pStyle w:val="2-SectionHeading"/>
        <w:numPr>
          <w:ilvl w:val="0"/>
          <w:numId w:val="1"/>
        </w:numPr>
      </w:pPr>
      <w:bookmarkStart w:id="9" w:name="_Toc62029187"/>
      <w:bookmarkStart w:id="10" w:name="_Toc22897640"/>
      <w:r w:rsidRPr="00354F5E">
        <w:lastRenderedPageBreak/>
        <w:t>Consideration of the evidence</w:t>
      </w:r>
      <w:bookmarkEnd w:id="9"/>
    </w:p>
    <w:p w:rsidR="00B779ED" w:rsidRPr="009B6B06" w:rsidRDefault="00B779ED" w:rsidP="009B6B06">
      <w:pPr>
        <w:pStyle w:val="4-SubsectionHeading"/>
      </w:pPr>
      <w:bookmarkStart w:id="11" w:name="_Toc62029188"/>
      <w:r w:rsidRPr="009B6B06">
        <w:t>Sponsor hearing</w:t>
      </w:r>
    </w:p>
    <w:p w:rsidR="00384F9E" w:rsidRPr="00354F5E" w:rsidRDefault="00384F9E" w:rsidP="00384F9E">
      <w:pPr>
        <w:widowControl w:val="0"/>
        <w:numPr>
          <w:ilvl w:val="1"/>
          <w:numId w:val="1"/>
        </w:numPr>
        <w:spacing w:after="120"/>
        <w:rPr>
          <w:rFonts w:asciiTheme="minorHAnsi" w:hAnsiTheme="minorHAnsi"/>
          <w:bCs/>
          <w:snapToGrid w:val="0"/>
        </w:rPr>
      </w:pPr>
      <w:r w:rsidRPr="00354F5E">
        <w:rPr>
          <w:rFonts w:asciiTheme="minorHAnsi" w:hAnsiTheme="minorHAnsi"/>
          <w:bCs/>
          <w:snapToGrid w:val="0"/>
        </w:rPr>
        <w:t>There was no hearing for this item.</w:t>
      </w:r>
    </w:p>
    <w:p w:rsidR="00B779ED" w:rsidRPr="009B6B06" w:rsidRDefault="00B779ED" w:rsidP="009B6B06">
      <w:pPr>
        <w:pStyle w:val="4-SubsectionHeading"/>
      </w:pPr>
      <w:r w:rsidRPr="009B6B06">
        <w:t>Consumer comments</w:t>
      </w:r>
    </w:p>
    <w:p w:rsidR="00384F9E" w:rsidRPr="00354F5E" w:rsidRDefault="00B779ED" w:rsidP="00384F9E">
      <w:pPr>
        <w:widowControl w:val="0"/>
        <w:numPr>
          <w:ilvl w:val="1"/>
          <w:numId w:val="1"/>
        </w:numPr>
        <w:spacing w:after="120"/>
        <w:rPr>
          <w:rFonts w:asciiTheme="minorHAnsi" w:hAnsiTheme="minorHAnsi"/>
          <w:bCs/>
          <w:snapToGrid w:val="0"/>
        </w:rPr>
      </w:pPr>
      <w:r w:rsidRPr="00354F5E">
        <w:rPr>
          <w:rFonts w:asciiTheme="minorHAnsi" w:hAnsiTheme="minorHAnsi"/>
          <w:bCs/>
          <w:snapToGrid w:val="0"/>
        </w:rPr>
        <w:t xml:space="preserve">The </w:t>
      </w:r>
      <w:r w:rsidR="00384F9E" w:rsidRPr="00354F5E">
        <w:rPr>
          <w:rFonts w:asciiTheme="minorHAnsi" w:hAnsiTheme="minorHAnsi"/>
          <w:bCs/>
          <w:snapToGrid w:val="0"/>
        </w:rPr>
        <w:t>PBAC noted that no consumer comments were received for this item.</w:t>
      </w:r>
    </w:p>
    <w:p w:rsidR="00B60939" w:rsidRPr="009B6B06" w:rsidRDefault="00B60939" w:rsidP="009B6B06">
      <w:pPr>
        <w:pStyle w:val="4-SubsectionHeading"/>
      </w:pPr>
      <w:r w:rsidRPr="009B6B06">
        <w:t xml:space="preserve">Clinical </w:t>
      </w:r>
      <w:r w:rsidR="00A742CF" w:rsidRPr="009B6B06">
        <w:t>t</w:t>
      </w:r>
      <w:r w:rsidRPr="009B6B06">
        <w:t>rials</w:t>
      </w:r>
      <w:bookmarkEnd w:id="10"/>
      <w:bookmarkEnd w:id="11"/>
    </w:p>
    <w:p w:rsidR="00C46E44" w:rsidRPr="00354F5E" w:rsidRDefault="00C46E44" w:rsidP="00D12336">
      <w:pPr>
        <w:pStyle w:val="3-BodyText"/>
        <w:rPr>
          <w:snapToGrid/>
        </w:rPr>
      </w:pPr>
      <w:r w:rsidRPr="00354F5E">
        <w:rPr>
          <w:snapToGrid/>
        </w:rPr>
        <w:t>The submission was based on two randomised trials comparing UPA to adalimumab (ADA) and/or placebo (PBO), and two randomised trials comparing TOF to ADA and/or PBO:</w:t>
      </w:r>
    </w:p>
    <w:p w:rsidR="00C46E44" w:rsidRPr="00354F5E" w:rsidRDefault="00C46E44" w:rsidP="00D12336">
      <w:pPr>
        <w:pStyle w:val="3-BodyText"/>
        <w:numPr>
          <w:ilvl w:val="1"/>
          <w:numId w:val="18"/>
        </w:numPr>
        <w:ind w:left="1134" w:hanging="425"/>
        <w:rPr>
          <w:snapToGrid/>
        </w:rPr>
      </w:pPr>
      <w:r w:rsidRPr="00354F5E">
        <w:rPr>
          <w:snapToGrid/>
        </w:rPr>
        <w:t>UPA versus ADA and PBO (SELECT-PsA 1)</w:t>
      </w:r>
    </w:p>
    <w:p w:rsidR="00C46E44" w:rsidRPr="00354F5E" w:rsidRDefault="00C46E44" w:rsidP="00D12336">
      <w:pPr>
        <w:pStyle w:val="3-BodyText"/>
        <w:numPr>
          <w:ilvl w:val="1"/>
          <w:numId w:val="18"/>
        </w:numPr>
        <w:ind w:left="1134" w:hanging="425"/>
        <w:rPr>
          <w:snapToGrid/>
        </w:rPr>
      </w:pPr>
      <w:r w:rsidRPr="00354F5E">
        <w:rPr>
          <w:snapToGrid/>
        </w:rPr>
        <w:t>UPA versus PBO (SELECT-PsA 2)</w:t>
      </w:r>
    </w:p>
    <w:p w:rsidR="00C46E44" w:rsidRPr="00354F5E" w:rsidRDefault="00C46E44" w:rsidP="00D12336">
      <w:pPr>
        <w:pStyle w:val="3-BodyText"/>
        <w:numPr>
          <w:ilvl w:val="1"/>
          <w:numId w:val="18"/>
        </w:numPr>
        <w:ind w:left="1134" w:hanging="425"/>
        <w:rPr>
          <w:snapToGrid/>
        </w:rPr>
      </w:pPr>
      <w:r w:rsidRPr="00354F5E">
        <w:rPr>
          <w:snapToGrid/>
        </w:rPr>
        <w:t>TOF versus ADA and PBO (OPAL-BROADEN)</w:t>
      </w:r>
    </w:p>
    <w:p w:rsidR="00C46E44" w:rsidRPr="00354F5E" w:rsidRDefault="00C46E44" w:rsidP="00D12336">
      <w:pPr>
        <w:pStyle w:val="3-BodyText"/>
        <w:numPr>
          <w:ilvl w:val="1"/>
          <w:numId w:val="18"/>
        </w:numPr>
        <w:ind w:left="1134" w:hanging="425"/>
        <w:rPr>
          <w:snapToGrid/>
        </w:rPr>
      </w:pPr>
      <w:r w:rsidRPr="00354F5E">
        <w:rPr>
          <w:snapToGrid/>
        </w:rPr>
        <w:t>TOF versus PBO (OPAL-BEYOND)</w:t>
      </w:r>
    </w:p>
    <w:p w:rsidR="00A02453" w:rsidRPr="00354F5E" w:rsidRDefault="00A02453" w:rsidP="00D12336">
      <w:pPr>
        <w:ind w:left="720"/>
      </w:pPr>
      <w:r w:rsidRPr="00354F5E">
        <w:t xml:space="preserve">The PBAC </w:t>
      </w:r>
      <w:r w:rsidR="00C46E44" w:rsidRPr="00354F5E">
        <w:t xml:space="preserve">had </w:t>
      </w:r>
      <w:r w:rsidRPr="00354F5E">
        <w:t>previously considered evidence from the OPAL-BROADEN trial, comparing TOF to PBO and ADA, during consideration of TOF in November 2018 (paragraph 6.3-4, TOF, PSD, November 2018). That submission excluded data from OPAL-BEYOND, comparing TOF to PBO, because the nominated comparator was ADA.</w:t>
      </w:r>
    </w:p>
    <w:p w:rsidR="006315AB" w:rsidRPr="00354F5E" w:rsidRDefault="006315AB" w:rsidP="00D12336">
      <w:pPr>
        <w:ind w:left="720"/>
        <w:rPr>
          <w:i/>
        </w:rPr>
      </w:pPr>
    </w:p>
    <w:p w:rsidR="00862502" w:rsidRPr="00354F5E" w:rsidRDefault="00A73134" w:rsidP="00D12336">
      <w:pPr>
        <w:pStyle w:val="3-BodyText"/>
      </w:pPr>
      <w:r w:rsidRPr="00354F5E">
        <w:rPr>
          <w:snapToGrid/>
        </w:rPr>
        <w:t xml:space="preserve">Details of the trials presented in the submission are provided in </w:t>
      </w:r>
      <w:r w:rsidR="00262F4F" w:rsidRPr="00354F5E">
        <w:rPr>
          <w:snapToGrid/>
        </w:rPr>
        <w:t>T</w:t>
      </w:r>
      <w:r w:rsidRPr="00354F5E">
        <w:rPr>
          <w:snapToGrid/>
        </w:rPr>
        <w:t xml:space="preserve">able </w:t>
      </w:r>
      <w:r w:rsidR="00C15855" w:rsidRPr="00354F5E">
        <w:rPr>
          <w:snapToGrid/>
        </w:rPr>
        <w:t>2</w:t>
      </w:r>
      <w:r w:rsidR="006A2B0C" w:rsidRPr="00354F5E">
        <w:rPr>
          <w:snapToGrid/>
        </w:rPr>
        <w:t>.</w:t>
      </w:r>
    </w:p>
    <w:p w:rsidR="008E0D3C" w:rsidRPr="00354F5E" w:rsidRDefault="008E0D3C" w:rsidP="00D12336">
      <w:pPr>
        <w:pStyle w:val="TableFigureHeading"/>
        <w:rPr>
          <w:rStyle w:val="CommentReference"/>
          <w:b/>
          <w:szCs w:val="24"/>
        </w:rPr>
      </w:pPr>
      <w:r w:rsidRPr="00354F5E">
        <w:rPr>
          <w:rStyle w:val="CommentReference"/>
          <w:b/>
          <w:szCs w:val="24"/>
        </w:rPr>
        <w:t xml:space="preserve">Table </w:t>
      </w:r>
      <w:r w:rsidR="00C15855" w:rsidRPr="00354F5E">
        <w:rPr>
          <w:rStyle w:val="CommentReference"/>
          <w:b/>
          <w:szCs w:val="24"/>
        </w:rPr>
        <w:t>2</w:t>
      </w:r>
      <w:r w:rsidRPr="00354F5E">
        <w:rPr>
          <w:rStyle w:val="CommentReference"/>
          <w:b/>
          <w:szCs w:val="24"/>
        </w:rPr>
        <w:t>:</w:t>
      </w:r>
      <w:r w:rsidR="00BC591F" w:rsidRPr="00354F5E">
        <w:rPr>
          <w:rStyle w:val="CommentReference"/>
          <w:b/>
          <w:szCs w:val="24"/>
        </w:rPr>
        <w:t xml:space="preserve"> </w:t>
      </w:r>
      <w:r w:rsidRPr="00354F5E">
        <w:rPr>
          <w:rStyle w:val="CommentReference"/>
          <w:b/>
          <w:szCs w:val="24"/>
        </w:rPr>
        <w:t>Trials and associated reports presented in the submission</w:t>
      </w:r>
      <w:r w:rsidR="00007C66" w:rsidRPr="00354F5E">
        <w:rPr>
          <w:rStyle w:val="CommentReference"/>
          <w:b/>
          <w:szCs w:val="24"/>
        </w:rPr>
        <w:t xml:space="preserve"> (main publications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459"/>
        <w:gridCol w:w="2124"/>
      </w:tblGrid>
      <w:tr w:rsidR="00007C66" w:rsidRPr="00354F5E" w:rsidTr="00C46E44">
        <w:trPr>
          <w:trHeight w:val="238"/>
          <w:tblHeader/>
        </w:trPr>
        <w:tc>
          <w:tcPr>
            <w:tcW w:w="795" w:type="pct"/>
            <w:vAlign w:val="center"/>
          </w:tcPr>
          <w:p w:rsidR="00007C66" w:rsidRPr="00354F5E" w:rsidRDefault="00007C66" w:rsidP="00D12336">
            <w:pPr>
              <w:pStyle w:val="In-tableHeading"/>
              <w:rPr>
                <w:lang w:val="en-AU"/>
              </w:rPr>
            </w:pPr>
            <w:r w:rsidRPr="00354F5E">
              <w:rPr>
                <w:lang w:val="en-AU"/>
              </w:rPr>
              <w:t>Trial ID</w:t>
            </w:r>
          </w:p>
        </w:tc>
        <w:tc>
          <w:tcPr>
            <w:tcW w:w="3027" w:type="pct"/>
            <w:vAlign w:val="center"/>
          </w:tcPr>
          <w:p w:rsidR="00007C66" w:rsidRPr="00354F5E" w:rsidRDefault="00007C66" w:rsidP="00D12336">
            <w:pPr>
              <w:pStyle w:val="In-tableHeading"/>
              <w:rPr>
                <w:lang w:val="en-AU"/>
              </w:rPr>
            </w:pPr>
            <w:r w:rsidRPr="00354F5E">
              <w:rPr>
                <w:lang w:val="en-AU"/>
              </w:rPr>
              <w:t>Protocol title/ Publication title</w:t>
            </w:r>
          </w:p>
        </w:tc>
        <w:tc>
          <w:tcPr>
            <w:tcW w:w="1178" w:type="pct"/>
            <w:vAlign w:val="center"/>
          </w:tcPr>
          <w:p w:rsidR="00007C66" w:rsidRPr="00354F5E" w:rsidRDefault="00007C66" w:rsidP="00D12336">
            <w:pPr>
              <w:pStyle w:val="In-tableHeading"/>
              <w:rPr>
                <w:lang w:val="en-AU"/>
              </w:rPr>
            </w:pPr>
            <w:r w:rsidRPr="00354F5E">
              <w:rPr>
                <w:lang w:val="en-AU"/>
              </w:rPr>
              <w:t>Publication citation</w:t>
            </w:r>
          </w:p>
        </w:tc>
      </w:tr>
      <w:tr w:rsidR="00007C66" w:rsidRPr="00354F5E" w:rsidTr="00C46E44">
        <w:trPr>
          <w:trHeight w:val="223"/>
          <w:tblHeader/>
        </w:trPr>
        <w:tc>
          <w:tcPr>
            <w:tcW w:w="5000" w:type="pct"/>
            <w:gridSpan w:val="3"/>
            <w:vAlign w:val="center"/>
          </w:tcPr>
          <w:p w:rsidR="00007C66" w:rsidRPr="00354F5E" w:rsidRDefault="00007C66" w:rsidP="00D12336">
            <w:pPr>
              <w:pStyle w:val="In-tableHeading"/>
              <w:rPr>
                <w:lang w:val="en-AU"/>
              </w:rPr>
            </w:pPr>
            <w:r w:rsidRPr="00354F5E">
              <w:rPr>
                <w:lang w:val="en-AU"/>
              </w:rPr>
              <w:t>UPA trials</w:t>
            </w:r>
          </w:p>
        </w:tc>
      </w:tr>
      <w:tr w:rsidR="00007C66" w:rsidRPr="00354F5E" w:rsidTr="00C46E44">
        <w:trPr>
          <w:trHeight w:val="946"/>
        </w:trPr>
        <w:tc>
          <w:tcPr>
            <w:tcW w:w="795" w:type="pct"/>
            <w:vAlign w:val="center"/>
          </w:tcPr>
          <w:p w:rsidR="00007C66" w:rsidRPr="00354F5E" w:rsidRDefault="00007C66" w:rsidP="00D12336">
            <w:pPr>
              <w:pStyle w:val="TableText0"/>
            </w:pPr>
            <w:r w:rsidRPr="00354F5E">
              <w:t>SELECT-PsA 1</w:t>
            </w:r>
          </w:p>
        </w:tc>
        <w:tc>
          <w:tcPr>
            <w:tcW w:w="3027" w:type="pct"/>
            <w:vAlign w:val="center"/>
          </w:tcPr>
          <w:p w:rsidR="00007C66" w:rsidRPr="00354F5E" w:rsidRDefault="00007C66" w:rsidP="00D12336">
            <w:pPr>
              <w:pStyle w:val="TableText0"/>
              <w:rPr>
                <w:szCs w:val="18"/>
              </w:rPr>
            </w:pPr>
            <w:r w:rsidRPr="00354F5E">
              <w:rPr>
                <w:szCs w:val="18"/>
              </w:rPr>
              <w:t xml:space="preserve">A Phase 3, Randomized, Double-Blind, Study Comparing Upadacitinib (ABT-494) to Placebo and to Adalimumab in Subjects with Active Psoriatic Arthritis Who Have a History of Inadequate Response to at Least One Non-Biologic Disease Modifying Anti-Rheumatic Drug (DMARD) </w:t>
            </w:r>
            <w:r w:rsidRPr="00354F5E">
              <w:t>– SELECT – PsA 1.</w:t>
            </w:r>
          </w:p>
        </w:tc>
        <w:tc>
          <w:tcPr>
            <w:tcW w:w="1178" w:type="pct"/>
            <w:vAlign w:val="center"/>
          </w:tcPr>
          <w:p w:rsidR="00007C66" w:rsidRPr="00354F5E" w:rsidRDefault="00007C66" w:rsidP="00D12336">
            <w:pPr>
              <w:pStyle w:val="TableText0"/>
            </w:pPr>
            <w:r w:rsidRPr="00354F5E">
              <w:t>CSR, April 2020</w:t>
            </w:r>
          </w:p>
        </w:tc>
      </w:tr>
      <w:tr w:rsidR="00007C66" w:rsidRPr="00354F5E" w:rsidTr="00C46E44">
        <w:trPr>
          <w:trHeight w:val="938"/>
        </w:trPr>
        <w:tc>
          <w:tcPr>
            <w:tcW w:w="795" w:type="pct"/>
            <w:tcBorders>
              <w:bottom w:val="nil"/>
            </w:tcBorders>
            <w:vAlign w:val="center"/>
          </w:tcPr>
          <w:p w:rsidR="00007C66" w:rsidRPr="00354F5E" w:rsidRDefault="00007C66" w:rsidP="00D12336">
            <w:pPr>
              <w:pStyle w:val="TableText0"/>
            </w:pPr>
            <w:r w:rsidRPr="00354F5E">
              <w:t>SELECT PsA 2</w:t>
            </w:r>
          </w:p>
        </w:tc>
        <w:tc>
          <w:tcPr>
            <w:tcW w:w="3027" w:type="pct"/>
            <w:tcBorders>
              <w:bottom w:val="nil"/>
            </w:tcBorders>
            <w:vAlign w:val="center"/>
          </w:tcPr>
          <w:p w:rsidR="00007C66" w:rsidRPr="00354F5E" w:rsidRDefault="00007C66" w:rsidP="00D12336">
            <w:pPr>
              <w:pStyle w:val="TableText0"/>
            </w:pPr>
            <w:r w:rsidRPr="00354F5E">
              <w:t>A Phase 3, Randomized, Double-Blind Study Comparing Upadacitinib (ABT-494) to Placebo in Subjects with Active Psoriatic Arthritis Who Have a History of Inadequate Response to at Least One Biologic Disease Modifying Anti-Rheumatic Drug (bDMARD) – SELECT – PsA 2.</w:t>
            </w:r>
          </w:p>
        </w:tc>
        <w:tc>
          <w:tcPr>
            <w:tcW w:w="1178" w:type="pct"/>
            <w:tcBorders>
              <w:bottom w:val="nil"/>
            </w:tcBorders>
            <w:vAlign w:val="center"/>
          </w:tcPr>
          <w:p w:rsidR="00007C66" w:rsidRPr="00354F5E" w:rsidRDefault="00007C66" w:rsidP="00D12336">
            <w:pPr>
              <w:pStyle w:val="TableText0"/>
            </w:pPr>
            <w:r w:rsidRPr="00354F5E">
              <w:t>CSR, April 2020</w:t>
            </w:r>
          </w:p>
        </w:tc>
      </w:tr>
      <w:tr w:rsidR="00582E3E" w:rsidRPr="00354F5E" w:rsidTr="00582E3E">
        <w:trPr>
          <w:trHeight w:val="238"/>
        </w:trPr>
        <w:tc>
          <w:tcPr>
            <w:tcW w:w="5000" w:type="pct"/>
            <w:gridSpan w:val="3"/>
            <w:tcBorders>
              <w:bottom w:val="nil"/>
            </w:tcBorders>
            <w:vAlign w:val="center"/>
          </w:tcPr>
          <w:p w:rsidR="00582E3E" w:rsidRPr="00354F5E" w:rsidRDefault="00582E3E" w:rsidP="00D12336">
            <w:pPr>
              <w:pStyle w:val="TableText0"/>
            </w:pPr>
            <w:r w:rsidRPr="00354F5E">
              <w:rPr>
                <w:b/>
              </w:rPr>
              <w:t>TOF trials</w:t>
            </w:r>
          </w:p>
        </w:tc>
      </w:tr>
      <w:tr w:rsidR="00007C66" w:rsidRPr="00354F5E" w:rsidTr="00C46E44">
        <w:trPr>
          <w:trHeight w:val="461"/>
        </w:trPr>
        <w:tc>
          <w:tcPr>
            <w:tcW w:w="795" w:type="pct"/>
            <w:tcBorders>
              <w:bottom w:val="nil"/>
            </w:tcBorders>
            <w:vAlign w:val="center"/>
          </w:tcPr>
          <w:p w:rsidR="00007C66" w:rsidRPr="00354F5E" w:rsidRDefault="00007C66" w:rsidP="00D12336">
            <w:pPr>
              <w:pStyle w:val="TableText0"/>
            </w:pPr>
            <w:r w:rsidRPr="00354F5E">
              <w:t>OPAL-BROADEN</w:t>
            </w:r>
          </w:p>
        </w:tc>
        <w:tc>
          <w:tcPr>
            <w:tcW w:w="3027" w:type="pct"/>
            <w:tcBorders>
              <w:bottom w:val="nil"/>
            </w:tcBorders>
            <w:vAlign w:val="center"/>
          </w:tcPr>
          <w:p w:rsidR="00007C66" w:rsidRPr="00354F5E" w:rsidRDefault="00007C66" w:rsidP="00D12336">
            <w:pPr>
              <w:pStyle w:val="TableText0"/>
            </w:pPr>
            <w:r w:rsidRPr="00354F5E">
              <w:t>Mease P, Hall S, FitzGerald O et al. Tofacitinib or Adalimumab versus Placebo for Psoriatic Arthritis.</w:t>
            </w:r>
          </w:p>
        </w:tc>
        <w:tc>
          <w:tcPr>
            <w:tcW w:w="1178" w:type="pct"/>
            <w:tcBorders>
              <w:bottom w:val="nil"/>
            </w:tcBorders>
            <w:vAlign w:val="center"/>
          </w:tcPr>
          <w:p w:rsidR="00007C66" w:rsidRPr="00354F5E" w:rsidRDefault="00007C66" w:rsidP="00D12336">
            <w:pPr>
              <w:pStyle w:val="TableText0"/>
            </w:pPr>
            <w:r w:rsidRPr="00354F5E">
              <w:t>NEJM 2017; 377(16):1537-1550.</w:t>
            </w:r>
          </w:p>
        </w:tc>
      </w:tr>
      <w:tr w:rsidR="00007C66" w:rsidRPr="00354F5E" w:rsidTr="00C46E44">
        <w:trPr>
          <w:trHeight w:val="461"/>
        </w:trPr>
        <w:tc>
          <w:tcPr>
            <w:tcW w:w="795" w:type="pct"/>
            <w:tcBorders>
              <w:bottom w:val="single" w:sz="4" w:space="0" w:color="auto"/>
            </w:tcBorders>
            <w:vAlign w:val="center"/>
          </w:tcPr>
          <w:p w:rsidR="00007C66" w:rsidRPr="00354F5E" w:rsidRDefault="00007C66" w:rsidP="00D12336">
            <w:pPr>
              <w:pStyle w:val="TableText0"/>
            </w:pPr>
            <w:r w:rsidRPr="00354F5E">
              <w:t>OPAL-BEYOND</w:t>
            </w:r>
          </w:p>
        </w:tc>
        <w:tc>
          <w:tcPr>
            <w:tcW w:w="3027" w:type="pct"/>
            <w:tcBorders>
              <w:bottom w:val="single" w:sz="4" w:space="0" w:color="auto"/>
            </w:tcBorders>
            <w:vAlign w:val="center"/>
          </w:tcPr>
          <w:p w:rsidR="00007C66" w:rsidRPr="00354F5E" w:rsidRDefault="00007C66" w:rsidP="00D12336">
            <w:pPr>
              <w:pStyle w:val="TableText0"/>
            </w:pPr>
            <w:r w:rsidRPr="00354F5E">
              <w:t>Gladman D, Rigby W, Azevedo VF et al. Tofacitinib for Psoriatic Arthritis in Patients with an Inadequate Response to TNF Inhibitors.</w:t>
            </w:r>
          </w:p>
        </w:tc>
        <w:tc>
          <w:tcPr>
            <w:tcW w:w="1178" w:type="pct"/>
            <w:tcBorders>
              <w:bottom w:val="single" w:sz="4" w:space="0" w:color="auto"/>
            </w:tcBorders>
            <w:vAlign w:val="center"/>
          </w:tcPr>
          <w:p w:rsidR="00007C66" w:rsidRPr="00354F5E" w:rsidRDefault="00007C66" w:rsidP="00D12336">
            <w:pPr>
              <w:pStyle w:val="TableText0"/>
            </w:pPr>
            <w:r w:rsidRPr="00354F5E">
              <w:t>NEJM 2017; 377(16):1525-1536.</w:t>
            </w:r>
          </w:p>
        </w:tc>
      </w:tr>
    </w:tbl>
    <w:p w:rsidR="00007C66" w:rsidRPr="00354F5E" w:rsidRDefault="00007C66" w:rsidP="00D12336">
      <w:pPr>
        <w:pStyle w:val="TableFigureFooter"/>
      </w:pPr>
      <w:r w:rsidRPr="00354F5E">
        <w:t>Source: Table 2-5, pp32-34 of the submission.</w:t>
      </w:r>
    </w:p>
    <w:p w:rsidR="00007C66" w:rsidRPr="00354F5E" w:rsidRDefault="00007C66" w:rsidP="00D12336">
      <w:pPr>
        <w:pStyle w:val="TableFigureFooter"/>
      </w:pPr>
      <w:r w:rsidRPr="00354F5E">
        <w:rPr>
          <w:szCs w:val="18"/>
        </w:rPr>
        <w:t>Abbreviations: UPA = upadacitinib; TOF = tofacitinib; PsA=psoriatic arthritis; CSR = Clinical Study Report.</w:t>
      </w:r>
    </w:p>
    <w:p w:rsidR="007F1017" w:rsidRPr="00354F5E" w:rsidRDefault="00E476CE" w:rsidP="00D12336">
      <w:pPr>
        <w:pStyle w:val="3-BodyText"/>
      </w:pPr>
      <w:r w:rsidRPr="00354F5E">
        <w:t xml:space="preserve">Table </w:t>
      </w:r>
      <w:r w:rsidR="00C15855" w:rsidRPr="00354F5E">
        <w:t xml:space="preserve">3 </w:t>
      </w:r>
      <w:r w:rsidRPr="00354F5E">
        <w:t>summarises t</w:t>
      </w:r>
      <w:r w:rsidR="008F120A" w:rsidRPr="00354F5E">
        <w:t xml:space="preserve">he key features of the </w:t>
      </w:r>
      <w:r w:rsidRPr="00354F5E">
        <w:t xml:space="preserve">included </w:t>
      </w:r>
      <w:r w:rsidR="008F120A" w:rsidRPr="00354F5E">
        <w:t>randomised trial</w:t>
      </w:r>
      <w:r w:rsidR="006A2B0C" w:rsidRPr="00354F5E">
        <w:t>s</w:t>
      </w:r>
      <w:r w:rsidR="00D51C43" w:rsidRPr="00354F5E">
        <w:t xml:space="preserve">, </w:t>
      </w:r>
      <w:r w:rsidRPr="00354F5E">
        <w:t xml:space="preserve">categorised </w:t>
      </w:r>
      <w:r w:rsidR="00D51C43" w:rsidRPr="00354F5E">
        <w:t xml:space="preserve">by prior treatment failure: </w:t>
      </w:r>
      <w:r w:rsidR="006232A8" w:rsidRPr="00354F5E">
        <w:t xml:space="preserve">patients with an </w:t>
      </w:r>
      <w:r w:rsidR="00D51C43" w:rsidRPr="00354F5E">
        <w:rPr>
          <w:iCs/>
        </w:rPr>
        <w:t xml:space="preserve">inadequate response to cDMARDs </w:t>
      </w:r>
      <w:r w:rsidR="006232A8" w:rsidRPr="00354F5E">
        <w:rPr>
          <w:iCs/>
        </w:rPr>
        <w:t>or</w:t>
      </w:r>
      <w:r w:rsidR="00D51C43" w:rsidRPr="00354F5E">
        <w:rPr>
          <w:iCs/>
        </w:rPr>
        <w:t xml:space="preserve"> </w:t>
      </w:r>
      <w:r w:rsidR="006232A8" w:rsidRPr="00354F5E">
        <w:rPr>
          <w:iCs/>
        </w:rPr>
        <w:t xml:space="preserve">an inadequate response to </w:t>
      </w:r>
      <w:r w:rsidR="00D51C43" w:rsidRPr="00354F5E">
        <w:rPr>
          <w:iCs/>
        </w:rPr>
        <w:t>bDMARDs</w:t>
      </w:r>
      <w:r w:rsidR="006A2B0C" w:rsidRPr="00354F5E">
        <w:t xml:space="preserve">. </w:t>
      </w:r>
      <w:r w:rsidR="00F4347D" w:rsidRPr="00354F5E">
        <w:t xml:space="preserve">The submission presented comparison arms with </w:t>
      </w:r>
      <w:r w:rsidR="00F4347D" w:rsidRPr="00354F5E">
        <w:lastRenderedPageBreak/>
        <w:t>the relevant doses only (excluding data for UPA 30mg and TOF 10mg dosing regimens reported across the four trials).</w:t>
      </w:r>
    </w:p>
    <w:p w:rsidR="007F1017" w:rsidRPr="00354F5E" w:rsidRDefault="007F1017" w:rsidP="00D12336">
      <w:pPr>
        <w:pStyle w:val="TableFigureHeading"/>
        <w:rPr>
          <w:rStyle w:val="CommentReference"/>
          <w:b/>
          <w:szCs w:val="24"/>
        </w:rPr>
      </w:pPr>
      <w:r w:rsidRPr="00354F5E">
        <w:rPr>
          <w:rStyle w:val="CommentReference"/>
          <w:b/>
          <w:szCs w:val="24"/>
        </w:rPr>
        <w:t xml:space="preserve">Table </w:t>
      </w:r>
      <w:r w:rsidR="00C15855" w:rsidRPr="00354F5E">
        <w:rPr>
          <w:rStyle w:val="CommentReference"/>
          <w:b/>
          <w:szCs w:val="24"/>
        </w:rPr>
        <w:t>3</w:t>
      </w:r>
      <w:r w:rsidRPr="00354F5E">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68"/>
        <w:gridCol w:w="485"/>
        <w:gridCol w:w="2188"/>
        <w:gridCol w:w="469"/>
        <w:gridCol w:w="2537"/>
        <w:gridCol w:w="979"/>
        <w:gridCol w:w="1491"/>
      </w:tblGrid>
      <w:tr w:rsidR="00582E3E" w:rsidRPr="00354F5E" w:rsidTr="00582E3E">
        <w:trPr>
          <w:cantSplit/>
          <w:trHeight w:val="446"/>
          <w:tblHeader/>
        </w:trPr>
        <w:tc>
          <w:tcPr>
            <w:tcW w:w="481" w:type="pct"/>
            <w:shd w:val="clear" w:color="auto" w:fill="auto"/>
            <w:vAlign w:val="center"/>
          </w:tcPr>
          <w:p w:rsidR="006A2B0C" w:rsidRPr="00354F5E" w:rsidRDefault="006A2B0C" w:rsidP="00D12336">
            <w:pPr>
              <w:pStyle w:val="In-tableHeading"/>
              <w:rPr>
                <w:lang w:val="en-AU"/>
              </w:rPr>
            </w:pPr>
            <w:r w:rsidRPr="00354F5E">
              <w:rPr>
                <w:lang w:val="en-AU"/>
              </w:rPr>
              <w:t>Trial</w:t>
            </w:r>
          </w:p>
        </w:tc>
        <w:tc>
          <w:tcPr>
            <w:tcW w:w="269" w:type="pct"/>
            <w:shd w:val="clear" w:color="auto" w:fill="auto"/>
            <w:vAlign w:val="center"/>
          </w:tcPr>
          <w:p w:rsidR="006A2B0C" w:rsidRPr="00354F5E" w:rsidRDefault="006A2B0C" w:rsidP="00D12336">
            <w:pPr>
              <w:pStyle w:val="In-tableHeading"/>
              <w:jc w:val="center"/>
              <w:rPr>
                <w:lang w:val="en-AU"/>
              </w:rPr>
            </w:pPr>
            <w:r w:rsidRPr="00354F5E">
              <w:rPr>
                <w:lang w:val="en-AU"/>
              </w:rPr>
              <w:t>N</w:t>
            </w:r>
          </w:p>
        </w:tc>
        <w:tc>
          <w:tcPr>
            <w:tcW w:w="1213" w:type="pct"/>
            <w:shd w:val="clear" w:color="auto" w:fill="auto"/>
            <w:vAlign w:val="center"/>
          </w:tcPr>
          <w:p w:rsidR="006A2B0C" w:rsidRPr="00354F5E" w:rsidRDefault="006A2B0C" w:rsidP="00D12336">
            <w:pPr>
              <w:pStyle w:val="In-tableHeading"/>
              <w:jc w:val="center"/>
              <w:rPr>
                <w:lang w:val="en-AU"/>
              </w:rPr>
            </w:pPr>
            <w:r w:rsidRPr="00354F5E">
              <w:rPr>
                <w:lang w:val="en-AU"/>
              </w:rPr>
              <w:t>Design/duration</w:t>
            </w:r>
          </w:p>
        </w:tc>
        <w:tc>
          <w:tcPr>
            <w:tcW w:w="260" w:type="pct"/>
            <w:shd w:val="clear" w:color="auto" w:fill="auto"/>
            <w:vAlign w:val="center"/>
          </w:tcPr>
          <w:p w:rsidR="006A2B0C" w:rsidRPr="00354F5E" w:rsidRDefault="006A2B0C" w:rsidP="00D12336">
            <w:pPr>
              <w:pStyle w:val="In-tableHeading"/>
              <w:jc w:val="center"/>
              <w:rPr>
                <w:lang w:val="en-AU"/>
              </w:rPr>
            </w:pPr>
            <w:r w:rsidRPr="00354F5E">
              <w:rPr>
                <w:lang w:val="en-AU"/>
              </w:rPr>
              <w:t>Bias</w:t>
            </w:r>
          </w:p>
        </w:tc>
        <w:tc>
          <w:tcPr>
            <w:tcW w:w="1407" w:type="pct"/>
            <w:shd w:val="clear" w:color="auto" w:fill="auto"/>
            <w:vAlign w:val="center"/>
          </w:tcPr>
          <w:p w:rsidR="006A2B0C" w:rsidRPr="00354F5E" w:rsidRDefault="006A2B0C" w:rsidP="00D12336">
            <w:pPr>
              <w:pStyle w:val="In-tableHeading"/>
              <w:jc w:val="center"/>
              <w:rPr>
                <w:lang w:val="en-AU"/>
              </w:rPr>
            </w:pPr>
            <w:r w:rsidRPr="00354F5E">
              <w:rPr>
                <w:lang w:val="en-AU"/>
              </w:rPr>
              <w:t>Relevant comparison</w:t>
            </w:r>
          </w:p>
        </w:tc>
        <w:tc>
          <w:tcPr>
            <w:tcW w:w="543" w:type="pct"/>
            <w:shd w:val="clear" w:color="auto" w:fill="auto"/>
            <w:vAlign w:val="center"/>
          </w:tcPr>
          <w:p w:rsidR="006A2B0C" w:rsidRPr="00354F5E" w:rsidRDefault="006A2B0C" w:rsidP="00D12336">
            <w:pPr>
              <w:pStyle w:val="In-tableHeading"/>
              <w:jc w:val="center"/>
              <w:rPr>
                <w:lang w:val="en-AU"/>
              </w:rPr>
            </w:pPr>
            <w:r w:rsidRPr="00354F5E">
              <w:rPr>
                <w:lang w:val="en-AU"/>
              </w:rPr>
              <w:t>Patient population</w:t>
            </w:r>
          </w:p>
        </w:tc>
        <w:tc>
          <w:tcPr>
            <w:tcW w:w="827" w:type="pct"/>
            <w:shd w:val="clear" w:color="auto" w:fill="auto"/>
            <w:vAlign w:val="center"/>
          </w:tcPr>
          <w:p w:rsidR="006A2B0C" w:rsidRPr="00354F5E" w:rsidRDefault="006A2B0C" w:rsidP="00D12336">
            <w:pPr>
              <w:pStyle w:val="In-tableHeading"/>
              <w:jc w:val="center"/>
              <w:rPr>
                <w:lang w:val="en-AU"/>
              </w:rPr>
            </w:pPr>
            <w:r w:rsidRPr="00354F5E">
              <w:rPr>
                <w:lang w:val="en-AU"/>
              </w:rPr>
              <w:t>Primary outcome(s)</w:t>
            </w:r>
          </w:p>
        </w:tc>
      </w:tr>
      <w:tr w:rsidR="006A2B0C" w:rsidRPr="00354F5E" w:rsidTr="00582E3E">
        <w:trPr>
          <w:cantSplit/>
          <w:trHeight w:val="210"/>
        </w:trPr>
        <w:tc>
          <w:tcPr>
            <w:tcW w:w="5000" w:type="pct"/>
            <w:gridSpan w:val="7"/>
            <w:shd w:val="clear" w:color="auto" w:fill="auto"/>
            <w:vAlign w:val="center"/>
          </w:tcPr>
          <w:p w:rsidR="006A2B0C" w:rsidRPr="00354F5E" w:rsidRDefault="006A2B0C" w:rsidP="00D12336">
            <w:pPr>
              <w:pStyle w:val="In-tableHeading"/>
              <w:rPr>
                <w:lang w:val="en-AU"/>
              </w:rPr>
            </w:pPr>
            <w:r w:rsidRPr="00354F5E">
              <w:rPr>
                <w:lang w:val="en-AU"/>
              </w:rPr>
              <w:t>POPULATION: cDMARD-IR</w:t>
            </w:r>
          </w:p>
        </w:tc>
      </w:tr>
      <w:tr w:rsidR="00582E3E" w:rsidRPr="00354F5E" w:rsidTr="00E9001D">
        <w:trPr>
          <w:cantSplit/>
          <w:trHeight w:val="233"/>
        </w:trPr>
        <w:tc>
          <w:tcPr>
            <w:tcW w:w="481" w:type="pct"/>
            <w:vMerge w:val="restart"/>
            <w:shd w:val="clear" w:color="auto" w:fill="auto"/>
            <w:vAlign w:val="center"/>
          </w:tcPr>
          <w:p w:rsidR="006A2B0C" w:rsidRPr="00354F5E" w:rsidRDefault="006A2B0C" w:rsidP="00D12336">
            <w:pPr>
              <w:pStyle w:val="TableText0"/>
            </w:pPr>
            <w:r w:rsidRPr="00354F5E">
              <w:t>SELECT-PsA 1</w:t>
            </w:r>
          </w:p>
        </w:tc>
        <w:tc>
          <w:tcPr>
            <w:tcW w:w="269" w:type="pct"/>
            <w:vMerge w:val="restart"/>
            <w:shd w:val="clear" w:color="auto" w:fill="auto"/>
            <w:vAlign w:val="center"/>
          </w:tcPr>
          <w:p w:rsidR="006A2B0C" w:rsidRPr="00354F5E" w:rsidRDefault="006A2B0C" w:rsidP="00D12336">
            <w:pPr>
              <w:pStyle w:val="TableText0"/>
              <w:jc w:val="center"/>
            </w:pPr>
            <w:r w:rsidRPr="00354F5E">
              <w:t>1282*</w:t>
            </w:r>
          </w:p>
        </w:tc>
        <w:tc>
          <w:tcPr>
            <w:tcW w:w="1213" w:type="pct"/>
            <w:vMerge w:val="restart"/>
            <w:shd w:val="clear" w:color="auto" w:fill="auto"/>
            <w:vAlign w:val="center"/>
          </w:tcPr>
          <w:p w:rsidR="006A2B0C" w:rsidRPr="00354F5E" w:rsidRDefault="006A2B0C" w:rsidP="00D12336">
            <w:pPr>
              <w:pStyle w:val="TableText0"/>
              <w:jc w:val="center"/>
            </w:pPr>
            <w:r w:rsidRPr="00354F5E">
              <w:t>P3, MC, R, DB, DD, 56wk; AC, PC 24 wk; SOC rescue &gt;wk16</w:t>
            </w:r>
          </w:p>
        </w:tc>
        <w:tc>
          <w:tcPr>
            <w:tcW w:w="260" w:type="pct"/>
            <w:vMerge w:val="restart"/>
            <w:shd w:val="clear" w:color="auto" w:fill="auto"/>
            <w:vAlign w:val="center"/>
          </w:tcPr>
          <w:p w:rsidR="006A2B0C" w:rsidRPr="00354F5E" w:rsidRDefault="006A2B0C" w:rsidP="00D12336">
            <w:pPr>
              <w:pStyle w:val="TableText0"/>
              <w:jc w:val="center"/>
              <w:rPr>
                <w:i/>
              </w:rPr>
            </w:pPr>
            <w:r w:rsidRPr="00354F5E">
              <w:rPr>
                <w:i/>
              </w:rPr>
              <w:t>Low</w:t>
            </w:r>
          </w:p>
        </w:tc>
        <w:tc>
          <w:tcPr>
            <w:tcW w:w="1407" w:type="pct"/>
            <w:tcBorders>
              <w:bottom w:val="nil"/>
            </w:tcBorders>
            <w:shd w:val="clear" w:color="auto" w:fill="auto"/>
            <w:vAlign w:val="center"/>
          </w:tcPr>
          <w:p w:rsidR="006A2B0C" w:rsidRPr="00354F5E" w:rsidRDefault="006A2B0C" w:rsidP="00D12336">
            <w:pPr>
              <w:pStyle w:val="TableText0"/>
              <w:jc w:val="center"/>
            </w:pPr>
            <w:r w:rsidRPr="00354F5E">
              <w:t>UPA 15mg D ± cDMARDs</w:t>
            </w:r>
          </w:p>
        </w:tc>
        <w:tc>
          <w:tcPr>
            <w:tcW w:w="543" w:type="pct"/>
            <w:vMerge w:val="restart"/>
            <w:shd w:val="clear" w:color="auto" w:fill="auto"/>
            <w:vAlign w:val="center"/>
          </w:tcPr>
          <w:p w:rsidR="006A2B0C" w:rsidRPr="00354F5E" w:rsidRDefault="006A2B0C" w:rsidP="00D12336">
            <w:pPr>
              <w:pStyle w:val="TableText0"/>
              <w:jc w:val="center"/>
            </w:pPr>
            <w:r w:rsidRPr="00354F5E">
              <w:t>Active PsA cDMARD-IR</w:t>
            </w:r>
          </w:p>
        </w:tc>
        <w:tc>
          <w:tcPr>
            <w:tcW w:w="827" w:type="pct"/>
            <w:vMerge w:val="restart"/>
            <w:shd w:val="clear" w:color="auto" w:fill="auto"/>
            <w:vAlign w:val="center"/>
          </w:tcPr>
          <w:p w:rsidR="006A2B0C" w:rsidRPr="00354F5E" w:rsidRDefault="006A2B0C" w:rsidP="00D12336">
            <w:pPr>
              <w:pStyle w:val="TableText0"/>
              <w:jc w:val="center"/>
            </w:pPr>
            <w:r w:rsidRPr="00354F5E">
              <w:t>ACR20 Wk12</w:t>
            </w:r>
          </w:p>
        </w:tc>
      </w:tr>
      <w:tr w:rsidR="00582E3E" w:rsidRPr="00354F5E" w:rsidTr="00E9001D">
        <w:trPr>
          <w:cantSplit/>
          <w:trHeight w:val="231"/>
        </w:trPr>
        <w:tc>
          <w:tcPr>
            <w:tcW w:w="481" w:type="pct"/>
            <w:vMerge/>
            <w:shd w:val="clear" w:color="auto" w:fill="auto"/>
            <w:vAlign w:val="center"/>
          </w:tcPr>
          <w:p w:rsidR="006A2B0C" w:rsidRPr="00354F5E" w:rsidRDefault="006A2B0C" w:rsidP="00D12336">
            <w:pPr>
              <w:pStyle w:val="TableText0"/>
            </w:pPr>
          </w:p>
        </w:tc>
        <w:tc>
          <w:tcPr>
            <w:tcW w:w="269" w:type="pct"/>
            <w:vMerge/>
            <w:shd w:val="clear" w:color="auto" w:fill="auto"/>
            <w:vAlign w:val="center"/>
          </w:tcPr>
          <w:p w:rsidR="006A2B0C" w:rsidRPr="00354F5E" w:rsidRDefault="006A2B0C" w:rsidP="00D12336">
            <w:pPr>
              <w:pStyle w:val="TableText0"/>
              <w:jc w:val="center"/>
            </w:pPr>
          </w:p>
        </w:tc>
        <w:tc>
          <w:tcPr>
            <w:tcW w:w="1213" w:type="pct"/>
            <w:vMerge/>
            <w:shd w:val="clear" w:color="auto" w:fill="auto"/>
            <w:vAlign w:val="center"/>
          </w:tcPr>
          <w:p w:rsidR="006A2B0C" w:rsidRPr="00354F5E" w:rsidRDefault="006A2B0C" w:rsidP="00D12336">
            <w:pPr>
              <w:pStyle w:val="TableText0"/>
              <w:jc w:val="center"/>
            </w:pPr>
          </w:p>
        </w:tc>
        <w:tc>
          <w:tcPr>
            <w:tcW w:w="260" w:type="pct"/>
            <w:vMerge/>
            <w:shd w:val="clear" w:color="auto" w:fill="auto"/>
            <w:vAlign w:val="center"/>
          </w:tcPr>
          <w:p w:rsidR="006A2B0C" w:rsidRPr="00354F5E" w:rsidRDefault="006A2B0C" w:rsidP="00D12336">
            <w:pPr>
              <w:pStyle w:val="TableText0"/>
              <w:jc w:val="center"/>
              <w:rPr>
                <w:i/>
              </w:rPr>
            </w:pPr>
          </w:p>
        </w:tc>
        <w:tc>
          <w:tcPr>
            <w:tcW w:w="1407" w:type="pct"/>
            <w:tcBorders>
              <w:top w:val="nil"/>
              <w:bottom w:val="nil"/>
            </w:tcBorders>
            <w:shd w:val="clear" w:color="auto" w:fill="auto"/>
            <w:vAlign w:val="center"/>
          </w:tcPr>
          <w:p w:rsidR="006A2B0C" w:rsidRPr="00354F5E" w:rsidRDefault="006A2B0C" w:rsidP="00D12336">
            <w:pPr>
              <w:pStyle w:val="TableText0"/>
              <w:jc w:val="center"/>
            </w:pPr>
            <w:r w:rsidRPr="00354F5E">
              <w:t>ADA 40mg Q2W ± cDMARDs</w:t>
            </w:r>
          </w:p>
        </w:tc>
        <w:tc>
          <w:tcPr>
            <w:tcW w:w="543" w:type="pct"/>
            <w:vMerge/>
            <w:shd w:val="clear" w:color="auto" w:fill="auto"/>
            <w:vAlign w:val="center"/>
          </w:tcPr>
          <w:p w:rsidR="006A2B0C" w:rsidRPr="00354F5E" w:rsidRDefault="006A2B0C" w:rsidP="00D12336">
            <w:pPr>
              <w:pStyle w:val="TableText0"/>
              <w:jc w:val="center"/>
            </w:pPr>
          </w:p>
        </w:tc>
        <w:tc>
          <w:tcPr>
            <w:tcW w:w="827" w:type="pct"/>
            <w:vMerge/>
            <w:shd w:val="clear" w:color="auto" w:fill="auto"/>
            <w:vAlign w:val="center"/>
          </w:tcPr>
          <w:p w:rsidR="006A2B0C" w:rsidRPr="00354F5E" w:rsidRDefault="006A2B0C" w:rsidP="00D12336">
            <w:pPr>
              <w:pStyle w:val="TableText0"/>
              <w:jc w:val="center"/>
            </w:pPr>
          </w:p>
        </w:tc>
      </w:tr>
      <w:tr w:rsidR="00582E3E" w:rsidRPr="00354F5E" w:rsidTr="00E9001D">
        <w:trPr>
          <w:cantSplit/>
          <w:trHeight w:val="235"/>
        </w:trPr>
        <w:tc>
          <w:tcPr>
            <w:tcW w:w="481" w:type="pct"/>
            <w:vMerge/>
            <w:shd w:val="clear" w:color="auto" w:fill="auto"/>
            <w:vAlign w:val="center"/>
          </w:tcPr>
          <w:p w:rsidR="006A2B0C" w:rsidRPr="00354F5E" w:rsidRDefault="006A2B0C" w:rsidP="00D12336">
            <w:pPr>
              <w:pStyle w:val="TableText0"/>
            </w:pPr>
          </w:p>
        </w:tc>
        <w:tc>
          <w:tcPr>
            <w:tcW w:w="269" w:type="pct"/>
            <w:vMerge/>
            <w:shd w:val="clear" w:color="auto" w:fill="auto"/>
            <w:vAlign w:val="center"/>
          </w:tcPr>
          <w:p w:rsidR="006A2B0C" w:rsidRPr="00354F5E" w:rsidRDefault="006A2B0C" w:rsidP="00D12336">
            <w:pPr>
              <w:pStyle w:val="TableText0"/>
              <w:jc w:val="center"/>
            </w:pPr>
          </w:p>
        </w:tc>
        <w:tc>
          <w:tcPr>
            <w:tcW w:w="1213" w:type="pct"/>
            <w:vMerge/>
            <w:shd w:val="clear" w:color="auto" w:fill="auto"/>
            <w:vAlign w:val="center"/>
          </w:tcPr>
          <w:p w:rsidR="006A2B0C" w:rsidRPr="00354F5E" w:rsidRDefault="006A2B0C" w:rsidP="00D12336">
            <w:pPr>
              <w:pStyle w:val="TableText0"/>
              <w:jc w:val="center"/>
            </w:pPr>
          </w:p>
        </w:tc>
        <w:tc>
          <w:tcPr>
            <w:tcW w:w="260" w:type="pct"/>
            <w:vMerge/>
            <w:shd w:val="clear" w:color="auto" w:fill="auto"/>
            <w:vAlign w:val="center"/>
          </w:tcPr>
          <w:p w:rsidR="006A2B0C" w:rsidRPr="00354F5E" w:rsidRDefault="006A2B0C" w:rsidP="00D12336">
            <w:pPr>
              <w:pStyle w:val="TableText0"/>
              <w:jc w:val="center"/>
              <w:rPr>
                <w:i/>
              </w:rPr>
            </w:pPr>
          </w:p>
        </w:tc>
        <w:tc>
          <w:tcPr>
            <w:tcW w:w="1407" w:type="pct"/>
            <w:tcBorders>
              <w:top w:val="nil"/>
            </w:tcBorders>
            <w:shd w:val="clear" w:color="auto" w:fill="auto"/>
            <w:vAlign w:val="center"/>
          </w:tcPr>
          <w:p w:rsidR="006A2B0C" w:rsidRPr="00354F5E" w:rsidRDefault="006A2B0C" w:rsidP="00D12336">
            <w:pPr>
              <w:pStyle w:val="TableText0"/>
              <w:jc w:val="center"/>
            </w:pPr>
            <w:r w:rsidRPr="00354F5E">
              <w:t>PBO ± cDMARDs</w:t>
            </w:r>
          </w:p>
        </w:tc>
        <w:tc>
          <w:tcPr>
            <w:tcW w:w="543" w:type="pct"/>
            <w:vMerge/>
            <w:shd w:val="clear" w:color="auto" w:fill="auto"/>
            <w:vAlign w:val="center"/>
          </w:tcPr>
          <w:p w:rsidR="006A2B0C" w:rsidRPr="00354F5E" w:rsidRDefault="006A2B0C" w:rsidP="00D12336">
            <w:pPr>
              <w:pStyle w:val="TableText0"/>
              <w:jc w:val="center"/>
            </w:pPr>
          </w:p>
        </w:tc>
        <w:tc>
          <w:tcPr>
            <w:tcW w:w="827" w:type="pct"/>
            <w:vMerge/>
            <w:shd w:val="clear" w:color="auto" w:fill="auto"/>
            <w:vAlign w:val="center"/>
          </w:tcPr>
          <w:p w:rsidR="006A2B0C" w:rsidRPr="00354F5E" w:rsidRDefault="006A2B0C" w:rsidP="00D12336">
            <w:pPr>
              <w:pStyle w:val="TableText0"/>
              <w:jc w:val="center"/>
            </w:pPr>
          </w:p>
        </w:tc>
      </w:tr>
      <w:tr w:rsidR="00582E3E" w:rsidRPr="00354F5E" w:rsidTr="00E9001D">
        <w:trPr>
          <w:cantSplit/>
          <w:trHeight w:val="233"/>
        </w:trPr>
        <w:tc>
          <w:tcPr>
            <w:tcW w:w="481" w:type="pct"/>
            <w:vMerge w:val="restart"/>
            <w:shd w:val="clear" w:color="auto" w:fill="auto"/>
            <w:vAlign w:val="center"/>
          </w:tcPr>
          <w:p w:rsidR="006A2B0C" w:rsidRPr="00354F5E" w:rsidRDefault="006A2B0C" w:rsidP="00D12336">
            <w:pPr>
              <w:pStyle w:val="TableText0"/>
            </w:pPr>
            <w:r w:rsidRPr="00354F5E">
              <w:t>OPAL-BROADEN</w:t>
            </w:r>
          </w:p>
        </w:tc>
        <w:tc>
          <w:tcPr>
            <w:tcW w:w="269" w:type="pct"/>
            <w:vMerge w:val="restart"/>
            <w:shd w:val="clear" w:color="auto" w:fill="auto"/>
            <w:vAlign w:val="center"/>
          </w:tcPr>
          <w:p w:rsidR="006A2B0C" w:rsidRPr="00354F5E" w:rsidRDefault="006A2B0C" w:rsidP="00D12336">
            <w:pPr>
              <w:pStyle w:val="TableText0"/>
              <w:jc w:val="center"/>
            </w:pPr>
            <w:r w:rsidRPr="00354F5E">
              <w:t>318*</w:t>
            </w:r>
          </w:p>
        </w:tc>
        <w:tc>
          <w:tcPr>
            <w:tcW w:w="1213" w:type="pct"/>
            <w:vMerge w:val="restart"/>
            <w:shd w:val="clear" w:color="auto" w:fill="auto"/>
            <w:vAlign w:val="center"/>
          </w:tcPr>
          <w:p w:rsidR="006A2B0C" w:rsidRPr="00354F5E" w:rsidRDefault="006A2B0C" w:rsidP="00D12336">
            <w:pPr>
              <w:pStyle w:val="TableText0"/>
              <w:jc w:val="center"/>
            </w:pPr>
            <w:r w:rsidRPr="00354F5E">
              <w:t>P3, MC, R, DB, DD 12mth; AC, PC 3mth; SOC rescue &gt;3mth</w:t>
            </w:r>
          </w:p>
        </w:tc>
        <w:tc>
          <w:tcPr>
            <w:tcW w:w="260" w:type="pct"/>
            <w:vMerge w:val="restart"/>
            <w:shd w:val="clear" w:color="auto" w:fill="auto"/>
            <w:vAlign w:val="center"/>
          </w:tcPr>
          <w:p w:rsidR="006A2B0C" w:rsidRPr="00354F5E" w:rsidRDefault="006A2B0C" w:rsidP="00D12336">
            <w:pPr>
              <w:pStyle w:val="TableText0"/>
              <w:jc w:val="center"/>
              <w:rPr>
                <w:i/>
              </w:rPr>
            </w:pPr>
            <w:r w:rsidRPr="00354F5E">
              <w:rPr>
                <w:i/>
              </w:rPr>
              <w:t>Low</w:t>
            </w:r>
          </w:p>
        </w:tc>
        <w:tc>
          <w:tcPr>
            <w:tcW w:w="1407" w:type="pct"/>
            <w:tcBorders>
              <w:bottom w:val="nil"/>
            </w:tcBorders>
            <w:shd w:val="clear" w:color="auto" w:fill="auto"/>
            <w:vAlign w:val="center"/>
          </w:tcPr>
          <w:p w:rsidR="006A2B0C" w:rsidRPr="00354F5E" w:rsidRDefault="006A2B0C" w:rsidP="00D12336">
            <w:pPr>
              <w:pStyle w:val="TableText0"/>
              <w:jc w:val="center"/>
            </w:pPr>
            <w:r w:rsidRPr="00354F5E">
              <w:t xml:space="preserve">TOF 5mg BD + cDMARDs </w:t>
            </w:r>
          </w:p>
        </w:tc>
        <w:tc>
          <w:tcPr>
            <w:tcW w:w="543" w:type="pct"/>
            <w:vMerge w:val="restart"/>
            <w:shd w:val="clear" w:color="auto" w:fill="auto"/>
            <w:vAlign w:val="center"/>
          </w:tcPr>
          <w:p w:rsidR="006A2B0C" w:rsidRPr="00354F5E" w:rsidRDefault="006A2B0C" w:rsidP="00D12336">
            <w:pPr>
              <w:pStyle w:val="TableText0"/>
              <w:jc w:val="center"/>
            </w:pPr>
            <w:r w:rsidRPr="00354F5E">
              <w:t>Active PsA cDMARD-IR</w:t>
            </w:r>
          </w:p>
        </w:tc>
        <w:tc>
          <w:tcPr>
            <w:tcW w:w="827" w:type="pct"/>
            <w:vMerge w:val="restart"/>
            <w:shd w:val="clear" w:color="auto" w:fill="auto"/>
            <w:vAlign w:val="center"/>
          </w:tcPr>
          <w:p w:rsidR="006A2B0C" w:rsidRPr="00354F5E" w:rsidRDefault="006A2B0C" w:rsidP="00D12336">
            <w:pPr>
              <w:pStyle w:val="TableText0"/>
              <w:jc w:val="center"/>
            </w:pPr>
            <w:r w:rsidRPr="00354F5E">
              <w:t>ACR20 3mth &amp;</w:t>
            </w:r>
          </w:p>
          <w:p w:rsidR="006A2B0C" w:rsidRPr="00354F5E" w:rsidRDefault="00582E3E" w:rsidP="00D12336">
            <w:pPr>
              <w:pStyle w:val="TableText0"/>
              <w:jc w:val="center"/>
            </w:pPr>
            <w:r w:rsidRPr="00354F5E">
              <w:t>ΔHAQ-DI 3mth</w:t>
            </w:r>
          </w:p>
        </w:tc>
      </w:tr>
      <w:tr w:rsidR="00582E3E" w:rsidRPr="00354F5E" w:rsidTr="00E9001D">
        <w:trPr>
          <w:cantSplit/>
          <w:trHeight w:val="231"/>
        </w:trPr>
        <w:tc>
          <w:tcPr>
            <w:tcW w:w="481" w:type="pct"/>
            <w:vMerge/>
            <w:shd w:val="clear" w:color="auto" w:fill="auto"/>
            <w:vAlign w:val="center"/>
          </w:tcPr>
          <w:p w:rsidR="006A2B0C" w:rsidRPr="00354F5E" w:rsidRDefault="006A2B0C" w:rsidP="00D12336">
            <w:pPr>
              <w:pStyle w:val="TableText0"/>
            </w:pPr>
          </w:p>
        </w:tc>
        <w:tc>
          <w:tcPr>
            <w:tcW w:w="269" w:type="pct"/>
            <w:vMerge/>
            <w:shd w:val="clear" w:color="auto" w:fill="auto"/>
            <w:vAlign w:val="center"/>
          </w:tcPr>
          <w:p w:rsidR="006A2B0C" w:rsidRPr="00354F5E" w:rsidRDefault="006A2B0C" w:rsidP="00D12336">
            <w:pPr>
              <w:pStyle w:val="TableText0"/>
              <w:jc w:val="center"/>
            </w:pPr>
          </w:p>
        </w:tc>
        <w:tc>
          <w:tcPr>
            <w:tcW w:w="1213" w:type="pct"/>
            <w:vMerge/>
            <w:shd w:val="clear" w:color="auto" w:fill="auto"/>
            <w:vAlign w:val="center"/>
          </w:tcPr>
          <w:p w:rsidR="006A2B0C" w:rsidRPr="00354F5E" w:rsidRDefault="006A2B0C" w:rsidP="00D12336">
            <w:pPr>
              <w:pStyle w:val="TableText0"/>
              <w:jc w:val="center"/>
            </w:pPr>
          </w:p>
        </w:tc>
        <w:tc>
          <w:tcPr>
            <w:tcW w:w="260" w:type="pct"/>
            <w:vMerge/>
            <w:shd w:val="clear" w:color="auto" w:fill="auto"/>
            <w:vAlign w:val="center"/>
          </w:tcPr>
          <w:p w:rsidR="006A2B0C" w:rsidRPr="00354F5E" w:rsidRDefault="006A2B0C" w:rsidP="00D12336">
            <w:pPr>
              <w:pStyle w:val="TableText0"/>
              <w:jc w:val="center"/>
              <w:rPr>
                <w:i/>
              </w:rPr>
            </w:pPr>
          </w:p>
        </w:tc>
        <w:tc>
          <w:tcPr>
            <w:tcW w:w="1407" w:type="pct"/>
            <w:tcBorders>
              <w:top w:val="nil"/>
              <w:bottom w:val="nil"/>
            </w:tcBorders>
            <w:shd w:val="clear" w:color="auto" w:fill="auto"/>
            <w:vAlign w:val="center"/>
          </w:tcPr>
          <w:p w:rsidR="006A2B0C" w:rsidRPr="00354F5E" w:rsidRDefault="006A2B0C" w:rsidP="00D12336">
            <w:pPr>
              <w:pStyle w:val="TableText0"/>
              <w:jc w:val="center"/>
            </w:pPr>
            <w:r w:rsidRPr="00354F5E">
              <w:t>ADA 40mg Q2W + cDMARDs</w:t>
            </w:r>
          </w:p>
        </w:tc>
        <w:tc>
          <w:tcPr>
            <w:tcW w:w="543" w:type="pct"/>
            <w:vMerge/>
            <w:shd w:val="clear" w:color="auto" w:fill="auto"/>
            <w:vAlign w:val="center"/>
          </w:tcPr>
          <w:p w:rsidR="006A2B0C" w:rsidRPr="00354F5E" w:rsidRDefault="006A2B0C" w:rsidP="00D12336">
            <w:pPr>
              <w:pStyle w:val="TableText0"/>
              <w:jc w:val="center"/>
            </w:pPr>
          </w:p>
        </w:tc>
        <w:tc>
          <w:tcPr>
            <w:tcW w:w="827" w:type="pct"/>
            <w:vMerge/>
            <w:shd w:val="clear" w:color="auto" w:fill="auto"/>
            <w:vAlign w:val="center"/>
          </w:tcPr>
          <w:p w:rsidR="006A2B0C" w:rsidRPr="00354F5E" w:rsidRDefault="006A2B0C" w:rsidP="00D12336">
            <w:pPr>
              <w:pStyle w:val="TableText0"/>
              <w:jc w:val="center"/>
            </w:pPr>
          </w:p>
        </w:tc>
      </w:tr>
      <w:tr w:rsidR="00582E3E" w:rsidRPr="00354F5E" w:rsidTr="00E9001D">
        <w:trPr>
          <w:cantSplit/>
          <w:trHeight w:val="126"/>
        </w:trPr>
        <w:tc>
          <w:tcPr>
            <w:tcW w:w="481" w:type="pct"/>
            <w:vMerge/>
            <w:shd w:val="clear" w:color="auto" w:fill="auto"/>
            <w:vAlign w:val="center"/>
          </w:tcPr>
          <w:p w:rsidR="006A2B0C" w:rsidRPr="00354F5E" w:rsidRDefault="006A2B0C" w:rsidP="00D12336">
            <w:pPr>
              <w:pStyle w:val="TableText0"/>
            </w:pPr>
          </w:p>
        </w:tc>
        <w:tc>
          <w:tcPr>
            <w:tcW w:w="269" w:type="pct"/>
            <w:vMerge/>
            <w:shd w:val="clear" w:color="auto" w:fill="auto"/>
            <w:vAlign w:val="center"/>
          </w:tcPr>
          <w:p w:rsidR="006A2B0C" w:rsidRPr="00354F5E" w:rsidRDefault="006A2B0C" w:rsidP="00D12336">
            <w:pPr>
              <w:pStyle w:val="TableText0"/>
              <w:jc w:val="center"/>
            </w:pPr>
          </w:p>
        </w:tc>
        <w:tc>
          <w:tcPr>
            <w:tcW w:w="1213" w:type="pct"/>
            <w:vMerge/>
            <w:shd w:val="clear" w:color="auto" w:fill="auto"/>
            <w:vAlign w:val="center"/>
          </w:tcPr>
          <w:p w:rsidR="006A2B0C" w:rsidRPr="00354F5E" w:rsidRDefault="006A2B0C" w:rsidP="00D12336">
            <w:pPr>
              <w:pStyle w:val="TableText0"/>
              <w:jc w:val="center"/>
            </w:pPr>
          </w:p>
        </w:tc>
        <w:tc>
          <w:tcPr>
            <w:tcW w:w="260" w:type="pct"/>
            <w:vMerge/>
            <w:shd w:val="clear" w:color="auto" w:fill="auto"/>
            <w:vAlign w:val="center"/>
          </w:tcPr>
          <w:p w:rsidR="006A2B0C" w:rsidRPr="00354F5E" w:rsidRDefault="006A2B0C" w:rsidP="00D12336">
            <w:pPr>
              <w:pStyle w:val="TableText0"/>
              <w:jc w:val="center"/>
              <w:rPr>
                <w:i/>
              </w:rPr>
            </w:pPr>
          </w:p>
        </w:tc>
        <w:tc>
          <w:tcPr>
            <w:tcW w:w="1407" w:type="pct"/>
            <w:tcBorders>
              <w:top w:val="nil"/>
            </w:tcBorders>
            <w:shd w:val="clear" w:color="auto" w:fill="auto"/>
            <w:vAlign w:val="center"/>
          </w:tcPr>
          <w:p w:rsidR="006A2B0C" w:rsidRPr="00354F5E" w:rsidRDefault="006A2B0C" w:rsidP="00D12336">
            <w:pPr>
              <w:pStyle w:val="TableText0"/>
              <w:jc w:val="center"/>
            </w:pPr>
            <w:r w:rsidRPr="00354F5E">
              <w:t>PBO + cDMARDs</w:t>
            </w:r>
          </w:p>
        </w:tc>
        <w:tc>
          <w:tcPr>
            <w:tcW w:w="543" w:type="pct"/>
            <w:vMerge/>
            <w:shd w:val="clear" w:color="auto" w:fill="auto"/>
            <w:vAlign w:val="center"/>
          </w:tcPr>
          <w:p w:rsidR="006A2B0C" w:rsidRPr="00354F5E" w:rsidRDefault="006A2B0C" w:rsidP="00D12336">
            <w:pPr>
              <w:pStyle w:val="TableText0"/>
              <w:jc w:val="center"/>
            </w:pPr>
          </w:p>
        </w:tc>
        <w:tc>
          <w:tcPr>
            <w:tcW w:w="827" w:type="pct"/>
            <w:vMerge/>
            <w:shd w:val="clear" w:color="auto" w:fill="auto"/>
            <w:vAlign w:val="center"/>
          </w:tcPr>
          <w:p w:rsidR="006A2B0C" w:rsidRPr="00354F5E" w:rsidRDefault="006A2B0C" w:rsidP="00D12336">
            <w:pPr>
              <w:pStyle w:val="TableText0"/>
              <w:jc w:val="center"/>
            </w:pPr>
          </w:p>
        </w:tc>
      </w:tr>
      <w:tr w:rsidR="006A2B0C" w:rsidRPr="00354F5E" w:rsidTr="00582E3E">
        <w:trPr>
          <w:cantSplit/>
          <w:trHeight w:val="210"/>
        </w:trPr>
        <w:tc>
          <w:tcPr>
            <w:tcW w:w="5000" w:type="pct"/>
            <w:gridSpan w:val="7"/>
            <w:shd w:val="clear" w:color="auto" w:fill="auto"/>
            <w:vAlign w:val="center"/>
          </w:tcPr>
          <w:p w:rsidR="006A2B0C" w:rsidRPr="00354F5E" w:rsidRDefault="006A2B0C" w:rsidP="00D12336">
            <w:pPr>
              <w:pStyle w:val="TableText0"/>
            </w:pPr>
            <w:r w:rsidRPr="00354F5E">
              <w:rPr>
                <w:b/>
              </w:rPr>
              <w:t>POPULATION: bDMARD-IR</w:t>
            </w:r>
          </w:p>
        </w:tc>
      </w:tr>
      <w:tr w:rsidR="00582E3E" w:rsidRPr="00354F5E" w:rsidTr="00E9001D">
        <w:trPr>
          <w:cantSplit/>
          <w:trHeight w:val="103"/>
        </w:trPr>
        <w:tc>
          <w:tcPr>
            <w:tcW w:w="481" w:type="pct"/>
            <w:vMerge w:val="restart"/>
            <w:shd w:val="clear" w:color="auto" w:fill="auto"/>
            <w:vAlign w:val="center"/>
          </w:tcPr>
          <w:p w:rsidR="006A2B0C" w:rsidRPr="00354F5E" w:rsidRDefault="006A2B0C" w:rsidP="00D12336">
            <w:pPr>
              <w:pStyle w:val="TableText0"/>
            </w:pPr>
            <w:r w:rsidRPr="00354F5E">
              <w:t>SELECT-PsA 2</w:t>
            </w:r>
          </w:p>
        </w:tc>
        <w:tc>
          <w:tcPr>
            <w:tcW w:w="269" w:type="pct"/>
            <w:vMerge w:val="restart"/>
            <w:shd w:val="clear" w:color="auto" w:fill="auto"/>
            <w:vAlign w:val="center"/>
          </w:tcPr>
          <w:p w:rsidR="006A2B0C" w:rsidRPr="00354F5E" w:rsidRDefault="006A2B0C" w:rsidP="00D12336">
            <w:pPr>
              <w:pStyle w:val="TableText0"/>
              <w:jc w:val="center"/>
            </w:pPr>
            <w:r w:rsidRPr="00354F5E">
              <w:t>423*</w:t>
            </w:r>
          </w:p>
        </w:tc>
        <w:tc>
          <w:tcPr>
            <w:tcW w:w="1213" w:type="pct"/>
            <w:vMerge w:val="restart"/>
            <w:shd w:val="clear" w:color="auto" w:fill="auto"/>
            <w:vAlign w:val="center"/>
          </w:tcPr>
          <w:p w:rsidR="006A2B0C" w:rsidRPr="00354F5E" w:rsidRDefault="006A2B0C" w:rsidP="00D12336">
            <w:pPr>
              <w:pStyle w:val="TableText0"/>
              <w:jc w:val="center"/>
            </w:pPr>
            <w:r w:rsidRPr="00354F5E">
              <w:t>P3, MC, R, DB 56wk, PC 24 wk; SOC rescue &gt;wk16</w:t>
            </w:r>
          </w:p>
        </w:tc>
        <w:tc>
          <w:tcPr>
            <w:tcW w:w="260" w:type="pct"/>
            <w:vMerge w:val="restart"/>
            <w:shd w:val="clear" w:color="auto" w:fill="auto"/>
            <w:vAlign w:val="center"/>
          </w:tcPr>
          <w:p w:rsidR="006A2B0C" w:rsidRPr="00354F5E" w:rsidRDefault="006A2B0C" w:rsidP="00D12336">
            <w:pPr>
              <w:pStyle w:val="TableText0"/>
              <w:jc w:val="center"/>
              <w:rPr>
                <w:i/>
              </w:rPr>
            </w:pPr>
            <w:r w:rsidRPr="00354F5E">
              <w:rPr>
                <w:i/>
              </w:rPr>
              <w:t>Low</w:t>
            </w:r>
          </w:p>
        </w:tc>
        <w:tc>
          <w:tcPr>
            <w:tcW w:w="1407" w:type="pct"/>
            <w:tcBorders>
              <w:bottom w:val="nil"/>
            </w:tcBorders>
            <w:shd w:val="clear" w:color="auto" w:fill="auto"/>
            <w:vAlign w:val="center"/>
          </w:tcPr>
          <w:p w:rsidR="006A2B0C" w:rsidRPr="00354F5E" w:rsidRDefault="006A2B0C" w:rsidP="00D12336">
            <w:pPr>
              <w:pStyle w:val="TableText0"/>
              <w:jc w:val="center"/>
            </w:pPr>
            <w:r w:rsidRPr="00354F5E">
              <w:t>UPA 15mg D ± cDMARDs</w:t>
            </w:r>
          </w:p>
        </w:tc>
        <w:tc>
          <w:tcPr>
            <w:tcW w:w="543" w:type="pct"/>
            <w:vMerge w:val="restart"/>
            <w:shd w:val="clear" w:color="auto" w:fill="auto"/>
            <w:vAlign w:val="center"/>
          </w:tcPr>
          <w:p w:rsidR="006A2B0C" w:rsidRPr="00354F5E" w:rsidRDefault="006A2B0C" w:rsidP="00D12336">
            <w:pPr>
              <w:pStyle w:val="TableText0"/>
              <w:jc w:val="center"/>
            </w:pPr>
            <w:r w:rsidRPr="00354F5E">
              <w:t>Active PsA bDMARD-IR</w:t>
            </w:r>
          </w:p>
        </w:tc>
        <w:tc>
          <w:tcPr>
            <w:tcW w:w="827" w:type="pct"/>
            <w:vMerge w:val="restart"/>
            <w:shd w:val="clear" w:color="auto" w:fill="auto"/>
            <w:vAlign w:val="center"/>
          </w:tcPr>
          <w:p w:rsidR="006A2B0C" w:rsidRPr="00354F5E" w:rsidRDefault="006A2B0C" w:rsidP="00D12336">
            <w:pPr>
              <w:pStyle w:val="TableText0"/>
              <w:jc w:val="center"/>
            </w:pPr>
            <w:r w:rsidRPr="00354F5E">
              <w:t>ACR20 Wk12</w:t>
            </w:r>
          </w:p>
        </w:tc>
      </w:tr>
      <w:tr w:rsidR="00582E3E" w:rsidRPr="00354F5E" w:rsidTr="00E9001D">
        <w:trPr>
          <w:cantSplit/>
          <w:trHeight w:val="60"/>
        </w:trPr>
        <w:tc>
          <w:tcPr>
            <w:tcW w:w="481" w:type="pct"/>
            <w:vMerge/>
            <w:shd w:val="clear" w:color="auto" w:fill="auto"/>
            <w:vAlign w:val="center"/>
          </w:tcPr>
          <w:p w:rsidR="006A2B0C" w:rsidRPr="00354F5E" w:rsidRDefault="006A2B0C" w:rsidP="00D12336">
            <w:pPr>
              <w:pStyle w:val="TableText0"/>
            </w:pPr>
          </w:p>
        </w:tc>
        <w:tc>
          <w:tcPr>
            <w:tcW w:w="269" w:type="pct"/>
            <w:vMerge/>
            <w:shd w:val="clear" w:color="auto" w:fill="auto"/>
            <w:vAlign w:val="center"/>
          </w:tcPr>
          <w:p w:rsidR="006A2B0C" w:rsidRPr="00354F5E" w:rsidRDefault="006A2B0C" w:rsidP="00D12336">
            <w:pPr>
              <w:pStyle w:val="TableText0"/>
              <w:jc w:val="center"/>
            </w:pPr>
          </w:p>
        </w:tc>
        <w:tc>
          <w:tcPr>
            <w:tcW w:w="1213" w:type="pct"/>
            <w:vMerge/>
            <w:shd w:val="clear" w:color="auto" w:fill="auto"/>
            <w:vAlign w:val="center"/>
          </w:tcPr>
          <w:p w:rsidR="006A2B0C" w:rsidRPr="00354F5E" w:rsidRDefault="006A2B0C" w:rsidP="00D12336">
            <w:pPr>
              <w:pStyle w:val="TableText0"/>
              <w:jc w:val="center"/>
            </w:pPr>
          </w:p>
        </w:tc>
        <w:tc>
          <w:tcPr>
            <w:tcW w:w="260" w:type="pct"/>
            <w:vMerge/>
            <w:shd w:val="clear" w:color="auto" w:fill="auto"/>
            <w:vAlign w:val="center"/>
          </w:tcPr>
          <w:p w:rsidR="006A2B0C" w:rsidRPr="00354F5E" w:rsidRDefault="006A2B0C" w:rsidP="00D12336">
            <w:pPr>
              <w:pStyle w:val="TableText0"/>
              <w:jc w:val="center"/>
            </w:pPr>
          </w:p>
        </w:tc>
        <w:tc>
          <w:tcPr>
            <w:tcW w:w="1407" w:type="pct"/>
            <w:tcBorders>
              <w:top w:val="nil"/>
            </w:tcBorders>
            <w:shd w:val="clear" w:color="auto" w:fill="auto"/>
            <w:vAlign w:val="center"/>
          </w:tcPr>
          <w:p w:rsidR="006A2B0C" w:rsidRPr="00354F5E" w:rsidRDefault="006A2B0C" w:rsidP="00D12336">
            <w:pPr>
              <w:pStyle w:val="TableText0"/>
              <w:jc w:val="center"/>
            </w:pPr>
            <w:r w:rsidRPr="00354F5E">
              <w:t>PBO ± cDMARDs</w:t>
            </w:r>
          </w:p>
        </w:tc>
        <w:tc>
          <w:tcPr>
            <w:tcW w:w="543" w:type="pct"/>
            <w:vMerge/>
            <w:shd w:val="clear" w:color="auto" w:fill="auto"/>
            <w:vAlign w:val="center"/>
          </w:tcPr>
          <w:p w:rsidR="006A2B0C" w:rsidRPr="00354F5E" w:rsidRDefault="006A2B0C" w:rsidP="00D12336">
            <w:pPr>
              <w:pStyle w:val="TableText0"/>
              <w:jc w:val="center"/>
            </w:pPr>
          </w:p>
        </w:tc>
        <w:tc>
          <w:tcPr>
            <w:tcW w:w="827" w:type="pct"/>
            <w:vMerge/>
            <w:shd w:val="clear" w:color="auto" w:fill="auto"/>
            <w:vAlign w:val="center"/>
          </w:tcPr>
          <w:p w:rsidR="006A2B0C" w:rsidRPr="00354F5E" w:rsidRDefault="006A2B0C" w:rsidP="00D12336">
            <w:pPr>
              <w:pStyle w:val="TableText0"/>
              <w:jc w:val="center"/>
            </w:pPr>
          </w:p>
        </w:tc>
      </w:tr>
      <w:tr w:rsidR="00582E3E" w:rsidRPr="00354F5E" w:rsidTr="00E9001D">
        <w:trPr>
          <w:cantSplit/>
          <w:trHeight w:val="83"/>
        </w:trPr>
        <w:tc>
          <w:tcPr>
            <w:tcW w:w="481" w:type="pct"/>
            <w:vMerge w:val="restart"/>
            <w:shd w:val="clear" w:color="auto" w:fill="auto"/>
            <w:vAlign w:val="center"/>
          </w:tcPr>
          <w:p w:rsidR="006A2B0C" w:rsidRPr="00354F5E" w:rsidRDefault="006A2B0C" w:rsidP="00D12336">
            <w:pPr>
              <w:pStyle w:val="TableText0"/>
            </w:pPr>
            <w:r w:rsidRPr="00354F5E">
              <w:t>OPAL-BEYOND</w:t>
            </w:r>
          </w:p>
        </w:tc>
        <w:tc>
          <w:tcPr>
            <w:tcW w:w="269" w:type="pct"/>
            <w:vMerge w:val="restart"/>
            <w:shd w:val="clear" w:color="auto" w:fill="auto"/>
            <w:vAlign w:val="center"/>
          </w:tcPr>
          <w:p w:rsidR="006A2B0C" w:rsidRPr="00354F5E" w:rsidRDefault="006A2B0C" w:rsidP="00D12336">
            <w:pPr>
              <w:pStyle w:val="TableText0"/>
              <w:jc w:val="center"/>
            </w:pPr>
            <w:r w:rsidRPr="00354F5E">
              <w:t>262*</w:t>
            </w:r>
          </w:p>
        </w:tc>
        <w:tc>
          <w:tcPr>
            <w:tcW w:w="1213" w:type="pct"/>
            <w:vMerge w:val="restart"/>
            <w:shd w:val="clear" w:color="auto" w:fill="auto"/>
            <w:vAlign w:val="center"/>
          </w:tcPr>
          <w:p w:rsidR="006A2B0C" w:rsidRPr="00354F5E" w:rsidRDefault="006A2B0C" w:rsidP="00D12336">
            <w:pPr>
              <w:pStyle w:val="TableText0"/>
              <w:jc w:val="center"/>
            </w:pPr>
            <w:r w:rsidRPr="00354F5E">
              <w:t>P3, MC, R, DB,6mth; PC 3mth; SOC rescue &gt;3mth</w:t>
            </w:r>
          </w:p>
        </w:tc>
        <w:tc>
          <w:tcPr>
            <w:tcW w:w="260" w:type="pct"/>
            <w:vMerge w:val="restart"/>
            <w:shd w:val="clear" w:color="auto" w:fill="auto"/>
            <w:vAlign w:val="center"/>
          </w:tcPr>
          <w:p w:rsidR="006A2B0C" w:rsidRPr="00354F5E" w:rsidRDefault="006A2B0C" w:rsidP="00D12336">
            <w:pPr>
              <w:pStyle w:val="TableText0"/>
              <w:jc w:val="center"/>
            </w:pPr>
            <w:r w:rsidRPr="00354F5E">
              <w:rPr>
                <w:i/>
              </w:rPr>
              <w:t>Low</w:t>
            </w:r>
          </w:p>
        </w:tc>
        <w:tc>
          <w:tcPr>
            <w:tcW w:w="1407" w:type="pct"/>
            <w:tcBorders>
              <w:bottom w:val="nil"/>
            </w:tcBorders>
            <w:shd w:val="clear" w:color="auto" w:fill="auto"/>
            <w:vAlign w:val="center"/>
          </w:tcPr>
          <w:p w:rsidR="006A2B0C" w:rsidRPr="00354F5E" w:rsidRDefault="006A2B0C" w:rsidP="00D12336">
            <w:pPr>
              <w:pStyle w:val="TableText0"/>
              <w:jc w:val="center"/>
            </w:pPr>
            <w:r w:rsidRPr="00354F5E">
              <w:t>TOF 5mg BD + cDMARDs</w:t>
            </w:r>
          </w:p>
        </w:tc>
        <w:tc>
          <w:tcPr>
            <w:tcW w:w="543" w:type="pct"/>
            <w:vMerge w:val="restart"/>
            <w:shd w:val="clear" w:color="auto" w:fill="auto"/>
            <w:vAlign w:val="center"/>
          </w:tcPr>
          <w:p w:rsidR="006A2B0C" w:rsidRPr="00354F5E" w:rsidRDefault="006A2B0C" w:rsidP="00D12336">
            <w:pPr>
              <w:pStyle w:val="TableText0"/>
              <w:jc w:val="center"/>
            </w:pPr>
            <w:r w:rsidRPr="00354F5E">
              <w:t>Active PsA bDMARD-IR</w:t>
            </w:r>
          </w:p>
        </w:tc>
        <w:tc>
          <w:tcPr>
            <w:tcW w:w="827" w:type="pct"/>
            <w:vMerge w:val="restart"/>
            <w:shd w:val="clear" w:color="auto" w:fill="auto"/>
            <w:vAlign w:val="center"/>
          </w:tcPr>
          <w:p w:rsidR="006A2B0C" w:rsidRPr="00354F5E" w:rsidRDefault="006A2B0C" w:rsidP="00D12336">
            <w:pPr>
              <w:pStyle w:val="TableText0"/>
              <w:jc w:val="center"/>
            </w:pPr>
            <w:r w:rsidRPr="00354F5E">
              <w:t>ACR20 3mth &amp;</w:t>
            </w:r>
          </w:p>
          <w:p w:rsidR="006A2B0C" w:rsidRPr="00354F5E" w:rsidRDefault="00582E3E" w:rsidP="00D12336">
            <w:pPr>
              <w:pStyle w:val="TableText0"/>
              <w:jc w:val="center"/>
            </w:pPr>
            <w:r w:rsidRPr="00354F5E">
              <w:t>Δ</w:t>
            </w:r>
            <w:r w:rsidR="006A2B0C" w:rsidRPr="00354F5E">
              <w:t>HAQ-DI</w:t>
            </w:r>
            <w:r w:rsidRPr="00354F5E">
              <w:t xml:space="preserve"> 3mth</w:t>
            </w:r>
          </w:p>
        </w:tc>
      </w:tr>
      <w:tr w:rsidR="00582E3E" w:rsidRPr="00354F5E" w:rsidTr="00E9001D">
        <w:trPr>
          <w:cantSplit/>
          <w:trHeight w:val="60"/>
        </w:trPr>
        <w:tc>
          <w:tcPr>
            <w:tcW w:w="481" w:type="pct"/>
            <w:vMerge/>
            <w:shd w:val="clear" w:color="auto" w:fill="auto"/>
            <w:vAlign w:val="center"/>
          </w:tcPr>
          <w:p w:rsidR="006A2B0C" w:rsidRPr="00354F5E" w:rsidRDefault="006A2B0C" w:rsidP="00D12336">
            <w:pPr>
              <w:pStyle w:val="TableText0"/>
            </w:pPr>
          </w:p>
        </w:tc>
        <w:tc>
          <w:tcPr>
            <w:tcW w:w="269" w:type="pct"/>
            <w:vMerge/>
            <w:shd w:val="clear" w:color="auto" w:fill="auto"/>
            <w:vAlign w:val="center"/>
          </w:tcPr>
          <w:p w:rsidR="006A2B0C" w:rsidRPr="00354F5E" w:rsidRDefault="006A2B0C" w:rsidP="00D12336">
            <w:pPr>
              <w:pStyle w:val="TableText0"/>
              <w:jc w:val="center"/>
            </w:pPr>
          </w:p>
        </w:tc>
        <w:tc>
          <w:tcPr>
            <w:tcW w:w="1213" w:type="pct"/>
            <w:vMerge/>
            <w:shd w:val="clear" w:color="auto" w:fill="auto"/>
            <w:vAlign w:val="center"/>
          </w:tcPr>
          <w:p w:rsidR="006A2B0C" w:rsidRPr="00354F5E" w:rsidRDefault="006A2B0C" w:rsidP="00D12336">
            <w:pPr>
              <w:pStyle w:val="TableText0"/>
              <w:jc w:val="center"/>
            </w:pPr>
          </w:p>
        </w:tc>
        <w:tc>
          <w:tcPr>
            <w:tcW w:w="260" w:type="pct"/>
            <w:vMerge/>
            <w:shd w:val="clear" w:color="auto" w:fill="auto"/>
            <w:vAlign w:val="center"/>
          </w:tcPr>
          <w:p w:rsidR="006A2B0C" w:rsidRPr="00354F5E" w:rsidRDefault="006A2B0C" w:rsidP="00D12336">
            <w:pPr>
              <w:pStyle w:val="TableText0"/>
              <w:jc w:val="center"/>
              <w:rPr>
                <w:i/>
                <w:highlight w:val="yellow"/>
              </w:rPr>
            </w:pPr>
          </w:p>
        </w:tc>
        <w:tc>
          <w:tcPr>
            <w:tcW w:w="1407" w:type="pct"/>
            <w:tcBorders>
              <w:top w:val="nil"/>
            </w:tcBorders>
            <w:shd w:val="clear" w:color="auto" w:fill="auto"/>
            <w:vAlign w:val="center"/>
          </w:tcPr>
          <w:p w:rsidR="006A2B0C" w:rsidRPr="00354F5E" w:rsidRDefault="006A2B0C" w:rsidP="00D12336">
            <w:pPr>
              <w:pStyle w:val="TableText0"/>
              <w:jc w:val="center"/>
            </w:pPr>
            <w:r w:rsidRPr="00354F5E">
              <w:t>PBO + cDMARDs</w:t>
            </w:r>
          </w:p>
        </w:tc>
        <w:tc>
          <w:tcPr>
            <w:tcW w:w="543" w:type="pct"/>
            <w:vMerge/>
            <w:shd w:val="clear" w:color="auto" w:fill="auto"/>
            <w:vAlign w:val="center"/>
          </w:tcPr>
          <w:p w:rsidR="006A2B0C" w:rsidRPr="00354F5E" w:rsidRDefault="006A2B0C" w:rsidP="00D12336">
            <w:pPr>
              <w:pStyle w:val="TableText0"/>
              <w:jc w:val="center"/>
            </w:pPr>
          </w:p>
        </w:tc>
        <w:tc>
          <w:tcPr>
            <w:tcW w:w="827" w:type="pct"/>
            <w:vMerge/>
            <w:shd w:val="clear" w:color="auto" w:fill="auto"/>
            <w:vAlign w:val="center"/>
          </w:tcPr>
          <w:p w:rsidR="006A2B0C" w:rsidRPr="00354F5E" w:rsidRDefault="006A2B0C" w:rsidP="00D12336">
            <w:pPr>
              <w:pStyle w:val="TableText0"/>
              <w:jc w:val="center"/>
            </w:pPr>
          </w:p>
        </w:tc>
      </w:tr>
    </w:tbl>
    <w:p w:rsidR="006A2B0C" w:rsidRPr="00354F5E" w:rsidRDefault="006A2B0C" w:rsidP="00D12336">
      <w:pPr>
        <w:pStyle w:val="TableFigureFooter"/>
      </w:pPr>
      <w:r w:rsidRPr="00354F5E">
        <w:t>Source: Table 2-7, pp46-49, text on pp38-45 of the submission and related publications/CSRs.</w:t>
      </w:r>
    </w:p>
    <w:p w:rsidR="006A2B0C" w:rsidRPr="00354F5E" w:rsidRDefault="006A2B0C" w:rsidP="00D12336">
      <w:pPr>
        <w:pStyle w:val="TableFigureFooter"/>
      </w:pPr>
      <w:r w:rsidRPr="00354F5E">
        <w:t>P3=phase 3; DB=double blind; DD=double dummy; MC=multi-centre; R=randomised; PC=placebo-controlled; AC=active control; SOC=standard-of-care; wk=week; ACR20= ≥20% improvement on the American College of Rheumatology response criteria; UPA=upadacitinib; TOF=tofacitinib; ADA=adalimumab; PBO=placebo; D=once daily; Q2W=once every 2weeks; BD=twice daily; c/bDMARD=conventional/biologic disease-modifying anti-rheumatic drug; IR=inadequate response; HAQ-DI= Health Assessment Questionnaire-Disability Index</w:t>
      </w:r>
      <w:r w:rsidR="00AE3BC0" w:rsidRPr="00354F5E">
        <w:t>; Δ = change from baseline</w:t>
      </w:r>
      <w:r w:rsidRPr="00354F5E">
        <w:t>.</w:t>
      </w:r>
    </w:p>
    <w:p w:rsidR="006A2B0C" w:rsidRPr="00354F5E" w:rsidRDefault="006A2B0C" w:rsidP="00D12336">
      <w:pPr>
        <w:pStyle w:val="TableFigureFooter"/>
      </w:pPr>
      <w:r w:rsidRPr="00354F5E">
        <w:t>* excluding patients randomised to UPA 30mg or TOF 10mg treatment arms.</w:t>
      </w:r>
    </w:p>
    <w:p w:rsidR="009D3EDF" w:rsidRPr="00354F5E" w:rsidRDefault="009D3EDF" w:rsidP="00D12336">
      <w:pPr>
        <w:pStyle w:val="3-BodyText"/>
      </w:pPr>
      <w:r w:rsidRPr="00354F5E">
        <w:t xml:space="preserve">All trials were phase 3, multicentre, randomised, placebo and/or active controlled, with a double-blind phase of at least 12 weeks. Patients had severe active PsA, no prior exposure to JAK inhibitors and were required to have experienced inadequate response to cDMARDs or bDMARDs. </w:t>
      </w:r>
      <w:r w:rsidR="00444B5D" w:rsidRPr="00354F5E">
        <w:t>Aside from prior treatment</w:t>
      </w:r>
      <w:r w:rsidR="006232A8" w:rsidRPr="00354F5E">
        <w:t xml:space="preserve"> failure</w:t>
      </w:r>
      <w:r w:rsidR="00444B5D" w:rsidRPr="00354F5E">
        <w:t>, t</w:t>
      </w:r>
      <w:r w:rsidRPr="00354F5E">
        <w:t xml:space="preserve">he selection criteria were similar across the trials and patient characteristics </w:t>
      </w:r>
      <w:r w:rsidR="00BF3223" w:rsidRPr="00354F5E">
        <w:t xml:space="preserve">at baseline </w:t>
      </w:r>
      <w:r w:rsidRPr="00354F5E">
        <w:t>were generally balanced across treatment arms and similar across trials.</w:t>
      </w:r>
      <w:r w:rsidR="00BF3223" w:rsidRPr="00354F5E">
        <w:t xml:space="preserve"> A key difference across the trials was the use of concomitant cDMARDs during the trial period, with use being mandatory in the TOF trials and optional in the UPA trials (~80% received concomitant cDMARDs).</w:t>
      </w:r>
    </w:p>
    <w:p w:rsidR="000E55F3" w:rsidRPr="00354F5E" w:rsidRDefault="000E55F3" w:rsidP="00D12336">
      <w:pPr>
        <w:pStyle w:val="3-BodyText"/>
      </w:pPr>
      <w:r w:rsidRPr="00354F5E">
        <w:t>The primary endpoint in all trials was American College of Rheumatology (ACR) 20% response criteria (ACR20) at Week 12/3 months and a co-primary endpoint of change from baseline to 3 months in Health Assessment Questionnaire Disability Index (HAQ-DI) for the OPAL-BROADEN and OPAL-BEYOND trials. Rescue therapy with local standard of care was allowed after the primary endpoint in all trials, from week 12 (OPAL-BROADEN, OPAL-BEYOND) or week 16 (SELECT PsA 1 and SELECT PsA 2). Patients who received rescue therapy were considered non-responders for categorical endpoints. The overall risk of bias was low across the trials for primary and secondary endpoints at Week 12 / 3 months.</w:t>
      </w:r>
    </w:p>
    <w:p w:rsidR="00DD487C" w:rsidRPr="00354F5E" w:rsidRDefault="000E55F3" w:rsidP="00D12336">
      <w:pPr>
        <w:pStyle w:val="3-BodyText"/>
        <w:rPr>
          <w:rFonts w:ascii="Arial Narrow" w:hAnsi="Arial Narrow"/>
          <w:b/>
          <w:sz w:val="20"/>
        </w:rPr>
      </w:pPr>
      <w:r w:rsidRPr="00354F5E">
        <w:t>Both SELECT-PsA 1 and OPAL-BROADEN included ADA as an active control arm, but the OPAL-BROADEN trial was not designed (or powered) to evaluate the non-inferiority or superiority of TOF versus ADA. In contrast, the statistical analysis plan for SELECT-PsA 1 included (multiplicity-controlled) secondary analyses to test non-</w:t>
      </w:r>
      <w:r w:rsidRPr="00354F5E">
        <w:lastRenderedPageBreak/>
        <w:t>inferiority and superiority of UPA versus ADA for ACR20 (and superiority for other outcomes). The sample size in SELECT-PsA 1 provided at least 85% power for evaluating non-inferiority of UPA versus ADA in ACR20 response at Week 12 (assuming 50% response rates for UPA and ADA, and 30% response rates for PBO).</w:t>
      </w:r>
    </w:p>
    <w:p w:rsidR="00B60939" w:rsidRPr="00354F5E" w:rsidRDefault="00B60939" w:rsidP="00D12336">
      <w:pPr>
        <w:pStyle w:val="4-SubsectionHeading"/>
        <w:rPr>
          <w:i w:val="0"/>
        </w:rPr>
      </w:pPr>
      <w:bookmarkStart w:id="12" w:name="_Toc22897641"/>
      <w:bookmarkStart w:id="13" w:name="_Toc62029189"/>
      <w:r w:rsidRPr="00354F5E">
        <w:rPr>
          <w:i w:val="0"/>
        </w:rPr>
        <w:t>Comparative effectiveness</w:t>
      </w:r>
      <w:bookmarkEnd w:id="12"/>
      <w:bookmarkEnd w:id="13"/>
    </w:p>
    <w:p w:rsidR="002E0AD4" w:rsidRPr="00354F5E" w:rsidRDefault="00C5531C" w:rsidP="00D12336">
      <w:pPr>
        <w:pStyle w:val="3-BodyText"/>
        <w:rPr>
          <w:iCs/>
        </w:rPr>
      </w:pPr>
      <w:r w:rsidRPr="00354F5E">
        <w:rPr>
          <w:iCs/>
        </w:rPr>
        <w:t xml:space="preserve">Under PBS </w:t>
      </w:r>
      <w:r w:rsidR="0095743F" w:rsidRPr="00354F5E">
        <w:rPr>
          <w:iCs/>
        </w:rPr>
        <w:t>criteria</w:t>
      </w:r>
      <w:r w:rsidRPr="00354F5E">
        <w:rPr>
          <w:iCs/>
        </w:rPr>
        <w:t>, continued treatment is dependent on demonstrating and maintaining response to therapy, assessed after a minimum of 12 weeks following initiation (and every 24 weeks ongoing thereafter). The response criteria are a composite outcome requiring a 50% improvement from baseline in tender joint counts (TJC) and swollen joint counts (SJC), and 20% (or below absolute thresholds) improvement in acute phase reactants erythrocyte sedimentation rate (ESR) or C-reactive protein (CRP).</w:t>
      </w:r>
    </w:p>
    <w:p w:rsidR="002C2775" w:rsidRPr="00354F5E" w:rsidRDefault="00C5531C" w:rsidP="00D12336">
      <w:pPr>
        <w:pStyle w:val="3-BodyText"/>
        <w:rPr>
          <w:iCs/>
        </w:rPr>
      </w:pPr>
      <w:r w:rsidRPr="00354F5E">
        <w:rPr>
          <w:iCs/>
        </w:rPr>
        <w:t>The response criteria on the PBS are similar to the ACR 50% and 20% response criteria</w:t>
      </w:r>
      <w:r w:rsidR="002E0AD4" w:rsidRPr="00354F5E">
        <w:rPr>
          <w:iCs/>
        </w:rPr>
        <w:t xml:space="preserve">, which </w:t>
      </w:r>
      <w:r w:rsidR="00B42BDD" w:rsidRPr="00354F5E">
        <w:rPr>
          <w:iCs/>
        </w:rPr>
        <w:t xml:space="preserve">were primary and secondary outcomes </w:t>
      </w:r>
      <w:r w:rsidR="00A134EC" w:rsidRPr="00354F5E">
        <w:rPr>
          <w:iCs/>
        </w:rPr>
        <w:t>at Week 12 / 3 months in</w:t>
      </w:r>
      <w:r w:rsidR="00B42BDD" w:rsidRPr="00354F5E">
        <w:rPr>
          <w:iCs/>
        </w:rPr>
        <w:t xml:space="preserve"> the included trials</w:t>
      </w:r>
      <w:r w:rsidRPr="00354F5E">
        <w:rPr>
          <w:iCs/>
        </w:rPr>
        <w:t>.</w:t>
      </w:r>
      <w:r w:rsidR="002E0AD4" w:rsidRPr="00354F5E">
        <w:rPr>
          <w:iCs/>
        </w:rPr>
        <w:t xml:space="preserve"> </w:t>
      </w:r>
      <w:r w:rsidR="00A134EC" w:rsidRPr="00354F5E">
        <w:t xml:space="preserve">Assessment of response at Week 12 / 3 months corresponds with assessment of response to initial treatment on the PBS. </w:t>
      </w:r>
      <w:r w:rsidR="002E0AD4" w:rsidRPr="00354F5E">
        <w:t xml:space="preserve">The PBAC </w:t>
      </w:r>
      <w:r w:rsidR="00B42BDD" w:rsidRPr="00354F5E">
        <w:t xml:space="preserve">had previously considered that ACR50 was more relevant than ACR20 because it better reflected the PBS criteria for response to initial therapy; </w:t>
      </w:r>
      <w:r w:rsidR="00E93363" w:rsidRPr="00354F5E">
        <w:t xml:space="preserve">but ACR20 had also been used to support non-inferiority </w:t>
      </w:r>
      <w:r w:rsidR="00B42BDD" w:rsidRPr="00354F5E">
        <w:t>(</w:t>
      </w:r>
      <w:r w:rsidR="00E93363" w:rsidRPr="00354F5E">
        <w:t>paragraph 6.8,</w:t>
      </w:r>
      <w:r w:rsidR="00B42BDD" w:rsidRPr="00354F5E">
        <w:t xml:space="preserve"> </w:t>
      </w:r>
      <w:r w:rsidR="00395809" w:rsidRPr="00354F5E">
        <w:t>t</w:t>
      </w:r>
      <w:r w:rsidR="00E93363" w:rsidRPr="00354F5E">
        <w:t>ofacitinib PSD Nov 2018; paragraph</w:t>
      </w:r>
      <w:r w:rsidR="00A134EC" w:rsidRPr="00354F5E">
        <w:t xml:space="preserve"> 6.10, ixekizumab PSD, July 2018</w:t>
      </w:r>
      <w:r w:rsidR="00E93363" w:rsidRPr="00354F5E">
        <w:t>).</w:t>
      </w:r>
    </w:p>
    <w:p w:rsidR="00444B5D" w:rsidRPr="00354F5E" w:rsidRDefault="00C5531C" w:rsidP="00D12336">
      <w:pPr>
        <w:pStyle w:val="3-BodyText"/>
      </w:pPr>
      <w:r w:rsidRPr="00354F5E">
        <w:t>The submission presented indirect treatment comparisons</w:t>
      </w:r>
      <w:r w:rsidR="00AE0FFA" w:rsidRPr="00354F5E">
        <w:t xml:space="preserve"> </w:t>
      </w:r>
      <w:r w:rsidR="00CD363C" w:rsidRPr="00354F5E">
        <w:t>by prior treatment failure</w:t>
      </w:r>
      <w:r w:rsidR="00976C01" w:rsidRPr="00354F5E">
        <w:t xml:space="preserve"> </w:t>
      </w:r>
      <w:r w:rsidR="00CD363C" w:rsidRPr="00354F5E">
        <w:t xml:space="preserve">for ACR50 and ACR20 at Week 12 / 3 months </w:t>
      </w:r>
      <w:r w:rsidR="00D41F04" w:rsidRPr="00354F5E">
        <w:t xml:space="preserve">using </w:t>
      </w:r>
      <w:r w:rsidR="000329BC" w:rsidRPr="00354F5E">
        <w:t>a</w:t>
      </w:r>
      <w:r w:rsidR="00560AAD" w:rsidRPr="00354F5E">
        <w:t xml:space="preserve"> </w:t>
      </w:r>
      <w:r w:rsidR="00D41F04" w:rsidRPr="00354F5E">
        <w:t xml:space="preserve">standard frequentist </w:t>
      </w:r>
      <w:r w:rsidR="00560AAD" w:rsidRPr="00354F5E">
        <w:t xml:space="preserve">approach </w:t>
      </w:r>
      <w:r w:rsidR="00CD363C" w:rsidRPr="00354F5E">
        <w:t>(</w:t>
      </w:r>
      <w:r w:rsidR="00D41F04" w:rsidRPr="00354F5E">
        <w:t>as described by Bucher et al 1997)</w:t>
      </w:r>
      <w:r w:rsidR="00CD363C" w:rsidRPr="00354F5E">
        <w:t xml:space="preserve">, summarised in Tables </w:t>
      </w:r>
      <w:r w:rsidR="00C15855" w:rsidRPr="00354F5E">
        <w:t xml:space="preserve">4 </w:t>
      </w:r>
      <w:r w:rsidR="00CD363C" w:rsidRPr="00354F5E">
        <w:t xml:space="preserve">and </w:t>
      </w:r>
      <w:r w:rsidR="00C15855" w:rsidRPr="00354F5E">
        <w:t xml:space="preserve">5 </w:t>
      </w:r>
      <w:r w:rsidR="00CD363C" w:rsidRPr="00354F5E">
        <w:t>respectively.</w:t>
      </w:r>
      <w:r w:rsidR="00560AAD" w:rsidRPr="00354F5E">
        <w:t xml:space="preserve"> </w:t>
      </w:r>
      <w:r w:rsidR="00444B5D" w:rsidRPr="00354F5E">
        <w:t>The submission nominated non-inferiority margins of 0.29 for ACR50 and 0.46 for ACR20 using the relative risk (RR) statistic</w:t>
      </w:r>
      <w:r w:rsidR="00560AAD" w:rsidRPr="00354F5E">
        <w:t>, where non-inferiority was concluded if</w:t>
      </w:r>
      <w:r w:rsidR="00444B5D" w:rsidRPr="00354F5E">
        <w:t xml:space="preserve"> the lower bound of the 95% CI was larger than </w:t>
      </w:r>
      <w:r w:rsidR="00560AAD" w:rsidRPr="00354F5E">
        <w:t>the nominated margin.</w:t>
      </w:r>
      <w:r w:rsidR="00444B5D" w:rsidRPr="00354F5E">
        <w:t xml:space="preserve"> The PBAC has considered the same non-inferiority margins in past decisions (paragraph 6.14, ixekizumab PSD, July 2018; paragraph 6.9, tofacitinib PSD, November 2018).</w:t>
      </w:r>
    </w:p>
    <w:p w:rsidR="006E0501" w:rsidRDefault="006E0501">
      <w:pPr>
        <w:jc w:val="left"/>
        <w:rPr>
          <w:rStyle w:val="CommentReference"/>
          <w:snapToGrid w:val="0"/>
          <w:szCs w:val="24"/>
        </w:rPr>
      </w:pPr>
      <w:r>
        <w:rPr>
          <w:rStyle w:val="CommentReference"/>
          <w:szCs w:val="24"/>
        </w:rPr>
        <w:br w:type="page"/>
      </w:r>
    </w:p>
    <w:p w:rsidR="00CD363C" w:rsidRPr="00354F5E" w:rsidRDefault="00CD363C" w:rsidP="00D12336">
      <w:pPr>
        <w:pStyle w:val="3-BodyText"/>
        <w:numPr>
          <w:ilvl w:val="0"/>
          <w:numId w:val="0"/>
        </w:numPr>
        <w:spacing w:after="0"/>
        <w:rPr>
          <w:rStyle w:val="CommentReference"/>
          <w:b w:val="0"/>
          <w:szCs w:val="24"/>
        </w:rPr>
      </w:pPr>
      <w:r w:rsidRPr="00354F5E">
        <w:rPr>
          <w:rStyle w:val="CommentReference"/>
          <w:szCs w:val="24"/>
        </w:rPr>
        <w:lastRenderedPageBreak/>
        <w:t xml:space="preserve">Table </w:t>
      </w:r>
      <w:r w:rsidR="00C15855" w:rsidRPr="00354F5E">
        <w:rPr>
          <w:rStyle w:val="CommentReference"/>
          <w:szCs w:val="24"/>
        </w:rPr>
        <w:t>4</w:t>
      </w:r>
      <w:r w:rsidRPr="00354F5E">
        <w:rPr>
          <w:rStyle w:val="CommentReference"/>
          <w:szCs w:val="24"/>
        </w:rPr>
        <w:t>: ACR50 response at Week 12 / 3 months at recommended doses of UPA 15mg D, TOF 5mg BD and ADA 40mg Q2W, and indirect comparisons presented by the submission</w:t>
      </w:r>
    </w:p>
    <w:tbl>
      <w:tblPr>
        <w:tblStyle w:val="TableGrid"/>
        <w:tblW w:w="5000" w:type="pct"/>
        <w:tblCellMar>
          <w:left w:w="28" w:type="dxa"/>
          <w:right w:w="28" w:type="dxa"/>
        </w:tblCellMar>
        <w:tblLook w:val="04A0" w:firstRow="1" w:lastRow="0" w:firstColumn="1" w:lastColumn="0" w:noHBand="0" w:noVBand="1"/>
        <w:tblCaption w:val="Table 4: ACR50 response at Week 12 / 3 months at recommended doses of UPA 15mg D, TOF 5mg BD and ADA 40mg Q2W, and indirect comparisons presented by the submission"/>
      </w:tblPr>
      <w:tblGrid>
        <w:gridCol w:w="1783"/>
        <w:gridCol w:w="1287"/>
        <w:gridCol w:w="1450"/>
        <w:gridCol w:w="1448"/>
        <w:gridCol w:w="1607"/>
        <w:gridCol w:w="1452"/>
      </w:tblGrid>
      <w:tr w:rsidR="00CD363C" w:rsidRPr="00354F5E" w:rsidTr="00CD363C">
        <w:trPr>
          <w:trHeight w:val="256"/>
          <w:tblHeader/>
        </w:trPr>
        <w:tc>
          <w:tcPr>
            <w:tcW w:w="988" w:type="pct"/>
            <w:tcBorders>
              <w:left w:val="nil"/>
              <w:bottom w:val="single" w:sz="4" w:space="0" w:color="auto"/>
              <w:right w:val="nil"/>
            </w:tcBorders>
            <w:vAlign w:val="center"/>
          </w:tcPr>
          <w:p w:rsidR="00CD363C" w:rsidRPr="00354F5E" w:rsidRDefault="00CD363C" w:rsidP="00D12336">
            <w:pPr>
              <w:jc w:val="left"/>
              <w:rPr>
                <w:rFonts w:ascii="Arial Narrow" w:hAnsi="Arial Narrow"/>
                <w:b/>
                <w:bCs/>
                <w:sz w:val="20"/>
                <w:szCs w:val="20"/>
              </w:rPr>
            </w:pPr>
            <w:r w:rsidRPr="00354F5E">
              <w:rPr>
                <w:rFonts w:ascii="Arial Narrow" w:hAnsi="Arial Narrow"/>
                <w:b/>
                <w:bCs/>
                <w:sz w:val="20"/>
                <w:szCs w:val="20"/>
              </w:rPr>
              <w:t>Trial</w:t>
            </w:r>
          </w:p>
        </w:tc>
        <w:tc>
          <w:tcPr>
            <w:tcW w:w="713" w:type="pct"/>
            <w:tcBorders>
              <w:left w:val="nil"/>
              <w:bottom w:val="single" w:sz="4" w:space="0" w:color="auto"/>
              <w:right w:val="nil"/>
            </w:tcBorders>
            <w:vAlign w:val="center"/>
          </w:tcPr>
          <w:p w:rsidR="00CD363C" w:rsidRPr="00354F5E" w:rsidRDefault="00CD363C" w:rsidP="00D12336">
            <w:pPr>
              <w:jc w:val="center"/>
              <w:rPr>
                <w:rFonts w:ascii="Arial Narrow" w:hAnsi="Arial Narrow"/>
                <w:b/>
                <w:bCs/>
                <w:sz w:val="20"/>
                <w:szCs w:val="20"/>
              </w:rPr>
            </w:pPr>
            <w:r w:rsidRPr="00354F5E">
              <w:rPr>
                <w:rFonts w:ascii="Arial Narrow" w:hAnsi="Arial Narrow"/>
                <w:b/>
                <w:bCs/>
                <w:sz w:val="20"/>
                <w:szCs w:val="20"/>
              </w:rPr>
              <w:t>Drug, n/N (%)</w:t>
            </w:r>
          </w:p>
        </w:tc>
        <w:tc>
          <w:tcPr>
            <w:tcW w:w="803" w:type="pct"/>
            <w:tcBorders>
              <w:left w:val="nil"/>
              <w:bottom w:val="single" w:sz="4" w:space="0" w:color="auto"/>
              <w:right w:val="nil"/>
            </w:tcBorders>
            <w:vAlign w:val="center"/>
          </w:tcPr>
          <w:p w:rsidR="00CD363C" w:rsidRPr="00354F5E" w:rsidRDefault="00CD363C" w:rsidP="00D12336">
            <w:pPr>
              <w:jc w:val="center"/>
              <w:rPr>
                <w:rFonts w:ascii="Arial Narrow" w:hAnsi="Arial Narrow"/>
                <w:b/>
                <w:bCs/>
                <w:sz w:val="20"/>
                <w:szCs w:val="20"/>
              </w:rPr>
            </w:pPr>
            <w:r w:rsidRPr="00354F5E">
              <w:rPr>
                <w:rFonts w:ascii="Arial Narrow" w:hAnsi="Arial Narrow"/>
                <w:b/>
                <w:bCs/>
                <w:sz w:val="20"/>
                <w:szCs w:val="20"/>
              </w:rPr>
              <w:t>Control, n/N (%)</w:t>
            </w:r>
          </w:p>
        </w:tc>
        <w:tc>
          <w:tcPr>
            <w:tcW w:w="802" w:type="pct"/>
            <w:tcBorders>
              <w:left w:val="nil"/>
              <w:bottom w:val="single" w:sz="4" w:space="0" w:color="auto"/>
              <w:right w:val="nil"/>
            </w:tcBorders>
            <w:vAlign w:val="center"/>
          </w:tcPr>
          <w:p w:rsidR="00CD363C" w:rsidRPr="00354F5E" w:rsidRDefault="00CD363C" w:rsidP="00D12336">
            <w:pPr>
              <w:jc w:val="center"/>
              <w:rPr>
                <w:rFonts w:ascii="Arial Narrow" w:hAnsi="Arial Narrow"/>
                <w:b/>
                <w:bCs/>
                <w:sz w:val="20"/>
                <w:szCs w:val="20"/>
              </w:rPr>
            </w:pPr>
            <w:r w:rsidRPr="00354F5E">
              <w:rPr>
                <w:rFonts w:ascii="Arial Narrow" w:hAnsi="Arial Narrow"/>
                <w:b/>
                <w:bCs/>
                <w:sz w:val="20"/>
                <w:szCs w:val="20"/>
              </w:rPr>
              <w:t>OR (95%CI)</w:t>
            </w:r>
          </w:p>
        </w:tc>
        <w:tc>
          <w:tcPr>
            <w:tcW w:w="890" w:type="pct"/>
            <w:tcBorders>
              <w:left w:val="nil"/>
              <w:bottom w:val="single" w:sz="4" w:space="0" w:color="auto"/>
              <w:right w:val="nil"/>
            </w:tcBorders>
            <w:vAlign w:val="center"/>
          </w:tcPr>
          <w:p w:rsidR="00CD363C" w:rsidRPr="00354F5E" w:rsidRDefault="00CD363C" w:rsidP="00D12336">
            <w:pPr>
              <w:jc w:val="center"/>
              <w:rPr>
                <w:rFonts w:ascii="Arial Narrow" w:hAnsi="Arial Narrow"/>
                <w:b/>
                <w:bCs/>
                <w:sz w:val="20"/>
                <w:szCs w:val="20"/>
              </w:rPr>
            </w:pPr>
            <w:r w:rsidRPr="00354F5E">
              <w:rPr>
                <w:rFonts w:ascii="Arial Narrow" w:hAnsi="Arial Narrow"/>
                <w:b/>
                <w:bCs/>
                <w:sz w:val="20"/>
                <w:szCs w:val="20"/>
              </w:rPr>
              <w:t>RR (95% CI)</w:t>
            </w:r>
          </w:p>
        </w:tc>
        <w:tc>
          <w:tcPr>
            <w:tcW w:w="804" w:type="pct"/>
            <w:tcBorders>
              <w:left w:val="nil"/>
              <w:bottom w:val="single" w:sz="4" w:space="0" w:color="auto"/>
              <w:right w:val="nil"/>
            </w:tcBorders>
            <w:vAlign w:val="center"/>
          </w:tcPr>
          <w:p w:rsidR="00CD363C" w:rsidRPr="00354F5E" w:rsidRDefault="00CD363C" w:rsidP="00D12336">
            <w:pPr>
              <w:jc w:val="center"/>
              <w:rPr>
                <w:rFonts w:ascii="Arial Narrow" w:hAnsi="Arial Narrow"/>
                <w:b/>
                <w:bCs/>
                <w:sz w:val="20"/>
                <w:szCs w:val="20"/>
              </w:rPr>
            </w:pPr>
            <w:r w:rsidRPr="00354F5E">
              <w:rPr>
                <w:rFonts w:ascii="Arial Narrow" w:hAnsi="Arial Narrow"/>
                <w:b/>
                <w:bCs/>
                <w:sz w:val="20"/>
                <w:szCs w:val="20"/>
              </w:rPr>
              <w:t>RD (95%CI)</w:t>
            </w:r>
          </w:p>
        </w:tc>
      </w:tr>
      <w:tr w:rsidR="00CD363C" w:rsidRPr="00354F5E" w:rsidTr="00CD363C">
        <w:trPr>
          <w:trHeight w:val="218"/>
        </w:trPr>
        <w:tc>
          <w:tcPr>
            <w:tcW w:w="2504" w:type="pct"/>
            <w:gridSpan w:val="3"/>
            <w:tcBorders>
              <w:left w:val="nil"/>
              <w:bottom w:val="nil"/>
              <w:right w:val="nil"/>
            </w:tcBorders>
            <w:vAlign w:val="center"/>
          </w:tcPr>
          <w:p w:rsidR="00CD363C" w:rsidRPr="00354F5E" w:rsidRDefault="00CD363C" w:rsidP="00D12336">
            <w:pPr>
              <w:rPr>
                <w:rFonts w:ascii="Arial Narrow" w:hAnsi="Arial Narrow"/>
                <w:b/>
                <w:bCs/>
                <w:color w:val="76923C" w:themeColor="accent3" w:themeShade="BF"/>
                <w:sz w:val="20"/>
                <w:szCs w:val="20"/>
                <w:u w:val="single"/>
              </w:rPr>
            </w:pPr>
            <w:r w:rsidRPr="00354F5E">
              <w:rPr>
                <w:rFonts w:ascii="Arial Narrow" w:hAnsi="Arial Narrow"/>
                <w:b/>
                <w:bCs/>
                <w:color w:val="76923C" w:themeColor="accent3" w:themeShade="BF"/>
                <w:sz w:val="20"/>
                <w:szCs w:val="20"/>
                <w:u w:val="single"/>
              </w:rPr>
              <w:t>cDMARD-IR population</w:t>
            </w:r>
          </w:p>
        </w:tc>
        <w:tc>
          <w:tcPr>
            <w:tcW w:w="802" w:type="pct"/>
            <w:tcBorders>
              <w:left w:val="nil"/>
              <w:bottom w:val="nil"/>
              <w:right w:val="nil"/>
            </w:tcBorders>
            <w:vAlign w:val="center"/>
          </w:tcPr>
          <w:p w:rsidR="00CD363C" w:rsidRPr="00354F5E" w:rsidRDefault="00CD363C" w:rsidP="00D12336">
            <w:pPr>
              <w:jc w:val="center"/>
              <w:rPr>
                <w:rFonts w:ascii="Arial Narrow" w:hAnsi="Arial Narrow"/>
                <w:iCs/>
                <w:sz w:val="20"/>
                <w:szCs w:val="20"/>
              </w:rPr>
            </w:pPr>
          </w:p>
        </w:tc>
        <w:tc>
          <w:tcPr>
            <w:tcW w:w="890" w:type="pct"/>
            <w:tcBorders>
              <w:left w:val="nil"/>
              <w:bottom w:val="nil"/>
              <w:right w:val="nil"/>
            </w:tcBorders>
            <w:vAlign w:val="center"/>
          </w:tcPr>
          <w:p w:rsidR="00CD363C" w:rsidRPr="00354F5E" w:rsidRDefault="00CD363C" w:rsidP="00D12336">
            <w:pPr>
              <w:jc w:val="center"/>
              <w:rPr>
                <w:rFonts w:ascii="Arial Narrow" w:hAnsi="Arial Narrow"/>
                <w:iCs/>
                <w:sz w:val="20"/>
                <w:szCs w:val="20"/>
              </w:rPr>
            </w:pPr>
          </w:p>
        </w:tc>
        <w:tc>
          <w:tcPr>
            <w:tcW w:w="804" w:type="pct"/>
            <w:tcBorders>
              <w:left w:val="nil"/>
              <w:bottom w:val="nil"/>
              <w:right w:val="nil"/>
            </w:tcBorders>
            <w:vAlign w:val="center"/>
          </w:tcPr>
          <w:p w:rsidR="00CD363C" w:rsidRPr="00354F5E" w:rsidRDefault="00CD363C" w:rsidP="00D12336">
            <w:pPr>
              <w:jc w:val="center"/>
              <w:rPr>
                <w:rFonts w:ascii="Arial Narrow" w:hAnsi="Arial Narrow"/>
                <w:iCs/>
                <w:sz w:val="20"/>
                <w:szCs w:val="20"/>
              </w:rPr>
            </w:pPr>
          </w:p>
        </w:tc>
      </w:tr>
      <w:tr w:rsidR="00CD363C" w:rsidRPr="00354F5E" w:rsidTr="00CD363C">
        <w:trPr>
          <w:trHeight w:val="234"/>
        </w:trPr>
        <w:tc>
          <w:tcPr>
            <w:tcW w:w="2504" w:type="pct"/>
            <w:gridSpan w:val="3"/>
            <w:tcBorders>
              <w:top w:val="nil"/>
              <w:left w:val="nil"/>
              <w:bottom w:val="nil"/>
              <w:right w:val="nil"/>
            </w:tcBorders>
            <w:vAlign w:val="center"/>
          </w:tcPr>
          <w:p w:rsidR="00CD363C" w:rsidRPr="00354F5E" w:rsidRDefault="00CD363C" w:rsidP="00D12336">
            <w:pPr>
              <w:rPr>
                <w:rFonts w:ascii="Arial Narrow" w:hAnsi="Arial Narrow"/>
                <w:b/>
                <w:bCs/>
                <w:sz w:val="20"/>
                <w:szCs w:val="20"/>
              </w:rPr>
            </w:pPr>
            <w:r w:rsidRPr="00354F5E">
              <w:rPr>
                <w:rFonts w:ascii="Arial Narrow" w:hAnsi="Arial Narrow"/>
                <w:b/>
                <w:bCs/>
                <w:sz w:val="20"/>
                <w:szCs w:val="20"/>
              </w:rPr>
              <w:t>UPA v PBO</w:t>
            </w:r>
          </w:p>
        </w:tc>
        <w:tc>
          <w:tcPr>
            <w:tcW w:w="802" w:type="pct"/>
            <w:tcBorders>
              <w:top w:val="nil"/>
              <w:left w:val="nil"/>
              <w:bottom w:val="nil"/>
              <w:right w:val="nil"/>
            </w:tcBorders>
            <w:vAlign w:val="center"/>
          </w:tcPr>
          <w:p w:rsidR="00CD363C" w:rsidRPr="00354F5E" w:rsidRDefault="00CD363C" w:rsidP="00D12336">
            <w:pPr>
              <w:jc w:val="center"/>
              <w:rPr>
                <w:rFonts w:ascii="Arial Narrow" w:hAnsi="Arial Narrow"/>
                <w:iCs/>
                <w:sz w:val="20"/>
                <w:szCs w:val="20"/>
              </w:rPr>
            </w:pPr>
          </w:p>
        </w:tc>
        <w:tc>
          <w:tcPr>
            <w:tcW w:w="890" w:type="pct"/>
            <w:tcBorders>
              <w:top w:val="nil"/>
              <w:left w:val="nil"/>
              <w:bottom w:val="nil"/>
              <w:right w:val="nil"/>
            </w:tcBorders>
            <w:vAlign w:val="center"/>
          </w:tcPr>
          <w:p w:rsidR="00CD363C" w:rsidRPr="00354F5E" w:rsidRDefault="00CD363C" w:rsidP="00D12336">
            <w:pPr>
              <w:jc w:val="center"/>
              <w:rPr>
                <w:rFonts w:ascii="Arial Narrow" w:hAnsi="Arial Narrow"/>
                <w:iCs/>
                <w:sz w:val="20"/>
                <w:szCs w:val="20"/>
              </w:rPr>
            </w:pPr>
          </w:p>
        </w:tc>
        <w:tc>
          <w:tcPr>
            <w:tcW w:w="804" w:type="pct"/>
            <w:tcBorders>
              <w:top w:val="nil"/>
              <w:left w:val="nil"/>
              <w:bottom w:val="nil"/>
              <w:right w:val="nil"/>
            </w:tcBorders>
            <w:vAlign w:val="center"/>
          </w:tcPr>
          <w:p w:rsidR="00CD363C" w:rsidRPr="00354F5E" w:rsidRDefault="00CD363C" w:rsidP="00D12336">
            <w:pPr>
              <w:jc w:val="center"/>
              <w:rPr>
                <w:rFonts w:ascii="Arial Narrow" w:hAnsi="Arial Narrow"/>
                <w:iCs/>
                <w:sz w:val="20"/>
                <w:szCs w:val="20"/>
              </w:rPr>
            </w:pPr>
          </w:p>
        </w:tc>
      </w:tr>
      <w:tr w:rsidR="00CD363C" w:rsidRPr="00354F5E" w:rsidTr="00CD363C">
        <w:trPr>
          <w:trHeight w:val="218"/>
        </w:trPr>
        <w:tc>
          <w:tcPr>
            <w:tcW w:w="988" w:type="pct"/>
            <w:tcBorders>
              <w:top w:val="nil"/>
              <w:left w:val="nil"/>
              <w:bottom w:val="nil"/>
              <w:right w:val="nil"/>
            </w:tcBorders>
            <w:vAlign w:val="center"/>
          </w:tcPr>
          <w:p w:rsidR="00CD363C" w:rsidRPr="00354F5E" w:rsidRDefault="00CD363C" w:rsidP="00D12336">
            <w:pPr>
              <w:pStyle w:val="Tabletext"/>
              <w:rPr>
                <w:szCs w:val="20"/>
              </w:rPr>
            </w:pPr>
            <w:r w:rsidRPr="00354F5E">
              <w:rPr>
                <w:szCs w:val="20"/>
              </w:rPr>
              <w:t xml:space="preserve">SELECT-PsA 1 </w:t>
            </w:r>
          </w:p>
        </w:tc>
        <w:tc>
          <w:tcPr>
            <w:tcW w:w="713" w:type="pct"/>
            <w:tcBorders>
              <w:top w:val="nil"/>
              <w:left w:val="nil"/>
              <w:bottom w:val="nil"/>
              <w:right w:val="nil"/>
            </w:tcBorders>
            <w:vAlign w:val="center"/>
          </w:tcPr>
          <w:p w:rsidR="00CD363C" w:rsidRPr="00354F5E" w:rsidRDefault="00CD363C" w:rsidP="00D12336">
            <w:pPr>
              <w:pStyle w:val="Tabletext"/>
              <w:jc w:val="center"/>
              <w:rPr>
                <w:szCs w:val="20"/>
              </w:rPr>
            </w:pPr>
            <w:r w:rsidRPr="00354F5E">
              <w:rPr>
                <w:szCs w:val="20"/>
              </w:rPr>
              <w:t>161/429 (37.5)</w:t>
            </w:r>
          </w:p>
        </w:tc>
        <w:tc>
          <w:tcPr>
            <w:tcW w:w="803" w:type="pct"/>
            <w:tcBorders>
              <w:top w:val="nil"/>
              <w:left w:val="nil"/>
              <w:bottom w:val="nil"/>
              <w:right w:val="nil"/>
            </w:tcBorders>
          </w:tcPr>
          <w:p w:rsidR="00CD363C" w:rsidRPr="00354F5E" w:rsidRDefault="00CD363C" w:rsidP="00D12336">
            <w:pPr>
              <w:pStyle w:val="Tabletext"/>
              <w:jc w:val="center"/>
              <w:rPr>
                <w:szCs w:val="20"/>
              </w:rPr>
            </w:pPr>
            <w:r w:rsidRPr="00354F5E">
              <w:rPr>
                <w:szCs w:val="20"/>
              </w:rPr>
              <w:t xml:space="preserve">56/423 (13.2) </w:t>
            </w:r>
          </w:p>
        </w:tc>
        <w:tc>
          <w:tcPr>
            <w:tcW w:w="802" w:type="pct"/>
            <w:tcBorders>
              <w:top w:val="nil"/>
              <w:left w:val="nil"/>
              <w:bottom w:val="nil"/>
              <w:right w:val="nil"/>
            </w:tcBorders>
          </w:tcPr>
          <w:p w:rsidR="00CD363C" w:rsidRPr="00354F5E" w:rsidRDefault="00CD363C" w:rsidP="00D12336">
            <w:pPr>
              <w:pStyle w:val="Tabletext"/>
              <w:jc w:val="center"/>
              <w:rPr>
                <w:b/>
                <w:bCs/>
                <w:szCs w:val="20"/>
              </w:rPr>
            </w:pPr>
            <w:r w:rsidRPr="00354F5E">
              <w:rPr>
                <w:b/>
                <w:szCs w:val="20"/>
              </w:rPr>
              <w:t>3.94 (2.80, 5.54)</w:t>
            </w:r>
          </w:p>
        </w:tc>
        <w:tc>
          <w:tcPr>
            <w:tcW w:w="890" w:type="pct"/>
            <w:tcBorders>
              <w:top w:val="nil"/>
              <w:left w:val="nil"/>
              <w:bottom w:val="nil"/>
              <w:right w:val="nil"/>
            </w:tcBorders>
          </w:tcPr>
          <w:p w:rsidR="00CD363C" w:rsidRPr="00354F5E" w:rsidRDefault="00CD363C" w:rsidP="00D12336">
            <w:pPr>
              <w:pStyle w:val="Tabletext"/>
              <w:jc w:val="center"/>
              <w:rPr>
                <w:b/>
                <w:bCs/>
                <w:szCs w:val="20"/>
              </w:rPr>
            </w:pPr>
            <w:r w:rsidRPr="00354F5E">
              <w:rPr>
                <w:b/>
                <w:szCs w:val="20"/>
              </w:rPr>
              <w:t>2.83 (2.16, 3.72)</w:t>
            </w:r>
          </w:p>
        </w:tc>
        <w:tc>
          <w:tcPr>
            <w:tcW w:w="804" w:type="pct"/>
            <w:tcBorders>
              <w:top w:val="nil"/>
              <w:left w:val="nil"/>
              <w:bottom w:val="nil"/>
              <w:right w:val="nil"/>
            </w:tcBorders>
          </w:tcPr>
          <w:p w:rsidR="00CD363C" w:rsidRPr="00354F5E" w:rsidRDefault="00CD363C" w:rsidP="00D12336">
            <w:pPr>
              <w:pStyle w:val="Tabletext"/>
              <w:jc w:val="center"/>
              <w:rPr>
                <w:b/>
                <w:bCs/>
                <w:szCs w:val="20"/>
              </w:rPr>
            </w:pPr>
            <w:r w:rsidRPr="00354F5E">
              <w:rPr>
                <w:b/>
                <w:szCs w:val="20"/>
              </w:rPr>
              <w:t>24.3 (18.7, 29.9)</w:t>
            </w:r>
          </w:p>
        </w:tc>
      </w:tr>
      <w:tr w:rsidR="00CD363C" w:rsidRPr="00354F5E" w:rsidTr="00CD363C">
        <w:trPr>
          <w:trHeight w:val="234"/>
        </w:trPr>
        <w:tc>
          <w:tcPr>
            <w:tcW w:w="988" w:type="pct"/>
            <w:tcBorders>
              <w:top w:val="nil"/>
              <w:left w:val="nil"/>
              <w:bottom w:val="nil"/>
              <w:right w:val="nil"/>
            </w:tcBorders>
            <w:vAlign w:val="center"/>
          </w:tcPr>
          <w:p w:rsidR="00CD363C" w:rsidRPr="00354F5E" w:rsidRDefault="00CD363C" w:rsidP="00D12336">
            <w:pPr>
              <w:pStyle w:val="Tabletext"/>
              <w:rPr>
                <w:szCs w:val="20"/>
              </w:rPr>
            </w:pPr>
            <w:r w:rsidRPr="00354F5E">
              <w:rPr>
                <w:b/>
                <w:bCs/>
                <w:szCs w:val="20"/>
              </w:rPr>
              <w:t>TOF v PBO</w:t>
            </w:r>
          </w:p>
        </w:tc>
        <w:tc>
          <w:tcPr>
            <w:tcW w:w="713" w:type="pct"/>
            <w:tcBorders>
              <w:top w:val="nil"/>
              <w:left w:val="nil"/>
              <w:bottom w:val="nil"/>
              <w:right w:val="nil"/>
            </w:tcBorders>
            <w:vAlign w:val="center"/>
          </w:tcPr>
          <w:p w:rsidR="00CD363C" w:rsidRPr="00354F5E" w:rsidRDefault="00CD363C" w:rsidP="00D12336">
            <w:pPr>
              <w:pStyle w:val="Tabletext"/>
              <w:jc w:val="center"/>
              <w:rPr>
                <w:szCs w:val="20"/>
              </w:rPr>
            </w:pPr>
          </w:p>
        </w:tc>
        <w:tc>
          <w:tcPr>
            <w:tcW w:w="803" w:type="pct"/>
            <w:tcBorders>
              <w:top w:val="nil"/>
              <w:left w:val="nil"/>
              <w:bottom w:val="nil"/>
              <w:right w:val="nil"/>
            </w:tcBorders>
            <w:vAlign w:val="center"/>
          </w:tcPr>
          <w:p w:rsidR="00CD363C" w:rsidRPr="00354F5E" w:rsidRDefault="00CD363C" w:rsidP="00D12336">
            <w:pPr>
              <w:pStyle w:val="Tabletext"/>
              <w:jc w:val="center"/>
              <w:rPr>
                <w:szCs w:val="20"/>
              </w:rPr>
            </w:pPr>
          </w:p>
        </w:tc>
        <w:tc>
          <w:tcPr>
            <w:tcW w:w="802" w:type="pct"/>
            <w:tcBorders>
              <w:top w:val="nil"/>
              <w:left w:val="nil"/>
              <w:bottom w:val="nil"/>
              <w:right w:val="nil"/>
            </w:tcBorders>
            <w:vAlign w:val="center"/>
          </w:tcPr>
          <w:p w:rsidR="00CD363C" w:rsidRPr="00354F5E" w:rsidRDefault="00CD363C" w:rsidP="00D12336">
            <w:pPr>
              <w:pStyle w:val="Tabletext"/>
              <w:jc w:val="center"/>
              <w:rPr>
                <w:szCs w:val="20"/>
              </w:rPr>
            </w:pPr>
          </w:p>
        </w:tc>
        <w:tc>
          <w:tcPr>
            <w:tcW w:w="890" w:type="pct"/>
            <w:tcBorders>
              <w:top w:val="nil"/>
              <w:left w:val="nil"/>
              <w:bottom w:val="nil"/>
              <w:right w:val="nil"/>
            </w:tcBorders>
            <w:vAlign w:val="center"/>
          </w:tcPr>
          <w:p w:rsidR="00CD363C" w:rsidRPr="00354F5E" w:rsidRDefault="00CD363C" w:rsidP="00D12336">
            <w:pPr>
              <w:pStyle w:val="Tabletext"/>
              <w:jc w:val="center"/>
              <w:rPr>
                <w:szCs w:val="20"/>
              </w:rPr>
            </w:pPr>
          </w:p>
        </w:tc>
        <w:tc>
          <w:tcPr>
            <w:tcW w:w="804" w:type="pct"/>
            <w:tcBorders>
              <w:top w:val="nil"/>
              <w:left w:val="nil"/>
              <w:bottom w:val="nil"/>
              <w:right w:val="nil"/>
            </w:tcBorders>
            <w:vAlign w:val="center"/>
          </w:tcPr>
          <w:p w:rsidR="00CD363C" w:rsidRPr="00354F5E" w:rsidRDefault="00CD363C" w:rsidP="00D12336">
            <w:pPr>
              <w:pStyle w:val="Tabletext"/>
              <w:jc w:val="center"/>
              <w:rPr>
                <w:szCs w:val="20"/>
              </w:rPr>
            </w:pPr>
          </w:p>
        </w:tc>
      </w:tr>
      <w:tr w:rsidR="00CD363C" w:rsidRPr="00354F5E" w:rsidTr="00CD363C">
        <w:trPr>
          <w:trHeight w:val="218"/>
        </w:trPr>
        <w:tc>
          <w:tcPr>
            <w:tcW w:w="988" w:type="pct"/>
            <w:tcBorders>
              <w:top w:val="nil"/>
              <w:left w:val="nil"/>
              <w:bottom w:val="nil"/>
              <w:right w:val="nil"/>
            </w:tcBorders>
            <w:vAlign w:val="center"/>
          </w:tcPr>
          <w:p w:rsidR="00CD363C" w:rsidRPr="00354F5E" w:rsidRDefault="00CD363C" w:rsidP="00D12336">
            <w:pPr>
              <w:pStyle w:val="Tabletext"/>
              <w:rPr>
                <w:bCs/>
                <w:szCs w:val="20"/>
              </w:rPr>
            </w:pPr>
            <w:r w:rsidRPr="00354F5E">
              <w:rPr>
                <w:bCs/>
                <w:szCs w:val="20"/>
              </w:rPr>
              <w:t>OPAL-BROADEN</w:t>
            </w:r>
          </w:p>
        </w:tc>
        <w:tc>
          <w:tcPr>
            <w:tcW w:w="713" w:type="pct"/>
            <w:tcBorders>
              <w:top w:val="nil"/>
              <w:left w:val="nil"/>
              <w:bottom w:val="nil"/>
              <w:right w:val="nil"/>
            </w:tcBorders>
            <w:vAlign w:val="center"/>
          </w:tcPr>
          <w:p w:rsidR="00CD363C" w:rsidRPr="00354F5E" w:rsidRDefault="00CD363C" w:rsidP="00D12336">
            <w:pPr>
              <w:pStyle w:val="Tabletext"/>
              <w:jc w:val="center"/>
              <w:rPr>
                <w:szCs w:val="20"/>
              </w:rPr>
            </w:pPr>
            <w:r w:rsidRPr="00354F5E">
              <w:rPr>
                <w:szCs w:val="20"/>
              </w:rPr>
              <w:t>30/107 (28.0)</w:t>
            </w:r>
          </w:p>
        </w:tc>
        <w:tc>
          <w:tcPr>
            <w:tcW w:w="803" w:type="pct"/>
            <w:tcBorders>
              <w:top w:val="nil"/>
              <w:left w:val="nil"/>
              <w:bottom w:val="nil"/>
              <w:right w:val="nil"/>
            </w:tcBorders>
          </w:tcPr>
          <w:p w:rsidR="00CD363C" w:rsidRPr="00354F5E" w:rsidRDefault="00CD363C" w:rsidP="00D12336">
            <w:pPr>
              <w:pStyle w:val="Tabletext"/>
              <w:jc w:val="center"/>
              <w:rPr>
                <w:szCs w:val="20"/>
              </w:rPr>
            </w:pPr>
            <w:r w:rsidRPr="00354F5E">
              <w:rPr>
                <w:szCs w:val="20"/>
              </w:rPr>
              <w:t>10/105 (9.5)</w:t>
            </w:r>
          </w:p>
        </w:tc>
        <w:tc>
          <w:tcPr>
            <w:tcW w:w="802" w:type="pct"/>
            <w:tcBorders>
              <w:top w:val="nil"/>
              <w:left w:val="nil"/>
              <w:bottom w:val="nil"/>
              <w:right w:val="nil"/>
            </w:tcBorders>
          </w:tcPr>
          <w:p w:rsidR="00CD363C" w:rsidRPr="00354F5E" w:rsidRDefault="00CD363C" w:rsidP="00D12336">
            <w:pPr>
              <w:pStyle w:val="Tabletext"/>
              <w:jc w:val="center"/>
              <w:rPr>
                <w:b/>
                <w:bCs/>
                <w:szCs w:val="20"/>
              </w:rPr>
            </w:pPr>
            <w:r w:rsidRPr="00354F5E">
              <w:rPr>
                <w:b/>
                <w:szCs w:val="20"/>
              </w:rPr>
              <w:t>3.70 (1.70, 8.04)</w:t>
            </w:r>
          </w:p>
        </w:tc>
        <w:tc>
          <w:tcPr>
            <w:tcW w:w="890" w:type="pct"/>
            <w:tcBorders>
              <w:top w:val="nil"/>
              <w:left w:val="nil"/>
              <w:bottom w:val="nil"/>
              <w:right w:val="nil"/>
            </w:tcBorders>
          </w:tcPr>
          <w:p w:rsidR="00CD363C" w:rsidRPr="00354F5E" w:rsidRDefault="00CD363C" w:rsidP="00D12336">
            <w:pPr>
              <w:pStyle w:val="Tabletext"/>
              <w:jc w:val="center"/>
              <w:rPr>
                <w:b/>
                <w:bCs/>
                <w:szCs w:val="20"/>
              </w:rPr>
            </w:pPr>
            <w:r w:rsidRPr="00354F5E">
              <w:rPr>
                <w:b/>
                <w:szCs w:val="20"/>
              </w:rPr>
              <w:t>2.94 (1.52, 5.71)</w:t>
            </w:r>
          </w:p>
        </w:tc>
        <w:tc>
          <w:tcPr>
            <w:tcW w:w="804" w:type="pct"/>
            <w:tcBorders>
              <w:top w:val="nil"/>
              <w:left w:val="nil"/>
              <w:bottom w:val="nil"/>
              <w:right w:val="nil"/>
            </w:tcBorders>
          </w:tcPr>
          <w:p w:rsidR="00CD363C" w:rsidRPr="00354F5E" w:rsidRDefault="00CD363C" w:rsidP="00D12336">
            <w:pPr>
              <w:pStyle w:val="Tabletext"/>
              <w:jc w:val="center"/>
              <w:rPr>
                <w:b/>
                <w:bCs/>
                <w:szCs w:val="20"/>
              </w:rPr>
            </w:pPr>
            <w:r w:rsidRPr="00354F5E">
              <w:rPr>
                <w:b/>
                <w:szCs w:val="20"/>
              </w:rPr>
              <w:t>18.5 (8.3, 28.7)</w:t>
            </w:r>
          </w:p>
        </w:tc>
      </w:tr>
      <w:tr w:rsidR="00CD363C" w:rsidRPr="00354F5E" w:rsidTr="00CD363C">
        <w:trPr>
          <w:trHeight w:val="67"/>
        </w:trPr>
        <w:tc>
          <w:tcPr>
            <w:tcW w:w="2504" w:type="pct"/>
            <w:gridSpan w:val="3"/>
            <w:tcBorders>
              <w:top w:val="nil"/>
              <w:left w:val="nil"/>
              <w:bottom w:val="nil"/>
              <w:right w:val="nil"/>
            </w:tcBorders>
            <w:vAlign w:val="center"/>
          </w:tcPr>
          <w:p w:rsidR="00CD363C" w:rsidRPr="00354F5E" w:rsidRDefault="00CD363C" w:rsidP="00D12336">
            <w:pPr>
              <w:pStyle w:val="Tabletext"/>
              <w:rPr>
                <w:b/>
                <w:szCs w:val="20"/>
              </w:rPr>
            </w:pPr>
            <w:r w:rsidRPr="00354F5E">
              <w:rPr>
                <w:b/>
                <w:szCs w:val="20"/>
              </w:rPr>
              <w:t>UPA v ADA</w:t>
            </w:r>
          </w:p>
        </w:tc>
        <w:tc>
          <w:tcPr>
            <w:tcW w:w="802" w:type="pct"/>
            <w:tcBorders>
              <w:top w:val="nil"/>
              <w:left w:val="nil"/>
              <w:bottom w:val="nil"/>
              <w:right w:val="nil"/>
            </w:tcBorders>
            <w:vAlign w:val="center"/>
          </w:tcPr>
          <w:p w:rsidR="00CD363C" w:rsidRPr="00354F5E" w:rsidRDefault="00CD363C" w:rsidP="00D12336">
            <w:pPr>
              <w:pStyle w:val="Tabletext"/>
              <w:jc w:val="center"/>
              <w:rPr>
                <w:szCs w:val="20"/>
              </w:rPr>
            </w:pPr>
          </w:p>
        </w:tc>
        <w:tc>
          <w:tcPr>
            <w:tcW w:w="890" w:type="pct"/>
            <w:tcBorders>
              <w:top w:val="nil"/>
              <w:left w:val="nil"/>
              <w:bottom w:val="nil"/>
              <w:right w:val="nil"/>
            </w:tcBorders>
            <w:vAlign w:val="center"/>
          </w:tcPr>
          <w:p w:rsidR="00CD363C" w:rsidRPr="00354F5E" w:rsidRDefault="00CD363C" w:rsidP="00D12336">
            <w:pPr>
              <w:pStyle w:val="Tabletext"/>
              <w:jc w:val="center"/>
              <w:rPr>
                <w:szCs w:val="20"/>
              </w:rPr>
            </w:pPr>
          </w:p>
        </w:tc>
        <w:tc>
          <w:tcPr>
            <w:tcW w:w="804" w:type="pct"/>
            <w:tcBorders>
              <w:top w:val="nil"/>
              <w:left w:val="nil"/>
              <w:bottom w:val="nil"/>
              <w:right w:val="nil"/>
            </w:tcBorders>
            <w:vAlign w:val="center"/>
          </w:tcPr>
          <w:p w:rsidR="00CD363C" w:rsidRPr="00354F5E" w:rsidRDefault="00CD363C" w:rsidP="00D12336">
            <w:pPr>
              <w:pStyle w:val="Tabletext"/>
              <w:jc w:val="center"/>
              <w:rPr>
                <w:szCs w:val="20"/>
              </w:rPr>
            </w:pPr>
          </w:p>
        </w:tc>
      </w:tr>
      <w:tr w:rsidR="00CD363C" w:rsidRPr="00354F5E" w:rsidTr="00CD363C">
        <w:trPr>
          <w:trHeight w:val="67"/>
        </w:trPr>
        <w:tc>
          <w:tcPr>
            <w:tcW w:w="988" w:type="pct"/>
            <w:tcBorders>
              <w:top w:val="nil"/>
              <w:left w:val="nil"/>
              <w:bottom w:val="nil"/>
              <w:right w:val="nil"/>
            </w:tcBorders>
            <w:vAlign w:val="center"/>
          </w:tcPr>
          <w:p w:rsidR="00CD363C" w:rsidRPr="00354F5E" w:rsidRDefault="00CD363C" w:rsidP="00D12336">
            <w:pPr>
              <w:pStyle w:val="Tabletext"/>
              <w:rPr>
                <w:szCs w:val="20"/>
              </w:rPr>
            </w:pPr>
            <w:r w:rsidRPr="00354F5E">
              <w:rPr>
                <w:szCs w:val="20"/>
              </w:rPr>
              <w:t xml:space="preserve">SELECT PsA 1 </w:t>
            </w:r>
          </w:p>
        </w:tc>
        <w:tc>
          <w:tcPr>
            <w:tcW w:w="713" w:type="pct"/>
            <w:tcBorders>
              <w:top w:val="nil"/>
              <w:left w:val="nil"/>
              <w:bottom w:val="nil"/>
              <w:right w:val="nil"/>
            </w:tcBorders>
          </w:tcPr>
          <w:p w:rsidR="00CD363C" w:rsidRPr="00354F5E" w:rsidRDefault="00CD363C" w:rsidP="00D12336">
            <w:pPr>
              <w:pStyle w:val="Tabletext"/>
              <w:jc w:val="center"/>
              <w:rPr>
                <w:szCs w:val="20"/>
              </w:rPr>
            </w:pPr>
            <w:r w:rsidRPr="00354F5E">
              <w:rPr>
                <w:szCs w:val="20"/>
              </w:rPr>
              <w:t>161/429 (37.5)</w:t>
            </w:r>
          </w:p>
        </w:tc>
        <w:tc>
          <w:tcPr>
            <w:tcW w:w="803" w:type="pct"/>
            <w:tcBorders>
              <w:top w:val="nil"/>
              <w:left w:val="nil"/>
              <w:bottom w:val="nil"/>
              <w:right w:val="nil"/>
            </w:tcBorders>
          </w:tcPr>
          <w:p w:rsidR="00CD363C" w:rsidRPr="00354F5E" w:rsidRDefault="00CD363C" w:rsidP="00D12336">
            <w:pPr>
              <w:pStyle w:val="Tabletext"/>
              <w:jc w:val="center"/>
              <w:rPr>
                <w:szCs w:val="20"/>
              </w:rPr>
            </w:pPr>
            <w:r w:rsidRPr="00354F5E">
              <w:rPr>
                <w:szCs w:val="20"/>
              </w:rPr>
              <w:t>161/429 (37.5)</w:t>
            </w:r>
          </w:p>
        </w:tc>
        <w:tc>
          <w:tcPr>
            <w:tcW w:w="802" w:type="pct"/>
            <w:tcBorders>
              <w:top w:val="nil"/>
              <w:left w:val="nil"/>
              <w:bottom w:val="nil"/>
              <w:right w:val="nil"/>
            </w:tcBorders>
          </w:tcPr>
          <w:p w:rsidR="00CD363C" w:rsidRPr="00354F5E" w:rsidRDefault="00CD363C" w:rsidP="00D12336">
            <w:pPr>
              <w:pStyle w:val="Tabletext"/>
              <w:jc w:val="center"/>
              <w:rPr>
                <w:bCs/>
                <w:szCs w:val="20"/>
              </w:rPr>
            </w:pPr>
            <w:r w:rsidRPr="00354F5E">
              <w:rPr>
                <w:szCs w:val="20"/>
              </w:rPr>
              <w:t>1.00 (0.76, 1.32)</w:t>
            </w:r>
          </w:p>
        </w:tc>
        <w:tc>
          <w:tcPr>
            <w:tcW w:w="890" w:type="pct"/>
            <w:tcBorders>
              <w:top w:val="nil"/>
              <w:left w:val="nil"/>
              <w:bottom w:val="nil"/>
              <w:right w:val="nil"/>
            </w:tcBorders>
          </w:tcPr>
          <w:p w:rsidR="00CD363C" w:rsidRPr="00354F5E" w:rsidRDefault="00CD363C" w:rsidP="00D12336">
            <w:pPr>
              <w:pStyle w:val="Tabletext"/>
              <w:jc w:val="center"/>
              <w:rPr>
                <w:bCs/>
                <w:szCs w:val="20"/>
              </w:rPr>
            </w:pPr>
            <w:r w:rsidRPr="00354F5E">
              <w:rPr>
                <w:szCs w:val="20"/>
              </w:rPr>
              <w:t>1.00 (0.84, 1.19)</w:t>
            </w:r>
          </w:p>
        </w:tc>
        <w:tc>
          <w:tcPr>
            <w:tcW w:w="804" w:type="pct"/>
            <w:tcBorders>
              <w:top w:val="nil"/>
              <w:left w:val="nil"/>
              <w:bottom w:val="nil"/>
              <w:right w:val="nil"/>
            </w:tcBorders>
          </w:tcPr>
          <w:p w:rsidR="00CD363C" w:rsidRPr="00354F5E" w:rsidRDefault="00CD363C" w:rsidP="00D12336">
            <w:pPr>
              <w:pStyle w:val="Tabletext"/>
              <w:jc w:val="center"/>
              <w:rPr>
                <w:bCs/>
                <w:szCs w:val="20"/>
              </w:rPr>
            </w:pPr>
            <w:r w:rsidRPr="00354F5E">
              <w:rPr>
                <w:szCs w:val="20"/>
              </w:rPr>
              <w:t>0.00 (-6.5, 6.5)</w:t>
            </w:r>
          </w:p>
        </w:tc>
      </w:tr>
      <w:tr w:rsidR="00CD363C" w:rsidRPr="00354F5E" w:rsidTr="00CD363C">
        <w:trPr>
          <w:trHeight w:val="234"/>
        </w:trPr>
        <w:tc>
          <w:tcPr>
            <w:tcW w:w="988" w:type="pct"/>
            <w:tcBorders>
              <w:top w:val="nil"/>
              <w:left w:val="nil"/>
              <w:bottom w:val="nil"/>
              <w:right w:val="nil"/>
            </w:tcBorders>
            <w:vAlign w:val="center"/>
          </w:tcPr>
          <w:p w:rsidR="00CD363C" w:rsidRPr="00354F5E" w:rsidRDefault="00CD363C" w:rsidP="00D12336">
            <w:pPr>
              <w:pStyle w:val="Tabletext"/>
              <w:rPr>
                <w:szCs w:val="20"/>
              </w:rPr>
            </w:pPr>
            <w:r w:rsidRPr="00354F5E">
              <w:rPr>
                <w:b/>
                <w:bCs/>
                <w:szCs w:val="20"/>
              </w:rPr>
              <w:t>TOF v ADA</w:t>
            </w:r>
          </w:p>
        </w:tc>
        <w:tc>
          <w:tcPr>
            <w:tcW w:w="713" w:type="pct"/>
            <w:tcBorders>
              <w:top w:val="nil"/>
              <w:left w:val="nil"/>
              <w:bottom w:val="nil"/>
              <w:right w:val="nil"/>
            </w:tcBorders>
            <w:vAlign w:val="center"/>
          </w:tcPr>
          <w:p w:rsidR="00CD363C" w:rsidRPr="00354F5E" w:rsidRDefault="00CD363C" w:rsidP="00D12336">
            <w:pPr>
              <w:pStyle w:val="Tabletext"/>
              <w:jc w:val="center"/>
              <w:rPr>
                <w:szCs w:val="20"/>
              </w:rPr>
            </w:pPr>
          </w:p>
        </w:tc>
        <w:tc>
          <w:tcPr>
            <w:tcW w:w="803" w:type="pct"/>
            <w:tcBorders>
              <w:top w:val="nil"/>
              <w:left w:val="nil"/>
              <w:bottom w:val="nil"/>
              <w:right w:val="nil"/>
            </w:tcBorders>
            <w:vAlign w:val="center"/>
          </w:tcPr>
          <w:p w:rsidR="00CD363C" w:rsidRPr="00354F5E" w:rsidRDefault="00CD363C" w:rsidP="00D12336">
            <w:pPr>
              <w:pStyle w:val="Tabletext"/>
              <w:jc w:val="center"/>
              <w:rPr>
                <w:szCs w:val="20"/>
              </w:rPr>
            </w:pPr>
          </w:p>
        </w:tc>
        <w:tc>
          <w:tcPr>
            <w:tcW w:w="802" w:type="pct"/>
            <w:tcBorders>
              <w:top w:val="nil"/>
              <w:left w:val="nil"/>
              <w:bottom w:val="nil"/>
              <w:right w:val="nil"/>
            </w:tcBorders>
            <w:vAlign w:val="center"/>
          </w:tcPr>
          <w:p w:rsidR="00CD363C" w:rsidRPr="00354F5E" w:rsidRDefault="00CD363C" w:rsidP="00D12336">
            <w:pPr>
              <w:pStyle w:val="Tabletext"/>
              <w:jc w:val="center"/>
              <w:rPr>
                <w:szCs w:val="20"/>
              </w:rPr>
            </w:pPr>
          </w:p>
        </w:tc>
        <w:tc>
          <w:tcPr>
            <w:tcW w:w="890" w:type="pct"/>
            <w:tcBorders>
              <w:top w:val="nil"/>
              <w:left w:val="nil"/>
              <w:bottom w:val="nil"/>
              <w:right w:val="nil"/>
            </w:tcBorders>
            <w:vAlign w:val="center"/>
          </w:tcPr>
          <w:p w:rsidR="00CD363C" w:rsidRPr="00354F5E" w:rsidRDefault="00CD363C" w:rsidP="00D12336">
            <w:pPr>
              <w:pStyle w:val="Tabletext"/>
              <w:jc w:val="center"/>
              <w:rPr>
                <w:szCs w:val="20"/>
              </w:rPr>
            </w:pPr>
          </w:p>
        </w:tc>
        <w:tc>
          <w:tcPr>
            <w:tcW w:w="804" w:type="pct"/>
            <w:tcBorders>
              <w:top w:val="nil"/>
              <w:left w:val="nil"/>
              <w:bottom w:val="nil"/>
              <w:right w:val="nil"/>
            </w:tcBorders>
            <w:vAlign w:val="center"/>
          </w:tcPr>
          <w:p w:rsidR="00CD363C" w:rsidRPr="00354F5E" w:rsidRDefault="00CD363C" w:rsidP="00D12336">
            <w:pPr>
              <w:pStyle w:val="Tabletext"/>
              <w:jc w:val="center"/>
              <w:rPr>
                <w:szCs w:val="20"/>
              </w:rPr>
            </w:pPr>
          </w:p>
        </w:tc>
      </w:tr>
      <w:tr w:rsidR="00CD363C" w:rsidRPr="00354F5E" w:rsidTr="00CD363C">
        <w:trPr>
          <w:trHeight w:val="206"/>
        </w:trPr>
        <w:tc>
          <w:tcPr>
            <w:tcW w:w="988" w:type="pct"/>
            <w:tcBorders>
              <w:top w:val="nil"/>
              <w:left w:val="nil"/>
              <w:bottom w:val="nil"/>
              <w:right w:val="nil"/>
            </w:tcBorders>
            <w:vAlign w:val="center"/>
          </w:tcPr>
          <w:p w:rsidR="00CD363C" w:rsidRPr="00354F5E" w:rsidRDefault="00CD363C" w:rsidP="00D12336">
            <w:pPr>
              <w:jc w:val="left"/>
              <w:rPr>
                <w:rFonts w:ascii="Arial Narrow" w:hAnsi="Arial Narrow"/>
                <w:iCs/>
                <w:sz w:val="20"/>
                <w:szCs w:val="20"/>
              </w:rPr>
            </w:pPr>
            <w:r w:rsidRPr="00354F5E">
              <w:rPr>
                <w:rFonts w:ascii="Arial Narrow" w:hAnsi="Arial Narrow"/>
                <w:sz w:val="20"/>
                <w:szCs w:val="20"/>
              </w:rPr>
              <w:t>OPAL-BROADEN</w:t>
            </w:r>
          </w:p>
        </w:tc>
        <w:tc>
          <w:tcPr>
            <w:tcW w:w="713" w:type="pct"/>
            <w:tcBorders>
              <w:top w:val="nil"/>
              <w:left w:val="nil"/>
              <w:bottom w:val="nil"/>
              <w:right w:val="nil"/>
            </w:tcBorders>
          </w:tcPr>
          <w:p w:rsidR="00CD363C" w:rsidRPr="00354F5E" w:rsidRDefault="00CD363C" w:rsidP="00D12336">
            <w:pPr>
              <w:jc w:val="center"/>
              <w:rPr>
                <w:rFonts w:ascii="Arial Narrow" w:hAnsi="Arial Narrow"/>
                <w:iCs/>
                <w:sz w:val="20"/>
                <w:szCs w:val="20"/>
              </w:rPr>
            </w:pPr>
            <w:r w:rsidRPr="00354F5E">
              <w:rPr>
                <w:rFonts w:ascii="Arial Narrow" w:hAnsi="Arial Narrow"/>
                <w:sz w:val="20"/>
                <w:szCs w:val="20"/>
              </w:rPr>
              <w:t>30/107 (28.0)</w:t>
            </w:r>
          </w:p>
        </w:tc>
        <w:tc>
          <w:tcPr>
            <w:tcW w:w="803" w:type="pct"/>
            <w:tcBorders>
              <w:top w:val="nil"/>
              <w:left w:val="nil"/>
              <w:bottom w:val="nil"/>
              <w:right w:val="nil"/>
            </w:tcBorders>
          </w:tcPr>
          <w:p w:rsidR="00CD363C" w:rsidRPr="00354F5E" w:rsidRDefault="00CD363C" w:rsidP="00D12336">
            <w:pPr>
              <w:jc w:val="center"/>
              <w:rPr>
                <w:rFonts w:ascii="Arial Narrow" w:hAnsi="Arial Narrow"/>
                <w:iCs/>
                <w:sz w:val="20"/>
                <w:szCs w:val="20"/>
              </w:rPr>
            </w:pPr>
            <w:r w:rsidRPr="00354F5E">
              <w:rPr>
                <w:rFonts w:ascii="Arial Narrow" w:hAnsi="Arial Narrow"/>
                <w:sz w:val="20"/>
                <w:szCs w:val="20"/>
              </w:rPr>
              <w:t>35/106 (33.0)</w:t>
            </w:r>
          </w:p>
        </w:tc>
        <w:tc>
          <w:tcPr>
            <w:tcW w:w="802" w:type="pct"/>
            <w:tcBorders>
              <w:top w:val="nil"/>
              <w:left w:val="nil"/>
              <w:bottom w:val="nil"/>
              <w:right w:val="nil"/>
            </w:tcBorders>
          </w:tcPr>
          <w:p w:rsidR="00CD363C" w:rsidRPr="00354F5E" w:rsidRDefault="00CD363C" w:rsidP="00D12336">
            <w:pPr>
              <w:jc w:val="center"/>
              <w:rPr>
                <w:rFonts w:ascii="Arial Narrow" w:hAnsi="Arial Narrow"/>
                <w:b/>
                <w:bCs/>
                <w:iCs/>
                <w:sz w:val="20"/>
                <w:szCs w:val="20"/>
              </w:rPr>
            </w:pPr>
            <w:r w:rsidRPr="00354F5E">
              <w:rPr>
                <w:rFonts w:ascii="Arial Narrow" w:hAnsi="Arial Narrow"/>
                <w:sz w:val="20"/>
                <w:szCs w:val="20"/>
              </w:rPr>
              <w:t>0.79 (0.44, 1.42)</w:t>
            </w:r>
          </w:p>
        </w:tc>
        <w:tc>
          <w:tcPr>
            <w:tcW w:w="890" w:type="pct"/>
            <w:tcBorders>
              <w:top w:val="nil"/>
              <w:left w:val="nil"/>
              <w:bottom w:val="nil"/>
              <w:right w:val="nil"/>
            </w:tcBorders>
          </w:tcPr>
          <w:p w:rsidR="00CD363C" w:rsidRPr="00354F5E" w:rsidRDefault="00CD363C" w:rsidP="00D12336">
            <w:pPr>
              <w:jc w:val="center"/>
              <w:rPr>
                <w:rFonts w:ascii="Arial Narrow" w:hAnsi="Arial Narrow"/>
                <w:b/>
                <w:bCs/>
                <w:iCs/>
                <w:sz w:val="20"/>
                <w:szCs w:val="20"/>
              </w:rPr>
            </w:pPr>
            <w:r w:rsidRPr="00354F5E">
              <w:rPr>
                <w:rFonts w:ascii="Arial Narrow" w:hAnsi="Arial Narrow"/>
                <w:sz w:val="20"/>
                <w:szCs w:val="20"/>
              </w:rPr>
              <w:t>0.85 (0.57, 1.28)</w:t>
            </w:r>
          </w:p>
        </w:tc>
        <w:tc>
          <w:tcPr>
            <w:tcW w:w="804" w:type="pct"/>
            <w:tcBorders>
              <w:top w:val="nil"/>
              <w:left w:val="nil"/>
              <w:bottom w:val="nil"/>
              <w:right w:val="nil"/>
            </w:tcBorders>
          </w:tcPr>
          <w:p w:rsidR="00CD363C" w:rsidRPr="00354F5E" w:rsidRDefault="00CD363C" w:rsidP="00D12336">
            <w:pPr>
              <w:jc w:val="center"/>
              <w:rPr>
                <w:rFonts w:ascii="Arial Narrow" w:hAnsi="Arial Narrow"/>
                <w:b/>
                <w:bCs/>
                <w:iCs/>
                <w:sz w:val="20"/>
                <w:szCs w:val="20"/>
              </w:rPr>
            </w:pPr>
            <w:r w:rsidRPr="00354F5E">
              <w:rPr>
                <w:rFonts w:ascii="Arial Narrow" w:hAnsi="Arial Narrow"/>
                <w:sz w:val="20"/>
                <w:szCs w:val="20"/>
              </w:rPr>
              <w:t>-5.0 (-17.3, 7.4)</w:t>
            </w:r>
          </w:p>
        </w:tc>
      </w:tr>
      <w:tr w:rsidR="00CD363C" w:rsidRPr="00354F5E" w:rsidTr="00CD363C">
        <w:trPr>
          <w:trHeight w:val="218"/>
        </w:trPr>
        <w:tc>
          <w:tcPr>
            <w:tcW w:w="2504" w:type="pct"/>
            <w:gridSpan w:val="3"/>
            <w:tcBorders>
              <w:left w:val="nil"/>
              <w:bottom w:val="nil"/>
              <w:right w:val="nil"/>
            </w:tcBorders>
            <w:vAlign w:val="center"/>
          </w:tcPr>
          <w:p w:rsidR="00CD363C" w:rsidRPr="00354F5E" w:rsidRDefault="00CD363C" w:rsidP="00D12336">
            <w:pPr>
              <w:rPr>
                <w:rFonts w:ascii="Arial Narrow" w:hAnsi="Arial Narrow"/>
                <w:color w:val="1F497D" w:themeColor="text2"/>
                <w:sz w:val="20"/>
                <w:szCs w:val="20"/>
                <w:u w:val="single"/>
              </w:rPr>
            </w:pPr>
            <w:r w:rsidRPr="00354F5E">
              <w:rPr>
                <w:rFonts w:ascii="Arial Narrow" w:hAnsi="Arial Narrow"/>
                <w:b/>
                <w:bCs/>
                <w:color w:val="31849B" w:themeColor="accent5" w:themeShade="BF"/>
                <w:sz w:val="20"/>
                <w:szCs w:val="20"/>
                <w:u w:val="single"/>
              </w:rPr>
              <w:t>bDMARD-IR population</w:t>
            </w:r>
          </w:p>
        </w:tc>
        <w:tc>
          <w:tcPr>
            <w:tcW w:w="802" w:type="pct"/>
            <w:tcBorders>
              <w:top w:val="single" w:sz="4" w:space="0" w:color="auto"/>
              <w:left w:val="nil"/>
              <w:bottom w:val="nil"/>
              <w:right w:val="nil"/>
            </w:tcBorders>
            <w:vAlign w:val="center"/>
          </w:tcPr>
          <w:p w:rsidR="00CD363C" w:rsidRPr="00354F5E" w:rsidRDefault="00CD363C" w:rsidP="00D12336">
            <w:pPr>
              <w:jc w:val="center"/>
              <w:rPr>
                <w:rFonts w:ascii="Arial Narrow" w:hAnsi="Arial Narrow"/>
                <w:iCs/>
                <w:sz w:val="20"/>
                <w:szCs w:val="20"/>
              </w:rPr>
            </w:pPr>
          </w:p>
        </w:tc>
        <w:tc>
          <w:tcPr>
            <w:tcW w:w="890" w:type="pct"/>
            <w:tcBorders>
              <w:top w:val="single" w:sz="4" w:space="0" w:color="auto"/>
              <w:left w:val="nil"/>
              <w:bottom w:val="nil"/>
              <w:right w:val="nil"/>
            </w:tcBorders>
            <w:vAlign w:val="center"/>
          </w:tcPr>
          <w:p w:rsidR="00CD363C" w:rsidRPr="00354F5E" w:rsidRDefault="00CD363C" w:rsidP="00D12336">
            <w:pPr>
              <w:jc w:val="center"/>
              <w:rPr>
                <w:rFonts w:ascii="Arial Narrow" w:hAnsi="Arial Narrow"/>
                <w:iCs/>
                <w:sz w:val="20"/>
                <w:szCs w:val="20"/>
              </w:rPr>
            </w:pPr>
          </w:p>
        </w:tc>
        <w:tc>
          <w:tcPr>
            <w:tcW w:w="804" w:type="pct"/>
            <w:tcBorders>
              <w:top w:val="single" w:sz="4" w:space="0" w:color="auto"/>
              <w:left w:val="nil"/>
              <w:bottom w:val="nil"/>
              <w:right w:val="nil"/>
            </w:tcBorders>
            <w:vAlign w:val="center"/>
          </w:tcPr>
          <w:p w:rsidR="00CD363C" w:rsidRPr="00354F5E" w:rsidRDefault="00CD363C" w:rsidP="00D12336">
            <w:pPr>
              <w:jc w:val="center"/>
              <w:rPr>
                <w:rFonts w:ascii="Arial Narrow" w:hAnsi="Arial Narrow"/>
                <w:iCs/>
                <w:sz w:val="20"/>
                <w:szCs w:val="20"/>
              </w:rPr>
            </w:pPr>
          </w:p>
        </w:tc>
      </w:tr>
      <w:tr w:rsidR="00CD363C" w:rsidRPr="00354F5E" w:rsidTr="00CD363C">
        <w:trPr>
          <w:trHeight w:val="218"/>
        </w:trPr>
        <w:tc>
          <w:tcPr>
            <w:tcW w:w="2504" w:type="pct"/>
            <w:gridSpan w:val="3"/>
            <w:tcBorders>
              <w:top w:val="nil"/>
              <w:left w:val="nil"/>
              <w:bottom w:val="nil"/>
              <w:right w:val="nil"/>
            </w:tcBorders>
            <w:vAlign w:val="center"/>
          </w:tcPr>
          <w:p w:rsidR="00CD363C" w:rsidRPr="00354F5E" w:rsidRDefault="00CD363C" w:rsidP="00D12336">
            <w:pPr>
              <w:rPr>
                <w:rFonts w:ascii="Arial Narrow" w:hAnsi="Arial Narrow"/>
                <w:b/>
                <w:bCs/>
                <w:sz w:val="20"/>
                <w:szCs w:val="20"/>
              </w:rPr>
            </w:pPr>
            <w:r w:rsidRPr="00354F5E">
              <w:rPr>
                <w:rFonts w:ascii="Arial Narrow" w:hAnsi="Arial Narrow"/>
                <w:b/>
                <w:bCs/>
                <w:sz w:val="20"/>
                <w:szCs w:val="20"/>
              </w:rPr>
              <w:t>UPA v PBO</w:t>
            </w:r>
          </w:p>
        </w:tc>
        <w:tc>
          <w:tcPr>
            <w:tcW w:w="802" w:type="pct"/>
            <w:tcBorders>
              <w:top w:val="nil"/>
              <w:left w:val="nil"/>
              <w:bottom w:val="nil"/>
              <w:right w:val="nil"/>
            </w:tcBorders>
            <w:vAlign w:val="center"/>
          </w:tcPr>
          <w:p w:rsidR="00CD363C" w:rsidRPr="00354F5E" w:rsidRDefault="00CD363C" w:rsidP="00D12336">
            <w:pPr>
              <w:jc w:val="center"/>
              <w:rPr>
                <w:rFonts w:ascii="Arial Narrow" w:hAnsi="Arial Narrow"/>
                <w:iCs/>
                <w:sz w:val="20"/>
                <w:szCs w:val="20"/>
              </w:rPr>
            </w:pPr>
          </w:p>
        </w:tc>
        <w:tc>
          <w:tcPr>
            <w:tcW w:w="890" w:type="pct"/>
            <w:tcBorders>
              <w:top w:val="nil"/>
              <w:left w:val="nil"/>
              <w:bottom w:val="nil"/>
              <w:right w:val="nil"/>
            </w:tcBorders>
            <w:vAlign w:val="center"/>
          </w:tcPr>
          <w:p w:rsidR="00CD363C" w:rsidRPr="00354F5E" w:rsidRDefault="00CD363C" w:rsidP="00D12336">
            <w:pPr>
              <w:jc w:val="center"/>
              <w:rPr>
                <w:rFonts w:ascii="Arial Narrow" w:hAnsi="Arial Narrow"/>
                <w:iCs/>
                <w:sz w:val="20"/>
                <w:szCs w:val="20"/>
              </w:rPr>
            </w:pPr>
          </w:p>
        </w:tc>
        <w:tc>
          <w:tcPr>
            <w:tcW w:w="804" w:type="pct"/>
            <w:tcBorders>
              <w:top w:val="nil"/>
              <w:left w:val="nil"/>
              <w:bottom w:val="nil"/>
              <w:right w:val="nil"/>
            </w:tcBorders>
            <w:vAlign w:val="center"/>
          </w:tcPr>
          <w:p w:rsidR="00CD363C" w:rsidRPr="00354F5E" w:rsidRDefault="00CD363C" w:rsidP="00D12336">
            <w:pPr>
              <w:jc w:val="center"/>
              <w:rPr>
                <w:rFonts w:ascii="Arial Narrow" w:hAnsi="Arial Narrow"/>
                <w:iCs/>
                <w:sz w:val="20"/>
                <w:szCs w:val="20"/>
              </w:rPr>
            </w:pPr>
          </w:p>
        </w:tc>
      </w:tr>
      <w:tr w:rsidR="00CD363C" w:rsidRPr="00354F5E" w:rsidTr="00CD363C">
        <w:trPr>
          <w:trHeight w:val="234"/>
        </w:trPr>
        <w:tc>
          <w:tcPr>
            <w:tcW w:w="988" w:type="pct"/>
            <w:tcBorders>
              <w:top w:val="nil"/>
              <w:left w:val="nil"/>
              <w:bottom w:val="nil"/>
              <w:right w:val="nil"/>
            </w:tcBorders>
            <w:vAlign w:val="center"/>
          </w:tcPr>
          <w:p w:rsidR="00CD363C" w:rsidRPr="00354F5E" w:rsidRDefault="00CD363C" w:rsidP="00D12336">
            <w:pPr>
              <w:rPr>
                <w:rFonts w:ascii="Arial Narrow" w:hAnsi="Arial Narrow"/>
                <w:sz w:val="20"/>
                <w:szCs w:val="20"/>
              </w:rPr>
            </w:pPr>
            <w:r w:rsidRPr="00354F5E">
              <w:rPr>
                <w:rFonts w:ascii="Arial Narrow" w:hAnsi="Arial Narrow"/>
                <w:sz w:val="20"/>
                <w:szCs w:val="20"/>
              </w:rPr>
              <w:t>SELECT PsA 2</w:t>
            </w:r>
          </w:p>
        </w:tc>
        <w:tc>
          <w:tcPr>
            <w:tcW w:w="713" w:type="pct"/>
            <w:tcBorders>
              <w:top w:val="nil"/>
              <w:left w:val="nil"/>
              <w:bottom w:val="nil"/>
              <w:right w:val="nil"/>
            </w:tcBorders>
          </w:tcPr>
          <w:p w:rsidR="00CD363C" w:rsidRPr="00354F5E" w:rsidRDefault="00CD363C" w:rsidP="00D12336">
            <w:pPr>
              <w:jc w:val="left"/>
              <w:rPr>
                <w:rFonts w:ascii="Arial Narrow" w:hAnsi="Arial Narrow"/>
                <w:sz w:val="20"/>
                <w:szCs w:val="20"/>
              </w:rPr>
            </w:pPr>
            <w:r w:rsidRPr="00354F5E">
              <w:rPr>
                <w:rFonts w:ascii="Arial Narrow" w:hAnsi="Arial Narrow"/>
                <w:sz w:val="20"/>
                <w:szCs w:val="20"/>
              </w:rPr>
              <w:t>67/211 (31.8)</w:t>
            </w:r>
          </w:p>
        </w:tc>
        <w:tc>
          <w:tcPr>
            <w:tcW w:w="803" w:type="pct"/>
            <w:tcBorders>
              <w:top w:val="nil"/>
              <w:left w:val="nil"/>
              <w:bottom w:val="nil"/>
              <w:right w:val="nil"/>
            </w:tcBorders>
          </w:tcPr>
          <w:p w:rsidR="00CD363C" w:rsidRPr="00354F5E" w:rsidRDefault="00CD363C" w:rsidP="00D12336">
            <w:pPr>
              <w:jc w:val="left"/>
              <w:rPr>
                <w:rFonts w:ascii="Arial Narrow" w:hAnsi="Arial Narrow"/>
                <w:sz w:val="20"/>
                <w:szCs w:val="20"/>
              </w:rPr>
            </w:pPr>
            <w:r w:rsidRPr="00354F5E">
              <w:rPr>
                <w:rFonts w:ascii="Arial Narrow" w:hAnsi="Arial Narrow"/>
                <w:sz w:val="20"/>
                <w:szCs w:val="20"/>
              </w:rPr>
              <w:t>10/212 (4.7)</w:t>
            </w:r>
          </w:p>
        </w:tc>
        <w:tc>
          <w:tcPr>
            <w:tcW w:w="802" w:type="pct"/>
            <w:tcBorders>
              <w:top w:val="nil"/>
              <w:left w:val="nil"/>
              <w:bottom w:val="nil"/>
              <w:right w:val="nil"/>
            </w:tcBorders>
          </w:tcPr>
          <w:p w:rsidR="00CD363C" w:rsidRPr="00354F5E" w:rsidRDefault="00CD363C" w:rsidP="00D12336">
            <w:pPr>
              <w:jc w:val="center"/>
              <w:rPr>
                <w:rFonts w:ascii="Arial Narrow" w:hAnsi="Arial Narrow"/>
                <w:b/>
                <w:bCs/>
                <w:sz w:val="20"/>
                <w:szCs w:val="20"/>
              </w:rPr>
            </w:pPr>
            <w:r w:rsidRPr="00354F5E">
              <w:rPr>
                <w:rFonts w:ascii="Arial Narrow" w:hAnsi="Arial Narrow"/>
                <w:b/>
                <w:sz w:val="20"/>
                <w:szCs w:val="20"/>
              </w:rPr>
              <w:t>9.40 (4.68, 18.89)</w:t>
            </w:r>
          </w:p>
        </w:tc>
        <w:tc>
          <w:tcPr>
            <w:tcW w:w="890" w:type="pct"/>
            <w:tcBorders>
              <w:top w:val="nil"/>
              <w:left w:val="nil"/>
              <w:bottom w:val="nil"/>
              <w:right w:val="nil"/>
            </w:tcBorders>
          </w:tcPr>
          <w:p w:rsidR="00CD363C" w:rsidRPr="00354F5E" w:rsidRDefault="00CD363C" w:rsidP="00D12336">
            <w:pPr>
              <w:jc w:val="center"/>
              <w:rPr>
                <w:rFonts w:ascii="Arial Narrow" w:hAnsi="Arial Narrow"/>
                <w:b/>
                <w:bCs/>
                <w:sz w:val="20"/>
                <w:szCs w:val="20"/>
              </w:rPr>
            </w:pPr>
            <w:r w:rsidRPr="00354F5E">
              <w:rPr>
                <w:rFonts w:ascii="Arial Narrow" w:hAnsi="Arial Narrow"/>
                <w:b/>
                <w:sz w:val="20"/>
                <w:szCs w:val="20"/>
              </w:rPr>
              <w:t>6.73 (3.56, 12.72)</w:t>
            </w:r>
          </w:p>
        </w:tc>
        <w:tc>
          <w:tcPr>
            <w:tcW w:w="804" w:type="pct"/>
            <w:tcBorders>
              <w:top w:val="nil"/>
              <w:left w:val="nil"/>
              <w:bottom w:val="nil"/>
              <w:right w:val="nil"/>
            </w:tcBorders>
          </w:tcPr>
          <w:p w:rsidR="00CD363C" w:rsidRPr="00354F5E" w:rsidRDefault="00CD363C" w:rsidP="00D12336">
            <w:pPr>
              <w:jc w:val="center"/>
              <w:rPr>
                <w:rFonts w:ascii="Arial Narrow" w:hAnsi="Arial Narrow"/>
                <w:b/>
                <w:bCs/>
                <w:sz w:val="20"/>
                <w:szCs w:val="20"/>
              </w:rPr>
            </w:pPr>
            <w:r w:rsidRPr="00354F5E">
              <w:rPr>
                <w:rFonts w:ascii="Arial Narrow" w:hAnsi="Arial Narrow"/>
                <w:b/>
                <w:sz w:val="20"/>
                <w:szCs w:val="20"/>
              </w:rPr>
              <w:t>27.0 (20.1, 33.9)</w:t>
            </w:r>
          </w:p>
        </w:tc>
      </w:tr>
      <w:tr w:rsidR="00CD363C" w:rsidRPr="00354F5E" w:rsidTr="00CD363C">
        <w:trPr>
          <w:trHeight w:val="218"/>
        </w:trPr>
        <w:tc>
          <w:tcPr>
            <w:tcW w:w="2504" w:type="pct"/>
            <w:gridSpan w:val="3"/>
            <w:tcBorders>
              <w:top w:val="nil"/>
              <w:left w:val="nil"/>
              <w:bottom w:val="nil"/>
              <w:right w:val="nil"/>
            </w:tcBorders>
            <w:vAlign w:val="center"/>
          </w:tcPr>
          <w:p w:rsidR="00CD363C" w:rsidRPr="00354F5E" w:rsidRDefault="00CD363C" w:rsidP="00D12336">
            <w:pPr>
              <w:jc w:val="left"/>
              <w:rPr>
                <w:rFonts w:ascii="Arial Narrow" w:hAnsi="Arial Narrow"/>
                <w:sz w:val="20"/>
                <w:szCs w:val="20"/>
              </w:rPr>
            </w:pPr>
            <w:r w:rsidRPr="00354F5E">
              <w:rPr>
                <w:rFonts w:ascii="Arial Narrow" w:hAnsi="Arial Narrow"/>
                <w:b/>
                <w:bCs/>
                <w:sz w:val="20"/>
                <w:szCs w:val="20"/>
              </w:rPr>
              <w:t>TOF v PBO</w:t>
            </w:r>
          </w:p>
        </w:tc>
        <w:tc>
          <w:tcPr>
            <w:tcW w:w="802" w:type="pct"/>
            <w:tcBorders>
              <w:top w:val="nil"/>
              <w:left w:val="nil"/>
              <w:bottom w:val="nil"/>
              <w:right w:val="nil"/>
            </w:tcBorders>
            <w:vAlign w:val="center"/>
          </w:tcPr>
          <w:p w:rsidR="00CD363C" w:rsidRPr="00354F5E" w:rsidRDefault="00CD363C" w:rsidP="00D12336">
            <w:pPr>
              <w:jc w:val="center"/>
              <w:rPr>
                <w:rFonts w:ascii="Arial Narrow" w:hAnsi="Arial Narrow"/>
                <w:b/>
                <w:bCs/>
                <w:sz w:val="20"/>
                <w:szCs w:val="20"/>
              </w:rPr>
            </w:pPr>
          </w:p>
        </w:tc>
        <w:tc>
          <w:tcPr>
            <w:tcW w:w="890" w:type="pct"/>
            <w:tcBorders>
              <w:top w:val="nil"/>
              <w:left w:val="nil"/>
              <w:bottom w:val="nil"/>
              <w:right w:val="nil"/>
            </w:tcBorders>
            <w:vAlign w:val="center"/>
          </w:tcPr>
          <w:p w:rsidR="00CD363C" w:rsidRPr="00354F5E" w:rsidRDefault="00CD363C" w:rsidP="00D12336">
            <w:pPr>
              <w:jc w:val="center"/>
              <w:rPr>
                <w:rFonts w:ascii="Arial Narrow" w:hAnsi="Arial Narrow"/>
                <w:b/>
                <w:bCs/>
                <w:sz w:val="20"/>
                <w:szCs w:val="20"/>
              </w:rPr>
            </w:pPr>
          </w:p>
        </w:tc>
        <w:tc>
          <w:tcPr>
            <w:tcW w:w="804" w:type="pct"/>
            <w:tcBorders>
              <w:top w:val="nil"/>
              <w:left w:val="nil"/>
              <w:bottom w:val="nil"/>
              <w:right w:val="nil"/>
            </w:tcBorders>
            <w:vAlign w:val="center"/>
          </w:tcPr>
          <w:p w:rsidR="00CD363C" w:rsidRPr="00354F5E" w:rsidRDefault="00CD363C" w:rsidP="00D12336">
            <w:pPr>
              <w:jc w:val="center"/>
              <w:rPr>
                <w:rFonts w:ascii="Arial Narrow" w:hAnsi="Arial Narrow"/>
                <w:b/>
                <w:bCs/>
                <w:sz w:val="20"/>
                <w:szCs w:val="20"/>
              </w:rPr>
            </w:pPr>
          </w:p>
        </w:tc>
      </w:tr>
      <w:tr w:rsidR="00CD363C" w:rsidRPr="00354F5E" w:rsidTr="00CD363C">
        <w:trPr>
          <w:trHeight w:val="218"/>
        </w:trPr>
        <w:tc>
          <w:tcPr>
            <w:tcW w:w="988" w:type="pct"/>
            <w:tcBorders>
              <w:top w:val="nil"/>
              <w:left w:val="nil"/>
              <w:bottom w:val="nil"/>
              <w:right w:val="nil"/>
            </w:tcBorders>
            <w:vAlign w:val="center"/>
          </w:tcPr>
          <w:p w:rsidR="00CD363C" w:rsidRPr="00354F5E" w:rsidRDefault="00CD363C" w:rsidP="00D12336">
            <w:pPr>
              <w:rPr>
                <w:rFonts w:ascii="Arial Narrow" w:hAnsi="Arial Narrow"/>
                <w:sz w:val="20"/>
                <w:szCs w:val="20"/>
              </w:rPr>
            </w:pPr>
            <w:r w:rsidRPr="00354F5E">
              <w:rPr>
                <w:rFonts w:ascii="Arial Narrow" w:hAnsi="Arial Narrow"/>
                <w:sz w:val="20"/>
                <w:szCs w:val="20"/>
              </w:rPr>
              <w:t>OPAL-BEYOND</w:t>
            </w:r>
          </w:p>
        </w:tc>
        <w:tc>
          <w:tcPr>
            <w:tcW w:w="713" w:type="pct"/>
            <w:tcBorders>
              <w:top w:val="nil"/>
              <w:left w:val="nil"/>
              <w:bottom w:val="nil"/>
              <w:right w:val="nil"/>
            </w:tcBorders>
          </w:tcPr>
          <w:p w:rsidR="00CD363C" w:rsidRPr="00354F5E" w:rsidRDefault="00CD363C" w:rsidP="00D12336">
            <w:pPr>
              <w:jc w:val="left"/>
              <w:rPr>
                <w:rFonts w:ascii="Arial Narrow" w:hAnsi="Arial Narrow"/>
                <w:sz w:val="20"/>
                <w:szCs w:val="20"/>
              </w:rPr>
            </w:pPr>
            <w:r w:rsidRPr="00354F5E">
              <w:rPr>
                <w:rFonts w:ascii="Arial Narrow" w:hAnsi="Arial Narrow"/>
                <w:sz w:val="20"/>
                <w:szCs w:val="20"/>
              </w:rPr>
              <w:t>39/131 (29.8)</w:t>
            </w:r>
          </w:p>
        </w:tc>
        <w:tc>
          <w:tcPr>
            <w:tcW w:w="803" w:type="pct"/>
            <w:tcBorders>
              <w:top w:val="nil"/>
              <w:left w:val="nil"/>
              <w:bottom w:val="nil"/>
              <w:right w:val="nil"/>
            </w:tcBorders>
          </w:tcPr>
          <w:p w:rsidR="00CD363C" w:rsidRPr="00354F5E" w:rsidRDefault="00CD363C" w:rsidP="00D12336">
            <w:pPr>
              <w:jc w:val="left"/>
              <w:rPr>
                <w:rFonts w:ascii="Arial Narrow" w:hAnsi="Arial Narrow"/>
                <w:i/>
                <w:sz w:val="20"/>
                <w:szCs w:val="20"/>
              </w:rPr>
            </w:pPr>
            <w:r w:rsidRPr="00354F5E">
              <w:rPr>
                <w:rFonts w:ascii="Arial Narrow" w:hAnsi="Arial Narrow"/>
                <w:i/>
                <w:sz w:val="20"/>
                <w:szCs w:val="20"/>
              </w:rPr>
              <w:t>19/131 (14.5)*</w:t>
            </w:r>
          </w:p>
        </w:tc>
        <w:tc>
          <w:tcPr>
            <w:tcW w:w="802" w:type="pct"/>
            <w:tcBorders>
              <w:top w:val="nil"/>
              <w:left w:val="nil"/>
              <w:bottom w:val="nil"/>
              <w:right w:val="nil"/>
            </w:tcBorders>
          </w:tcPr>
          <w:p w:rsidR="00CD363C" w:rsidRPr="00354F5E" w:rsidRDefault="00CD363C" w:rsidP="00D12336">
            <w:pPr>
              <w:jc w:val="center"/>
              <w:rPr>
                <w:rFonts w:ascii="Arial Narrow" w:hAnsi="Arial Narrow"/>
                <w:b/>
                <w:bCs/>
                <w:i/>
                <w:sz w:val="20"/>
                <w:szCs w:val="20"/>
              </w:rPr>
            </w:pPr>
            <w:r w:rsidRPr="00354F5E">
              <w:rPr>
                <w:rFonts w:ascii="Arial Narrow" w:hAnsi="Arial Narrow"/>
                <w:b/>
                <w:i/>
                <w:sz w:val="20"/>
                <w:szCs w:val="20"/>
              </w:rPr>
              <w:t>2.49 (1.30, 4.89)</w:t>
            </w:r>
          </w:p>
        </w:tc>
        <w:tc>
          <w:tcPr>
            <w:tcW w:w="890" w:type="pct"/>
            <w:tcBorders>
              <w:top w:val="nil"/>
              <w:left w:val="nil"/>
              <w:bottom w:val="nil"/>
              <w:right w:val="nil"/>
            </w:tcBorders>
          </w:tcPr>
          <w:p w:rsidR="00CD363C" w:rsidRPr="00354F5E" w:rsidRDefault="00CD363C" w:rsidP="00D12336">
            <w:pPr>
              <w:jc w:val="center"/>
              <w:rPr>
                <w:rFonts w:ascii="Arial Narrow" w:hAnsi="Arial Narrow"/>
                <w:b/>
                <w:bCs/>
                <w:i/>
                <w:sz w:val="20"/>
                <w:szCs w:val="20"/>
              </w:rPr>
            </w:pPr>
            <w:r w:rsidRPr="00354F5E">
              <w:rPr>
                <w:rFonts w:ascii="Arial Narrow" w:hAnsi="Arial Narrow"/>
                <w:b/>
                <w:i/>
                <w:sz w:val="20"/>
                <w:szCs w:val="20"/>
              </w:rPr>
              <w:t>2.05 (1.26, 3.36)</w:t>
            </w:r>
          </w:p>
        </w:tc>
        <w:tc>
          <w:tcPr>
            <w:tcW w:w="804" w:type="pct"/>
            <w:tcBorders>
              <w:top w:val="nil"/>
              <w:left w:val="nil"/>
              <w:bottom w:val="nil"/>
              <w:right w:val="nil"/>
            </w:tcBorders>
          </w:tcPr>
          <w:p w:rsidR="00CD363C" w:rsidRPr="00354F5E" w:rsidRDefault="00CD363C" w:rsidP="00D12336">
            <w:pPr>
              <w:jc w:val="center"/>
              <w:rPr>
                <w:rFonts w:ascii="Arial Narrow" w:hAnsi="Arial Narrow"/>
                <w:b/>
                <w:bCs/>
                <w:i/>
                <w:sz w:val="20"/>
                <w:szCs w:val="20"/>
              </w:rPr>
            </w:pPr>
            <w:r w:rsidRPr="00354F5E">
              <w:rPr>
                <w:rFonts w:ascii="Arial Narrow" w:hAnsi="Arial Narrow"/>
                <w:b/>
                <w:i/>
                <w:sz w:val="20"/>
                <w:szCs w:val="20"/>
              </w:rPr>
              <w:t>15.3 (5.3, 25.2)</w:t>
            </w:r>
          </w:p>
        </w:tc>
      </w:tr>
      <w:tr w:rsidR="00CD363C" w:rsidRPr="00354F5E" w:rsidTr="00CD363C">
        <w:trPr>
          <w:trHeight w:val="40"/>
        </w:trPr>
        <w:tc>
          <w:tcPr>
            <w:tcW w:w="2504" w:type="pct"/>
            <w:gridSpan w:val="3"/>
            <w:tcBorders>
              <w:top w:val="double" w:sz="4" w:space="0" w:color="auto"/>
              <w:left w:val="nil"/>
              <w:bottom w:val="nil"/>
              <w:right w:val="nil"/>
            </w:tcBorders>
            <w:vAlign w:val="center"/>
          </w:tcPr>
          <w:p w:rsidR="00CD363C" w:rsidRPr="00354F5E" w:rsidRDefault="00CD363C" w:rsidP="00D12336">
            <w:pPr>
              <w:rPr>
                <w:rFonts w:ascii="Arial Narrow" w:hAnsi="Arial Narrow"/>
                <w:color w:val="9BBB59" w:themeColor="accent3"/>
                <w:sz w:val="20"/>
                <w:szCs w:val="20"/>
              </w:rPr>
            </w:pPr>
            <w:r w:rsidRPr="00354F5E">
              <w:rPr>
                <w:rFonts w:ascii="Arial Narrow" w:hAnsi="Arial Narrow"/>
                <w:b/>
                <w:bCs/>
                <w:sz w:val="20"/>
                <w:szCs w:val="20"/>
              </w:rPr>
              <w:t>Indirect Comparisons</w:t>
            </w:r>
          </w:p>
        </w:tc>
        <w:tc>
          <w:tcPr>
            <w:tcW w:w="802" w:type="pct"/>
            <w:tcBorders>
              <w:top w:val="double" w:sz="4" w:space="0" w:color="auto"/>
              <w:left w:val="nil"/>
              <w:bottom w:val="nil"/>
              <w:right w:val="nil"/>
            </w:tcBorders>
            <w:vAlign w:val="center"/>
          </w:tcPr>
          <w:p w:rsidR="00CD363C" w:rsidRPr="00354F5E" w:rsidRDefault="00CD363C" w:rsidP="00D12336">
            <w:pPr>
              <w:jc w:val="center"/>
              <w:rPr>
                <w:rFonts w:ascii="Arial Narrow" w:hAnsi="Arial Narrow"/>
                <w:iCs/>
                <w:sz w:val="20"/>
                <w:szCs w:val="20"/>
              </w:rPr>
            </w:pPr>
          </w:p>
        </w:tc>
        <w:tc>
          <w:tcPr>
            <w:tcW w:w="890" w:type="pct"/>
            <w:tcBorders>
              <w:top w:val="double" w:sz="4" w:space="0" w:color="auto"/>
              <w:left w:val="nil"/>
              <w:bottom w:val="nil"/>
              <w:right w:val="nil"/>
            </w:tcBorders>
            <w:vAlign w:val="center"/>
          </w:tcPr>
          <w:p w:rsidR="00CD363C" w:rsidRPr="00354F5E" w:rsidRDefault="00CD363C" w:rsidP="00D12336">
            <w:pPr>
              <w:jc w:val="center"/>
              <w:rPr>
                <w:rFonts w:ascii="Arial Narrow" w:hAnsi="Arial Narrow"/>
                <w:iCs/>
                <w:sz w:val="20"/>
                <w:szCs w:val="20"/>
              </w:rPr>
            </w:pPr>
          </w:p>
        </w:tc>
        <w:tc>
          <w:tcPr>
            <w:tcW w:w="804" w:type="pct"/>
            <w:tcBorders>
              <w:top w:val="double" w:sz="4" w:space="0" w:color="auto"/>
              <w:left w:val="nil"/>
              <w:bottom w:val="nil"/>
              <w:right w:val="nil"/>
            </w:tcBorders>
            <w:vAlign w:val="center"/>
          </w:tcPr>
          <w:p w:rsidR="00CD363C" w:rsidRPr="00354F5E" w:rsidRDefault="00CD363C" w:rsidP="00D12336">
            <w:pPr>
              <w:jc w:val="center"/>
              <w:rPr>
                <w:rFonts w:ascii="Arial Narrow" w:hAnsi="Arial Narrow"/>
                <w:iCs/>
                <w:sz w:val="20"/>
                <w:szCs w:val="20"/>
              </w:rPr>
            </w:pPr>
          </w:p>
        </w:tc>
      </w:tr>
      <w:tr w:rsidR="00CD363C" w:rsidRPr="00354F5E" w:rsidTr="00CD363C">
        <w:trPr>
          <w:trHeight w:val="70"/>
        </w:trPr>
        <w:tc>
          <w:tcPr>
            <w:tcW w:w="2504" w:type="pct"/>
            <w:gridSpan w:val="3"/>
            <w:tcBorders>
              <w:top w:val="nil"/>
              <w:left w:val="nil"/>
              <w:bottom w:val="nil"/>
              <w:right w:val="nil"/>
            </w:tcBorders>
            <w:vAlign w:val="center"/>
          </w:tcPr>
          <w:p w:rsidR="00CD363C" w:rsidRPr="00354F5E" w:rsidRDefault="00CD363C" w:rsidP="00D12336">
            <w:pPr>
              <w:jc w:val="left"/>
              <w:rPr>
                <w:rFonts w:ascii="Arial Narrow" w:hAnsi="Arial Narrow"/>
                <w:b/>
                <w:bCs/>
                <w:color w:val="76923C" w:themeColor="accent3" w:themeShade="BF"/>
                <w:sz w:val="20"/>
                <w:szCs w:val="20"/>
                <w:u w:val="single"/>
              </w:rPr>
            </w:pPr>
            <w:r w:rsidRPr="00354F5E">
              <w:rPr>
                <w:rFonts w:ascii="Arial Narrow" w:hAnsi="Arial Narrow"/>
                <w:b/>
                <w:bCs/>
                <w:color w:val="76923C" w:themeColor="accent3" w:themeShade="BF"/>
                <w:sz w:val="20"/>
                <w:szCs w:val="20"/>
                <w:u w:val="single"/>
              </w:rPr>
              <w:t>cDMARD-IR population</w:t>
            </w:r>
          </w:p>
        </w:tc>
        <w:tc>
          <w:tcPr>
            <w:tcW w:w="802" w:type="pct"/>
            <w:tcBorders>
              <w:top w:val="nil"/>
              <w:left w:val="nil"/>
              <w:bottom w:val="nil"/>
              <w:right w:val="nil"/>
            </w:tcBorders>
            <w:vAlign w:val="center"/>
          </w:tcPr>
          <w:p w:rsidR="00CD363C" w:rsidRPr="00354F5E" w:rsidRDefault="00CD363C" w:rsidP="00D12336">
            <w:pPr>
              <w:jc w:val="center"/>
              <w:rPr>
                <w:rFonts w:ascii="Arial Narrow" w:hAnsi="Arial Narrow"/>
                <w:iCs/>
                <w:sz w:val="20"/>
                <w:szCs w:val="20"/>
              </w:rPr>
            </w:pPr>
          </w:p>
        </w:tc>
        <w:tc>
          <w:tcPr>
            <w:tcW w:w="890" w:type="pct"/>
            <w:tcBorders>
              <w:top w:val="nil"/>
              <w:left w:val="nil"/>
              <w:bottom w:val="nil"/>
              <w:right w:val="nil"/>
            </w:tcBorders>
            <w:vAlign w:val="center"/>
          </w:tcPr>
          <w:p w:rsidR="00CD363C" w:rsidRPr="00354F5E" w:rsidRDefault="00CD363C" w:rsidP="00D12336">
            <w:pPr>
              <w:jc w:val="center"/>
              <w:rPr>
                <w:rFonts w:ascii="Arial Narrow" w:hAnsi="Arial Narrow"/>
                <w:iCs/>
                <w:sz w:val="20"/>
                <w:szCs w:val="20"/>
              </w:rPr>
            </w:pPr>
          </w:p>
        </w:tc>
        <w:tc>
          <w:tcPr>
            <w:tcW w:w="804" w:type="pct"/>
            <w:tcBorders>
              <w:top w:val="nil"/>
              <w:left w:val="nil"/>
              <w:bottom w:val="nil"/>
              <w:right w:val="nil"/>
            </w:tcBorders>
            <w:vAlign w:val="center"/>
          </w:tcPr>
          <w:p w:rsidR="00CD363C" w:rsidRPr="00354F5E" w:rsidRDefault="00CD363C" w:rsidP="00D12336">
            <w:pPr>
              <w:jc w:val="center"/>
              <w:rPr>
                <w:rFonts w:ascii="Arial Narrow" w:hAnsi="Arial Narrow"/>
                <w:iCs/>
                <w:sz w:val="20"/>
                <w:szCs w:val="20"/>
              </w:rPr>
            </w:pPr>
          </w:p>
        </w:tc>
      </w:tr>
      <w:tr w:rsidR="00CD363C" w:rsidRPr="00354F5E" w:rsidTr="00CD363C">
        <w:trPr>
          <w:trHeight w:val="70"/>
        </w:trPr>
        <w:tc>
          <w:tcPr>
            <w:tcW w:w="2504" w:type="pct"/>
            <w:gridSpan w:val="3"/>
            <w:tcBorders>
              <w:top w:val="nil"/>
              <w:left w:val="nil"/>
              <w:bottom w:val="nil"/>
              <w:right w:val="nil"/>
            </w:tcBorders>
            <w:vAlign w:val="center"/>
          </w:tcPr>
          <w:p w:rsidR="00CD363C" w:rsidRPr="00354F5E" w:rsidRDefault="00CD363C" w:rsidP="00D12336">
            <w:pPr>
              <w:jc w:val="left"/>
              <w:rPr>
                <w:rFonts w:ascii="Arial Narrow" w:hAnsi="Arial Narrow"/>
                <w:b/>
                <w:bCs/>
                <w:color w:val="76923C" w:themeColor="accent3" w:themeShade="BF"/>
                <w:sz w:val="20"/>
                <w:szCs w:val="20"/>
              </w:rPr>
            </w:pPr>
            <w:r w:rsidRPr="00354F5E">
              <w:rPr>
                <w:rFonts w:ascii="Arial Narrow" w:hAnsi="Arial Narrow"/>
                <w:b/>
                <w:bCs/>
                <w:sz w:val="20"/>
                <w:szCs w:val="20"/>
              </w:rPr>
              <w:t>UPA v TOF</w:t>
            </w:r>
          </w:p>
        </w:tc>
        <w:tc>
          <w:tcPr>
            <w:tcW w:w="802" w:type="pct"/>
            <w:tcBorders>
              <w:top w:val="nil"/>
              <w:left w:val="nil"/>
              <w:bottom w:val="nil"/>
              <w:right w:val="nil"/>
            </w:tcBorders>
            <w:vAlign w:val="center"/>
          </w:tcPr>
          <w:p w:rsidR="00CD363C" w:rsidRPr="00354F5E" w:rsidRDefault="00CD363C" w:rsidP="00D12336">
            <w:pPr>
              <w:jc w:val="center"/>
              <w:rPr>
                <w:rFonts w:ascii="Arial Narrow" w:hAnsi="Arial Narrow"/>
                <w:iCs/>
                <w:sz w:val="20"/>
                <w:szCs w:val="20"/>
              </w:rPr>
            </w:pPr>
          </w:p>
        </w:tc>
        <w:tc>
          <w:tcPr>
            <w:tcW w:w="890" w:type="pct"/>
            <w:tcBorders>
              <w:top w:val="nil"/>
              <w:left w:val="nil"/>
              <w:bottom w:val="nil"/>
              <w:right w:val="nil"/>
            </w:tcBorders>
            <w:vAlign w:val="center"/>
          </w:tcPr>
          <w:p w:rsidR="00CD363C" w:rsidRPr="00354F5E" w:rsidRDefault="00CD363C" w:rsidP="00D12336">
            <w:pPr>
              <w:jc w:val="center"/>
              <w:rPr>
                <w:rFonts w:ascii="Arial Narrow" w:hAnsi="Arial Narrow"/>
                <w:iCs/>
                <w:sz w:val="20"/>
                <w:szCs w:val="20"/>
              </w:rPr>
            </w:pPr>
          </w:p>
        </w:tc>
        <w:tc>
          <w:tcPr>
            <w:tcW w:w="804" w:type="pct"/>
            <w:tcBorders>
              <w:top w:val="nil"/>
              <w:left w:val="nil"/>
              <w:bottom w:val="nil"/>
              <w:right w:val="nil"/>
            </w:tcBorders>
            <w:vAlign w:val="center"/>
          </w:tcPr>
          <w:p w:rsidR="00CD363C" w:rsidRPr="00354F5E" w:rsidRDefault="00CD363C" w:rsidP="00D12336">
            <w:pPr>
              <w:jc w:val="center"/>
              <w:rPr>
                <w:rFonts w:ascii="Arial Narrow" w:hAnsi="Arial Narrow"/>
                <w:iCs/>
                <w:sz w:val="20"/>
                <w:szCs w:val="20"/>
              </w:rPr>
            </w:pPr>
          </w:p>
        </w:tc>
      </w:tr>
      <w:tr w:rsidR="00CD363C" w:rsidRPr="00354F5E" w:rsidTr="00CD363C">
        <w:trPr>
          <w:trHeight w:val="234"/>
        </w:trPr>
        <w:tc>
          <w:tcPr>
            <w:tcW w:w="2504" w:type="pct"/>
            <w:gridSpan w:val="3"/>
            <w:tcBorders>
              <w:top w:val="nil"/>
              <w:left w:val="nil"/>
              <w:bottom w:val="nil"/>
              <w:right w:val="nil"/>
            </w:tcBorders>
            <w:vAlign w:val="center"/>
          </w:tcPr>
          <w:p w:rsidR="00CD363C" w:rsidRPr="00354F5E" w:rsidRDefault="00CD363C" w:rsidP="00D12336">
            <w:pPr>
              <w:jc w:val="left"/>
              <w:rPr>
                <w:rFonts w:ascii="Arial Narrow" w:hAnsi="Arial Narrow"/>
                <w:sz w:val="20"/>
                <w:szCs w:val="20"/>
              </w:rPr>
            </w:pPr>
            <w:r w:rsidRPr="00354F5E">
              <w:rPr>
                <w:rFonts w:ascii="Arial Narrow" w:hAnsi="Arial Narrow"/>
                <w:sz w:val="20"/>
                <w:szCs w:val="20"/>
              </w:rPr>
              <w:t>UPA (SELECT PsA 1) v TOF (OPAL-BROADEN) via PBO</w:t>
            </w:r>
          </w:p>
        </w:tc>
        <w:tc>
          <w:tcPr>
            <w:tcW w:w="802" w:type="pct"/>
            <w:tcBorders>
              <w:top w:val="nil"/>
              <w:left w:val="nil"/>
              <w:bottom w:val="nil"/>
              <w:right w:val="nil"/>
            </w:tcBorders>
            <w:shd w:val="clear" w:color="auto" w:fill="auto"/>
          </w:tcPr>
          <w:p w:rsidR="00CD363C" w:rsidRPr="00354F5E" w:rsidRDefault="00CD363C" w:rsidP="00D12336">
            <w:pPr>
              <w:jc w:val="center"/>
              <w:rPr>
                <w:rFonts w:ascii="Arial Narrow" w:hAnsi="Arial Narrow"/>
                <w:sz w:val="20"/>
                <w:szCs w:val="20"/>
              </w:rPr>
            </w:pPr>
            <w:r w:rsidRPr="00354F5E">
              <w:rPr>
                <w:rFonts w:ascii="Arial Narrow" w:hAnsi="Arial Narrow"/>
                <w:sz w:val="20"/>
                <w:szCs w:val="20"/>
              </w:rPr>
              <w:t>1.06 (0.46,2.48)</w:t>
            </w:r>
          </w:p>
        </w:tc>
        <w:tc>
          <w:tcPr>
            <w:tcW w:w="890" w:type="pct"/>
            <w:tcBorders>
              <w:top w:val="nil"/>
              <w:left w:val="nil"/>
              <w:bottom w:val="nil"/>
              <w:right w:val="nil"/>
            </w:tcBorders>
            <w:shd w:val="clear" w:color="auto" w:fill="auto"/>
          </w:tcPr>
          <w:p w:rsidR="00CD363C" w:rsidRPr="00354F5E" w:rsidRDefault="00CD363C" w:rsidP="00D12336">
            <w:pPr>
              <w:jc w:val="center"/>
              <w:rPr>
                <w:rFonts w:ascii="Arial Narrow" w:hAnsi="Arial Narrow"/>
                <w:sz w:val="20"/>
                <w:szCs w:val="20"/>
              </w:rPr>
            </w:pPr>
            <w:r w:rsidRPr="00354F5E">
              <w:rPr>
                <w:rFonts w:ascii="Arial Narrow" w:hAnsi="Arial Narrow"/>
                <w:sz w:val="20"/>
                <w:szCs w:val="20"/>
              </w:rPr>
              <w:t>0.96 (0.47, 1.97)</w:t>
            </w:r>
          </w:p>
        </w:tc>
        <w:tc>
          <w:tcPr>
            <w:tcW w:w="804" w:type="pct"/>
            <w:tcBorders>
              <w:top w:val="nil"/>
              <w:left w:val="nil"/>
              <w:bottom w:val="nil"/>
              <w:right w:val="nil"/>
            </w:tcBorders>
            <w:shd w:val="clear" w:color="auto" w:fill="auto"/>
          </w:tcPr>
          <w:p w:rsidR="00CD363C" w:rsidRPr="00354F5E" w:rsidRDefault="00CD363C" w:rsidP="00D12336">
            <w:pPr>
              <w:jc w:val="center"/>
              <w:rPr>
                <w:rFonts w:ascii="Arial Narrow" w:hAnsi="Arial Narrow"/>
                <w:sz w:val="20"/>
                <w:szCs w:val="20"/>
              </w:rPr>
            </w:pPr>
            <w:r w:rsidRPr="00354F5E">
              <w:rPr>
                <w:rFonts w:ascii="Arial Narrow" w:hAnsi="Arial Narrow"/>
                <w:sz w:val="20"/>
                <w:szCs w:val="20"/>
              </w:rPr>
              <w:t>5.8 (-5.9, 17.4)</w:t>
            </w:r>
          </w:p>
        </w:tc>
      </w:tr>
      <w:tr w:rsidR="00CD363C" w:rsidRPr="00354F5E" w:rsidTr="00CD363C">
        <w:trPr>
          <w:trHeight w:val="234"/>
        </w:trPr>
        <w:tc>
          <w:tcPr>
            <w:tcW w:w="2504" w:type="pct"/>
            <w:gridSpan w:val="3"/>
            <w:tcBorders>
              <w:top w:val="nil"/>
              <w:left w:val="nil"/>
              <w:bottom w:val="nil"/>
              <w:right w:val="nil"/>
            </w:tcBorders>
            <w:vAlign w:val="center"/>
          </w:tcPr>
          <w:p w:rsidR="00CD363C" w:rsidRPr="00354F5E" w:rsidRDefault="00CD363C" w:rsidP="00D12336">
            <w:pPr>
              <w:jc w:val="left"/>
              <w:rPr>
                <w:rFonts w:ascii="Arial Narrow" w:hAnsi="Arial Narrow"/>
                <w:sz w:val="20"/>
                <w:szCs w:val="20"/>
              </w:rPr>
            </w:pPr>
            <w:r w:rsidRPr="00354F5E">
              <w:rPr>
                <w:rFonts w:ascii="Arial Narrow" w:hAnsi="Arial Narrow"/>
                <w:sz w:val="20"/>
                <w:szCs w:val="20"/>
              </w:rPr>
              <w:t>UPA (SELECT PsA 1) v TOF (OPAL-BROADEN) via ADA</w:t>
            </w:r>
          </w:p>
        </w:tc>
        <w:tc>
          <w:tcPr>
            <w:tcW w:w="802" w:type="pct"/>
            <w:tcBorders>
              <w:top w:val="nil"/>
              <w:left w:val="nil"/>
              <w:bottom w:val="nil"/>
              <w:right w:val="nil"/>
            </w:tcBorders>
            <w:shd w:val="clear" w:color="auto" w:fill="auto"/>
          </w:tcPr>
          <w:p w:rsidR="00CD363C" w:rsidRPr="00354F5E" w:rsidRDefault="00CD363C" w:rsidP="00D12336">
            <w:pPr>
              <w:jc w:val="center"/>
              <w:rPr>
                <w:rFonts w:ascii="Arial Narrow" w:hAnsi="Arial Narrow"/>
                <w:sz w:val="20"/>
                <w:szCs w:val="20"/>
              </w:rPr>
            </w:pPr>
            <w:r w:rsidRPr="00354F5E">
              <w:rPr>
                <w:rFonts w:ascii="Arial Narrow" w:hAnsi="Arial Narrow"/>
                <w:sz w:val="20"/>
                <w:szCs w:val="20"/>
              </w:rPr>
              <w:t>1.27</w:t>
            </w:r>
            <w:r w:rsidR="009434AA" w:rsidRPr="00354F5E">
              <w:rPr>
                <w:rFonts w:ascii="Arial Narrow" w:hAnsi="Arial Narrow"/>
                <w:sz w:val="20"/>
                <w:szCs w:val="20"/>
              </w:rPr>
              <w:t xml:space="preserve"> </w:t>
            </w:r>
            <w:r w:rsidRPr="00354F5E">
              <w:rPr>
                <w:rFonts w:ascii="Arial Narrow" w:hAnsi="Arial Narrow"/>
                <w:sz w:val="20"/>
                <w:szCs w:val="20"/>
              </w:rPr>
              <w:t>(0.66, 2.42)</w:t>
            </w:r>
          </w:p>
        </w:tc>
        <w:tc>
          <w:tcPr>
            <w:tcW w:w="890" w:type="pct"/>
            <w:tcBorders>
              <w:top w:val="nil"/>
              <w:left w:val="nil"/>
              <w:bottom w:val="nil"/>
              <w:right w:val="nil"/>
            </w:tcBorders>
            <w:shd w:val="clear" w:color="auto" w:fill="auto"/>
          </w:tcPr>
          <w:p w:rsidR="00CD363C" w:rsidRPr="00354F5E" w:rsidRDefault="00CD363C" w:rsidP="00D12336">
            <w:pPr>
              <w:jc w:val="center"/>
              <w:rPr>
                <w:rFonts w:ascii="Arial Narrow" w:hAnsi="Arial Narrow"/>
                <w:sz w:val="20"/>
                <w:szCs w:val="20"/>
              </w:rPr>
            </w:pPr>
            <w:r w:rsidRPr="00354F5E">
              <w:rPr>
                <w:rFonts w:ascii="Arial Narrow" w:hAnsi="Arial Narrow"/>
                <w:sz w:val="20"/>
                <w:szCs w:val="20"/>
              </w:rPr>
              <w:t>1.18 (0.76, 1.83)</w:t>
            </w:r>
          </w:p>
        </w:tc>
        <w:tc>
          <w:tcPr>
            <w:tcW w:w="804" w:type="pct"/>
            <w:tcBorders>
              <w:top w:val="nil"/>
              <w:left w:val="nil"/>
              <w:bottom w:val="nil"/>
              <w:right w:val="nil"/>
            </w:tcBorders>
            <w:shd w:val="clear" w:color="auto" w:fill="auto"/>
          </w:tcPr>
          <w:p w:rsidR="00CD363C" w:rsidRPr="00354F5E" w:rsidRDefault="00CD363C" w:rsidP="00D12336">
            <w:pPr>
              <w:jc w:val="center"/>
              <w:rPr>
                <w:rFonts w:ascii="Arial Narrow" w:hAnsi="Arial Narrow"/>
                <w:sz w:val="20"/>
                <w:szCs w:val="20"/>
              </w:rPr>
            </w:pPr>
            <w:r w:rsidRPr="00354F5E">
              <w:rPr>
                <w:rFonts w:ascii="Arial Narrow" w:hAnsi="Arial Narrow"/>
                <w:sz w:val="20"/>
                <w:szCs w:val="20"/>
              </w:rPr>
              <w:t>5.0 (-9.0, 18.9)</w:t>
            </w:r>
          </w:p>
        </w:tc>
      </w:tr>
      <w:tr w:rsidR="00CD363C" w:rsidRPr="00354F5E" w:rsidTr="00CD363C">
        <w:trPr>
          <w:trHeight w:val="60"/>
        </w:trPr>
        <w:tc>
          <w:tcPr>
            <w:tcW w:w="2504" w:type="pct"/>
            <w:gridSpan w:val="3"/>
            <w:tcBorders>
              <w:top w:val="single" w:sz="4" w:space="0" w:color="auto"/>
              <w:left w:val="nil"/>
              <w:bottom w:val="nil"/>
              <w:right w:val="nil"/>
            </w:tcBorders>
            <w:vAlign w:val="center"/>
          </w:tcPr>
          <w:p w:rsidR="00CD363C" w:rsidRPr="00354F5E" w:rsidRDefault="00CD363C" w:rsidP="00D12336">
            <w:pPr>
              <w:jc w:val="left"/>
              <w:rPr>
                <w:rFonts w:ascii="Arial Narrow" w:hAnsi="Arial Narrow"/>
                <w:color w:val="4F81BD" w:themeColor="accent1"/>
                <w:sz w:val="20"/>
                <w:szCs w:val="20"/>
                <w:u w:val="single"/>
              </w:rPr>
            </w:pPr>
            <w:r w:rsidRPr="00354F5E">
              <w:rPr>
                <w:rFonts w:ascii="Arial Narrow" w:hAnsi="Arial Narrow"/>
                <w:b/>
                <w:bCs/>
                <w:color w:val="31849B" w:themeColor="accent5" w:themeShade="BF"/>
                <w:sz w:val="20"/>
                <w:szCs w:val="20"/>
                <w:u w:val="single"/>
              </w:rPr>
              <w:t>bDMARD-IR population</w:t>
            </w:r>
          </w:p>
        </w:tc>
        <w:tc>
          <w:tcPr>
            <w:tcW w:w="802" w:type="pct"/>
            <w:tcBorders>
              <w:top w:val="single" w:sz="4" w:space="0" w:color="auto"/>
              <w:left w:val="nil"/>
              <w:bottom w:val="nil"/>
              <w:right w:val="nil"/>
            </w:tcBorders>
            <w:shd w:val="clear" w:color="auto" w:fill="auto"/>
            <w:vAlign w:val="center"/>
          </w:tcPr>
          <w:p w:rsidR="00CD363C" w:rsidRPr="00354F5E" w:rsidRDefault="00CD363C" w:rsidP="00D12336">
            <w:pPr>
              <w:jc w:val="center"/>
              <w:rPr>
                <w:rFonts w:ascii="Arial Narrow" w:hAnsi="Arial Narrow"/>
                <w:iCs/>
                <w:sz w:val="20"/>
                <w:szCs w:val="20"/>
              </w:rPr>
            </w:pPr>
          </w:p>
        </w:tc>
        <w:tc>
          <w:tcPr>
            <w:tcW w:w="890" w:type="pct"/>
            <w:tcBorders>
              <w:top w:val="single" w:sz="4" w:space="0" w:color="auto"/>
              <w:left w:val="nil"/>
              <w:bottom w:val="nil"/>
              <w:right w:val="nil"/>
            </w:tcBorders>
            <w:shd w:val="clear" w:color="auto" w:fill="auto"/>
            <w:vAlign w:val="center"/>
          </w:tcPr>
          <w:p w:rsidR="00CD363C" w:rsidRPr="00354F5E" w:rsidRDefault="00CD363C" w:rsidP="00D12336">
            <w:pPr>
              <w:jc w:val="center"/>
              <w:rPr>
                <w:rFonts w:ascii="Arial Narrow" w:hAnsi="Arial Narrow"/>
                <w:iCs/>
                <w:sz w:val="20"/>
                <w:szCs w:val="20"/>
              </w:rPr>
            </w:pPr>
          </w:p>
        </w:tc>
        <w:tc>
          <w:tcPr>
            <w:tcW w:w="804" w:type="pct"/>
            <w:tcBorders>
              <w:top w:val="single" w:sz="4" w:space="0" w:color="auto"/>
              <w:left w:val="nil"/>
              <w:bottom w:val="nil"/>
              <w:right w:val="nil"/>
            </w:tcBorders>
            <w:shd w:val="clear" w:color="auto" w:fill="auto"/>
            <w:vAlign w:val="center"/>
          </w:tcPr>
          <w:p w:rsidR="00CD363C" w:rsidRPr="00354F5E" w:rsidRDefault="00CD363C" w:rsidP="00D12336">
            <w:pPr>
              <w:jc w:val="center"/>
              <w:rPr>
                <w:rFonts w:ascii="Arial Narrow" w:hAnsi="Arial Narrow"/>
                <w:iCs/>
                <w:sz w:val="20"/>
                <w:szCs w:val="20"/>
              </w:rPr>
            </w:pPr>
          </w:p>
        </w:tc>
      </w:tr>
      <w:tr w:rsidR="00CD363C" w:rsidRPr="00354F5E" w:rsidTr="00CD363C">
        <w:trPr>
          <w:trHeight w:val="70"/>
        </w:trPr>
        <w:tc>
          <w:tcPr>
            <w:tcW w:w="2504" w:type="pct"/>
            <w:gridSpan w:val="3"/>
            <w:tcBorders>
              <w:top w:val="nil"/>
              <w:left w:val="nil"/>
              <w:bottom w:val="nil"/>
              <w:right w:val="nil"/>
            </w:tcBorders>
            <w:vAlign w:val="center"/>
          </w:tcPr>
          <w:p w:rsidR="00CD363C" w:rsidRPr="00354F5E" w:rsidRDefault="00CD363C" w:rsidP="00D12336">
            <w:pPr>
              <w:rPr>
                <w:rFonts w:ascii="Arial Narrow" w:hAnsi="Arial Narrow"/>
                <w:b/>
                <w:sz w:val="20"/>
                <w:szCs w:val="20"/>
              </w:rPr>
            </w:pPr>
            <w:r w:rsidRPr="00354F5E">
              <w:rPr>
                <w:rFonts w:ascii="Arial Narrow" w:hAnsi="Arial Narrow"/>
                <w:b/>
                <w:bCs/>
                <w:sz w:val="20"/>
                <w:szCs w:val="20"/>
              </w:rPr>
              <w:t>UPA v TOF</w:t>
            </w:r>
          </w:p>
        </w:tc>
        <w:tc>
          <w:tcPr>
            <w:tcW w:w="802" w:type="pct"/>
            <w:tcBorders>
              <w:top w:val="nil"/>
              <w:left w:val="nil"/>
              <w:bottom w:val="nil"/>
              <w:right w:val="nil"/>
            </w:tcBorders>
            <w:shd w:val="clear" w:color="auto" w:fill="auto"/>
            <w:vAlign w:val="center"/>
          </w:tcPr>
          <w:p w:rsidR="00CD363C" w:rsidRPr="00354F5E" w:rsidRDefault="00CD363C" w:rsidP="00D12336">
            <w:pPr>
              <w:jc w:val="center"/>
              <w:rPr>
                <w:rFonts w:ascii="Arial Narrow" w:hAnsi="Arial Narrow"/>
                <w:sz w:val="20"/>
                <w:szCs w:val="20"/>
              </w:rPr>
            </w:pPr>
          </w:p>
        </w:tc>
        <w:tc>
          <w:tcPr>
            <w:tcW w:w="890" w:type="pct"/>
            <w:tcBorders>
              <w:top w:val="nil"/>
              <w:left w:val="nil"/>
              <w:bottom w:val="nil"/>
              <w:right w:val="nil"/>
            </w:tcBorders>
            <w:shd w:val="clear" w:color="auto" w:fill="auto"/>
            <w:vAlign w:val="center"/>
          </w:tcPr>
          <w:p w:rsidR="00CD363C" w:rsidRPr="00354F5E" w:rsidRDefault="00CD363C" w:rsidP="00D12336">
            <w:pPr>
              <w:jc w:val="center"/>
              <w:rPr>
                <w:rFonts w:ascii="Arial Narrow" w:hAnsi="Arial Narrow"/>
                <w:iCs/>
                <w:sz w:val="20"/>
                <w:szCs w:val="20"/>
              </w:rPr>
            </w:pPr>
          </w:p>
        </w:tc>
        <w:tc>
          <w:tcPr>
            <w:tcW w:w="804" w:type="pct"/>
            <w:tcBorders>
              <w:top w:val="nil"/>
              <w:left w:val="nil"/>
              <w:bottom w:val="nil"/>
              <w:right w:val="nil"/>
            </w:tcBorders>
            <w:shd w:val="clear" w:color="auto" w:fill="auto"/>
            <w:vAlign w:val="center"/>
          </w:tcPr>
          <w:p w:rsidR="00CD363C" w:rsidRPr="00354F5E" w:rsidRDefault="00CD363C" w:rsidP="00D12336">
            <w:pPr>
              <w:jc w:val="center"/>
              <w:rPr>
                <w:rFonts w:ascii="Arial Narrow" w:hAnsi="Arial Narrow"/>
                <w:iCs/>
                <w:sz w:val="20"/>
                <w:szCs w:val="20"/>
              </w:rPr>
            </w:pPr>
          </w:p>
        </w:tc>
      </w:tr>
      <w:tr w:rsidR="00CD363C" w:rsidRPr="00354F5E" w:rsidTr="00CD363C">
        <w:trPr>
          <w:trHeight w:val="70"/>
        </w:trPr>
        <w:tc>
          <w:tcPr>
            <w:tcW w:w="2504" w:type="pct"/>
            <w:gridSpan w:val="3"/>
            <w:tcBorders>
              <w:top w:val="nil"/>
              <w:left w:val="nil"/>
              <w:bottom w:val="single" w:sz="4" w:space="0" w:color="auto"/>
              <w:right w:val="nil"/>
            </w:tcBorders>
            <w:vAlign w:val="center"/>
          </w:tcPr>
          <w:p w:rsidR="00CD363C" w:rsidRPr="00354F5E" w:rsidRDefault="00CD363C" w:rsidP="00D12336">
            <w:pPr>
              <w:rPr>
                <w:rFonts w:ascii="Arial Narrow" w:hAnsi="Arial Narrow"/>
                <w:sz w:val="20"/>
                <w:szCs w:val="20"/>
              </w:rPr>
            </w:pPr>
            <w:r w:rsidRPr="00354F5E">
              <w:rPr>
                <w:rFonts w:ascii="Arial Narrow" w:hAnsi="Arial Narrow"/>
                <w:sz w:val="20"/>
                <w:szCs w:val="20"/>
              </w:rPr>
              <w:t>UPA (SELECT PsA 2) v TOF (OPAL-BEYOND) via PBO</w:t>
            </w:r>
          </w:p>
        </w:tc>
        <w:tc>
          <w:tcPr>
            <w:tcW w:w="802" w:type="pct"/>
            <w:tcBorders>
              <w:top w:val="nil"/>
              <w:left w:val="nil"/>
              <w:bottom w:val="single" w:sz="4" w:space="0" w:color="auto"/>
              <w:right w:val="nil"/>
            </w:tcBorders>
            <w:shd w:val="clear" w:color="auto" w:fill="auto"/>
          </w:tcPr>
          <w:p w:rsidR="00CD363C" w:rsidRPr="00354F5E" w:rsidRDefault="00CD363C" w:rsidP="00D12336">
            <w:pPr>
              <w:jc w:val="center"/>
              <w:rPr>
                <w:rFonts w:ascii="Arial Narrow" w:hAnsi="Arial Narrow"/>
                <w:b/>
                <w:sz w:val="20"/>
                <w:szCs w:val="20"/>
              </w:rPr>
            </w:pPr>
            <w:r w:rsidRPr="00354F5E">
              <w:rPr>
                <w:rFonts w:ascii="Arial Narrow" w:hAnsi="Arial Narrow"/>
                <w:b/>
                <w:i/>
                <w:sz w:val="20"/>
                <w:szCs w:val="20"/>
              </w:rPr>
              <w:t>3.08 (1.19, 7.97)</w:t>
            </w:r>
          </w:p>
        </w:tc>
        <w:tc>
          <w:tcPr>
            <w:tcW w:w="890" w:type="pct"/>
            <w:tcBorders>
              <w:top w:val="nil"/>
              <w:left w:val="nil"/>
              <w:bottom w:val="single" w:sz="4" w:space="0" w:color="auto"/>
              <w:right w:val="nil"/>
            </w:tcBorders>
            <w:shd w:val="clear" w:color="auto" w:fill="auto"/>
          </w:tcPr>
          <w:p w:rsidR="00CD363C" w:rsidRPr="00354F5E" w:rsidRDefault="00CD363C" w:rsidP="00D12336">
            <w:pPr>
              <w:jc w:val="center"/>
              <w:rPr>
                <w:rFonts w:ascii="Arial Narrow" w:hAnsi="Arial Narrow"/>
                <w:b/>
                <w:iCs/>
                <w:sz w:val="20"/>
                <w:szCs w:val="20"/>
              </w:rPr>
            </w:pPr>
            <w:r w:rsidRPr="00354F5E">
              <w:rPr>
                <w:rFonts w:ascii="Arial Narrow" w:hAnsi="Arial Narrow"/>
                <w:b/>
                <w:i/>
                <w:iCs/>
                <w:sz w:val="20"/>
                <w:szCs w:val="20"/>
              </w:rPr>
              <w:t>3.28</w:t>
            </w:r>
            <w:r w:rsidR="009434AA" w:rsidRPr="00354F5E">
              <w:rPr>
                <w:rFonts w:ascii="Arial Narrow" w:hAnsi="Arial Narrow"/>
                <w:b/>
                <w:i/>
                <w:iCs/>
                <w:sz w:val="20"/>
                <w:szCs w:val="20"/>
              </w:rPr>
              <w:t xml:space="preserve"> </w:t>
            </w:r>
            <w:r w:rsidRPr="00354F5E">
              <w:rPr>
                <w:rFonts w:ascii="Arial Narrow" w:hAnsi="Arial Narrow"/>
                <w:b/>
                <w:i/>
                <w:iCs/>
                <w:sz w:val="20"/>
                <w:szCs w:val="20"/>
              </w:rPr>
              <w:t>(1.47, 7.33)</w:t>
            </w:r>
          </w:p>
        </w:tc>
        <w:tc>
          <w:tcPr>
            <w:tcW w:w="804" w:type="pct"/>
            <w:tcBorders>
              <w:top w:val="nil"/>
              <w:left w:val="nil"/>
              <w:bottom w:val="single" w:sz="4" w:space="0" w:color="auto"/>
              <w:right w:val="nil"/>
            </w:tcBorders>
            <w:shd w:val="clear" w:color="auto" w:fill="auto"/>
          </w:tcPr>
          <w:p w:rsidR="00CD363C" w:rsidRPr="00354F5E" w:rsidRDefault="00CD363C" w:rsidP="00D12336">
            <w:pPr>
              <w:jc w:val="center"/>
              <w:rPr>
                <w:rFonts w:ascii="Arial Narrow" w:hAnsi="Arial Narrow"/>
                <w:i/>
                <w:iCs/>
                <w:sz w:val="20"/>
                <w:szCs w:val="20"/>
              </w:rPr>
            </w:pPr>
            <w:r w:rsidRPr="00354F5E">
              <w:rPr>
                <w:rFonts w:ascii="Arial Narrow" w:hAnsi="Arial Narrow"/>
                <w:i/>
                <w:iCs/>
                <w:sz w:val="20"/>
                <w:szCs w:val="20"/>
              </w:rPr>
              <w:t>11.7 (-0.41, 23.8)</w:t>
            </w:r>
          </w:p>
        </w:tc>
      </w:tr>
    </w:tbl>
    <w:p w:rsidR="00CD363C" w:rsidRPr="00354F5E" w:rsidRDefault="00CD363C" w:rsidP="00D12336">
      <w:pPr>
        <w:pStyle w:val="TableFigureFooter"/>
        <w:rPr>
          <w:sz w:val="20"/>
        </w:rPr>
      </w:pPr>
      <w:r w:rsidRPr="00354F5E">
        <w:t>Source: Compiled during evaluation from Tables 2-18, 2-21, 2-29 and 2-32, pp78, 82, 93 and 96 of the submission.</w:t>
      </w:r>
    </w:p>
    <w:p w:rsidR="00CD363C" w:rsidRPr="00354F5E" w:rsidRDefault="00CD363C" w:rsidP="00D12336">
      <w:pPr>
        <w:pStyle w:val="TableFigureFooter"/>
        <w:rPr>
          <w:rFonts w:eastAsia="Calibri"/>
        </w:rPr>
      </w:pPr>
      <w:r w:rsidRPr="00354F5E">
        <w:rPr>
          <w:rFonts w:eastAsia="Calibri"/>
        </w:rPr>
        <w:t xml:space="preserve">CI=confidence interval; n=number of participants with event; N=total participants in group; OR=odds ration; RR=relative risk; RD=response rate difference. </w:t>
      </w:r>
      <w:r w:rsidRPr="00354F5E">
        <w:rPr>
          <w:rFonts w:eastAsia="Calibri"/>
          <w:b/>
        </w:rPr>
        <w:t>Bold</w:t>
      </w:r>
      <w:r w:rsidRPr="00354F5E">
        <w:rPr>
          <w:rFonts w:eastAsia="Calibri"/>
        </w:rPr>
        <w:t xml:space="preserve"> indicates statistically significant results. </w:t>
      </w:r>
    </w:p>
    <w:p w:rsidR="005C196D" w:rsidRPr="00354F5E" w:rsidRDefault="00CD363C" w:rsidP="00D12336">
      <w:pPr>
        <w:pStyle w:val="TableFigureFooter"/>
      </w:pPr>
      <w:r w:rsidRPr="00354F5E">
        <w:rPr>
          <w:rFonts w:eastAsia="Calibri"/>
        </w:rPr>
        <w:t xml:space="preserve">*incorrect value of 16 (12.2%) was reported in the submission; re-calculated results are indicated in </w:t>
      </w:r>
      <w:r w:rsidRPr="00354F5E">
        <w:rPr>
          <w:rFonts w:eastAsia="Calibri"/>
          <w:i/>
        </w:rPr>
        <w:t>italics.</w:t>
      </w:r>
      <w:bookmarkStart w:id="14" w:name="_Toc22897642"/>
    </w:p>
    <w:p w:rsidR="005C196D" w:rsidRPr="00354F5E" w:rsidRDefault="005C196D" w:rsidP="00D12336">
      <w:pPr>
        <w:pStyle w:val="TableFigureFooter"/>
        <w:rPr>
          <w:rStyle w:val="CommentReference"/>
          <w:szCs w:val="24"/>
        </w:rPr>
      </w:pPr>
    </w:p>
    <w:p w:rsidR="005C196D" w:rsidRPr="00354F5E" w:rsidRDefault="005C196D" w:rsidP="00D12336">
      <w:pPr>
        <w:rPr>
          <w:rStyle w:val="CommentReference"/>
          <w:szCs w:val="24"/>
        </w:rPr>
      </w:pPr>
    </w:p>
    <w:p w:rsidR="00792579" w:rsidRPr="00354F5E" w:rsidRDefault="00792579" w:rsidP="00D12336">
      <w:pPr>
        <w:jc w:val="left"/>
        <w:rPr>
          <w:rStyle w:val="CommentReference"/>
          <w:szCs w:val="24"/>
        </w:rPr>
      </w:pPr>
      <w:r w:rsidRPr="00354F5E">
        <w:rPr>
          <w:rStyle w:val="CommentReference"/>
          <w:szCs w:val="24"/>
        </w:rPr>
        <w:br w:type="page"/>
      </w:r>
    </w:p>
    <w:p w:rsidR="00B826A9" w:rsidRPr="00354F5E" w:rsidRDefault="00B826A9" w:rsidP="00D12336">
      <w:pPr>
        <w:rPr>
          <w:rStyle w:val="CommentReference"/>
          <w:rFonts w:eastAsiaTheme="majorEastAsia" w:cstheme="majorBidi"/>
          <w:bCs/>
          <w:szCs w:val="22"/>
        </w:rPr>
      </w:pPr>
      <w:r w:rsidRPr="00354F5E">
        <w:rPr>
          <w:rStyle w:val="CommentReference"/>
          <w:szCs w:val="24"/>
        </w:rPr>
        <w:lastRenderedPageBreak/>
        <w:t xml:space="preserve">Table </w:t>
      </w:r>
      <w:r w:rsidR="00C15855" w:rsidRPr="00354F5E">
        <w:rPr>
          <w:rStyle w:val="CommentReference"/>
          <w:szCs w:val="24"/>
        </w:rPr>
        <w:t>5</w:t>
      </w:r>
      <w:r w:rsidRPr="00354F5E">
        <w:rPr>
          <w:rStyle w:val="CommentReference"/>
          <w:szCs w:val="24"/>
        </w:rPr>
        <w:t xml:space="preserve">: ACR20 response at Week 12 / 3 months at recommended doses of UPA 15mg D, TOF 5mg BD and ADA 40mg Q2W, and indirect comparisons presented by the submission </w:t>
      </w:r>
    </w:p>
    <w:tbl>
      <w:tblPr>
        <w:tblStyle w:val="TableGrid"/>
        <w:tblW w:w="5000" w:type="pct"/>
        <w:tblCellMar>
          <w:left w:w="28" w:type="dxa"/>
          <w:right w:w="28" w:type="dxa"/>
        </w:tblCellMar>
        <w:tblLook w:val="04A0" w:firstRow="1" w:lastRow="0" w:firstColumn="1" w:lastColumn="0" w:noHBand="0" w:noVBand="1"/>
        <w:tblCaption w:val="Table 5: ACR20 response at Week 12 / 3 months at recommended doses of UPA 15mg D, TOF 5mg BD and ADA 40mg Q2W, and indirect comparisons presented by the submission "/>
      </w:tblPr>
      <w:tblGrid>
        <w:gridCol w:w="1782"/>
        <w:gridCol w:w="1287"/>
        <w:gridCol w:w="1450"/>
        <w:gridCol w:w="1448"/>
        <w:gridCol w:w="1607"/>
        <w:gridCol w:w="1453"/>
      </w:tblGrid>
      <w:tr w:rsidR="00B826A9" w:rsidRPr="00354F5E" w:rsidTr="00CD363C">
        <w:trPr>
          <w:trHeight w:val="257"/>
          <w:tblHeader/>
        </w:trPr>
        <w:tc>
          <w:tcPr>
            <w:tcW w:w="987" w:type="pct"/>
            <w:tcBorders>
              <w:left w:val="nil"/>
              <w:bottom w:val="single" w:sz="4" w:space="0" w:color="auto"/>
              <w:right w:val="nil"/>
            </w:tcBorders>
            <w:vAlign w:val="center"/>
          </w:tcPr>
          <w:p w:rsidR="00B826A9" w:rsidRPr="00354F5E" w:rsidRDefault="00B826A9" w:rsidP="00D12336">
            <w:pPr>
              <w:jc w:val="left"/>
              <w:rPr>
                <w:rFonts w:ascii="Arial Narrow" w:hAnsi="Arial Narrow"/>
                <w:b/>
                <w:bCs/>
                <w:sz w:val="20"/>
                <w:szCs w:val="20"/>
              </w:rPr>
            </w:pPr>
            <w:r w:rsidRPr="00354F5E">
              <w:rPr>
                <w:rFonts w:ascii="Arial Narrow" w:hAnsi="Arial Narrow"/>
                <w:b/>
                <w:bCs/>
                <w:sz w:val="20"/>
                <w:szCs w:val="20"/>
              </w:rPr>
              <w:t>Trial</w:t>
            </w:r>
          </w:p>
        </w:tc>
        <w:tc>
          <w:tcPr>
            <w:tcW w:w="713" w:type="pct"/>
            <w:tcBorders>
              <w:left w:val="nil"/>
              <w:bottom w:val="single" w:sz="4" w:space="0" w:color="auto"/>
              <w:right w:val="nil"/>
            </w:tcBorders>
            <w:vAlign w:val="center"/>
          </w:tcPr>
          <w:p w:rsidR="00B826A9" w:rsidRPr="00354F5E" w:rsidRDefault="00B826A9" w:rsidP="00D12336">
            <w:pPr>
              <w:jc w:val="center"/>
              <w:rPr>
                <w:rFonts w:ascii="Arial Narrow" w:hAnsi="Arial Narrow"/>
                <w:b/>
                <w:bCs/>
                <w:sz w:val="20"/>
                <w:szCs w:val="20"/>
              </w:rPr>
            </w:pPr>
            <w:r w:rsidRPr="00354F5E">
              <w:rPr>
                <w:rFonts w:ascii="Arial Narrow" w:hAnsi="Arial Narrow"/>
                <w:b/>
                <w:bCs/>
                <w:sz w:val="20"/>
                <w:szCs w:val="20"/>
              </w:rPr>
              <w:t>Drug, n/N (%)</w:t>
            </w:r>
          </w:p>
        </w:tc>
        <w:tc>
          <w:tcPr>
            <w:tcW w:w="803" w:type="pct"/>
            <w:tcBorders>
              <w:left w:val="nil"/>
              <w:bottom w:val="single" w:sz="4" w:space="0" w:color="auto"/>
              <w:right w:val="nil"/>
            </w:tcBorders>
            <w:vAlign w:val="center"/>
          </w:tcPr>
          <w:p w:rsidR="00B826A9" w:rsidRPr="00354F5E" w:rsidRDefault="00B826A9" w:rsidP="00D12336">
            <w:pPr>
              <w:jc w:val="center"/>
              <w:rPr>
                <w:rFonts w:ascii="Arial Narrow" w:hAnsi="Arial Narrow"/>
                <w:b/>
                <w:bCs/>
                <w:sz w:val="20"/>
                <w:szCs w:val="20"/>
              </w:rPr>
            </w:pPr>
            <w:r w:rsidRPr="00354F5E">
              <w:rPr>
                <w:rFonts w:ascii="Arial Narrow" w:hAnsi="Arial Narrow"/>
                <w:b/>
                <w:bCs/>
                <w:sz w:val="20"/>
                <w:szCs w:val="20"/>
              </w:rPr>
              <w:t>Control, n/N (%)</w:t>
            </w:r>
          </w:p>
        </w:tc>
        <w:tc>
          <w:tcPr>
            <w:tcW w:w="802" w:type="pct"/>
            <w:tcBorders>
              <w:left w:val="nil"/>
              <w:bottom w:val="single" w:sz="4" w:space="0" w:color="auto"/>
              <w:right w:val="nil"/>
            </w:tcBorders>
            <w:vAlign w:val="center"/>
          </w:tcPr>
          <w:p w:rsidR="00B826A9" w:rsidRPr="00354F5E" w:rsidRDefault="00B826A9" w:rsidP="00D12336">
            <w:pPr>
              <w:jc w:val="center"/>
              <w:rPr>
                <w:rFonts w:ascii="Arial Narrow" w:hAnsi="Arial Narrow"/>
                <w:b/>
                <w:bCs/>
                <w:sz w:val="20"/>
                <w:szCs w:val="20"/>
              </w:rPr>
            </w:pPr>
            <w:r w:rsidRPr="00354F5E">
              <w:rPr>
                <w:rFonts w:ascii="Arial Narrow" w:hAnsi="Arial Narrow"/>
                <w:b/>
                <w:bCs/>
                <w:sz w:val="20"/>
                <w:szCs w:val="20"/>
              </w:rPr>
              <w:t>OR (95%CI)</w:t>
            </w:r>
          </w:p>
        </w:tc>
        <w:tc>
          <w:tcPr>
            <w:tcW w:w="890" w:type="pct"/>
            <w:tcBorders>
              <w:left w:val="nil"/>
              <w:bottom w:val="single" w:sz="4" w:space="0" w:color="auto"/>
              <w:right w:val="nil"/>
            </w:tcBorders>
            <w:vAlign w:val="center"/>
          </w:tcPr>
          <w:p w:rsidR="00B826A9" w:rsidRPr="00354F5E" w:rsidRDefault="00B826A9" w:rsidP="00D12336">
            <w:pPr>
              <w:jc w:val="center"/>
              <w:rPr>
                <w:rFonts w:ascii="Arial Narrow" w:hAnsi="Arial Narrow"/>
                <w:b/>
                <w:bCs/>
                <w:sz w:val="20"/>
                <w:szCs w:val="20"/>
              </w:rPr>
            </w:pPr>
            <w:r w:rsidRPr="00354F5E">
              <w:rPr>
                <w:rFonts w:ascii="Arial Narrow" w:hAnsi="Arial Narrow"/>
                <w:b/>
                <w:bCs/>
                <w:sz w:val="20"/>
                <w:szCs w:val="20"/>
              </w:rPr>
              <w:t>RR (95% CI)</w:t>
            </w:r>
          </w:p>
        </w:tc>
        <w:tc>
          <w:tcPr>
            <w:tcW w:w="805" w:type="pct"/>
            <w:tcBorders>
              <w:left w:val="nil"/>
              <w:bottom w:val="single" w:sz="4" w:space="0" w:color="auto"/>
              <w:right w:val="nil"/>
            </w:tcBorders>
            <w:vAlign w:val="center"/>
          </w:tcPr>
          <w:p w:rsidR="00B826A9" w:rsidRPr="00354F5E" w:rsidRDefault="00B826A9" w:rsidP="00D12336">
            <w:pPr>
              <w:jc w:val="center"/>
              <w:rPr>
                <w:rFonts w:ascii="Arial Narrow" w:hAnsi="Arial Narrow"/>
                <w:b/>
                <w:bCs/>
                <w:sz w:val="20"/>
                <w:szCs w:val="20"/>
              </w:rPr>
            </w:pPr>
            <w:r w:rsidRPr="00354F5E">
              <w:rPr>
                <w:rFonts w:ascii="Arial Narrow" w:hAnsi="Arial Narrow"/>
                <w:b/>
                <w:bCs/>
                <w:sz w:val="20"/>
                <w:szCs w:val="20"/>
              </w:rPr>
              <w:t>RD (95%CI)</w:t>
            </w:r>
          </w:p>
        </w:tc>
      </w:tr>
      <w:tr w:rsidR="00B826A9" w:rsidRPr="00354F5E" w:rsidTr="00CD363C">
        <w:trPr>
          <w:trHeight w:val="219"/>
        </w:trPr>
        <w:tc>
          <w:tcPr>
            <w:tcW w:w="2503" w:type="pct"/>
            <w:gridSpan w:val="3"/>
            <w:tcBorders>
              <w:left w:val="nil"/>
              <w:bottom w:val="nil"/>
              <w:right w:val="nil"/>
            </w:tcBorders>
            <w:vAlign w:val="center"/>
          </w:tcPr>
          <w:p w:rsidR="00B826A9" w:rsidRPr="00354F5E" w:rsidRDefault="00B826A9" w:rsidP="00D12336">
            <w:pPr>
              <w:rPr>
                <w:rFonts w:ascii="Arial Narrow" w:hAnsi="Arial Narrow"/>
                <w:b/>
                <w:bCs/>
                <w:color w:val="76923C" w:themeColor="accent3" w:themeShade="BF"/>
                <w:sz w:val="20"/>
                <w:szCs w:val="20"/>
                <w:u w:val="single"/>
              </w:rPr>
            </w:pPr>
            <w:r w:rsidRPr="00354F5E">
              <w:rPr>
                <w:rFonts w:ascii="Arial Narrow" w:hAnsi="Arial Narrow"/>
                <w:b/>
                <w:bCs/>
                <w:color w:val="76923C" w:themeColor="accent3" w:themeShade="BF"/>
                <w:sz w:val="20"/>
                <w:szCs w:val="20"/>
                <w:u w:val="single"/>
              </w:rPr>
              <w:t>cDMARD-IR population</w:t>
            </w:r>
          </w:p>
        </w:tc>
        <w:tc>
          <w:tcPr>
            <w:tcW w:w="802" w:type="pct"/>
            <w:tcBorders>
              <w:left w:val="nil"/>
              <w:bottom w:val="nil"/>
              <w:right w:val="nil"/>
            </w:tcBorders>
            <w:vAlign w:val="center"/>
          </w:tcPr>
          <w:p w:rsidR="00B826A9" w:rsidRPr="00354F5E" w:rsidRDefault="00B826A9" w:rsidP="00D12336">
            <w:pPr>
              <w:jc w:val="center"/>
              <w:rPr>
                <w:rFonts w:ascii="Arial Narrow" w:hAnsi="Arial Narrow"/>
                <w:iCs/>
                <w:sz w:val="20"/>
                <w:szCs w:val="20"/>
              </w:rPr>
            </w:pPr>
          </w:p>
        </w:tc>
        <w:tc>
          <w:tcPr>
            <w:tcW w:w="890" w:type="pct"/>
            <w:tcBorders>
              <w:left w:val="nil"/>
              <w:bottom w:val="nil"/>
              <w:right w:val="nil"/>
            </w:tcBorders>
            <w:vAlign w:val="center"/>
          </w:tcPr>
          <w:p w:rsidR="00B826A9" w:rsidRPr="00354F5E" w:rsidRDefault="00B826A9" w:rsidP="00D12336">
            <w:pPr>
              <w:jc w:val="center"/>
              <w:rPr>
                <w:rFonts w:ascii="Arial Narrow" w:hAnsi="Arial Narrow"/>
                <w:iCs/>
                <w:sz w:val="20"/>
                <w:szCs w:val="20"/>
              </w:rPr>
            </w:pPr>
          </w:p>
        </w:tc>
        <w:tc>
          <w:tcPr>
            <w:tcW w:w="805" w:type="pct"/>
            <w:tcBorders>
              <w:left w:val="nil"/>
              <w:bottom w:val="nil"/>
              <w:right w:val="nil"/>
            </w:tcBorders>
            <w:vAlign w:val="center"/>
          </w:tcPr>
          <w:p w:rsidR="00B826A9" w:rsidRPr="00354F5E" w:rsidRDefault="00B826A9" w:rsidP="00D12336">
            <w:pPr>
              <w:jc w:val="center"/>
              <w:rPr>
                <w:rFonts w:ascii="Arial Narrow" w:hAnsi="Arial Narrow"/>
                <w:iCs/>
                <w:sz w:val="20"/>
                <w:szCs w:val="20"/>
              </w:rPr>
            </w:pPr>
          </w:p>
        </w:tc>
      </w:tr>
      <w:tr w:rsidR="00B826A9" w:rsidRPr="00354F5E" w:rsidTr="00CD363C">
        <w:trPr>
          <w:trHeight w:val="235"/>
        </w:trPr>
        <w:tc>
          <w:tcPr>
            <w:tcW w:w="2503" w:type="pct"/>
            <w:gridSpan w:val="3"/>
            <w:tcBorders>
              <w:top w:val="nil"/>
              <w:left w:val="nil"/>
              <w:bottom w:val="nil"/>
              <w:right w:val="nil"/>
            </w:tcBorders>
            <w:vAlign w:val="center"/>
          </w:tcPr>
          <w:p w:rsidR="00B826A9" w:rsidRPr="00354F5E" w:rsidRDefault="00B826A9" w:rsidP="00D12336">
            <w:pPr>
              <w:rPr>
                <w:rFonts w:ascii="Arial Narrow" w:hAnsi="Arial Narrow"/>
                <w:b/>
                <w:bCs/>
                <w:sz w:val="20"/>
                <w:szCs w:val="20"/>
              </w:rPr>
            </w:pPr>
            <w:r w:rsidRPr="00354F5E">
              <w:rPr>
                <w:rFonts w:ascii="Arial Narrow" w:hAnsi="Arial Narrow"/>
                <w:b/>
                <w:bCs/>
                <w:sz w:val="20"/>
                <w:szCs w:val="20"/>
              </w:rPr>
              <w:t>UPA v PBO</w:t>
            </w:r>
          </w:p>
        </w:tc>
        <w:tc>
          <w:tcPr>
            <w:tcW w:w="802" w:type="pct"/>
            <w:tcBorders>
              <w:top w:val="nil"/>
              <w:left w:val="nil"/>
              <w:bottom w:val="nil"/>
              <w:right w:val="nil"/>
            </w:tcBorders>
            <w:vAlign w:val="center"/>
          </w:tcPr>
          <w:p w:rsidR="00B826A9" w:rsidRPr="00354F5E" w:rsidRDefault="00B826A9" w:rsidP="00D12336">
            <w:pPr>
              <w:jc w:val="center"/>
              <w:rPr>
                <w:rFonts w:ascii="Arial Narrow" w:hAnsi="Arial Narrow"/>
                <w:iCs/>
                <w:sz w:val="20"/>
                <w:szCs w:val="20"/>
              </w:rPr>
            </w:pPr>
          </w:p>
        </w:tc>
        <w:tc>
          <w:tcPr>
            <w:tcW w:w="890" w:type="pct"/>
            <w:tcBorders>
              <w:top w:val="nil"/>
              <w:left w:val="nil"/>
              <w:bottom w:val="nil"/>
              <w:right w:val="nil"/>
            </w:tcBorders>
            <w:vAlign w:val="center"/>
          </w:tcPr>
          <w:p w:rsidR="00B826A9" w:rsidRPr="00354F5E" w:rsidRDefault="00B826A9" w:rsidP="00D12336">
            <w:pPr>
              <w:jc w:val="center"/>
              <w:rPr>
                <w:rFonts w:ascii="Arial Narrow" w:hAnsi="Arial Narrow"/>
                <w:iCs/>
                <w:sz w:val="20"/>
                <w:szCs w:val="20"/>
              </w:rPr>
            </w:pPr>
          </w:p>
        </w:tc>
        <w:tc>
          <w:tcPr>
            <w:tcW w:w="805" w:type="pct"/>
            <w:tcBorders>
              <w:top w:val="nil"/>
              <w:left w:val="nil"/>
              <w:bottom w:val="nil"/>
              <w:right w:val="nil"/>
            </w:tcBorders>
            <w:vAlign w:val="center"/>
          </w:tcPr>
          <w:p w:rsidR="00B826A9" w:rsidRPr="00354F5E" w:rsidRDefault="00B826A9" w:rsidP="00D12336">
            <w:pPr>
              <w:jc w:val="center"/>
              <w:rPr>
                <w:rFonts w:ascii="Arial Narrow" w:hAnsi="Arial Narrow"/>
                <w:iCs/>
                <w:sz w:val="20"/>
                <w:szCs w:val="20"/>
              </w:rPr>
            </w:pPr>
          </w:p>
        </w:tc>
      </w:tr>
      <w:tr w:rsidR="00B826A9" w:rsidRPr="00354F5E" w:rsidTr="00CD363C">
        <w:trPr>
          <w:trHeight w:val="219"/>
        </w:trPr>
        <w:tc>
          <w:tcPr>
            <w:tcW w:w="987" w:type="pct"/>
            <w:tcBorders>
              <w:top w:val="nil"/>
              <w:left w:val="nil"/>
              <w:bottom w:val="nil"/>
              <w:right w:val="nil"/>
            </w:tcBorders>
            <w:vAlign w:val="center"/>
          </w:tcPr>
          <w:p w:rsidR="00B826A9" w:rsidRPr="00354F5E" w:rsidRDefault="00B826A9" w:rsidP="00D12336">
            <w:pPr>
              <w:pStyle w:val="Tabletext"/>
              <w:rPr>
                <w:szCs w:val="20"/>
              </w:rPr>
            </w:pPr>
            <w:r w:rsidRPr="00354F5E">
              <w:rPr>
                <w:szCs w:val="20"/>
              </w:rPr>
              <w:t xml:space="preserve">SELECT-PsA 1 </w:t>
            </w:r>
          </w:p>
        </w:tc>
        <w:tc>
          <w:tcPr>
            <w:tcW w:w="713" w:type="pct"/>
            <w:tcBorders>
              <w:top w:val="nil"/>
              <w:left w:val="nil"/>
              <w:bottom w:val="nil"/>
              <w:right w:val="nil"/>
            </w:tcBorders>
            <w:vAlign w:val="center"/>
          </w:tcPr>
          <w:p w:rsidR="00B826A9" w:rsidRPr="00354F5E" w:rsidRDefault="00B826A9" w:rsidP="00D12336">
            <w:pPr>
              <w:pStyle w:val="Tabletext"/>
              <w:jc w:val="center"/>
              <w:rPr>
                <w:szCs w:val="20"/>
              </w:rPr>
            </w:pPr>
            <w:r w:rsidRPr="00354F5E">
              <w:rPr>
                <w:szCs w:val="20"/>
              </w:rPr>
              <w:t>303/429 (70.6)</w:t>
            </w:r>
          </w:p>
        </w:tc>
        <w:tc>
          <w:tcPr>
            <w:tcW w:w="803" w:type="pct"/>
            <w:tcBorders>
              <w:top w:val="nil"/>
              <w:left w:val="nil"/>
              <w:bottom w:val="nil"/>
              <w:right w:val="nil"/>
            </w:tcBorders>
            <w:vAlign w:val="center"/>
          </w:tcPr>
          <w:p w:rsidR="00B826A9" w:rsidRPr="00354F5E" w:rsidRDefault="00B826A9" w:rsidP="00D12336">
            <w:pPr>
              <w:pStyle w:val="Tabletext"/>
              <w:jc w:val="center"/>
              <w:rPr>
                <w:szCs w:val="20"/>
              </w:rPr>
            </w:pPr>
            <w:r w:rsidRPr="00354F5E">
              <w:rPr>
                <w:szCs w:val="20"/>
              </w:rPr>
              <w:t>153/423 (36.2)</w:t>
            </w:r>
          </w:p>
        </w:tc>
        <w:tc>
          <w:tcPr>
            <w:tcW w:w="802" w:type="pct"/>
            <w:tcBorders>
              <w:top w:val="nil"/>
              <w:left w:val="nil"/>
              <w:bottom w:val="nil"/>
              <w:right w:val="nil"/>
            </w:tcBorders>
            <w:vAlign w:val="center"/>
          </w:tcPr>
          <w:p w:rsidR="00B826A9" w:rsidRPr="00354F5E" w:rsidRDefault="00B826A9" w:rsidP="00D12336">
            <w:pPr>
              <w:pStyle w:val="Tabletext"/>
              <w:jc w:val="center"/>
              <w:rPr>
                <w:b/>
                <w:bCs/>
                <w:szCs w:val="20"/>
              </w:rPr>
            </w:pPr>
            <w:r w:rsidRPr="00354F5E">
              <w:rPr>
                <w:b/>
                <w:szCs w:val="20"/>
              </w:rPr>
              <w:t>4.24 (3.18, 5.66)</w:t>
            </w:r>
          </w:p>
        </w:tc>
        <w:tc>
          <w:tcPr>
            <w:tcW w:w="890" w:type="pct"/>
            <w:tcBorders>
              <w:top w:val="nil"/>
              <w:left w:val="nil"/>
              <w:bottom w:val="nil"/>
              <w:right w:val="nil"/>
            </w:tcBorders>
            <w:vAlign w:val="center"/>
          </w:tcPr>
          <w:p w:rsidR="00B826A9" w:rsidRPr="00354F5E" w:rsidRDefault="00B826A9" w:rsidP="00D12336">
            <w:pPr>
              <w:pStyle w:val="Tabletext"/>
              <w:jc w:val="center"/>
              <w:rPr>
                <w:b/>
                <w:bCs/>
                <w:szCs w:val="20"/>
              </w:rPr>
            </w:pPr>
            <w:r w:rsidRPr="00354F5E">
              <w:rPr>
                <w:b/>
                <w:szCs w:val="20"/>
              </w:rPr>
              <w:t>1.95 (1.70, 2.25)</w:t>
            </w:r>
          </w:p>
        </w:tc>
        <w:tc>
          <w:tcPr>
            <w:tcW w:w="805" w:type="pct"/>
            <w:tcBorders>
              <w:top w:val="nil"/>
              <w:left w:val="nil"/>
              <w:bottom w:val="nil"/>
              <w:right w:val="nil"/>
            </w:tcBorders>
            <w:vAlign w:val="center"/>
          </w:tcPr>
          <w:p w:rsidR="00B826A9" w:rsidRPr="00354F5E" w:rsidRDefault="00B826A9" w:rsidP="00D12336">
            <w:pPr>
              <w:pStyle w:val="Tabletext"/>
              <w:jc w:val="center"/>
              <w:rPr>
                <w:b/>
                <w:bCs/>
                <w:szCs w:val="20"/>
              </w:rPr>
            </w:pPr>
            <w:r w:rsidRPr="00354F5E">
              <w:rPr>
                <w:b/>
                <w:szCs w:val="20"/>
              </w:rPr>
              <w:t>34.5 (28.2, 40.7)</w:t>
            </w:r>
          </w:p>
        </w:tc>
      </w:tr>
      <w:tr w:rsidR="00B826A9" w:rsidRPr="00354F5E" w:rsidTr="00CD363C">
        <w:trPr>
          <w:trHeight w:val="235"/>
        </w:trPr>
        <w:tc>
          <w:tcPr>
            <w:tcW w:w="987" w:type="pct"/>
            <w:tcBorders>
              <w:top w:val="nil"/>
              <w:left w:val="nil"/>
              <w:bottom w:val="nil"/>
              <w:right w:val="nil"/>
            </w:tcBorders>
            <w:vAlign w:val="center"/>
          </w:tcPr>
          <w:p w:rsidR="00B826A9" w:rsidRPr="00354F5E" w:rsidRDefault="00B826A9" w:rsidP="00D12336">
            <w:pPr>
              <w:pStyle w:val="Tabletext"/>
              <w:rPr>
                <w:szCs w:val="20"/>
              </w:rPr>
            </w:pPr>
            <w:r w:rsidRPr="00354F5E">
              <w:rPr>
                <w:b/>
                <w:bCs/>
                <w:szCs w:val="20"/>
              </w:rPr>
              <w:t>TOF v PBO</w:t>
            </w:r>
          </w:p>
        </w:tc>
        <w:tc>
          <w:tcPr>
            <w:tcW w:w="713" w:type="pct"/>
            <w:tcBorders>
              <w:top w:val="nil"/>
              <w:left w:val="nil"/>
              <w:bottom w:val="nil"/>
              <w:right w:val="nil"/>
            </w:tcBorders>
            <w:vAlign w:val="center"/>
          </w:tcPr>
          <w:p w:rsidR="00B826A9" w:rsidRPr="00354F5E" w:rsidRDefault="00B826A9" w:rsidP="00D12336">
            <w:pPr>
              <w:pStyle w:val="Tabletext"/>
              <w:jc w:val="center"/>
              <w:rPr>
                <w:szCs w:val="20"/>
              </w:rPr>
            </w:pPr>
          </w:p>
        </w:tc>
        <w:tc>
          <w:tcPr>
            <w:tcW w:w="803" w:type="pct"/>
            <w:tcBorders>
              <w:top w:val="nil"/>
              <w:left w:val="nil"/>
              <w:bottom w:val="nil"/>
              <w:right w:val="nil"/>
            </w:tcBorders>
            <w:vAlign w:val="center"/>
          </w:tcPr>
          <w:p w:rsidR="00B826A9" w:rsidRPr="00354F5E" w:rsidRDefault="00B826A9" w:rsidP="00D12336">
            <w:pPr>
              <w:pStyle w:val="Tabletext"/>
              <w:jc w:val="center"/>
              <w:rPr>
                <w:szCs w:val="20"/>
              </w:rPr>
            </w:pPr>
          </w:p>
        </w:tc>
        <w:tc>
          <w:tcPr>
            <w:tcW w:w="802" w:type="pct"/>
            <w:tcBorders>
              <w:top w:val="nil"/>
              <w:left w:val="nil"/>
              <w:bottom w:val="nil"/>
              <w:right w:val="nil"/>
            </w:tcBorders>
            <w:vAlign w:val="center"/>
          </w:tcPr>
          <w:p w:rsidR="00B826A9" w:rsidRPr="00354F5E" w:rsidRDefault="00B826A9" w:rsidP="00D12336">
            <w:pPr>
              <w:pStyle w:val="Tabletext"/>
              <w:jc w:val="center"/>
              <w:rPr>
                <w:szCs w:val="20"/>
              </w:rPr>
            </w:pPr>
          </w:p>
        </w:tc>
        <w:tc>
          <w:tcPr>
            <w:tcW w:w="890" w:type="pct"/>
            <w:tcBorders>
              <w:top w:val="nil"/>
              <w:left w:val="nil"/>
              <w:bottom w:val="nil"/>
              <w:right w:val="nil"/>
            </w:tcBorders>
            <w:vAlign w:val="center"/>
          </w:tcPr>
          <w:p w:rsidR="00B826A9" w:rsidRPr="00354F5E" w:rsidRDefault="00B826A9" w:rsidP="00D12336">
            <w:pPr>
              <w:pStyle w:val="Tabletext"/>
              <w:jc w:val="center"/>
              <w:rPr>
                <w:szCs w:val="20"/>
              </w:rPr>
            </w:pPr>
          </w:p>
        </w:tc>
        <w:tc>
          <w:tcPr>
            <w:tcW w:w="805" w:type="pct"/>
            <w:tcBorders>
              <w:top w:val="nil"/>
              <w:left w:val="nil"/>
              <w:bottom w:val="nil"/>
              <w:right w:val="nil"/>
            </w:tcBorders>
            <w:vAlign w:val="center"/>
          </w:tcPr>
          <w:p w:rsidR="00B826A9" w:rsidRPr="00354F5E" w:rsidRDefault="00B826A9" w:rsidP="00D12336">
            <w:pPr>
              <w:pStyle w:val="Tabletext"/>
              <w:jc w:val="center"/>
              <w:rPr>
                <w:szCs w:val="20"/>
              </w:rPr>
            </w:pPr>
          </w:p>
        </w:tc>
      </w:tr>
      <w:tr w:rsidR="00B826A9" w:rsidRPr="00354F5E" w:rsidTr="00CD363C">
        <w:trPr>
          <w:trHeight w:val="219"/>
        </w:trPr>
        <w:tc>
          <w:tcPr>
            <w:tcW w:w="987" w:type="pct"/>
            <w:tcBorders>
              <w:top w:val="nil"/>
              <w:left w:val="nil"/>
              <w:bottom w:val="nil"/>
              <w:right w:val="nil"/>
            </w:tcBorders>
            <w:vAlign w:val="center"/>
          </w:tcPr>
          <w:p w:rsidR="00B826A9" w:rsidRPr="00354F5E" w:rsidRDefault="00B826A9" w:rsidP="00D12336">
            <w:pPr>
              <w:pStyle w:val="Tabletext"/>
              <w:rPr>
                <w:bCs/>
                <w:szCs w:val="20"/>
              </w:rPr>
            </w:pPr>
            <w:r w:rsidRPr="00354F5E">
              <w:rPr>
                <w:bCs/>
                <w:szCs w:val="20"/>
              </w:rPr>
              <w:t>OPAL-BROADEN</w:t>
            </w:r>
          </w:p>
        </w:tc>
        <w:tc>
          <w:tcPr>
            <w:tcW w:w="713" w:type="pct"/>
            <w:tcBorders>
              <w:top w:val="nil"/>
              <w:left w:val="nil"/>
              <w:bottom w:val="nil"/>
              <w:right w:val="nil"/>
            </w:tcBorders>
            <w:vAlign w:val="center"/>
          </w:tcPr>
          <w:p w:rsidR="00B826A9" w:rsidRPr="00354F5E" w:rsidRDefault="00B826A9" w:rsidP="00D12336">
            <w:pPr>
              <w:pStyle w:val="Tabletext"/>
              <w:jc w:val="center"/>
              <w:rPr>
                <w:szCs w:val="20"/>
              </w:rPr>
            </w:pPr>
            <w:r w:rsidRPr="00354F5E">
              <w:rPr>
                <w:szCs w:val="20"/>
              </w:rPr>
              <w:t>54/107 (50.5)</w:t>
            </w:r>
          </w:p>
        </w:tc>
        <w:tc>
          <w:tcPr>
            <w:tcW w:w="803" w:type="pct"/>
            <w:tcBorders>
              <w:top w:val="nil"/>
              <w:left w:val="nil"/>
              <w:bottom w:val="nil"/>
              <w:right w:val="nil"/>
            </w:tcBorders>
          </w:tcPr>
          <w:p w:rsidR="00B826A9" w:rsidRPr="00354F5E" w:rsidRDefault="00B826A9" w:rsidP="00D12336">
            <w:pPr>
              <w:pStyle w:val="Tabletext"/>
              <w:jc w:val="center"/>
              <w:rPr>
                <w:szCs w:val="20"/>
              </w:rPr>
            </w:pPr>
            <w:r w:rsidRPr="00354F5E">
              <w:rPr>
                <w:szCs w:val="20"/>
              </w:rPr>
              <w:t>35/105 (33.3)</w:t>
            </w:r>
          </w:p>
        </w:tc>
        <w:tc>
          <w:tcPr>
            <w:tcW w:w="802" w:type="pct"/>
            <w:tcBorders>
              <w:top w:val="nil"/>
              <w:left w:val="nil"/>
              <w:bottom w:val="nil"/>
              <w:right w:val="nil"/>
            </w:tcBorders>
          </w:tcPr>
          <w:p w:rsidR="00B826A9" w:rsidRPr="00354F5E" w:rsidRDefault="00B826A9" w:rsidP="00D12336">
            <w:pPr>
              <w:pStyle w:val="Tabletext"/>
              <w:jc w:val="center"/>
              <w:rPr>
                <w:b/>
                <w:bCs/>
                <w:szCs w:val="20"/>
              </w:rPr>
            </w:pPr>
            <w:r w:rsidRPr="00354F5E">
              <w:rPr>
                <w:b/>
                <w:szCs w:val="20"/>
              </w:rPr>
              <w:t>2.04 (1.17, 3.55)</w:t>
            </w:r>
          </w:p>
        </w:tc>
        <w:tc>
          <w:tcPr>
            <w:tcW w:w="890" w:type="pct"/>
            <w:tcBorders>
              <w:top w:val="nil"/>
              <w:left w:val="nil"/>
              <w:bottom w:val="nil"/>
              <w:right w:val="nil"/>
            </w:tcBorders>
          </w:tcPr>
          <w:p w:rsidR="00B826A9" w:rsidRPr="00354F5E" w:rsidRDefault="00B826A9" w:rsidP="00D12336">
            <w:pPr>
              <w:pStyle w:val="Tabletext"/>
              <w:jc w:val="center"/>
              <w:rPr>
                <w:b/>
                <w:bCs/>
                <w:szCs w:val="20"/>
              </w:rPr>
            </w:pPr>
            <w:r w:rsidRPr="00354F5E">
              <w:rPr>
                <w:b/>
                <w:szCs w:val="20"/>
              </w:rPr>
              <w:t>1.51 (1.09, 2.10)</w:t>
            </w:r>
          </w:p>
        </w:tc>
        <w:tc>
          <w:tcPr>
            <w:tcW w:w="805" w:type="pct"/>
            <w:tcBorders>
              <w:top w:val="nil"/>
              <w:left w:val="nil"/>
              <w:bottom w:val="nil"/>
              <w:right w:val="nil"/>
            </w:tcBorders>
          </w:tcPr>
          <w:p w:rsidR="00B826A9" w:rsidRPr="00354F5E" w:rsidRDefault="00B826A9" w:rsidP="00D12336">
            <w:pPr>
              <w:pStyle w:val="Tabletext"/>
              <w:jc w:val="center"/>
              <w:rPr>
                <w:b/>
                <w:bCs/>
                <w:szCs w:val="20"/>
              </w:rPr>
            </w:pPr>
            <w:r w:rsidRPr="00354F5E">
              <w:rPr>
                <w:b/>
                <w:szCs w:val="20"/>
              </w:rPr>
              <w:t>17.1 (4.1, 30.2)</w:t>
            </w:r>
          </w:p>
        </w:tc>
      </w:tr>
      <w:tr w:rsidR="00B826A9" w:rsidRPr="00354F5E" w:rsidTr="00CD363C">
        <w:trPr>
          <w:trHeight w:val="67"/>
        </w:trPr>
        <w:tc>
          <w:tcPr>
            <w:tcW w:w="2503" w:type="pct"/>
            <w:gridSpan w:val="3"/>
            <w:tcBorders>
              <w:top w:val="nil"/>
              <w:left w:val="nil"/>
              <w:bottom w:val="nil"/>
              <w:right w:val="nil"/>
            </w:tcBorders>
            <w:vAlign w:val="center"/>
          </w:tcPr>
          <w:p w:rsidR="00B826A9" w:rsidRPr="00354F5E" w:rsidRDefault="00B826A9" w:rsidP="00D12336">
            <w:pPr>
              <w:pStyle w:val="Tabletext"/>
              <w:rPr>
                <w:b/>
                <w:szCs w:val="20"/>
              </w:rPr>
            </w:pPr>
            <w:r w:rsidRPr="00354F5E">
              <w:rPr>
                <w:b/>
                <w:szCs w:val="20"/>
              </w:rPr>
              <w:t>UPA v ADA</w:t>
            </w:r>
          </w:p>
        </w:tc>
        <w:tc>
          <w:tcPr>
            <w:tcW w:w="802" w:type="pct"/>
            <w:tcBorders>
              <w:top w:val="nil"/>
              <w:left w:val="nil"/>
              <w:bottom w:val="nil"/>
              <w:right w:val="nil"/>
            </w:tcBorders>
            <w:vAlign w:val="center"/>
          </w:tcPr>
          <w:p w:rsidR="00B826A9" w:rsidRPr="00354F5E" w:rsidRDefault="00B826A9" w:rsidP="00D12336">
            <w:pPr>
              <w:pStyle w:val="Tabletext"/>
              <w:jc w:val="center"/>
              <w:rPr>
                <w:szCs w:val="20"/>
              </w:rPr>
            </w:pPr>
          </w:p>
        </w:tc>
        <w:tc>
          <w:tcPr>
            <w:tcW w:w="890" w:type="pct"/>
            <w:tcBorders>
              <w:top w:val="nil"/>
              <w:left w:val="nil"/>
              <w:bottom w:val="nil"/>
              <w:right w:val="nil"/>
            </w:tcBorders>
            <w:vAlign w:val="center"/>
          </w:tcPr>
          <w:p w:rsidR="00B826A9" w:rsidRPr="00354F5E" w:rsidRDefault="00B826A9" w:rsidP="00D12336">
            <w:pPr>
              <w:pStyle w:val="Tabletext"/>
              <w:jc w:val="center"/>
              <w:rPr>
                <w:szCs w:val="20"/>
              </w:rPr>
            </w:pPr>
          </w:p>
        </w:tc>
        <w:tc>
          <w:tcPr>
            <w:tcW w:w="805" w:type="pct"/>
            <w:tcBorders>
              <w:top w:val="nil"/>
              <w:left w:val="nil"/>
              <w:bottom w:val="nil"/>
              <w:right w:val="nil"/>
            </w:tcBorders>
            <w:vAlign w:val="center"/>
          </w:tcPr>
          <w:p w:rsidR="00B826A9" w:rsidRPr="00354F5E" w:rsidRDefault="00B826A9" w:rsidP="00D12336">
            <w:pPr>
              <w:pStyle w:val="Tabletext"/>
              <w:jc w:val="center"/>
              <w:rPr>
                <w:szCs w:val="20"/>
              </w:rPr>
            </w:pPr>
          </w:p>
        </w:tc>
      </w:tr>
      <w:tr w:rsidR="00B826A9" w:rsidRPr="00354F5E" w:rsidTr="00CD363C">
        <w:trPr>
          <w:trHeight w:val="67"/>
        </w:trPr>
        <w:tc>
          <w:tcPr>
            <w:tcW w:w="987" w:type="pct"/>
            <w:tcBorders>
              <w:top w:val="nil"/>
              <w:left w:val="nil"/>
              <w:bottom w:val="nil"/>
              <w:right w:val="nil"/>
            </w:tcBorders>
            <w:vAlign w:val="center"/>
          </w:tcPr>
          <w:p w:rsidR="00B826A9" w:rsidRPr="00354F5E" w:rsidRDefault="00B826A9" w:rsidP="00D12336">
            <w:pPr>
              <w:pStyle w:val="Tabletext"/>
              <w:rPr>
                <w:szCs w:val="20"/>
              </w:rPr>
            </w:pPr>
            <w:r w:rsidRPr="00354F5E">
              <w:rPr>
                <w:szCs w:val="20"/>
              </w:rPr>
              <w:t xml:space="preserve">SELECT PsA 1 </w:t>
            </w:r>
          </w:p>
        </w:tc>
        <w:tc>
          <w:tcPr>
            <w:tcW w:w="713" w:type="pct"/>
            <w:tcBorders>
              <w:top w:val="nil"/>
              <w:left w:val="nil"/>
              <w:bottom w:val="nil"/>
              <w:right w:val="nil"/>
            </w:tcBorders>
            <w:vAlign w:val="center"/>
          </w:tcPr>
          <w:p w:rsidR="00B826A9" w:rsidRPr="00354F5E" w:rsidRDefault="00B826A9" w:rsidP="00D12336">
            <w:pPr>
              <w:pStyle w:val="Tabletext"/>
              <w:jc w:val="center"/>
              <w:rPr>
                <w:szCs w:val="20"/>
              </w:rPr>
            </w:pPr>
            <w:r w:rsidRPr="00354F5E">
              <w:rPr>
                <w:szCs w:val="20"/>
              </w:rPr>
              <w:t>303/429 (70.6)</w:t>
            </w:r>
          </w:p>
        </w:tc>
        <w:tc>
          <w:tcPr>
            <w:tcW w:w="803" w:type="pct"/>
            <w:tcBorders>
              <w:top w:val="nil"/>
              <w:left w:val="nil"/>
              <w:bottom w:val="nil"/>
              <w:right w:val="nil"/>
            </w:tcBorders>
            <w:vAlign w:val="center"/>
          </w:tcPr>
          <w:p w:rsidR="00B826A9" w:rsidRPr="00354F5E" w:rsidRDefault="00B826A9" w:rsidP="00D12336">
            <w:pPr>
              <w:pStyle w:val="Tabletext"/>
              <w:jc w:val="center"/>
              <w:rPr>
                <w:szCs w:val="20"/>
              </w:rPr>
            </w:pPr>
            <w:r w:rsidRPr="00354F5E">
              <w:rPr>
                <w:szCs w:val="20"/>
              </w:rPr>
              <w:t>279/429 (65.0)</w:t>
            </w:r>
          </w:p>
        </w:tc>
        <w:tc>
          <w:tcPr>
            <w:tcW w:w="802" w:type="pct"/>
            <w:tcBorders>
              <w:top w:val="nil"/>
              <w:left w:val="nil"/>
              <w:bottom w:val="nil"/>
              <w:right w:val="nil"/>
            </w:tcBorders>
          </w:tcPr>
          <w:p w:rsidR="00B826A9" w:rsidRPr="00354F5E" w:rsidRDefault="00B826A9" w:rsidP="00D12336">
            <w:pPr>
              <w:pStyle w:val="Tabletext"/>
              <w:jc w:val="center"/>
              <w:rPr>
                <w:bCs/>
                <w:szCs w:val="20"/>
              </w:rPr>
            </w:pPr>
            <w:r w:rsidRPr="00354F5E">
              <w:rPr>
                <w:szCs w:val="20"/>
              </w:rPr>
              <w:t>1.29 (0.97, 1.72)</w:t>
            </w:r>
          </w:p>
        </w:tc>
        <w:tc>
          <w:tcPr>
            <w:tcW w:w="890" w:type="pct"/>
            <w:tcBorders>
              <w:top w:val="nil"/>
              <w:left w:val="nil"/>
              <w:bottom w:val="nil"/>
              <w:right w:val="nil"/>
            </w:tcBorders>
          </w:tcPr>
          <w:p w:rsidR="00B826A9" w:rsidRPr="00354F5E" w:rsidRDefault="00B826A9" w:rsidP="00D12336">
            <w:pPr>
              <w:pStyle w:val="Tabletext"/>
              <w:jc w:val="center"/>
              <w:rPr>
                <w:bCs/>
                <w:szCs w:val="20"/>
              </w:rPr>
            </w:pPr>
            <w:r w:rsidRPr="00354F5E">
              <w:rPr>
                <w:szCs w:val="20"/>
              </w:rPr>
              <w:t>1.09 (0.99, 1.19)</w:t>
            </w:r>
          </w:p>
        </w:tc>
        <w:tc>
          <w:tcPr>
            <w:tcW w:w="805" w:type="pct"/>
            <w:tcBorders>
              <w:top w:val="nil"/>
              <w:left w:val="nil"/>
              <w:bottom w:val="nil"/>
              <w:right w:val="nil"/>
            </w:tcBorders>
          </w:tcPr>
          <w:p w:rsidR="00B826A9" w:rsidRPr="00354F5E" w:rsidRDefault="00B826A9" w:rsidP="00D12336">
            <w:pPr>
              <w:pStyle w:val="Tabletext"/>
              <w:jc w:val="center"/>
              <w:rPr>
                <w:bCs/>
                <w:szCs w:val="20"/>
              </w:rPr>
            </w:pPr>
            <w:r w:rsidRPr="00354F5E">
              <w:rPr>
                <w:szCs w:val="20"/>
              </w:rPr>
              <w:t>5.6 (-0.6, 11.8)</w:t>
            </w:r>
          </w:p>
        </w:tc>
      </w:tr>
      <w:tr w:rsidR="00B826A9" w:rsidRPr="00354F5E" w:rsidTr="00CD363C">
        <w:trPr>
          <w:trHeight w:val="235"/>
        </w:trPr>
        <w:tc>
          <w:tcPr>
            <w:tcW w:w="987" w:type="pct"/>
            <w:tcBorders>
              <w:top w:val="nil"/>
              <w:left w:val="nil"/>
              <w:bottom w:val="nil"/>
              <w:right w:val="nil"/>
            </w:tcBorders>
            <w:vAlign w:val="center"/>
          </w:tcPr>
          <w:p w:rsidR="00B826A9" w:rsidRPr="00354F5E" w:rsidRDefault="00B826A9" w:rsidP="00D12336">
            <w:pPr>
              <w:pStyle w:val="Tabletext"/>
              <w:rPr>
                <w:szCs w:val="20"/>
              </w:rPr>
            </w:pPr>
            <w:r w:rsidRPr="00354F5E">
              <w:rPr>
                <w:b/>
                <w:bCs/>
                <w:szCs w:val="20"/>
              </w:rPr>
              <w:t>TOF v ADA</w:t>
            </w:r>
          </w:p>
        </w:tc>
        <w:tc>
          <w:tcPr>
            <w:tcW w:w="713" w:type="pct"/>
            <w:tcBorders>
              <w:top w:val="nil"/>
              <w:left w:val="nil"/>
              <w:bottom w:val="nil"/>
              <w:right w:val="nil"/>
            </w:tcBorders>
            <w:vAlign w:val="center"/>
          </w:tcPr>
          <w:p w:rsidR="00B826A9" w:rsidRPr="00354F5E" w:rsidRDefault="00B826A9" w:rsidP="00D12336">
            <w:pPr>
              <w:pStyle w:val="Tabletext"/>
              <w:jc w:val="center"/>
              <w:rPr>
                <w:szCs w:val="20"/>
              </w:rPr>
            </w:pPr>
          </w:p>
        </w:tc>
        <w:tc>
          <w:tcPr>
            <w:tcW w:w="803" w:type="pct"/>
            <w:tcBorders>
              <w:top w:val="nil"/>
              <w:left w:val="nil"/>
              <w:bottom w:val="nil"/>
              <w:right w:val="nil"/>
            </w:tcBorders>
            <w:vAlign w:val="center"/>
          </w:tcPr>
          <w:p w:rsidR="00B826A9" w:rsidRPr="00354F5E" w:rsidRDefault="00B826A9" w:rsidP="00D12336">
            <w:pPr>
              <w:pStyle w:val="Tabletext"/>
              <w:jc w:val="center"/>
              <w:rPr>
                <w:szCs w:val="20"/>
              </w:rPr>
            </w:pPr>
          </w:p>
        </w:tc>
        <w:tc>
          <w:tcPr>
            <w:tcW w:w="802" w:type="pct"/>
            <w:tcBorders>
              <w:top w:val="nil"/>
              <w:left w:val="nil"/>
              <w:bottom w:val="nil"/>
              <w:right w:val="nil"/>
            </w:tcBorders>
            <w:vAlign w:val="center"/>
          </w:tcPr>
          <w:p w:rsidR="00B826A9" w:rsidRPr="00354F5E" w:rsidRDefault="00B826A9" w:rsidP="00D12336">
            <w:pPr>
              <w:pStyle w:val="Tabletext"/>
              <w:jc w:val="center"/>
              <w:rPr>
                <w:szCs w:val="20"/>
              </w:rPr>
            </w:pPr>
          </w:p>
        </w:tc>
        <w:tc>
          <w:tcPr>
            <w:tcW w:w="890" w:type="pct"/>
            <w:tcBorders>
              <w:top w:val="nil"/>
              <w:left w:val="nil"/>
              <w:bottom w:val="nil"/>
              <w:right w:val="nil"/>
            </w:tcBorders>
            <w:vAlign w:val="center"/>
          </w:tcPr>
          <w:p w:rsidR="00B826A9" w:rsidRPr="00354F5E" w:rsidRDefault="00B826A9" w:rsidP="00D12336">
            <w:pPr>
              <w:pStyle w:val="Tabletext"/>
              <w:jc w:val="center"/>
              <w:rPr>
                <w:szCs w:val="20"/>
              </w:rPr>
            </w:pPr>
          </w:p>
        </w:tc>
        <w:tc>
          <w:tcPr>
            <w:tcW w:w="805" w:type="pct"/>
            <w:tcBorders>
              <w:top w:val="nil"/>
              <w:left w:val="nil"/>
              <w:bottom w:val="nil"/>
              <w:right w:val="nil"/>
            </w:tcBorders>
            <w:vAlign w:val="center"/>
          </w:tcPr>
          <w:p w:rsidR="00B826A9" w:rsidRPr="00354F5E" w:rsidRDefault="00B826A9" w:rsidP="00D12336">
            <w:pPr>
              <w:pStyle w:val="Tabletext"/>
              <w:jc w:val="center"/>
              <w:rPr>
                <w:szCs w:val="20"/>
              </w:rPr>
            </w:pPr>
          </w:p>
        </w:tc>
      </w:tr>
      <w:tr w:rsidR="00B826A9" w:rsidRPr="00354F5E" w:rsidTr="00CD363C">
        <w:trPr>
          <w:trHeight w:val="207"/>
        </w:trPr>
        <w:tc>
          <w:tcPr>
            <w:tcW w:w="987" w:type="pct"/>
            <w:tcBorders>
              <w:top w:val="nil"/>
              <w:left w:val="nil"/>
              <w:bottom w:val="nil"/>
              <w:right w:val="nil"/>
            </w:tcBorders>
            <w:vAlign w:val="center"/>
          </w:tcPr>
          <w:p w:rsidR="00B826A9" w:rsidRPr="00354F5E" w:rsidRDefault="00B826A9" w:rsidP="00D12336">
            <w:pPr>
              <w:jc w:val="left"/>
              <w:rPr>
                <w:rFonts w:ascii="Arial Narrow" w:hAnsi="Arial Narrow"/>
                <w:iCs/>
                <w:sz w:val="20"/>
                <w:szCs w:val="20"/>
              </w:rPr>
            </w:pPr>
            <w:r w:rsidRPr="00354F5E">
              <w:rPr>
                <w:rFonts w:ascii="Arial Narrow" w:hAnsi="Arial Narrow"/>
                <w:sz w:val="20"/>
                <w:szCs w:val="20"/>
              </w:rPr>
              <w:t>OPAL-BROADEN</w:t>
            </w:r>
          </w:p>
        </w:tc>
        <w:tc>
          <w:tcPr>
            <w:tcW w:w="713" w:type="pct"/>
            <w:tcBorders>
              <w:top w:val="nil"/>
              <w:left w:val="nil"/>
              <w:bottom w:val="nil"/>
              <w:right w:val="nil"/>
            </w:tcBorders>
            <w:vAlign w:val="center"/>
          </w:tcPr>
          <w:p w:rsidR="00B826A9" w:rsidRPr="00354F5E" w:rsidRDefault="00B826A9" w:rsidP="00D12336">
            <w:pPr>
              <w:jc w:val="center"/>
              <w:rPr>
                <w:rFonts w:ascii="Arial Narrow" w:hAnsi="Arial Narrow"/>
                <w:iCs/>
                <w:sz w:val="20"/>
                <w:szCs w:val="20"/>
              </w:rPr>
            </w:pPr>
            <w:r w:rsidRPr="00354F5E">
              <w:rPr>
                <w:rFonts w:ascii="Arial Narrow" w:hAnsi="Arial Narrow"/>
                <w:iCs/>
                <w:sz w:val="20"/>
                <w:szCs w:val="20"/>
              </w:rPr>
              <w:t>54/107 (50.5)</w:t>
            </w:r>
          </w:p>
        </w:tc>
        <w:tc>
          <w:tcPr>
            <w:tcW w:w="803" w:type="pct"/>
            <w:tcBorders>
              <w:top w:val="nil"/>
              <w:left w:val="nil"/>
              <w:bottom w:val="nil"/>
              <w:right w:val="nil"/>
            </w:tcBorders>
          </w:tcPr>
          <w:p w:rsidR="00B826A9" w:rsidRPr="00354F5E" w:rsidRDefault="00B826A9" w:rsidP="00D12336">
            <w:pPr>
              <w:jc w:val="center"/>
              <w:rPr>
                <w:rFonts w:ascii="Arial Narrow" w:hAnsi="Arial Narrow"/>
                <w:iCs/>
                <w:sz w:val="20"/>
                <w:szCs w:val="20"/>
              </w:rPr>
            </w:pPr>
            <w:r w:rsidRPr="00354F5E">
              <w:rPr>
                <w:rFonts w:ascii="Arial Narrow" w:hAnsi="Arial Narrow"/>
                <w:sz w:val="20"/>
                <w:szCs w:val="20"/>
              </w:rPr>
              <w:t>55/106 (51.9)</w:t>
            </w:r>
          </w:p>
        </w:tc>
        <w:tc>
          <w:tcPr>
            <w:tcW w:w="802" w:type="pct"/>
            <w:tcBorders>
              <w:top w:val="nil"/>
              <w:left w:val="nil"/>
              <w:bottom w:val="nil"/>
              <w:right w:val="nil"/>
            </w:tcBorders>
          </w:tcPr>
          <w:p w:rsidR="00B826A9" w:rsidRPr="00354F5E" w:rsidRDefault="00B826A9" w:rsidP="00D12336">
            <w:pPr>
              <w:jc w:val="center"/>
              <w:rPr>
                <w:rFonts w:ascii="Arial Narrow" w:hAnsi="Arial Narrow"/>
                <w:b/>
                <w:bCs/>
                <w:iCs/>
                <w:sz w:val="20"/>
                <w:szCs w:val="20"/>
              </w:rPr>
            </w:pPr>
            <w:r w:rsidRPr="00354F5E">
              <w:rPr>
                <w:rFonts w:ascii="Arial Narrow" w:hAnsi="Arial Narrow"/>
                <w:sz w:val="20"/>
                <w:szCs w:val="20"/>
              </w:rPr>
              <w:t>0.94 (0.55, 1.62)</w:t>
            </w:r>
          </w:p>
        </w:tc>
        <w:tc>
          <w:tcPr>
            <w:tcW w:w="890" w:type="pct"/>
            <w:tcBorders>
              <w:top w:val="nil"/>
              <w:left w:val="nil"/>
              <w:bottom w:val="nil"/>
              <w:right w:val="nil"/>
            </w:tcBorders>
          </w:tcPr>
          <w:p w:rsidR="00B826A9" w:rsidRPr="00354F5E" w:rsidRDefault="00B826A9" w:rsidP="00D12336">
            <w:pPr>
              <w:jc w:val="center"/>
              <w:rPr>
                <w:rFonts w:ascii="Arial Narrow" w:hAnsi="Arial Narrow"/>
                <w:b/>
                <w:bCs/>
                <w:iCs/>
                <w:sz w:val="20"/>
                <w:szCs w:val="20"/>
              </w:rPr>
            </w:pPr>
            <w:r w:rsidRPr="00354F5E">
              <w:rPr>
                <w:rFonts w:ascii="Arial Narrow" w:hAnsi="Arial Narrow"/>
                <w:sz w:val="20"/>
                <w:szCs w:val="20"/>
              </w:rPr>
              <w:t>0.97 (0.75, 1.26)</w:t>
            </w:r>
          </w:p>
        </w:tc>
        <w:tc>
          <w:tcPr>
            <w:tcW w:w="805" w:type="pct"/>
            <w:tcBorders>
              <w:top w:val="nil"/>
              <w:left w:val="nil"/>
              <w:bottom w:val="nil"/>
              <w:right w:val="nil"/>
            </w:tcBorders>
          </w:tcPr>
          <w:p w:rsidR="00B826A9" w:rsidRPr="00354F5E" w:rsidRDefault="00B826A9" w:rsidP="00D12336">
            <w:pPr>
              <w:jc w:val="center"/>
              <w:rPr>
                <w:rFonts w:ascii="Arial Narrow" w:hAnsi="Arial Narrow"/>
                <w:b/>
                <w:bCs/>
                <w:iCs/>
                <w:sz w:val="20"/>
                <w:szCs w:val="20"/>
              </w:rPr>
            </w:pPr>
            <w:r w:rsidRPr="00354F5E">
              <w:rPr>
                <w:rFonts w:ascii="Arial Narrow" w:hAnsi="Arial Narrow"/>
                <w:sz w:val="20"/>
                <w:szCs w:val="20"/>
              </w:rPr>
              <w:t>-1.4 (-14.8, 12.0)</w:t>
            </w:r>
          </w:p>
        </w:tc>
      </w:tr>
      <w:tr w:rsidR="00B826A9" w:rsidRPr="00354F5E" w:rsidTr="00CD363C">
        <w:trPr>
          <w:trHeight w:val="219"/>
        </w:trPr>
        <w:tc>
          <w:tcPr>
            <w:tcW w:w="2503" w:type="pct"/>
            <w:gridSpan w:val="3"/>
            <w:tcBorders>
              <w:left w:val="nil"/>
              <w:bottom w:val="nil"/>
              <w:right w:val="nil"/>
            </w:tcBorders>
            <w:vAlign w:val="center"/>
          </w:tcPr>
          <w:p w:rsidR="00B826A9" w:rsidRPr="00354F5E" w:rsidRDefault="00B826A9" w:rsidP="00D12336">
            <w:pPr>
              <w:rPr>
                <w:rFonts w:ascii="Arial Narrow" w:hAnsi="Arial Narrow"/>
                <w:color w:val="1F497D" w:themeColor="text2"/>
                <w:sz w:val="20"/>
                <w:szCs w:val="20"/>
                <w:u w:val="single"/>
              </w:rPr>
            </w:pPr>
            <w:r w:rsidRPr="00354F5E">
              <w:rPr>
                <w:rFonts w:ascii="Arial Narrow" w:hAnsi="Arial Narrow"/>
                <w:b/>
                <w:bCs/>
                <w:color w:val="31849B" w:themeColor="accent5" w:themeShade="BF"/>
                <w:sz w:val="20"/>
                <w:szCs w:val="20"/>
                <w:u w:val="single"/>
              </w:rPr>
              <w:t>bDMARD-IR population</w:t>
            </w:r>
          </w:p>
        </w:tc>
        <w:tc>
          <w:tcPr>
            <w:tcW w:w="802" w:type="pct"/>
            <w:tcBorders>
              <w:top w:val="single" w:sz="4" w:space="0" w:color="auto"/>
              <w:left w:val="nil"/>
              <w:bottom w:val="nil"/>
              <w:right w:val="nil"/>
            </w:tcBorders>
            <w:vAlign w:val="center"/>
          </w:tcPr>
          <w:p w:rsidR="00B826A9" w:rsidRPr="00354F5E" w:rsidRDefault="00B826A9" w:rsidP="00D12336">
            <w:pPr>
              <w:jc w:val="center"/>
              <w:rPr>
                <w:rFonts w:ascii="Arial Narrow" w:hAnsi="Arial Narrow"/>
                <w:iCs/>
                <w:sz w:val="20"/>
                <w:szCs w:val="20"/>
              </w:rPr>
            </w:pPr>
          </w:p>
        </w:tc>
        <w:tc>
          <w:tcPr>
            <w:tcW w:w="890" w:type="pct"/>
            <w:tcBorders>
              <w:top w:val="single" w:sz="4" w:space="0" w:color="auto"/>
              <w:left w:val="nil"/>
              <w:bottom w:val="nil"/>
              <w:right w:val="nil"/>
            </w:tcBorders>
            <w:vAlign w:val="center"/>
          </w:tcPr>
          <w:p w:rsidR="00B826A9" w:rsidRPr="00354F5E" w:rsidRDefault="00B826A9" w:rsidP="00D12336">
            <w:pPr>
              <w:jc w:val="center"/>
              <w:rPr>
                <w:rFonts w:ascii="Arial Narrow" w:hAnsi="Arial Narrow"/>
                <w:iCs/>
                <w:sz w:val="20"/>
                <w:szCs w:val="20"/>
              </w:rPr>
            </w:pPr>
          </w:p>
        </w:tc>
        <w:tc>
          <w:tcPr>
            <w:tcW w:w="805" w:type="pct"/>
            <w:tcBorders>
              <w:top w:val="single" w:sz="4" w:space="0" w:color="auto"/>
              <w:left w:val="nil"/>
              <w:bottom w:val="nil"/>
              <w:right w:val="nil"/>
            </w:tcBorders>
            <w:vAlign w:val="center"/>
          </w:tcPr>
          <w:p w:rsidR="00B826A9" w:rsidRPr="00354F5E" w:rsidRDefault="00B826A9" w:rsidP="00D12336">
            <w:pPr>
              <w:jc w:val="center"/>
              <w:rPr>
                <w:rFonts w:ascii="Arial Narrow" w:hAnsi="Arial Narrow"/>
                <w:iCs/>
                <w:sz w:val="20"/>
                <w:szCs w:val="20"/>
              </w:rPr>
            </w:pPr>
          </w:p>
        </w:tc>
      </w:tr>
      <w:tr w:rsidR="00B826A9" w:rsidRPr="00354F5E" w:rsidTr="00CD363C">
        <w:trPr>
          <w:trHeight w:val="219"/>
        </w:trPr>
        <w:tc>
          <w:tcPr>
            <w:tcW w:w="2503" w:type="pct"/>
            <w:gridSpan w:val="3"/>
            <w:tcBorders>
              <w:top w:val="nil"/>
              <w:left w:val="nil"/>
              <w:bottom w:val="nil"/>
              <w:right w:val="nil"/>
            </w:tcBorders>
            <w:vAlign w:val="center"/>
          </w:tcPr>
          <w:p w:rsidR="00B826A9" w:rsidRPr="00354F5E" w:rsidRDefault="00B826A9" w:rsidP="00D12336">
            <w:pPr>
              <w:rPr>
                <w:rFonts w:ascii="Arial Narrow" w:hAnsi="Arial Narrow"/>
                <w:b/>
                <w:bCs/>
                <w:sz w:val="20"/>
                <w:szCs w:val="20"/>
              </w:rPr>
            </w:pPr>
            <w:r w:rsidRPr="00354F5E">
              <w:rPr>
                <w:rFonts w:ascii="Arial Narrow" w:hAnsi="Arial Narrow"/>
                <w:b/>
                <w:bCs/>
                <w:sz w:val="20"/>
                <w:szCs w:val="20"/>
              </w:rPr>
              <w:t>UPA v PBO</w:t>
            </w:r>
          </w:p>
        </w:tc>
        <w:tc>
          <w:tcPr>
            <w:tcW w:w="802" w:type="pct"/>
            <w:tcBorders>
              <w:top w:val="nil"/>
              <w:left w:val="nil"/>
              <w:bottom w:val="nil"/>
              <w:right w:val="nil"/>
            </w:tcBorders>
            <w:vAlign w:val="center"/>
          </w:tcPr>
          <w:p w:rsidR="00B826A9" w:rsidRPr="00354F5E" w:rsidRDefault="00B826A9" w:rsidP="00D12336">
            <w:pPr>
              <w:jc w:val="center"/>
              <w:rPr>
                <w:rFonts w:ascii="Arial Narrow" w:hAnsi="Arial Narrow"/>
                <w:iCs/>
                <w:sz w:val="20"/>
                <w:szCs w:val="20"/>
              </w:rPr>
            </w:pPr>
          </w:p>
        </w:tc>
        <w:tc>
          <w:tcPr>
            <w:tcW w:w="890" w:type="pct"/>
            <w:tcBorders>
              <w:top w:val="nil"/>
              <w:left w:val="nil"/>
              <w:bottom w:val="nil"/>
              <w:right w:val="nil"/>
            </w:tcBorders>
            <w:vAlign w:val="center"/>
          </w:tcPr>
          <w:p w:rsidR="00B826A9" w:rsidRPr="00354F5E" w:rsidRDefault="00B826A9" w:rsidP="00D12336">
            <w:pPr>
              <w:jc w:val="center"/>
              <w:rPr>
                <w:rFonts w:ascii="Arial Narrow" w:hAnsi="Arial Narrow"/>
                <w:iCs/>
                <w:sz w:val="20"/>
                <w:szCs w:val="20"/>
              </w:rPr>
            </w:pPr>
          </w:p>
        </w:tc>
        <w:tc>
          <w:tcPr>
            <w:tcW w:w="805" w:type="pct"/>
            <w:tcBorders>
              <w:top w:val="nil"/>
              <w:left w:val="nil"/>
              <w:bottom w:val="nil"/>
              <w:right w:val="nil"/>
            </w:tcBorders>
            <w:vAlign w:val="center"/>
          </w:tcPr>
          <w:p w:rsidR="00B826A9" w:rsidRPr="00354F5E" w:rsidRDefault="00B826A9" w:rsidP="00D12336">
            <w:pPr>
              <w:jc w:val="center"/>
              <w:rPr>
                <w:rFonts w:ascii="Arial Narrow" w:hAnsi="Arial Narrow"/>
                <w:iCs/>
                <w:sz w:val="20"/>
                <w:szCs w:val="20"/>
              </w:rPr>
            </w:pPr>
          </w:p>
        </w:tc>
      </w:tr>
      <w:tr w:rsidR="00B826A9" w:rsidRPr="00354F5E" w:rsidTr="00CD363C">
        <w:trPr>
          <w:trHeight w:val="235"/>
        </w:trPr>
        <w:tc>
          <w:tcPr>
            <w:tcW w:w="987" w:type="pct"/>
            <w:tcBorders>
              <w:top w:val="nil"/>
              <w:left w:val="nil"/>
              <w:bottom w:val="nil"/>
              <w:right w:val="nil"/>
            </w:tcBorders>
            <w:vAlign w:val="center"/>
          </w:tcPr>
          <w:p w:rsidR="00B826A9" w:rsidRPr="00354F5E" w:rsidRDefault="00B826A9" w:rsidP="00D12336">
            <w:pPr>
              <w:rPr>
                <w:rFonts w:ascii="Arial Narrow" w:hAnsi="Arial Narrow"/>
                <w:sz w:val="20"/>
                <w:szCs w:val="20"/>
              </w:rPr>
            </w:pPr>
            <w:r w:rsidRPr="00354F5E">
              <w:rPr>
                <w:rFonts w:ascii="Arial Narrow" w:hAnsi="Arial Narrow"/>
                <w:sz w:val="20"/>
                <w:szCs w:val="20"/>
              </w:rPr>
              <w:t>SELECT PsA 2</w:t>
            </w:r>
          </w:p>
        </w:tc>
        <w:tc>
          <w:tcPr>
            <w:tcW w:w="713" w:type="pct"/>
            <w:tcBorders>
              <w:top w:val="nil"/>
              <w:left w:val="nil"/>
              <w:bottom w:val="nil"/>
              <w:right w:val="nil"/>
            </w:tcBorders>
          </w:tcPr>
          <w:p w:rsidR="00B826A9" w:rsidRPr="00354F5E" w:rsidRDefault="00B826A9" w:rsidP="00D12336">
            <w:pPr>
              <w:jc w:val="left"/>
              <w:rPr>
                <w:rFonts w:ascii="Arial Narrow" w:hAnsi="Arial Narrow"/>
                <w:sz w:val="20"/>
                <w:szCs w:val="20"/>
              </w:rPr>
            </w:pPr>
            <w:r w:rsidRPr="00354F5E">
              <w:rPr>
                <w:rFonts w:ascii="Arial Narrow" w:hAnsi="Arial Narrow"/>
                <w:sz w:val="20"/>
                <w:szCs w:val="20"/>
              </w:rPr>
              <w:t>120/211 (56.9)</w:t>
            </w:r>
          </w:p>
        </w:tc>
        <w:tc>
          <w:tcPr>
            <w:tcW w:w="803" w:type="pct"/>
            <w:tcBorders>
              <w:top w:val="nil"/>
              <w:left w:val="nil"/>
              <w:bottom w:val="nil"/>
              <w:right w:val="nil"/>
            </w:tcBorders>
          </w:tcPr>
          <w:p w:rsidR="00B826A9" w:rsidRPr="00354F5E" w:rsidRDefault="00B826A9" w:rsidP="00D12336">
            <w:pPr>
              <w:jc w:val="left"/>
              <w:rPr>
                <w:rFonts w:ascii="Arial Narrow" w:hAnsi="Arial Narrow"/>
                <w:sz w:val="20"/>
                <w:szCs w:val="20"/>
              </w:rPr>
            </w:pPr>
            <w:r w:rsidRPr="00354F5E">
              <w:rPr>
                <w:rFonts w:ascii="Arial Narrow" w:hAnsi="Arial Narrow"/>
                <w:sz w:val="20"/>
                <w:szCs w:val="20"/>
              </w:rPr>
              <w:t>51/212 (24.1)</w:t>
            </w:r>
          </w:p>
        </w:tc>
        <w:tc>
          <w:tcPr>
            <w:tcW w:w="802" w:type="pct"/>
            <w:tcBorders>
              <w:top w:val="nil"/>
              <w:left w:val="nil"/>
              <w:bottom w:val="nil"/>
              <w:right w:val="nil"/>
            </w:tcBorders>
          </w:tcPr>
          <w:p w:rsidR="00B826A9" w:rsidRPr="00354F5E" w:rsidRDefault="00B826A9" w:rsidP="00D12336">
            <w:pPr>
              <w:jc w:val="center"/>
              <w:rPr>
                <w:rFonts w:ascii="Arial Narrow" w:hAnsi="Arial Narrow"/>
                <w:b/>
                <w:bCs/>
                <w:sz w:val="20"/>
                <w:szCs w:val="20"/>
              </w:rPr>
            </w:pPr>
            <w:r w:rsidRPr="00354F5E">
              <w:rPr>
                <w:rFonts w:ascii="Arial Narrow" w:hAnsi="Arial Narrow"/>
                <w:b/>
                <w:sz w:val="20"/>
                <w:szCs w:val="20"/>
              </w:rPr>
              <w:t>4.16 (2.75, 6.31)</w:t>
            </w:r>
          </w:p>
        </w:tc>
        <w:tc>
          <w:tcPr>
            <w:tcW w:w="890" w:type="pct"/>
            <w:tcBorders>
              <w:top w:val="nil"/>
              <w:left w:val="nil"/>
              <w:bottom w:val="nil"/>
              <w:right w:val="nil"/>
            </w:tcBorders>
          </w:tcPr>
          <w:p w:rsidR="00B826A9" w:rsidRPr="00354F5E" w:rsidRDefault="00B826A9" w:rsidP="00D12336">
            <w:pPr>
              <w:jc w:val="center"/>
              <w:rPr>
                <w:rFonts w:ascii="Arial Narrow" w:hAnsi="Arial Narrow"/>
                <w:b/>
                <w:bCs/>
                <w:sz w:val="20"/>
                <w:szCs w:val="20"/>
              </w:rPr>
            </w:pPr>
            <w:r w:rsidRPr="00354F5E">
              <w:rPr>
                <w:rFonts w:ascii="Arial Narrow" w:hAnsi="Arial Narrow"/>
                <w:b/>
                <w:sz w:val="20"/>
                <w:szCs w:val="20"/>
              </w:rPr>
              <w:t>2.36 (1.81, 3.09)</w:t>
            </w:r>
          </w:p>
        </w:tc>
        <w:tc>
          <w:tcPr>
            <w:tcW w:w="805" w:type="pct"/>
            <w:tcBorders>
              <w:top w:val="nil"/>
              <w:left w:val="nil"/>
              <w:bottom w:val="nil"/>
              <w:right w:val="nil"/>
            </w:tcBorders>
          </w:tcPr>
          <w:p w:rsidR="00B826A9" w:rsidRPr="00354F5E" w:rsidRDefault="00B826A9" w:rsidP="00D12336">
            <w:pPr>
              <w:jc w:val="center"/>
              <w:rPr>
                <w:rFonts w:ascii="Arial Narrow" w:hAnsi="Arial Narrow"/>
                <w:b/>
                <w:bCs/>
                <w:sz w:val="20"/>
                <w:szCs w:val="20"/>
              </w:rPr>
            </w:pPr>
            <w:r w:rsidRPr="00354F5E">
              <w:rPr>
                <w:rFonts w:ascii="Arial Narrow" w:hAnsi="Arial Narrow"/>
                <w:b/>
                <w:sz w:val="20"/>
                <w:szCs w:val="20"/>
              </w:rPr>
              <w:t>32.8 (24.0, 41.6)</w:t>
            </w:r>
          </w:p>
        </w:tc>
      </w:tr>
      <w:tr w:rsidR="00B826A9" w:rsidRPr="00354F5E" w:rsidTr="00CD363C">
        <w:trPr>
          <w:trHeight w:val="219"/>
        </w:trPr>
        <w:tc>
          <w:tcPr>
            <w:tcW w:w="2503" w:type="pct"/>
            <w:gridSpan w:val="3"/>
            <w:tcBorders>
              <w:top w:val="nil"/>
              <w:left w:val="nil"/>
              <w:bottom w:val="nil"/>
              <w:right w:val="nil"/>
            </w:tcBorders>
            <w:vAlign w:val="center"/>
          </w:tcPr>
          <w:p w:rsidR="00B826A9" w:rsidRPr="00354F5E" w:rsidRDefault="00B826A9" w:rsidP="00D12336">
            <w:pPr>
              <w:jc w:val="left"/>
              <w:rPr>
                <w:rFonts w:ascii="Arial Narrow" w:hAnsi="Arial Narrow"/>
                <w:sz w:val="20"/>
                <w:szCs w:val="20"/>
              </w:rPr>
            </w:pPr>
            <w:r w:rsidRPr="00354F5E">
              <w:rPr>
                <w:rFonts w:ascii="Arial Narrow" w:hAnsi="Arial Narrow"/>
                <w:b/>
                <w:bCs/>
                <w:sz w:val="20"/>
                <w:szCs w:val="20"/>
              </w:rPr>
              <w:t>TOF v PBO</w:t>
            </w:r>
          </w:p>
        </w:tc>
        <w:tc>
          <w:tcPr>
            <w:tcW w:w="802" w:type="pct"/>
            <w:tcBorders>
              <w:top w:val="nil"/>
              <w:left w:val="nil"/>
              <w:bottom w:val="nil"/>
              <w:right w:val="nil"/>
            </w:tcBorders>
            <w:vAlign w:val="center"/>
          </w:tcPr>
          <w:p w:rsidR="00B826A9" w:rsidRPr="00354F5E" w:rsidRDefault="00B826A9" w:rsidP="00D12336">
            <w:pPr>
              <w:jc w:val="center"/>
              <w:rPr>
                <w:rFonts w:ascii="Arial Narrow" w:hAnsi="Arial Narrow"/>
                <w:b/>
                <w:bCs/>
                <w:sz w:val="20"/>
                <w:szCs w:val="20"/>
              </w:rPr>
            </w:pPr>
          </w:p>
        </w:tc>
        <w:tc>
          <w:tcPr>
            <w:tcW w:w="890" w:type="pct"/>
            <w:tcBorders>
              <w:top w:val="nil"/>
              <w:left w:val="nil"/>
              <w:bottom w:val="nil"/>
              <w:right w:val="nil"/>
            </w:tcBorders>
            <w:vAlign w:val="center"/>
          </w:tcPr>
          <w:p w:rsidR="00B826A9" w:rsidRPr="00354F5E" w:rsidRDefault="00B826A9" w:rsidP="00D12336">
            <w:pPr>
              <w:jc w:val="center"/>
              <w:rPr>
                <w:rFonts w:ascii="Arial Narrow" w:hAnsi="Arial Narrow"/>
                <w:b/>
                <w:bCs/>
                <w:sz w:val="20"/>
                <w:szCs w:val="20"/>
              </w:rPr>
            </w:pPr>
          </w:p>
        </w:tc>
        <w:tc>
          <w:tcPr>
            <w:tcW w:w="805" w:type="pct"/>
            <w:tcBorders>
              <w:top w:val="nil"/>
              <w:left w:val="nil"/>
              <w:bottom w:val="nil"/>
              <w:right w:val="nil"/>
            </w:tcBorders>
            <w:vAlign w:val="center"/>
          </w:tcPr>
          <w:p w:rsidR="00B826A9" w:rsidRPr="00354F5E" w:rsidRDefault="00B826A9" w:rsidP="00D12336">
            <w:pPr>
              <w:jc w:val="center"/>
              <w:rPr>
                <w:rFonts w:ascii="Arial Narrow" w:hAnsi="Arial Narrow"/>
                <w:b/>
                <w:bCs/>
                <w:sz w:val="20"/>
                <w:szCs w:val="20"/>
              </w:rPr>
            </w:pPr>
          </w:p>
        </w:tc>
      </w:tr>
      <w:tr w:rsidR="00B826A9" w:rsidRPr="00354F5E" w:rsidTr="00CD363C">
        <w:trPr>
          <w:trHeight w:val="219"/>
        </w:trPr>
        <w:tc>
          <w:tcPr>
            <w:tcW w:w="987" w:type="pct"/>
            <w:tcBorders>
              <w:top w:val="nil"/>
              <w:left w:val="nil"/>
              <w:bottom w:val="nil"/>
              <w:right w:val="nil"/>
            </w:tcBorders>
            <w:vAlign w:val="center"/>
          </w:tcPr>
          <w:p w:rsidR="00B826A9" w:rsidRPr="00354F5E" w:rsidRDefault="00B826A9" w:rsidP="00D12336">
            <w:pPr>
              <w:rPr>
                <w:rFonts w:ascii="Arial Narrow" w:hAnsi="Arial Narrow"/>
                <w:sz w:val="20"/>
                <w:szCs w:val="20"/>
              </w:rPr>
            </w:pPr>
            <w:r w:rsidRPr="00354F5E">
              <w:rPr>
                <w:rFonts w:ascii="Arial Narrow" w:hAnsi="Arial Narrow"/>
                <w:sz w:val="20"/>
                <w:szCs w:val="20"/>
              </w:rPr>
              <w:t>OPAL-BEYOND</w:t>
            </w:r>
          </w:p>
        </w:tc>
        <w:tc>
          <w:tcPr>
            <w:tcW w:w="713" w:type="pct"/>
            <w:tcBorders>
              <w:top w:val="nil"/>
              <w:left w:val="nil"/>
              <w:bottom w:val="nil"/>
              <w:right w:val="nil"/>
            </w:tcBorders>
          </w:tcPr>
          <w:p w:rsidR="00B826A9" w:rsidRPr="00354F5E" w:rsidRDefault="00B826A9" w:rsidP="00D12336">
            <w:pPr>
              <w:jc w:val="left"/>
              <w:rPr>
                <w:rFonts w:ascii="Arial Narrow" w:hAnsi="Arial Narrow"/>
                <w:sz w:val="20"/>
                <w:szCs w:val="20"/>
              </w:rPr>
            </w:pPr>
            <w:r w:rsidRPr="00354F5E">
              <w:rPr>
                <w:rFonts w:ascii="Arial Narrow" w:hAnsi="Arial Narrow"/>
                <w:sz w:val="20"/>
                <w:szCs w:val="20"/>
              </w:rPr>
              <w:t>65/131 (49.6)</w:t>
            </w:r>
          </w:p>
        </w:tc>
        <w:tc>
          <w:tcPr>
            <w:tcW w:w="803" w:type="pct"/>
            <w:tcBorders>
              <w:top w:val="nil"/>
              <w:left w:val="nil"/>
              <w:bottom w:val="nil"/>
              <w:right w:val="nil"/>
            </w:tcBorders>
          </w:tcPr>
          <w:p w:rsidR="00B826A9" w:rsidRPr="00354F5E" w:rsidRDefault="00B826A9" w:rsidP="00D12336">
            <w:pPr>
              <w:jc w:val="left"/>
              <w:rPr>
                <w:rFonts w:ascii="Arial Narrow" w:hAnsi="Arial Narrow"/>
                <w:sz w:val="20"/>
                <w:szCs w:val="20"/>
              </w:rPr>
            </w:pPr>
            <w:r w:rsidRPr="00354F5E">
              <w:rPr>
                <w:rFonts w:ascii="Arial Narrow" w:hAnsi="Arial Narrow"/>
                <w:sz w:val="20"/>
                <w:szCs w:val="20"/>
              </w:rPr>
              <w:t>31/131 (23.7)</w:t>
            </w:r>
          </w:p>
        </w:tc>
        <w:tc>
          <w:tcPr>
            <w:tcW w:w="802" w:type="pct"/>
            <w:tcBorders>
              <w:top w:val="nil"/>
              <w:left w:val="nil"/>
              <w:bottom w:val="nil"/>
              <w:right w:val="nil"/>
            </w:tcBorders>
          </w:tcPr>
          <w:p w:rsidR="00B826A9" w:rsidRPr="00354F5E" w:rsidRDefault="00B826A9" w:rsidP="00D12336">
            <w:pPr>
              <w:jc w:val="center"/>
              <w:rPr>
                <w:rFonts w:ascii="Arial Narrow" w:hAnsi="Arial Narrow"/>
                <w:b/>
                <w:bCs/>
                <w:sz w:val="20"/>
                <w:szCs w:val="20"/>
              </w:rPr>
            </w:pPr>
            <w:r w:rsidRPr="00354F5E">
              <w:rPr>
                <w:rFonts w:ascii="Arial Narrow" w:hAnsi="Arial Narrow"/>
                <w:b/>
                <w:sz w:val="20"/>
                <w:szCs w:val="20"/>
              </w:rPr>
              <w:t>3.18 (1.87, 5.39)</w:t>
            </w:r>
          </w:p>
        </w:tc>
        <w:tc>
          <w:tcPr>
            <w:tcW w:w="890" w:type="pct"/>
            <w:tcBorders>
              <w:top w:val="nil"/>
              <w:left w:val="nil"/>
              <w:bottom w:val="nil"/>
              <w:right w:val="nil"/>
            </w:tcBorders>
          </w:tcPr>
          <w:p w:rsidR="00B826A9" w:rsidRPr="00354F5E" w:rsidRDefault="00B826A9" w:rsidP="00D12336">
            <w:pPr>
              <w:jc w:val="center"/>
              <w:rPr>
                <w:rFonts w:ascii="Arial Narrow" w:hAnsi="Arial Narrow"/>
                <w:b/>
                <w:bCs/>
                <w:sz w:val="20"/>
                <w:szCs w:val="20"/>
              </w:rPr>
            </w:pPr>
            <w:r w:rsidRPr="00354F5E">
              <w:rPr>
                <w:rFonts w:ascii="Arial Narrow" w:hAnsi="Arial Narrow"/>
                <w:b/>
                <w:sz w:val="20"/>
                <w:szCs w:val="20"/>
              </w:rPr>
              <w:t>2.10 (1.47, 2.98)</w:t>
            </w:r>
          </w:p>
        </w:tc>
        <w:tc>
          <w:tcPr>
            <w:tcW w:w="805" w:type="pct"/>
            <w:tcBorders>
              <w:top w:val="nil"/>
              <w:left w:val="nil"/>
              <w:bottom w:val="nil"/>
              <w:right w:val="nil"/>
            </w:tcBorders>
          </w:tcPr>
          <w:p w:rsidR="00B826A9" w:rsidRPr="00354F5E" w:rsidRDefault="00B826A9" w:rsidP="00D12336">
            <w:pPr>
              <w:jc w:val="center"/>
              <w:rPr>
                <w:rFonts w:ascii="Arial Narrow" w:hAnsi="Arial Narrow"/>
                <w:b/>
                <w:bCs/>
                <w:sz w:val="20"/>
                <w:szCs w:val="20"/>
              </w:rPr>
            </w:pPr>
            <w:r w:rsidRPr="00354F5E">
              <w:rPr>
                <w:rFonts w:ascii="Arial Narrow" w:hAnsi="Arial Narrow"/>
                <w:b/>
                <w:sz w:val="20"/>
                <w:szCs w:val="20"/>
              </w:rPr>
              <w:t>26.0 (14.7, 37.2)</w:t>
            </w:r>
          </w:p>
        </w:tc>
      </w:tr>
      <w:tr w:rsidR="00B826A9" w:rsidRPr="00354F5E" w:rsidTr="00CD363C">
        <w:trPr>
          <w:trHeight w:val="219"/>
        </w:trPr>
        <w:tc>
          <w:tcPr>
            <w:tcW w:w="2503" w:type="pct"/>
            <w:gridSpan w:val="3"/>
            <w:tcBorders>
              <w:top w:val="double" w:sz="4" w:space="0" w:color="auto"/>
              <w:left w:val="nil"/>
              <w:bottom w:val="nil"/>
              <w:right w:val="nil"/>
            </w:tcBorders>
            <w:vAlign w:val="center"/>
          </w:tcPr>
          <w:p w:rsidR="00B826A9" w:rsidRPr="00354F5E" w:rsidRDefault="00B826A9" w:rsidP="00D12336">
            <w:pPr>
              <w:rPr>
                <w:rFonts w:ascii="Arial Narrow" w:hAnsi="Arial Narrow"/>
                <w:color w:val="9BBB59" w:themeColor="accent3"/>
                <w:sz w:val="20"/>
                <w:szCs w:val="20"/>
              </w:rPr>
            </w:pPr>
            <w:r w:rsidRPr="00354F5E">
              <w:rPr>
                <w:rFonts w:ascii="Arial Narrow" w:hAnsi="Arial Narrow"/>
                <w:b/>
                <w:bCs/>
                <w:sz w:val="20"/>
                <w:szCs w:val="20"/>
              </w:rPr>
              <w:t>Indirect Comparisons</w:t>
            </w:r>
          </w:p>
        </w:tc>
        <w:tc>
          <w:tcPr>
            <w:tcW w:w="802" w:type="pct"/>
            <w:tcBorders>
              <w:top w:val="double" w:sz="4" w:space="0" w:color="auto"/>
              <w:left w:val="nil"/>
              <w:bottom w:val="nil"/>
              <w:right w:val="nil"/>
            </w:tcBorders>
            <w:vAlign w:val="center"/>
          </w:tcPr>
          <w:p w:rsidR="00B826A9" w:rsidRPr="00354F5E" w:rsidRDefault="00B826A9" w:rsidP="00D12336">
            <w:pPr>
              <w:jc w:val="center"/>
              <w:rPr>
                <w:rFonts w:ascii="Arial Narrow" w:hAnsi="Arial Narrow"/>
                <w:iCs/>
                <w:sz w:val="20"/>
                <w:szCs w:val="20"/>
              </w:rPr>
            </w:pPr>
          </w:p>
        </w:tc>
        <w:tc>
          <w:tcPr>
            <w:tcW w:w="890" w:type="pct"/>
            <w:tcBorders>
              <w:top w:val="double" w:sz="4" w:space="0" w:color="auto"/>
              <w:left w:val="nil"/>
              <w:bottom w:val="nil"/>
              <w:right w:val="nil"/>
            </w:tcBorders>
            <w:vAlign w:val="center"/>
          </w:tcPr>
          <w:p w:rsidR="00B826A9" w:rsidRPr="00354F5E" w:rsidRDefault="00B826A9" w:rsidP="00D12336">
            <w:pPr>
              <w:jc w:val="center"/>
              <w:rPr>
                <w:rFonts w:ascii="Arial Narrow" w:hAnsi="Arial Narrow"/>
                <w:iCs/>
                <w:sz w:val="20"/>
                <w:szCs w:val="20"/>
              </w:rPr>
            </w:pPr>
          </w:p>
        </w:tc>
        <w:tc>
          <w:tcPr>
            <w:tcW w:w="805" w:type="pct"/>
            <w:tcBorders>
              <w:top w:val="double" w:sz="4" w:space="0" w:color="auto"/>
              <w:left w:val="nil"/>
              <w:bottom w:val="nil"/>
              <w:right w:val="nil"/>
            </w:tcBorders>
            <w:vAlign w:val="center"/>
          </w:tcPr>
          <w:p w:rsidR="00B826A9" w:rsidRPr="00354F5E" w:rsidRDefault="00B826A9" w:rsidP="00D12336">
            <w:pPr>
              <w:jc w:val="center"/>
              <w:rPr>
                <w:rFonts w:ascii="Arial Narrow" w:hAnsi="Arial Narrow"/>
                <w:iCs/>
                <w:sz w:val="20"/>
                <w:szCs w:val="20"/>
              </w:rPr>
            </w:pPr>
          </w:p>
        </w:tc>
      </w:tr>
      <w:tr w:rsidR="00B826A9" w:rsidRPr="00354F5E" w:rsidTr="00CD363C">
        <w:trPr>
          <w:trHeight w:val="235"/>
        </w:trPr>
        <w:tc>
          <w:tcPr>
            <w:tcW w:w="2503" w:type="pct"/>
            <w:gridSpan w:val="3"/>
            <w:tcBorders>
              <w:top w:val="nil"/>
              <w:left w:val="nil"/>
              <w:bottom w:val="nil"/>
              <w:right w:val="nil"/>
            </w:tcBorders>
            <w:vAlign w:val="center"/>
          </w:tcPr>
          <w:p w:rsidR="00B826A9" w:rsidRPr="00354F5E" w:rsidRDefault="00B826A9" w:rsidP="00D12336">
            <w:pPr>
              <w:jc w:val="left"/>
              <w:rPr>
                <w:rFonts w:ascii="Arial Narrow" w:hAnsi="Arial Narrow"/>
                <w:b/>
                <w:bCs/>
                <w:color w:val="76923C" w:themeColor="accent3" w:themeShade="BF"/>
                <w:sz w:val="20"/>
                <w:szCs w:val="20"/>
                <w:u w:val="single"/>
              </w:rPr>
            </w:pPr>
            <w:r w:rsidRPr="00354F5E">
              <w:rPr>
                <w:rFonts w:ascii="Arial Narrow" w:hAnsi="Arial Narrow"/>
                <w:b/>
                <w:bCs/>
                <w:color w:val="76923C" w:themeColor="accent3" w:themeShade="BF"/>
                <w:sz w:val="20"/>
                <w:szCs w:val="20"/>
                <w:u w:val="single"/>
              </w:rPr>
              <w:t>cDMARD-IR population</w:t>
            </w:r>
          </w:p>
        </w:tc>
        <w:tc>
          <w:tcPr>
            <w:tcW w:w="802" w:type="pct"/>
            <w:tcBorders>
              <w:top w:val="nil"/>
              <w:left w:val="nil"/>
              <w:bottom w:val="nil"/>
              <w:right w:val="nil"/>
            </w:tcBorders>
            <w:vAlign w:val="center"/>
          </w:tcPr>
          <w:p w:rsidR="00B826A9" w:rsidRPr="00354F5E" w:rsidRDefault="00B826A9" w:rsidP="00D12336">
            <w:pPr>
              <w:jc w:val="center"/>
              <w:rPr>
                <w:rFonts w:ascii="Arial Narrow" w:hAnsi="Arial Narrow"/>
                <w:iCs/>
                <w:sz w:val="20"/>
                <w:szCs w:val="20"/>
              </w:rPr>
            </w:pPr>
          </w:p>
        </w:tc>
        <w:tc>
          <w:tcPr>
            <w:tcW w:w="890" w:type="pct"/>
            <w:tcBorders>
              <w:top w:val="nil"/>
              <w:left w:val="nil"/>
              <w:bottom w:val="nil"/>
              <w:right w:val="nil"/>
            </w:tcBorders>
            <w:vAlign w:val="center"/>
          </w:tcPr>
          <w:p w:rsidR="00B826A9" w:rsidRPr="00354F5E" w:rsidRDefault="00B826A9" w:rsidP="00D12336">
            <w:pPr>
              <w:jc w:val="center"/>
              <w:rPr>
                <w:rFonts w:ascii="Arial Narrow" w:hAnsi="Arial Narrow"/>
                <w:iCs/>
                <w:sz w:val="20"/>
                <w:szCs w:val="20"/>
              </w:rPr>
            </w:pPr>
          </w:p>
        </w:tc>
        <w:tc>
          <w:tcPr>
            <w:tcW w:w="805" w:type="pct"/>
            <w:tcBorders>
              <w:top w:val="nil"/>
              <w:left w:val="nil"/>
              <w:bottom w:val="nil"/>
              <w:right w:val="nil"/>
            </w:tcBorders>
            <w:vAlign w:val="center"/>
          </w:tcPr>
          <w:p w:rsidR="00B826A9" w:rsidRPr="00354F5E" w:rsidRDefault="00B826A9" w:rsidP="00D12336">
            <w:pPr>
              <w:jc w:val="center"/>
              <w:rPr>
                <w:rFonts w:ascii="Arial Narrow" w:hAnsi="Arial Narrow"/>
                <w:iCs/>
                <w:sz w:val="20"/>
                <w:szCs w:val="20"/>
              </w:rPr>
            </w:pPr>
          </w:p>
        </w:tc>
      </w:tr>
      <w:tr w:rsidR="00B826A9" w:rsidRPr="00354F5E" w:rsidTr="00CD363C">
        <w:trPr>
          <w:trHeight w:val="260"/>
        </w:trPr>
        <w:tc>
          <w:tcPr>
            <w:tcW w:w="2503" w:type="pct"/>
            <w:gridSpan w:val="3"/>
            <w:tcBorders>
              <w:top w:val="nil"/>
              <w:left w:val="nil"/>
              <w:bottom w:val="nil"/>
              <w:right w:val="nil"/>
            </w:tcBorders>
            <w:vAlign w:val="center"/>
          </w:tcPr>
          <w:p w:rsidR="00B826A9" w:rsidRPr="00354F5E" w:rsidRDefault="00B826A9" w:rsidP="00D12336">
            <w:pPr>
              <w:jc w:val="left"/>
              <w:rPr>
                <w:rFonts w:ascii="Arial Narrow" w:hAnsi="Arial Narrow"/>
                <w:b/>
                <w:bCs/>
                <w:color w:val="76923C" w:themeColor="accent3" w:themeShade="BF"/>
                <w:sz w:val="20"/>
                <w:szCs w:val="20"/>
              </w:rPr>
            </w:pPr>
            <w:r w:rsidRPr="00354F5E">
              <w:rPr>
                <w:rFonts w:ascii="Arial Narrow" w:hAnsi="Arial Narrow"/>
                <w:b/>
                <w:bCs/>
                <w:sz w:val="20"/>
                <w:szCs w:val="20"/>
              </w:rPr>
              <w:t>UPA v TOF</w:t>
            </w:r>
          </w:p>
        </w:tc>
        <w:tc>
          <w:tcPr>
            <w:tcW w:w="802" w:type="pct"/>
            <w:tcBorders>
              <w:top w:val="nil"/>
              <w:left w:val="nil"/>
              <w:bottom w:val="nil"/>
              <w:right w:val="nil"/>
            </w:tcBorders>
            <w:vAlign w:val="center"/>
          </w:tcPr>
          <w:p w:rsidR="00B826A9" w:rsidRPr="00354F5E" w:rsidRDefault="00B826A9" w:rsidP="00D12336">
            <w:pPr>
              <w:jc w:val="center"/>
              <w:rPr>
                <w:rFonts w:ascii="Arial Narrow" w:hAnsi="Arial Narrow"/>
                <w:iCs/>
                <w:sz w:val="20"/>
                <w:szCs w:val="20"/>
              </w:rPr>
            </w:pPr>
          </w:p>
        </w:tc>
        <w:tc>
          <w:tcPr>
            <w:tcW w:w="890" w:type="pct"/>
            <w:tcBorders>
              <w:top w:val="nil"/>
              <w:left w:val="nil"/>
              <w:bottom w:val="nil"/>
              <w:right w:val="nil"/>
            </w:tcBorders>
            <w:vAlign w:val="center"/>
          </w:tcPr>
          <w:p w:rsidR="00B826A9" w:rsidRPr="00354F5E" w:rsidRDefault="00B826A9" w:rsidP="00D12336">
            <w:pPr>
              <w:jc w:val="center"/>
              <w:rPr>
                <w:rFonts w:ascii="Arial Narrow" w:hAnsi="Arial Narrow"/>
                <w:iCs/>
                <w:sz w:val="20"/>
                <w:szCs w:val="20"/>
              </w:rPr>
            </w:pPr>
          </w:p>
        </w:tc>
        <w:tc>
          <w:tcPr>
            <w:tcW w:w="805" w:type="pct"/>
            <w:tcBorders>
              <w:top w:val="nil"/>
              <w:left w:val="nil"/>
              <w:bottom w:val="nil"/>
              <w:right w:val="nil"/>
            </w:tcBorders>
            <w:vAlign w:val="center"/>
          </w:tcPr>
          <w:p w:rsidR="00B826A9" w:rsidRPr="00354F5E" w:rsidRDefault="00B826A9" w:rsidP="00D12336">
            <w:pPr>
              <w:jc w:val="center"/>
              <w:rPr>
                <w:rFonts w:ascii="Arial Narrow" w:hAnsi="Arial Narrow"/>
                <w:iCs/>
                <w:sz w:val="20"/>
                <w:szCs w:val="20"/>
              </w:rPr>
            </w:pPr>
          </w:p>
        </w:tc>
      </w:tr>
      <w:tr w:rsidR="00B826A9" w:rsidRPr="00354F5E" w:rsidTr="00CD363C">
        <w:trPr>
          <w:trHeight w:val="235"/>
        </w:trPr>
        <w:tc>
          <w:tcPr>
            <w:tcW w:w="2503" w:type="pct"/>
            <w:gridSpan w:val="3"/>
            <w:tcBorders>
              <w:top w:val="nil"/>
              <w:left w:val="nil"/>
              <w:bottom w:val="nil"/>
              <w:right w:val="nil"/>
            </w:tcBorders>
            <w:vAlign w:val="center"/>
          </w:tcPr>
          <w:p w:rsidR="00B826A9" w:rsidRPr="00354F5E" w:rsidRDefault="00B826A9" w:rsidP="00D12336">
            <w:pPr>
              <w:jc w:val="left"/>
              <w:rPr>
                <w:rFonts w:ascii="Arial Narrow" w:hAnsi="Arial Narrow"/>
                <w:sz w:val="20"/>
                <w:szCs w:val="20"/>
              </w:rPr>
            </w:pPr>
            <w:r w:rsidRPr="00354F5E">
              <w:rPr>
                <w:rFonts w:ascii="Arial Narrow" w:hAnsi="Arial Narrow"/>
                <w:sz w:val="20"/>
                <w:szCs w:val="20"/>
              </w:rPr>
              <w:t>UPA (SELECT PsA 1) v TOF (OPAL-BROADEN) via PBO</w:t>
            </w:r>
          </w:p>
        </w:tc>
        <w:tc>
          <w:tcPr>
            <w:tcW w:w="802" w:type="pct"/>
            <w:tcBorders>
              <w:top w:val="nil"/>
              <w:left w:val="nil"/>
              <w:bottom w:val="nil"/>
              <w:right w:val="nil"/>
            </w:tcBorders>
            <w:shd w:val="clear" w:color="auto" w:fill="auto"/>
            <w:vAlign w:val="center"/>
          </w:tcPr>
          <w:p w:rsidR="00B826A9" w:rsidRPr="00354F5E" w:rsidRDefault="00B826A9" w:rsidP="00D12336">
            <w:pPr>
              <w:jc w:val="center"/>
              <w:rPr>
                <w:rFonts w:ascii="Arial Narrow" w:hAnsi="Arial Narrow"/>
                <w:sz w:val="20"/>
                <w:szCs w:val="20"/>
              </w:rPr>
            </w:pPr>
            <w:r w:rsidRPr="00354F5E">
              <w:rPr>
                <w:rFonts w:ascii="Arial Narrow" w:hAnsi="Arial Narrow"/>
                <w:b/>
                <w:sz w:val="20"/>
                <w:szCs w:val="20"/>
              </w:rPr>
              <w:t>2.08 (1.11, 3.89)</w:t>
            </w:r>
          </w:p>
        </w:tc>
        <w:tc>
          <w:tcPr>
            <w:tcW w:w="890" w:type="pct"/>
            <w:tcBorders>
              <w:top w:val="nil"/>
              <w:left w:val="nil"/>
              <w:bottom w:val="nil"/>
              <w:right w:val="nil"/>
            </w:tcBorders>
            <w:shd w:val="clear" w:color="auto" w:fill="auto"/>
            <w:vAlign w:val="center"/>
          </w:tcPr>
          <w:p w:rsidR="00B826A9" w:rsidRPr="00354F5E" w:rsidRDefault="00B826A9" w:rsidP="00D12336">
            <w:pPr>
              <w:jc w:val="center"/>
              <w:rPr>
                <w:rFonts w:ascii="Arial Narrow" w:hAnsi="Arial Narrow"/>
                <w:sz w:val="20"/>
                <w:szCs w:val="20"/>
              </w:rPr>
            </w:pPr>
            <w:r w:rsidRPr="00354F5E">
              <w:rPr>
                <w:rFonts w:ascii="Arial Narrow" w:hAnsi="Arial Narrow"/>
                <w:sz w:val="20"/>
                <w:szCs w:val="20"/>
              </w:rPr>
              <w:t>1.29 (0.90, 1.84)</w:t>
            </w:r>
          </w:p>
        </w:tc>
        <w:tc>
          <w:tcPr>
            <w:tcW w:w="805" w:type="pct"/>
            <w:tcBorders>
              <w:top w:val="nil"/>
              <w:left w:val="nil"/>
              <w:bottom w:val="nil"/>
              <w:right w:val="nil"/>
            </w:tcBorders>
            <w:shd w:val="clear" w:color="auto" w:fill="auto"/>
            <w:vAlign w:val="center"/>
          </w:tcPr>
          <w:p w:rsidR="00B826A9" w:rsidRPr="00354F5E" w:rsidRDefault="00B826A9" w:rsidP="00D12336">
            <w:pPr>
              <w:jc w:val="center"/>
              <w:rPr>
                <w:rFonts w:ascii="Arial Narrow" w:hAnsi="Arial Narrow"/>
                <w:sz w:val="20"/>
                <w:szCs w:val="20"/>
              </w:rPr>
            </w:pPr>
            <w:r w:rsidRPr="00354F5E">
              <w:rPr>
                <w:rFonts w:ascii="Arial Narrow" w:hAnsi="Arial Narrow"/>
                <w:b/>
                <w:sz w:val="20"/>
                <w:szCs w:val="20"/>
              </w:rPr>
              <w:t>17.3 (2.8, 31.8)</w:t>
            </w:r>
          </w:p>
        </w:tc>
      </w:tr>
      <w:tr w:rsidR="00B826A9" w:rsidRPr="00354F5E" w:rsidTr="00CD363C">
        <w:trPr>
          <w:trHeight w:val="235"/>
        </w:trPr>
        <w:tc>
          <w:tcPr>
            <w:tcW w:w="2503" w:type="pct"/>
            <w:gridSpan w:val="3"/>
            <w:tcBorders>
              <w:top w:val="nil"/>
              <w:left w:val="nil"/>
              <w:bottom w:val="nil"/>
              <w:right w:val="nil"/>
            </w:tcBorders>
            <w:vAlign w:val="center"/>
          </w:tcPr>
          <w:p w:rsidR="00B826A9" w:rsidRPr="00354F5E" w:rsidRDefault="00B826A9" w:rsidP="00D12336">
            <w:pPr>
              <w:jc w:val="left"/>
              <w:rPr>
                <w:rFonts w:ascii="Arial Narrow" w:hAnsi="Arial Narrow"/>
                <w:sz w:val="20"/>
                <w:szCs w:val="20"/>
              </w:rPr>
            </w:pPr>
            <w:r w:rsidRPr="00354F5E">
              <w:rPr>
                <w:rFonts w:ascii="Arial Narrow" w:hAnsi="Arial Narrow"/>
                <w:sz w:val="20"/>
                <w:szCs w:val="20"/>
              </w:rPr>
              <w:t>UPA (SELECT PsA 1) v TOF (OPAL-BROADEN) via ADA</w:t>
            </w:r>
          </w:p>
        </w:tc>
        <w:tc>
          <w:tcPr>
            <w:tcW w:w="802" w:type="pct"/>
            <w:tcBorders>
              <w:top w:val="nil"/>
              <w:left w:val="nil"/>
              <w:bottom w:val="nil"/>
              <w:right w:val="nil"/>
            </w:tcBorders>
            <w:shd w:val="clear" w:color="auto" w:fill="auto"/>
            <w:vAlign w:val="center"/>
          </w:tcPr>
          <w:p w:rsidR="00B826A9" w:rsidRPr="00354F5E" w:rsidRDefault="00B826A9" w:rsidP="00D12336">
            <w:pPr>
              <w:jc w:val="center"/>
              <w:rPr>
                <w:rFonts w:ascii="Arial Narrow" w:hAnsi="Arial Narrow"/>
                <w:sz w:val="20"/>
                <w:szCs w:val="20"/>
              </w:rPr>
            </w:pPr>
            <w:r w:rsidRPr="00354F5E">
              <w:rPr>
                <w:rFonts w:ascii="Arial Narrow" w:hAnsi="Arial Narrow"/>
                <w:sz w:val="20"/>
                <w:szCs w:val="20"/>
              </w:rPr>
              <w:t>1.37 (0.74, 2.52)</w:t>
            </w:r>
          </w:p>
        </w:tc>
        <w:tc>
          <w:tcPr>
            <w:tcW w:w="890" w:type="pct"/>
            <w:tcBorders>
              <w:top w:val="nil"/>
              <w:left w:val="nil"/>
              <w:bottom w:val="nil"/>
              <w:right w:val="nil"/>
            </w:tcBorders>
            <w:shd w:val="clear" w:color="auto" w:fill="auto"/>
            <w:vAlign w:val="center"/>
          </w:tcPr>
          <w:p w:rsidR="00B826A9" w:rsidRPr="00354F5E" w:rsidRDefault="00B826A9" w:rsidP="00D12336">
            <w:pPr>
              <w:jc w:val="center"/>
              <w:rPr>
                <w:rFonts w:ascii="Arial Narrow" w:hAnsi="Arial Narrow"/>
                <w:sz w:val="20"/>
                <w:szCs w:val="20"/>
              </w:rPr>
            </w:pPr>
            <w:r w:rsidRPr="00354F5E">
              <w:rPr>
                <w:rFonts w:ascii="Arial Narrow" w:hAnsi="Arial Narrow"/>
                <w:sz w:val="20"/>
                <w:szCs w:val="20"/>
              </w:rPr>
              <w:t>1.12 (0.85, 1.47)</w:t>
            </w:r>
          </w:p>
        </w:tc>
        <w:tc>
          <w:tcPr>
            <w:tcW w:w="805" w:type="pct"/>
            <w:tcBorders>
              <w:top w:val="nil"/>
              <w:left w:val="nil"/>
              <w:bottom w:val="nil"/>
              <w:right w:val="nil"/>
            </w:tcBorders>
            <w:shd w:val="clear" w:color="auto" w:fill="auto"/>
            <w:vAlign w:val="center"/>
          </w:tcPr>
          <w:p w:rsidR="00B826A9" w:rsidRPr="00354F5E" w:rsidRDefault="00B826A9" w:rsidP="00D12336">
            <w:pPr>
              <w:jc w:val="center"/>
              <w:rPr>
                <w:rFonts w:ascii="Arial Narrow" w:hAnsi="Arial Narrow"/>
                <w:sz w:val="20"/>
                <w:szCs w:val="20"/>
              </w:rPr>
            </w:pPr>
            <w:r w:rsidRPr="00354F5E">
              <w:rPr>
                <w:rFonts w:ascii="Arial Narrow" w:hAnsi="Arial Narrow"/>
                <w:sz w:val="20"/>
                <w:szCs w:val="20"/>
              </w:rPr>
              <w:t>7.0 (-7.8, 21.8)</w:t>
            </w:r>
          </w:p>
        </w:tc>
      </w:tr>
      <w:tr w:rsidR="00B826A9" w:rsidRPr="00354F5E" w:rsidTr="00CD363C">
        <w:trPr>
          <w:trHeight w:val="219"/>
        </w:trPr>
        <w:tc>
          <w:tcPr>
            <w:tcW w:w="2503" w:type="pct"/>
            <w:gridSpan w:val="3"/>
            <w:tcBorders>
              <w:top w:val="single" w:sz="4" w:space="0" w:color="auto"/>
              <w:left w:val="nil"/>
              <w:bottom w:val="nil"/>
              <w:right w:val="nil"/>
            </w:tcBorders>
            <w:vAlign w:val="center"/>
          </w:tcPr>
          <w:p w:rsidR="00B826A9" w:rsidRPr="00354F5E" w:rsidRDefault="00B826A9" w:rsidP="00D12336">
            <w:pPr>
              <w:jc w:val="left"/>
              <w:rPr>
                <w:rFonts w:ascii="Arial Narrow" w:hAnsi="Arial Narrow"/>
                <w:color w:val="4F81BD" w:themeColor="accent1"/>
                <w:sz w:val="20"/>
                <w:szCs w:val="20"/>
                <w:u w:val="single"/>
              </w:rPr>
            </w:pPr>
            <w:r w:rsidRPr="00354F5E">
              <w:rPr>
                <w:rFonts w:ascii="Arial Narrow" w:hAnsi="Arial Narrow"/>
                <w:b/>
                <w:bCs/>
                <w:color w:val="31849B" w:themeColor="accent5" w:themeShade="BF"/>
                <w:sz w:val="20"/>
                <w:szCs w:val="20"/>
                <w:u w:val="single"/>
              </w:rPr>
              <w:t>bDMARD-IR population</w:t>
            </w:r>
          </w:p>
        </w:tc>
        <w:tc>
          <w:tcPr>
            <w:tcW w:w="802" w:type="pct"/>
            <w:tcBorders>
              <w:top w:val="single" w:sz="4" w:space="0" w:color="auto"/>
              <w:left w:val="nil"/>
              <w:bottom w:val="nil"/>
              <w:right w:val="nil"/>
            </w:tcBorders>
            <w:shd w:val="clear" w:color="auto" w:fill="auto"/>
            <w:vAlign w:val="center"/>
          </w:tcPr>
          <w:p w:rsidR="00B826A9" w:rsidRPr="00354F5E" w:rsidRDefault="00B826A9" w:rsidP="00D12336">
            <w:pPr>
              <w:jc w:val="center"/>
              <w:rPr>
                <w:rFonts w:ascii="Arial Narrow" w:hAnsi="Arial Narrow"/>
                <w:iCs/>
                <w:sz w:val="20"/>
                <w:szCs w:val="20"/>
              </w:rPr>
            </w:pPr>
          </w:p>
        </w:tc>
        <w:tc>
          <w:tcPr>
            <w:tcW w:w="890" w:type="pct"/>
            <w:tcBorders>
              <w:top w:val="single" w:sz="4" w:space="0" w:color="auto"/>
              <w:left w:val="nil"/>
              <w:bottom w:val="nil"/>
              <w:right w:val="nil"/>
            </w:tcBorders>
            <w:shd w:val="clear" w:color="auto" w:fill="auto"/>
            <w:vAlign w:val="center"/>
          </w:tcPr>
          <w:p w:rsidR="00B826A9" w:rsidRPr="00354F5E" w:rsidRDefault="00B826A9" w:rsidP="00D12336">
            <w:pPr>
              <w:jc w:val="center"/>
              <w:rPr>
                <w:rFonts w:ascii="Arial Narrow" w:hAnsi="Arial Narrow"/>
                <w:iCs/>
                <w:sz w:val="20"/>
                <w:szCs w:val="20"/>
              </w:rPr>
            </w:pPr>
          </w:p>
        </w:tc>
        <w:tc>
          <w:tcPr>
            <w:tcW w:w="805" w:type="pct"/>
            <w:tcBorders>
              <w:top w:val="single" w:sz="4" w:space="0" w:color="auto"/>
              <w:left w:val="nil"/>
              <w:bottom w:val="nil"/>
              <w:right w:val="nil"/>
            </w:tcBorders>
            <w:shd w:val="clear" w:color="auto" w:fill="auto"/>
            <w:vAlign w:val="center"/>
          </w:tcPr>
          <w:p w:rsidR="00B826A9" w:rsidRPr="00354F5E" w:rsidRDefault="00B826A9" w:rsidP="00D12336">
            <w:pPr>
              <w:jc w:val="center"/>
              <w:rPr>
                <w:rFonts w:ascii="Arial Narrow" w:hAnsi="Arial Narrow"/>
                <w:iCs/>
                <w:sz w:val="20"/>
                <w:szCs w:val="20"/>
              </w:rPr>
            </w:pPr>
          </w:p>
        </w:tc>
      </w:tr>
      <w:tr w:rsidR="00B826A9" w:rsidRPr="00354F5E" w:rsidTr="00CD363C">
        <w:trPr>
          <w:trHeight w:val="235"/>
        </w:trPr>
        <w:tc>
          <w:tcPr>
            <w:tcW w:w="2503" w:type="pct"/>
            <w:gridSpan w:val="3"/>
            <w:tcBorders>
              <w:top w:val="nil"/>
              <w:left w:val="nil"/>
              <w:bottom w:val="nil"/>
              <w:right w:val="nil"/>
            </w:tcBorders>
            <w:vAlign w:val="center"/>
          </w:tcPr>
          <w:p w:rsidR="00B826A9" w:rsidRPr="00354F5E" w:rsidRDefault="00B826A9" w:rsidP="00D12336">
            <w:pPr>
              <w:rPr>
                <w:rFonts w:ascii="Arial Narrow" w:hAnsi="Arial Narrow"/>
                <w:b/>
                <w:sz w:val="20"/>
                <w:szCs w:val="20"/>
              </w:rPr>
            </w:pPr>
            <w:r w:rsidRPr="00354F5E">
              <w:rPr>
                <w:rFonts w:ascii="Arial Narrow" w:hAnsi="Arial Narrow"/>
                <w:b/>
                <w:bCs/>
                <w:sz w:val="20"/>
                <w:szCs w:val="20"/>
              </w:rPr>
              <w:t>UPA v TOF</w:t>
            </w:r>
          </w:p>
        </w:tc>
        <w:tc>
          <w:tcPr>
            <w:tcW w:w="802" w:type="pct"/>
            <w:tcBorders>
              <w:top w:val="nil"/>
              <w:left w:val="nil"/>
              <w:bottom w:val="nil"/>
              <w:right w:val="nil"/>
            </w:tcBorders>
            <w:shd w:val="clear" w:color="auto" w:fill="auto"/>
            <w:vAlign w:val="center"/>
          </w:tcPr>
          <w:p w:rsidR="00B826A9" w:rsidRPr="00354F5E" w:rsidRDefault="00B826A9" w:rsidP="00D12336">
            <w:pPr>
              <w:jc w:val="center"/>
              <w:rPr>
                <w:rFonts w:ascii="Arial Narrow" w:hAnsi="Arial Narrow"/>
                <w:sz w:val="20"/>
                <w:szCs w:val="20"/>
              </w:rPr>
            </w:pPr>
          </w:p>
        </w:tc>
        <w:tc>
          <w:tcPr>
            <w:tcW w:w="890" w:type="pct"/>
            <w:tcBorders>
              <w:top w:val="nil"/>
              <w:left w:val="nil"/>
              <w:bottom w:val="nil"/>
              <w:right w:val="nil"/>
            </w:tcBorders>
            <w:shd w:val="clear" w:color="auto" w:fill="auto"/>
            <w:vAlign w:val="center"/>
          </w:tcPr>
          <w:p w:rsidR="00B826A9" w:rsidRPr="00354F5E" w:rsidRDefault="00B826A9" w:rsidP="00D12336">
            <w:pPr>
              <w:jc w:val="center"/>
              <w:rPr>
                <w:rFonts w:ascii="Arial Narrow" w:hAnsi="Arial Narrow"/>
                <w:iCs/>
                <w:sz w:val="20"/>
                <w:szCs w:val="20"/>
              </w:rPr>
            </w:pPr>
          </w:p>
        </w:tc>
        <w:tc>
          <w:tcPr>
            <w:tcW w:w="805" w:type="pct"/>
            <w:tcBorders>
              <w:top w:val="nil"/>
              <w:left w:val="nil"/>
              <w:bottom w:val="nil"/>
              <w:right w:val="nil"/>
            </w:tcBorders>
            <w:shd w:val="clear" w:color="auto" w:fill="auto"/>
            <w:vAlign w:val="center"/>
          </w:tcPr>
          <w:p w:rsidR="00B826A9" w:rsidRPr="00354F5E" w:rsidRDefault="00B826A9" w:rsidP="00D12336">
            <w:pPr>
              <w:jc w:val="center"/>
              <w:rPr>
                <w:rFonts w:ascii="Arial Narrow" w:hAnsi="Arial Narrow"/>
                <w:iCs/>
                <w:sz w:val="20"/>
                <w:szCs w:val="20"/>
              </w:rPr>
            </w:pPr>
          </w:p>
        </w:tc>
      </w:tr>
      <w:tr w:rsidR="00B826A9" w:rsidRPr="00354F5E" w:rsidTr="00CD363C">
        <w:trPr>
          <w:trHeight w:val="219"/>
        </w:trPr>
        <w:tc>
          <w:tcPr>
            <w:tcW w:w="2503" w:type="pct"/>
            <w:gridSpan w:val="3"/>
            <w:tcBorders>
              <w:top w:val="nil"/>
              <w:left w:val="nil"/>
              <w:bottom w:val="single" w:sz="4" w:space="0" w:color="auto"/>
              <w:right w:val="nil"/>
            </w:tcBorders>
            <w:vAlign w:val="center"/>
          </w:tcPr>
          <w:p w:rsidR="00B826A9" w:rsidRPr="00354F5E" w:rsidRDefault="00B826A9" w:rsidP="00D12336">
            <w:pPr>
              <w:rPr>
                <w:rFonts w:ascii="Arial Narrow" w:hAnsi="Arial Narrow"/>
                <w:sz w:val="20"/>
                <w:szCs w:val="20"/>
              </w:rPr>
            </w:pPr>
            <w:r w:rsidRPr="00354F5E">
              <w:rPr>
                <w:rFonts w:ascii="Arial Narrow" w:hAnsi="Arial Narrow"/>
                <w:sz w:val="20"/>
                <w:szCs w:val="20"/>
              </w:rPr>
              <w:t>UPA (SELECT PsA 2) v TOF (OPAL-BEYOND) via PBO</w:t>
            </w:r>
          </w:p>
        </w:tc>
        <w:tc>
          <w:tcPr>
            <w:tcW w:w="802" w:type="pct"/>
            <w:tcBorders>
              <w:top w:val="nil"/>
              <w:left w:val="nil"/>
              <w:bottom w:val="single" w:sz="4" w:space="0" w:color="auto"/>
              <w:right w:val="nil"/>
            </w:tcBorders>
            <w:shd w:val="clear" w:color="auto" w:fill="auto"/>
          </w:tcPr>
          <w:p w:rsidR="00B826A9" w:rsidRPr="00354F5E" w:rsidRDefault="00B826A9" w:rsidP="00D12336">
            <w:pPr>
              <w:jc w:val="center"/>
              <w:rPr>
                <w:rFonts w:ascii="Arial Narrow" w:hAnsi="Arial Narrow"/>
                <w:sz w:val="20"/>
                <w:szCs w:val="20"/>
              </w:rPr>
            </w:pPr>
            <w:r w:rsidRPr="00354F5E">
              <w:rPr>
                <w:rFonts w:ascii="Arial Narrow" w:hAnsi="Arial Narrow"/>
                <w:sz w:val="20"/>
                <w:szCs w:val="20"/>
              </w:rPr>
              <w:t>1.31 (0.67, 2.57)</w:t>
            </w:r>
          </w:p>
        </w:tc>
        <w:tc>
          <w:tcPr>
            <w:tcW w:w="890" w:type="pct"/>
            <w:tcBorders>
              <w:top w:val="nil"/>
              <w:left w:val="nil"/>
              <w:bottom w:val="single" w:sz="4" w:space="0" w:color="auto"/>
              <w:right w:val="nil"/>
            </w:tcBorders>
            <w:shd w:val="clear" w:color="auto" w:fill="auto"/>
          </w:tcPr>
          <w:p w:rsidR="00B826A9" w:rsidRPr="00354F5E" w:rsidRDefault="00B826A9" w:rsidP="00D12336">
            <w:pPr>
              <w:jc w:val="center"/>
              <w:rPr>
                <w:rFonts w:ascii="Arial Narrow" w:hAnsi="Arial Narrow"/>
                <w:iCs/>
                <w:sz w:val="20"/>
                <w:szCs w:val="20"/>
              </w:rPr>
            </w:pPr>
            <w:r w:rsidRPr="00354F5E">
              <w:rPr>
                <w:rFonts w:ascii="Arial Narrow" w:hAnsi="Arial Narrow"/>
                <w:sz w:val="20"/>
                <w:szCs w:val="20"/>
              </w:rPr>
              <w:t>1.13 (0.72, 1.75)</w:t>
            </w:r>
          </w:p>
        </w:tc>
        <w:tc>
          <w:tcPr>
            <w:tcW w:w="805" w:type="pct"/>
            <w:tcBorders>
              <w:top w:val="nil"/>
              <w:left w:val="nil"/>
              <w:bottom w:val="single" w:sz="4" w:space="0" w:color="auto"/>
              <w:right w:val="nil"/>
            </w:tcBorders>
            <w:shd w:val="clear" w:color="auto" w:fill="auto"/>
          </w:tcPr>
          <w:p w:rsidR="00B826A9" w:rsidRPr="00354F5E" w:rsidRDefault="00B826A9" w:rsidP="00D12336">
            <w:pPr>
              <w:jc w:val="center"/>
              <w:rPr>
                <w:rFonts w:ascii="Arial Narrow" w:hAnsi="Arial Narrow"/>
                <w:iCs/>
                <w:sz w:val="20"/>
                <w:szCs w:val="20"/>
              </w:rPr>
            </w:pPr>
            <w:r w:rsidRPr="00354F5E">
              <w:rPr>
                <w:rFonts w:ascii="Arial Narrow" w:hAnsi="Arial Narrow"/>
                <w:sz w:val="20"/>
                <w:szCs w:val="20"/>
              </w:rPr>
              <w:t>6.9 (-7.4, 21.1)</w:t>
            </w:r>
          </w:p>
        </w:tc>
      </w:tr>
    </w:tbl>
    <w:p w:rsidR="00B826A9" w:rsidRPr="00354F5E" w:rsidRDefault="00B826A9" w:rsidP="00D12336">
      <w:pPr>
        <w:pStyle w:val="TableFigureFooter"/>
        <w:rPr>
          <w:sz w:val="20"/>
        </w:rPr>
      </w:pPr>
      <w:r w:rsidRPr="00354F5E">
        <w:t>Source: Compiled during evaluation from Tables 2-18, 2-21, 2-29 and 2-32, pp78, 82, 93 and 96 of the submission.</w:t>
      </w:r>
    </w:p>
    <w:p w:rsidR="00B826A9" w:rsidRPr="00354F5E" w:rsidRDefault="00B826A9" w:rsidP="00D12336">
      <w:pPr>
        <w:pStyle w:val="TableFigureFooter"/>
        <w:rPr>
          <w:rFonts w:eastAsia="Calibri"/>
        </w:rPr>
      </w:pPr>
      <w:r w:rsidRPr="00354F5E">
        <w:rPr>
          <w:rFonts w:eastAsia="Calibri"/>
        </w:rPr>
        <w:t xml:space="preserve">CI=confidence interval; n=number of participants with event; N=total participants in group; OR=odds ration; RR=relative risk; RD=response rate difference. </w:t>
      </w:r>
      <w:r w:rsidRPr="00354F5E">
        <w:rPr>
          <w:rFonts w:eastAsia="Calibri"/>
          <w:b/>
        </w:rPr>
        <w:t>Bold</w:t>
      </w:r>
      <w:r w:rsidRPr="00354F5E">
        <w:rPr>
          <w:rFonts w:eastAsia="Calibri"/>
        </w:rPr>
        <w:t xml:space="preserve"> indicates statistically significant results. </w:t>
      </w:r>
    </w:p>
    <w:p w:rsidR="00590F72" w:rsidRPr="00354F5E" w:rsidRDefault="00B826A9" w:rsidP="00D12336">
      <w:pPr>
        <w:pStyle w:val="3-BodyText"/>
      </w:pPr>
      <w:r w:rsidRPr="00354F5E">
        <w:rPr>
          <w:iCs/>
        </w:rPr>
        <w:t>The trial</w:t>
      </w:r>
      <w:r w:rsidR="008D0E91" w:rsidRPr="00354F5E">
        <w:rPr>
          <w:iCs/>
        </w:rPr>
        <w:t>s</w:t>
      </w:r>
      <w:r w:rsidRPr="00354F5E">
        <w:rPr>
          <w:iCs/>
        </w:rPr>
        <w:t xml:space="preserve"> demonstrated </w:t>
      </w:r>
      <w:r w:rsidR="006C79DB" w:rsidRPr="00354F5E">
        <w:rPr>
          <w:iCs/>
        </w:rPr>
        <w:t>th</w:t>
      </w:r>
      <w:r w:rsidRPr="00354F5E">
        <w:rPr>
          <w:iCs/>
        </w:rPr>
        <w:t>at UPA and TOF were more effective than PBO at achieving ACR20 and ACR50 responses at Week 12 / 3</w:t>
      </w:r>
      <w:r w:rsidR="00100CEE" w:rsidRPr="00354F5E">
        <w:rPr>
          <w:iCs/>
        </w:rPr>
        <w:t xml:space="preserve"> </w:t>
      </w:r>
      <w:r w:rsidRPr="00354F5E">
        <w:rPr>
          <w:iCs/>
        </w:rPr>
        <w:t>months</w:t>
      </w:r>
      <w:r w:rsidR="00976C01" w:rsidRPr="00354F5E">
        <w:rPr>
          <w:iCs/>
        </w:rPr>
        <w:t xml:space="preserve"> in patients with an inadequate response to </w:t>
      </w:r>
      <w:r w:rsidRPr="00354F5E">
        <w:rPr>
          <w:iCs/>
        </w:rPr>
        <w:t>cDMARD</w:t>
      </w:r>
      <w:r w:rsidR="00976C01" w:rsidRPr="00354F5E">
        <w:rPr>
          <w:iCs/>
        </w:rPr>
        <w:t>s or</w:t>
      </w:r>
      <w:r w:rsidRPr="00354F5E">
        <w:rPr>
          <w:iCs/>
        </w:rPr>
        <w:t xml:space="preserve"> bDMARD</w:t>
      </w:r>
      <w:r w:rsidR="00590F72" w:rsidRPr="00354F5E">
        <w:rPr>
          <w:iCs/>
        </w:rPr>
        <w:t xml:space="preserve">, and had similar </w:t>
      </w:r>
      <w:r w:rsidR="003046A9" w:rsidRPr="00354F5E">
        <w:rPr>
          <w:iCs/>
        </w:rPr>
        <w:t xml:space="preserve">response rates </w:t>
      </w:r>
      <w:r w:rsidR="00976C01" w:rsidRPr="00354F5E">
        <w:rPr>
          <w:iCs/>
        </w:rPr>
        <w:t xml:space="preserve">versus </w:t>
      </w:r>
      <w:r w:rsidR="00590F72" w:rsidRPr="00354F5E">
        <w:rPr>
          <w:iCs/>
        </w:rPr>
        <w:t xml:space="preserve">ADA in </w:t>
      </w:r>
      <w:r w:rsidR="00976C01" w:rsidRPr="00354F5E">
        <w:rPr>
          <w:iCs/>
        </w:rPr>
        <w:t xml:space="preserve">patients with an inadequate response to </w:t>
      </w:r>
      <w:r w:rsidR="00590F72" w:rsidRPr="00354F5E">
        <w:rPr>
          <w:iCs/>
        </w:rPr>
        <w:t>cDMARD</w:t>
      </w:r>
      <w:r w:rsidR="00976C01" w:rsidRPr="00354F5E">
        <w:rPr>
          <w:iCs/>
        </w:rPr>
        <w:t>s</w:t>
      </w:r>
      <w:r w:rsidR="00590F72" w:rsidRPr="00354F5E">
        <w:rPr>
          <w:iCs/>
        </w:rPr>
        <w:t>.</w:t>
      </w:r>
      <w:r w:rsidR="00976C01" w:rsidRPr="00354F5E">
        <w:rPr>
          <w:iCs/>
        </w:rPr>
        <w:t xml:space="preserve"> </w:t>
      </w:r>
      <w:r w:rsidR="00311080" w:rsidRPr="00354F5E">
        <w:rPr>
          <w:iCs/>
        </w:rPr>
        <w:t>The</w:t>
      </w:r>
      <w:r w:rsidR="00311080" w:rsidRPr="00354F5E">
        <w:t xml:space="preserve"> submission did not make a clinical claim between UPA and ADA, but results for ACR20 in the SELECT-PsA 1 trial (RD=5.6, 95%CI: -0.6, 11.8) met the pre-specified test of non-inferiority (p-value &lt; 0.0001) but not superiority (p-value = 0.0815).</w:t>
      </w:r>
    </w:p>
    <w:p w:rsidR="007A2773" w:rsidRPr="00354F5E" w:rsidRDefault="007A2773" w:rsidP="00D12336">
      <w:pPr>
        <w:pStyle w:val="3-BodyText"/>
      </w:pPr>
      <w:r w:rsidRPr="00354F5E">
        <w:t xml:space="preserve">In </w:t>
      </w:r>
      <w:r w:rsidR="00976C01" w:rsidRPr="00354F5E">
        <w:t xml:space="preserve">patients with an inadequate response to </w:t>
      </w:r>
      <w:r w:rsidRPr="00354F5E">
        <w:t>cDMARD</w:t>
      </w:r>
      <w:r w:rsidR="00976C01" w:rsidRPr="00354F5E">
        <w:t>s</w:t>
      </w:r>
      <w:r w:rsidRPr="00354F5E">
        <w:t>, the indirect treatment comparisons did not show any significant difference between UPA vs TOF for ACR50 response at Week 12 / 3 months using PBO or ADA as common reference. There were similar results for ACR20 at Week 12 / 3 months, but the OR and RD favoured UPA using PBO as the common reference.</w:t>
      </w:r>
    </w:p>
    <w:p w:rsidR="007A2773" w:rsidRPr="00354F5E" w:rsidRDefault="00976C01" w:rsidP="00D12336">
      <w:pPr>
        <w:pStyle w:val="3-BodyText"/>
      </w:pPr>
      <w:r w:rsidRPr="00354F5E">
        <w:t xml:space="preserve">In patients with an inadequate response to bDMARDs, </w:t>
      </w:r>
      <w:r w:rsidR="007A2773" w:rsidRPr="00354F5E">
        <w:t>the indirect treatment comparison generally favoured UPA versus TOF for ACR50 response at Week 12 / 3 months, with significant differences observed for the OR and RR statistics but not the RD. However, the assumption of transitivity may have been violated in this analysis given the difference in PBO response rates across the two trials (4.7% in SELECT-PsA 2 versus 14.5% OPAL-BEYOND).</w:t>
      </w:r>
      <w:r w:rsidR="003046A9" w:rsidRPr="00354F5E">
        <w:t xml:space="preserve"> T</w:t>
      </w:r>
      <w:r w:rsidR="007A2773" w:rsidRPr="00354F5E">
        <w:t>he SELECT-PsA 2 trial enrolled patients with more advanced / severe disease</w:t>
      </w:r>
      <w:r w:rsidR="00042FE0" w:rsidRPr="00354F5E">
        <w:t xml:space="preserve">, a </w:t>
      </w:r>
      <w:r w:rsidR="007A2773" w:rsidRPr="00354F5E">
        <w:t>larger proportion of patients had an inadequate response to ≥2 bDMARDs</w:t>
      </w:r>
      <w:r w:rsidR="00042FE0" w:rsidRPr="00354F5E">
        <w:t xml:space="preserve"> and </w:t>
      </w:r>
      <w:r w:rsidRPr="00354F5E">
        <w:t>fewer used concomitant</w:t>
      </w:r>
      <w:r w:rsidR="00042FE0" w:rsidRPr="00354F5E">
        <w:t xml:space="preserve"> cDMARDs</w:t>
      </w:r>
      <w:r w:rsidRPr="00354F5E">
        <w:t xml:space="preserve"> during the trial</w:t>
      </w:r>
      <w:r w:rsidR="007E7A2C" w:rsidRPr="00354F5E">
        <w:t>,</w:t>
      </w:r>
      <w:r w:rsidR="007A2773" w:rsidRPr="00354F5E">
        <w:t xml:space="preserve"> which may </w:t>
      </w:r>
      <w:r w:rsidR="007A2773" w:rsidRPr="00354F5E">
        <w:lastRenderedPageBreak/>
        <w:t>have caused heterogeneity in treatment responses.</w:t>
      </w:r>
      <w:r w:rsidR="00FC676E" w:rsidRPr="00354F5E">
        <w:t xml:space="preserve"> </w:t>
      </w:r>
      <w:r w:rsidR="00735ABE" w:rsidRPr="00354F5E">
        <w:t>T</w:t>
      </w:r>
      <w:r w:rsidR="007A2773" w:rsidRPr="00354F5E">
        <w:t xml:space="preserve">he indirect treatment comparison found no significant difference between UPA vs TOF for ACR20 response at Week 12 / 3 months and PBO response rates </w:t>
      </w:r>
      <w:r w:rsidR="003046A9" w:rsidRPr="00354F5E">
        <w:t>for</w:t>
      </w:r>
      <w:r w:rsidR="007A2773" w:rsidRPr="00354F5E">
        <w:t xml:space="preserve"> ACR20 were similar.</w:t>
      </w:r>
    </w:p>
    <w:p w:rsidR="007A2773" w:rsidRPr="00354F5E" w:rsidRDefault="007A2773" w:rsidP="00D12336">
      <w:pPr>
        <w:pStyle w:val="3-BodyText"/>
      </w:pPr>
      <w:r w:rsidRPr="00354F5E">
        <w:rPr>
          <w:iCs/>
        </w:rPr>
        <w:t xml:space="preserve">Based on the nominated non-inferiority margins, </w:t>
      </w:r>
      <w:r w:rsidR="00976C01" w:rsidRPr="00354F5E">
        <w:rPr>
          <w:iCs/>
        </w:rPr>
        <w:t xml:space="preserve">the submission concluded that </w:t>
      </w:r>
      <w:r w:rsidRPr="00354F5E">
        <w:rPr>
          <w:iCs/>
        </w:rPr>
        <w:t xml:space="preserve">UPA was non-inferior to TOF for both </w:t>
      </w:r>
      <w:r w:rsidR="00976C01" w:rsidRPr="00354F5E">
        <w:rPr>
          <w:iCs/>
        </w:rPr>
        <w:t xml:space="preserve">ACR50 </w:t>
      </w:r>
      <w:r w:rsidRPr="00354F5E">
        <w:rPr>
          <w:iCs/>
        </w:rPr>
        <w:t>and ACR</w:t>
      </w:r>
      <w:r w:rsidR="00976C01" w:rsidRPr="00354F5E">
        <w:rPr>
          <w:iCs/>
        </w:rPr>
        <w:t>2</w:t>
      </w:r>
      <w:r w:rsidRPr="00354F5E">
        <w:rPr>
          <w:iCs/>
        </w:rPr>
        <w:t xml:space="preserve">0 in both </w:t>
      </w:r>
      <w:r w:rsidR="00976C01" w:rsidRPr="00354F5E">
        <w:rPr>
          <w:iCs/>
        </w:rPr>
        <w:t xml:space="preserve">patients with an inadequate response to </w:t>
      </w:r>
      <w:r w:rsidRPr="00354F5E">
        <w:rPr>
          <w:iCs/>
        </w:rPr>
        <w:t>cDMARD</w:t>
      </w:r>
      <w:r w:rsidR="00976C01" w:rsidRPr="00354F5E">
        <w:rPr>
          <w:iCs/>
        </w:rPr>
        <w:t xml:space="preserve">s </w:t>
      </w:r>
      <w:r w:rsidRPr="00354F5E">
        <w:rPr>
          <w:iCs/>
        </w:rPr>
        <w:t>and bDMARD</w:t>
      </w:r>
      <w:r w:rsidR="00976C01" w:rsidRPr="00354F5E">
        <w:rPr>
          <w:iCs/>
        </w:rPr>
        <w:t>s</w:t>
      </w:r>
      <w:r w:rsidR="003046A9" w:rsidRPr="00354F5E">
        <w:rPr>
          <w:iCs/>
        </w:rPr>
        <w:t>.</w:t>
      </w:r>
      <w:r w:rsidR="003046A9" w:rsidRPr="00354F5E">
        <w:t xml:space="preserve"> </w:t>
      </w:r>
      <w:r w:rsidR="00D5267F" w:rsidRPr="00354F5E">
        <w:t xml:space="preserve">Despite minor differences across the trials, the </w:t>
      </w:r>
      <w:r w:rsidR="003046A9" w:rsidRPr="00354F5E">
        <w:t xml:space="preserve">results </w:t>
      </w:r>
      <w:r w:rsidR="00D5267F" w:rsidRPr="00354F5E">
        <w:t xml:space="preserve">reasonably </w:t>
      </w:r>
      <w:r w:rsidRPr="00354F5E">
        <w:t>supported a conclusion of non-inferior efficacy between UPA and TOF.</w:t>
      </w:r>
    </w:p>
    <w:p w:rsidR="00B60939" w:rsidRPr="00354F5E" w:rsidRDefault="00B60939" w:rsidP="00D12336">
      <w:pPr>
        <w:pStyle w:val="4-SubsectionHeading"/>
      </w:pPr>
      <w:bookmarkStart w:id="15" w:name="_Toc62029190"/>
      <w:r w:rsidRPr="00354F5E">
        <w:t>Comparative harms</w:t>
      </w:r>
      <w:bookmarkEnd w:id="14"/>
      <w:bookmarkEnd w:id="15"/>
    </w:p>
    <w:p w:rsidR="00030C92" w:rsidRPr="00354F5E" w:rsidRDefault="005552CD" w:rsidP="00D12336">
      <w:pPr>
        <w:pStyle w:val="3-BodyText"/>
      </w:pPr>
      <w:r w:rsidRPr="00354F5E">
        <w:t xml:space="preserve">Table </w:t>
      </w:r>
      <w:r w:rsidR="00C15855" w:rsidRPr="00354F5E">
        <w:t xml:space="preserve">6 </w:t>
      </w:r>
      <w:r w:rsidRPr="00354F5E">
        <w:t>summarises key adverse events (AEs) for UPA reported in SELECT-PsA 1 and SELECT-PsA 2</w:t>
      </w:r>
      <w:r w:rsidR="00A023BA" w:rsidRPr="00354F5E">
        <w:t xml:space="preserve">. </w:t>
      </w:r>
      <w:r w:rsidR="00030C92" w:rsidRPr="00354F5E">
        <w:t xml:space="preserve">The submission </w:t>
      </w:r>
      <w:r w:rsidR="00292D9E" w:rsidRPr="00354F5E">
        <w:t xml:space="preserve">presented AEs for TOF but </w:t>
      </w:r>
      <w:r w:rsidR="00030C92" w:rsidRPr="00354F5E">
        <w:t>did not present an indirect treatment safety comparison between UPA and TOF because safety results were reported at different time points across trials (UPA trials at 24 weeks, TOF trials at 3 and 12 months).</w:t>
      </w:r>
    </w:p>
    <w:p w:rsidR="00030C92" w:rsidRPr="00354F5E" w:rsidRDefault="00173565" w:rsidP="00D12336">
      <w:pPr>
        <w:pStyle w:val="TableFigureHeading"/>
        <w:rPr>
          <w:rStyle w:val="CommentReference"/>
          <w:b/>
          <w:szCs w:val="24"/>
        </w:rPr>
      </w:pPr>
      <w:r w:rsidRPr="00354F5E">
        <w:rPr>
          <w:rStyle w:val="CommentReference"/>
          <w:b/>
          <w:szCs w:val="24"/>
        </w:rPr>
        <w:t xml:space="preserve">Table </w:t>
      </w:r>
      <w:r w:rsidR="00C15855" w:rsidRPr="00354F5E">
        <w:rPr>
          <w:rStyle w:val="CommentReference"/>
          <w:b/>
          <w:szCs w:val="24"/>
        </w:rPr>
        <w:t>6</w:t>
      </w:r>
      <w:r w:rsidR="005D26B4" w:rsidRPr="00354F5E">
        <w:rPr>
          <w:rStyle w:val="CommentReference"/>
          <w:b/>
          <w:szCs w:val="24"/>
        </w:rPr>
        <w:t>:</w:t>
      </w:r>
      <w:r w:rsidR="00BC591F" w:rsidRPr="00354F5E">
        <w:rPr>
          <w:rStyle w:val="CommentReference"/>
          <w:b/>
          <w:szCs w:val="24"/>
        </w:rPr>
        <w:t xml:space="preserve"> </w:t>
      </w:r>
      <w:r w:rsidR="005D26B4" w:rsidRPr="00354F5E">
        <w:rPr>
          <w:rStyle w:val="CommentReference"/>
          <w:b/>
          <w:szCs w:val="24"/>
        </w:rPr>
        <w:t xml:space="preserve">Summary of key adverse events in the </w:t>
      </w:r>
      <w:r w:rsidR="00030C92" w:rsidRPr="00354F5E">
        <w:rPr>
          <w:rStyle w:val="CommentReference"/>
          <w:b/>
          <w:szCs w:val="24"/>
        </w:rPr>
        <w:t xml:space="preserve">UPA </w:t>
      </w:r>
      <w:r w:rsidR="005D26B4" w:rsidRPr="00354F5E">
        <w:rPr>
          <w:rStyle w:val="CommentReference"/>
          <w:b/>
          <w:szCs w:val="24"/>
        </w:rPr>
        <w:t>trials</w:t>
      </w:r>
      <w:r w:rsidR="00030C92" w:rsidRPr="00354F5E">
        <w:rPr>
          <w:rStyle w:val="CommentReference"/>
          <w:b/>
          <w:szCs w:val="24"/>
        </w:rPr>
        <w:t xml:space="preserve"> up to Week 24. </w:t>
      </w:r>
    </w:p>
    <w:tbl>
      <w:tblPr>
        <w:tblStyle w:val="TableGrid"/>
        <w:tblW w:w="0" w:type="auto"/>
        <w:tblCellMar>
          <w:left w:w="28" w:type="dxa"/>
          <w:right w:w="28" w:type="dxa"/>
        </w:tblCellMar>
        <w:tblLook w:val="04A0" w:firstRow="1" w:lastRow="0" w:firstColumn="1" w:lastColumn="0" w:noHBand="0" w:noVBand="1"/>
        <w:tblCaption w:val="Table 6: Summary of key adverse events in the UPA trials up to Week 24. "/>
      </w:tblPr>
      <w:tblGrid>
        <w:gridCol w:w="1555"/>
        <w:gridCol w:w="926"/>
        <w:gridCol w:w="926"/>
        <w:gridCol w:w="926"/>
        <w:gridCol w:w="949"/>
        <w:gridCol w:w="950"/>
        <w:gridCol w:w="1276"/>
        <w:gridCol w:w="1509"/>
      </w:tblGrid>
      <w:tr w:rsidR="00030C92" w:rsidRPr="00354F5E" w:rsidTr="003863A9">
        <w:trPr>
          <w:tblHeader/>
        </w:trPr>
        <w:tc>
          <w:tcPr>
            <w:tcW w:w="1555" w:type="dxa"/>
            <w:vMerge w:val="restart"/>
            <w:vAlign w:val="center"/>
          </w:tcPr>
          <w:p w:rsidR="00030C92" w:rsidRPr="00354F5E" w:rsidRDefault="00030C92" w:rsidP="00D12336">
            <w:pPr>
              <w:jc w:val="left"/>
              <w:rPr>
                <w:rStyle w:val="CommentReference"/>
                <w:b w:val="0"/>
                <w:bCs/>
                <w:szCs w:val="20"/>
              </w:rPr>
            </w:pPr>
          </w:p>
        </w:tc>
        <w:tc>
          <w:tcPr>
            <w:tcW w:w="2778" w:type="dxa"/>
            <w:gridSpan w:val="3"/>
            <w:vAlign w:val="center"/>
          </w:tcPr>
          <w:p w:rsidR="00030C92" w:rsidRPr="00354F5E" w:rsidRDefault="00030C92" w:rsidP="00D12336">
            <w:pPr>
              <w:jc w:val="center"/>
              <w:rPr>
                <w:rStyle w:val="CommentReference"/>
                <w:szCs w:val="20"/>
              </w:rPr>
            </w:pPr>
            <w:r w:rsidRPr="00354F5E">
              <w:rPr>
                <w:rStyle w:val="CommentReference"/>
                <w:szCs w:val="20"/>
              </w:rPr>
              <w:t>SELECT-PsA 1</w:t>
            </w:r>
          </w:p>
        </w:tc>
        <w:tc>
          <w:tcPr>
            <w:tcW w:w="1899" w:type="dxa"/>
            <w:gridSpan w:val="2"/>
            <w:vAlign w:val="center"/>
          </w:tcPr>
          <w:p w:rsidR="00030C92" w:rsidRPr="00354F5E" w:rsidRDefault="00030C92" w:rsidP="00D12336">
            <w:pPr>
              <w:jc w:val="center"/>
              <w:rPr>
                <w:rStyle w:val="CommentReference"/>
                <w:szCs w:val="20"/>
              </w:rPr>
            </w:pPr>
            <w:r w:rsidRPr="00354F5E">
              <w:rPr>
                <w:rStyle w:val="CommentReference"/>
                <w:szCs w:val="20"/>
              </w:rPr>
              <w:t>SELECT-PsA 2</w:t>
            </w:r>
          </w:p>
        </w:tc>
        <w:tc>
          <w:tcPr>
            <w:tcW w:w="2785" w:type="dxa"/>
            <w:gridSpan w:val="2"/>
            <w:vAlign w:val="center"/>
          </w:tcPr>
          <w:p w:rsidR="00030C92" w:rsidRPr="00354F5E" w:rsidRDefault="00030C92" w:rsidP="00D12336">
            <w:pPr>
              <w:jc w:val="center"/>
              <w:rPr>
                <w:rStyle w:val="CommentReference"/>
                <w:szCs w:val="20"/>
              </w:rPr>
            </w:pPr>
            <w:r w:rsidRPr="00354F5E">
              <w:rPr>
                <w:rStyle w:val="CommentReference"/>
                <w:szCs w:val="20"/>
              </w:rPr>
              <w:t>Pooled results, RE model:</w:t>
            </w:r>
          </w:p>
          <w:p w:rsidR="00030C92" w:rsidRPr="00354F5E" w:rsidRDefault="00030C92" w:rsidP="00D12336">
            <w:pPr>
              <w:jc w:val="center"/>
              <w:rPr>
                <w:rStyle w:val="CommentReference"/>
                <w:szCs w:val="20"/>
              </w:rPr>
            </w:pPr>
            <w:r w:rsidRPr="00354F5E">
              <w:rPr>
                <w:rStyle w:val="CommentReference"/>
                <w:szCs w:val="20"/>
              </w:rPr>
              <w:t>RR (95%CI)</w:t>
            </w:r>
          </w:p>
        </w:tc>
      </w:tr>
      <w:tr w:rsidR="00030C92" w:rsidRPr="00354F5E" w:rsidTr="003863A9">
        <w:trPr>
          <w:tblHeader/>
        </w:trPr>
        <w:tc>
          <w:tcPr>
            <w:tcW w:w="1555" w:type="dxa"/>
            <w:vMerge/>
            <w:vAlign w:val="center"/>
          </w:tcPr>
          <w:p w:rsidR="00030C92" w:rsidRPr="00354F5E" w:rsidRDefault="00030C92" w:rsidP="00D12336">
            <w:pPr>
              <w:rPr>
                <w:rStyle w:val="CommentReference"/>
                <w:b w:val="0"/>
                <w:bCs/>
                <w:szCs w:val="20"/>
              </w:rPr>
            </w:pPr>
          </w:p>
        </w:tc>
        <w:tc>
          <w:tcPr>
            <w:tcW w:w="926"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b/>
                <w:sz w:val="20"/>
                <w:szCs w:val="20"/>
              </w:rPr>
              <w:t>UPA 15mg</w:t>
            </w:r>
          </w:p>
        </w:tc>
        <w:tc>
          <w:tcPr>
            <w:tcW w:w="926"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b/>
                <w:sz w:val="20"/>
                <w:szCs w:val="20"/>
              </w:rPr>
              <w:t>PBO</w:t>
            </w:r>
          </w:p>
        </w:tc>
        <w:tc>
          <w:tcPr>
            <w:tcW w:w="926"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b/>
                <w:sz w:val="20"/>
                <w:szCs w:val="20"/>
              </w:rPr>
              <w:t>ADA 40mg</w:t>
            </w:r>
          </w:p>
        </w:tc>
        <w:tc>
          <w:tcPr>
            <w:tcW w:w="949"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b/>
                <w:sz w:val="20"/>
                <w:szCs w:val="20"/>
              </w:rPr>
              <w:t>UPA 15mg</w:t>
            </w:r>
          </w:p>
        </w:tc>
        <w:tc>
          <w:tcPr>
            <w:tcW w:w="950"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b/>
                <w:sz w:val="20"/>
                <w:szCs w:val="20"/>
              </w:rPr>
              <w:t>PBO</w:t>
            </w:r>
          </w:p>
        </w:tc>
        <w:tc>
          <w:tcPr>
            <w:tcW w:w="1276"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b/>
                <w:sz w:val="20"/>
                <w:szCs w:val="20"/>
              </w:rPr>
              <w:t>UPA vs PBO</w:t>
            </w:r>
          </w:p>
        </w:tc>
        <w:tc>
          <w:tcPr>
            <w:tcW w:w="1509"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b/>
                <w:sz w:val="20"/>
                <w:szCs w:val="20"/>
              </w:rPr>
              <w:t>UPA vs ADA</w:t>
            </w:r>
          </w:p>
        </w:tc>
      </w:tr>
      <w:tr w:rsidR="00030C92" w:rsidRPr="00354F5E" w:rsidTr="00CF496E">
        <w:tc>
          <w:tcPr>
            <w:tcW w:w="1555" w:type="dxa"/>
            <w:vAlign w:val="center"/>
          </w:tcPr>
          <w:p w:rsidR="00030C92" w:rsidRPr="00354F5E" w:rsidRDefault="00030C92" w:rsidP="00D12336">
            <w:pPr>
              <w:rPr>
                <w:rStyle w:val="CommentReference"/>
                <w:bCs/>
                <w:szCs w:val="20"/>
              </w:rPr>
            </w:pPr>
            <w:r w:rsidRPr="00354F5E">
              <w:rPr>
                <w:rFonts w:ascii="Arial Narrow" w:hAnsi="Arial Narrow" w:cstheme="minorHAnsi"/>
                <w:bCs/>
                <w:sz w:val="20"/>
                <w:szCs w:val="20"/>
              </w:rPr>
              <w:t>N</w:t>
            </w:r>
          </w:p>
        </w:tc>
        <w:tc>
          <w:tcPr>
            <w:tcW w:w="926" w:type="dxa"/>
            <w:vAlign w:val="center"/>
          </w:tcPr>
          <w:p w:rsidR="00030C92" w:rsidRPr="00354F5E" w:rsidRDefault="00030C92" w:rsidP="00D12336">
            <w:pPr>
              <w:jc w:val="center"/>
              <w:rPr>
                <w:rStyle w:val="CommentReference"/>
                <w:bCs/>
                <w:szCs w:val="20"/>
              </w:rPr>
            </w:pPr>
            <w:r w:rsidRPr="00354F5E">
              <w:rPr>
                <w:rFonts w:ascii="Arial Narrow" w:hAnsi="Arial Narrow" w:cstheme="minorHAnsi"/>
                <w:bCs/>
                <w:sz w:val="20"/>
                <w:szCs w:val="20"/>
              </w:rPr>
              <w:t>429</w:t>
            </w:r>
          </w:p>
        </w:tc>
        <w:tc>
          <w:tcPr>
            <w:tcW w:w="926" w:type="dxa"/>
            <w:vAlign w:val="center"/>
          </w:tcPr>
          <w:p w:rsidR="00030C92" w:rsidRPr="00354F5E" w:rsidRDefault="00030C92" w:rsidP="00D12336">
            <w:pPr>
              <w:jc w:val="center"/>
              <w:rPr>
                <w:rStyle w:val="CommentReference"/>
                <w:bCs/>
                <w:szCs w:val="20"/>
              </w:rPr>
            </w:pPr>
            <w:r w:rsidRPr="00354F5E">
              <w:rPr>
                <w:rFonts w:ascii="Arial Narrow" w:hAnsi="Arial Narrow" w:cstheme="minorHAnsi"/>
                <w:bCs/>
                <w:sz w:val="20"/>
                <w:szCs w:val="20"/>
              </w:rPr>
              <w:t>423</w:t>
            </w:r>
          </w:p>
        </w:tc>
        <w:tc>
          <w:tcPr>
            <w:tcW w:w="926" w:type="dxa"/>
            <w:vAlign w:val="center"/>
          </w:tcPr>
          <w:p w:rsidR="00030C92" w:rsidRPr="00354F5E" w:rsidRDefault="00030C92" w:rsidP="00D12336">
            <w:pPr>
              <w:jc w:val="center"/>
              <w:rPr>
                <w:rStyle w:val="CommentReference"/>
                <w:bCs/>
                <w:szCs w:val="20"/>
              </w:rPr>
            </w:pPr>
            <w:r w:rsidRPr="00354F5E">
              <w:rPr>
                <w:rFonts w:ascii="Arial Narrow" w:hAnsi="Arial Narrow"/>
                <w:bCs/>
                <w:sz w:val="20"/>
                <w:szCs w:val="20"/>
              </w:rPr>
              <w:t>429</w:t>
            </w:r>
          </w:p>
        </w:tc>
        <w:tc>
          <w:tcPr>
            <w:tcW w:w="949" w:type="dxa"/>
            <w:vAlign w:val="center"/>
          </w:tcPr>
          <w:p w:rsidR="00030C92" w:rsidRPr="00354F5E" w:rsidRDefault="00030C92" w:rsidP="00D12336">
            <w:pPr>
              <w:jc w:val="center"/>
              <w:rPr>
                <w:rStyle w:val="CommentReference"/>
                <w:bCs/>
                <w:szCs w:val="20"/>
              </w:rPr>
            </w:pPr>
            <w:r w:rsidRPr="00354F5E">
              <w:rPr>
                <w:rFonts w:ascii="Arial Narrow" w:hAnsi="Arial Narrow" w:cstheme="minorHAnsi"/>
                <w:bCs/>
                <w:sz w:val="20"/>
                <w:szCs w:val="20"/>
              </w:rPr>
              <w:t>211</w:t>
            </w:r>
          </w:p>
        </w:tc>
        <w:tc>
          <w:tcPr>
            <w:tcW w:w="950" w:type="dxa"/>
            <w:vAlign w:val="center"/>
          </w:tcPr>
          <w:p w:rsidR="00030C92" w:rsidRPr="00354F5E" w:rsidRDefault="00030C92" w:rsidP="00D12336">
            <w:pPr>
              <w:jc w:val="center"/>
              <w:rPr>
                <w:rStyle w:val="CommentReference"/>
                <w:bCs/>
                <w:szCs w:val="20"/>
              </w:rPr>
            </w:pPr>
            <w:r w:rsidRPr="00354F5E">
              <w:rPr>
                <w:rFonts w:ascii="Arial Narrow" w:hAnsi="Arial Narrow" w:cstheme="minorHAnsi"/>
                <w:bCs/>
                <w:sz w:val="20"/>
                <w:szCs w:val="20"/>
              </w:rPr>
              <w:t>212</w:t>
            </w:r>
          </w:p>
        </w:tc>
        <w:tc>
          <w:tcPr>
            <w:tcW w:w="1276" w:type="dxa"/>
            <w:vAlign w:val="center"/>
          </w:tcPr>
          <w:p w:rsidR="00030C92" w:rsidRPr="00354F5E" w:rsidRDefault="00030C92" w:rsidP="00D12336">
            <w:pPr>
              <w:jc w:val="center"/>
              <w:rPr>
                <w:rStyle w:val="CommentReference"/>
                <w:bCs/>
                <w:szCs w:val="20"/>
              </w:rPr>
            </w:pPr>
            <w:r w:rsidRPr="00354F5E">
              <w:rPr>
                <w:rFonts w:ascii="Arial Narrow" w:hAnsi="Arial Narrow" w:cstheme="minorHAnsi"/>
                <w:bCs/>
                <w:sz w:val="20"/>
                <w:szCs w:val="20"/>
              </w:rPr>
              <w:t>-</w:t>
            </w:r>
          </w:p>
        </w:tc>
        <w:tc>
          <w:tcPr>
            <w:tcW w:w="1509" w:type="dxa"/>
            <w:vAlign w:val="center"/>
          </w:tcPr>
          <w:p w:rsidR="00030C92" w:rsidRPr="00354F5E" w:rsidRDefault="00030C92" w:rsidP="00D12336">
            <w:pPr>
              <w:jc w:val="center"/>
              <w:rPr>
                <w:rStyle w:val="CommentReference"/>
                <w:bCs/>
                <w:szCs w:val="20"/>
              </w:rPr>
            </w:pPr>
            <w:r w:rsidRPr="00354F5E">
              <w:rPr>
                <w:rFonts w:ascii="Arial Narrow" w:hAnsi="Arial Narrow" w:cstheme="minorHAnsi"/>
                <w:bCs/>
                <w:sz w:val="20"/>
                <w:szCs w:val="20"/>
              </w:rPr>
              <w:t>-</w:t>
            </w:r>
          </w:p>
        </w:tc>
      </w:tr>
      <w:tr w:rsidR="00CF496E" w:rsidRPr="00354F5E" w:rsidTr="00CF496E">
        <w:tc>
          <w:tcPr>
            <w:tcW w:w="9017" w:type="dxa"/>
            <w:gridSpan w:val="8"/>
            <w:vAlign w:val="center"/>
          </w:tcPr>
          <w:p w:rsidR="00CF496E" w:rsidRPr="00354F5E" w:rsidRDefault="00CF496E" w:rsidP="00D12336">
            <w:pPr>
              <w:jc w:val="left"/>
              <w:rPr>
                <w:rFonts w:ascii="Arial Narrow" w:hAnsi="Arial Narrow" w:cstheme="minorHAnsi"/>
                <w:b/>
                <w:sz w:val="20"/>
                <w:szCs w:val="20"/>
              </w:rPr>
            </w:pPr>
            <w:r w:rsidRPr="00354F5E">
              <w:rPr>
                <w:rFonts w:ascii="Arial Narrow" w:hAnsi="Arial Narrow" w:cstheme="minorHAnsi"/>
                <w:b/>
                <w:sz w:val="20"/>
                <w:szCs w:val="20"/>
              </w:rPr>
              <w:t>Summary of any adverse events</w:t>
            </w:r>
          </w:p>
        </w:tc>
      </w:tr>
      <w:tr w:rsidR="00030C92" w:rsidRPr="00354F5E" w:rsidTr="00CF496E">
        <w:tc>
          <w:tcPr>
            <w:tcW w:w="1555" w:type="dxa"/>
            <w:vAlign w:val="center"/>
          </w:tcPr>
          <w:p w:rsidR="00030C92" w:rsidRPr="00354F5E" w:rsidRDefault="00030C92" w:rsidP="00D12336">
            <w:pPr>
              <w:rPr>
                <w:rStyle w:val="CommentReference"/>
                <w:b w:val="0"/>
                <w:bCs/>
                <w:szCs w:val="20"/>
              </w:rPr>
            </w:pPr>
            <w:r w:rsidRPr="00354F5E">
              <w:rPr>
                <w:rFonts w:ascii="Arial Narrow" w:hAnsi="Arial Narrow" w:cstheme="minorHAnsi"/>
                <w:sz w:val="20"/>
                <w:szCs w:val="20"/>
              </w:rPr>
              <w:t>Any AE</w:t>
            </w:r>
          </w:p>
        </w:tc>
        <w:tc>
          <w:tcPr>
            <w:tcW w:w="926"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287 (66.9)</w:t>
            </w:r>
          </w:p>
        </w:tc>
        <w:tc>
          <w:tcPr>
            <w:tcW w:w="926"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252 (59.6)</w:t>
            </w:r>
          </w:p>
        </w:tc>
        <w:tc>
          <w:tcPr>
            <w:tcW w:w="926" w:type="dxa"/>
            <w:vAlign w:val="center"/>
          </w:tcPr>
          <w:p w:rsidR="00030C92" w:rsidRPr="00354F5E" w:rsidRDefault="00030C92" w:rsidP="00D12336">
            <w:pPr>
              <w:jc w:val="center"/>
              <w:rPr>
                <w:rStyle w:val="CommentReference"/>
                <w:b w:val="0"/>
                <w:bCs/>
                <w:szCs w:val="20"/>
              </w:rPr>
            </w:pPr>
            <w:r w:rsidRPr="00354F5E">
              <w:rPr>
                <w:rFonts w:ascii="Arial Narrow" w:hAnsi="Arial Narrow"/>
                <w:sz w:val="20"/>
                <w:szCs w:val="20"/>
              </w:rPr>
              <w:t>278 (64.8)</w:t>
            </w:r>
          </w:p>
        </w:tc>
        <w:tc>
          <w:tcPr>
            <w:tcW w:w="949"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135 (64.0)</w:t>
            </w:r>
          </w:p>
        </w:tc>
        <w:tc>
          <w:tcPr>
            <w:tcW w:w="950"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139 (65.6)</w:t>
            </w:r>
          </w:p>
        </w:tc>
        <w:tc>
          <w:tcPr>
            <w:tcW w:w="1276"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1.06 (0.92,1.21)</w:t>
            </w:r>
          </w:p>
        </w:tc>
        <w:tc>
          <w:tcPr>
            <w:tcW w:w="1509"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1.03 (0.94,1.14)</w:t>
            </w:r>
          </w:p>
        </w:tc>
      </w:tr>
      <w:tr w:rsidR="00030C92" w:rsidRPr="00354F5E" w:rsidTr="00CF496E">
        <w:tc>
          <w:tcPr>
            <w:tcW w:w="1555" w:type="dxa"/>
            <w:vAlign w:val="center"/>
          </w:tcPr>
          <w:p w:rsidR="00030C92" w:rsidRPr="00354F5E" w:rsidRDefault="00030C92" w:rsidP="00D12336">
            <w:pPr>
              <w:rPr>
                <w:rStyle w:val="CommentReference"/>
                <w:b w:val="0"/>
                <w:bCs/>
                <w:szCs w:val="20"/>
              </w:rPr>
            </w:pPr>
            <w:r w:rsidRPr="00354F5E">
              <w:rPr>
                <w:rFonts w:ascii="Arial Narrow" w:hAnsi="Arial Narrow" w:cstheme="minorHAnsi"/>
                <w:sz w:val="20"/>
                <w:szCs w:val="20"/>
              </w:rPr>
              <w:t>Any serious AE</w:t>
            </w:r>
          </w:p>
        </w:tc>
        <w:tc>
          <w:tcPr>
            <w:tcW w:w="926"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14 (3.3)</w:t>
            </w:r>
          </w:p>
        </w:tc>
        <w:tc>
          <w:tcPr>
            <w:tcW w:w="926"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13 (3.1)</w:t>
            </w:r>
          </w:p>
        </w:tc>
        <w:tc>
          <w:tcPr>
            <w:tcW w:w="926" w:type="dxa"/>
            <w:vAlign w:val="center"/>
          </w:tcPr>
          <w:p w:rsidR="00030C92" w:rsidRPr="00354F5E" w:rsidRDefault="00030C92" w:rsidP="00D12336">
            <w:pPr>
              <w:jc w:val="center"/>
              <w:rPr>
                <w:rStyle w:val="CommentReference"/>
                <w:b w:val="0"/>
                <w:bCs/>
                <w:szCs w:val="20"/>
              </w:rPr>
            </w:pPr>
            <w:r w:rsidRPr="00354F5E">
              <w:rPr>
                <w:rFonts w:ascii="Arial Narrow" w:hAnsi="Arial Narrow"/>
                <w:sz w:val="20"/>
                <w:szCs w:val="20"/>
              </w:rPr>
              <w:t>16 (3.7)</w:t>
            </w:r>
          </w:p>
        </w:tc>
        <w:tc>
          <w:tcPr>
            <w:tcW w:w="949"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12 (5.7)</w:t>
            </w:r>
          </w:p>
        </w:tc>
        <w:tc>
          <w:tcPr>
            <w:tcW w:w="950"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4 (1.9)</w:t>
            </w:r>
          </w:p>
        </w:tc>
        <w:tc>
          <w:tcPr>
            <w:tcW w:w="1276"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1.64 (0.60,4.51)</w:t>
            </w:r>
          </w:p>
        </w:tc>
        <w:tc>
          <w:tcPr>
            <w:tcW w:w="1509"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0.88 (0.43,1.78)</w:t>
            </w:r>
          </w:p>
        </w:tc>
      </w:tr>
      <w:tr w:rsidR="00030C92" w:rsidRPr="00354F5E" w:rsidTr="00CF496E">
        <w:tc>
          <w:tcPr>
            <w:tcW w:w="1555" w:type="dxa"/>
            <w:vAlign w:val="center"/>
          </w:tcPr>
          <w:p w:rsidR="00030C92" w:rsidRPr="00354F5E" w:rsidRDefault="00030C92" w:rsidP="00D12336">
            <w:pPr>
              <w:rPr>
                <w:rStyle w:val="CommentReference"/>
                <w:b w:val="0"/>
                <w:bCs/>
                <w:szCs w:val="20"/>
              </w:rPr>
            </w:pPr>
            <w:r w:rsidRPr="00354F5E">
              <w:rPr>
                <w:rFonts w:ascii="Arial Narrow" w:hAnsi="Arial Narrow" w:cstheme="minorHAnsi"/>
                <w:sz w:val="20"/>
                <w:szCs w:val="20"/>
              </w:rPr>
              <w:t>Any severe AE</w:t>
            </w:r>
          </w:p>
        </w:tc>
        <w:tc>
          <w:tcPr>
            <w:tcW w:w="926"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21 (4.9)</w:t>
            </w:r>
          </w:p>
        </w:tc>
        <w:tc>
          <w:tcPr>
            <w:tcW w:w="926"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16 (3.8)</w:t>
            </w:r>
          </w:p>
        </w:tc>
        <w:tc>
          <w:tcPr>
            <w:tcW w:w="926" w:type="dxa"/>
            <w:vAlign w:val="center"/>
          </w:tcPr>
          <w:p w:rsidR="00030C92" w:rsidRPr="00354F5E" w:rsidRDefault="00030C92" w:rsidP="00D12336">
            <w:pPr>
              <w:jc w:val="center"/>
              <w:rPr>
                <w:rStyle w:val="CommentReference"/>
                <w:b w:val="0"/>
                <w:bCs/>
                <w:szCs w:val="20"/>
              </w:rPr>
            </w:pPr>
            <w:r w:rsidRPr="00354F5E">
              <w:rPr>
                <w:rFonts w:ascii="Arial Narrow" w:hAnsi="Arial Narrow"/>
                <w:sz w:val="20"/>
                <w:szCs w:val="20"/>
              </w:rPr>
              <w:t>27 (6.3)</w:t>
            </w:r>
          </w:p>
        </w:tc>
        <w:tc>
          <w:tcPr>
            <w:tcW w:w="949"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13 (6.2)</w:t>
            </w:r>
          </w:p>
        </w:tc>
        <w:tc>
          <w:tcPr>
            <w:tcW w:w="950"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8 (3.8)</w:t>
            </w:r>
          </w:p>
        </w:tc>
        <w:tc>
          <w:tcPr>
            <w:tcW w:w="1276"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1.41 (0.84,2.34)</w:t>
            </w:r>
          </w:p>
        </w:tc>
        <w:tc>
          <w:tcPr>
            <w:tcW w:w="1509"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0.78 (0.45,1.35)</w:t>
            </w:r>
          </w:p>
        </w:tc>
      </w:tr>
      <w:tr w:rsidR="00030C92" w:rsidRPr="00354F5E" w:rsidTr="00CF496E">
        <w:tc>
          <w:tcPr>
            <w:tcW w:w="1555" w:type="dxa"/>
            <w:vAlign w:val="center"/>
          </w:tcPr>
          <w:p w:rsidR="00030C92" w:rsidRPr="00354F5E" w:rsidRDefault="00030C92" w:rsidP="00D12336">
            <w:pPr>
              <w:rPr>
                <w:rStyle w:val="CommentReference"/>
                <w:b w:val="0"/>
                <w:bCs/>
                <w:szCs w:val="20"/>
              </w:rPr>
            </w:pPr>
            <w:r w:rsidRPr="00354F5E">
              <w:rPr>
                <w:rFonts w:ascii="Arial Narrow" w:hAnsi="Arial Narrow" w:cstheme="minorHAnsi"/>
                <w:sz w:val="20"/>
                <w:szCs w:val="20"/>
              </w:rPr>
              <w:t>Any AE leading to discontinuation</w:t>
            </w:r>
          </w:p>
        </w:tc>
        <w:tc>
          <w:tcPr>
            <w:tcW w:w="926"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13 (3.0)</w:t>
            </w:r>
          </w:p>
        </w:tc>
        <w:tc>
          <w:tcPr>
            <w:tcW w:w="926"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13 (3.1)</w:t>
            </w:r>
          </w:p>
        </w:tc>
        <w:tc>
          <w:tcPr>
            <w:tcW w:w="926" w:type="dxa"/>
            <w:vAlign w:val="center"/>
          </w:tcPr>
          <w:p w:rsidR="00030C92" w:rsidRPr="00354F5E" w:rsidRDefault="00030C92" w:rsidP="00D12336">
            <w:pPr>
              <w:jc w:val="center"/>
              <w:rPr>
                <w:rStyle w:val="CommentReference"/>
                <w:b w:val="0"/>
                <w:bCs/>
                <w:szCs w:val="20"/>
              </w:rPr>
            </w:pPr>
            <w:r w:rsidRPr="00354F5E">
              <w:rPr>
                <w:rFonts w:ascii="Arial Narrow" w:hAnsi="Arial Narrow"/>
                <w:sz w:val="20"/>
                <w:szCs w:val="20"/>
              </w:rPr>
              <w:t>22 (5.1)</w:t>
            </w:r>
          </w:p>
        </w:tc>
        <w:tc>
          <w:tcPr>
            <w:tcW w:w="949"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15 (7.1)</w:t>
            </w:r>
          </w:p>
        </w:tc>
        <w:tc>
          <w:tcPr>
            <w:tcW w:w="950"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11 (5.2)</w:t>
            </w:r>
          </w:p>
        </w:tc>
        <w:tc>
          <w:tcPr>
            <w:tcW w:w="1276"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1.16 (0.68,1.98)</w:t>
            </w:r>
          </w:p>
        </w:tc>
        <w:tc>
          <w:tcPr>
            <w:tcW w:w="1509"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0.59 (0.30,1.16)</w:t>
            </w:r>
          </w:p>
        </w:tc>
      </w:tr>
      <w:tr w:rsidR="00030C92" w:rsidRPr="00354F5E" w:rsidTr="00CF496E">
        <w:tc>
          <w:tcPr>
            <w:tcW w:w="1555" w:type="dxa"/>
            <w:vAlign w:val="center"/>
          </w:tcPr>
          <w:p w:rsidR="00030C92" w:rsidRPr="00354F5E" w:rsidRDefault="00030C92" w:rsidP="00D12336">
            <w:pPr>
              <w:rPr>
                <w:rStyle w:val="CommentReference"/>
                <w:b w:val="0"/>
                <w:bCs/>
                <w:szCs w:val="20"/>
              </w:rPr>
            </w:pPr>
            <w:r w:rsidRPr="00354F5E">
              <w:rPr>
                <w:rFonts w:ascii="Arial Narrow" w:hAnsi="Arial Narrow" w:cstheme="minorHAnsi"/>
                <w:sz w:val="20"/>
                <w:szCs w:val="20"/>
              </w:rPr>
              <w:t>Death</w:t>
            </w:r>
            <w:r w:rsidRPr="00354F5E">
              <w:rPr>
                <w:rFonts w:ascii="Arial Narrow" w:hAnsi="Arial Narrow" w:cstheme="minorHAnsi"/>
                <w:sz w:val="20"/>
                <w:szCs w:val="20"/>
                <w:vertAlign w:val="superscript"/>
              </w:rPr>
              <w:t>a</w:t>
            </w:r>
          </w:p>
        </w:tc>
        <w:tc>
          <w:tcPr>
            <w:tcW w:w="926"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0</w:t>
            </w:r>
          </w:p>
        </w:tc>
        <w:tc>
          <w:tcPr>
            <w:tcW w:w="926"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1 (0.2)</w:t>
            </w:r>
          </w:p>
        </w:tc>
        <w:tc>
          <w:tcPr>
            <w:tcW w:w="926" w:type="dxa"/>
            <w:vAlign w:val="center"/>
          </w:tcPr>
          <w:p w:rsidR="00030C92" w:rsidRPr="00354F5E" w:rsidRDefault="00030C92" w:rsidP="00D12336">
            <w:pPr>
              <w:jc w:val="center"/>
              <w:rPr>
                <w:rStyle w:val="CommentReference"/>
                <w:b w:val="0"/>
                <w:bCs/>
                <w:szCs w:val="20"/>
              </w:rPr>
            </w:pPr>
            <w:r w:rsidRPr="00354F5E">
              <w:rPr>
                <w:rFonts w:ascii="Arial Narrow" w:hAnsi="Arial Narrow"/>
                <w:sz w:val="20"/>
                <w:szCs w:val="20"/>
              </w:rPr>
              <w:t>0</w:t>
            </w:r>
          </w:p>
        </w:tc>
        <w:tc>
          <w:tcPr>
            <w:tcW w:w="949"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0</w:t>
            </w:r>
          </w:p>
        </w:tc>
        <w:tc>
          <w:tcPr>
            <w:tcW w:w="950"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1 (0.5)</w:t>
            </w:r>
          </w:p>
        </w:tc>
        <w:tc>
          <w:tcPr>
            <w:tcW w:w="1276"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0.33 (0.03,3.18)</w:t>
            </w:r>
          </w:p>
        </w:tc>
        <w:tc>
          <w:tcPr>
            <w:tcW w:w="1509" w:type="dxa"/>
            <w:vAlign w:val="center"/>
          </w:tcPr>
          <w:p w:rsidR="00030C92" w:rsidRPr="00354F5E" w:rsidRDefault="00030C92" w:rsidP="00D12336">
            <w:pPr>
              <w:jc w:val="center"/>
              <w:rPr>
                <w:rStyle w:val="CommentReference"/>
                <w:b w:val="0"/>
                <w:bCs/>
                <w:szCs w:val="20"/>
              </w:rPr>
            </w:pPr>
            <w:r w:rsidRPr="00354F5E">
              <w:rPr>
                <w:rFonts w:ascii="Arial Narrow" w:hAnsi="Arial Narrow" w:cstheme="minorHAnsi"/>
                <w:sz w:val="20"/>
                <w:szCs w:val="20"/>
              </w:rPr>
              <w:t>-</w:t>
            </w:r>
          </w:p>
        </w:tc>
      </w:tr>
      <w:tr w:rsidR="00030C92" w:rsidRPr="00354F5E" w:rsidTr="00CF496E">
        <w:tc>
          <w:tcPr>
            <w:tcW w:w="9017" w:type="dxa"/>
            <w:gridSpan w:val="8"/>
            <w:vAlign w:val="center"/>
          </w:tcPr>
          <w:p w:rsidR="00030C92" w:rsidRPr="00354F5E" w:rsidRDefault="00030C92" w:rsidP="00D12336">
            <w:pPr>
              <w:jc w:val="left"/>
              <w:rPr>
                <w:rFonts w:ascii="Arial Narrow" w:hAnsi="Arial Narrow" w:cstheme="minorHAnsi"/>
                <w:sz w:val="20"/>
                <w:szCs w:val="20"/>
              </w:rPr>
            </w:pPr>
            <w:r w:rsidRPr="00354F5E">
              <w:rPr>
                <w:rFonts w:ascii="Arial Narrow" w:hAnsi="Arial Narrow" w:cstheme="minorHAnsi"/>
                <w:b/>
                <w:sz w:val="20"/>
                <w:szCs w:val="20"/>
              </w:rPr>
              <w:t>Treatment emergent adverse events of special interest</w:t>
            </w:r>
          </w:p>
        </w:tc>
      </w:tr>
      <w:tr w:rsidR="00030C92" w:rsidRPr="00354F5E" w:rsidTr="00CF496E">
        <w:tc>
          <w:tcPr>
            <w:tcW w:w="1555" w:type="dxa"/>
            <w:vAlign w:val="center"/>
          </w:tcPr>
          <w:p w:rsidR="00030C92" w:rsidRPr="00354F5E" w:rsidRDefault="00030C92" w:rsidP="00D12336">
            <w:pPr>
              <w:rPr>
                <w:rFonts w:ascii="Arial Narrow" w:hAnsi="Arial Narrow" w:cstheme="minorHAnsi"/>
                <w:sz w:val="20"/>
                <w:szCs w:val="20"/>
              </w:rPr>
            </w:pPr>
            <w:r w:rsidRPr="00354F5E">
              <w:rPr>
                <w:rFonts w:ascii="Arial Narrow" w:hAnsi="Arial Narrow" w:cstheme="minorHAnsi"/>
                <w:sz w:val="20"/>
                <w:szCs w:val="20"/>
              </w:rPr>
              <w:t>Serious infection</w:t>
            </w:r>
          </w:p>
        </w:tc>
        <w:tc>
          <w:tcPr>
            <w:tcW w:w="926"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5 (1.2)</w:t>
            </w:r>
          </w:p>
        </w:tc>
        <w:tc>
          <w:tcPr>
            <w:tcW w:w="926"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4 (0.9)</w:t>
            </w:r>
          </w:p>
        </w:tc>
        <w:tc>
          <w:tcPr>
            <w:tcW w:w="926" w:type="dxa"/>
            <w:vAlign w:val="center"/>
          </w:tcPr>
          <w:p w:rsidR="00030C92" w:rsidRPr="00354F5E" w:rsidRDefault="00030C92" w:rsidP="00D12336">
            <w:pPr>
              <w:jc w:val="center"/>
              <w:rPr>
                <w:rFonts w:ascii="Arial Narrow" w:hAnsi="Arial Narrow"/>
                <w:sz w:val="20"/>
                <w:szCs w:val="20"/>
              </w:rPr>
            </w:pPr>
            <w:r w:rsidRPr="00354F5E">
              <w:rPr>
                <w:rFonts w:ascii="Arial Narrow" w:hAnsi="Arial Narrow"/>
                <w:sz w:val="20"/>
                <w:szCs w:val="20"/>
              </w:rPr>
              <w:t>3 (0.7)</w:t>
            </w:r>
          </w:p>
        </w:tc>
        <w:tc>
          <w:tcPr>
            <w:tcW w:w="949"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1 (0.5)</w:t>
            </w:r>
          </w:p>
        </w:tc>
        <w:tc>
          <w:tcPr>
            <w:tcW w:w="950"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1 (0.5)</w:t>
            </w:r>
          </w:p>
        </w:tc>
        <w:tc>
          <w:tcPr>
            <w:tcW w:w="1276"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1.19 (0.36,3.87)</w:t>
            </w:r>
          </w:p>
        </w:tc>
        <w:tc>
          <w:tcPr>
            <w:tcW w:w="1509"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sz w:val="20"/>
                <w:szCs w:val="20"/>
              </w:rPr>
              <w:t>1.25 (0.34,4.62)</w:t>
            </w:r>
          </w:p>
        </w:tc>
      </w:tr>
      <w:tr w:rsidR="00030C92" w:rsidRPr="00354F5E" w:rsidTr="00CF496E">
        <w:tc>
          <w:tcPr>
            <w:tcW w:w="1555" w:type="dxa"/>
            <w:vAlign w:val="center"/>
          </w:tcPr>
          <w:p w:rsidR="00030C92" w:rsidRPr="00354F5E" w:rsidRDefault="00030C92" w:rsidP="00D12336">
            <w:pPr>
              <w:rPr>
                <w:rFonts w:ascii="Arial Narrow" w:hAnsi="Arial Narrow" w:cstheme="minorHAnsi"/>
                <w:sz w:val="20"/>
                <w:szCs w:val="20"/>
              </w:rPr>
            </w:pPr>
            <w:r w:rsidRPr="00354F5E">
              <w:rPr>
                <w:rFonts w:ascii="Arial Narrow" w:hAnsi="Arial Narrow" w:cstheme="minorHAnsi"/>
                <w:sz w:val="20"/>
                <w:szCs w:val="20"/>
              </w:rPr>
              <w:t>Herpes zoster</w:t>
            </w:r>
          </w:p>
        </w:tc>
        <w:tc>
          <w:tcPr>
            <w:tcW w:w="926"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4 (0.9)</w:t>
            </w:r>
          </w:p>
        </w:tc>
        <w:tc>
          <w:tcPr>
            <w:tcW w:w="926"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3 (0.7)</w:t>
            </w:r>
          </w:p>
        </w:tc>
        <w:tc>
          <w:tcPr>
            <w:tcW w:w="926" w:type="dxa"/>
            <w:vAlign w:val="center"/>
          </w:tcPr>
          <w:p w:rsidR="00030C92" w:rsidRPr="00354F5E" w:rsidRDefault="00030C92" w:rsidP="00D12336">
            <w:pPr>
              <w:jc w:val="center"/>
              <w:rPr>
                <w:rFonts w:ascii="Arial Narrow" w:hAnsi="Arial Narrow"/>
                <w:sz w:val="20"/>
                <w:szCs w:val="20"/>
              </w:rPr>
            </w:pPr>
            <w:r w:rsidRPr="00354F5E">
              <w:rPr>
                <w:rFonts w:ascii="Arial Narrow" w:hAnsi="Arial Narrow"/>
                <w:sz w:val="20"/>
                <w:szCs w:val="20"/>
              </w:rPr>
              <w:t>0</w:t>
            </w:r>
          </w:p>
        </w:tc>
        <w:tc>
          <w:tcPr>
            <w:tcW w:w="949"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3 (1.4)</w:t>
            </w:r>
          </w:p>
        </w:tc>
        <w:tc>
          <w:tcPr>
            <w:tcW w:w="950"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2 (0.9)</w:t>
            </w:r>
          </w:p>
        </w:tc>
        <w:tc>
          <w:tcPr>
            <w:tcW w:w="1276"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1.39 (0.44,4.36)</w:t>
            </w:r>
          </w:p>
        </w:tc>
        <w:tc>
          <w:tcPr>
            <w:tcW w:w="1509"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sz w:val="20"/>
                <w:szCs w:val="20"/>
              </w:rPr>
              <w:t>9.00 (0.49,166.65)</w:t>
            </w:r>
          </w:p>
        </w:tc>
      </w:tr>
      <w:tr w:rsidR="00030C92" w:rsidRPr="00354F5E" w:rsidTr="00CF496E">
        <w:tc>
          <w:tcPr>
            <w:tcW w:w="1555" w:type="dxa"/>
            <w:vAlign w:val="center"/>
          </w:tcPr>
          <w:p w:rsidR="00030C92" w:rsidRPr="00354F5E" w:rsidRDefault="00030C92" w:rsidP="00D12336">
            <w:pPr>
              <w:rPr>
                <w:rFonts w:ascii="Arial Narrow" w:hAnsi="Arial Narrow" w:cstheme="minorHAnsi"/>
                <w:sz w:val="20"/>
                <w:szCs w:val="20"/>
              </w:rPr>
            </w:pPr>
            <w:r w:rsidRPr="00354F5E">
              <w:rPr>
                <w:rFonts w:ascii="Arial Narrow" w:hAnsi="Arial Narrow" w:cstheme="minorHAnsi"/>
                <w:sz w:val="20"/>
                <w:szCs w:val="20"/>
              </w:rPr>
              <w:t>Adjudicated MACE</w:t>
            </w:r>
            <w:r w:rsidRPr="00354F5E">
              <w:rPr>
                <w:rFonts w:ascii="Arial Narrow" w:hAnsi="Arial Narrow" w:cstheme="minorHAnsi"/>
                <w:sz w:val="20"/>
                <w:szCs w:val="20"/>
                <w:vertAlign w:val="superscript"/>
              </w:rPr>
              <w:t>b</w:t>
            </w:r>
          </w:p>
        </w:tc>
        <w:tc>
          <w:tcPr>
            <w:tcW w:w="926"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0</w:t>
            </w:r>
          </w:p>
        </w:tc>
        <w:tc>
          <w:tcPr>
            <w:tcW w:w="926"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1 (0.2)</w:t>
            </w:r>
          </w:p>
        </w:tc>
        <w:tc>
          <w:tcPr>
            <w:tcW w:w="926" w:type="dxa"/>
            <w:vAlign w:val="center"/>
          </w:tcPr>
          <w:p w:rsidR="00030C92" w:rsidRPr="00354F5E" w:rsidRDefault="00030C92" w:rsidP="00D12336">
            <w:pPr>
              <w:jc w:val="center"/>
              <w:rPr>
                <w:rFonts w:ascii="Arial Narrow" w:hAnsi="Arial Narrow"/>
                <w:sz w:val="20"/>
                <w:szCs w:val="20"/>
              </w:rPr>
            </w:pPr>
            <w:r w:rsidRPr="00354F5E">
              <w:rPr>
                <w:rFonts w:ascii="Arial Narrow" w:hAnsi="Arial Narrow"/>
                <w:sz w:val="20"/>
                <w:szCs w:val="20"/>
              </w:rPr>
              <w:t>2 (0.5)</w:t>
            </w:r>
          </w:p>
        </w:tc>
        <w:tc>
          <w:tcPr>
            <w:tcW w:w="949"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1 (0.5)</w:t>
            </w:r>
          </w:p>
        </w:tc>
        <w:tc>
          <w:tcPr>
            <w:tcW w:w="950"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0</w:t>
            </w:r>
          </w:p>
        </w:tc>
        <w:tc>
          <w:tcPr>
            <w:tcW w:w="1276"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1.00 (0.10,9.55)</w:t>
            </w:r>
          </w:p>
        </w:tc>
        <w:tc>
          <w:tcPr>
            <w:tcW w:w="1509"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sz w:val="20"/>
                <w:szCs w:val="20"/>
              </w:rPr>
              <w:t>0.20 (0.01,4.15)</w:t>
            </w:r>
          </w:p>
        </w:tc>
      </w:tr>
      <w:tr w:rsidR="00030C92" w:rsidRPr="00354F5E" w:rsidTr="00CF496E">
        <w:tc>
          <w:tcPr>
            <w:tcW w:w="1555" w:type="dxa"/>
            <w:vAlign w:val="center"/>
          </w:tcPr>
          <w:p w:rsidR="00030C92" w:rsidRPr="00354F5E" w:rsidRDefault="00030C92" w:rsidP="00D12336">
            <w:pPr>
              <w:rPr>
                <w:rFonts w:ascii="Arial Narrow" w:hAnsi="Arial Narrow" w:cstheme="minorHAnsi"/>
                <w:sz w:val="20"/>
                <w:szCs w:val="20"/>
              </w:rPr>
            </w:pPr>
            <w:r w:rsidRPr="00354F5E">
              <w:rPr>
                <w:rFonts w:ascii="Arial Narrow" w:hAnsi="Arial Narrow" w:cstheme="minorHAnsi"/>
                <w:sz w:val="20"/>
                <w:szCs w:val="20"/>
              </w:rPr>
              <w:t>Adjudicated VTE</w:t>
            </w:r>
            <w:r w:rsidRPr="00354F5E">
              <w:rPr>
                <w:rFonts w:ascii="Arial Narrow" w:hAnsi="Arial Narrow" w:cstheme="minorHAnsi"/>
                <w:sz w:val="20"/>
                <w:szCs w:val="20"/>
                <w:vertAlign w:val="superscript"/>
              </w:rPr>
              <w:t>c</w:t>
            </w:r>
          </w:p>
        </w:tc>
        <w:tc>
          <w:tcPr>
            <w:tcW w:w="926"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0</w:t>
            </w:r>
          </w:p>
        </w:tc>
        <w:tc>
          <w:tcPr>
            <w:tcW w:w="926"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1 (0.2)</w:t>
            </w:r>
          </w:p>
        </w:tc>
        <w:tc>
          <w:tcPr>
            <w:tcW w:w="926" w:type="dxa"/>
            <w:vAlign w:val="center"/>
          </w:tcPr>
          <w:p w:rsidR="00030C92" w:rsidRPr="00354F5E" w:rsidRDefault="00030C92" w:rsidP="00D12336">
            <w:pPr>
              <w:jc w:val="center"/>
              <w:rPr>
                <w:rFonts w:ascii="Arial Narrow" w:hAnsi="Arial Narrow"/>
                <w:sz w:val="20"/>
                <w:szCs w:val="20"/>
              </w:rPr>
            </w:pPr>
            <w:r w:rsidRPr="00354F5E">
              <w:rPr>
                <w:rFonts w:ascii="Arial Narrow" w:hAnsi="Arial Narrow"/>
                <w:sz w:val="20"/>
                <w:szCs w:val="20"/>
              </w:rPr>
              <w:t>2 (0.5)</w:t>
            </w:r>
          </w:p>
        </w:tc>
        <w:tc>
          <w:tcPr>
            <w:tcW w:w="949"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1 (0.5)</w:t>
            </w:r>
          </w:p>
        </w:tc>
        <w:tc>
          <w:tcPr>
            <w:tcW w:w="950"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0</w:t>
            </w:r>
          </w:p>
        </w:tc>
        <w:tc>
          <w:tcPr>
            <w:tcW w:w="1276"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1.00 (0.10,9.55)</w:t>
            </w:r>
          </w:p>
        </w:tc>
        <w:tc>
          <w:tcPr>
            <w:tcW w:w="1509"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sz w:val="20"/>
                <w:szCs w:val="20"/>
              </w:rPr>
              <w:t>0.20 (0.01,4.15)</w:t>
            </w:r>
          </w:p>
        </w:tc>
      </w:tr>
      <w:tr w:rsidR="00030C92" w:rsidRPr="00354F5E" w:rsidTr="00CF496E">
        <w:tc>
          <w:tcPr>
            <w:tcW w:w="1555" w:type="dxa"/>
            <w:vAlign w:val="center"/>
          </w:tcPr>
          <w:p w:rsidR="00030C92" w:rsidRPr="00354F5E" w:rsidRDefault="00030C92" w:rsidP="00D12336">
            <w:pPr>
              <w:rPr>
                <w:rFonts w:ascii="Arial Narrow" w:hAnsi="Arial Narrow" w:cstheme="minorHAnsi"/>
                <w:sz w:val="20"/>
                <w:szCs w:val="20"/>
              </w:rPr>
            </w:pPr>
            <w:r w:rsidRPr="00354F5E">
              <w:rPr>
                <w:rFonts w:ascii="Arial Narrow" w:hAnsi="Arial Narrow" w:cstheme="minorHAnsi"/>
                <w:sz w:val="20"/>
                <w:szCs w:val="20"/>
              </w:rPr>
              <w:t>Malignancy</w:t>
            </w:r>
          </w:p>
        </w:tc>
        <w:tc>
          <w:tcPr>
            <w:tcW w:w="926"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1 (0.2)</w:t>
            </w:r>
          </w:p>
        </w:tc>
        <w:tc>
          <w:tcPr>
            <w:tcW w:w="926"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1 (0.2)</w:t>
            </w:r>
          </w:p>
        </w:tc>
        <w:tc>
          <w:tcPr>
            <w:tcW w:w="926" w:type="dxa"/>
            <w:vAlign w:val="center"/>
          </w:tcPr>
          <w:p w:rsidR="00030C92" w:rsidRPr="00354F5E" w:rsidRDefault="00030C92" w:rsidP="00D12336">
            <w:pPr>
              <w:jc w:val="center"/>
              <w:rPr>
                <w:rFonts w:ascii="Arial Narrow" w:hAnsi="Arial Narrow"/>
                <w:sz w:val="20"/>
                <w:szCs w:val="20"/>
              </w:rPr>
            </w:pPr>
            <w:r w:rsidRPr="00354F5E">
              <w:rPr>
                <w:rFonts w:ascii="Arial Narrow" w:hAnsi="Arial Narrow"/>
                <w:sz w:val="20"/>
                <w:szCs w:val="20"/>
              </w:rPr>
              <w:t>3 (0.7)</w:t>
            </w:r>
          </w:p>
        </w:tc>
        <w:tc>
          <w:tcPr>
            <w:tcW w:w="949"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3 (1.4)</w:t>
            </w:r>
          </w:p>
        </w:tc>
        <w:tc>
          <w:tcPr>
            <w:tcW w:w="950"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0</w:t>
            </w:r>
          </w:p>
        </w:tc>
        <w:tc>
          <w:tcPr>
            <w:tcW w:w="1276"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2.47 (0.33,18.6)</w:t>
            </w:r>
          </w:p>
        </w:tc>
        <w:tc>
          <w:tcPr>
            <w:tcW w:w="1509"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sz w:val="20"/>
                <w:szCs w:val="20"/>
              </w:rPr>
              <w:t>0.33 (0.04,3.19)</w:t>
            </w:r>
          </w:p>
        </w:tc>
      </w:tr>
      <w:tr w:rsidR="00030C92" w:rsidRPr="00354F5E" w:rsidTr="00CF496E">
        <w:tc>
          <w:tcPr>
            <w:tcW w:w="1555" w:type="dxa"/>
            <w:vAlign w:val="center"/>
          </w:tcPr>
          <w:p w:rsidR="00030C92" w:rsidRPr="00354F5E" w:rsidRDefault="00030C92" w:rsidP="00D12336">
            <w:pPr>
              <w:rPr>
                <w:rFonts w:ascii="Arial Narrow" w:hAnsi="Arial Narrow" w:cstheme="minorHAnsi"/>
                <w:sz w:val="20"/>
                <w:szCs w:val="20"/>
              </w:rPr>
            </w:pPr>
            <w:r w:rsidRPr="00354F5E">
              <w:rPr>
                <w:rFonts w:ascii="Arial Narrow" w:hAnsi="Arial Narrow" w:cstheme="minorHAnsi"/>
                <w:sz w:val="20"/>
                <w:szCs w:val="20"/>
              </w:rPr>
              <w:t>Adjudicated NMSC</w:t>
            </w:r>
          </w:p>
        </w:tc>
        <w:tc>
          <w:tcPr>
            <w:tcW w:w="926"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0</w:t>
            </w:r>
          </w:p>
        </w:tc>
        <w:tc>
          <w:tcPr>
            <w:tcW w:w="926"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1 (0.2)</w:t>
            </w:r>
          </w:p>
        </w:tc>
        <w:tc>
          <w:tcPr>
            <w:tcW w:w="926" w:type="dxa"/>
            <w:vAlign w:val="center"/>
          </w:tcPr>
          <w:p w:rsidR="00030C92" w:rsidRPr="00354F5E" w:rsidRDefault="00030C92" w:rsidP="00D12336">
            <w:pPr>
              <w:jc w:val="center"/>
              <w:rPr>
                <w:rFonts w:ascii="Arial Narrow" w:hAnsi="Arial Narrow"/>
                <w:sz w:val="20"/>
                <w:szCs w:val="20"/>
              </w:rPr>
            </w:pPr>
            <w:r w:rsidRPr="00354F5E">
              <w:rPr>
                <w:rFonts w:ascii="Arial Narrow" w:hAnsi="Arial Narrow"/>
                <w:sz w:val="20"/>
                <w:szCs w:val="20"/>
              </w:rPr>
              <w:t>0</w:t>
            </w:r>
          </w:p>
        </w:tc>
        <w:tc>
          <w:tcPr>
            <w:tcW w:w="949"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1 (0.5)</w:t>
            </w:r>
          </w:p>
        </w:tc>
        <w:tc>
          <w:tcPr>
            <w:tcW w:w="950"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0</w:t>
            </w:r>
          </w:p>
        </w:tc>
        <w:tc>
          <w:tcPr>
            <w:tcW w:w="1276"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cstheme="minorHAnsi"/>
                <w:sz w:val="20"/>
                <w:szCs w:val="20"/>
              </w:rPr>
              <w:t>1.00 (0.10,9.55)</w:t>
            </w:r>
          </w:p>
        </w:tc>
        <w:tc>
          <w:tcPr>
            <w:tcW w:w="1509" w:type="dxa"/>
            <w:vAlign w:val="center"/>
          </w:tcPr>
          <w:p w:rsidR="00030C92" w:rsidRPr="00354F5E" w:rsidRDefault="00030C92" w:rsidP="00D12336">
            <w:pPr>
              <w:jc w:val="center"/>
              <w:rPr>
                <w:rFonts w:ascii="Arial Narrow" w:hAnsi="Arial Narrow" w:cstheme="minorHAnsi"/>
                <w:sz w:val="20"/>
                <w:szCs w:val="20"/>
              </w:rPr>
            </w:pPr>
            <w:r w:rsidRPr="00354F5E">
              <w:rPr>
                <w:rFonts w:ascii="Arial Narrow" w:hAnsi="Arial Narrow"/>
                <w:sz w:val="20"/>
                <w:szCs w:val="20"/>
              </w:rPr>
              <w:t>-</w:t>
            </w:r>
          </w:p>
        </w:tc>
      </w:tr>
    </w:tbl>
    <w:p w:rsidR="00030C92" w:rsidRPr="00354F5E" w:rsidRDefault="00030C92" w:rsidP="00D12336">
      <w:pPr>
        <w:pStyle w:val="TableFigureFooter"/>
        <w:spacing w:after="0"/>
        <w:rPr>
          <w:sz w:val="20"/>
        </w:rPr>
      </w:pPr>
      <w:r w:rsidRPr="00354F5E">
        <w:t>Source: Table 2-24 and 2-25, pp85-86 of the submission.</w:t>
      </w:r>
    </w:p>
    <w:p w:rsidR="00030C92" w:rsidRPr="00354F5E" w:rsidRDefault="00030C92" w:rsidP="00D12336">
      <w:pPr>
        <w:pStyle w:val="TableFigureFooter"/>
        <w:spacing w:after="0"/>
        <w:rPr>
          <w:rFonts w:eastAsia="Calibri"/>
        </w:rPr>
      </w:pPr>
      <w:r w:rsidRPr="00354F5E">
        <w:rPr>
          <w:rFonts w:eastAsia="Calibri"/>
        </w:rPr>
        <w:t>CI=confidence interval; n=number of participants reporting data; N=total participants in group; RR=relative risk; UPA=upadacitinib; PBO=placebo; ADA=adalimumab; AE=adverse event; MACE=major adverse cardiovascular event; NMSC=non-melanoma skin cancer; VTE=venous thromboembolic event.</w:t>
      </w:r>
    </w:p>
    <w:p w:rsidR="00030C92" w:rsidRPr="00354F5E" w:rsidRDefault="00030C92" w:rsidP="00D12336">
      <w:pPr>
        <w:pStyle w:val="TableFigureFooter"/>
        <w:spacing w:after="0"/>
        <w:rPr>
          <w:rFonts w:eastAsia="Calibri"/>
        </w:rPr>
      </w:pPr>
      <w:r w:rsidRPr="00354F5E">
        <w:rPr>
          <w:rFonts w:eastAsia="Calibri"/>
          <w:vertAlign w:val="superscript"/>
        </w:rPr>
        <w:t xml:space="preserve">a  </w:t>
      </w:r>
      <w:r w:rsidRPr="00354F5E">
        <w:rPr>
          <w:rFonts w:eastAsia="Calibri"/>
        </w:rPr>
        <w:t xml:space="preserve">Includes non-treatment emergent deaths. </w:t>
      </w:r>
    </w:p>
    <w:p w:rsidR="00030C92" w:rsidRPr="00354F5E" w:rsidRDefault="00030C92" w:rsidP="00D12336">
      <w:pPr>
        <w:pStyle w:val="TableFigureFooter"/>
        <w:spacing w:after="0"/>
      </w:pPr>
      <w:r w:rsidRPr="00354F5E">
        <w:rPr>
          <w:vertAlign w:val="superscript"/>
        </w:rPr>
        <w:t>b</w:t>
      </w:r>
      <w:r w:rsidRPr="00354F5E">
        <w:t xml:space="preserve"> MACE was defined as cardiovascular death (includes acute myocardial infarction, sudden cardiac death, heart failure, cardiovascular procedure-related death, death due to cardiovascular haemorrhage, fatal stroke, pulmonary embolism and other cardiovascular causes), non-fatal myocardial infarction and non-fatal stroke.</w:t>
      </w:r>
    </w:p>
    <w:p w:rsidR="00030C92" w:rsidRPr="00354F5E" w:rsidRDefault="00030C92" w:rsidP="00D12336">
      <w:pPr>
        <w:pStyle w:val="TableFigureFooter"/>
      </w:pPr>
      <w:r w:rsidRPr="00354F5E">
        <w:rPr>
          <w:vertAlign w:val="superscript"/>
        </w:rPr>
        <w:t>c</w:t>
      </w:r>
      <w:r w:rsidRPr="00354F5E">
        <w:t xml:space="preserve"> Venous thromboembolic events include fatal and non-fatal deep vein thrombosis and pulmonary embolism. </w:t>
      </w:r>
    </w:p>
    <w:p w:rsidR="006674F9" w:rsidRPr="00354F5E" w:rsidRDefault="006E0B55" w:rsidP="00D12336">
      <w:pPr>
        <w:pStyle w:val="3-BodyText"/>
      </w:pPr>
      <w:r w:rsidRPr="00354F5E">
        <w:t xml:space="preserve">Overall, the trial evidence found no increased risk for any safety outcomes </w:t>
      </w:r>
      <w:r w:rsidR="006F136D" w:rsidRPr="00354F5E">
        <w:t xml:space="preserve">at Week 24 </w:t>
      </w:r>
      <w:r w:rsidRPr="00354F5E">
        <w:t xml:space="preserve">in pooled results for UPA vs PBO or UPA vs ADA using a random effects model. </w:t>
      </w:r>
      <w:r w:rsidR="00CF496E" w:rsidRPr="00354F5E">
        <w:t>In SELECT PsA 1,</w:t>
      </w:r>
      <w:r w:rsidRPr="00354F5E">
        <w:t xml:space="preserve"> the incidence of</w:t>
      </w:r>
      <w:r w:rsidR="00CF496E" w:rsidRPr="00354F5E">
        <w:t xml:space="preserve"> any AE rates </w:t>
      </w:r>
      <w:r w:rsidRPr="00354F5E">
        <w:t xml:space="preserve">was </w:t>
      </w:r>
      <w:r w:rsidR="00CF496E" w:rsidRPr="00354F5E">
        <w:t xml:space="preserve">numerically higher </w:t>
      </w:r>
      <w:r w:rsidRPr="00354F5E">
        <w:t xml:space="preserve">for UPA </w:t>
      </w:r>
      <w:r w:rsidR="00CF496E" w:rsidRPr="00354F5E">
        <w:t>compared ADA</w:t>
      </w:r>
      <w:r w:rsidRPr="00354F5E">
        <w:t>, but numerically lower for serious AEs and severe AEs</w:t>
      </w:r>
      <w:r w:rsidR="00CF496E" w:rsidRPr="00354F5E">
        <w:t>.</w:t>
      </w:r>
      <w:r w:rsidR="006F136D" w:rsidRPr="00354F5E">
        <w:t xml:space="preserve"> Similar findings were reported in the TOF trials at 3 months and 12 months, with the incidence of safety outcomes being similar for patients randomised to TOF, ADA and PBO.</w:t>
      </w:r>
    </w:p>
    <w:p w:rsidR="00CF496E" w:rsidRPr="00354F5E" w:rsidRDefault="00F2310F" w:rsidP="00D12336">
      <w:pPr>
        <w:pStyle w:val="3-BodyText"/>
      </w:pPr>
      <w:r w:rsidRPr="00354F5E">
        <w:t>The most common AEs reported for UPA</w:t>
      </w:r>
      <w:r w:rsidR="00171641" w:rsidRPr="00354F5E">
        <w:t xml:space="preserve"> 15mg </w:t>
      </w:r>
      <w:r w:rsidRPr="00354F5E">
        <w:t>included</w:t>
      </w:r>
      <w:r w:rsidR="00171641" w:rsidRPr="00354F5E">
        <w:t xml:space="preserve"> upper respiratory tract infection</w:t>
      </w:r>
      <w:r w:rsidR="00430862" w:rsidRPr="00354F5E">
        <w:t xml:space="preserve"> (URTI)</w:t>
      </w:r>
      <w:r w:rsidR="00171641" w:rsidRPr="00354F5E">
        <w:t>, increased blood creatinine phosphokinase (CPK), nasoph</w:t>
      </w:r>
      <w:r w:rsidR="00A57FBE" w:rsidRPr="00354F5E">
        <w:t>aryngitis and urinary tract infection</w:t>
      </w:r>
      <w:r w:rsidR="006674F9" w:rsidRPr="00354F5E">
        <w:t>. The most common AEs reported in the TOF trials included</w:t>
      </w:r>
      <w:r w:rsidR="00A57FBE" w:rsidRPr="00354F5E">
        <w:t xml:space="preserve"> URTI, nasoph</w:t>
      </w:r>
      <w:r w:rsidR="00430862" w:rsidRPr="00354F5E">
        <w:t>aryngitis and headache. P</w:t>
      </w:r>
      <w:r w:rsidR="00A57FBE" w:rsidRPr="00354F5E">
        <w:t xml:space="preserve">atients treated with either UPA or TOF were more likely to experience herpes zoster infection compared to PBO. </w:t>
      </w:r>
      <w:r w:rsidR="006F136D" w:rsidRPr="00354F5E">
        <w:t>The safety outcomes reported in the trials were consistent with the known safety profiles of UPA and TOF.</w:t>
      </w:r>
    </w:p>
    <w:p w:rsidR="00CF496E" w:rsidRPr="00354F5E" w:rsidRDefault="00CF496E" w:rsidP="00D12336">
      <w:pPr>
        <w:pStyle w:val="3-BodyText"/>
      </w:pPr>
      <w:r w:rsidRPr="00354F5E">
        <w:t>Long-term safety data has raised concerns regarding thrombosis risk with JAK inhibitors</w:t>
      </w:r>
      <w:r w:rsidR="00CD54A3" w:rsidRPr="00354F5E">
        <w:t xml:space="preserve">, with a </w:t>
      </w:r>
      <w:r w:rsidR="00FC676E" w:rsidRPr="00354F5E">
        <w:t>black box warning</w:t>
      </w:r>
      <w:r w:rsidR="00CD54A3" w:rsidRPr="00354F5E">
        <w:t xml:space="preserve"> issued by the FDA for i) baricitinib </w:t>
      </w:r>
      <w:r w:rsidRPr="00354F5E">
        <w:t>that included a caution related to deep venous thrombosis, pulmonary embolism and arterial thrombosis</w:t>
      </w:r>
      <w:r w:rsidR="00CD54A3" w:rsidRPr="00354F5E">
        <w:t xml:space="preserve">; and for ii) </w:t>
      </w:r>
      <w:r w:rsidRPr="00354F5E">
        <w:t>TOF due to an increased risk of thrombosis and mortality seen in the post-marketing study (</w:t>
      </w:r>
      <w:r w:rsidR="00CD54A3" w:rsidRPr="00354F5E">
        <w:t>p</w:t>
      </w:r>
      <w:r w:rsidRPr="00354F5E">
        <w:t xml:space="preserve">aragraph 6.12, UPA PSD in Rheumatoid Arthritis, November 2019). In SELECT-PsA 1 and SELECT PsA 2, </w:t>
      </w:r>
      <w:r w:rsidR="00CD54A3" w:rsidRPr="00354F5E">
        <w:t xml:space="preserve">the incidence of </w:t>
      </w:r>
      <w:r w:rsidRPr="00354F5E">
        <w:t xml:space="preserve">venous thromboembolism </w:t>
      </w:r>
      <w:r w:rsidR="00CD54A3" w:rsidRPr="00354F5E">
        <w:t>was</w:t>
      </w:r>
      <w:r w:rsidRPr="00354F5E">
        <w:t xml:space="preserve"> low</w:t>
      </w:r>
      <w:r w:rsidR="00CD54A3" w:rsidRPr="00354F5E">
        <w:t xml:space="preserve"> and the </w:t>
      </w:r>
      <w:r w:rsidRPr="00354F5E">
        <w:t xml:space="preserve">TGA Clinical Evaluation Report (Round 1) </w:t>
      </w:r>
      <w:r w:rsidR="00CD54A3" w:rsidRPr="00354F5E">
        <w:t>not</w:t>
      </w:r>
      <w:r w:rsidRPr="00354F5E">
        <w:t xml:space="preserve">ed that </w:t>
      </w:r>
      <w:r w:rsidR="00CD54A3" w:rsidRPr="00354F5E">
        <w:t xml:space="preserve">events were not </w:t>
      </w:r>
      <w:r w:rsidRPr="00354F5E">
        <w:t>observed more frequently than anticipated.</w:t>
      </w:r>
    </w:p>
    <w:p w:rsidR="00B60939" w:rsidRPr="00354F5E" w:rsidRDefault="00B60939" w:rsidP="00D12336">
      <w:pPr>
        <w:pStyle w:val="4-SubsectionHeading"/>
        <w:rPr>
          <w:i w:val="0"/>
        </w:rPr>
      </w:pPr>
      <w:bookmarkStart w:id="16" w:name="_Toc22897644"/>
      <w:bookmarkStart w:id="17" w:name="_Toc62029191"/>
      <w:r w:rsidRPr="00354F5E">
        <w:rPr>
          <w:i w:val="0"/>
        </w:rPr>
        <w:t>Clinical claim</w:t>
      </w:r>
      <w:bookmarkEnd w:id="16"/>
      <w:bookmarkEnd w:id="17"/>
    </w:p>
    <w:p w:rsidR="00B779ED" w:rsidRPr="00354F5E" w:rsidRDefault="005838A3" w:rsidP="00B779ED">
      <w:pPr>
        <w:pStyle w:val="3-BodyText"/>
      </w:pPr>
      <w:r w:rsidRPr="00354F5E">
        <w:rPr>
          <w:iCs/>
        </w:rPr>
        <w:t>The submission described UPA as non-inferior in terms of efficacy and safety compared with TOF (main comparator).</w:t>
      </w:r>
      <w:r w:rsidR="00C95A05" w:rsidRPr="00354F5E">
        <w:rPr>
          <w:iCs/>
        </w:rPr>
        <w:t xml:space="preserve"> </w:t>
      </w:r>
      <w:r w:rsidR="006674F9" w:rsidRPr="00354F5E">
        <w:t>The clinical claim was reasonable and adequately supported by the evidence presented. The indirect comparisons for ACR50 and ACR20 at Week 12 / 3 months met the nominated non-inferiority margins and the safety profiles of UPA and TOF appear to be similar based on the available data.</w:t>
      </w:r>
    </w:p>
    <w:p w:rsidR="005B111E" w:rsidRPr="00354F5E" w:rsidRDefault="005B111E" w:rsidP="005B111E">
      <w:pPr>
        <w:pStyle w:val="3-BodyText"/>
        <w:rPr>
          <w:iCs/>
        </w:rPr>
      </w:pPr>
      <w:r w:rsidRPr="00354F5E">
        <w:rPr>
          <w:iCs/>
        </w:rPr>
        <w:t>The PBAC considered that the claim of non-inferior comparative effectiveness</w:t>
      </w:r>
      <w:r w:rsidR="005379AD" w:rsidRPr="00354F5E">
        <w:rPr>
          <w:iCs/>
        </w:rPr>
        <w:t xml:space="preserve"> to tofacitinib</w:t>
      </w:r>
      <w:r w:rsidRPr="00354F5E">
        <w:rPr>
          <w:iCs/>
        </w:rPr>
        <w:t xml:space="preserve"> was reasonable</w:t>
      </w:r>
      <w:r w:rsidR="005379AD" w:rsidRPr="00354F5E">
        <w:rPr>
          <w:iCs/>
        </w:rPr>
        <w:t>.</w:t>
      </w:r>
    </w:p>
    <w:p w:rsidR="005B111E" w:rsidRPr="00354F5E" w:rsidRDefault="005B111E" w:rsidP="005B111E">
      <w:pPr>
        <w:pStyle w:val="3-BodyText"/>
        <w:rPr>
          <w:iCs/>
        </w:rPr>
      </w:pPr>
      <w:r w:rsidRPr="00354F5E">
        <w:rPr>
          <w:iCs/>
        </w:rPr>
        <w:t>The PBAC considered that the claim of non-inferior comparative safety</w:t>
      </w:r>
      <w:r w:rsidR="005379AD" w:rsidRPr="00354F5E">
        <w:rPr>
          <w:iCs/>
        </w:rPr>
        <w:t xml:space="preserve"> to tofacitinib</w:t>
      </w:r>
      <w:r w:rsidRPr="00354F5E">
        <w:rPr>
          <w:iCs/>
        </w:rPr>
        <w:t xml:space="preserve"> was reasonable</w:t>
      </w:r>
      <w:r w:rsidR="005379AD" w:rsidRPr="00354F5E">
        <w:rPr>
          <w:iCs/>
        </w:rPr>
        <w:t>.</w:t>
      </w:r>
    </w:p>
    <w:p w:rsidR="00B60939" w:rsidRPr="00354F5E" w:rsidRDefault="00B60939" w:rsidP="00D12336">
      <w:pPr>
        <w:pStyle w:val="4-SubsectionHeading"/>
        <w:rPr>
          <w:i w:val="0"/>
        </w:rPr>
      </w:pPr>
      <w:bookmarkStart w:id="18" w:name="_Toc22897645"/>
      <w:bookmarkStart w:id="19" w:name="_Toc62029192"/>
      <w:r w:rsidRPr="00354F5E">
        <w:rPr>
          <w:i w:val="0"/>
        </w:rPr>
        <w:t>Economic analysis</w:t>
      </w:r>
      <w:bookmarkEnd w:id="18"/>
      <w:bookmarkEnd w:id="19"/>
      <w:r w:rsidR="00491B3A" w:rsidRPr="00354F5E">
        <w:rPr>
          <w:i w:val="0"/>
        </w:rPr>
        <w:t xml:space="preserve"> </w:t>
      </w:r>
    </w:p>
    <w:p w:rsidR="006674F9" w:rsidRPr="00354F5E" w:rsidRDefault="00CF26D2" w:rsidP="00D12336">
      <w:pPr>
        <w:pStyle w:val="3-BodyText"/>
        <w:rPr>
          <w:iCs/>
        </w:rPr>
      </w:pPr>
      <w:r w:rsidRPr="00354F5E">
        <w:rPr>
          <w:iCs/>
        </w:rPr>
        <w:t xml:space="preserve">The submission presented a cost-minimisation analysis </w:t>
      </w:r>
      <w:r w:rsidR="00771042" w:rsidRPr="00354F5E">
        <w:rPr>
          <w:iCs/>
        </w:rPr>
        <w:t xml:space="preserve">between UPA and TOF </w:t>
      </w:r>
      <w:r w:rsidR="006674F9" w:rsidRPr="00354F5E">
        <w:rPr>
          <w:iCs/>
        </w:rPr>
        <w:t>and</w:t>
      </w:r>
      <w:r w:rsidRPr="00354F5E">
        <w:rPr>
          <w:iCs/>
        </w:rPr>
        <w:t xml:space="preserve"> nominated </w:t>
      </w:r>
      <w:r w:rsidR="00771042" w:rsidRPr="00354F5E">
        <w:rPr>
          <w:iCs/>
        </w:rPr>
        <w:t xml:space="preserve">the following </w:t>
      </w:r>
      <w:r w:rsidRPr="00354F5E">
        <w:rPr>
          <w:iCs/>
        </w:rPr>
        <w:t>equi-effective doses based on the recommended doses</w:t>
      </w:r>
      <w:r w:rsidR="00771042" w:rsidRPr="00354F5E">
        <w:rPr>
          <w:iCs/>
        </w:rPr>
        <w:t xml:space="preserve"> for PsA</w:t>
      </w:r>
      <w:r w:rsidR="0084665E" w:rsidRPr="00354F5E">
        <w:rPr>
          <w:iCs/>
        </w:rPr>
        <w:t xml:space="preserve"> in the respective PIs (and used in the trials)</w:t>
      </w:r>
      <w:r w:rsidR="006674F9" w:rsidRPr="00354F5E">
        <w:rPr>
          <w:iCs/>
        </w:rPr>
        <w:t>:</w:t>
      </w:r>
    </w:p>
    <w:p w:rsidR="006674F9" w:rsidRPr="00354F5E" w:rsidRDefault="00CF26D2" w:rsidP="00D12336">
      <w:pPr>
        <w:pStyle w:val="3-BodyText"/>
        <w:numPr>
          <w:ilvl w:val="1"/>
          <w:numId w:val="18"/>
        </w:numPr>
        <w:ind w:left="1134" w:hanging="425"/>
        <w:rPr>
          <w:iCs/>
        </w:rPr>
      </w:pPr>
      <w:r w:rsidRPr="00354F5E">
        <w:rPr>
          <w:iCs/>
        </w:rPr>
        <w:t xml:space="preserve">UPA 15mg orally </w:t>
      </w:r>
      <w:r w:rsidR="0084665E" w:rsidRPr="00354F5E">
        <w:rPr>
          <w:iCs/>
        </w:rPr>
        <w:t xml:space="preserve">once </w:t>
      </w:r>
      <w:r w:rsidRPr="00354F5E">
        <w:rPr>
          <w:iCs/>
        </w:rPr>
        <w:t>daily</w:t>
      </w:r>
      <w:r w:rsidR="00E5514F" w:rsidRPr="00354F5E">
        <w:rPr>
          <w:iCs/>
        </w:rPr>
        <w:t xml:space="preserve"> </w:t>
      </w:r>
      <w:r w:rsidRPr="00354F5E">
        <w:rPr>
          <w:iCs/>
        </w:rPr>
        <w:t>=</w:t>
      </w:r>
      <w:r w:rsidR="00E5514F" w:rsidRPr="00354F5E">
        <w:rPr>
          <w:iCs/>
        </w:rPr>
        <w:t xml:space="preserve"> </w:t>
      </w:r>
      <w:r w:rsidRPr="00354F5E">
        <w:rPr>
          <w:iCs/>
        </w:rPr>
        <w:t>TOF 5mg orally twice daily</w:t>
      </w:r>
    </w:p>
    <w:p w:rsidR="00771042" w:rsidRPr="00354F5E" w:rsidRDefault="00771042" w:rsidP="00D12336">
      <w:pPr>
        <w:pStyle w:val="3-BodyText"/>
        <w:rPr>
          <w:iCs/>
        </w:rPr>
      </w:pPr>
      <w:r w:rsidRPr="00354F5E">
        <w:rPr>
          <w:iCs/>
        </w:rPr>
        <w:t xml:space="preserve">The analysis used the published price for TOF and assumed equivalent costs (drug cost only) over the first 12 months of treatment. The submission stated that the effective price </w:t>
      </w:r>
      <w:r w:rsidR="006A5329" w:rsidRPr="00354F5E">
        <w:rPr>
          <w:iCs/>
        </w:rPr>
        <w:t xml:space="preserve">for TOF </w:t>
      </w:r>
      <w:r w:rsidRPr="00354F5E">
        <w:rPr>
          <w:iCs/>
        </w:rPr>
        <w:t xml:space="preserve">was not available to the Sponsor, but </w:t>
      </w:r>
      <w:r w:rsidR="006A5329" w:rsidRPr="00354F5E">
        <w:rPr>
          <w:iCs/>
        </w:rPr>
        <w:t xml:space="preserve">the same effective price is </w:t>
      </w:r>
      <w:r w:rsidRPr="00354F5E">
        <w:rPr>
          <w:iCs/>
        </w:rPr>
        <w:t xml:space="preserve">requested </w:t>
      </w:r>
      <w:r w:rsidR="006A5329" w:rsidRPr="00354F5E">
        <w:rPr>
          <w:iCs/>
        </w:rPr>
        <w:t>for UPA</w:t>
      </w:r>
      <w:r w:rsidRPr="00354F5E">
        <w:rPr>
          <w:iCs/>
        </w:rPr>
        <w:t>.</w:t>
      </w:r>
    </w:p>
    <w:p w:rsidR="00C25D9C" w:rsidRPr="00354F5E" w:rsidRDefault="006A5329" w:rsidP="00D12336">
      <w:pPr>
        <w:pStyle w:val="3-BodyText"/>
        <w:rPr>
          <w:b/>
          <w:bCs/>
          <w:i/>
        </w:rPr>
      </w:pPr>
      <w:r w:rsidRPr="00354F5E">
        <w:t>As discussed</w:t>
      </w:r>
      <w:r w:rsidR="00866B22" w:rsidRPr="00354F5E">
        <w:t xml:space="preserve"> in paragraph 5.</w:t>
      </w:r>
      <w:r w:rsidR="00BB1C2E" w:rsidRPr="00354F5E">
        <w:t>4</w:t>
      </w:r>
      <w:r w:rsidRPr="00354F5E">
        <w:t>,</w:t>
      </w:r>
      <w:r w:rsidR="00CF26D2" w:rsidRPr="00354F5E">
        <w:t xml:space="preserve"> </w:t>
      </w:r>
      <w:r w:rsidRPr="00354F5E">
        <w:t xml:space="preserve">there was no basis for UPA to have a price advantage over any of the relevant alternatives for an equivalent treatment period, whether that is TOF or one of the bDMARDs PBS listed for PsA. The treatment period accepted by the PBAC for similar treatments is the first 2 years of treatment, rather than the first 12 months assumed in the submission. </w:t>
      </w:r>
    </w:p>
    <w:p w:rsidR="009438F5" w:rsidRPr="00354F5E" w:rsidRDefault="009438F5" w:rsidP="00D12336">
      <w:pPr>
        <w:pStyle w:val="4-SubsectionHeading"/>
      </w:pPr>
      <w:bookmarkStart w:id="20" w:name="_Toc22897646"/>
      <w:bookmarkStart w:id="21" w:name="_Toc22898858"/>
      <w:bookmarkStart w:id="22" w:name="_Toc62029193"/>
      <w:r w:rsidRPr="00354F5E">
        <w:t>Drug cost/patient/year</w:t>
      </w:r>
      <w:bookmarkEnd w:id="20"/>
      <w:bookmarkEnd w:id="21"/>
      <w:r w:rsidRPr="00354F5E">
        <w:t>: $</w:t>
      </w:r>
      <w:bookmarkEnd w:id="22"/>
      <w:r w:rsidR="00EA095E">
        <w:rPr>
          <w:noProof/>
          <w:color w:val="000000"/>
          <w:highlight w:val="black"/>
        </w:rPr>
        <w:t>''''''''''''''''</w:t>
      </w:r>
    </w:p>
    <w:p w:rsidR="009438F5" w:rsidRPr="00354F5E" w:rsidRDefault="009438F5" w:rsidP="005C22A9">
      <w:pPr>
        <w:pStyle w:val="3-BodyText"/>
        <w:rPr>
          <w:snapToGrid/>
        </w:rPr>
      </w:pPr>
      <w:r w:rsidRPr="00354F5E">
        <w:rPr>
          <w:snapToGrid/>
        </w:rPr>
        <w:t xml:space="preserve">Assuming a DPMQ of $1,271.34 </w:t>
      </w:r>
      <w:r w:rsidR="005C0936" w:rsidRPr="00354F5E">
        <w:rPr>
          <w:snapToGrid/>
        </w:rPr>
        <w:t xml:space="preserve">(i.e. requested published price) </w:t>
      </w:r>
      <w:r w:rsidRPr="00354F5E">
        <w:rPr>
          <w:snapToGrid/>
        </w:rPr>
        <w:t xml:space="preserve">and </w:t>
      </w:r>
      <w:r w:rsidR="005C22A9" w:rsidRPr="005C22A9">
        <w:rPr>
          <w:snapToGrid/>
        </w:rPr>
        <w:t>&lt; 500</w:t>
      </w:r>
      <w:r w:rsidRPr="00354F5E">
        <w:rPr>
          <w:snapToGrid/>
        </w:rPr>
        <w:t xml:space="preserve"> scripts required for the first year of treatment inclusive of initial and continuing therapy with UPA 15 mg </w:t>
      </w:r>
      <w:r w:rsidR="00DB5F78" w:rsidRPr="00354F5E">
        <w:rPr>
          <w:snapToGrid/>
        </w:rPr>
        <w:t>once daily</w:t>
      </w:r>
      <w:r w:rsidRPr="00354F5E">
        <w:rPr>
          <w:snapToGrid/>
        </w:rPr>
        <w:t>, the cost per patient per year is $</w:t>
      </w:r>
      <w:r w:rsidR="00EA095E">
        <w:rPr>
          <w:noProof/>
          <w:snapToGrid/>
          <w:color w:val="000000"/>
          <w:highlight w:val="black"/>
        </w:rPr>
        <w:t>''''''''''''''''''''</w:t>
      </w:r>
      <w:r w:rsidRPr="00354F5E">
        <w:rPr>
          <w:snapToGrid/>
        </w:rPr>
        <w:t>.</w:t>
      </w:r>
    </w:p>
    <w:p w:rsidR="00B60939" w:rsidRPr="00354F5E" w:rsidRDefault="00B60939" w:rsidP="00D12336">
      <w:pPr>
        <w:pStyle w:val="4-SubsectionHeading"/>
      </w:pPr>
      <w:bookmarkStart w:id="23" w:name="_Toc22897647"/>
      <w:bookmarkStart w:id="24" w:name="_Toc62029194"/>
      <w:r w:rsidRPr="00354F5E">
        <w:t>Estimated PBS usage &amp; financial implications</w:t>
      </w:r>
      <w:bookmarkEnd w:id="23"/>
      <w:bookmarkEnd w:id="24"/>
    </w:p>
    <w:p w:rsidR="000332A5" w:rsidRPr="00354F5E" w:rsidRDefault="00C25D9C" w:rsidP="00D12336">
      <w:pPr>
        <w:pStyle w:val="3-BodyText"/>
      </w:pPr>
      <w:r w:rsidRPr="00354F5E">
        <w:t xml:space="preserve">This submission </w:t>
      </w:r>
      <w:r w:rsidR="003A711B" w:rsidRPr="00354F5E">
        <w:t>was not</w:t>
      </w:r>
      <w:r w:rsidR="00666C9C" w:rsidRPr="00354F5E">
        <w:t xml:space="preserve"> </w:t>
      </w:r>
      <w:r w:rsidRPr="00354F5E">
        <w:t>considered by DUSC.</w:t>
      </w:r>
      <w:r w:rsidR="00666C9C" w:rsidRPr="00354F5E">
        <w:t xml:space="preserve"> </w:t>
      </w:r>
      <w:r w:rsidR="000332A5" w:rsidRPr="00354F5E">
        <w:t>The submission estimated the financial implications of the proposed listing using a market share approach, plus treatment of</w:t>
      </w:r>
      <w:r w:rsidR="00D4538C" w:rsidRPr="00354F5E">
        <w:t xml:space="preserve"> approximately</w:t>
      </w:r>
      <w:r w:rsidR="000332A5" w:rsidRPr="00354F5E">
        <w:t xml:space="preserve"> </w:t>
      </w:r>
      <w:r w:rsidR="006478F9">
        <w:t>&lt; 500</w:t>
      </w:r>
      <w:r w:rsidR="006478F9" w:rsidRPr="00354F5E">
        <w:t xml:space="preserve"> </w:t>
      </w:r>
      <w:r w:rsidR="000332A5" w:rsidRPr="00354F5E">
        <w:t>grandfathered patients enrolled in a Patient Familiarisation Program and long-term extension phases of clinical trials. The analysis used published DPMQs because the sponsor was not aware of the confidential effective or indication specific prices of substituted treatments.</w:t>
      </w:r>
    </w:p>
    <w:p w:rsidR="005C4B92" w:rsidRPr="00354F5E" w:rsidRDefault="000332A5" w:rsidP="00D12336">
      <w:pPr>
        <w:pStyle w:val="3-BodyText"/>
      </w:pPr>
      <w:r w:rsidRPr="00354F5E">
        <w:t xml:space="preserve">For the market share approach, the submission assumed UPA would substitute for all currently PBS listed bDMARDs for PsA, and that the proposed listing would not affect future overall market growth. </w:t>
      </w:r>
      <w:r w:rsidR="00AD6F8B" w:rsidRPr="00354F5E">
        <w:t>The submission estimated the annual background growth of the market by converting scripts</w:t>
      </w:r>
      <w:r w:rsidR="00205A5A" w:rsidRPr="00354F5E">
        <w:t xml:space="preserve"> dispensed in the past five years</w:t>
      </w:r>
      <w:r w:rsidR="00AD6F8B" w:rsidRPr="00354F5E">
        <w:t xml:space="preserve"> to ‘patient-years’ and </w:t>
      </w:r>
      <w:r w:rsidR="00205A5A" w:rsidRPr="00354F5E">
        <w:t xml:space="preserve">future market share based on </w:t>
      </w:r>
      <w:r w:rsidR="00100CEE" w:rsidRPr="00354F5E">
        <w:t xml:space="preserve">a number of </w:t>
      </w:r>
      <w:r w:rsidR="00205A5A" w:rsidRPr="00354F5E">
        <w:t>assumptions</w:t>
      </w:r>
      <w:r w:rsidR="006315AB" w:rsidRPr="00354F5E">
        <w:t>.</w:t>
      </w:r>
      <w:r w:rsidRPr="00354F5E">
        <w:t xml:space="preserve"> For grandfathered patients, the analysis assumed 0% treatment failure over the first six years.</w:t>
      </w:r>
    </w:p>
    <w:p w:rsidR="000332A5" w:rsidRPr="00354F5E" w:rsidRDefault="000332A5" w:rsidP="00D12336">
      <w:pPr>
        <w:pStyle w:val="3-BodyText"/>
      </w:pPr>
      <w:r w:rsidRPr="00354F5E">
        <w:t>Table 7 summarises the key inputs in the financial estimates.</w:t>
      </w:r>
    </w:p>
    <w:p w:rsidR="006E0501" w:rsidRDefault="006E0501">
      <w:pPr>
        <w:jc w:val="left"/>
        <w:rPr>
          <w:rFonts w:ascii="Arial Narrow" w:hAnsi="Arial Narrow"/>
          <w:b/>
          <w:sz w:val="20"/>
          <w:szCs w:val="20"/>
        </w:rPr>
      </w:pPr>
      <w:r>
        <w:rPr>
          <w:rFonts w:ascii="Arial Narrow" w:hAnsi="Arial Narrow"/>
          <w:b/>
          <w:sz w:val="20"/>
          <w:szCs w:val="20"/>
        </w:rPr>
        <w:br w:type="page"/>
      </w:r>
    </w:p>
    <w:p w:rsidR="006D3FB9" w:rsidRPr="00354F5E" w:rsidRDefault="005C4B92" w:rsidP="00D12336">
      <w:pPr>
        <w:rPr>
          <w:rFonts w:ascii="Arial Narrow" w:hAnsi="Arial Narrow"/>
          <w:b/>
          <w:sz w:val="20"/>
          <w:szCs w:val="20"/>
        </w:rPr>
      </w:pPr>
      <w:r w:rsidRPr="00354F5E">
        <w:rPr>
          <w:rFonts w:ascii="Arial Narrow" w:hAnsi="Arial Narrow"/>
          <w:b/>
          <w:sz w:val="20"/>
          <w:szCs w:val="20"/>
        </w:rPr>
        <w:t xml:space="preserve">Table </w:t>
      </w:r>
      <w:r w:rsidR="00C15855" w:rsidRPr="00354F5E">
        <w:rPr>
          <w:rFonts w:ascii="Arial Narrow" w:hAnsi="Arial Narrow"/>
          <w:b/>
          <w:sz w:val="20"/>
          <w:szCs w:val="20"/>
        </w:rPr>
        <w:t>7</w:t>
      </w:r>
      <w:r w:rsidRPr="00354F5E">
        <w:rPr>
          <w:rFonts w:ascii="Arial Narrow" w:hAnsi="Arial Narrow"/>
          <w:b/>
          <w:sz w:val="20"/>
          <w:szCs w:val="20"/>
        </w:rPr>
        <w:t>. Data sources and parameter values applied in the utilisation and financial estimates</w:t>
      </w:r>
      <w:r w:rsidR="004223C5" w:rsidRPr="00354F5E">
        <w:rPr>
          <w:rFonts w:ascii="Arial Narrow" w:hAnsi="Arial Narrow"/>
          <w:b/>
          <w:sz w:val="20"/>
          <w:szCs w:val="20"/>
        </w:rPr>
        <w:t xml:space="preserve"> of UPA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99"/>
        <w:gridCol w:w="3459"/>
        <w:gridCol w:w="4059"/>
      </w:tblGrid>
      <w:tr w:rsidR="00F647B5" w:rsidRPr="00354F5E" w:rsidTr="00D12336">
        <w:trPr>
          <w:tblHeader/>
        </w:trPr>
        <w:tc>
          <w:tcPr>
            <w:tcW w:w="831" w:type="pct"/>
            <w:vAlign w:val="center"/>
          </w:tcPr>
          <w:p w:rsidR="00F647B5" w:rsidRPr="00354F5E" w:rsidRDefault="00F647B5" w:rsidP="00D12336">
            <w:pPr>
              <w:pStyle w:val="In-tableHeading"/>
              <w:keepNext w:val="0"/>
              <w:jc w:val="center"/>
              <w:rPr>
                <w:lang w:val="en-AU"/>
              </w:rPr>
            </w:pPr>
            <w:r w:rsidRPr="00354F5E">
              <w:rPr>
                <w:lang w:val="en-AU"/>
              </w:rPr>
              <w:t>Data</w:t>
            </w:r>
          </w:p>
        </w:tc>
        <w:tc>
          <w:tcPr>
            <w:tcW w:w="1918" w:type="pct"/>
            <w:vAlign w:val="center"/>
          </w:tcPr>
          <w:p w:rsidR="00F647B5" w:rsidRPr="00354F5E" w:rsidRDefault="00F647B5" w:rsidP="00D12336">
            <w:pPr>
              <w:pStyle w:val="In-tableHeading"/>
              <w:keepNext w:val="0"/>
              <w:jc w:val="center"/>
              <w:rPr>
                <w:lang w:val="en-AU"/>
              </w:rPr>
            </w:pPr>
            <w:r w:rsidRPr="00354F5E">
              <w:rPr>
                <w:lang w:val="en-AU"/>
              </w:rPr>
              <w:t>Value and Source</w:t>
            </w:r>
          </w:p>
        </w:tc>
        <w:tc>
          <w:tcPr>
            <w:tcW w:w="2251" w:type="pct"/>
            <w:vAlign w:val="center"/>
          </w:tcPr>
          <w:p w:rsidR="00F647B5" w:rsidRPr="00354F5E" w:rsidRDefault="00F647B5" w:rsidP="00D12336">
            <w:pPr>
              <w:pStyle w:val="In-tableHeading"/>
              <w:keepNext w:val="0"/>
              <w:jc w:val="center"/>
              <w:rPr>
                <w:lang w:val="en-AU"/>
              </w:rPr>
            </w:pPr>
            <w:r w:rsidRPr="00354F5E">
              <w:rPr>
                <w:lang w:val="en-AU"/>
              </w:rPr>
              <w:t>Comment</w:t>
            </w:r>
          </w:p>
        </w:tc>
      </w:tr>
      <w:tr w:rsidR="003E53B4" w:rsidRPr="00354F5E" w:rsidTr="006D3FB9">
        <w:tc>
          <w:tcPr>
            <w:tcW w:w="5000" w:type="pct"/>
            <w:gridSpan w:val="3"/>
            <w:vAlign w:val="center"/>
          </w:tcPr>
          <w:p w:rsidR="003E53B4" w:rsidRPr="00354F5E" w:rsidRDefault="003E53B4" w:rsidP="00D12336">
            <w:pPr>
              <w:pStyle w:val="In-tableHeading"/>
              <w:keepNext w:val="0"/>
              <w:rPr>
                <w:lang w:val="en-AU"/>
              </w:rPr>
            </w:pPr>
            <w:r w:rsidRPr="00354F5E">
              <w:rPr>
                <w:lang w:val="en-AU"/>
              </w:rPr>
              <w:t>Eligible population</w:t>
            </w:r>
          </w:p>
        </w:tc>
      </w:tr>
      <w:tr w:rsidR="00F647B5" w:rsidRPr="00354F5E" w:rsidTr="00F647B5">
        <w:tc>
          <w:tcPr>
            <w:tcW w:w="831" w:type="pct"/>
            <w:vAlign w:val="center"/>
          </w:tcPr>
          <w:p w:rsidR="00F647B5" w:rsidRPr="00354F5E" w:rsidRDefault="00F647B5" w:rsidP="00D12336">
            <w:pPr>
              <w:pStyle w:val="TableText0"/>
              <w:keepNext w:val="0"/>
            </w:pPr>
            <w:r w:rsidRPr="00354F5E">
              <w:t>Current market of JAK/bDMARDs in PsA</w:t>
            </w:r>
          </w:p>
        </w:tc>
        <w:tc>
          <w:tcPr>
            <w:tcW w:w="1918" w:type="pct"/>
            <w:vAlign w:val="center"/>
          </w:tcPr>
          <w:p w:rsidR="00F647B5" w:rsidRPr="00354F5E" w:rsidRDefault="00F647B5" w:rsidP="00D12336">
            <w:pPr>
              <w:pStyle w:val="TableText0"/>
              <w:keepNext w:val="0"/>
            </w:pPr>
            <w:r w:rsidRPr="00354F5E">
              <w:t xml:space="preserve">Yr 0: </w:t>
            </w:r>
            <w:r w:rsidR="00EA095E">
              <w:rPr>
                <w:noProof/>
                <w:color w:val="000000"/>
                <w:highlight w:val="black"/>
              </w:rPr>
              <w:t>'''''''''''''''''''''</w:t>
            </w:r>
            <w:r w:rsidR="003631DC">
              <w:rPr>
                <w:vertAlign w:val="superscript"/>
              </w:rPr>
              <w:t>1</w:t>
            </w:r>
            <w:r w:rsidRPr="00354F5E">
              <w:t xml:space="preserve"> scripts (aggregate);</w:t>
            </w:r>
          </w:p>
          <w:p w:rsidR="00F647B5" w:rsidRPr="00354F5E" w:rsidRDefault="00F647B5" w:rsidP="00D12336">
            <w:pPr>
              <w:pStyle w:val="TableText0"/>
              <w:keepNext w:val="0"/>
            </w:pPr>
            <w:r w:rsidRPr="00354F5E">
              <w:t xml:space="preserve">Yr 0: </w:t>
            </w:r>
            <w:r w:rsidR="00EA095E">
              <w:rPr>
                <w:noProof/>
                <w:color w:val="000000"/>
                <w:highlight w:val="black"/>
              </w:rPr>
              <w:t>''''''''''''''</w:t>
            </w:r>
            <w:r w:rsidR="003631DC">
              <w:rPr>
                <w:vertAlign w:val="superscript"/>
              </w:rPr>
              <w:t>2</w:t>
            </w:r>
            <w:r w:rsidRPr="00354F5E">
              <w:t xml:space="preserve"> patient-years (aggregate);</w:t>
            </w:r>
          </w:p>
          <w:p w:rsidR="00F647B5" w:rsidRPr="00354F5E" w:rsidRDefault="00F647B5" w:rsidP="00D12336">
            <w:pPr>
              <w:pStyle w:val="TableText0"/>
              <w:keepNext w:val="0"/>
            </w:pPr>
          </w:p>
          <w:p w:rsidR="00F647B5" w:rsidRPr="00354F5E" w:rsidRDefault="00F647B5" w:rsidP="00D12336">
            <w:pPr>
              <w:pStyle w:val="TableText0"/>
              <w:keepNext w:val="0"/>
              <w:rPr>
                <w:sz w:val="16"/>
                <w:szCs w:val="16"/>
              </w:rPr>
            </w:pPr>
            <w:r w:rsidRPr="00354F5E">
              <w:t>Script numbers sourced from Medicare Australia statistics; Patient-years calculated as scripts divided by scripts / year.</w:t>
            </w:r>
          </w:p>
        </w:tc>
        <w:tc>
          <w:tcPr>
            <w:tcW w:w="2251" w:type="pct"/>
            <w:vAlign w:val="center"/>
          </w:tcPr>
          <w:p w:rsidR="00F647B5" w:rsidRPr="00354F5E" w:rsidRDefault="00F647B5" w:rsidP="00D12336">
            <w:pPr>
              <w:pStyle w:val="TableText0"/>
              <w:keepNext w:val="0"/>
              <w:rPr>
                <w:iCs/>
              </w:rPr>
            </w:pPr>
            <w:r w:rsidRPr="00354F5E">
              <w:rPr>
                <w:iCs/>
              </w:rPr>
              <w:t>In deriving patient-years, the submission calculated patient-years in 2019 from scripts in 2019, and applied the growth rate (see below) to estimate patient-years in 2020 and subsequent years.</w:t>
            </w:r>
          </w:p>
          <w:p w:rsidR="00F647B5" w:rsidRPr="00354F5E" w:rsidRDefault="00F647B5" w:rsidP="00D12336">
            <w:pPr>
              <w:pStyle w:val="TableText0"/>
              <w:keepNext w:val="0"/>
              <w:rPr>
                <w:iCs/>
              </w:rPr>
            </w:pPr>
            <w:r w:rsidRPr="00354F5E">
              <w:rPr>
                <w:iCs/>
              </w:rPr>
              <w:t>For scripts, the submission inappropriately (and inconsistently) used scripts dispensed in 2019 as an estimate for scripts in both 2020 (Yr0) and 2021 (Yr1). That is, the submission did not apply the growth rate to scripts until Yr2 in the model. This likely underestimated the aggregate market in terms of script numbers over the first 6 years of listing.</w:t>
            </w:r>
          </w:p>
          <w:p w:rsidR="00F647B5" w:rsidRPr="00354F5E" w:rsidRDefault="00F647B5" w:rsidP="00D12336">
            <w:pPr>
              <w:pStyle w:val="TableText0"/>
              <w:keepNext w:val="0"/>
              <w:rPr>
                <w:iCs/>
              </w:rPr>
            </w:pPr>
            <w:r w:rsidRPr="00354F5E">
              <w:rPr>
                <w:iCs/>
              </w:rPr>
              <w:t>The submission also implicitly assumed all scripts for each drug provided the same number of doses, based on the assumed script relativities (see below), which is not true for IFX, CZP and SEC (due to the loading dose).</w:t>
            </w:r>
          </w:p>
        </w:tc>
      </w:tr>
      <w:tr w:rsidR="00F647B5" w:rsidRPr="00354F5E" w:rsidTr="00F647B5">
        <w:tc>
          <w:tcPr>
            <w:tcW w:w="831" w:type="pct"/>
            <w:vAlign w:val="center"/>
          </w:tcPr>
          <w:p w:rsidR="00F647B5" w:rsidRPr="00354F5E" w:rsidRDefault="00F647B5" w:rsidP="00D12336">
            <w:pPr>
              <w:pStyle w:val="TableText0"/>
              <w:keepNext w:val="0"/>
            </w:pPr>
            <w:r w:rsidRPr="00354F5E">
              <w:t>Script equivalence / substitution rate</w:t>
            </w:r>
          </w:p>
        </w:tc>
        <w:tc>
          <w:tcPr>
            <w:tcW w:w="1918" w:type="pct"/>
            <w:vAlign w:val="center"/>
          </w:tcPr>
          <w:p w:rsidR="00F647B5" w:rsidRPr="00354F5E" w:rsidRDefault="00F647B5" w:rsidP="00D12336">
            <w:pPr>
              <w:pStyle w:val="TableText0"/>
              <w:keepNext w:val="0"/>
            </w:pPr>
            <w:r w:rsidRPr="00354F5E">
              <w:t>Scripts / year calculated as the number of scripts required over the first two years of treatment divided by 2, based on TGA approved dosing regimens.</w:t>
            </w:r>
          </w:p>
          <w:p w:rsidR="00F647B5" w:rsidRPr="00354F5E" w:rsidRDefault="00F647B5" w:rsidP="00D12336">
            <w:pPr>
              <w:pStyle w:val="TableText0"/>
              <w:keepNext w:val="0"/>
            </w:pPr>
            <w:r w:rsidRPr="00354F5E">
              <w:t>Script equivalence vs UPA calculated as scripts / year for drug divided by scripts / year for UPA.</w:t>
            </w:r>
          </w:p>
        </w:tc>
        <w:tc>
          <w:tcPr>
            <w:tcW w:w="2251" w:type="pct"/>
            <w:vAlign w:val="center"/>
          </w:tcPr>
          <w:p w:rsidR="00F647B5" w:rsidRPr="00354F5E" w:rsidRDefault="00F647B5" w:rsidP="00D12336">
            <w:pPr>
              <w:pStyle w:val="TableText0"/>
              <w:keepNext w:val="0"/>
              <w:rPr>
                <w:iCs/>
              </w:rPr>
            </w:pPr>
            <w:r w:rsidRPr="00354F5E">
              <w:rPr>
                <w:iCs/>
              </w:rPr>
              <w:t>Appropriate approximation, given the PBAC has accepted the same implied assumptions in the cost-minimisation analysis (i.e. same response and continuation rates over the first two years)</w:t>
            </w:r>
            <w:r w:rsidR="00354F5E">
              <w:rPr>
                <w:iCs/>
              </w:rPr>
              <w:t xml:space="preserve">. </w:t>
            </w:r>
            <w:r w:rsidRPr="00354F5E">
              <w:rPr>
                <w:iCs/>
              </w:rPr>
              <w:t>The submission however did not distinguish between initial and continuing scripts (which isn’t possible for IXE), or the different number of doses provided by each. There is a slight discrepancy in the assumed number of UPA scripts per year for substituted therapies (</w:t>
            </w:r>
            <w:r w:rsidR="00EA095E">
              <w:rPr>
                <w:iCs/>
                <w:noProof/>
                <w:color w:val="000000"/>
                <w:highlight w:val="black"/>
              </w:rPr>
              <w:t>''''''''''''''</w:t>
            </w:r>
            <w:r w:rsidR="003631DC">
              <w:rPr>
                <w:vertAlign w:val="superscript"/>
              </w:rPr>
              <w:t>3</w:t>
            </w:r>
            <w:r w:rsidRPr="00354F5E">
              <w:rPr>
                <w:iCs/>
              </w:rPr>
              <w:t>) and grandfathered patients (</w:t>
            </w:r>
            <w:r w:rsidR="00EA095E">
              <w:rPr>
                <w:iCs/>
                <w:noProof/>
                <w:color w:val="000000"/>
                <w:highlight w:val="black"/>
              </w:rPr>
              <w:t>'''''''''''''</w:t>
            </w:r>
            <w:r w:rsidR="003631DC">
              <w:rPr>
                <w:vertAlign w:val="superscript"/>
              </w:rPr>
              <w:t>3</w:t>
            </w:r>
            <w:r w:rsidRPr="00354F5E">
              <w:rPr>
                <w:iCs/>
              </w:rPr>
              <w:t>).</w:t>
            </w:r>
            <w:r w:rsidR="00B06C5D" w:rsidRPr="00354F5E">
              <w:rPr>
                <w:iCs/>
              </w:rPr>
              <w:t xml:space="preserve"> The submission also assumed ‘monthly’ dosing of SEC after the loading doses (corresponding to 14 / year), rather than ‘every 4 weeks’ (corresponding to 14.5 / year).</w:t>
            </w:r>
          </w:p>
        </w:tc>
      </w:tr>
      <w:tr w:rsidR="00F647B5" w:rsidRPr="00354F5E" w:rsidTr="00F647B5">
        <w:tc>
          <w:tcPr>
            <w:tcW w:w="831" w:type="pct"/>
            <w:vAlign w:val="center"/>
          </w:tcPr>
          <w:p w:rsidR="00F647B5" w:rsidRPr="00354F5E" w:rsidRDefault="00F647B5" w:rsidP="00D12336">
            <w:pPr>
              <w:pStyle w:val="TableText0"/>
              <w:keepNext w:val="0"/>
            </w:pPr>
            <w:r w:rsidRPr="00354F5E">
              <w:t>JAK/bDMARD aggregate market growth (without UPA), patient-years</w:t>
            </w:r>
          </w:p>
        </w:tc>
        <w:tc>
          <w:tcPr>
            <w:tcW w:w="1918" w:type="pct"/>
            <w:vAlign w:val="center"/>
          </w:tcPr>
          <w:p w:rsidR="00F647B5" w:rsidRPr="00354F5E" w:rsidRDefault="00F647B5" w:rsidP="00D12336">
            <w:pPr>
              <w:pStyle w:val="TableText0"/>
              <w:keepNext w:val="0"/>
            </w:pPr>
            <w:r w:rsidRPr="00354F5E">
              <w:t>Yr 0 +</w:t>
            </w:r>
            <w:r w:rsidR="00EA095E">
              <w:rPr>
                <w:noProof/>
                <w:color w:val="000000"/>
                <w:highlight w:val="black"/>
              </w:rPr>
              <w:t>'''''''''''''</w:t>
            </w:r>
            <w:r w:rsidR="003631DC">
              <w:rPr>
                <w:vertAlign w:val="superscript"/>
              </w:rPr>
              <w:t>4</w:t>
            </w:r>
            <w:r w:rsidRPr="00354F5E">
              <w:t xml:space="preserve"> patient-years per annum.</w:t>
            </w:r>
          </w:p>
          <w:p w:rsidR="00F647B5" w:rsidRPr="00354F5E" w:rsidRDefault="00F647B5" w:rsidP="00D12336">
            <w:pPr>
              <w:pStyle w:val="TableText0"/>
              <w:keepNext w:val="0"/>
            </w:pPr>
            <w:r w:rsidRPr="00354F5E">
              <w:t>(proposed listing of UPA will not impact growth)</w:t>
            </w:r>
          </w:p>
          <w:p w:rsidR="00F647B5" w:rsidRPr="00354F5E" w:rsidRDefault="00F647B5" w:rsidP="00D12336">
            <w:pPr>
              <w:pStyle w:val="TableText0"/>
              <w:keepNext w:val="0"/>
            </w:pPr>
            <w:r w:rsidRPr="00354F5E">
              <w:t>Average annual growth in patient-years from 2015 to 2019 (patient-years calculated as scripts divided by scripts/year/patient), where (</w:t>
            </w:r>
            <w:r w:rsidR="00EA095E">
              <w:rPr>
                <w:noProof/>
                <w:color w:val="000000"/>
                <w:highlight w:val="black"/>
              </w:rPr>
              <w:t>'''''''''</w:t>
            </w:r>
            <w:r w:rsidR="003631DC">
              <w:rPr>
                <w:vertAlign w:val="superscript"/>
              </w:rPr>
              <w:t>3</w:t>
            </w:r>
            <w:r w:rsidRPr="00354F5E">
              <w:t xml:space="preserve"> + </w:t>
            </w:r>
            <w:r w:rsidR="00EA095E">
              <w:rPr>
                <w:noProof/>
                <w:color w:val="000000"/>
                <w:highlight w:val="black"/>
              </w:rPr>
              <w:t>''''''''''</w:t>
            </w:r>
            <w:r w:rsidR="003631DC">
              <w:rPr>
                <w:vertAlign w:val="superscript"/>
              </w:rPr>
              <w:t>4</w:t>
            </w:r>
            <w:r w:rsidRPr="00354F5E">
              <w:t xml:space="preserve"> + </w:t>
            </w:r>
            <w:r w:rsidR="00EA095E">
              <w:rPr>
                <w:noProof/>
                <w:color w:val="000000"/>
                <w:highlight w:val="black"/>
              </w:rPr>
              <w:t>'''''''''''''</w:t>
            </w:r>
            <w:r w:rsidR="003631DC">
              <w:rPr>
                <w:vertAlign w:val="superscript"/>
              </w:rPr>
              <w:t>4</w:t>
            </w:r>
            <w:r w:rsidRPr="00354F5E">
              <w:t xml:space="preserve"> + </w:t>
            </w:r>
            <w:r w:rsidR="00EA095E">
              <w:rPr>
                <w:noProof/>
                <w:color w:val="000000"/>
                <w:highlight w:val="black"/>
              </w:rPr>
              <w:t>'''''''''''''</w:t>
            </w:r>
            <w:r w:rsidR="003631DC">
              <w:rPr>
                <w:vertAlign w:val="superscript"/>
              </w:rPr>
              <w:t>4</w:t>
            </w:r>
            <w:r w:rsidRPr="00354F5E">
              <w:t xml:space="preserve">) / 4 = </w:t>
            </w:r>
            <w:r w:rsidR="00EA095E">
              <w:rPr>
                <w:noProof/>
                <w:color w:val="000000"/>
                <w:highlight w:val="black"/>
              </w:rPr>
              <w:t>'''''''''''''</w:t>
            </w:r>
            <w:r w:rsidR="003631DC">
              <w:rPr>
                <w:vertAlign w:val="superscript"/>
              </w:rPr>
              <w:t>4</w:t>
            </w:r>
            <w:r w:rsidRPr="00354F5E">
              <w:t>.</w:t>
            </w:r>
          </w:p>
        </w:tc>
        <w:tc>
          <w:tcPr>
            <w:tcW w:w="2251" w:type="pct"/>
            <w:vAlign w:val="center"/>
          </w:tcPr>
          <w:p w:rsidR="00F647B5" w:rsidRPr="00354F5E" w:rsidRDefault="00F647B5" w:rsidP="00D12336">
            <w:pPr>
              <w:pStyle w:val="TableText0"/>
              <w:keepNext w:val="0"/>
              <w:rPr>
                <w:iCs/>
              </w:rPr>
            </w:pPr>
            <w:r w:rsidRPr="00354F5E">
              <w:rPr>
                <w:iCs/>
              </w:rPr>
              <w:t xml:space="preserve">Poorly justified given the current market does not appear to be completely established. Annual market growth increased from 10% to 31% between 2015 and 2019. In contrast, the assumed constant growth in patient-years corresponds to declining growth of </w:t>
            </w:r>
            <w:r w:rsidR="00EA095E">
              <w:rPr>
                <w:iCs/>
                <w:noProof/>
                <w:color w:val="000000"/>
                <w:highlight w:val="black"/>
              </w:rPr>
              <w:t>''''''</w:t>
            </w:r>
            <w:r w:rsidRPr="00354F5E">
              <w:rPr>
                <w:iCs/>
              </w:rPr>
              <w:t xml:space="preserve">% to </w:t>
            </w:r>
            <w:r w:rsidR="00EA095E">
              <w:rPr>
                <w:iCs/>
                <w:noProof/>
                <w:color w:val="000000"/>
                <w:highlight w:val="black"/>
              </w:rPr>
              <w:t>''''</w:t>
            </w:r>
            <w:r w:rsidRPr="00354F5E">
              <w:rPr>
                <w:iCs/>
              </w:rPr>
              <w:t>% between Yr0 and Yr6 of the financial estimates.</w:t>
            </w:r>
          </w:p>
        </w:tc>
      </w:tr>
      <w:tr w:rsidR="00F647B5" w:rsidRPr="00354F5E" w:rsidTr="00F647B5">
        <w:tc>
          <w:tcPr>
            <w:tcW w:w="831" w:type="pct"/>
            <w:vAlign w:val="center"/>
          </w:tcPr>
          <w:p w:rsidR="00F647B5" w:rsidRPr="00354F5E" w:rsidRDefault="00F647B5" w:rsidP="00D12336">
            <w:pPr>
              <w:pStyle w:val="TableText0"/>
              <w:keepNext w:val="0"/>
            </w:pPr>
            <w:r w:rsidRPr="00354F5E">
              <w:t>JAK/bDMARD market share % (without UPA), patient-years</w:t>
            </w:r>
          </w:p>
        </w:tc>
        <w:tc>
          <w:tcPr>
            <w:tcW w:w="1918" w:type="pct"/>
            <w:vAlign w:val="center"/>
          </w:tcPr>
          <w:p w:rsidR="00F647B5" w:rsidRPr="00354F5E" w:rsidRDefault="00F647B5" w:rsidP="00D12336">
            <w:pPr>
              <w:pStyle w:val="TableText0"/>
              <w:keepNext w:val="0"/>
            </w:pPr>
            <w:r w:rsidRPr="00354F5E">
              <w:t>Assumption (‘commercial-in-confidence’ estimates’).</w:t>
            </w:r>
          </w:p>
        </w:tc>
        <w:tc>
          <w:tcPr>
            <w:tcW w:w="2251" w:type="pct"/>
            <w:vAlign w:val="center"/>
          </w:tcPr>
          <w:p w:rsidR="00F647B5" w:rsidRPr="00354F5E" w:rsidRDefault="00F647B5" w:rsidP="00D12336">
            <w:pPr>
              <w:pStyle w:val="TableText0"/>
              <w:keepNext w:val="0"/>
              <w:rPr>
                <w:iCs/>
              </w:rPr>
            </w:pPr>
            <w:r w:rsidRPr="00354F5E">
              <w:rPr>
                <w:iCs/>
              </w:rPr>
              <w:t>Poorly justified given the submission did not present any of th</w:t>
            </w:r>
            <w:r w:rsidR="00D4538C" w:rsidRPr="00354F5E">
              <w:rPr>
                <w:iCs/>
              </w:rPr>
              <w:t>e assumptions underpinning the</w:t>
            </w:r>
            <w:r w:rsidRPr="00354F5E">
              <w:rPr>
                <w:iCs/>
              </w:rPr>
              <w:t xml:space="preserve"> estimates. The estimates imply ADA, ETN and UST lost 7.7%, 4.3% and 2.0% of the market between 2019 and 2020 (Yr0), replaced largely by TOF, SEC and CZP.</w:t>
            </w:r>
          </w:p>
        </w:tc>
      </w:tr>
      <w:tr w:rsidR="00F647B5" w:rsidRPr="00354F5E" w:rsidTr="00F647B5">
        <w:tc>
          <w:tcPr>
            <w:tcW w:w="831" w:type="pct"/>
            <w:vAlign w:val="center"/>
          </w:tcPr>
          <w:p w:rsidR="00F647B5" w:rsidRPr="00354F5E" w:rsidRDefault="00F647B5" w:rsidP="00D12336">
            <w:pPr>
              <w:pStyle w:val="TableText0"/>
              <w:keepNext w:val="0"/>
            </w:pPr>
            <w:r w:rsidRPr="00354F5E">
              <w:t>JAK/bDMARD market growth % (without UPA), scripts</w:t>
            </w:r>
          </w:p>
        </w:tc>
        <w:tc>
          <w:tcPr>
            <w:tcW w:w="1918" w:type="pct"/>
            <w:vAlign w:val="center"/>
          </w:tcPr>
          <w:p w:rsidR="00F647B5" w:rsidRPr="00354F5E" w:rsidRDefault="00F647B5" w:rsidP="00D12336">
            <w:pPr>
              <w:pStyle w:val="TableText0"/>
              <w:keepNext w:val="0"/>
            </w:pPr>
            <w:r w:rsidRPr="00354F5E">
              <w:t>Derived from the estimated market growth (aggregate patient-years) and market share (patient-years by product) assumptions.</w:t>
            </w:r>
          </w:p>
        </w:tc>
        <w:tc>
          <w:tcPr>
            <w:tcW w:w="2251" w:type="pct"/>
            <w:vAlign w:val="center"/>
          </w:tcPr>
          <w:p w:rsidR="00F647B5" w:rsidRPr="00354F5E" w:rsidRDefault="00F647B5" w:rsidP="00100CEE">
            <w:pPr>
              <w:pStyle w:val="TableText0"/>
              <w:keepNext w:val="0"/>
              <w:rPr>
                <w:iCs/>
              </w:rPr>
            </w:pPr>
            <w:r w:rsidRPr="00354F5E">
              <w:rPr>
                <w:iCs/>
              </w:rPr>
              <w:t xml:space="preserve">The submission correctly derived the annual change in the assumed market shares (in terms of patient-years), where the Yr1 growth refers to change between Yr0 and Yr1 but did not apply the estimates correctly. The submission assumed no growth in scripts between 2019 and 2021 (Yr1), and then used the ‘Yr1’ growth rate to estimate change in scripts between Yr1 and Yr2, and the ‘Yr2’ growth rate to estimate change in scripts between Yr2 and Y3, and so on. </w:t>
            </w:r>
          </w:p>
        </w:tc>
      </w:tr>
      <w:tr w:rsidR="00F647B5" w:rsidRPr="00354F5E" w:rsidTr="00F647B5">
        <w:tc>
          <w:tcPr>
            <w:tcW w:w="831" w:type="pct"/>
            <w:vAlign w:val="center"/>
          </w:tcPr>
          <w:p w:rsidR="00F647B5" w:rsidRPr="00354F5E" w:rsidRDefault="00F647B5" w:rsidP="00D12336">
            <w:pPr>
              <w:pStyle w:val="TableText0"/>
              <w:keepNext w:val="0"/>
            </w:pPr>
            <w:r w:rsidRPr="00354F5E">
              <w:t>Displacement of JAK/bDMARDs scripts % by UPA</w:t>
            </w:r>
          </w:p>
        </w:tc>
        <w:tc>
          <w:tcPr>
            <w:tcW w:w="1918" w:type="pct"/>
            <w:vAlign w:val="center"/>
          </w:tcPr>
          <w:p w:rsidR="00F647B5" w:rsidRPr="00354F5E" w:rsidRDefault="00F647B5" w:rsidP="00D12336">
            <w:pPr>
              <w:pStyle w:val="TableText0"/>
              <w:keepNext w:val="0"/>
            </w:pPr>
            <w:r w:rsidRPr="00354F5E">
              <w:t>Assumption (‘commercial-in-confidence’ estimates’).</w:t>
            </w:r>
          </w:p>
        </w:tc>
        <w:tc>
          <w:tcPr>
            <w:tcW w:w="2251" w:type="pct"/>
            <w:vAlign w:val="center"/>
          </w:tcPr>
          <w:p w:rsidR="00F647B5" w:rsidRPr="00354F5E" w:rsidRDefault="00F647B5" w:rsidP="00D12336">
            <w:pPr>
              <w:pStyle w:val="TableText0"/>
              <w:keepNext w:val="0"/>
              <w:rPr>
                <w:iCs/>
              </w:rPr>
            </w:pPr>
            <w:r w:rsidRPr="00354F5E">
              <w:rPr>
                <w:iCs/>
              </w:rPr>
              <w:t>The submission assumed that UPA would displace treatment with TOF the most, followed by treatment with ADA/ETN/SEC/CZP/GOL, and very little displacement of IFX/UST/IXE</w:t>
            </w:r>
            <w:r w:rsidR="00354F5E">
              <w:rPr>
                <w:iCs/>
              </w:rPr>
              <w:t xml:space="preserve">. </w:t>
            </w:r>
            <w:r w:rsidRPr="00354F5E">
              <w:rPr>
                <w:iCs/>
              </w:rPr>
              <w:t>The submission assumed the same displacement rates apply equally to initial and continuing scripts.</w:t>
            </w:r>
          </w:p>
        </w:tc>
      </w:tr>
      <w:tr w:rsidR="00F647B5" w:rsidRPr="00354F5E" w:rsidTr="00F647B5">
        <w:tc>
          <w:tcPr>
            <w:tcW w:w="831" w:type="pct"/>
            <w:vAlign w:val="center"/>
          </w:tcPr>
          <w:p w:rsidR="00F647B5" w:rsidRPr="00354F5E" w:rsidRDefault="00F647B5" w:rsidP="00D12336">
            <w:pPr>
              <w:pStyle w:val="TableText0"/>
              <w:keepNext w:val="0"/>
            </w:pPr>
            <w:r w:rsidRPr="00354F5E">
              <w:t>Drug cost / script</w:t>
            </w:r>
          </w:p>
        </w:tc>
        <w:tc>
          <w:tcPr>
            <w:tcW w:w="1918" w:type="pct"/>
            <w:vAlign w:val="center"/>
          </w:tcPr>
          <w:p w:rsidR="00F647B5" w:rsidRPr="00354F5E" w:rsidRDefault="00F647B5" w:rsidP="00D12336">
            <w:pPr>
              <w:pStyle w:val="TableText0"/>
              <w:keepNext w:val="0"/>
            </w:pPr>
            <w:r w:rsidRPr="00354F5E">
              <w:t>Published DPMQ for corresponding item numbers (see above), based on new mark-ups/fees applicable from Jan 2021.</w:t>
            </w:r>
          </w:p>
        </w:tc>
        <w:tc>
          <w:tcPr>
            <w:tcW w:w="2251" w:type="pct"/>
            <w:vAlign w:val="center"/>
          </w:tcPr>
          <w:p w:rsidR="00F647B5" w:rsidRPr="00354F5E" w:rsidRDefault="00F647B5" w:rsidP="00D12336">
            <w:pPr>
              <w:pStyle w:val="TableText0"/>
              <w:keepNext w:val="0"/>
              <w:rPr>
                <w:iCs/>
              </w:rPr>
            </w:pPr>
            <w:r w:rsidRPr="00354F5E">
              <w:rPr>
                <w:iCs/>
              </w:rPr>
              <w:t>The ‘published’ DPMQs reflect wholesale/pharmacy mark-ups and dispensing fees based on the 7</w:t>
            </w:r>
            <w:r w:rsidRPr="00354F5E">
              <w:rPr>
                <w:iCs/>
                <w:vertAlign w:val="superscript"/>
              </w:rPr>
              <w:t>th</w:t>
            </w:r>
            <w:r w:rsidRPr="00354F5E">
              <w:rPr>
                <w:iCs/>
              </w:rPr>
              <w:t xml:space="preserve"> Community Pharmacy Agreement</w:t>
            </w:r>
            <w:r w:rsidR="00354F5E">
              <w:rPr>
                <w:iCs/>
              </w:rPr>
              <w:t xml:space="preserve">. </w:t>
            </w:r>
            <w:r w:rsidRPr="00354F5E">
              <w:rPr>
                <w:iCs/>
              </w:rPr>
              <w:t>The DPMQs do not reflect the effective prices for many of the substituted medications, which are subject to Special Pricing Arrangements (and weighted prices across multiple indications).</w:t>
            </w:r>
          </w:p>
          <w:p w:rsidR="00F647B5" w:rsidRPr="00354F5E" w:rsidRDefault="00F647B5" w:rsidP="00D12336">
            <w:pPr>
              <w:pStyle w:val="TableText0"/>
              <w:keepNext w:val="0"/>
              <w:rPr>
                <w:iCs/>
              </w:rPr>
            </w:pPr>
            <w:r w:rsidRPr="00354F5E">
              <w:rPr>
                <w:iCs/>
              </w:rPr>
              <w:t>The DPMQs correspond to the number of doses/script assumed in the script relativities, and do not take into account DPMQs which provide for larger quantities.</w:t>
            </w:r>
          </w:p>
          <w:p w:rsidR="00F647B5" w:rsidRPr="00354F5E" w:rsidRDefault="00F647B5" w:rsidP="00D12336">
            <w:pPr>
              <w:pStyle w:val="TableText0"/>
              <w:keepNext w:val="0"/>
              <w:rPr>
                <w:iCs/>
              </w:rPr>
            </w:pPr>
            <w:r w:rsidRPr="00354F5E">
              <w:rPr>
                <w:iCs/>
              </w:rPr>
              <w:t>The cost per script for IFX assumed (i.e. 1 x 100mg vial) was inappropriate, as it did not take into account the average number of vials required per dose (i.e. 5mg/kg corresponding to at least 4 to 5 vials per dose).</w:t>
            </w:r>
          </w:p>
        </w:tc>
      </w:tr>
    </w:tbl>
    <w:p w:rsidR="000C20B4" w:rsidRPr="00354F5E" w:rsidRDefault="000C20B4" w:rsidP="00D12336">
      <w:pPr>
        <w:pStyle w:val="TableFigureFooter"/>
      </w:pPr>
      <w:r w:rsidRPr="00354F5E">
        <w:t>Abbreviations: JAK=janus kinase; bDMARD=biologic disease modifying anti-rheumatic drug; PBS=Pharmaceutical Benefits Scheme; RPBS=Repatriation Pharmaceutical Benefits Scheme; UPA=upadacitinib; ADA=adalimumab; ETN=etanercept; IFX=infliximab; UST=ustekinumab; SEC=secukinumab; IXE=ixekizumab; CZP=certolizumab pegol; GOL=golimumab; TOF=tofacitinib; Yr=year; DPMQ=Dispensed Price Maximum Quantity; PBAC=Pharmaceutical Benefits Advisory Committee; TGA=Therapeutic Goods Administration.</w:t>
      </w:r>
    </w:p>
    <w:p w:rsidR="000C20B4" w:rsidRDefault="000C20B4" w:rsidP="00D12336">
      <w:pPr>
        <w:pStyle w:val="TableFigureFooter"/>
      </w:pPr>
      <w:r w:rsidRPr="00354F5E">
        <w:t>Source: Constructed during the evaluation from pp111-126 of the submission, and from parameters in the excel spreadsheet (‘Attachment 6_UCM-Release 3-Workbook-v105_UPA PsA(1).xlsx’).</w:t>
      </w:r>
    </w:p>
    <w:p w:rsidR="00317B13" w:rsidRPr="009868C4" w:rsidRDefault="00317B13" w:rsidP="00317B13">
      <w:pPr>
        <w:pStyle w:val="TableFigureFooter"/>
        <w:spacing w:after="0"/>
        <w:contextualSpacing w:val="0"/>
      </w:pPr>
      <w:r w:rsidRPr="009868C4">
        <w:rPr>
          <w:i/>
        </w:rPr>
        <w:t>The redacted values correspond to the following ranges</w:t>
      </w:r>
      <w:r>
        <w:rPr>
          <w:i/>
        </w:rPr>
        <w:t xml:space="preserve">: </w:t>
      </w:r>
    </w:p>
    <w:p w:rsidR="00317B13" w:rsidRDefault="003631DC" w:rsidP="00D12336">
      <w:pPr>
        <w:pStyle w:val="TableFigureFooter"/>
        <w:rPr>
          <w:i/>
        </w:rPr>
      </w:pPr>
      <w:r w:rsidRPr="003631DC">
        <w:rPr>
          <w:i/>
          <w:vertAlign w:val="superscript"/>
        </w:rPr>
        <w:t xml:space="preserve">1 </w:t>
      </w:r>
      <w:r w:rsidRPr="003631DC">
        <w:rPr>
          <w:i/>
        </w:rPr>
        <w:t>100,000 to &lt; 200,000</w:t>
      </w:r>
    </w:p>
    <w:p w:rsidR="003631DC" w:rsidRDefault="003631DC" w:rsidP="00D12336">
      <w:pPr>
        <w:pStyle w:val="TableFigureFooter"/>
        <w:rPr>
          <w:i/>
        </w:rPr>
      </w:pPr>
      <w:r>
        <w:rPr>
          <w:i/>
          <w:vertAlign w:val="superscript"/>
        </w:rPr>
        <w:t xml:space="preserve">2 </w:t>
      </w:r>
      <w:r w:rsidRPr="003631DC">
        <w:rPr>
          <w:i/>
        </w:rPr>
        <w:t>5,000 to &lt; 10,000</w:t>
      </w:r>
    </w:p>
    <w:p w:rsidR="003631DC" w:rsidRDefault="003631DC" w:rsidP="00D12336">
      <w:pPr>
        <w:pStyle w:val="TableFigureFooter"/>
        <w:rPr>
          <w:i/>
        </w:rPr>
      </w:pPr>
      <w:r>
        <w:rPr>
          <w:i/>
          <w:vertAlign w:val="superscript"/>
        </w:rPr>
        <w:t xml:space="preserve">3 </w:t>
      </w:r>
      <w:r w:rsidRPr="003631DC">
        <w:rPr>
          <w:i/>
        </w:rPr>
        <w:t>&lt; 500</w:t>
      </w:r>
    </w:p>
    <w:p w:rsidR="003631DC" w:rsidRPr="003631DC" w:rsidRDefault="003631DC" w:rsidP="00D12336">
      <w:pPr>
        <w:pStyle w:val="TableFigureFooter"/>
        <w:rPr>
          <w:i/>
        </w:rPr>
      </w:pPr>
      <w:r>
        <w:rPr>
          <w:i/>
          <w:vertAlign w:val="superscript"/>
        </w:rPr>
        <w:t xml:space="preserve">4 </w:t>
      </w:r>
      <w:r w:rsidRPr="003631DC">
        <w:rPr>
          <w:i/>
        </w:rPr>
        <w:t>500 to &lt; 5,000</w:t>
      </w:r>
    </w:p>
    <w:p w:rsidR="00B65DC3" w:rsidRPr="00354F5E" w:rsidRDefault="00771C09" w:rsidP="00D12336">
      <w:pPr>
        <w:pStyle w:val="3-BodyText"/>
      </w:pPr>
      <w:r w:rsidRPr="00354F5E">
        <w:t xml:space="preserve">Table </w:t>
      </w:r>
      <w:r w:rsidR="00C15855" w:rsidRPr="00354F5E">
        <w:t xml:space="preserve">8 </w:t>
      </w:r>
      <w:r w:rsidRPr="00354F5E">
        <w:t>summarises the estimated net financial implications for the proposed listing of UPA on the PBS/RPBS for PsA.</w:t>
      </w:r>
    </w:p>
    <w:p w:rsidR="00792579" w:rsidRPr="00354F5E" w:rsidRDefault="00792579" w:rsidP="00D12336">
      <w:pPr>
        <w:jc w:val="left"/>
        <w:rPr>
          <w:rFonts w:ascii="Arial Narrow" w:hAnsi="Arial Narrow"/>
          <w:b/>
          <w:sz w:val="20"/>
          <w:szCs w:val="20"/>
        </w:rPr>
      </w:pPr>
    </w:p>
    <w:p w:rsidR="006E0501" w:rsidRDefault="006E0501">
      <w:pPr>
        <w:jc w:val="left"/>
        <w:rPr>
          <w:rFonts w:ascii="Arial Narrow" w:hAnsi="Arial Narrow"/>
          <w:b/>
          <w:sz w:val="20"/>
          <w:szCs w:val="20"/>
        </w:rPr>
      </w:pPr>
      <w:r>
        <w:rPr>
          <w:rFonts w:ascii="Arial Narrow" w:hAnsi="Arial Narrow"/>
          <w:b/>
          <w:sz w:val="20"/>
          <w:szCs w:val="20"/>
        </w:rPr>
        <w:br w:type="page"/>
      </w:r>
    </w:p>
    <w:p w:rsidR="00B65DC3" w:rsidRPr="00354F5E" w:rsidRDefault="00B65DC3" w:rsidP="00D12336">
      <w:pPr>
        <w:rPr>
          <w:rFonts w:ascii="Arial Narrow" w:hAnsi="Arial Narrow"/>
          <w:b/>
          <w:sz w:val="20"/>
          <w:szCs w:val="20"/>
        </w:rPr>
      </w:pPr>
      <w:r w:rsidRPr="00354F5E">
        <w:rPr>
          <w:rFonts w:ascii="Arial Narrow" w:hAnsi="Arial Narrow"/>
          <w:b/>
          <w:sz w:val="20"/>
          <w:szCs w:val="20"/>
        </w:rPr>
        <w:t xml:space="preserve">Table </w:t>
      </w:r>
      <w:r w:rsidR="00C15855" w:rsidRPr="00354F5E">
        <w:rPr>
          <w:rFonts w:ascii="Arial Narrow" w:hAnsi="Arial Narrow"/>
          <w:b/>
          <w:sz w:val="20"/>
          <w:szCs w:val="20"/>
        </w:rPr>
        <w:t>8</w:t>
      </w:r>
      <w:r w:rsidRPr="00354F5E">
        <w:rPr>
          <w:rFonts w:ascii="Arial Narrow" w:hAnsi="Arial Narrow"/>
          <w:b/>
          <w:sz w:val="20"/>
          <w:szCs w:val="20"/>
        </w:rPr>
        <w:t>: Estimated use and financial implications to the PBS/RPBS for the proposed listing of UPA</w:t>
      </w:r>
    </w:p>
    <w:tbl>
      <w:tblPr>
        <w:tblStyle w:val="TableGrid"/>
        <w:tblW w:w="5000" w:type="pct"/>
        <w:tblCellMar>
          <w:left w:w="28" w:type="dxa"/>
          <w:right w:w="28" w:type="dxa"/>
        </w:tblCellMar>
        <w:tblLook w:val="04A0" w:firstRow="1" w:lastRow="0" w:firstColumn="1" w:lastColumn="0" w:noHBand="0" w:noVBand="1"/>
        <w:tblCaption w:val="Table 8: Estimated use and financial implications to the PBS/RPBS for the proposed listing of UPA"/>
      </w:tblPr>
      <w:tblGrid>
        <w:gridCol w:w="2241"/>
        <w:gridCol w:w="993"/>
        <w:gridCol w:w="1087"/>
        <w:gridCol w:w="1119"/>
        <w:gridCol w:w="1056"/>
        <w:gridCol w:w="1087"/>
        <w:gridCol w:w="1434"/>
      </w:tblGrid>
      <w:tr w:rsidR="00B65DC3" w:rsidRPr="00354F5E" w:rsidTr="003863A9">
        <w:trPr>
          <w:tblHeader/>
        </w:trPr>
        <w:tc>
          <w:tcPr>
            <w:tcW w:w="1407" w:type="pct"/>
            <w:tcBorders>
              <w:top w:val="single" w:sz="4" w:space="0" w:color="auto"/>
            </w:tcBorders>
            <w:vAlign w:val="center"/>
          </w:tcPr>
          <w:p w:rsidR="00B65DC3" w:rsidRPr="00354F5E" w:rsidRDefault="00B65DC3" w:rsidP="00D12336">
            <w:pPr>
              <w:ind w:left="246"/>
              <w:rPr>
                <w:rFonts w:ascii="Arial Narrow" w:hAnsi="Arial Narrow"/>
                <w:sz w:val="20"/>
                <w:szCs w:val="20"/>
              </w:rPr>
            </w:pPr>
          </w:p>
        </w:tc>
        <w:tc>
          <w:tcPr>
            <w:tcW w:w="486" w:type="pct"/>
            <w:tcBorders>
              <w:top w:val="single" w:sz="4" w:space="0" w:color="auto"/>
            </w:tcBorders>
            <w:shd w:val="clear" w:color="auto" w:fill="auto"/>
            <w:vAlign w:val="center"/>
          </w:tcPr>
          <w:p w:rsidR="00B65DC3" w:rsidRPr="00354F5E" w:rsidRDefault="00B65DC3" w:rsidP="00D12336">
            <w:pPr>
              <w:jc w:val="center"/>
              <w:rPr>
                <w:rFonts w:ascii="Arial Narrow" w:hAnsi="Arial Narrow"/>
                <w:sz w:val="20"/>
                <w:szCs w:val="20"/>
              </w:rPr>
            </w:pPr>
            <w:r w:rsidRPr="00354F5E">
              <w:rPr>
                <w:rFonts w:ascii="Arial Narrow" w:hAnsi="Arial Narrow"/>
                <w:b/>
                <w:bCs/>
                <w:sz w:val="20"/>
                <w:szCs w:val="20"/>
              </w:rPr>
              <w:t>Year 1</w:t>
            </w:r>
          </w:p>
        </w:tc>
        <w:tc>
          <w:tcPr>
            <w:tcW w:w="537" w:type="pct"/>
            <w:tcBorders>
              <w:top w:val="single" w:sz="4" w:space="0" w:color="auto"/>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b/>
                <w:bCs/>
                <w:sz w:val="20"/>
                <w:szCs w:val="20"/>
              </w:rPr>
              <w:t>Year 2</w:t>
            </w:r>
          </w:p>
        </w:tc>
        <w:tc>
          <w:tcPr>
            <w:tcW w:w="537" w:type="pct"/>
            <w:tcBorders>
              <w:top w:val="single" w:sz="4" w:space="0" w:color="auto"/>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b/>
                <w:bCs/>
                <w:sz w:val="20"/>
                <w:szCs w:val="20"/>
              </w:rPr>
              <w:t>Year 3</w:t>
            </w:r>
          </w:p>
        </w:tc>
        <w:tc>
          <w:tcPr>
            <w:tcW w:w="537" w:type="pct"/>
            <w:tcBorders>
              <w:top w:val="single" w:sz="4" w:space="0" w:color="auto"/>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b/>
                <w:bCs/>
                <w:sz w:val="20"/>
                <w:szCs w:val="20"/>
              </w:rPr>
              <w:t>Year 4</w:t>
            </w:r>
          </w:p>
        </w:tc>
        <w:tc>
          <w:tcPr>
            <w:tcW w:w="537" w:type="pct"/>
            <w:tcBorders>
              <w:top w:val="single" w:sz="4" w:space="0" w:color="auto"/>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b/>
                <w:bCs/>
                <w:sz w:val="20"/>
                <w:szCs w:val="20"/>
              </w:rPr>
              <w:t>Year 5</w:t>
            </w:r>
          </w:p>
        </w:tc>
        <w:tc>
          <w:tcPr>
            <w:tcW w:w="958" w:type="pct"/>
            <w:tcBorders>
              <w:top w:val="single" w:sz="4" w:space="0" w:color="auto"/>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b/>
                <w:bCs/>
                <w:sz w:val="20"/>
                <w:szCs w:val="20"/>
              </w:rPr>
              <w:t>Year 6</w:t>
            </w:r>
          </w:p>
        </w:tc>
      </w:tr>
      <w:tr w:rsidR="00B65DC3" w:rsidRPr="00354F5E" w:rsidTr="00702A8B">
        <w:tc>
          <w:tcPr>
            <w:tcW w:w="5000" w:type="pct"/>
            <w:gridSpan w:val="7"/>
            <w:tcBorders>
              <w:bottom w:val="single" w:sz="4" w:space="0" w:color="auto"/>
            </w:tcBorders>
            <w:vAlign w:val="center"/>
          </w:tcPr>
          <w:p w:rsidR="00B65DC3" w:rsidRPr="00354F5E" w:rsidRDefault="00B65DC3" w:rsidP="00D12336">
            <w:pPr>
              <w:jc w:val="left"/>
              <w:rPr>
                <w:rFonts w:ascii="Arial Narrow" w:hAnsi="Arial Narrow"/>
                <w:b/>
                <w:bCs/>
                <w:sz w:val="20"/>
                <w:szCs w:val="20"/>
              </w:rPr>
            </w:pPr>
            <w:r w:rsidRPr="00354F5E">
              <w:rPr>
                <w:rFonts w:ascii="Arial Narrow" w:hAnsi="Arial Narrow"/>
                <w:b/>
                <w:bCs/>
                <w:sz w:val="20"/>
                <w:szCs w:val="20"/>
              </w:rPr>
              <w:t>Estimation of the use and financial impact of UPA</w:t>
            </w:r>
          </w:p>
        </w:tc>
      </w:tr>
      <w:tr w:rsidR="00B65DC3" w:rsidRPr="00354F5E" w:rsidTr="003110AE">
        <w:tc>
          <w:tcPr>
            <w:tcW w:w="1407" w:type="pct"/>
            <w:tcBorders>
              <w:bottom w:val="nil"/>
            </w:tcBorders>
          </w:tcPr>
          <w:p w:rsidR="00B65DC3" w:rsidRPr="00354F5E" w:rsidRDefault="00B65DC3" w:rsidP="00D12336">
            <w:pPr>
              <w:rPr>
                <w:rFonts w:ascii="Arial Narrow" w:hAnsi="Arial Narrow"/>
                <w:sz w:val="20"/>
                <w:szCs w:val="20"/>
              </w:rPr>
            </w:pPr>
            <w:r w:rsidRPr="00354F5E">
              <w:rPr>
                <w:rFonts w:ascii="Arial Narrow" w:hAnsi="Arial Narrow"/>
                <w:sz w:val="20"/>
                <w:szCs w:val="20"/>
              </w:rPr>
              <w:t>UPA scripts</w:t>
            </w:r>
          </w:p>
        </w:tc>
        <w:tc>
          <w:tcPr>
            <w:tcW w:w="486" w:type="pct"/>
            <w:tcBorders>
              <w:bottom w:val="nil"/>
            </w:tcBorders>
            <w:vAlign w:val="center"/>
          </w:tcPr>
          <w:p w:rsidR="00B65DC3" w:rsidRPr="00420F00" w:rsidRDefault="00EA095E" w:rsidP="00D12336">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420F00">
              <w:rPr>
                <w:rFonts w:ascii="Arial Narrow" w:hAnsi="Arial Narrow"/>
                <w:sz w:val="20"/>
                <w:szCs w:val="20"/>
                <w:vertAlign w:val="superscript"/>
              </w:rPr>
              <w:t>1</w:t>
            </w:r>
          </w:p>
        </w:tc>
        <w:tc>
          <w:tcPr>
            <w:tcW w:w="537" w:type="pct"/>
            <w:tcBorders>
              <w:bottom w:val="nil"/>
            </w:tcBorders>
            <w:vAlign w:val="center"/>
          </w:tcPr>
          <w:p w:rsidR="00B65DC3" w:rsidRPr="004C2F5F" w:rsidRDefault="00EA095E" w:rsidP="00D12336">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4C2F5F">
              <w:rPr>
                <w:rFonts w:ascii="Arial Narrow" w:hAnsi="Arial Narrow"/>
                <w:sz w:val="20"/>
                <w:szCs w:val="20"/>
                <w:vertAlign w:val="superscript"/>
              </w:rPr>
              <w:t>2</w:t>
            </w:r>
          </w:p>
        </w:tc>
        <w:tc>
          <w:tcPr>
            <w:tcW w:w="537" w:type="pct"/>
            <w:tcBorders>
              <w:bottom w:val="nil"/>
            </w:tcBorders>
            <w:vAlign w:val="center"/>
          </w:tcPr>
          <w:p w:rsidR="00B65DC3" w:rsidRPr="00354F5E" w:rsidRDefault="00EA095E" w:rsidP="00D12336">
            <w:pPr>
              <w:jc w:val="center"/>
              <w:rPr>
                <w:rFonts w:ascii="Arial Narrow" w:hAnsi="Arial Narrow"/>
                <w:sz w:val="20"/>
                <w:szCs w:val="20"/>
              </w:rPr>
            </w:pPr>
            <w:r>
              <w:rPr>
                <w:rFonts w:ascii="Arial Narrow" w:hAnsi="Arial Narrow"/>
                <w:noProof/>
                <w:color w:val="000000"/>
                <w:sz w:val="20"/>
                <w:szCs w:val="20"/>
                <w:highlight w:val="black"/>
              </w:rPr>
              <w:t>'''''''''''''''</w:t>
            </w:r>
            <w:r w:rsidR="004C2F5F">
              <w:rPr>
                <w:rFonts w:ascii="Arial Narrow" w:hAnsi="Arial Narrow"/>
                <w:sz w:val="20"/>
                <w:szCs w:val="20"/>
                <w:vertAlign w:val="superscript"/>
              </w:rPr>
              <w:t>2</w:t>
            </w:r>
          </w:p>
        </w:tc>
        <w:tc>
          <w:tcPr>
            <w:tcW w:w="537" w:type="pct"/>
            <w:tcBorders>
              <w:bottom w:val="nil"/>
            </w:tcBorders>
            <w:vAlign w:val="center"/>
          </w:tcPr>
          <w:p w:rsidR="00B65DC3" w:rsidRPr="00354F5E" w:rsidRDefault="00EA095E" w:rsidP="00D12336">
            <w:pPr>
              <w:jc w:val="center"/>
              <w:rPr>
                <w:rFonts w:ascii="Arial Narrow" w:hAnsi="Arial Narrow"/>
                <w:sz w:val="20"/>
                <w:szCs w:val="20"/>
              </w:rPr>
            </w:pPr>
            <w:r>
              <w:rPr>
                <w:rFonts w:ascii="Arial Narrow" w:hAnsi="Arial Narrow"/>
                <w:noProof/>
                <w:color w:val="000000"/>
                <w:sz w:val="20"/>
                <w:szCs w:val="20"/>
                <w:highlight w:val="black"/>
              </w:rPr>
              <w:t>''''''''''''''''''</w:t>
            </w:r>
            <w:r w:rsidR="004C2F5F">
              <w:rPr>
                <w:rFonts w:ascii="Arial Narrow" w:hAnsi="Arial Narrow"/>
                <w:sz w:val="20"/>
                <w:szCs w:val="20"/>
                <w:vertAlign w:val="superscript"/>
              </w:rPr>
              <w:t>3</w:t>
            </w:r>
          </w:p>
        </w:tc>
        <w:tc>
          <w:tcPr>
            <w:tcW w:w="537" w:type="pct"/>
            <w:tcBorders>
              <w:bottom w:val="nil"/>
            </w:tcBorders>
            <w:vAlign w:val="center"/>
          </w:tcPr>
          <w:p w:rsidR="00B65DC3" w:rsidRPr="004C2F5F" w:rsidRDefault="00EA095E" w:rsidP="00D12336">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4C2F5F">
              <w:rPr>
                <w:rFonts w:ascii="Arial Narrow" w:hAnsi="Arial Narrow"/>
                <w:sz w:val="20"/>
                <w:szCs w:val="20"/>
                <w:vertAlign w:val="superscript"/>
              </w:rPr>
              <w:t>3</w:t>
            </w:r>
          </w:p>
        </w:tc>
        <w:tc>
          <w:tcPr>
            <w:tcW w:w="958" w:type="pct"/>
            <w:tcBorders>
              <w:bottom w:val="nil"/>
            </w:tcBorders>
            <w:vAlign w:val="center"/>
          </w:tcPr>
          <w:p w:rsidR="00B65DC3" w:rsidRPr="004C2F5F" w:rsidRDefault="00EA095E" w:rsidP="00D12336">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4C2F5F">
              <w:rPr>
                <w:rFonts w:ascii="Arial Narrow" w:hAnsi="Arial Narrow"/>
                <w:sz w:val="20"/>
                <w:szCs w:val="20"/>
                <w:vertAlign w:val="superscript"/>
              </w:rPr>
              <w:t>3</w:t>
            </w:r>
          </w:p>
        </w:tc>
      </w:tr>
      <w:tr w:rsidR="00B65DC3" w:rsidRPr="00354F5E" w:rsidTr="003110AE">
        <w:tc>
          <w:tcPr>
            <w:tcW w:w="1407" w:type="pct"/>
            <w:tcBorders>
              <w:top w:val="nil"/>
              <w:bottom w:val="nil"/>
            </w:tcBorders>
          </w:tcPr>
          <w:p w:rsidR="00B65DC3" w:rsidRPr="00354F5E" w:rsidRDefault="00B65DC3" w:rsidP="00D12336">
            <w:pPr>
              <w:ind w:left="104"/>
              <w:rPr>
                <w:rFonts w:ascii="Arial Narrow" w:hAnsi="Arial Narrow"/>
                <w:sz w:val="20"/>
                <w:szCs w:val="20"/>
              </w:rPr>
            </w:pPr>
            <w:r w:rsidRPr="00354F5E">
              <w:rPr>
                <w:rFonts w:ascii="Arial Narrow" w:hAnsi="Arial Narrow"/>
                <w:sz w:val="20"/>
                <w:szCs w:val="20"/>
              </w:rPr>
              <w:t>Non-grandfather patients</w:t>
            </w:r>
          </w:p>
        </w:tc>
        <w:tc>
          <w:tcPr>
            <w:tcW w:w="486" w:type="pct"/>
            <w:tcBorders>
              <w:top w:val="nil"/>
              <w:bottom w:val="nil"/>
            </w:tcBorders>
            <w:vAlign w:val="center"/>
          </w:tcPr>
          <w:p w:rsidR="00B65DC3" w:rsidRPr="004C2F5F" w:rsidRDefault="00EA095E" w:rsidP="00D12336">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4C2F5F">
              <w:rPr>
                <w:rFonts w:ascii="Arial Narrow" w:hAnsi="Arial Narrow"/>
                <w:sz w:val="20"/>
                <w:szCs w:val="20"/>
                <w:vertAlign w:val="superscript"/>
              </w:rPr>
              <w:t>4</w:t>
            </w:r>
          </w:p>
        </w:tc>
        <w:tc>
          <w:tcPr>
            <w:tcW w:w="537" w:type="pct"/>
            <w:tcBorders>
              <w:top w:val="nil"/>
              <w:bottom w:val="nil"/>
            </w:tcBorders>
            <w:vAlign w:val="center"/>
          </w:tcPr>
          <w:p w:rsidR="00B65DC3" w:rsidRPr="004C2F5F" w:rsidRDefault="00EA095E" w:rsidP="00D12336">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4C2F5F">
              <w:rPr>
                <w:rFonts w:ascii="Arial Narrow" w:hAnsi="Arial Narrow"/>
                <w:sz w:val="20"/>
                <w:szCs w:val="20"/>
                <w:vertAlign w:val="superscript"/>
              </w:rPr>
              <w:t>2</w:t>
            </w:r>
          </w:p>
        </w:tc>
        <w:tc>
          <w:tcPr>
            <w:tcW w:w="537" w:type="pct"/>
            <w:tcBorders>
              <w:top w:val="nil"/>
              <w:bottom w:val="nil"/>
            </w:tcBorders>
            <w:vAlign w:val="center"/>
          </w:tcPr>
          <w:p w:rsidR="00B65DC3" w:rsidRPr="004C2F5F" w:rsidRDefault="00EA095E" w:rsidP="00D12336">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4C2F5F">
              <w:rPr>
                <w:rFonts w:ascii="Arial Narrow" w:hAnsi="Arial Narrow"/>
                <w:sz w:val="20"/>
                <w:szCs w:val="20"/>
                <w:vertAlign w:val="superscript"/>
              </w:rPr>
              <w:t>2</w:t>
            </w:r>
          </w:p>
        </w:tc>
        <w:tc>
          <w:tcPr>
            <w:tcW w:w="537" w:type="pct"/>
            <w:tcBorders>
              <w:top w:val="nil"/>
              <w:bottom w:val="nil"/>
            </w:tcBorders>
            <w:vAlign w:val="center"/>
          </w:tcPr>
          <w:p w:rsidR="00B65DC3" w:rsidRPr="004C2F5F" w:rsidRDefault="00EA095E" w:rsidP="00D12336">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4C2F5F">
              <w:rPr>
                <w:rFonts w:ascii="Arial Narrow" w:hAnsi="Arial Narrow"/>
                <w:sz w:val="20"/>
                <w:szCs w:val="20"/>
                <w:vertAlign w:val="superscript"/>
              </w:rPr>
              <w:t>2</w:t>
            </w:r>
          </w:p>
        </w:tc>
        <w:tc>
          <w:tcPr>
            <w:tcW w:w="537" w:type="pct"/>
            <w:tcBorders>
              <w:top w:val="nil"/>
              <w:bottom w:val="nil"/>
            </w:tcBorders>
            <w:vAlign w:val="center"/>
          </w:tcPr>
          <w:p w:rsidR="00B65DC3" w:rsidRPr="004C2F5F" w:rsidRDefault="00EA095E" w:rsidP="00D12336">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4C2F5F">
              <w:rPr>
                <w:rFonts w:ascii="Arial Narrow" w:hAnsi="Arial Narrow"/>
                <w:sz w:val="20"/>
                <w:szCs w:val="20"/>
                <w:vertAlign w:val="superscript"/>
              </w:rPr>
              <w:t>3</w:t>
            </w:r>
          </w:p>
        </w:tc>
        <w:tc>
          <w:tcPr>
            <w:tcW w:w="958" w:type="pct"/>
            <w:tcBorders>
              <w:top w:val="nil"/>
              <w:bottom w:val="nil"/>
            </w:tcBorders>
            <w:vAlign w:val="center"/>
          </w:tcPr>
          <w:p w:rsidR="00B65DC3" w:rsidRPr="004C2F5F" w:rsidRDefault="00EA095E" w:rsidP="00D12336">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4C2F5F">
              <w:rPr>
                <w:rFonts w:ascii="Arial Narrow" w:hAnsi="Arial Narrow"/>
                <w:sz w:val="20"/>
                <w:szCs w:val="20"/>
                <w:vertAlign w:val="superscript"/>
              </w:rPr>
              <w:t>3</w:t>
            </w:r>
          </w:p>
        </w:tc>
      </w:tr>
      <w:tr w:rsidR="00B65DC3" w:rsidRPr="00354F5E" w:rsidTr="003110AE">
        <w:tc>
          <w:tcPr>
            <w:tcW w:w="1407" w:type="pct"/>
            <w:tcBorders>
              <w:top w:val="nil"/>
              <w:bottom w:val="nil"/>
            </w:tcBorders>
          </w:tcPr>
          <w:p w:rsidR="00B65DC3" w:rsidRPr="00354F5E" w:rsidRDefault="00B65DC3" w:rsidP="00D12336">
            <w:pPr>
              <w:ind w:left="104"/>
              <w:rPr>
                <w:rFonts w:ascii="Arial Narrow" w:hAnsi="Arial Narrow"/>
                <w:sz w:val="20"/>
                <w:szCs w:val="20"/>
              </w:rPr>
            </w:pPr>
            <w:r w:rsidRPr="00354F5E">
              <w:rPr>
                <w:rFonts w:ascii="Arial Narrow" w:hAnsi="Arial Narrow"/>
                <w:sz w:val="20"/>
                <w:szCs w:val="20"/>
              </w:rPr>
              <w:t>Grandfathered patients</w:t>
            </w:r>
          </w:p>
        </w:tc>
        <w:tc>
          <w:tcPr>
            <w:tcW w:w="486" w:type="pct"/>
            <w:tcBorders>
              <w:top w:val="nil"/>
              <w:bottom w:val="nil"/>
            </w:tcBorders>
            <w:vAlign w:val="center"/>
          </w:tcPr>
          <w:p w:rsidR="00B65DC3" w:rsidRPr="004C2F5F" w:rsidRDefault="00EA095E" w:rsidP="00D12336">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4C2F5F">
              <w:rPr>
                <w:rFonts w:ascii="Arial Narrow" w:hAnsi="Arial Narrow"/>
                <w:sz w:val="20"/>
                <w:szCs w:val="20"/>
                <w:vertAlign w:val="superscript"/>
              </w:rPr>
              <w:t>4</w:t>
            </w:r>
          </w:p>
        </w:tc>
        <w:tc>
          <w:tcPr>
            <w:tcW w:w="537" w:type="pct"/>
            <w:tcBorders>
              <w:top w:val="nil"/>
              <w:bottom w:val="nil"/>
            </w:tcBorders>
            <w:vAlign w:val="center"/>
          </w:tcPr>
          <w:p w:rsidR="00B65DC3" w:rsidRPr="004C2F5F" w:rsidRDefault="00EA095E" w:rsidP="00D12336">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4C2F5F">
              <w:rPr>
                <w:rFonts w:ascii="Arial Narrow" w:hAnsi="Arial Narrow"/>
                <w:sz w:val="20"/>
                <w:szCs w:val="20"/>
                <w:vertAlign w:val="superscript"/>
              </w:rPr>
              <w:t>4</w:t>
            </w:r>
          </w:p>
        </w:tc>
        <w:tc>
          <w:tcPr>
            <w:tcW w:w="537" w:type="pct"/>
            <w:tcBorders>
              <w:top w:val="nil"/>
              <w:bottom w:val="nil"/>
            </w:tcBorders>
            <w:vAlign w:val="center"/>
          </w:tcPr>
          <w:p w:rsidR="00B65DC3" w:rsidRPr="004C2F5F" w:rsidRDefault="00EA095E" w:rsidP="00D12336">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4C2F5F">
              <w:rPr>
                <w:rFonts w:ascii="Arial Narrow" w:hAnsi="Arial Narrow"/>
                <w:sz w:val="20"/>
                <w:szCs w:val="20"/>
                <w:vertAlign w:val="superscript"/>
              </w:rPr>
              <w:t>4</w:t>
            </w:r>
          </w:p>
        </w:tc>
        <w:tc>
          <w:tcPr>
            <w:tcW w:w="537" w:type="pct"/>
            <w:tcBorders>
              <w:top w:val="nil"/>
              <w:bottom w:val="nil"/>
            </w:tcBorders>
            <w:vAlign w:val="center"/>
          </w:tcPr>
          <w:p w:rsidR="00B65DC3" w:rsidRPr="004C2F5F" w:rsidRDefault="00EA095E" w:rsidP="00D12336">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4C2F5F">
              <w:rPr>
                <w:rFonts w:ascii="Arial Narrow" w:hAnsi="Arial Narrow"/>
                <w:sz w:val="20"/>
                <w:szCs w:val="20"/>
                <w:vertAlign w:val="superscript"/>
              </w:rPr>
              <w:t>4</w:t>
            </w:r>
          </w:p>
        </w:tc>
        <w:tc>
          <w:tcPr>
            <w:tcW w:w="537" w:type="pct"/>
            <w:tcBorders>
              <w:top w:val="nil"/>
              <w:bottom w:val="nil"/>
            </w:tcBorders>
            <w:vAlign w:val="center"/>
          </w:tcPr>
          <w:p w:rsidR="00B65DC3" w:rsidRPr="004C2F5F" w:rsidRDefault="00EA095E" w:rsidP="00D12336">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4C2F5F">
              <w:rPr>
                <w:rFonts w:ascii="Arial Narrow" w:hAnsi="Arial Narrow"/>
                <w:sz w:val="20"/>
                <w:szCs w:val="20"/>
                <w:vertAlign w:val="superscript"/>
              </w:rPr>
              <w:t>4</w:t>
            </w:r>
          </w:p>
        </w:tc>
        <w:tc>
          <w:tcPr>
            <w:tcW w:w="958" w:type="pct"/>
            <w:tcBorders>
              <w:top w:val="nil"/>
              <w:bottom w:val="nil"/>
            </w:tcBorders>
            <w:vAlign w:val="center"/>
          </w:tcPr>
          <w:p w:rsidR="00B65DC3" w:rsidRPr="00EA095E" w:rsidRDefault="00EA095E" w:rsidP="00D12336">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4C2F5F">
              <w:rPr>
                <w:rFonts w:ascii="Arial Narrow" w:hAnsi="Arial Narrow"/>
                <w:sz w:val="20"/>
                <w:szCs w:val="20"/>
                <w:vertAlign w:val="superscript"/>
              </w:rPr>
              <w:t>4</w:t>
            </w:r>
          </w:p>
        </w:tc>
      </w:tr>
      <w:tr w:rsidR="00B65DC3" w:rsidRPr="00354F5E" w:rsidTr="003110AE">
        <w:tc>
          <w:tcPr>
            <w:tcW w:w="1407" w:type="pct"/>
            <w:tcBorders>
              <w:top w:val="nil"/>
              <w:bottom w:val="nil"/>
            </w:tcBorders>
          </w:tcPr>
          <w:p w:rsidR="00B65DC3" w:rsidRPr="00354F5E" w:rsidRDefault="00B65DC3" w:rsidP="00D12336">
            <w:pPr>
              <w:rPr>
                <w:rFonts w:ascii="Arial Narrow" w:hAnsi="Arial Narrow"/>
                <w:sz w:val="20"/>
                <w:szCs w:val="20"/>
              </w:rPr>
            </w:pPr>
            <w:r w:rsidRPr="00354F5E">
              <w:rPr>
                <w:rFonts w:ascii="Arial Narrow" w:hAnsi="Arial Narrow"/>
                <w:sz w:val="20"/>
                <w:szCs w:val="20"/>
              </w:rPr>
              <w:t>Net cost PBS/RPBS, UPA</w:t>
            </w:r>
          </w:p>
        </w:tc>
        <w:tc>
          <w:tcPr>
            <w:tcW w:w="486" w:type="pct"/>
            <w:tcBorders>
              <w:top w:val="nil"/>
              <w:bottom w:val="nil"/>
            </w:tcBorders>
            <w:vAlign w:val="center"/>
          </w:tcPr>
          <w:p w:rsidR="00B65DC3" w:rsidRPr="0073040F" w:rsidRDefault="00B65DC3" w:rsidP="00D12336">
            <w:pPr>
              <w:jc w:val="center"/>
              <w:rPr>
                <w:rFonts w:ascii="Arial Narrow" w:hAnsi="Arial Narrow"/>
                <w:sz w:val="20"/>
                <w:szCs w:val="20"/>
                <w:vertAlign w:val="superscript"/>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6</w:t>
            </w:r>
          </w:p>
        </w:tc>
        <w:tc>
          <w:tcPr>
            <w:tcW w:w="537" w:type="pct"/>
            <w:tcBorders>
              <w:top w:val="nil"/>
              <w:bottom w:val="nil"/>
            </w:tcBorders>
            <w:vAlign w:val="center"/>
          </w:tcPr>
          <w:p w:rsidR="00B65DC3" w:rsidRPr="0073040F" w:rsidRDefault="00B65DC3" w:rsidP="00D12336">
            <w:pPr>
              <w:jc w:val="center"/>
              <w:rPr>
                <w:rFonts w:ascii="Arial Narrow" w:hAnsi="Arial Narrow"/>
                <w:sz w:val="20"/>
                <w:szCs w:val="20"/>
                <w:vertAlign w:val="superscript"/>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7</w:t>
            </w:r>
          </w:p>
        </w:tc>
        <w:tc>
          <w:tcPr>
            <w:tcW w:w="537" w:type="pct"/>
            <w:tcBorders>
              <w:top w:val="nil"/>
              <w:bottom w:val="nil"/>
            </w:tcBorders>
            <w:vAlign w:val="center"/>
          </w:tcPr>
          <w:p w:rsidR="00B65DC3" w:rsidRPr="0073040F" w:rsidRDefault="00B65DC3" w:rsidP="00D12336">
            <w:pPr>
              <w:jc w:val="center"/>
              <w:rPr>
                <w:rFonts w:ascii="Arial Narrow" w:hAnsi="Arial Narrow"/>
                <w:sz w:val="20"/>
                <w:szCs w:val="20"/>
                <w:vertAlign w:val="superscript"/>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8</w:t>
            </w:r>
          </w:p>
        </w:tc>
        <w:tc>
          <w:tcPr>
            <w:tcW w:w="537" w:type="pct"/>
            <w:tcBorders>
              <w:top w:val="nil"/>
              <w:bottom w:val="nil"/>
            </w:tcBorders>
            <w:vAlign w:val="center"/>
          </w:tcPr>
          <w:p w:rsidR="00B65DC3" w:rsidRPr="0073040F" w:rsidRDefault="00B65DC3" w:rsidP="00D12336">
            <w:pPr>
              <w:jc w:val="center"/>
              <w:rPr>
                <w:rFonts w:ascii="Arial Narrow" w:hAnsi="Arial Narrow"/>
                <w:sz w:val="20"/>
                <w:szCs w:val="20"/>
                <w:vertAlign w:val="superscript"/>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8</w:t>
            </w:r>
          </w:p>
        </w:tc>
        <w:tc>
          <w:tcPr>
            <w:tcW w:w="537" w:type="pct"/>
            <w:tcBorders>
              <w:top w:val="nil"/>
              <w:bottom w:val="nil"/>
            </w:tcBorders>
            <w:vAlign w:val="center"/>
          </w:tcPr>
          <w:p w:rsidR="00B65DC3" w:rsidRPr="0073040F" w:rsidRDefault="00B65DC3" w:rsidP="00D12336">
            <w:pPr>
              <w:jc w:val="center"/>
              <w:rPr>
                <w:rFonts w:ascii="Arial Narrow" w:hAnsi="Arial Narrow"/>
                <w:sz w:val="20"/>
                <w:szCs w:val="20"/>
                <w:vertAlign w:val="superscript"/>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9</w:t>
            </w:r>
          </w:p>
        </w:tc>
        <w:tc>
          <w:tcPr>
            <w:tcW w:w="958" w:type="pct"/>
            <w:tcBorders>
              <w:top w:val="nil"/>
              <w:bottom w:val="nil"/>
            </w:tcBorders>
            <w:vAlign w:val="center"/>
          </w:tcPr>
          <w:p w:rsidR="00B65DC3" w:rsidRPr="0073040F" w:rsidRDefault="00B65DC3" w:rsidP="00D12336">
            <w:pPr>
              <w:jc w:val="center"/>
              <w:rPr>
                <w:rFonts w:ascii="Arial Narrow" w:hAnsi="Arial Narrow"/>
                <w:sz w:val="20"/>
                <w:szCs w:val="20"/>
                <w:vertAlign w:val="superscript"/>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9</w:t>
            </w:r>
          </w:p>
        </w:tc>
      </w:tr>
      <w:tr w:rsidR="00B65DC3" w:rsidRPr="00354F5E" w:rsidTr="003110AE">
        <w:tc>
          <w:tcPr>
            <w:tcW w:w="1407" w:type="pct"/>
            <w:tcBorders>
              <w:top w:val="nil"/>
              <w:bottom w:val="nil"/>
            </w:tcBorders>
          </w:tcPr>
          <w:p w:rsidR="00B65DC3" w:rsidRPr="00354F5E" w:rsidRDefault="00B65DC3" w:rsidP="00D12336">
            <w:pPr>
              <w:ind w:left="104"/>
              <w:rPr>
                <w:rFonts w:ascii="Arial Narrow" w:hAnsi="Arial Narrow"/>
                <w:sz w:val="20"/>
                <w:szCs w:val="20"/>
              </w:rPr>
            </w:pPr>
            <w:r w:rsidRPr="00354F5E">
              <w:rPr>
                <w:rFonts w:ascii="Arial Narrow" w:hAnsi="Arial Narrow"/>
                <w:sz w:val="20"/>
                <w:szCs w:val="20"/>
              </w:rPr>
              <w:t>Non-grandfather patients</w:t>
            </w:r>
          </w:p>
        </w:tc>
        <w:tc>
          <w:tcPr>
            <w:tcW w:w="486" w:type="pct"/>
            <w:tcBorders>
              <w:top w:val="nil"/>
              <w:bottom w:val="nil"/>
            </w:tcBorders>
            <w:vAlign w:val="center"/>
          </w:tcPr>
          <w:p w:rsidR="00B65DC3" w:rsidRPr="0073040F" w:rsidRDefault="00B65DC3" w:rsidP="00D12336">
            <w:pPr>
              <w:jc w:val="center"/>
              <w:rPr>
                <w:rFonts w:ascii="Arial Narrow" w:hAnsi="Arial Narrow"/>
                <w:sz w:val="20"/>
                <w:szCs w:val="20"/>
                <w:vertAlign w:val="superscript"/>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6</w:t>
            </w:r>
          </w:p>
        </w:tc>
        <w:tc>
          <w:tcPr>
            <w:tcW w:w="537" w:type="pct"/>
            <w:tcBorders>
              <w:top w:val="nil"/>
              <w:bottom w:val="nil"/>
            </w:tcBorders>
            <w:vAlign w:val="center"/>
          </w:tcPr>
          <w:p w:rsidR="00B65DC3" w:rsidRPr="0073040F" w:rsidRDefault="00B65DC3" w:rsidP="00D12336">
            <w:pPr>
              <w:jc w:val="center"/>
              <w:rPr>
                <w:rFonts w:ascii="Arial Narrow" w:hAnsi="Arial Narrow"/>
                <w:sz w:val="20"/>
                <w:szCs w:val="20"/>
                <w:vertAlign w:val="superscript"/>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7</w:t>
            </w:r>
          </w:p>
        </w:tc>
        <w:tc>
          <w:tcPr>
            <w:tcW w:w="537" w:type="pct"/>
            <w:tcBorders>
              <w:top w:val="nil"/>
              <w:bottom w:val="nil"/>
            </w:tcBorders>
            <w:vAlign w:val="center"/>
          </w:tcPr>
          <w:p w:rsidR="00B65DC3" w:rsidRPr="0073040F" w:rsidRDefault="00B65DC3" w:rsidP="00D12336">
            <w:pPr>
              <w:jc w:val="center"/>
              <w:rPr>
                <w:rFonts w:ascii="Arial Narrow" w:hAnsi="Arial Narrow"/>
                <w:sz w:val="20"/>
                <w:szCs w:val="20"/>
                <w:vertAlign w:val="superscript"/>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7</w:t>
            </w:r>
          </w:p>
        </w:tc>
        <w:tc>
          <w:tcPr>
            <w:tcW w:w="537" w:type="pct"/>
            <w:tcBorders>
              <w:top w:val="nil"/>
              <w:bottom w:val="nil"/>
            </w:tcBorders>
            <w:vAlign w:val="center"/>
          </w:tcPr>
          <w:p w:rsidR="00B65DC3" w:rsidRPr="0073040F" w:rsidRDefault="00B65DC3" w:rsidP="00D12336">
            <w:pPr>
              <w:jc w:val="center"/>
              <w:rPr>
                <w:rFonts w:ascii="Arial Narrow" w:hAnsi="Arial Narrow"/>
                <w:sz w:val="20"/>
                <w:szCs w:val="20"/>
                <w:vertAlign w:val="superscript"/>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8</w:t>
            </w:r>
          </w:p>
        </w:tc>
        <w:tc>
          <w:tcPr>
            <w:tcW w:w="537" w:type="pct"/>
            <w:tcBorders>
              <w:top w:val="nil"/>
              <w:bottom w:val="nil"/>
            </w:tcBorders>
            <w:vAlign w:val="center"/>
          </w:tcPr>
          <w:p w:rsidR="00B65DC3" w:rsidRPr="0073040F" w:rsidRDefault="00B65DC3" w:rsidP="00D12336">
            <w:pPr>
              <w:jc w:val="center"/>
              <w:rPr>
                <w:rFonts w:ascii="Arial Narrow" w:hAnsi="Arial Narrow"/>
                <w:sz w:val="20"/>
                <w:szCs w:val="20"/>
                <w:vertAlign w:val="superscript"/>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8</w:t>
            </w:r>
          </w:p>
        </w:tc>
        <w:tc>
          <w:tcPr>
            <w:tcW w:w="958" w:type="pct"/>
            <w:tcBorders>
              <w:top w:val="nil"/>
              <w:bottom w:val="nil"/>
            </w:tcBorders>
            <w:vAlign w:val="center"/>
          </w:tcPr>
          <w:p w:rsidR="00B65DC3" w:rsidRPr="0073040F" w:rsidRDefault="00B65DC3" w:rsidP="00D12336">
            <w:pPr>
              <w:jc w:val="center"/>
              <w:rPr>
                <w:rFonts w:ascii="Arial Narrow" w:hAnsi="Arial Narrow"/>
                <w:sz w:val="20"/>
                <w:szCs w:val="20"/>
                <w:vertAlign w:val="superscript"/>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9</w:t>
            </w:r>
          </w:p>
        </w:tc>
      </w:tr>
      <w:tr w:rsidR="00B65DC3" w:rsidRPr="00354F5E" w:rsidTr="003110AE">
        <w:tc>
          <w:tcPr>
            <w:tcW w:w="1407" w:type="pct"/>
            <w:tcBorders>
              <w:top w:val="nil"/>
            </w:tcBorders>
          </w:tcPr>
          <w:p w:rsidR="00B65DC3" w:rsidRPr="00354F5E" w:rsidRDefault="00B65DC3" w:rsidP="00D12336">
            <w:pPr>
              <w:ind w:left="104"/>
              <w:rPr>
                <w:rFonts w:ascii="Arial Narrow" w:hAnsi="Arial Narrow"/>
                <w:sz w:val="20"/>
                <w:szCs w:val="20"/>
              </w:rPr>
            </w:pPr>
            <w:r w:rsidRPr="00354F5E">
              <w:rPr>
                <w:rFonts w:ascii="Arial Narrow" w:hAnsi="Arial Narrow"/>
                <w:sz w:val="20"/>
                <w:szCs w:val="20"/>
              </w:rPr>
              <w:t>Grandfathered patients</w:t>
            </w:r>
          </w:p>
        </w:tc>
        <w:tc>
          <w:tcPr>
            <w:tcW w:w="486" w:type="pct"/>
            <w:tcBorders>
              <w:top w:val="nil"/>
            </w:tcBorders>
            <w:vAlign w:val="center"/>
          </w:tcPr>
          <w:p w:rsidR="00B65DC3" w:rsidRPr="0073040F" w:rsidRDefault="00B65DC3" w:rsidP="00D12336">
            <w:pPr>
              <w:jc w:val="center"/>
              <w:rPr>
                <w:rFonts w:ascii="Arial Narrow" w:hAnsi="Arial Narrow"/>
                <w:sz w:val="20"/>
                <w:szCs w:val="20"/>
                <w:vertAlign w:val="superscript"/>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6</w:t>
            </w:r>
          </w:p>
        </w:tc>
        <w:tc>
          <w:tcPr>
            <w:tcW w:w="537" w:type="pct"/>
            <w:tcBorders>
              <w:top w:val="nil"/>
            </w:tcBorders>
            <w:vAlign w:val="center"/>
          </w:tcPr>
          <w:p w:rsidR="00B65DC3" w:rsidRPr="0073040F" w:rsidRDefault="00B65DC3" w:rsidP="00D12336">
            <w:pPr>
              <w:jc w:val="center"/>
              <w:rPr>
                <w:rFonts w:ascii="Arial Narrow" w:hAnsi="Arial Narrow"/>
                <w:sz w:val="20"/>
                <w:szCs w:val="20"/>
                <w:vertAlign w:val="superscript"/>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6</w:t>
            </w:r>
          </w:p>
        </w:tc>
        <w:tc>
          <w:tcPr>
            <w:tcW w:w="537" w:type="pct"/>
            <w:tcBorders>
              <w:top w:val="nil"/>
            </w:tcBorders>
            <w:vAlign w:val="center"/>
          </w:tcPr>
          <w:p w:rsidR="00B65DC3" w:rsidRPr="0073040F" w:rsidRDefault="00B65DC3" w:rsidP="00D12336">
            <w:pPr>
              <w:jc w:val="center"/>
              <w:rPr>
                <w:rFonts w:ascii="Arial Narrow" w:hAnsi="Arial Narrow"/>
                <w:sz w:val="20"/>
                <w:szCs w:val="20"/>
                <w:vertAlign w:val="superscript"/>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6</w:t>
            </w:r>
          </w:p>
        </w:tc>
        <w:tc>
          <w:tcPr>
            <w:tcW w:w="537" w:type="pct"/>
            <w:tcBorders>
              <w:top w:val="nil"/>
            </w:tcBorders>
            <w:vAlign w:val="center"/>
          </w:tcPr>
          <w:p w:rsidR="00B65DC3" w:rsidRPr="0073040F" w:rsidRDefault="00B65DC3" w:rsidP="00D12336">
            <w:pPr>
              <w:jc w:val="center"/>
              <w:rPr>
                <w:rFonts w:ascii="Arial Narrow" w:hAnsi="Arial Narrow"/>
                <w:sz w:val="20"/>
                <w:szCs w:val="20"/>
                <w:vertAlign w:val="superscript"/>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6</w:t>
            </w:r>
          </w:p>
        </w:tc>
        <w:tc>
          <w:tcPr>
            <w:tcW w:w="537" w:type="pct"/>
            <w:tcBorders>
              <w:top w:val="nil"/>
            </w:tcBorders>
            <w:vAlign w:val="center"/>
          </w:tcPr>
          <w:p w:rsidR="00B65DC3" w:rsidRPr="0073040F" w:rsidRDefault="00B65DC3" w:rsidP="00D12336">
            <w:pPr>
              <w:jc w:val="center"/>
              <w:rPr>
                <w:rFonts w:ascii="Arial Narrow" w:hAnsi="Arial Narrow"/>
                <w:sz w:val="20"/>
                <w:szCs w:val="20"/>
                <w:vertAlign w:val="superscript"/>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6</w:t>
            </w:r>
          </w:p>
        </w:tc>
        <w:tc>
          <w:tcPr>
            <w:tcW w:w="958" w:type="pct"/>
            <w:tcBorders>
              <w:top w:val="nil"/>
            </w:tcBorders>
            <w:vAlign w:val="center"/>
          </w:tcPr>
          <w:p w:rsidR="00B65DC3" w:rsidRPr="0073040F" w:rsidRDefault="00B65DC3" w:rsidP="00D12336">
            <w:pPr>
              <w:jc w:val="center"/>
              <w:rPr>
                <w:rFonts w:ascii="Arial Narrow" w:hAnsi="Arial Narrow"/>
                <w:sz w:val="20"/>
                <w:szCs w:val="20"/>
                <w:vertAlign w:val="superscript"/>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6</w:t>
            </w:r>
          </w:p>
        </w:tc>
      </w:tr>
      <w:tr w:rsidR="00B65DC3" w:rsidRPr="00354F5E" w:rsidTr="00702A8B">
        <w:tc>
          <w:tcPr>
            <w:tcW w:w="5000" w:type="pct"/>
            <w:gridSpan w:val="7"/>
            <w:tcBorders>
              <w:bottom w:val="single" w:sz="4" w:space="0" w:color="auto"/>
            </w:tcBorders>
            <w:vAlign w:val="center"/>
          </w:tcPr>
          <w:p w:rsidR="00B65DC3" w:rsidRPr="00354F5E" w:rsidRDefault="00B65DC3" w:rsidP="00D12336">
            <w:pPr>
              <w:jc w:val="left"/>
              <w:rPr>
                <w:rFonts w:ascii="Arial Narrow" w:hAnsi="Arial Narrow"/>
                <w:b/>
                <w:bCs/>
                <w:sz w:val="20"/>
                <w:szCs w:val="20"/>
              </w:rPr>
            </w:pPr>
            <w:r w:rsidRPr="00354F5E">
              <w:rPr>
                <w:rFonts w:ascii="Arial Narrow" w:hAnsi="Arial Narrow"/>
                <w:b/>
                <w:bCs/>
                <w:sz w:val="20"/>
                <w:szCs w:val="20"/>
              </w:rPr>
              <w:t>Estimation of changes in use and financial impact of JAK inhibitors / bDMARDs</w:t>
            </w:r>
          </w:p>
        </w:tc>
      </w:tr>
      <w:tr w:rsidR="00B65DC3" w:rsidRPr="00354F5E" w:rsidTr="003110AE">
        <w:tc>
          <w:tcPr>
            <w:tcW w:w="1407" w:type="pct"/>
            <w:tcBorders>
              <w:bottom w:val="nil"/>
            </w:tcBorders>
            <w:vAlign w:val="center"/>
          </w:tcPr>
          <w:p w:rsidR="00B65DC3" w:rsidRPr="00354F5E" w:rsidRDefault="00B65DC3" w:rsidP="00D12336">
            <w:pPr>
              <w:rPr>
                <w:rFonts w:ascii="Arial Narrow" w:hAnsi="Arial Narrow"/>
                <w:sz w:val="20"/>
                <w:szCs w:val="20"/>
              </w:rPr>
            </w:pPr>
            <w:r w:rsidRPr="00354F5E">
              <w:rPr>
                <w:rFonts w:ascii="Arial Narrow" w:hAnsi="Arial Narrow"/>
                <w:sz w:val="20"/>
                <w:szCs w:val="20"/>
              </w:rPr>
              <w:t>JAK / bDMARD scripts</w:t>
            </w:r>
          </w:p>
        </w:tc>
        <w:tc>
          <w:tcPr>
            <w:tcW w:w="486" w:type="pct"/>
            <w:tcBorders>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r w:rsidRPr="00354F5E">
              <w:rPr>
                <w:rFonts w:ascii="Arial Narrow" w:hAnsi="Arial Narrow"/>
                <w:sz w:val="20"/>
                <w:szCs w:val="20"/>
              </w:rPr>
              <w:t xml:space="preserve"> </w:t>
            </w:r>
          </w:p>
        </w:tc>
        <w:tc>
          <w:tcPr>
            <w:tcW w:w="537" w:type="pct"/>
            <w:tcBorders>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2</w:t>
            </w:r>
          </w:p>
        </w:tc>
        <w:tc>
          <w:tcPr>
            <w:tcW w:w="537" w:type="pct"/>
            <w:tcBorders>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2</w:t>
            </w:r>
          </w:p>
        </w:tc>
        <w:tc>
          <w:tcPr>
            <w:tcW w:w="537" w:type="pct"/>
            <w:tcBorders>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2</w:t>
            </w:r>
          </w:p>
        </w:tc>
        <w:tc>
          <w:tcPr>
            <w:tcW w:w="537" w:type="pct"/>
            <w:tcBorders>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3</w:t>
            </w:r>
          </w:p>
        </w:tc>
        <w:tc>
          <w:tcPr>
            <w:tcW w:w="958" w:type="pct"/>
            <w:tcBorders>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3</w:t>
            </w:r>
          </w:p>
        </w:tc>
      </w:tr>
      <w:tr w:rsidR="00B65DC3" w:rsidRPr="00354F5E" w:rsidTr="003110AE">
        <w:tc>
          <w:tcPr>
            <w:tcW w:w="1407" w:type="pct"/>
            <w:tcBorders>
              <w:top w:val="nil"/>
              <w:bottom w:val="nil"/>
            </w:tcBorders>
            <w:vAlign w:val="center"/>
          </w:tcPr>
          <w:p w:rsidR="00B65DC3" w:rsidRPr="00354F5E" w:rsidRDefault="00B65DC3" w:rsidP="00D12336">
            <w:pPr>
              <w:ind w:left="104"/>
              <w:rPr>
                <w:rFonts w:ascii="Arial Narrow" w:hAnsi="Arial Narrow"/>
                <w:sz w:val="20"/>
                <w:szCs w:val="20"/>
              </w:rPr>
            </w:pPr>
            <w:r w:rsidRPr="00354F5E">
              <w:rPr>
                <w:rFonts w:ascii="Arial Narrow" w:hAnsi="Arial Narrow"/>
                <w:sz w:val="20"/>
                <w:szCs w:val="20"/>
              </w:rPr>
              <w:t>ADA</w:t>
            </w:r>
          </w:p>
        </w:tc>
        <w:tc>
          <w:tcPr>
            <w:tcW w:w="486"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w:t>
            </w:r>
          </w:p>
        </w:tc>
        <w:tc>
          <w:tcPr>
            <w:tcW w:w="958"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w:t>
            </w:r>
          </w:p>
        </w:tc>
      </w:tr>
      <w:tr w:rsidR="00B65DC3" w:rsidRPr="00354F5E" w:rsidTr="003110AE">
        <w:tc>
          <w:tcPr>
            <w:tcW w:w="1407" w:type="pct"/>
            <w:tcBorders>
              <w:top w:val="nil"/>
              <w:bottom w:val="nil"/>
            </w:tcBorders>
            <w:vAlign w:val="center"/>
          </w:tcPr>
          <w:p w:rsidR="00B65DC3" w:rsidRPr="00354F5E" w:rsidRDefault="00B65DC3" w:rsidP="00D12336">
            <w:pPr>
              <w:ind w:left="104"/>
              <w:rPr>
                <w:rFonts w:ascii="Arial Narrow" w:hAnsi="Arial Narrow"/>
                <w:sz w:val="20"/>
                <w:szCs w:val="20"/>
              </w:rPr>
            </w:pPr>
            <w:r w:rsidRPr="00354F5E">
              <w:rPr>
                <w:rFonts w:ascii="Arial Narrow" w:hAnsi="Arial Narrow"/>
                <w:sz w:val="20"/>
                <w:szCs w:val="20"/>
              </w:rPr>
              <w:t>ETN</w:t>
            </w:r>
          </w:p>
        </w:tc>
        <w:tc>
          <w:tcPr>
            <w:tcW w:w="486"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c>
          <w:tcPr>
            <w:tcW w:w="958"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w:t>
            </w:r>
          </w:p>
        </w:tc>
      </w:tr>
      <w:tr w:rsidR="00B65DC3" w:rsidRPr="00354F5E" w:rsidTr="003110AE">
        <w:tc>
          <w:tcPr>
            <w:tcW w:w="1407" w:type="pct"/>
            <w:tcBorders>
              <w:top w:val="nil"/>
              <w:bottom w:val="nil"/>
            </w:tcBorders>
            <w:vAlign w:val="center"/>
          </w:tcPr>
          <w:p w:rsidR="00B65DC3" w:rsidRPr="00354F5E" w:rsidRDefault="00B65DC3" w:rsidP="00D12336">
            <w:pPr>
              <w:ind w:left="104"/>
              <w:rPr>
                <w:rFonts w:ascii="Arial Narrow" w:hAnsi="Arial Narrow"/>
                <w:sz w:val="20"/>
                <w:szCs w:val="20"/>
              </w:rPr>
            </w:pPr>
            <w:r w:rsidRPr="00354F5E">
              <w:rPr>
                <w:rFonts w:ascii="Arial Narrow" w:hAnsi="Arial Narrow"/>
                <w:sz w:val="20"/>
                <w:szCs w:val="20"/>
              </w:rPr>
              <w:t>IFX</w:t>
            </w:r>
          </w:p>
        </w:tc>
        <w:tc>
          <w:tcPr>
            <w:tcW w:w="486"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p>
        </w:tc>
        <w:tc>
          <w:tcPr>
            <w:tcW w:w="958"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p>
        </w:tc>
      </w:tr>
      <w:tr w:rsidR="00B65DC3" w:rsidRPr="00354F5E" w:rsidTr="003110AE">
        <w:tc>
          <w:tcPr>
            <w:tcW w:w="1407" w:type="pct"/>
            <w:tcBorders>
              <w:top w:val="nil"/>
              <w:bottom w:val="nil"/>
            </w:tcBorders>
            <w:vAlign w:val="center"/>
          </w:tcPr>
          <w:p w:rsidR="00B65DC3" w:rsidRPr="00354F5E" w:rsidRDefault="00B65DC3" w:rsidP="00D12336">
            <w:pPr>
              <w:ind w:left="104"/>
              <w:rPr>
                <w:rFonts w:ascii="Arial Narrow" w:hAnsi="Arial Narrow"/>
                <w:sz w:val="20"/>
                <w:szCs w:val="20"/>
              </w:rPr>
            </w:pPr>
            <w:r w:rsidRPr="00354F5E">
              <w:rPr>
                <w:rFonts w:ascii="Arial Narrow" w:hAnsi="Arial Narrow"/>
                <w:sz w:val="20"/>
                <w:szCs w:val="20"/>
              </w:rPr>
              <w:t>UST</w:t>
            </w:r>
          </w:p>
        </w:tc>
        <w:tc>
          <w:tcPr>
            <w:tcW w:w="486"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p>
        </w:tc>
        <w:tc>
          <w:tcPr>
            <w:tcW w:w="958"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p>
        </w:tc>
      </w:tr>
      <w:tr w:rsidR="00B65DC3" w:rsidRPr="00354F5E" w:rsidTr="003110AE">
        <w:tc>
          <w:tcPr>
            <w:tcW w:w="1407" w:type="pct"/>
            <w:tcBorders>
              <w:top w:val="nil"/>
              <w:bottom w:val="nil"/>
            </w:tcBorders>
            <w:vAlign w:val="center"/>
          </w:tcPr>
          <w:p w:rsidR="00B65DC3" w:rsidRPr="00354F5E" w:rsidRDefault="00B65DC3" w:rsidP="00D12336">
            <w:pPr>
              <w:ind w:left="104"/>
              <w:rPr>
                <w:rFonts w:ascii="Arial Narrow" w:hAnsi="Arial Narrow"/>
                <w:sz w:val="20"/>
                <w:szCs w:val="20"/>
              </w:rPr>
            </w:pPr>
            <w:r w:rsidRPr="00354F5E">
              <w:rPr>
                <w:rFonts w:ascii="Arial Narrow" w:hAnsi="Arial Narrow"/>
                <w:sz w:val="20"/>
                <w:szCs w:val="20"/>
              </w:rPr>
              <w:t>SEC</w:t>
            </w:r>
          </w:p>
        </w:tc>
        <w:tc>
          <w:tcPr>
            <w:tcW w:w="486"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c>
          <w:tcPr>
            <w:tcW w:w="958"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w:t>
            </w:r>
          </w:p>
        </w:tc>
      </w:tr>
      <w:tr w:rsidR="00B65DC3" w:rsidRPr="00354F5E" w:rsidTr="003110AE">
        <w:tc>
          <w:tcPr>
            <w:tcW w:w="1407" w:type="pct"/>
            <w:tcBorders>
              <w:top w:val="nil"/>
              <w:bottom w:val="nil"/>
            </w:tcBorders>
            <w:vAlign w:val="center"/>
          </w:tcPr>
          <w:p w:rsidR="00B65DC3" w:rsidRPr="00354F5E" w:rsidRDefault="00B65DC3" w:rsidP="00D12336">
            <w:pPr>
              <w:ind w:left="104"/>
              <w:rPr>
                <w:rFonts w:ascii="Arial Narrow" w:hAnsi="Arial Narrow"/>
                <w:sz w:val="20"/>
                <w:szCs w:val="20"/>
              </w:rPr>
            </w:pPr>
            <w:r w:rsidRPr="00354F5E">
              <w:rPr>
                <w:rFonts w:ascii="Arial Narrow" w:hAnsi="Arial Narrow"/>
                <w:sz w:val="20"/>
                <w:szCs w:val="20"/>
              </w:rPr>
              <w:t>IXE</w:t>
            </w:r>
          </w:p>
        </w:tc>
        <w:tc>
          <w:tcPr>
            <w:tcW w:w="486"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p>
        </w:tc>
        <w:tc>
          <w:tcPr>
            <w:tcW w:w="958"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p>
        </w:tc>
      </w:tr>
      <w:tr w:rsidR="00B65DC3" w:rsidRPr="00354F5E" w:rsidTr="003110AE">
        <w:tc>
          <w:tcPr>
            <w:tcW w:w="1407" w:type="pct"/>
            <w:tcBorders>
              <w:top w:val="nil"/>
              <w:bottom w:val="nil"/>
            </w:tcBorders>
            <w:vAlign w:val="center"/>
          </w:tcPr>
          <w:p w:rsidR="00B65DC3" w:rsidRPr="00354F5E" w:rsidRDefault="00B65DC3" w:rsidP="00D12336">
            <w:pPr>
              <w:ind w:left="104"/>
              <w:rPr>
                <w:rFonts w:ascii="Arial Narrow" w:hAnsi="Arial Narrow"/>
                <w:sz w:val="20"/>
                <w:szCs w:val="20"/>
              </w:rPr>
            </w:pPr>
            <w:r w:rsidRPr="00354F5E">
              <w:rPr>
                <w:rFonts w:ascii="Arial Narrow" w:hAnsi="Arial Narrow"/>
                <w:sz w:val="20"/>
                <w:szCs w:val="20"/>
              </w:rPr>
              <w:t>CZP</w:t>
            </w:r>
          </w:p>
        </w:tc>
        <w:tc>
          <w:tcPr>
            <w:tcW w:w="486"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c>
          <w:tcPr>
            <w:tcW w:w="958"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r>
      <w:tr w:rsidR="00B65DC3" w:rsidRPr="00354F5E" w:rsidTr="003110AE">
        <w:tc>
          <w:tcPr>
            <w:tcW w:w="1407" w:type="pct"/>
            <w:tcBorders>
              <w:top w:val="nil"/>
              <w:bottom w:val="nil"/>
            </w:tcBorders>
            <w:vAlign w:val="center"/>
          </w:tcPr>
          <w:p w:rsidR="00B65DC3" w:rsidRPr="00354F5E" w:rsidRDefault="00B65DC3" w:rsidP="00D12336">
            <w:pPr>
              <w:ind w:left="104"/>
              <w:rPr>
                <w:rFonts w:ascii="Arial Narrow" w:hAnsi="Arial Narrow"/>
                <w:sz w:val="20"/>
                <w:szCs w:val="20"/>
              </w:rPr>
            </w:pPr>
            <w:r w:rsidRPr="00354F5E">
              <w:rPr>
                <w:rFonts w:ascii="Arial Narrow" w:hAnsi="Arial Narrow"/>
                <w:sz w:val="20"/>
                <w:szCs w:val="20"/>
              </w:rPr>
              <w:t>GOL</w:t>
            </w:r>
          </w:p>
        </w:tc>
        <w:tc>
          <w:tcPr>
            <w:tcW w:w="486"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c>
          <w:tcPr>
            <w:tcW w:w="958"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r>
      <w:tr w:rsidR="00B65DC3" w:rsidRPr="00354F5E" w:rsidTr="003110AE">
        <w:tc>
          <w:tcPr>
            <w:tcW w:w="1407" w:type="pct"/>
            <w:tcBorders>
              <w:top w:val="nil"/>
              <w:bottom w:val="nil"/>
            </w:tcBorders>
            <w:vAlign w:val="center"/>
          </w:tcPr>
          <w:p w:rsidR="00B65DC3" w:rsidRPr="00354F5E" w:rsidRDefault="00B65DC3" w:rsidP="00D12336">
            <w:pPr>
              <w:ind w:left="104"/>
              <w:rPr>
                <w:rFonts w:ascii="Arial Narrow" w:hAnsi="Arial Narrow"/>
                <w:sz w:val="20"/>
                <w:szCs w:val="20"/>
              </w:rPr>
            </w:pPr>
            <w:r w:rsidRPr="00354F5E">
              <w:rPr>
                <w:rFonts w:ascii="Arial Narrow" w:hAnsi="Arial Narrow"/>
                <w:sz w:val="20"/>
                <w:szCs w:val="20"/>
              </w:rPr>
              <w:t>TOF</w:t>
            </w:r>
          </w:p>
        </w:tc>
        <w:tc>
          <w:tcPr>
            <w:tcW w:w="486"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c>
          <w:tcPr>
            <w:tcW w:w="958"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r>
      <w:tr w:rsidR="00B65DC3" w:rsidRPr="00354F5E" w:rsidTr="003110AE">
        <w:tc>
          <w:tcPr>
            <w:tcW w:w="1407" w:type="pct"/>
            <w:tcBorders>
              <w:top w:val="nil"/>
            </w:tcBorders>
            <w:vAlign w:val="center"/>
          </w:tcPr>
          <w:p w:rsidR="00B65DC3" w:rsidRPr="00354F5E" w:rsidRDefault="00B65DC3" w:rsidP="00D12336">
            <w:pPr>
              <w:rPr>
                <w:rFonts w:ascii="Arial Narrow" w:hAnsi="Arial Narrow"/>
                <w:sz w:val="20"/>
                <w:szCs w:val="20"/>
              </w:rPr>
            </w:pPr>
            <w:r w:rsidRPr="00354F5E">
              <w:rPr>
                <w:rFonts w:ascii="Arial Narrow" w:hAnsi="Arial Narrow"/>
                <w:sz w:val="20"/>
                <w:szCs w:val="20"/>
              </w:rPr>
              <w:t xml:space="preserve">Net cost PBS/RPBS, JAK/bDMARDs </w:t>
            </w:r>
          </w:p>
        </w:tc>
        <w:tc>
          <w:tcPr>
            <w:tcW w:w="486" w:type="pct"/>
            <w:tcBorders>
              <w:top w:val="nil"/>
            </w:tcBorders>
            <w:vAlign w:val="center"/>
          </w:tcPr>
          <w:p w:rsidR="00B65DC3" w:rsidRPr="0073040F" w:rsidRDefault="00B65DC3" w:rsidP="00D12336">
            <w:pPr>
              <w:jc w:val="center"/>
              <w:rPr>
                <w:rFonts w:ascii="Arial Narrow" w:hAnsi="Arial Narrow"/>
                <w:sz w:val="20"/>
                <w:szCs w:val="20"/>
                <w:vertAlign w:val="superscript"/>
              </w:rPr>
            </w:pPr>
            <w:r w:rsidRPr="00354F5E">
              <w:rPr>
                <w:rFonts w:ascii="Arial Narrow" w:hAnsi="Arial Narrow"/>
                <w:sz w:val="20"/>
                <w:szCs w:val="20"/>
              </w:rPr>
              <w:t>-$</w:t>
            </w:r>
            <w:r w:rsidR="006E0501">
              <w:rPr>
                <w:rFonts w:ascii="Arial Narrow" w:hAnsi="Arial Narrow"/>
                <w:noProof/>
                <w:color w:val="000000"/>
                <w:sz w:val="20"/>
                <w:szCs w:val="20"/>
                <w:highlight w:val="black"/>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6</w:t>
            </w:r>
          </w:p>
        </w:tc>
        <w:tc>
          <w:tcPr>
            <w:tcW w:w="537" w:type="pct"/>
            <w:tcBorders>
              <w:top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6E0501">
              <w:rPr>
                <w:rFonts w:ascii="Arial Narrow" w:hAnsi="Arial Narrow"/>
                <w:noProof/>
                <w:color w:val="000000"/>
                <w:sz w:val="20"/>
                <w:szCs w:val="20"/>
                <w:highlight w:val="black"/>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7</w:t>
            </w:r>
          </w:p>
        </w:tc>
        <w:tc>
          <w:tcPr>
            <w:tcW w:w="537" w:type="pct"/>
            <w:tcBorders>
              <w:top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7</w:t>
            </w:r>
          </w:p>
        </w:tc>
        <w:tc>
          <w:tcPr>
            <w:tcW w:w="537" w:type="pct"/>
            <w:tcBorders>
              <w:top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6E0501">
              <w:rPr>
                <w:rFonts w:ascii="Arial Narrow" w:hAnsi="Arial Narrow"/>
                <w:noProof/>
                <w:color w:val="000000"/>
                <w:sz w:val="20"/>
                <w:szCs w:val="20"/>
                <w:highlight w:val="black"/>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8</w:t>
            </w:r>
          </w:p>
        </w:tc>
        <w:tc>
          <w:tcPr>
            <w:tcW w:w="537" w:type="pct"/>
            <w:tcBorders>
              <w:top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6E0501">
              <w:rPr>
                <w:rFonts w:ascii="Arial Narrow" w:hAnsi="Arial Narrow"/>
                <w:noProof/>
                <w:color w:val="000000"/>
                <w:sz w:val="20"/>
                <w:szCs w:val="20"/>
                <w:highlight w:val="black"/>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8</w:t>
            </w:r>
          </w:p>
        </w:tc>
        <w:tc>
          <w:tcPr>
            <w:tcW w:w="958" w:type="pct"/>
            <w:tcBorders>
              <w:top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8</w:t>
            </w:r>
          </w:p>
        </w:tc>
      </w:tr>
      <w:tr w:rsidR="00B65DC3" w:rsidRPr="00354F5E" w:rsidTr="00702A8B">
        <w:tc>
          <w:tcPr>
            <w:tcW w:w="5000" w:type="pct"/>
            <w:gridSpan w:val="7"/>
            <w:tcBorders>
              <w:bottom w:val="single" w:sz="4" w:space="0" w:color="auto"/>
            </w:tcBorders>
            <w:vAlign w:val="center"/>
          </w:tcPr>
          <w:p w:rsidR="00B65DC3" w:rsidRPr="00354F5E" w:rsidRDefault="00B65DC3" w:rsidP="00D12336">
            <w:pPr>
              <w:jc w:val="left"/>
              <w:rPr>
                <w:rFonts w:ascii="Arial Narrow" w:hAnsi="Arial Narrow"/>
                <w:b/>
                <w:bCs/>
                <w:sz w:val="20"/>
                <w:szCs w:val="20"/>
              </w:rPr>
            </w:pPr>
            <w:r w:rsidRPr="00354F5E">
              <w:rPr>
                <w:rFonts w:ascii="Arial Narrow" w:hAnsi="Arial Narrow"/>
                <w:b/>
                <w:bCs/>
                <w:sz w:val="20"/>
                <w:szCs w:val="20"/>
              </w:rPr>
              <w:t>Estimated financial implications for the PBS/RPBS and the health budget</w:t>
            </w:r>
          </w:p>
        </w:tc>
      </w:tr>
      <w:tr w:rsidR="00B65DC3" w:rsidRPr="00354F5E" w:rsidTr="003110AE">
        <w:tc>
          <w:tcPr>
            <w:tcW w:w="1407" w:type="pct"/>
            <w:tcBorders>
              <w:bottom w:val="nil"/>
            </w:tcBorders>
            <w:vAlign w:val="center"/>
          </w:tcPr>
          <w:p w:rsidR="00B65DC3" w:rsidRPr="00354F5E" w:rsidRDefault="00B65DC3" w:rsidP="00D12336">
            <w:pPr>
              <w:rPr>
                <w:rFonts w:ascii="Arial Narrow" w:hAnsi="Arial Narrow"/>
                <w:sz w:val="20"/>
                <w:szCs w:val="20"/>
              </w:rPr>
            </w:pPr>
            <w:r w:rsidRPr="00354F5E">
              <w:rPr>
                <w:rFonts w:ascii="Arial Narrow" w:hAnsi="Arial Narrow"/>
                <w:sz w:val="20"/>
                <w:szCs w:val="20"/>
              </w:rPr>
              <w:t>Net change in scripts</w:t>
            </w:r>
          </w:p>
        </w:tc>
        <w:tc>
          <w:tcPr>
            <w:tcW w:w="486" w:type="pct"/>
            <w:tcBorders>
              <w:bottom w:val="nil"/>
            </w:tcBorders>
            <w:vAlign w:val="center"/>
          </w:tcPr>
          <w:p w:rsidR="00B65DC3" w:rsidRPr="00354F5E" w:rsidRDefault="00EA095E" w:rsidP="00D12336">
            <w:pPr>
              <w:jc w:val="center"/>
              <w:rPr>
                <w:rFonts w:ascii="Arial Narrow" w:hAnsi="Arial Narrow"/>
                <w:sz w:val="20"/>
                <w:szCs w:val="20"/>
              </w:rPr>
            </w:pPr>
            <w:r>
              <w:rPr>
                <w:rFonts w:ascii="Arial Narrow" w:hAnsi="Arial Narrow"/>
                <w:noProof/>
                <w:color w:val="000000"/>
                <w:sz w:val="20"/>
                <w:szCs w:val="20"/>
                <w:highlight w:val="black"/>
              </w:rPr>
              <w:t>''''''''''''''</w:t>
            </w:r>
            <w:r w:rsidR="0073040F">
              <w:rPr>
                <w:rFonts w:ascii="Arial Narrow" w:hAnsi="Arial Narrow"/>
                <w:sz w:val="20"/>
                <w:szCs w:val="20"/>
                <w:vertAlign w:val="superscript"/>
              </w:rPr>
              <w:t>4</w:t>
            </w:r>
            <w:r w:rsidR="00B65DC3" w:rsidRPr="00354F5E">
              <w:rPr>
                <w:rFonts w:ascii="Arial Narrow" w:hAnsi="Arial Narrow"/>
                <w:sz w:val="20"/>
                <w:szCs w:val="20"/>
              </w:rPr>
              <w:t xml:space="preserve"> </w:t>
            </w:r>
          </w:p>
        </w:tc>
        <w:tc>
          <w:tcPr>
            <w:tcW w:w="537" w:type="pct"/>
            <w:tcBorders>
              <w:bottom w:val="nil"/>
            </w:tcBorders>
            <w:vAlign w:val="center"/>
          </w:tcPr>
          <w:p w:rsidR="00B65DC3" w:rsidRPr="00354F5E" w:rsidRDefault="00EA095E" w:rsidP="00D12336">
            <w:pPr>
              <w:jc w:val="center"/>
              <w:rPr>
                <w:rFonts w:ascii="Arial Narrow" w:hAnsi="Arial Narrow"/>
                <w:sz w:val="20"/>
                <w:szCs w:val="20"/>
              </w:rPr>
            </w:pPr>
            <w:r>
              <w:rPr>
                <w:rFonts w:ascii="Arial Narrow" w:hAnsi="Arial Narrow"/>
                <w:noProof/>
                <w:color w:val="000000"/>
                <w:sz w:val="20"/>
                <w:szCs w:val="20"/>
                <w:highlight w:val="black"/>
              </w:rPr>
              <w:t>''''''''''''''</w:t>
            </w:r>
            <w:r w:rsidR="0073040F">
              <w:rPr>
                <w:rFonts w:ascii="Arial Narrow" w:hAnsi="Arial Narrow"/>
                <w:sz w:val="20"/>
                <w:szCs w:val="20"/>
                <w:vertAlign w:val="superscript"/>
              </w:rPr>
              <w:t>4</w:t>
            </w:r>
          </w:p>
        </w:tc>
        <w:tc>
          <w:tcPr>
            <w:tcW w:w="537" w:type="pct"/>
            <w:tcBorders>
              <w:bottom w:val="nil"/>
            </w:tcBorders>
            <w:vAlign w:val="center"/>
          </w:tcPr>
          <w:p w:rsidR="00B65DC3" w:rsidRPr="00354F5E" w:rsidRDefault="00EA095E" w:rsidP="00D12336">
            <w:pPr>
              <w:jc w:val="center"/>
              <w:rPr>
                <w:rFonts w:ascii="Arial Narrow" w:hAnsi="Arial Narrow"/>
                <w:sz w:val="20"/>
                <w:szCs w:val="20"/>
              </w:rPr>
            </w:pPr>
            <w:r>
              <w:rPr>
                <w:rFonts w:ascii="Arial Narrow" w:hAnsi="Arial Narrow"/>
                <w:noProof/>
                <w:color w:val="000000"/>
                <w:sz w:val="20"/>
                <w:szCs w:val="20"/>
                <w:highlight w:val="black"/>
              </w:rPr>
              <w:t>'''''''''''''</w:t>
            </w:r>
            <w:r w:rsidR="0073040F">
              <w:rPr>
                <w:rFonts w:ascii="Arial Narrow" w:hAnsi="Arial Narrow"/>
                <w:sz w:val="20"/>
                <w:szCs w:val="20"/>
                <w:vertAlign w:val="superscript"/>
              </w:rPr>
              <w:t>4</w:t>
            </w:r>
            <w:r w:rsidR="0073040F" w:rsidRPr="00354F5E">
              <w:rPr>
                <w:rFonts w:ascii="Arial Narrow" w:hAnsi="Arial Narrow"/>
                <w:sz w:val="20"/>
                <w:szCs w:val="20"/>
              </w:rPr>
              <w:t xml:space="preserve"> </w:t>
            </w:r>
            <w:r w:rsidR="00B65DC3" w:rsidRPr="00354F5E">
              <w:rPr>
                <w:rFonts w:ascii="Arial Narrow" w:hAnsi="Arial Narrow"/>
                <w:sz w:val="20"/>
                <w:szCs w:val="20"/>
              </w:rPr>
              <w:t xml:space="preserve"> </w:t>
            </w:r>
          </w:p>
        </w:tc>
        <w:tc>
          <w:tcPr>
            <w:tcW w:w="537" w:type="pct"/>
            <w:tcBorders>
              <w:bottom w:val="nil"/>
            </w:tcBorders>
            <w:vAlign w:val="center"/>
          </w:tcPr>
          <w:p w:rsidR="00B65DC3" w:rsidRPr="00354F5E" w:rsidRDefault="00EA095E" w:rsidP="00D12336">
            <w:pPr>
              <w:jc w:val="center"/>
              <w:rPr>
                <w:rFonts w:ascii="Arial Narrow" w:hAnsi="Arial Narrow"/>
                <w:sz w:val="20"/>
                <w:szCs w:val="20"/>
              </w:rPr>
            </w:pPr>
            <w:r>
              <w:rPr>
                <w:rFonts w:ascii="Arial Narrow" w:hAnsi="Arial Narrow"/>
                <w:noProof/>
                <w:color w:val="000000"/>
                <w:sz w:val="20"/>
                <w:szCs w:val="20"/>
                <w:highlight w:val="black"/>
              </w:rPr>
              <w:t>''''''''''''''</w:t>
            </w:r>
            <w:r w:rsidR="0073040F">
              <w:rPr>
                <w:rFonts w:ascii="Arial Narrow" w:hAnsi="Arial Narrow"/>
                <w:sz w:val="20"/>
                <w:szCs w:val="20"/>
                <w:vertAlign w:val="superscript"/>
              </w:rPr>
              <w:t>4</w:t>
            </w:r>
            <w:r w:rsidR="0073040F" w:rsidRPr="00354F5E">
              <w:rPr>
                <w:rFonts w:ascii="Arial Narrow" w:hAnsi="Arial Narrow"/>
                <w:sz w:val="20"/>
                <w:szCs w:val="20"/>
              </w:rPr>
              <w:t xml:space="preserve"> </w:t>
            </w:r>
            <w:r w:rsidR="00B65DC3" w:rsidRPr="00354F5E">
              <w:rPr>
                <w:rFonts w:ascii="Arial Narrow" w:hAnsi="Arial Narrow"/>
                <w:sz w:val="20"/>
                <w:szCs w:val="20"/>
              </w:rPr>
              <w:t xml:space="preserve"> </w:t>
            </w:r>
          </w:p>
        </w:tc>
        <w:tc>
          <w:tcPr>
            <w:tcW w:w="537" w:type="pct"/>
            <w:tcBorders>
              <w:bottom w:val="nil"/>
            </w:tcBorders>
            <w:vAlign w:val="center"/>
          </w:tcPr>
          <w:p w:rsidR="00B65DC3" w:rsidRPr="00354F5E" w:rsidRDefault="00EA095E" w:rsidP="00D12336">
            <w:pPr>
              <w:jc w:val="center"/>
              <w:rPr>
                <w:rFonts w:ascii="Arial Narrow" w:hAnsi="Arial Narrow"/>
                <w:sz w:val="20"/>
                <w:szCs w:val="20"/>
              </w:rPr>
            </w:pPr>
            <w:r>
              <w:rPr>
                <w:rFonts w:ascii="Arial Narrow" w:hAnsi="Arial Narrow"/>
                <w:noProof/>
                <w:color w:val="000000"/>
                <w:sz w:val="20"/>
                <w:szCs w:val="20"/>
                <w:highlight w:val="black"/>
              </w:rPr>
              <w:t>'''''''''''''</w:t>
            </w:r>
            <w:r w:rsidR="0073040F">
              <w:rPr>
                <w:rFonts w:ascii="Arial Narrow" w:hAnsi="Arial Narrow"/>
                <w:sz w:val="20"/>
                <w:szCs w:val="20"/>
                <w:vertAlign w:val="superscript"/>
              </w:rPr>
              <w:t>4</w:t>
            </w:r>
            <w:r w:rsidR="0073040F" w:rsidRPr="00354F5E">
              <w:rPr>
                <w:rFonts w:ascii="Arial Narrow" w:hAnsi="Arial Narrow"/>
                <w:sz w:val="20"/>
                <w:szCs w:val="20"/>
              </w:rPr>
              <w:t xml:space="preserve"> </w:t>
            </w:r>
            <w:r w:rsidR="00B65DC3" w:rsidRPr="00354F5E">
              <w:rPr>
                <w:rFonts w:ascii="Arial Narrow" w:hAnsi="Arial Narrow"/>
                <w:sz w:val="20"/>
                <w:szCs w:val="20"/>
              </w:rPr>
              <w:t xml:space="preserve"> </w:t>
            </w:r>
          </w:p>
        </w:tc>
        <w:tc>
          <w:tcPr>
            <w:tcW w:w="958" w:type="pct"/>
            <w:tcBorders>
              <w:bottom w:val="nil"/>
            </w:tcBorders>
            <w:vAlign w:val="center"/>
          </w:tcPr>
          <w:p w:rsidR="00B65DC3" w:rsidRPr="00354F5E" w:rsidRDefault="00EA095E" w:rsidP="00D12336">
            <w:pPr>
              <w:jc w:val="center"/>
              <w:rPr>
                <w:rFonts w:ascii="Arial Narrow" w:hAnsi="Arial Narrow"/>
                <w:sz w:val="20"/>
                <w:szCs w:val="20"/>
              </w:rPr>
            </w:pPr>
            <w:r>
              <w:rPr>
                <w:rFonts w:ascii="Arial Narrow" w:hAnsi="Arial Narrow"/>
                <w:noProof/>
                <w:color w:val="000000"/>
                <w:sz w:val="20"/>
                <w:szCs w:val="20"/>
                <w:highlight w:val="black"/>
              </w:rPr>
              <w:t>'''''''''''''</w:t>
            </w:r>
            <w:r w:rsidR="0073040F">
              <w:rPr>
                <w:rFonts w:ascii="Arial Narrow" w:hAnsi="Arial Narrow"/>
                <w:sz w:val="20"/>
                <w:szCs w:val="20"/>
                <w:vertAlign w:val="superscript"/>
              </w:rPr>
              <w:t>4</w:t>
            </w:r>
            <w:r w:rsidR="0073040F" w:rsidRPr="00354F5E">
              <w:rPr>
                <w:rFonts w:ascii="Arial Narrow" w:hAnsi="Arial Narrow"/>
                <w:sz w:val="20"/>
                <w:szCs w:val="20"/>
              </w:rPr>
              <w:t xml:space="preserve"> </w:t>
            </w:r>
            <w:r w:rsidR="00B65DC3" w:rsidRPr="00354F5E">
              <w:rPr>
                <w:rFonts w:ascii="Arial Narrow" w:hAnsi="Arial Narrow"/>
                <w:sz w:val="20"/>
                <w:szCs w:val="20"/>
              </w:rPr>
              <w:t xml:space="preserve"> </w:t>
            </w:r>
          </w:p>
        </w:tc>
      </w:tr>
      <w:tr w:rsidR="00B65DC3" w:rsidRPr="00354F5E" w:rsidTr="003110AE">
        <w:tc>
          <w:tcPr>
            <w:tcW w:w="1407" w:type="pct"/>
            <w:tcBorders>
              <w:top w:val="nil"/>
              <w:bottom w:val="nil"/>
            </w:tcBorders>
            <w:vAlign w:val="center"/>
          </w:tcPr>
          <w:p w:rsidR="00B65DC3" w:rsidRPr="00354F5E" w:rsidRDefault="00B65DC3" w:rsidP="00D12336">
            <w:pPr>
              <w:rPr>
                <w:rFonts w:ascii="Arial Narrow" w:hAnsi="Arial Narrow"/>
                <w:sz w:val="20"/>
                <w:szCs w:val="20"/>
              </w:rPr>
            </w:pPr>
            <w:r w:rsidRPr="00354F5E">
              <w:rPr>
                <w:rFonts w:ascii="Arial Narrow" w:hAnsi="Arial Narrow"/>
                <w:sz w:val="20"/>
                <w:szCs w:val="20"/>
              </w:rPr>
              <w:t>Net change in authorities</w:t>
            </w:r>
          </w:p>
        </w:tc>
        <w:tc>
          <w:tcPr>
            <w:tcW w:w="486" w:type="pct"/>
            <w:tcBorders>
              <w:top w:val="nil"/>
              <w:bottom w:val="nil"/>
            </w:tcBorders>
            <w:vAlign w:val="center"/>
          </w:tcPr>
          <w:p w:rsidR="00B65DC3" w:rsidRPr="00354F5E" w:rsidRDefault="00EA095E" w:rsidP="00D12336">
            <w:pPr>
              <w:jc w:val="center"/>
              <w:rPr>
                <w:rFonts w:ascii="Arial Narrow" w:hAnsi="Arial Narrow"/>
                <w:sz w:val="20"/>
                <w:szCs w:val="20"/>
              </w:rPr>
            </w:pPr>
            <w:r>
              <w:rPr>
                <w:rFonts w:ascii="Arial Narrow" w:hAnsi="Arial Narrow"/>
                <w:noProof/>
                <w:color w:val="000000"/>
                <w:sz w:val="20"/>
                <w:szCs w:val="20"/>
                <w:highlight w:val="black"/>
              </w:rPr>
              <w:t>''''''''</w:t>
            </w:r>
            <w:r w:rsidR="007D7308">
              <w:rPr>
                <w:rFonts w:ascii="Arial Narrow" w:hAnsi="Arial Narrow"/>
                <w:sz w:val="20"/>
                <w:szCs w:val="20"/>
                <w:vertAlign w:val="superscript"/>
              </w:rPr>
              <w:t>10</w:t>
            </w:r>
            <w:r w:rsidR="00B65DC3" w:rsidRPr="00354F5E">
              <w:rPr>
                <w:rFonts w:ascii="Arial Narrow" w:hAnsi="Arial Narrow"/>
                <w:sz w:val="20"/>
                <w:szCs w:val="20"/>
              </w:rPr>
              <w:t xml:space="preserve"> </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r w:rsidR="007D7308" w:rsidRPr="00354F5E">
              <w:rPr>
                <w:rFonts w:ascii="Arial Narrow" w:hAnsi="Arial Narrow"/>
                <w:sz w:val="20"/>
                <w:szCs w:val="20"/>
              </w:rPr>
              <w:t xml:space="preserve"> </w:t>
            </w:r>
            <w:r w:rsidRPr="00354F5E">
              <w:rPr>
                <w:rFonts w:ascii="Arial Narrow" w:hAnsi="Arial Narrow"/>
                <w:sz w:val="20"/>
                <w:szCs w:val="20"/>
              </w:rPr>
              <w:t xml:space="preserve"> </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r w:rsidRPr="00354F5E">
              <w:rPr>
                <w:rFonts w:ascii="Arial Narrow" w:hAnsi="Arial Narrow"/>
                <w:sz w:val="20"/>
                <w:szCs w:val="20"/>
              </w:rPr>
              <w:t xml:space="preserve"> </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r w:rsidRPr="00354F5E">
              <w:rPr>
                <w:rFonts w:ascii="Arial Narrow" w:hAnsi="Arial Narrow"/>
                <w:sz w:val="20"/>
                <w:szCs w:val="20"/>
              </w:rPr>
              <w:t xml:space="preserve"> </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r w:rsidRPr="00354F5E">
              <w:rPr>
                <w:rFonts w:ascii="Arial Narrow" w:hAnsi="Arial Narrow"/>
                <w:sz w:val="20"/>
                <w:szCs w:val="20"/>
              </w:rPr>
              <w:t xml:space="preserve"> </w:t>
            </w:r>
          </w:p>
        </w:tc>
        <w:tc>
          <w:tcPr>
            <w:tcW w:w="958"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p>
        </w:tc>
      </w:tr>
      <w:tr w:rsidR="00B65DC3" w:rsidRPr="00354F5E" w:rsidTr="003110AE">
        <w:tc>
          <w:tcPr>
            <w:tcW w:w="1407" w:type="pct"/>
            <w:tcBorders>
              <w:top w:val="nil"/>
              <w:bottom w:val="nil"/>
            </w:tcBorders>
            <w:vAlign w:val="center"/>
          </w:tcPr>
          <w:p w:rsidR="00B65DC3" w:rsidRPr="00354F5E" w:rsidRDefault="00B65DC3" w:rsidP="00D12336">
            <w:pPr>
              <w:ind w:left="104"/>
              <w:rPr>
                <w:rFonts w:ascii="Arial Narrow" w:hAnsi="Arial Narrow"/>
                <w:sz w:val="20"/>
                <w:szCs w:val="20"/>
              </w:rPr>
            </w:pPr>
            <w:r w:rsidRPr="00354F5E">
              <w:rPr>
                <w:rFonts w:ascii="Arial Narrow" w:hAnsi="Arial Narrow"/>
                <w:sz w:val="20"/>
                <w:szCs w:val="20"/>
              </w:rPr>
              <w:t>Streamlined</w:t>
            </w:r>
          </w:p>
        </w:tc>
        <w:tc>
          <w:tcPr>
            <w:tcW w:w="486"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r w:rsidR="007D7308" w:rsidRPr="00354F5E">
              <w:rPr>
                <w:rFonts w:ascii="Arial Narrow" w:hAnsi="Arial Narrow"/>
                <w:sz w:val="20"/>
                <w:szCs w:val="20"/>
              </w:rPr>
              <w:t xml:space="preserve"> </w:t>
            </w:r>
            <w:r w:rsidRPr="00354F5E">
              <w:rPr>
                <w:rFonts w:ascii="Arial Narrow" w:hAnsi="Arial Narrow"/>
                <w:sz w:val="20"/>
                <w:szCs w:val="20"/>
              </w:rPr>
              <w:t xml:space="preserve"> </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r w:rsidR="007D7308" w:rsidRPr="00354F5E">
              <w:rPr>
                <w:rFonts w:ascii="Arial Narrow" w:hAnsi="Arial Narrow"/>
                <w:sz w:val="20"/>
                <w:szCs w:val="20"/>
              </w:rPr>
              <w:t xml:space="preserve"> </w:t>
            </w:r>
            <w:r w:rsidRPr="00354F5E">
              <w:rPr>
                <w:rFonts w:ascii="Arial Narrow" w:hAnsi="Arial Narrow"/>
                <w:sz w:val="20"/>
                <w:szCs w:val="20"/>
              </w:rPr>
              <w:t xml:space="preserve"> </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r w:rsidR="007D7308" w:rsidRPr="00354F5E">
              <w:rPr>
                <w:rFonts w:ascii="Arial Narrow" w:hAnsi="Arial Narrow"/>
                <w:sz w:val="20"/>
                <w:szCs w:val="20"/>
              </w:rPr>
              <w:t xml:space="preserve"> </w:t>
            </w:r>
            <w:r w:rsidRPr="00354F5E">
              <w:rPr>
                <w:rFonts w:ascii="Arial Narrow" w:hAnsi="Arial Narrow"/>
                <w:sz w:val="20"/>
                <w:szCs w:val="20"/>
              </w:rPr>
              <w:t xml:space="preserve"> </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r w:rsidR="007D7308" w:rsidRPr="00354F5E">
              <w:rPr>
                <w:rFonts w:ascii="Arial Narrow" w:hAnsi="Arial Narrow"/>
                <w:sz w:val="20"/>
                <w:szCs w:val="20"/>
              </w:rPr>
              <w:t xml:space="preserve"> </w:t>
            </w:r>
            <w:r w:rsidRPr="00354F5E">
              <w:rPr>
                <w:rFonts w:ascii="Arial Narrow" w:hAnsi="Arial Narrow"/>
                <w:sz w:val="20"/>
                <w:szCs w:val="20"/>
              </w:rPr>
              <w:t xml:space="preserve"> </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r w:rsidRPr="00354F5E">
              <w:rPr>
                <w:rFonts w:ascii="Arial Narrow" w:hAnsi="Arial Narrow"/>
                <w:sz w:val="20"/>
                <w:szCs w:val="20"/>
              </w:rPr>
              <w:t xml:space="preserve"> </w:t>
            </w:r>
          </w:p>
        </w:tc>
        <w:tc>
          <w:tcPr>
            <w:tcW w:w="958"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r w:rsidRPr="00354F5E">
              <w:rPr>
                <w:rFonts w:ascii="Arial Narrow" w:hAnsi="Arial Narrow"/>
                <w:sz w:val="20"/>
                <w:szCs w:val="20"/>
              </w:rPr>
              <w:t xml:space="preserve"> </w:t>
            </w:r>
          </w:p>
        </w:tc>
      </w:tr>
      <w:tr w:rsidR="00B65DC3" w:rsidRPr="00354F5E" w:rsidTr="003110AE">
        <w:tc>
          <w:tcPr>
            <w:tcW w:w="1407" w:type="pct"/>
            <w:tcBorders>
              <w:top w:val="nil"/>
              <w:bottom w:val="nil"/>
            </w:tcBorders>
            <w:vAlign w:val="center"/>
          </w:tcPr>
          <w:p w:rsidR="00B65DC3" w:rsidRPr="00354F5E" w:rsidRDefault="00B65DC3" w:rsidP="00D12336">
            <w:pPr>
              <w:ind w:left="104"/>
              <w:rPr>
                <w:rFonts w:ascii="Arial Narrow" w:hAnsi="Arial Narrow"/>
                <w:sz w:val="20"/>
                <w:szCs w:val="20"/>
              </w:rPr>
            </w:pPr>
            <w:r w:rsidRPr="00354F5E">
              <w:rPr>
                <w:rFonts w:ascii="Arial Narrow" w:hAnsi="Arial Narrow"/>
                <w:sz w:val="20"/>
                <w:szCs w:val="20"/>
              </w:rPr>
              <w:t>Written</w:t>
            </w:r>
          </w:p>
        </w:tc>
        <w:tc>
          <w:tcPr>
            <w:tcW w:w="486" w:type="pct"/>
            <w:tcBorders>
              <w:top w:val="nil"/>
              <w:bottom w:val="nil"/>
            </w:tcBorders>
            <w:vAlign w:val="center"/>
          </w:tcPr>
          <w:p w:rsidR="00B65DC3" w:rsidRPr="00354F5E" w:rsidRDefault="00EA095E" w:rsidP="00D12336">
            <w:pPr>
              <w:jc w:val="center"/>
              <w:rPr>
                <w:rFonts w:ascii="Arial Narrow" w:hAnsi="Arial Narrow"/>
                <w:sz w:val="20"/>
                <w:szCs w:val="20"/>
              </w:rPr>
            </w:pPr>
            <w:r>
              <w:rPr>
                <w:rFonts w:ascii="Arial Narrow" w:hAnsi="Arial Narrow"/>
                <w:noProof/>
                <w:color w:val="000000"/>
                <w:sz w:val="20"/>
                <w:szCs w:val="20"/>
                <w:highlight w:val="black"/>
              </w:rPr>
              <w:t>'''''''''</w:t>
            </w:r>
            <w:r w:rsidR="007D7308">
              <w:rPr>
                <w:rFonts w:ascii="Arial Narrow" w:hAnsi="Arial Narrow"/>
                <w:sz w:val="20"/>
                <w:szCs w:val="20"/>
                <w:vertAlign w:val="superscript"/>
              </w:rPr>
              <w:t>10</w:t>
            </w:r>
            <w:r w:rsidR="007D7308" w:rsidRPr="00354F5E">
              <w:rPr>
                <w:rFonts w:ascii="Arial Narrow" w:hAnsi="Arial Narrow"/>
                <w:sz w:val="20"/>
                <w:szCs w:val="20"/>
              </w:rPr>
              <w:t xml:space="preserve"> </w:t>
            </w:r>
            <w:r w:rsidR="00B65DC3" w:rsidRPr="00354F5E">
              <w:rPr>
                <w:rFonts w:ascii="Arial Narrow" w:hAnsi="Arial Narrow"/>
                <w:sz w:val="20"/>
                <w:szCs w:val="20"/>
              </w:rPr>
              <w:t xml:space="preserve"> </w:t>
            </w:r>
          </w:p>
        </w:tc>
        <w:tc>
          <w:tcPr>
            <w:tcW w:w="537" w:type="pct"/>
            <w:tcBorders>
              <w:top w:val="nil"/>
              <w:bottom w:val="nil"/>
            </w:tcBorders>
            <w:vAlign w:val="center"/>
          </w:tcPr>
          <w:p w:rsidR="00B65DC3" w:rsidRPr="00354F5E" w:rsidRDefault="00EA095E" w:rsidP="00D12336">
            <w:pPr>
              <w:jc w:val="center"/>
              <w:rPr>
                <w:rFonts w:ascii="Arial Narrow" w:hAnsi="Arial Narrow"/>
                <w:sz w:val="20"/>
                <w:szCs w:val="20"/>
              </w:rPr>
            </w:pPr>
            <w:r>
              <w:rPr>
                <w:rFonts w:ascii="Arial Narrow" w:hAnsi="Arial Narrow"/>
                <w:noProof/>
                <w:color w:val="000000"/>
                <w:sz w:val="20"/>
                <w:szCs w:val="20"/>
                <w:highlight w:val="black"/>
              </w:rPr>
              <w:t>'''''''</w:t>
            </w:r>
            <w:r w:rsidR="007D7308">
              <w:rPr>
                <w:rFonts w:ascii="Arial Narrow" w:hAnsi="Arial Narrow"/>
                <w:sz w:val="20"/>
                <w:szCs w:val="20"/>
                <w:vertAlign w:val="superscript"/>
              </w:rPr>
              <w:t>10</w:t>
            </w:r>
            <w:r w:rsidR="007D7308" w:rsidRPr="00354F5E">
              <w:rPr>
                <w:rFonts w:ascii="Arial Narrow" w:hAnsi="Arial Narrow"/>
                <w:sz w:val="20"/>
                <w:szCs w:val="20"/>
              </w:rPr>
              <w:t xml:space="preserve"> </w:t>
            </w:r>
            <w:r w:rsidR="00B65DC3" w:rsidRPr="00354F5E">
              <w:rPr>
                <w:rFonts w:ascii="Arial Narrow" w:hAnsi="Arial Narrow"/>
                <w:sz w:val="20"/>
                <w:szCs w:val="20"/>
              </w:rPr>
              <w:t xml:space="preserve"> </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10</w:t>
            </w:r>
            <w:r w:rsidR="007D7308" w:rsidRPr="00354F5E">
              <w:rPr>
                <w:rFonts w:ascii="Arial Narrow" w:hAnsi="Arial Narrow"/>
                <w:sz w:val="20"/>
                <w:szCs w:val="20"/>
              </w:rPr>
              <w:t xml:space="preserve"> </w:t>
            </w:r>
            <w:r w:rsidRPr="00354F5E">
              <w:rPr>
                <w:rFonts w:ascii="Arial Narrow" w:hAnsi="Arial Narrow"/>
                <w:sz w:val="20"/>
                <w:szCs w:val="20"/>
              </w:rPr>
              <w:t xml:space="preserve"> </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Pr="00354F5E">
              <w:rPr>
                <w:rFonts w:ascii="Arial Narrow" w:hAnsi="Arial Narrow"/>
                <w:sz w:val="20"/>
                <w:szCs w:val="20"/>
              </w:rPr>
              <w:t xml:space="preserve"> </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r w:rsidRPr="00354F5E">
              <w:rPr>
                <w:rFonts w:ascii="Arial Narrow" w:hAnsi="Arial Narrow"/>
                <w:sz w:val="20"/>
                <w:szCs w:val="20"/>
              </w:rPr>
              <w:t xml:space="preserve"> </w:t>
            </w:r>
          </w:p>
        </w:tc>
        <w:tc>
          <w:tcPr>
            <w:tcW w:w="958"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D7308">
              <w:rPr>
                <w:rFonts w:ascii="Arial Narrow" w:hAnsi="Arial Narrow"/>
                <w:sz w:val="20"/>
                <w:szCs w:val="20"/>
                <w:vertAlign w:val="superscript"/>
              </w:rPr>
              <w:t>4</w:t>
            </w:r>
            <w:r w:rsidRPr="00354F5E">
              <w:rPr>
                <w:rFonts w:ascii="Arial Narrow" w:hAnsi="Arial Narrow"/>
                <w:sz w:val="20"/>
                <w:szCs w:val="20"/>
              </w:rPr>
              <w:t xml:space="preserve"> </w:t>
            </w:r>
          </w:p>
        </w:tc>
      </w:tr>
      <w:tr w:rsidR="00B65DC3" w:rsidRPr="00354F5E" w:rsidTr="003110AE">
        <w:tc>
          <w:tcPr>
            <w:tcW w:w="1407" w:type="pct"/>
            <w:tcBorders>
              <w:top w:val="nil"/>
              <w:bottom w:val="nil"/>
            </w:tcBorders>
            <w:vAlign w:val="center"/>
          </w:tcPr>
          <w:p w:rsidR="00B65DC3" w:rsidRPr="00354F5E" w:rsidRDefault="00B65DC3" w:rsidP="00D12336">
            <w:pPr>
              <w:rPr>
                <w:rFonts w:ascii="Arial Narrow" w:hAnsi="Arial Narrow"/>
                <w:sz w:val="20"/>
                <w:szCs w:val="20"/>
              </w:rPr>
            </w:pPr>
            <w:r w:rsidRPr="00354F5E">
              <w:rPr>
                <w:rFonts w:ascii="Arial Narrow" w:hAnsi="Arial Narrow"/>
                <w:sz w:val="20"/>
                <w:szCs w:val="20"/>
              </w:rPr>
              <w:t>Net cost PBS/RPBS, proposed listing</w:t>
            </w:r>
          </w:p>
        </w:tc>
        <w:tc>
          <w:tcPr>
            <w:tcW w:w="486" w:type="pct"/>
            <w:tcBorders>
              <w:top w:val="nil"/>
              <w:bottom w:val="nil"/>
            </w:tcBorders>
            <w:vAlign w:val="center"/>
          </w:tcPr>
          <w:p w:rsidR="00B65DC3" w:rsidRPr="0073040F" w:rsidRDefault="00B65DC3" w:rsidP="00D12336">
            <w:pPr>
              <w:jc w:val="center"/>
              <w:rPr>
                <w:rFonts w:ascii="Arial Narrow" w:hAnsi="Arial Narrow"/>
                <w:sz w:val="20"/>
                <w:szCs w:val="20"/>
                <w:vertAlign w:val="superscript"/>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6</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6</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6</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6</w:t>
            </w:r>
          </w:p>
        </w:tc>
        <w:tc>
          <w:tcPr>
            <w:tcW w:w="537"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2D5A94">
              <w:rPr>
                <w:rFonts w:ascii="Arial Narrow" w:hAnsi="Arial Narrow"/>
                <w:noProof/>
                <w:color w:val="000000"/>
                <w:sz w:val="20"/>
                <w:szCs w:val="20"/>
                <w:highlight w:val="black"/>
              </w:rPr>
              <w:t>''''</w:t>
            </w:r>
            <w:r w:rsidR="0073040F">
              <w:rPr>
                <w:rFonts w:ascii="Arial Narrow" w:hAnsi="Arial Narrow"/>
                <w:sz w:val="20"/>
                <w:szCs w:val="20"/>
                <w:vertAlign w:val="superscript"/>
              </w:rPr>
              <w:t>6</w:t>
            </w:r>
          </w:p>
        </w:tc>
        <w:tc>
          <w:tcPr>
            <w:tcW w:w="958" w:type="pct"/>
            <w:tcBorders>
              <w:top w:val="nil"/>
              <w:bottom w:val="nil"/>
            </w:tcBorders>
            <w:vAlign w:val="center"/>
          </w:tcPr>
          <w:p w:rsidR="00B65DC3" w:rsidRPr="00354F5E" w:rsidRDefault="00B65DC3" w:rsidP="00D12336">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6</w:t>
            </w:r>
          </w:p>
        </w:tc>
      </w:tr>
      <w:tr w:rsidR="003110AE" w:rsidRPr="00354F5E" w:rsidTr="003110AE">
        <w:tc>
          <w:tcPr>
            <w:tcW w:w="1407" w:type="pct"/>
            <w:tcBorders>
              <w:top w:val="nil"/>
              <w:bottom w:val="nil"/>
            </w:tcBorders>
          </w:tcPr>
          <w:p w:rsidR="003110AE" w:rsidRPr="00354F5E" w:rsidRDefault="003110AE" w:rsidP="003110AE">
            <w:pPr>
              <w:ind w:left="104"/>
              <w:rPr>
                <w:rFonts w:ascii="Arial Narrow" w:hAnsi="Arial Narrow"/>
                <w:sz w:val="20"/>
                <w:szCs w:val="20"/>
              </w:rPr>
            </w:pPr>
            <w:r w:rsidRPr="00354F5E">
              <w:rPr>
                <w:rFonts w:ascii="Arial Narrow" w:hAnsi="Arial Narrow"/>
                <w:sz w:val="20"/>
                <w:szCs w:val="20"/>
              </w:rPr>
              <w:t>Grandfathered patients</w:t>
            </w:r>
          </w:p>
        </w:tc>
        <w:tc>
          <w:tcPr>
            <w:tcW w:w="486" w:type="pct"/>
            <w:tcBorders>
              <w:top w:val="nil"/>
              <w:bottom w:val="nil"/>
            </w:tcBorders>
            <w:vAlign w:val="center"/>
          </w:tcPr>
          <w:p w:rsidR="003110AE" w:rsidRPr="00354F5E" w:rsidRDefault="003110AE" w:rsidP="003110AE">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6</w:t>
            </w:r>
          </w:p>
        </w:tc>
        <w:tc>
          <w:tcPr>
            <w:tcW w:w="537" w:type="pct"/>
            <w:tcBorders>
              <w:top w:val="nil"/>
              <w:bottom w:val="nil"/>
            </w:tcBorders>
            <w:vAlign w:val="center"/>
          </w:tcPr>
          <w:p w:rsidR="003110AE" w:rsidRPr="00354F5E" w:rsidRDefault="003110AE" w:rsidP="003110AE">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6</w:t>
            </w:r>
          </w:p>
        </w:tc>
        <w:tc>
          <w:tcPr>
            <w:tcW w:w="537" w:type="pct"/>
            <w:tcBorders>
              <w:top w:val="nil"/>
              <w:bottom w:val="nil"/>
            </w:tcBorders>
            <w:vAlign w:val="center"/>
          </w:tcPr>
          <w:p w:rsidR="003110AE" w:rsidRPr="00354F5E" w:rsidRDefault="003110AE" w:rsidP="003110AE">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6</w:t>
            </w:r>
          </w:p>
        </w:tc>
        <w:tc>
          <w:tcPr>
            <w:tcW w:w="537" w:type="pct"/>
            <w:tcBorders>
              <w:top w:val="nil"/>
              <w:bottom w:val="nil"/>
            </w:tcBorders>
            <w:vAlign w:val="center"/>
          </w:tcPr>
          <w:p w:rsidR="003110AE" w:rsidRPr="00354F5E" w:rsidRDefault="003110AE" w:rsidP="003110AE">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6</w:t>
            </w:r>
          </w:p>
        </w:tc>
        <w:tc>
          <w:tcPr>
            <w:tcW w:w="537" w:type="pct"/>
            <w:tcBorders>
              <w:top w:val="nil"/>
              <w:bottom w:val="nil"/>
            </w:tcBorders>
            <w:vAlign w:val="center"/>
          </w:tcPr>
          <w:p w:rsidR="003110AE" w:rsidRPr="00354F5E" w:rsidRDefault="003110AE" w:rsidP="003110AE">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6</w:t>
            </w:r>
          </w:p>
        </w:tc>
        <w:tc>
          <w:tcPr>
            <w:tcW w:w="958" w:type="pct"/>
            <w:tcBorders>
              <w:top w:val="nil"/>
              <w:bottom w:val="nil"/>
            </w:tcBorders>
            <w:vAlign w:val="center"/>
          </w:tcPr>
          <w:p w:rsidR="003110AE" w:rsidRPr="00354F5E" w:rsidRDefault="003110AE" w:rsidP="003110AE">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6</w:t>
            </w:r>
          </w:p>
        </w:tc>
      </w:tr>
      <w:tr w:rsidR="003110AE" w:rsidRPr="00354F5E" w:rsidTr="003110AE">
        <w:tc>
          <w:tcPr>
            <w:tcW w:w="1407" w:type="pct"/>
            <w:tcBorders>
              <w:top w:val="nil"/>
            </w:tcBorders>
          </w:tcPr>
          <w:p w:rsidR="003110AE" w:rsidRPr="00354F5E" w:rsidRDefault="003110AE" w:rsidP="003110AE">
            <w:pPr>
              <w:ind w:left="104"/>
              <w:rPr>
                <w:rFonts w:ascii="Arial Narrow" w:hAnsi="Arial Narrow"/>
                <w:sz w:val="20"/>
                <w:szCs w:val="20"/>
              </w:rPr>
            </w:pPr>
            <w:r w:rsidRPr="00354F5E">
              <w:rPr>
                <w:rFonts w:ascii="Arial Narrow" w:hAnsi="Arial Narrow"/>
                <w:sz w:val="20"/>
                <w:szCs w:val="20"/>
              </w:rPr>
              <w:t>Non-grandfather patients</w:t>
            </w:r>
          </w:p>
        </w:tc>
        <w:tc>
          <w:tcPr>
            <w:tcW w:w="486" w:type="pct"/>
            <w:tcBorders>
              <w:top w:val="nil"/>
            </w:tcBorders>
            <w:vAlign w:val="center"/>
          </w:tcPr>
          <w:p w:rsidR="003110AE" w:rsidRPr="00354F5E" w:rsidRDefault="003110AE" w:rsidP="003110AE">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6</w:t>
            </w:r>
          </w:p>
        </w:tc>
        <w:tc>
          <w:tcPr>
            <w:tcW w:w="537" w:type="pct"/>
            <w:tcBorders>
              <w:top w:val="nil"/>
            </w:tcBorders>
            <w:vAlign w:val="center"/>
          </w:tcPr>
          <w:p w:rsidR="003110AE" w:rsidRPr="00354F5E" w:rsidRDefault="003110AE" w:rsidP="003110AE">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6</w:t>
            </w:r>
          </w:p>
        </w:tc>
        <w:tc>
          <w:tcPr>
            <w:tcW w:w="537" w:type="pct"/>
            <w:tcBorders>
              <w:top w:val="nil"/>
            </w:tcBorders>
            <w:vAlign w:val="center"/>
          </w:tcPr>
          <w:p w:rsidR="003110AE" w:rsidRPr="00354F5E" w:rsidRDefault="003110AE" w:rsidP="003110AE">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6</w:t>
            </w:r>
          </w:p>
        </w:tc>
        <w:tc>
          <w:tcPr>
            <w:tcW w:w="537" w:type="pct"/>
            <w:tcBorders>
              <w:top w:val="nil"/>
            </w:tcBorders>
            <w:vAlign w:val="center"/>
          </w:tcPr>
          <w:p w:rsidR="003110AE" w:rsidRPr="00354F5E" w:rsidRDefault="003110AE" w:rsidP="003110AE">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6</w:t>
            </w:r>
          </w:p>
        </w:tc>
        <w:tc>
          <w:tcPr>
            <w:tcW w:w="537" w:type="pct"/>
            <w:tcBorders>
              <w:top w:val="nil"/>
            </w:tcBorders>
            <w:vAlign w:val="center"/>
          </w:tcPr>
          <w:p w:rsidR="003110AE" w:rsidRPr="00354F5E" w:rsidRDefault="003110AE" w:rsidP="003110AE">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6</w:t>
            </w:r>
          </w:p>
        </w:tc>
        <w:tc>
          <w:tcPr>
            <w:tcW w:w="958" w:type="pct"/>
            <w:tcBorders>
              <w:top w:val="nil"/>
            </w:tcBorders>
            <w:vAlign w:val="center"/>
          </w:tcPr>
          <w:p w:rsidR="003110AE" w:rsidRPr="00354F5E" w:rsidRDefault="003110AE" w:rsidP="003110AE">
            <w:pPr>
              <w:jc w:val="center"/>
              <w:rPr>
                <w:rFonts w:ascii="Arial Narrow" w:hAnsi="Arial Narrow"/>
                <w:sz w:val="20"/>
                <w:szCs w:val="20"/>
              </w:rPr>
            </w:pPr>
            <w:r w:rsidRPr="00354F5E">
              <w:rPr>
                <w:rFonts w:ascii="Arial Narrow" w:hAnsi="Arial Narrow"/>
                <w:sz w:val="20"/>
                <w:szCs w:val="20"/>
              </w:rPr>
              <w:t>$</w:t>
            </w:r>
            <w:r w:rsidR="00EA095E">
              <w:rPr>
                <w:rFonts w:ascii="Arial Narrow" w:hAnsi="Arial Narrow"/>
                <w:noProof/>
                <w:color w:val="000000"/>
                <w:sz w:val="20"/>
                <w:szCs w:val="20"/>
                <w:highlight w:val="black"/>
              </w:rPr>
              <w:t>''''''''''''''''''''''</w:t>
            </w:r>
            <w:r w:rsidR="0073040F">
              <w:rPr>
                <w:rFonts w:ascii="Arial Narrow" w:hAnsi="Arial Narrow"/>
                <w:sz w:val="20"/>
                <w:szCs w:val="20"/>
                <w:vertAlign w:val="superscript"/>
              </w:rPr>
              <w:t>6</w:t>
            </w:r>
          </w:p>
        </w:tc>
      </w:tr>
    </w:tbl>
    <w:p w:rsidR="00B65DC3" w:rsidRPr="00354F5E" w:rsidRDefault="00B65DC3" w:rsidP="00D12336">
      <w:pPr>
        <w:pStyle w:val="TableFigureFooter"/>
      </w:pPr>
      <w:r w:rsidRPr="00354F5E">
        <w:t>Abbreviations: JAK=janus kinase; bDMARD=biologic disease modifying anti-rheumatic drug; PBS=Pharmaceutical Benefits Scheme; RPBS=Repatriation Pharmaceutical Benefits Scheme; UPA=upadacitinib; ADA=adalimumab; ETN=etanercept; IFX=infliximab; UST=ustekinumab; SEC=secukinumab; IXE=ixekizumab; CZP=certolizumab pegol; GOL=golimumab; TOF=tofacitinib.</w:t>
      </w:r>
    </w:p>
    <w:p w:rsidR="00B65DC3" w:rsidRDefault="00B65DC3" w:rsidP="00D12336">
      <w:pPr>
        <w:pStyle w:val="TableFigureFooter"/>
      </w:pPr>
      <w:r w:rsidRPr="00354F5E">
        <w:t>Source: Tables 4.7-4.14, pp117-125 of the submission.</w:t>
      </w:r>
    </w:p>
    <w:p w:rsidR="00420F00" w:rsidRDefault="00420F00" w:rsidP="00420F00">
      <w:pPr>
        <w:pStyle w:val="TableFigureFooter"/>
        <w:spacing w:after="0"/>
        <w:contextualSpacing w:val="0"/>
        <w:rPr>
          <w:i/>
        </w:rPr>
      </w:pPr>
      <w:r w:rsidRPr="009868C4">
        <w:rPr>
          <w:i/>
        </w:rPr>
        <w:t>The redacted values correspond to the following ranges</w:t>
      </w:r>
      <w:r>
        <w:rPr>
          <w:i/>
        </w:rPr>
        <w:t xml:space="preserve">: </w:t>
      </w:r>
    </w:p>
    <w:p w:rsidR="00420F00" w:rsidRPr="00420F00" w:rsidRDefault="00420F00" w:rsidP="00420F00">
      <w:pPr>
        <w:pStyle w:val="TableFigureFooter"/>
        <w:rPr>
          <w:i/>
          <w:szCs w:val="18"/>
        </w:rPr>
      </w:pPr>
      <w:r>
        <w:rPr>
          <w:i/>
          <w:szCs w:val="18"/>
          <w:vertAlign w:val="superscript"/>
        </w:rPr>
        <w:t xml:space="preserve">1 </w:t>
      </w:r>
      <w:r w:rsidRPr="00420F00">
        <w:rPr>
          <w:i/>
          <w:szCs w:val="18"/>
        </w:rPr>
        <w:t>5,000 to &lt; 10,000</w:t>
      </w:r>
    </w:p>
    <w:p w:rsidR="00420F00" w:rsidRPr="00420F00" w:rsidRDefault="00420F00" w:rsidP="00420F00">
      <w:pPr>
        <w:pStyle w:val="TableFigureFooter"/>
        <w:rPr>
          <w:i/>
          <w:szCs w:val="18"/>
        </w:rPr>
      </w:pPr>
      <w:r>
        <w:rPr>
          <w:i/>
          <w:szCs w:val="18"/>
          <w:vertAlign w:val="superscript"/>
        </w:rPr>
        <w:t xml:space="preserve">2 </w:t>
      </w:r>
      <w:r w:rsidRPr="00420F00">
        <w:rPr>
          <w:i/>
          <w:szCs w:val="18"/>
        </w:rPr>
        <w:t>10,000 to &lt; 20,000</w:t>
      </w:r>
    </w:p>
    <w:p w:rsidR="00420F00" w:rsidRDefault="00420F00" w:rsidP="00420F00">
      <w:pPr>
        <w:pStyle w:val="TableFigureFooter"/>
        <w:rPr>
          <w:i/>
          <w:szCs w:val="18"/>
        </w:rPr>
      </w:pPr>
      <w:r>
        <w:rPr>
          <w:i/>
          <w:szCs w:val="18"/>
          <w:vertAlign w:val="superscript"/>
        </w:rPr>
        <w:t xml:space="preserve">3 </w:t>
      </w:r>
      <w:r w:rsidRPr="00420F00">
        <w:rPr>
          <w:i/>
          <w:szCs w:val="18"/>
        </w:rPr>
        <w:t>20,000 to &lt; 30,000</w:t>
      </w:r>
    </w:p>
    <w:p w:rsidR="00420F00" w:rsidRDefault="00420F00" w:rsidP="00420F00">
      <w:pPr>
        <w:pStyle w:val="TableFigureFooter"/>
        <w:rPr>
          <w:i/>
          <w:szCs w:val="18"/>
        </w:rPr>
      </w:pPr>
      <w:r>
        <w:rPr>
          <w:i/>
          <w:szCs w:val="18"/>
          <w:vertAlign w:val="superscript"/>
        </w:rPr>
        <w:t xml:space="preserve">4 </w:t>
      </w:r>
      <w:r w:rsidRPr="00420F00">
        <w:rPr>
          <w:i/>
          <w:szCs w:val="18"/>
        </w:rPr>
        <w:t>500 to &lt; 5,000</w:t>
      </w:r>
    </w:p>
    <w:p w:rsidR="00420F00" w:rsidRDefault="00420F00" w:rsidP="00420F00">
      <w:pPr>
        <w:pStyle w:val="TableFigureFooter"/>
        <w:rPr>
          <w:i/>
          <w:szCs w:val="18"/>
        </w:rPr>
      </w:pPr>
      <w:r>
        <w:rPr>
          <w:i/>
          <w:szCs w:val="18"/>
          <w:vertAlign w:val="superscript"/>
        </w:rPr>
        <w:t xml:space="preserve">5 </w:t>
      </w:r>
      <w:r w:rsidRPr="00420F00">
        <w:rPr>
          <w:i/>
          <w:szCs w:val="18"/>
        </w:rPr>
        <w:t>$0 to &lt; $5,000</w:t>
      </w:r>
    </w:p>
    <w:p w:rsidR="00420F00" w:rsidRPr="00420F00" w:rsidRDefault="00420F00" w:rsidP="00420F00">
      <w:pPr>
        <w:pStyle w:val="TableFigureFooter"/>
        <w:rPr>
          <w:i/>
          <w:szCs w:val="18"/>
        </w:rPr>
      </w:pPr>
      <w:r>
        <w:rPr>
          <w:i/>
          <w:szCs w:val="18"/>
          <w:vertAlign w:val="superscript"/>
        </w:rPr>
        <w:t xml:space="preserve">6 </w:t>
      </w:r>
      <w:r w:rsidRPr="00420F00">
        <w:rPr>
          <w:i/>
          <w:szCs w:val="18"/>
        </w:rPr>
        <w:t>$0 to &lt; $10 million</w:t>
      </w:r>
    </w:p>
    <w:p w:rsidR="00420F00" w:rsidRPr="00420F00" w:rsidRDefault="00420F00" w:rsidP="00420F00">
      <w:pPr>
        <w:pStyle w:val="TableFigureFooter"/>
        <w:rPr>
          <w:i/>
          <w:szCs w:val="18"/>
        </w:rPr>
      </w:pPr>
      <w:r>
        <w:rPr>
          <w:i/>
          <w:szCs w:val="18"/>
          <w:vertAlign w:val="superscript"/>
        </w:rPr>
        <w:t xml:space="preserve">7 </w:t>
      </w:r>
      <w:r w:rsidRPr="00420F00">
        <w:rPr>
          <w:i/>
          <w:szCs w:val="18"/>
        </w:rPr>
        <w:t>$10 million to &lt; $20 million</w:t>
      </w:r>
    </w:p>
    <w:p w:rsidR="00420F00" w:rsidRPr="00420F00" w:rsidRDefault="00420F00" w:rsidP="00420F00">
      <w:pPr>
        <w:pStyle w:val="TableFigureFooter"/>
        <w:rPr>
          <w:i/>
          <w:szCs w:val="18"/>
        </w:rPr>
      </w:pPr>
      <w:r>
        <w:rPr>
          <w:i/>
          <w:szCs w:val="18"/>
          <w:vertAlign w:val="superscript"/>
        </w:rPr>
        <w:t xml:space="preserve">8 </w:t>
      </w:r>
      <w:r w:rsidRPr="00420F00">
        <w:rPr>
          <w:i/>
          <w:szCs w:val="18"/>
        </w:rPr>
        <w:t>$20 million to &lt; $30 million</w:t>
      </w:r>
    </w:p>
    <w:p w:rsidR="00420F00" w:rsidRDefault="00420F00" w:rsidP="00420F00">
      <w:pPr>
        <w:pStyle w:val="TableFigureFooter"/>
        <w:rPr>
          <w:i/>
          <w:szCs w:val="18"/>
        </w:rPr>
      </w:pPr>
      <w:r>
        <w:rPr>
          <w:i/>
          <w:szCs w:val="18"/>
          <w:vertAlign w:val="superscript"/>
        </w:rPr>
        <w:t xml:space="preserve">9 </w:t>
      </w:r>
      <w:r w:rsidRPr="00420F00">
        <w:rPr>
          <w:i/>
          <w:szCs w:val="18"/>
        </w:rPr>
        <w:t>$30 million to &lt; $40 million</w:t>
      </w:r>
    </w:p>
    <w:p w:rsidR="003631DC" w:rsidRDefault="003631DC" w:rsidP="00420F00">
      <w:pPr>
        <w:pStyle w:val="TableFigureFooter"/>
        <w:rPr>
          <w:i/>
          <w:szCs w:val="18"/>
        </w:rPr>
      </w:pPr>
      <w:r>
        <w:rPr>
          <w:i/>
          <w:szCs w:val="18"/>
          <w:vertAlign w:val="superscript"/>
        </w:rPr>
        <w:t xml:space="preserve">10 </w:t>
      </w:r>
      <w:r w:rsidRPr="003631DC">
        <w:rPr>
          <w:i/>
          <w:szCs w:val="18"/>
        </w:rPr>
        <w:t>&lt; 500</w:t>
      </w:r>
    </w:p>
    <w:p w:rsidR="00420F00" w:rsidRPr="00420F00" w:rsidRDefault="00420F00" w:rsidP="00420F00">
      <w:pPr>
        <w:pStyle w:val="TableFigureFooter"/>
        <w:rPr>
          <w:i/>
          <w:szCs w:val="18"/>
        </w:rPr>
      </w:pPr>
    </w:p>
    <w:p w:rsidR="00E63871" w:rsidRPr="00354F5E" w:rsidRDefault="00E63871" w:rsidP="00D12336">
      <w:pPr>
        <w:pStyle w:val="3-BodyText"/>
        <w:rPr>
          <w:iCs/>
        </w:rPr>
      </w:pPr>
      <w:r w:rsidRPr="00354F5E">
        <w:rPr>
          <w:iCs/>
        </w:rPr>
        <w:t>The</w:t>
      </w:r>
      <w:r w:rsidR="00243BF6" w:rsidRPr="00354F5E">
        <w:rPr>
          <w:iCs/>
        </w:rPr>
        <w:t xml:space="preserve"> utilisation and financial estimates</w:t>
      </w:r>
      <w:r w:rsidRPr="00354F5E">
        <w:rPr>
          <w:iCs/>
        </w:rPr>
        <w:t xml:space="preserve"> spreadsheet included an error in applying the estimated annual change of each JAK inhibitor / bDMARD without UPA (derived from patient-years) to the correct corresponding number of scripts in each year and there was an apparent error/discrepancy in the number of JAK/bDMARD scripts dispensed in 2019 presented on di</w:t>
      </w:r>
      <w:r w:rsidR="00C105AD" w:rsidRPr="00354F5E">
        <w:rPr>
          <w:iCs/>
        </w:rPr>
        <w:t>fferent tabs of the utilisation and financial estimates spreadsheet.</w:t>
      </w:r>
    </w:p>
    <w:p w:rsidR="00E63871" w:rsidRPr="00354F5E" w:rsidRDefault="00E63871" w:rsidP="00D12336">
      <w:pPr>
        <w:pStyle w:val="3-BodyText"/>
        <w:rPr>
          <w:iCs/>
        </w:rPr>
      </w:pPr>
      <w:r w:rsidRPr="00354F5E">
        <w:rPr>
          <w:iCs/>
        </w:rPr>
        <w:t>Aside from these errors, the submission also made a number of assumptions to simplify the calculations that affect the accuracy of the estimates</w:t>
      </w:r>
      <w:r w:rsidR="00354F5E">
        <w:rPr>
          <w:iCs/>
        </w:rPr>
        <w:t xml:space="preserve">. </w:t>
      </w:r>
      <w:r w:rsidRPr="00354F5E">
        <w:rPr>
          <w:iCs/>
        </w:rPr>
        <w:t xml:space="preserve">For example, the submission assumed the same displacement rates for initial and continuing scripts, did not differentiate between public/private hospital scripts, assumed constant market growth in patient-years, did not account for number of vials </w:t>
      </w:r>
      <w:r w:rsidR="0049683B" w:rsidRPr="00354F5E">
        <w:rPr>
          <w:iCs/>
        </w:rPr>
        <w:t xml:space="preserve">per script </w:t>
      </w:r>
      <w:r w:rsidRPr="00354F5E">
        <w:rPr>
          <w:iCs/>
        </w:rPr>
        <w:t xml:space="preserve">of infliximab, and used published rather than effective prices. The estimated scripts for grandfathered patients was also likely conservative given the </w:t>
      </w:r>
      <w:r w:rsidR="0049683B" w:rsidRPr="00354F5E">
        <w:rPr>
          <w:iCs/>
        </w:rPr>
        <w:t xml:space="preserve">market share analysis </w:t>
      </w:r>
      <w:r w:rsidRPr="00354F5E">
        <w:rPr>
          <w:iCs/>
        </w:rPr>
        <w:t>likely capture</w:t>
      </w:r>
      <w:r w:rsidR="0049683B" w:rsidRPr="00354F5E">
        <w:rPr>
          <w:iCs/>
        </w:rPr>
        <w:t>s</w:t>
      </w:r>
      <w:r w:rsidRPr="00354F5E">
        <w:rPr>
          <w:iCs/>
        </w:rPr>
        <w:t xml:space="preserve"> patients that will be in the future Patient Familiarisation Scheme.</w:t>
      </w:r>
    </w:p>
    <w:p w:rsidR="001B4CAF" w:rsidRPr="00354F5E" w:rsidRDefault="000902D9" w:rsidP="005C22A9">
      <w:pPr>
        <w:pStyle w:val="3-BodyText"/>
      </w:pPr>
      <w:r w:rsidRPr="00354F5E">
        <w:t xml:space="preserve">The </w:t>
      </w:r>
      <w:r w:rsidR="00921863" w:rsidRPr="00354F5E">
        <w:t xml:space="preserve">estimated net </w:t>
      </w:r>
      <w:r w:rsidRPr="00354F5E">
        <w:t xml:space="preserve">cost to the PBS/RPBS of listing </w:t>
      </w:r>
      <w:r w:rsidR="00921863" w:rsidRPr="00354F5E">
        <w:t xml:space="preserve">UPA was approximately </w:t>
      </w:r>
      <w:r w:rsidR="005C22A9" w:rsidRPr="005C22A9">
        <w:t>$30 million to &lt; $40 million</w:t>
      </w:r>
      <w:r w:rsidR="00921863" w:rsidRPr="00354F5E">
        <w:t xml:space="preserve"> over the first six years. This was likely an overestimate, driven by the assumed published prices and grandfathered patients. </w:t>
      </w:r>
      <w:r w:rsidR="001B4CAF" w:rsidRPr="00354F5E">
        <w:t>Assuming upadacitinib were to be listed on a cost-minimisation basis to the least costly alternative therapy and current market growth was unchanged, then the requested listing would be expected to have negligible financial impact on the PBS/RPBS.</w:t>
      </w:r>
    </w:p>
    <w:p w:rsidR="00576972" w:rsidRPr="00354F5E" w:rsidRDefault="00576972" w:rsidP="00D12336">
      <w:pPr>
        <w:pStyle w:val="4-SubsectionHeading"/>
        <w:rPr>
          <w:i w:val="0"/>
        </w:rPr>
      </w:pPr>
      <w:bookmarkStart w:id="25" w:name="_Toc22897648"/>
      <w:bookmarkStart w:id="26" w:name="_Toc62029195"/>
      <w:r w:rsidRPr="00354F5E">
        <w:rPr>
          <w:i w:val="0"/>
        </w:rPr>
        <w:t>Quality Use of Medicines</w:t>
      </w:r>
      <w:bookmarkEnd w:id="25"/>
      <w:bookmarkEnd w:id="26"/>
    </w:p>
    <w:p w:rsidR="00053D04" w:rsidRPr="003110AE" w:rsidRDefault="00666C9C" w:rsidP="00D12336">
      <w:pPr>
        <w:pStyle w:val="3-BodyText"/>
      </w:pPr>
      <w:r w:rsidRPr="00354F5E">
        <w:t>The submission stated that the sponsor has a risk management plan including an Australian annex, and will be providing a patient support program for help managing treatment with UPA.</w:t>
      </w:r>
    </w:p>
    <w:p w:rsidR="00B779ED" w:rsidRPr="00354F5E" w:rsidRDefault="00B779ED" w:rsidP="00B779ED">
      <w:pPr>
        <w:pStyle w:val="ListParagraph"/>
        <w:numPr>
          <w:ilvl w:val="0"/>
          <w:numId w:val="0"/>
        </w:numPr>
        <w:ind w:left="709"/>
        <w:rPr>
          <w:i/>
        </w:rPr>
      </w:pPr>
      <w:r w:rsidRPr="00354F5E">
        <w:rPr>
          <w:i/>
        </w:rPr>
        <w:t>For more detail on PBAC’s view, see section 7 PBAC outcome.</w:t>
      </w:r>
    </w:p>
    <w:p w:rsidR="00B779ED" w:rsidRPr="00354F5E" w:rsidRDefault="00B779ED" w:rsidP="00384F9E">
      <w:pPr>
        <w:keepNext/>
        <w:widowControl w:val="0"/>
        <w:numPr>
          <w:ilvl w:val="0"/>
          <w:numId w:val="1"/>
        </w:numPr>
        <w:spacing w:before="240" w:after="120"/>
        <w:outlineLvl w:val="0"/>
        <w:rPr>
          <w:rFonts w:asciiTheme="minorHAnsi" w:hAnsiTheme="minorHAnsi"/>
          <w:b/>
          <w:bCs/>
          <w:snapToGrid w:val="0"/>
          <w:sz w:val="32"/>
        </w:rPr>
      </w:pPr>
      <w:r w:rsidRPr="00354F5E">
        <w:rPr>
          <w:rFonts w:asciiTheme="minorHAnsi" w:hAnsiTheme="minorHAnsi"/>
          <w:b/>
          <w:bCs/>
          <w:snapToGrid w:val="0"/>
          <w:sz w:val="32"/>
        </w:rPr>
        <w:t>PBAC Outcome</w:t>
      </w:r>
    </w:p>
    <w:p w:rsidR="00B779ED" w:rsidRPr="00354F5E" w:rsidRDefault="00384F9E" w:rsidP="00B779ED">
      <w:pPr>
        <w:widowControl w:val="0"/>
        <w:numPr>
          <w:ilvl w:val="1"/>
          <w:numId w:val="1"/>
        </w:numPr>
        <w:spacing w:after="120"/>
        <w:rPr>
          <w:rFonts w:asciiTheme="minorHAnsi" w:hAnsiTheme="minorHAnsi"/>
          <w:bCs/>
          <w:snapToGrid w:val="0"/>
        </w:rPr>
      </w:pPr>
      <w:r w:rsidRPr="00354F5E">
        <w:rPr>
          <w:rFonts w:asciiTheme="minorHAnsi" w:hAnsiTheme="minorHAnsi"/>
          <w:bCs/>
          <w:snapToGrid w:val="0"/>
        </w:rPr>
        <w:t>The PBAC rec</w:t>
      </w:r>
      <w:r w:rsidR="0063350E" w:rsidRPr="00354F5E">
        <w:rPr>
          <w:rFonts w:asciiTheme="minorHAnsi" w:hAnsiTheme="minorHAnsi"/>
          <w:bCs/>
          <w:snapToGrid w:val="0"/>
        </w:rPr>
        <w:t>ommended the Authority Required</w:t>
      </w:r>
      <w:r w:rsidRPr="00354F5E">
        <w:rPr>
          <w:rFonts w:asciiTheme="minorHAnsi" w:hAnsiTheme="minorHAnsi"/>
          <w:bCs/>
          <w:snapToGrid w:val="0"/>
        </w:rPr>
        <w:t xml:space="preserve"> listing of upadacitinib (UPA) for the treatment of severe psoriatic arthritis (PsA). The PBAC’s recommendation for listing was based on, among other matters, its assessment that the cost-effectiveness of UPA would be acceptable if it were cost minimised to the lowest cost biologic disease modifying anti-rheumatic drug (bDMARD) for this indication.</w:t>
      </w:r>
    </w:p>
    <w:p w:rsidR="00071996" w:rsidRPr="00354F5E" w:rsidRDefault="00C96285" w:rsidP="00071996">
      <w:pPr>
        <w:pStyle w:val="3-BodyText"/>
      </w:pPr>
      <w:r w:rsidRPr="00354F5E">
        <w:t>The PBAC considered the nominated comparator of tofacitinib (TOF) was reasonable, however considered all other bDMARDs currently listed for PsA were also relevant alternative</w:t>
      </w:r>
      <w:r w:rsidR="008C55FC" w:rsidRPr="00354F5E">
        <w:t xml:space="preserve"> therapies</w:t>
      </w:r>
      <w:r w:rsidRPr="00354F5E">
        <w:t xml:space="preserve">. </w:t>
      </w:r>
      <w:r w:rsidR="00071996" w:rsidRPr="00354F5E">
        <w:t>T</w:t>
      </w:r>
      <w:r w:rsidRPr="00354F5E">
        <w:t xml:space="preserve">he PBAC </w:t>
      </w:r>
      <w:r w:rsidR="00376A86" w:rsidRPr="00354F5E">
        <w:t>considered the equi-effective doses of</w:t>
      </w:r>
      <w:r w:rsidRPr="00354F5E">
        <w:t xml:space="preserve"> UPA</w:t>
      </w:r>
      <w:r w:rsidR="00376A86" w:rsidRPr="00354F5E">
        <w:t xml:space="preserve"> (at</w:t>
      </w:r>
      <w:r w:rsidR="00071996" w:rsidRPr="00354F5E">
        <w:t xml:space="preserve"> a dose of one 15mg tablet once daily) and alternative bDMARDs</w:t>
      </w:r>
      <w:r w:rsidR="00376A86" w:rsidRPr="00354F5E">
        <w:t xml:space="preserve"> </w:t>
      </w:r>
      <w:r w:rsidR="00071996" w:rsidRPr="00354F5E">
        <w:rPr>
          <w:bCs/>
        </w:rPr>
        <w:t>could be derived from the product information and with reference</w:t>
      </w:r>
      <w:r w:rsidR="00CD15F0" w:rsidRPr="00354F5E">
        <w:rPr>
          <w:bCs/>
        </w:rPr>
        <w:t xml:space="preserve"> to previously recommended equi-</w:t>
      </w:r>
      <w:r w:rsidR="00071996" w:rsidRPr="00354F5E">
        <w:rPr>
          <w:bCs/>
        </w:rPr>
        <w:t>effective doses collated in the PBS Therapeutic Relativity Sheets. The cost minimisation analysis should be conducted over two years using approved ex-manufacturer prices consistent with methodology previously accepted by the PBAC for bDMARDs.</w:t>
      </w:r>
    </w:p>
    <w:p w:rsidR="00B779ED" w:rsidRPr="00354F5E" w:rsidRDefault="005B111E" w:rsidP="00071996">
      <w:pPr>
        <w:pStyle w:val="3-BodyText"/>
      </w:pPr>
      <w:r w:rsidRPr="00354F5E">
        <w:t>The PBAC noted the indirect comparison of UPA and TOF</w:t>
      </w:r>
      <w:r w:rsidR="00B06D78" w:rsidRPr="00354F5E">
        <w:t xml:space="preserve"> support a conclusion that UPA is of non-inferior comparative effectiveness to TOF, both in terms of ACR20 and ACR50 response. Further, the PBAC also noted that the pivotal UPA PsA study (SELECT PsA 1) included adalimumab (ADA) as a third study arm and a multiplicity-adjusted direct comparison was included in the statistical analysis plan as a secondary outcome and considered the analysis provided additional supportive evidence that UPA may also be of non-inferior effectiveness to ADA.</w:t>
      </w:r>
    </w:p>
    <w:p w:rsidR="00B779ED" w:rsidRPr="00354F5E" w:rsidRDefault="008C0BFB" w:rsidP="00B779ED">
      <w:pPr>
        <w:widowControl w:val="0"/>
        <w:numPr>
          <w:ilvl w:val="1"/>
          <w:numId w:val="1"/>
        </w:numPr>
        <w:spacing w:after="120"/>
        <w:rPr>
          <w:rFonts w:asciiTheme="minorHAnsi" w:hAnsiTheme="minorHAnsi"/>
          <w:bCs/>
          <w:snapToGrid w:val="0"/>
        </w:rPr>
      </w:pPr>
      <w:r w:rsidRPr="00354F5E">
        <w:rPr>
          <w:rFonts w:asciiTheme="minorHAnsi" w:hAnsiTheme="minorHAnsi"/>
          <w:bCs/>
          <w:snapToGrid w:val="0"/>
        </w:rPr>
        <w:t>The PBAC</w:t>
      </w:r>
      <w:r w:rsidR="006E33D3" w:rsidRPr="00354F5E">
        <w:rPr>
          <w:rFonts w:asciiTheme="minorHAnsi" w:hAnsiTheme="minorHAnsi"/>
          <w:bCs/>
          <w:snapToGrid w:val="0"/>
        </w:rPr>
        <w:t xml:space="preserve"> noted that while pairwise safety comparisons of UPA and TOF were not possible due to differences in timing of data collection, the Committee also noted the available evidence did not raise any specific safety issues that would indicate UPA is of inferior safety to TOF and therefore considered the claim of non-inferior comparative safety was reasonable.</w:t>
      </w:r>
      <w:r w:rsidRPr="00354F5E">
        <w:rPr>
          <w:rFonts w:asciiTheme="minorHAnsi" w:hAnsiTheme="minorHAnsi"/>
          <w:bCs/>
          <w:snapToGrid w:val="0"/>
        </w:rPr>
        <w:t xml:space="preserve"> The PBAC also noted there were emerging signals thrombotic events associated with treatment with TOF and baricitinib (BAR) and</w:t>
      </w:r>
      <w:r w:rsidR="00376A86" w:rsidRPr="00354F5E">
        <w:rPr>
          <w:rFonts w:asciiTheme="minorHAnsi" w:hAnsiTheme="minorHAnsi"/>
          <w:bCs/>
          <w:snapToGrid w:val="0"/>
        </w:rPr>
        <w:t xml:space="preserve"> that UPA was included in the TGA Black Triangle Scheme and subject to additional post-market surveillance.</w:t>
      </w:r>
      <w:r w:rsidRPr="00354F5E">
        <w:rPr>
          <w:rFonts w:asciiTheme="minorHAnsi" w:hAnsiTheme="minorHAnsi"/>
          <w:bCs/>
          <w:snapToGrid w:val="0"/>
        </w:rPr>
        <w:t xml:space="preserve"> </w:t>
      </w:r>
      <w:r w:rsidR="00376A86" w:rsidRPr="00354F5E">
        <w:rPr>
          <w:rFonts w:asciiTheme="minorHAnsi" w:hAnsiTheme="minorHAnsi"/>
          <w:bCs/>
          <w:snapToGrid w:val="0"/>
        </w:rPr>
        <w:t>The PBAC</w:t>
      </w:r>
      <w:r w:rsidR="006E33D3" w:rsidRPr="00354F5E">
        <w:rPr>
          <w:rFonts w:asciiTheme="minorHAnsi" w:hAnsiTheme="minorHAnsi"/>
          <w:bCs/>
          <w:snapToGrid w:val="0"/>
        </w:rPr>
        <w:t xml:space="preserve"> noted</w:t>
      </w:r>
      <w:r w:rsidR="00E96191" w:rsidRPr="00354F5E">
        <w:rPr>
          <w:rFonts w:asciiTheme="minorHAnsi" w:hAnsiTheme="minorHAnsi"/>
          <w:bCs/>
          <w:snapToGrid w:val="0"/>
        </w:rPr>
        <w:t xml:space="preserve"> this issue was being monitored in multiple jurisdictions and may be</w:t>
      </w:r>
      <w:r w:rsidRPr="00354F5E">
        <w:rPr>
          <w:rFonts w:asciiTheme="minorHAnsi" w:hAnsiTheme="minorHAnsi"/>
          <w:bCs/>
          <w:snapToGrid w:val="0"/>
        </w:rPr>
        <w:t xml:space="preserve"> a class effect for the janus kinase inhibitor</w:t>
      </w:r>
      <w:r w:rsidR="00E96191" w:rsidRPr="00354F5E">
        <w:rPr>
          <w:rFonts w:asciiTheme="minorHAnsi" w:hAnsiTheme="minorHAnsi"/>
          <w:bCs/>
          <w:snapToGrid w:val="0"/>
        </w:rPr>
        <w:t xml:space="preserve"> family.</w:t>
      </w:r>
    </w:p>
    <w:p w:rsidR="00B779ED" w:rsidRPr="00354F5E" w:rsidRDefault="00E96191" w:rsidP="00E96191">
      <w:pPr>
        <w:widowControl w:val="0"/>
        <w:numPr>
          <w:ilvl w:val="1"/>
          <w:numId w:val="1"/>
        </w:numPr>
        <w:spacing w:after="120"/>
        <w:rPr>
          <w:rFonts w:asciiTheme="minorHAnsi" w:hAnsiTheme="minorHAnsi"/>
          <w:bCs/>
          <w:snapToGrid w:val="0"/>
        </w:rPr>
      </w:pPr>
      <w:r w:rsidRPr="00354F5E">
        <w:rPr>
          <w:rFonts w:asciiTheme="minorHAnsi" w:hAnsiTheme="minorHAnsi"/>
          <w:bCs/>
          <w:snapToGrid w:val="0"/>
        </w:rPr>
        <w:t>The PBAC recommended the UPA restriction for PsA should be aligned with other bDMARD listings and should include a grandfather restriction for a period of 12 months, for patients transitioning from the clinical trial</w:t>
      </w:r>
      <w:r w:rsidR="003A1F55" w:rsidRPr="00354F5E">
        <w:rPr>
          <w:rFonts w:asciiTheme="minorHAnsi" w:hAnsiTheme="minorHAnsi"/>
          <w:bCs/>
          <w:snapToGrid w:val="0"/>
        </w:rPr>
        <w:t xml:space="preserve"> and patient familiarisation program</w:t>
      </w:r>
      <w:r w:rsidRPr="00354F5E">
        <w:rPr>
          <w:rFonts w:asciiTheme="minorHAnsi" w:hAnsiTheme="minorHAnsi"/>
          <w:bCs/>
          <w:snapToGrid w:val="0"/>
        </w:rPr>
        <w:t>. The PBAC noted the flow-on restriction changes to the administrative notes and prescriber instructions common to all bDMARDs for PsA that specify the lists of eligible treatments.</w:t>
      </w:r>
    </w:p>
    <w:p w:rsidR="003110AE" w:rsidRDefault="002F6D5E" w:rsidP="00D93CDE">
      <w:pPr>
        <w:pStyle w:val="3-BodyText"/>
        <w:widowControl w:val="0"/>
        <w:rPr>
          <w:bCs/>
        </w:rPr>
      </w:pPr>
      <w:r w:rsidRPr="00354F5E">
        <w:t>The PBAC noted the estimated costs to the PBS were driven by the use of published rather than effecti</w:t>
      </w:r>
      <w:r w:rsidR="00071996" w:rsidRPr="00354F5E">
        <w:t>ve prices and considered that if the listing of UPA for PsA were</w:t>
      </w:r>
      <w:r w:rsidRPr="00354F5E">
        <w:t xml:space="preserve"> on a </w:t>
      </w:r>
      <w:r w:rsidR="00071996" w:rsidRPr="00354F5E">
        <w:t xml:space="preserve">cost minimisation basis with the least costly bDMARD </w:t>
      </w:r>
      <w:r w:rsidR="00002E8E" w:rsidRPr="00354F5E">
        <w:t>(as recommended in paragraph 7.2</w:t>
      </w:r>
      <w:r w:rsidR="00071996" w:rsidRPr="00354F5E">
        <w:t>) using effective prices should result in no increase in net cost to the PBS</w:t>
      </w:r>
      <w:r w:rsidR="00002E8E" w:rsidRPr="00354F5E">
        <w:t>.</w:t>
      </w:r>
      <w:r w:rsidR="00646DD4" w:rsidRPr="00354F5E">
        <w:t xml:space="preserve"> </w:t>
      </w:r>
      <w:r w:rsidR="003110AE">
        <w:rPr>
          <w:bCs/>
        </w:rPr>
        <w:t>The PBAC noted patients who move from existing PBS medicines to the patient familiarisation program and then to PBS subsidised UPA will not be in addition to the current market, however noted that the limited number of patients in extended clinical trials will incur a small incremental cost as they transition to PBS subsidised therapy.</w:t>
      </w:r>
    </w:p>
    <w:p w:rsidR="00B779ED" w:rsidRPr="003110AE" w:rsidRDefault="00B779ED" w:rsidP="00D93CDE">
      <w:pPr>
        <w:pStyle w:val="3-BodyText"/>
        <w:widowControl w:val="0"/>
        <w:rPr>
          <w:bCs/>
        </w:rPr>
      </w:pPr>
      <w:r w:rsidRPr="003110AE">
        <w:rPr>
          <w:bCs/>
        </w:rPr>
        <w:t xml:space="preserve">The PBAC noted that its recommendation was on a cost-minimisation basis and advised that, because </w:t>
      </w:r>
      <w:r w:rsidR="0017751D" w:rsidRPr="003110AE">
        <w:rPr>
          <w:bCs/>
        </w:rPr>
        <w:t>upadacitinib</w:t>
      </w:r>
      <w:r w:rsidRPr="003110AE">
        <w:rPr>
          <w:bCs/>
        </w:rPr>
        <w:t xml:space="preserve"> is not expected to provide a substantial and clinically relevant improvement in efficacy, or reduction of toxicity, over </w:t>
      </w:r>
      <w:r w:rsidR="0017751D" w:rsidRPr="003110AE">
        <w:rPr>
          <w:bCs/>
        </w:rPr>
        <w:t xml:space="preserve">tofacitinib </w:t>
      </w:r>
      <w:r w:rsidRPr="003110AE">
        <w:rPr>
          <w:bCs/>
        </w:rPr>
        <w:t xml:space="preserve">or </w:t>
      </w:r>
      <w:r w:rsidR="0017751D" w:rsidRPr="003110AE">
        <w:rPr>
          <w:bCs/>
        </w:rPr>
        <w:t xml:space="preserve">other bDMARDs for severe psoriatic arthritis and </w:t>
      </w:r>
      <w:r w:rsidRPr="003110AE">
        <w:rPr>
          <w:bCs/>
        </w:rPr>
        <w:t>not expected to address a high and urgent unmet clinical need given the presence of an alternative therapy, the criteria prescribed by the National Health (Pharmaceuticals and Vaccines – Cost Recovery) Regulations 2009 for Pricing Pathway A were not met.</w:t>
      </w:r>
    </w:p>
    <w:p w:rsidR="0017751D" w:rsidRPr="00354F5E" w:rsidRDefault="00B779ED" w:rsidP="0017751D">
      <w:pPr>
        <w:widowControl w:val="0"/>
        <w:numPr>
          <w:ilvl w:val="1"/>
          <w:numId w:val="1"/>
        </w:numPr>
        <w:spacing w:after="120"/>
        <w:rPr>
          <w:rFonts w:asciiTheme="minorHAnsi" w:hAnsiTheme="minorHAnsi"/>
          <w:bCs/>
          <w:snapToGrid w:val="0"/>
        </w:rPr>
      </w:pPr>
      <w:r w:rsidRPr="00354F5E">
        <w:rPr>
          <w:rFonts w:asciiTheme="minorHAnsi" w:hAnsiTheme="minorHAnsi"/>
          <w:bCs/>
          <w:snapToGrid w:val="0"/>
        </w:rPr>
        <w:t>The PBAC noted that this submission is not eligible for an Independen</w:t>
      </w:r>
      <w:r w:rsidR="0017751D" w:rsidRPr="00354F5E">
        <w:rPr>
          <w:rFonts w:asciiTheme="minorHAnsi" w:hAnsiTheme="minorHAnsi"/>
          <w:bCs/>
          <w:snapToGrid w:val="0"/>
        </w:rPr>
        <w:t>t Review as it received a positive recommendation.</w:t>
      </w:r>
    </w:p>
    <w:p w:rsidR="00B779ED" w:rsidRDefault="00B779ED" w:rsidP="00B00354">
      <w:pPr>
        <w:widowControl w:val="0"/>
        <w:spacing w:after="120"/>
        <w:rPr>
          <w:rFonts w:asciiTheme="minorHAnsi" w:hAnsiTheme="minorHAnsi"/>
          <w:bCs/>
          <w:snapToGrid w:val="0"/>
        </w:rPr>
      </w:pPr>
      <w:r w:rsidRPr="00354F5E">
        <w:rPr>
          <w:rFonts w:asciiTheme="minorHAnsi" w:hAnsiTheme="minorHAnsi"/>
          <w:b/>
          <w:bCs/>
          <w:snapToGrid w:val="0"/>
        </w:rPr>
        <w:t>Outcome:</w:t>
      </w:r>
      <w:r w:rsidR="0017751D" w:rsidRPr="00354F5E">
        <w:rPr>
          <w:rFonts w:asciiTheme="minorHAnsi" w:hAnsiTheme="minorHAnsi"/>
          <w:b/>
          <w:bCs/>
          <w:snapToGrid w:val="0"/>
        </w:rPr>
        <w:t xml:space="preserve"> </w:t>
      </w:r>
      <w:r w:rsidR="0017751D" w:rsidRPr="00354F5E">
        <w:rPr>
          <w:rFonts w:asciiTheme="minorHAnsi" w:hAnsiTheme="minorHAnsi"/>
          <w:b/>
          <w:bCs/>
          <w:snapToGrid w:val="0"/>
        </w:rPr>
        <w:br/>
      </w:r>
      <w:r w:rsidR="00384F9E" w:rsidRPr="00354F5E">
        <w:rPr>
          <w:rFonts w:asciiTheme="minorHAnsi" w:hAnsiTheme="minorHAnsi"/>
          <w:bCs/>
          <w:snapToGrid w:val="0"/>
        </w:rPr>
        <w:t>Recommended</w:t>
      </w:r>
    </w:p>
    <w:p w:rsidR="00B779ED" w:rsidRPr="00354F5E" w:rsidRDefault="00B779ED" w:rsidP="00384F9E">
      <w:pPr>
        <w:widowControl w:val="0"/>
        <w:numPr>
          <w:ilvl w:val="0"/>
          <w:numId w:val="1"/>
        </w:numPr>
        <w:spacing w:before="240" w:after="120"/>
        <w:outlineLvl w:val="0"/>
        <w:rPr>
          <w:rFonts w:asciiTheme="minorHAnsi" w:hAnsiTheme="minorHAnsi"/>
          <w:b/>
          <w:bCs/>
          <w:i/>
          <w:snapToGrid w:val="0"/>
          <w:sz w:val="32"/>
        </w:rPr>
      </w:pPr>
      <w:r w:rsidRPr="00354F5E">
        <w:rPr>
          <w:rFonts w:asciiTheme="minorHAnsi" w:hAnsiTheme="minorHAnsi"/>
          <w:b/>
          <w:bCs/>
          <w:snapToGrid w:val="0"/>
          <w:sz w:val="32"/>
        </w:rPr>
        <w:t>Recommended listing</w:t>
      </w:r>
    </w:p>
    <w:p w:rsidR="00395EA6" w:rsidRPr="00354F5E" w:rsidRDefault="00395EA6" w:rsidP="00395EA6">
      <w:pPr>
        <w:widowControl w:val="0"/>
        <w:numPr>
          <w:ilvl w:val="1"/>
          <w:numId w:val="1"/>
        </w:numPr>
        <w:spacing w:after="120"/>
        <w:rPr>
          <w:rFonts w:asciiTheme="minorHAnsi" w:hAnsiTheme="minorHAnsi"/>
          <w:b/>
          <w:bCs/>
          <w:snapToGrid w:val="0"/>
        </w:rPr>
      </w:pPr>
      <w:r w:rsidRPr="00354F5E">
        <w:t>Add new item/s as follows:</w:t>
      </w:r>
    </w:p>
    <w:p w:rsidR="003A1F55" w:rsidRPr="00354F5E" w:rsidRDefault="003A1F55" w:rsidP="003A1F55">
      <w:pPr>
        <w:widowControl w:val="0"/>
        <w:spacing w:after="120"/>
        <w:ind w:left="720"/>
        <w:rPr>
          <w:rFonts w:asciiTheme="minorHAnsi" w:hAnsiTheme="minorHAnsi"/>
          <w:b/>
          <w:bCs/>
          <w:snapToGrid w:val="0"/>
        </w:rPr>
      </w:pPr>
      <w:r w:rsidRPr="00354F5E">
        <w:rPr>
          <w:i/>
        </w:rPr>
        <w:t>Restrictions to be the same as TOF with the following changes and relevant flow-on amendments to common administrative notes.</w:t>
      </w:r>
    </w:p>
    <w:p w:rsidR="00395EA6" w:rsidRDefault="00395EA6" w:rsidP="00395EA6"/>
    <w:p w:rsidR="00395EA6" w:rsidRPr="00354F5E" w:rsidRDefault="00395EA6" w:rsidP="00395EA6">
      <w:pPr>
        <w:rPr>
          <w:b/>
        </w:rPr>
      </w:pPr>
      <w:r w:rsidRPr="00354F5E">
        <w:rPr>
          <w:b/>
        </w:rPr>
        <w:t>Abbreviated restriction summary (new, based on 11675L/11690G)</w:t>
      </w:r>
    </w:p>
    <w:p w:rsidR="00395EA6" w:rsidRPr="00354F5E" w:rsidRDefault="00395EA6" w:rsidP="00395EA6">
      <w:pPr>
        <w:rPr>
          <w:rFonts w:ascii="Arial Narrow" w:hAnsi="Arial Narrow"/>
          <w:sz w:val="20"/>
          <w:szCs w:val="20"/>
        </w:rPr>
      </w:pPr>
    </w:p>
    <w:tbl>
      <w:tblPr>
        <w:tblW w:w="5002" w:type="pct"/>
        <w:tblInd w:w="-5" w:type="dxa"/>
        <w:tblLook w:val="04A0" w:firstRow="1" w:lastRow="0" w:firstColumn="1" w:lastColumn="0" w:noHBand="0" w:noVBand="1"/>
      </w:tblPr>
      <w:tblGrid>
        <w:gridCol w:w="3070"/>
        <w:gridCol w:w="962"/>
        <w:gridCol w:w="864"/>
        <w:gridCol w:w="866"/>
        <w:gridCol w:w="1384"/>
        <w:gridCol w:w="1875"/>
      </w:tblGrid>
      <w:tr w:rsidR="006554FF" w:rsidRPr="00354F5E" w:rsidTr="006554FF">
        <w:trPr>
          <w:trHeight w:val="471"/>
        </w:trPr>
        <w:tc>
          <w:tcPr>
            <w:tcW w:w="1702" w:type="pct"/>
            <w:tcBorders>
              <w:top w:val="single" w:sz="4" w:space="0" w:color="auto"/>
              <w:left w:val="single" w:sz="4" w:space="0" w:color="auto"/>
              <w:bottom w:val="single" w:sz="4" w:space="0" w:color="auto"/>
              <w:right w:val="single" w:sz="4" w:space="0" w:color="auto"/>
            </w:tcBorders>
            <w:hideMark/>
          </w:tcPr>
          <w:p w:rsidR="006554FF" w:rsidRDefault="006554FF" w:rsidP="006554FF">
            <w:pPr>
              <w:keepNext/>
              <w:ind w:left="-108"/>
              <w:rPr>
                <w:rFonts w:ascii="Arial Narrow" w:hAnsi="Arial Narrow"/>
                <w:b/>
                <w:sz w:val="18"/>
                <w:szCs w:val="18"/>
              </w:rPr>
            </w:pPr>
            <w:r w:rsidRPr="00354F5E">
              <w:rPr>
                <w:rFonts w:ascii="Arial Narrow" w:hAnsi="Arial Narrow"/>
                <w:b/>
                <w:sz w:val="18"/>
                <w:szCs w:val="18"/>
              </w:rPr>
              <w:t>MEDICINAL PRODUCT</w:t>
            </w:r>
          </w:p>
          <w:p w:rsidR="00FE3337" w:rsidRPr="00354F5E" w:rsidRDefault="00FE3337" w:rsidP="006554FF">
            <w:pPr>
              <w:keepNext/>
              <w:ind w:left="-108"/>
              <w:rPr>
                <w:rFonts w:ascii="Arial Narrow" w:hAnsi="Arial Narrow"/>
                <w:b/>
                <w:sz w:val="18"/>
                <w:szCs w:val="18"/>
              </w:rPr>
            </w:pPr>
            <w:r w:rsidRPr="009E337F">
              <w:rPr>
                <w:rFonts w:ascii="Arial Narrow" w:hAnsi="Arial Narrow"/>
                <w:b/>
                <w:bCs/>
                <w:sz w:val="18"/>
                <w:szCs w:val="18"/>
              </w:rPr>
              <w:t>medicinal product pack</w:t>
            </w:r>
          </w:p>
        </w:tc>
        <w:tc>
          <w:tcPr>
            <w:tcW w:w="533" w:type="pct"/>
            <w:tcBorders>
              <w:top w:val="single" w:sz="4" w:space="0" w:color="auto"/>
              <w:left w:val="single" w:sz="4" w:space="0" w:color="auto"/>
              <w:bottom w:val="single" w:sz="4" w:space="0" w:color="auto"/>
              <w:right w:val="single" w:sz="4" w:space="0" w:color="auto"/>
            </w:tcBorders>
          </w:tcPr>
          <w:p w:rsidR="006554FF" w:rsidRPr="00354F5E" w:rsidRDefault="006554FF" w:rsidP="006554FF">
            <w:pPr>
              <w:keepNext/>
              <w:ind w:left="-108"/>
              <w:jc w:val="center"/>
              <w:rPr>
                <w:rFonts w:ascii="Arial Narrow" w:hAnsi="Arial Narrow"/>
                <w:b/>
                <w:sz w:val="18"/>
                <w:szCs w:val="18"/>
              </w:rPr>
            </w:pPr>
            <w:r w:rsidRPr="00354F5E">
              <w:rPr>
                <w:rFonts w:ascii="Arial Narrow" w:hAnsi="Arial Narrow"/>
                <w:b/>
                <w:sz w:val="18"/>
                <w:szCs w:val="18"/>
              </w:rPr>
              <w:t>PBS item code</w:t>
            </w:r>
          </w:p>
        </w:tc>
        <w:tc>
          <w:tcPr>
            <w:tcW w:w="479" w:type="pct"/>
            <w:tcBorders>
              <w:top w:val="single" w:sz="4" w:space="0" w:color="auto"/>
              <w:left w:val="single" w:sz="4" w:space="0" w:color="auto"/>
              <w:bottom w:val="single" w:sz="4" w:space="0" w:color="auto"/>
              <w:right w:val="single" w:sz="4" w:space="0" w:color="auto"/>
            </w:tcBorders>
            <w:hideMark/>
          </w:tcPr>
          <w:p w:rsidR="006554FF" w:rsidRPr="00354F5E" w:rsidRDefault="006554FF" w:rsidP="006554FF">
            <w:pPr>
              <w:keepNext/>
              <w:ind w:left="-108"/>
              <w:jc w:val="center"/>
              <w:rPr>
                <w:rFonts w:ascii="Arial Narrow" w:hAnsi="Arial Narrow"/>
                <w:b/>
                <w:sz w:val="18"/>
                <w:szCs w:val="18"/>
              </w:rPr>
            </w:pPr>
            <w:r w:rsidRPr="00354F5E">
              <w:rPr>
                <w:rFonts w:ascii="Arial Narrow" w:hAnsi="Arial Narrow"/>
                <w:b/>
                <w:sz w:val="18"/>
                <w:szCs w:val="18"/>
              </w:rPr>
              <w:t>Max. qty packs</w:t>
            </w:r>
          </w:p>
        </w:tc>
        <w:tc>
          <w:tcPr>
            <w:tcW w:w="480" w:type="pct"/>
            <w:tcBorders>
              <w:top w:val="single" w:sz="4" w:space="0" w:color="auto"/>
              <w:left w:val="single" w:sz="4" w:space="0" w:color="auto"/>
              <w:bottom w:val="single" w:sz="4" w:space="0" w:color="auto"/>
              <w:right w:val="single" w:sz="4" w:space="0" w:color="auto"/>
            </w:tcBorders>
          </w:tcPr>
          <w:p w:rsidR="006554FF" w:rsidRPr="00354F5E" w:rsidRDefault="006554FF" w:rsidP="006554FF">
            <w:pPr>
              <w:keepNext/>
              <w:ind w:left="-108"/>
              <w:jc w:val="center"/>
              <w:rPr>
                <w:rFonts w:ascii="Arial Narrow" w:hAnsi="Arial Narrow"/>
                <w:b/>
                <w:sz w:val="18"/>
                <w:szCs w:val="18"/>
              </w:rPr>
            </w:pPr>
            <w:r w:rsidRPr="00354F5E">
              <w:rPr>
                <w:rFonts w:ascii="Arial Narrow" w:hAnsi="Arial Narrow"/>
                <w:b/>
                <w:sz w:val="18"/>
                <w:szCs w:val="18"/>
              </w:rPr>
              <w:t>Max. qty units</w:t>
            </w:r>
          </w:p>
        </w:tc>
        <w:tc>
          <w:tcPr>
            <w:tcW w:w="767" w:type="pct"/>
            <w:tcBorders>
              <w:top w:val="single" w:sz="4" w:space="0" w:color="auto"/>
              <w:left w:val="single" w:sz="4" w:space="0" w:color="auto"/>
              <w:bottom w:val="single" w:sz="4" w:space="0" w:color="auto"/>
              <w:right w:val="single" w:sz="4" w:space="0" w:color="auto"/>
            </w:tcBorders>
            <w:hideMark/>
          </w:tcPr>
          <w:p w:rsidR="006554FF" w:rsidRPr="00354F5E" w:rsidRDefault="006554FF" w:rsidP="006554FF">
            <w:pPr>
              <w:keepNext/>
              <w:ind w:left="-108"/>
              <w:jc w:val="center"/>
              <w:rPr>
                <w:rFonts w:ascii="Arial Narrow" w:hAnsi="Arial Narrow"/>
                <w:b/>
                <w:sz w:val="18"/>
                <w:szCs w:val="18"/>
              </w:rPr>
            </w:pPr>
            <w:r w:rsidRPr="00354F5E">
              <w:rPr>
                <w:rFonts w:ascii="Arial Narrow" w:hAnsi="Arial Narrow"/>
                <w:b/>
                <w:sz w:val="18"/>
                <w:szCs w:val="18"/>
              </w:rPr>
              <w:t>№.of Rpts</w:t>
            </w:r>
          </w:p>
        </w:tc>
        <w:tc>
          <w:tcPr>
            <w:tcW w:w="1039" w:type="pct"/>
            <w:tcBorders>
              <w:top w:val="single" w:sz="4" w:space="0" w:color="auto"/>
              <w:left w:val="single" w:sz="4" w:space="0" w:color="auto"/>
              <w:bottom w:val="single" w:sz="4" w:space="0" w:color="auto"/>
              <w:right w:val="single" w:sz="4" w:space="0" w:color="auto"/>
            </w:tcBorders>
            <w:hideMark/>
          </w:tcPr>
          <w:p w:rsidR="006554FF" w:rsidRPr="00354F5E" w:rsidRDefault="006554FF" w:rsidP="006554FF">
            <w:pPr>
              <w:keepNext/>
              <w:rPr>
                <w:rFonts w:ascii="Arial Narrow" w:hAnsi="Arial Narrow"/>
                <w:b/>
                <w:sz w:val="18"/>
                <w:szCs w:val="18"/>
              </w:rPr>
            </w:pPr>
            <w:r w:rsidRPr="00354F5E">
              <w:rPr>
                <w:rFonts w:ascii="Arial Narrow" w:hAnsi="Arial Narrow"/>
                <w:b/>
                <w:sz w:val="18"/>
                <w:szCs w:val="18"/>
              </w:rPr>
              <w:t>Available brands</w:t>
            </w:r>
          </w:p>
        </w:tc>
      </w:tr>
      <w:tr w:rsidR="006554FF" w:rsidRPr="00354F5E" w:rsidTr="006554FF">
        <w:trPr>
          <w:trHeight w:val="577"/>
        </w:trPr>
        <w:tc>
          <w:tcPr>
            <w:tcW w:w="1702" w:type="pct"/>
            <w:tcBorders>
              <w:top w:val="single" w:sz="4" w:space="0" w:color="auto"/>
              <w:left w:val="single" w:sz="4" w:space="0" w:color="auto"/>
              <w:bottom w:val="single" w:sz="4" w:space="0" w:color="auto"/>
              <w:right w:val="single" w:sz="4" w:space="0" w:color="auto"/>
            </w:tcBorders>
            <w:hideMark/>
          </w:tcPr>
          <w:p w:rsidR="006554FF" w:rsidRPr="00354F5E" w:rsidRDefault="006554FF" w:rsidP="006554FF">
            <w:pPr>
              <w:keepNext/>
              <w:ind w:left="-108"/>
              <w:rPr>
                <w:rFonts w:ascii="Arial Narrow" w:hAnsi="Arial Narrow"/>
                <w:sz w:val="18"/>
                <w:szCs w:val="18"/>
              </w:rPr>
            </w:pPr>
            <w:r w:rsidRPr="00354F5E">
              <w:rPr>
                <w:rFonts w:ascii="Arial Narrow" w:hAnsi="Arial Narrow"/>
                <w:sz w:val="18"/>
                <w:szCs w:val="18"/>
              </w:rPr>
              <w:t>UPADACITINIB</w:t>
            </w:r>
          </w:p>
          <w:p w:rsidR="006554FF" w:rsidRPr="00354F5E" w:rsidRDefault="006554FF" w:rsidP="006554FF">
            <w:pPr>
              <w:keepNext/>
              <w:ind w:left="-108"/>
              <w:rPr>
                <w:rFonts w:ascii="Arial Narrow" w:hAnsi="Arial Narrow"/>
                <w:sz w:val="18"/>
                <w:szCs w:val="18"/>
              </w:rPr>
            </w:pPr>
            <w:r w:rsidRPr="00354F5E">
              <w:rPr>
                <w:rFonts w:ascii="Arial Narrow" w:hAnsi="Arial Narrow"/>
                <w:sz w:val="18"/>
                <w:szCs w:val="18"/>
              </w:rPr>
              <w:t>upadacitinib 15mg  modified release tablet, 28</w:t>
            </w:r>
          </w:p>
        </w:tc>
        <w:tc>
          <w:tcPr>
            <w:tcW w:w="533" w:type="pct"/>
            <w:tcBorders>
              <w:top w:val="single" w:sz="4" w:space="0" w:color="auto"/>
              <w:left w:val="single" w:sz="4" w:space="0" w:color="auto"/>
              <w:bottom w:val="single" w:sz="4" w:space="0" w:color="auto"/>
              <w:right w:val="single" w:sz="4" w:space="0" w:color="auto"/>
            </w:tcBorders>
          </w:tcPr>
          <w:p w:rsidR="006554FF" w:rsidRPr="00354F5E" w:rsidRDefault="006554FF" w:rsidP="006554FF">
            <w:pPr>
              <w:keepNext/>
              <w:ind w:left="-108"/>
              <w:rPr>
                <w:rFonts w:ascii="Arial Narrow" w:hAnsi="Arial Narrow"/>
                <w:sz w:val="18"/>
                <w:szCs w:val="18"/>
              </w:rPr>
            </w:pPr>
          </w:p>
          <w:p w:rsidR="006554FF" w:rsidRPr="00354F5E" w:rsidRDefault="006554FF" w:rsidP="006554FF">
            <w:pPr>
              <w:keepNext/>
              <w:ind w:left="-108"/>
              <w:jc w:val="center"/>
              <w:rPr>
                <w:rFonts w:ascii="Arial Narrow" w:hAnsi="Arial Narrow"/>
                <w:sz w:val="18"/>
                <w:szCs w:val="18"/>
              </w:rPr>
            </w:pPr>
            <w:r w:rsidRPr="00354F5E">
              <w:rPr>
                <w:rFonts w:ascii="Arial Narrow" w:hAnsi="Arial Narrow"/>
                <w:sz w:val="18"/>
                <w:szCs w:val="18"/>
              </w:rPr>
              <w:t>NEW</w:t>
            </w:r>
          </w:p>
        </w:tc>
        <w:tc>
          <w:tcPr>
            <w:tcW w:w="479" w:type="pct"/>
            <w:tcBorders>
              <w:top w:val="single" w:sz="4" w:space="0" w:color="auto"/>
              <w:left w:val="single" w:sz="4" w:space="0" w:color="auto"/>
              <w:bottom w:val="single" w:sz="4" w:space="0" w:color="auto"/>
              <w:right w:val="single" w:sz="4" w:space="0" w:color="auto"/>
            </w:tcBorders>
          </w:tcPr>
          <w:p w:rsidR="006554FF" w:rsidRPr="00354F5E" w:rsidRDefault="006554FF" w:rsidP="006554FF">
            <w:pPr>
              <w:keepNext/>
              <w:ind w:left="-108"/>
              <w:rPr>
                <w:rFonts w:ascii="Arial Narrow" w:hAnsi="Arial Narrow"/>
                <w:sz w:val="18"/>
                <w:szCs w:val="18"/>
              </w:rPr>
            </w:pPr>
          </w:p>
          <w:p w:rsidR="006554FF" w:rsidRPr="00354F5E" w:rsidRDefault="006554FF" w:rsidP="006554FF">
            <w:pPr>
              <w:keepNext/>
              <w:ind w:left="-108" w:right="-108"/>
              <w:jc w:val="center"/>
              <w:rPr>
                <w:rFonts w:ascii="Arial Narrow" w:hAnsi="Arial Narrow"/>
                <w:sz w:val="18"/>
                <w:szCs w:val="18"/>
              </w:rPr>
            </w:pPr>
            <w:r w:rsidRPr="00354F5E">
              <w:rPr>
                <w:rFonts w:ascii="Arial Narrow" w:hAnsi="Arial Narrow"/>
                <w:sz w:val="18"/>
                <w:szCs w:val="18"/>
              </w:rPr>
              <w:t>1</w:t>
            </w:r>
          </w:p>
        </w:tc>
        <w:tc>
          <w:tcPr>
            <w:tcW w:w="480" w:type="pct"/>
            <w:tcBorders>
              <w:top w:val="single" w:sz="4" w:space="0" w:color="auto"/>
              <w:left w:val="single" w:sz="4" w:space="0" w:color="auto"/>
              <w:bottom w:val="single" w:sz="4" w:space="0" w:color="auto"/>
              <w:right w:val="single" w:sz="4" w:space="0" w:color="auto"/>
            </w:tcBorders>
          </w:tcPr>
          <w:p w:rsidR="006554FF" w:rsidRPr="00354F5E" w:rsidRDefault="006554FF" w:rsidP="006554FF">
            <w:pPr>
              <w:keepNext/>
              <w:ind w:left="-108"/>
              <w:jc w:val="center"/>
              <w:rPr>
                <w:rFonts w:ascii="Arial Narrow" w:hAnsi="Arial Narrow"/>
                <w:sz w:val="18"/>
                <w:szCs w:val="18"/>
              </w:rPr>
            </w:pPr>
          </w:p>
          <w:p w:rsidR="006554FF" w:rsidRPr="00354F5E" w:rsidRDefault="006554FF" w:rsidP="006554FF">
            <w:pPr>
              <w:keepNext/>
              <w:ind w:left="-108"/>
              <w:jc w:val="center"/>
              <w:rPr>
                <w:rFonts w:ascii="Arial Narrow" w:hAnsi="Arial Narrow"/>
                <w:sz w:val="18"/>
                <w:szCs w:val="18"/>
              </w:rPr>
            </w:pPr>
            <w:r w:rsidRPr="00354F5E">
              <w:rPr>
                <w:rFonts w:ascii="Arial Narrow" w:hAnsi="Arial Narrow"/>
                <w:sz w:val="18"/>
                <w:szCs w:val="18"/>
              </w:rPr>
              <w:t>28</w:t>
            </w:r>
          </w:p>
        </w:tc>
        <w:tc>
          <w:tcPr>
            <w:tcW w:w="767" w:type="pct"/>
            <w:tcBorders>
              <w:top w:val="single" w:sz="4" w:space="0" w:color="auto"/>
              <w:left w:val="single" w:sz="4" w:space="0" w:color="auto"/>
              <w:bottom w:val="single" w:sz="4" w:space="0" w:color="auto"/>
              <w:right w:val="single" w:sz="4" w:space="0" w:color="auto"/>
            </w:tcBorders>
          </w:tcPr>
          <w:p w:rsidR="006554FF" w:rsidRPr="00354F5E" w:rsidRDefault="006554FF" w:rsidP="006554FF">
            <w:pPr>
              <w:keepNext/>
              <w:ind w:left="-108"/>
              <w:rPr>
                <w:rFonts w:ascii="Arial Narrow" w:hAnsi="Arial Narrow"/>
                <w:sz w:val="18"/>
                <w:szCs w:val="18"/>
              </w:rPr>
            </w:pPr>
          </w:p>
          <w:p w:rsidR="006554FF" w:rsidRPr="00354F5E" w:rsidRDefault="006554FF" w:rsidP="006554FF">
            <w:pPr>
              <w:keepNext/>
              <w:ind w:left="-108"/>
              <w:jc w:val="center"/>
              <w:rPr>
                <w:rFonts w:ascii="Arial Narrow" w:hAnsi="Arial Narrow"/>
                <w:sz w:val="18"/>
                <w:szCs w:val="18"/>
              </w:rPr>
            </w:pPr>
            <w:r w:rsidRPr="00354F5E">
              <w:rPr>
                <w:rFonts w:ascii="Arial Narrow" w:hAnsi="Arial Narrow"/>
                <w:sz w:val="18"/>
                <w:szCs w:val="18"/>
              </w:rPr>
              <w:t>3</w:t>
            </w:r>
          </w:p>
        </w:tc>
        <w:tc>
          <w:tcPr>
            <w:tcW w:w="1039" w:type="pct"/>
            <w:tcBorders>
              <w:top w:val="single" w:sz="4" w:space="0" w:color="auto"/>
              <w:left w:val="single" w:sz="4" w:space="0" w:color="auto"/>
              <w:bottom w:val="single" w:sz="4" w:space="0" w:color="auto"/>
              <w:right w:val="single" w:sz="4" w:space="0" w:color="auto"/>
            </w:tcBorders>
          </w:tcPr>
          <w:p w:rsidR="006554FF" w:rsidRPr="00354F5E" w:rsidRDefault="006554FF" w:rsidP="006554FF">
            <w:pPr>
              <w:keepNext/>
              <w:rPr>
                <w:rFonts w:ascii="Arial Narrow" w:hAnsi="Arial Narrow"/>
                <w:sz w:val="18"/>
                <w:szCs w:val="18"/>
              </w:rPr>
            </w:pPr>
          </w:p>
          <w:p w:rsidR="006554FF" w:rsidRPr="00354F5E" w:rsidRDefault="006554FF" w:rsidP="006554FF">
            <w:pPr>
              <w:keepNext/>
              <w:rPr>
                <w:rFonts w:ascii="Arial Narrow" w:hAnsi="Arial Narrow"/>
                <w:sz w:val="18"/>
                <w:szCs w:val="18"/>
              </w:rPr>
            </w:pPr>
            <w:r w:rsidRPr="00354F5E">
              <w:rPr>
                <w:rFonts w:ascii="Arial Narrow" w:hAnsi="Arial Narrow"/>
                <w:sz w:val="18"/>
                <w:szCs w:val="18"/>
              </w:rPr>
              <w:t>Rinvoq</w:t>
            </w:r>
            <w:r w:rsidRPr="00354F5E">
              <w:rPr>
                <w:rFonts w:ascii="Arial Narrow" w:hAnsi="Arial Narrow"/>
                <w:sz w:val="18"/>
                <w:szCs w:val="18"/>
                <w:vertAlign w:val="superscript"/>
              </w:rPr>
              <w:t>®</w:t>
            </w:r>
          </w:p>
          <w:p w:rsidR="006554FF" w:rsidRPr="00354F5E" w:rsidRDefault="006554FF" w:rsidP="006554FF">
            <w:pPr>
              <w:keepNext/>
              <w:jc w:val="center"/>
              <w:rPr>
                <w:rFonts w:ascii="Arial Narrow" w:hAnsi="Arial Narrow"/>
                <w:sz w:val="18"/>
                <w:szCs w:val="18"/>
              </w:rPr>
            </w:pPr>
          </w:p>
        </w:tc>
      </w:tr>
    </w:tbl>
    <w:p w:rsidR="006554FF" w:rsidRPr="00354F5E" w:rsidRDefault="006554FF" w:rsidP="00395EA6">
      <w:pPr>
        <w:rPr>
          <w:rFonts w:ascii="Arial Narrow" w:hAnsi="Arial Narrow"/>
          <w:sz w:val="20"/>
          <w:szCs w:val="20"/>
        </w:rPr>
      </w:pPr>
    </w:p>
    <w:tbl>
      <w:tblPr>
        <w:tblStyle w:val="TableGrid"/>
        <w:tblW w:w="5000" w:type="pct"/>
        <w:tblLook w:val="04A0" w:firstRow="1" w:lastRow="0" w:firstColumn="1" w:lastColumn="0" w:noHBand="0" w:noVBand="1"/>
        <w:tblCaption w:val="Restriction Summary"/>
      </w:tblPr>
      <w:tblGrid>
        <w:gridCol w:w="4839"/>
        <w:gridCol w:w="4178"/>
      </w:tblGrid>
      <w:tr w:rsidR="006554FF" w:rsidRPr="00354F5E" w:rsidTr="003863A9">
        <w:trPr>
          <w:tblHeader/>
        </w:trPr>
        <w:tc>
          <w:tcPr>
            <w:tcW w:w="2683" w:type="pct"/>
            <w:tcBorders>
              <w:top w:val="single" w:sz="4" w:space="0" w:color="auto"/>
              <w:left w:val="single" w:sz="4" w:space="0" w:color="auto"/>
              <w:bottom w:val="single" w:sz="4" w:space="0" w:color="auto"/>
              <w:right w:val="single" w:sz="4" w:space="0" w:color="auto"/>
            </w:tcBorders>
            <w:hideMark/>
          </w:tcPr>
          <w:p w:rsidR="006554FF" w:rsidRPr="00354F5E" w:rsidRDefault="006554FF" w:rsidP="006554FF">
            <w:pPr>
              <w:keepNext/>
              <w:ind w:left="-108"/>
              <w:rPr>
                <w:rFonts w:ascii="Arial Narrow" w:hAnsi="Arial Narrow"/>
                <w:b/>
                <w:sz w:val="18"/>
                <w:szCs w:val="18"/>
              </w:rPr>
            </w:pPr>
            <w:r w:rsidRPr="00354F5E">
              <w:rPr>
                <w:rFonts w:ascii="Arial Narrow" w:hAnsi="Arial Narrow"/>
                <w:b/>
                <w:sz w:val="18"/>
                <w:szCs w:val="18"/>
              </w:rPr>
              <w:t>Restriction Summary</w:t>
            </w:r>
          </w:p>
        </w:tc>
        <w:tc>
          <w:tcPr>
            <w:tcW w:w="2317" w:type="pct"/>
            <w:tcBorders>
              <w:top w:val="single" w:sz="4" w:space="0" w:color="auto"/>
              <w:left w:val="single" w:sz="4" w:space="0" w:color="auto"/>
              <w:bottom w:val="single" w:sz="4" w:space="0" w:color="auto"/>
              <w:right w:val="single" w:sz="4" w:space="0" w:color="auto"/>
            </w:tcBorders>
            <w:hideMark/>
          </w:tcPr>
          <w:p w:rsidR="006554FF" w:rsidRPr="00354F5E" w:rsidRDefault="006554FF" w:rsidP="006554FF">
            <w:pPr>
              <w:keepNext/>
              <w:ind w:left="-108"/>
              <w:rPr>
                <w:rFonts w:ascii="Arial Narrow" w:hAnsi="Arial Narrow"/>
                <w:b/>
                <w:sz w:val="18"/>
                <w:szCs w:val="18"/>
              </w:rPr>
            </w:pPr>
            <w:r w:rsidRPr="00354F5E">
              <w:rPr>
                <w:rFonts w:ascii="Arial Narrow" w:hAnsi="Arial Narrow"/>
                <w:b/>
                <w:sz w:val="18"/>
                <w:szCs w:val="18"/>
              </w:rPr>
              <w:t>Treatment phase</w:t>
            </w:r>
          </w:p>
        </w:tc>
      </w:tr>
      <w:tr w:rsidR="006554FF" w:rsidRPr="00354F5E" w:rsidTr="00B00354">
        <w:tc>
          <w:tcPr>
            <w:tcW w:w="2683" w:type="pct"/>
            <w:tcBorders>
              <w:top w:val="single" w:sz="4" w:space="0" w:color="auto"/>
              <w:left w:val="single" w:sz="4" w:space="0" w:color="auto"/>
              <w:bottom w:val="single" w:sz="4" w:space="0" w:color="auto"/>
              <w:right w:val="single" w:sz="4" w:space="0" w:color="auto"/>
            </w:tcBorders>
            <w:hideMark/>
          </w:tcPr>
          <w:p w:rsidR="006554FF" w:rsidRPr="00354F5E" w:rsidRDefault="006554FF" w:rsidP="006554FF">
            <w:pPr>
              <w:keepNext/>
              <w:ind w:left="-108"/>
              <w:rPr>
                <w:rFonts w:ascii="Arial Narrow" w:hAnsi="Arial Narrow"/>
                <w:sz w:val="18"/>
                <w:szCs w:val="18"/>
              </w:rPr>
            </w:pPr>
            <w:r w:rsidRPr="00354F5E">
              <w:rPr>
                <w:rFonts w:ascii="Arial Narrow" w:hAnsi="Arial Narrow"/>
                <w:sz w:val="18"/>
                <w:szCs w:val="18"/>
              </w:rPr>
              <w:t>Restriction Summary 9142 / ToC: 9155: Authority Required</w:t>
            </w:r>
          </w:p>
        </w:tc>
        <w:tc>
          <w:tcPr>
            <w:tcW w:w="2317" w:type="pct"/>
            <w:tcBorders>
              <w:top w:val="single" w:sz="4" w:space="0" w:color="auto"/>
              <w:left w:val="single" w:sz="4" w:space="0" w:color="auto"/>
              <w:bottom w:val="single" w:sz="4" w:space="0" w:color="auto"/>
              <w:right w:val="single" w:sz="4" w:space="0" w:color="auto"/>
            </w:tcBorders>
            <w:hideMark/>
          </w:tcPr>
          <w:p w:rsidR="006554FF" w:rsidRPr="00354F5E" w:rsidRDefault="006554FF" w:rsidP="006554FF">
            <w:pPr>
              <w:keepNext/>
              <w:ind w:left="-108"/>
              <w:rPr>
                <w:rFonts w:ascii="Arial Narrow" w:hAnsi="Arial Narrow"/>
                <w:sz w:val="18"/>
                <w:szCs w:val="18"/>
              </w:rPr>
            </w:pPr>
            <w:r w:rsidRPr="00354F5E">
              <w:rPr>
                <w:rFonts w:ascii="Arial Narrow" w:hAnsi="Arial Narrow"/>
                <w:sz w:val="18"/>
                <w:szCs w:val="18"/>
              </w:rPr>
              <w:t xml:space="preserve">Initial 1 </w:t>
            </w:r>
          </w:p>
        </w:tc>
      </w:tr>
      <w:tr w:rsidR="006554FF" w:rsidRPr="00354F5E" w:rsidTr="00B00354">
        <w:tc>
          <w:tcPr>
            <w:tcW w:w="2683" w:type="pct"/>
            <w:tcBorders>
              <w:top w:val="single" w:sz="4" w:space="0" w:color="auto"/>
              <w:left w:val="single" w:sz="4" w:space="0" w:color="auto"/>
              <w:bottom w:val="single" w:sz="4" w:space="0" w:color="auto"/>
              <w:right w:val="single" w:sz="4" w:space="0" w:color="auto"/>
            </w:tcBorders>
            <w:hideMark/>
          </w:tcPr>
          <w:p w:rsidR="006554FF" w:rsidRPr="00354F5E" w:rsidRDefault="006554FF" w:rsidP="006554FF">
            <w:pPr>
              <w:keepNext/>
              <w:ind w:left="-108"/>
              <w:rPr>
                <w:rFonts w:ascii="Arial Narrow" w:hAnsi="Arial Narrow"/>
                <w:sz w:val="18"/>
                <w:szCs w:val="18"/>
              </w:rPr>
            </w:pPr>
            <w:r w:rsidRPr="00354F5E">
              <w:rPr>
                <w:rFonts w:ascii="Arial Narrow" w:hAnsi="Arial Narrow"/>
                <w:sz w:val="18"/>
                <w:szCs w:val="18"/>
              </w:rPr>
              <w:t>Restriction Summary 9171 / ToC: 9157: Authority Required</w:t>
            </w:r>
          </w:p>
        </w:tc>
        <w:tc>
          <w:tcPr>
            <w:tcW w:w="2317" w:type="pct"/>
            <w:tcBorders>
              <w:top w:val="single" w:sz="4" w:space="0" w:color="auto"/>
              <w:left w:val="single" w:sz="4" w:space="0" w:color="auto"/>
              <w:bottom w:val="single" w:sz="4" w:space="0" w:color="auto"/>
              <w:right w:val="single" w:sz="4" w:space="0" w:color="auto"/>
            </w:tcBorders>
            <w:hideMark/>
          </w:tcPr>
          <w:p w:rsidR="006554FF" w:rsidRPr="00354F5E" w:rsidRDefault="006554FF" w:rsidP="006554FF">
            <w:pPr>
              <w:keepNext/>
              <w:ind w:left="-108"/>
              <w:rPr>
                <w:rFonts w:ascii="Arial Narrow" w:hAnsi="Arial Narrow"/>
                <w:sz w:val="18"/>
                <w:szCs w:val="18"/>
              </w:rPr>
            </w:pPr>
            <w:r w:rsidRPr="00354F5E">
              <w:rPr>
                <w:rFonts w:ascii="Arial Narrow" w:hAnsi="Arial Narrow"/>
                <w:sz w:val="18"/>
                <w:szCs w:val="18"/>
              </w:rPr>
              <w:t xml:space="preserve">Initial 2 </w:t>
            </w:r>
          </w:p>
        </w:tc>
      </w:tr>
      <w:tr w:rsidR="006554FF" w:rsidRPr="00354F5E" w:rsidTr="00B00354">
        <w:tc>
          <w:tcPr>
            <w:tcW w:w="2683" w:type="pct"/>
            <w:tcBorders>
              <w:top w:val="single" w:sz="4" w:space="0" w:color="auto"/>
              <w:left w:val="single" w:sz="4" w:space="0" w:color="auto"/>
              <w:bottom w:val="single" w:sz="4" w:space="0" w:color="auto"/>
              <w:right w:val="single" w:sz="4" w:space="0" w:color="auto"/>
            </w:tcBorders>
            <w:hideMark/>
          </w:tcPr>
          <w:p w:rsidR="006554FF" w:rsidRPr="00354F5E" w:rsidRDefault="006554FF" w:rsidP="006554FF">
            <w:pPr>
              <w:keepNext/>
              <w:ind w:left="-108"/>
              <w:rPr>
                <w:rFonts w:ascii="Arial Narrow" w:hAnsi="Arial Narrow"/>
                <w:sz w:val="18"/>
                <w:szCs w:val="18"/>
              </w:rPr>
            </w:pPr>
            <w:r w:rsidRPr="00354F5E">
              <w:rPr>
                <w:rFonts w:ascii="Arial Narrow" w:hAnsi="Arial Narrow"/>
                <w:sz w:val="18"/>
                <w:szCs w:val="18"/>
              </w:rPr>
              <w:t xml:space="preserve">Restriction Summary 9061 / ToC: 9069: Authority Required  </w:t>
            </w:r>
          </w:p>
        </w:tc>
        <w:tc>
          <w:tcPr>
            <w:tcW w:w="2317" w:type="pct"/>
            <w:tcBorders>
              <w:top w:val="single" w:sz="4" w:space="0" w:color="auto"/>
              <w:left w:val="single" w:sz="4" w:space="0" w:color="auto"/>
              <w:bottom w:val="single" w:sz="4" w:space="0" w:color="auto"/>
              <w:right w:val="single" w:sz="4" w:space="0" w:color="auto"/>
            </w:tcBorders>
            <w:hideMark/>
          </w:tcPr>
          <w:p w:rsidR="006554FF" w:rsidRPr="00354F5E" w:rsidRDefault="006554FF" w:rsidP="006554FF">
            <w:pPr>
              <w:keepNext/>
              <w:ind w:left="-108"/>
              <w:rPr>
                <w:rFonts w:ascii="Arial Narrow" w:hAnsi="Arial Narrow"/>
                <w:sz w:val="18"/>
                <w:szCs w:val="18"/>
              </w:rPr>
            </w:pPr>
            <w:r w:rsidRPr="00354F5E">
              <w:rPr>
                <w:rFonts w:ascii="Arial Narrow" w:hAnsi="Arial Narrow"/>
                <w:sz w:val="18"/>
                <w:szCs w:val="18"/>
              </w:rPr>
              <w:t>Initial 3</w:t>
            </w:r>
          </w:p>
        </w:tc>
      </w:tr>
      <w:tr w:rsidR="006554FF" w:rsidRPr="00354F5E" w:rsidTr="00B00354">
        <w:tc>
          <w:tcPr>
            <w:tcW w:w="2683" w:type="pct"/>
            <w:tcBorders>
              <w:top w:val="single" w:sz="4" w:space="0" w:color="auto"/>
              <w:left w:val="single" w:sz="4" w:space="0" w:color="auto"/>
              <w:bottom w:val="single" w:sz="4" w:space="0" w:color="auto"/>
              <w:right w:val="single" w:sz="4" w:space="0" w:color="auto"/>
            </w:tcBorders>
            <w:hideMark/>
          </w:tcPr>
          <w:p w:rsidR="006554FF" w:rsidRPr="00354F5E" w:rsidRDefault="006554FF" w:rsidP="006554FF">
            <w:pPr>
              <w:keepNext/>
              <w:ind w:left="-108"/>
              <w:rPr>
                <w:rFonts w:ascii="Arial Narrow" w:hAnsi="Arial Narrow"/>
                <w:sz w:val="18"/>
                <w:szCs w:val="18"/>
              </w:rPr>
            </w:pPr>
            <w:r w:rsidRPr="00354F5E">
              <w:rPr>
                <w:rFonts w:ascii="Arial Narrow" w:hAnsi="Arial Narrow"/>
                <w:sz w:val="18"/>
                <w:szCs w:val="18"/>
              </w:rPr>
              <w:t xml:space="preserve">Restriction Summary 9106 / ToC: 9064: Authority Required  </w:t>
            </w:r>
          </w:p>
        </w:tc>
        <w:tc>
          <w:tcPr>
            <w:tcW w:w="2317" w:type="pct"/>
            <w:tcBorders>
              <w:top w:val="single" w:sz="4" w:space="0" w:color="auto"/>
              <w:left w:val="single" w:sz="4" w:space="0" w:color="auto"/>
              <w:bottom w:val="single" w:sz="4" w:space="0" w:color="auto"/>
              <w:right w:val="single" w:sz="4" w:space="0" w:color="auto"/>
            </w:tcBorders>
            <w:hideMark/>
          </w:tcPr>
          <w:p w:rsidR="006554FF" w:rsidRPr="00354F5E" w:rsidRDefault="006554FF" w:rsidP="006554FF">
            <w:pPr>
              <w:keepNext/>
              <w:ind w:left="-108"/>
              <w:rPr>
                <w:rFonts w:ascii="Arial Narrow" w:hAnsi="Arial Narrow"/>
                <w:sz w:val="18"/>
                <w:szCs w:val="18"/>
              </w:rPr>
            </w:pPr>
            <w:r w:rsidRPr="00354F5E">
              <w:rPr>
                <w:rFonts w:ascii="Arial Narrow" w:hAnsi="Arial Narrow"/>
                <w:sz w:val="18"/>
                <w:szCs w:val="18"/>
              </w:rPr>
              <w:t>Initial 1, Initial 2 or Initial 3  balance of supply</w:t>
            </w:r>
          </w:p>
        </w:tc>
      </w:tr>
    </w:tbl>
    <w:p w:rsidR="006554FF" w:rsidRPr="00354F5E" w:rsidRDefault="006554FF" w:rsidP="00395EA6">
      <w:pPr>
        <w:rPr>
          <w:rFonts w:ascii="Arial Narrow" w:hAnsi="Arial Narrow"/>
          <w:sz w:val="20"/>
          <w:szCs w:val="20"/>
        </w:rPr>
      </w:pPr>
    </w:p>
    <w:tbl>
      <w:tblPr>
        <w:tblW w:w="5000" w:type="pct"/>
        <w:tblLook w:val="04A0" w:firstRow="1" w:lastRow="0" w:firstColumn="1" w:lastColumn="0" w:noHBand="0" w:noVBand="1"/>
      </w:tblPr>
      <w:tblGrid>
        <w:gridCol w:w="3067"/>
        <w:gridCol w:w="866"/>
        <w:gridCol w:w="959"/>
        <w:gridCol w:w="864"/>
        <w:gridCol w:w="1441"/>
        <w:gridCol w:w="1820"/>
      </w:tblGrid>
      <w:tr w:rsidR="006554FF" w:rsidRPr="00354F5E" w:rsidTr="006554FF">
        <w:trPr>
          <w:trHeight w:val="471"/>
        </w:trPr>
        <w:tc>
          <w:tcPr>
            <w:tcW w:w="1701" w:type="pct"/>
            <w:tcBorders>
              <w:top w:val="single" w:sz="4" w:space="0" w:color="auto"/>
              <w:left w:val="single" w:sz="4" w:space="0" w:color="auto"/>
              <w:bottom w:val="single" w:sz="4" w:space="0" w:color="auto"/>
              <w:right w:val="single" w:sz="4" w:space="0" w:color="auto"/>
            </w:tcBorders>
            <w:hideMark/>
          </w:tcPr>
          <w:p w:rsidR="006554FF" w:rsidRDefault="006554FF" w:rsidP="006554FF">
            <w:pPr>
              <w:keepNext/>
              <w:ind w:left="-108"/>
              <w:rPr>
                <w:rFonts w:ascii="Arial Narrow" w:hAnsi="Arial Narrow"/>
                <w:b/>
                <w:sz w:val="18"/>
                <w:szCs w:val="18"/>
              </w:rPr>
            </w:pPr>
            <w:r w:rsidRPr="00354F5E">
              <w:rPr>
                <w:rFonts w:ascii="Arial Narrow" w:hAnsi="Arial Narrow"/>
                <w:b/>
                <w:sz w:val="18"/>
                <w:szCs w:val="18"/>
              </w:rPr>
              <w:t>MEDICINAL PRODUCT</w:t>
            </w:r>
          </w:p>
          <w:p w:rsidR="00FE3337" w:rsidRPr="00354F5E" w:rsidRDefault="00FE3337" w:rsidP="006554FF">
            <w:pPr>
              <w:keepNext/>
              <w:ind w:left="-108"/>
              <w:rPr>
                <w:rFonts w:ascii="Arial Narrow" w:hAnsi="Arial Narrow"/>
                <w:b/>
                <w:sz w:val="18"/>
                <w:szCs w:val="18"/>
              </w:rPr>
            </w:pPr>
            <w:r w:rsidRPr="009E337F">
              <w:rPr>
                <w:rFonts w:ascii="Arial Narrow" w:hAnsi="Arial Narrow"/>
                <w:b/>
                <w:bCs/>
                <w:sz w:val="18"/>
                <w:szCs w:val="18"/>
              </w:rPr>
              <w:t>medicinal product pack</w:t>
            </w:r>
          </w:p>
        </w:tc>
        <w:tc>
          <w:tcPr>
            <w:tcW w:w="480" w:type="pct"/>
            <w:tcBorders>
              <w:top w:val="single" w:sz="4" w:space="0" w:color="auto"/>
              <w:left w:val="single" w:sz="4" w:space="0" w:color="auto"/>
              <w:bottom w:val="single" w:sz="4" w:space="0" w:color="auto"/>
              <w:right w:val="single" w:sz="4" w:space="0" w:color="auto"/>
            </w:tcBorders>
          </w:tcPr>
          <w:p w:rsidR="006554FF" w:rsidRPr="00354F5E" w:rsidRDefault="006554FF" w:rsidP="006554FF">
            <w:pPr>
              <w:keepNext/>
              <w:ind w:left="-108"/>
              <w:jc w:val="center"/>
              <w:rPr>
                <w:rFonts w:ascii="Arial Narrow" w:hAnsi="Arial Narrow"/>
                <w:b/>
                <w:sz w:val="18"/>
                <w:szCs w:val="18"/>
              </w:rPr>
            </w:pPr>
            <w:r w:rsidRPr="00354F5E">
              <w:rPr>
                <w:rFonts w:ascii="Arial Narrow" w:hAnsi="Arial Narrow"/>
                <w:b/>
                <w:sz w:val="18"/>
                <w:szCs w:val="18"/>
              </w:rPr>
              <w:t>PBS item code</w:t>
            </w:r>
          </w:p>
        </w:tc>
        <w:tc>
          <w:tcPr>
            <w:tcW w:w="532" w:type="pct"/>
            <w:tcBorders>
              <w:top w:val="single" w:sz="4" w:space="0" w:color="auto"/>
              <w:left w:val="single" w:sz="4" w:space="0" w:color="auto"/>
              <w:bottom w:val="single" w:sz="4" w:space="0" w:color="auto"/>
              <w:right w:val="single" w:sz="4" w:space="0" w:color="auto"/>
            </w:tcBorders>
            <w:hideMark/>
          </w:tcPr>
          <w:p w:rsidR="006554FF" w:rsidRPr="00354F5E" w:rsidRDefault="006554FF" w:rsidP="006554FF">
            <w:pPr>
              <w:keepNext/>
              <w:ind w:left="-108"/>
              <w:jc w:val="center"/>
              <w:rPr>
                <w:rFonts w:ascii="Arial Narrow" w:hAnsi="Arial Narrow"/>
                <w:b/>
                <w:sz w:val="18"/>
                <w:szCs w:val="18"/>
              </w:rPr>
            </w:pPr>
            <w:r w:rsidRPr="00354F5E">
              <w:rPr>
                <w:rFonts w:ascii="Arial Narrow" w:hAnsi="Arial Narrow"/>
                <w:b/>
                <w:sz w:val="18"/>
                <w:szCs w:val="18"/>
              </w:rPr>
              <w:t>Max. qty packs</w:t>
            </w:r>
          </w:p>
        </w:tc>
        <w:tc>
          <w:tcPr>
            <w:tcW w:w="479" w:type="pct"/>
            <w:tcBorders>
              <w:top w:val="single" w:sz="4" w:space="0" w:color="auto"/>
              <w:left w:val="single" w:sz="4" w:space="0" w:color="auto"/>
              <w:bottom w:val="single" w:sz="4" w:space="0" w:color="auto"/>
              <w:right w:val="single" w:sz="4" w:space="0" w:color="auto"/>
            </w:tcBorders>
          </w:tcPr>
          <w:p w:rsidR="006554FF" w:rsidRPr="00354F5E" w:rsidRDefault="006554FF" w:rsidP="006554FF">
            <w:pPr>
              <w:keepNext/>
              <w:ind w:left="-108"/>
              <w:jc w:val="center"/>
              <w:rPr>
                <w:rFonts w:ascii="Arial Narrow" w:hAnsi="Arial Narrow"/>
                <w:b/>
                <w:sz w:val="18"/>
                <w:szCs w:val="18"/>
              </w:rPr>
            </w:pPr>
            <w:r w:rsidRPr="00354F5E">
              <w:rPr>
                <w:rFonts w:ascii="Arial Narrow" w:hAnsi="Arial Narrow"/>
                <w:b/>
                <w:sz w:val="18"/>
                <w:szCs w:val="18"/>
              </w:rPr>
              <w:t>Max. qty units</w:t>
            </w:r>
          </w:p>
        </w:tc>
        <w:tc>
          <w:tcPr>
            <w:tcW w:w="799" w:type="pct"/>
            <w:tcBorders>
              <w:top w:val="single" w:sz="4" w:space="0" w:color="auto"/>
              <w:left w:val="single" w:sz="4" w:space="0" w:color="auto"/>
              <w:bottom w:val="single" w:sz="4" w:space="0" w:color="auto"/>
              <w:right w:val="single" w:sz="4" w:space="0" w:color="auto"/>
            </w:tcBorders>
            <w:hideMark/>
          </w:tcPr>
          <w:p w:rsidR="006554FF" w:rsidRPr="00354F5E" w:rsidRDefault="006554FF" w:rsidP="006554FF">
            <w:pPr>
              <w:keepNext/>
              <w:ind w:left="-108"/>
              <w:jc w:val="center"/>
              <w:rPr>
                <w:rFonts w:ascii="Arial Narrow" w:hAnsi="Arial Narrow"/>
                <w:b/>
                <w:sz w:val="18"/>
                <w:szCs w:val="18"/>
              </w:rPr>
            </w:pPr>
            <w:r w:rsidRPr="00354F5E">
              <w:rPr>
                <w:rFonts w:ascii="Arial Narrow" w:hAnsi="Arial Narrow"/>
                <w:b/>
                <w:sz w:val="18"/>
                <w:szCs w:val="18"/>
              </w:rPr>
              <w:t>№.of Rpts</w:t>
            </w:r>
          </w:p>
        </w:tc>
        <w:tc>
          <w:tcPr>
            <w:tcW w:w="1009" w:type="pct"/>
            <w:tcBorders>
              <w:top w:val="single" w:sz="4" w:space="0" w:color="auto"/>
              <w:left w:val="single" w:sz="4" w:space="0" w:color="auto"/>
              <w:bottom w:val="single" w:sz="4" w:space="0" w:color="auto"/>
              <w:right w:val="single" w:sz="4" w:space="0" w:color="auto"/>
            </w:tcBorders>
            <w:hideMark/>
          </w:tcPr>
          <w:p w:rsidR="006554FF" w:rsidRPr="00354F5E" w:rsidRDefault="006554FF" w:rsidP="006554FF">
            <w:pPr>
              <w:keepNext/>
              <w:rPr>
                <w:rFonts w:ascii="Arial Narrow" w:hAnsi="Arial Narrow"/>
                <w:b/>
                <w:sz w:val="18"/>
                <w:szCs w:val="18"/>
              </w:rPr>
            </w:pPr>
            <w:r w:rsidRPr="00354F5E">
              <w:rPr>
                <w:rFonts w:ascii="Arial Narrow" w:hAnsi="Arial Narrow"/>
                <w:b/>
                <w:sz w:val="18"/>
                <w:szCs w:val="18"/>
              </w:rPr>
              <w:t>Available brands</w:t>
            </w:r>
          </w:p>
        </w:tc>
      </w:tr>
      <w:tr w:rsidR="006554FF" w:rsidRPr="00354F5E" w:rsidTr="006554FF">
        <w:trPr>
          <w:trHeight w:val="577"/>
        </w:trPr>
        <w:tc>
          <w:tcPr>
            <w:tcW w:w="1701" w:type="pct"/>
            <w:tcBorders>
              <w:top w:val="single" w:sz="4" w:space="0" w:color="auto"/>
              <w:left w:val="single" w:sz="4" w:space="0" w:color="auto"/>
              <w:bottom w:val="single" w:sz="4" w:space="0" w:color="auto"/>
              <w:right w:val="single" w:sz="4" w:space="0" w:color="auto"/>
            </w:tcBorders>
            <w:hideMark/>
          </w:tcPr>
          <w:p w:rsidR="006554FF" w:rsidRPr="00354F5E" w:rsidRDefault="006554FF" w:rsidP="006554FF">
            <w:pPr>
              <w:keepNext/>
              <w:ind w:left="-108"/>
              <w:rPr>
                <w:rFonts w:ascii="Arial Narrow" w:hAnsi="Arial Narrow"/>
                <w:sz w:val="18"/>
                <w:szCs w:val="18"/>
              </w:rPr>
            </w:pPr>
            <w:r w:rsidRPr="00354F5E">
              <w:rPr>
                <w:rFonts w:ascii="Arial Narrow" w:hAnsi="Arial Narrow"/>
                <w:sz w:val="18"/>
                <w:szCs w:val="18"/>
              </w:rPr>
              <w:t>UPADACITINIB</w:t>
            </w:r>
          </w:p>
          <w:p w:rsidR="006554FF" w:rsidRPr="00354F5E" w:rsidRDefault="006554FF" w:rsidP="006554FF">
            <w:pPr>
              <w:keepNext/>
              <w:ind w:left="-108"/>
              <w:rPr>
                <w:rFonts w:ascii="Arial Narrow" w:hAnsi="Arial Narrow"/>
                <w:sz w:val="18"/>
                <w:szCs w:val="18"/>
              </w:rPr>
            </w:pPr>
            <w:r w:rsidRPr="00354F5E">
              <w:rPr>
                <w:rFonts w:ascii="Arial Narrow" w:hAnsi="Arial Narrow"/>
                <w:sz w:val="18"/>
                <w:szCs w:val="18"/>
              </w:rPr>
              <w:t>upadacitinib 15mg  modified release tablet, 28</w:t>
            </w:r>
          </w:p>
        </w:tc>
        <w:tc>
          <w:tcPr>
            <w:tcW w:w="480" w:type="pct"/>
            <w:tcBorders>
              <w:top w:val="single" w:sz="4" w:space="0" w:color="auto"/>
              <w:left w:val="single" w:sz="4" w:space="0" w:color="auto"/>
              <w:bottom w:val="single" w:sz="4" w:space="0" w:color="auto"/>
              <w:right w:val="single" w:sz="4" w:space="0" w:color="auto"/>
            </w:tcBorders>
          </w:tcPr>
          <w:p w:rsidR="006554FF" w:rsidRPr="00354F5E" w:rsidRDefault="006554FF" w:rsidP="006554FF">
            <w:pPr>
              <w:keepNext/>
              <w:ind w:left="-108"/>
              <w:jc w:val="center"/>
              <w:rPr>
                <w:rFonts w:ascii="Arial Narrow" w:hAnsi="Arial Narrow"/>
                <w:sz w:val="18"/>
                <w:szCs w:val="18"/>
              </w:rPr>
            </w:pPr>
          </w:p>
          <w:p w:rsidR="006554FF" w:rsidRPr="00354F5E" w:rsidRDefault="006554FF" w:rsidP="006554FF">
            <w:pPr>
              <w:keepNext/>
              <w:ind w:left="-108"/>
              <w:jc w:val="center"/>
              <w:rPr>
                <w:rFonts w:ascii="Arial Narrow" w:hAnsi="Arial Narrow"/>
                <w:sz w:val="18"/>
                <w:szCs w:val="18"/>
              </w:rPr>
            </w:pPr>
            <w:r w:rsidRPr="00354F5E">
              <w:rPr>
                <w:rFonts w:ascii="Arial Narrow" w:hAnsi="Arial Narrow"/>
                <w:sz w:val="18"/>
                <w:szCs w:val="18"/>
              </w:rPr>
              <w:t>NEW</w:t>
            </w:r>
          </w:p>
        </w:tc>
        <w:tc>
          <w:tcPr>
            <w:tcW w:w="532" w:type="pct"/>
            <w:tcBorders>
              <w:top w:val="single" w:sz="4" w:space="0" w:color="auto"/>
              <w:left w:val="single" w:sz="4" w:space="0" w:color="auto"/>
              <w:bottom w:val="single" w:sz="4" w:space="0" w:color="auto"/>
              <w:right w:val="single" w:sz="4" w:space="0" w:color="auto"/>
            </w:tcBorders>
          </w:tcPr>
          <w:p w:rsidR="006554FF" w:rsidRPr="00354F5E" w:rsidRDefault="006554FF" w:rsidP="006554FF">
            <w:pPr>
              <w:keepNext/>
              <w:ind w:left="-108"/>
              <w:rPr>
                <w:rFonts w:ascii="Arial Narrow" w:hAnsi="Arial Narrow"/>
                <w:sz w:val="18"/>
                <w:szCs w:val="18"/>
              </w:rPr>
            </w:pPr>
          </w:p>
          <w:p w:rsidR="006554FF" w:rsidRPr="00354F5E" w:rsidRDefault="006554FF" w:rsidP="006554FF">
            <w:pPr>
              <w:keepNext/>
              <w:ind w:left="-108" w:right="-108"/>
              <w:jc w:val="center"/>
              <w:rPr>
                <w:rFonts w:ascii="Arial Narrow" w:hAnsi="Arial Narrow"/>
                <w:sz w:val="18"/>
                <w:szCs w:val="18"/>
              </w:rPr>
            </w:pPr>
            <w:r w:rsidRPr="00354F5E">
              <w:rPr>
                <w:rFonts w:ascii="Arial Narrow" w:hAnsi="Arial Narrow"/>
                <w:sz w:val="18"/>
                <w:szCs w:val="18"/>
              </w:rPr>
              <w:t>1</w:t>
            </w:r>
          </w:p>
        </w:tc>
        <w:tc>
          <w:tcPr>
            <w:tcW w:w="479" w:type="pct"/>
            <w:tcBorders>
              <w:top w:val="single" w:sz="4" w:space="0" w:color="auto"/>
              <w:left w:val="single" w:sz="4" w:space="0" w:color="auto"/>
              <w:bottom w:val="single" w:sz="4" w:space="0" w:color="auto"/>
              <w:right w:val="single" w:sz="4" w:space="0" w:color="auto"/>
            </w:tcBorders>
          </w:tcPr>
          <w:p w:rsidR="006554FF" w:rsidRPr="00354F5E" w:rsidRDefault="006554FF" w:rsidP="006554FF">
            <w:pPr>
              <w:keepNext/>
              <w:ind w:left="-108"/>
              <w:rPr>
                <w:rFonts w:ascii="Arial Narrow" w:hAnsi="Arial Narrow"/>
                <w:sz w:val="18"/>
                <w:szCs w:val="18"/>
              </w:rPr>
            </w:pPr>
          </w:p>
          <w:p w:rsidR="006554FF" w:rsidRPr="00354F5E" w:rsidRDefault="006554FF" w:rsidP="006554FF">
            <w:pPr>
              <w:keepNext/>
              <w:ind w:left="-108"/>
              <w:jc w:val="center"/>
              <w:rPr>
                <w:rFonts w:ascii="Arial Narrow" w:hAnsi="Arial Narrow"/>
                <w:sz w:val="18"/>
                <w:szCs w:val="18"/>
              </w:rPr>
            </w:pPr>
            <w:r w:rsidRPr="00354F5E">
              <w:rPr>
                <w:rFonts w:ascii="Arial Narrow" w:hAnsi="Arial Narrow"/>
                <w:sz w:val="18"/>
                <w:szCs w:val="18"/>
              </w:rPr>
              <w:t>28</w:t>
            </w:r>
          </w:p>
        </w:tc>
        <w:tc>
          <w:tcPr>
            <w:tcW w:w="799" w:type="pct"/>
            <w:tcBorders>
              <w:top w:val="single" w:sz="4" w:space="0" w:color="auto"/>
              <w:left w:val="single" w:sz="4" w:space="0" w:color="auto"/>
              <w:bottom w:val="single" w:sz="4" w:space="0" w:color="auto"/>
              <w:right w:val="single" w:sz="4" w:space="0" w:color="auto"/>
            </w:tcBorders>
          </w:tcPr>
          <w:p w:rsidR="006554FF" w:rsidRPr="00354F5E" w:rsidRDefault="006554FF" w:rsidP="006554FF">
            <w:pPr>
              <w:keepNext/>
              <w:ind w:left="-108"/>
              <w:jc w:val="center"/>
              <w:rPr>
                <w:rFonts w:ascii="Arial Narrow" w:hAnsi="Arial Narrow"/>
                <w:sz w:val="18"/>
                <w:szCs w:val="18"/>
              </w:rPr>
            </w:pPr>
          </w:p>
          <w:p w:rsidR="006554FF" w:rsidRPr="00354F5E" w:rsidRDefault="006554FF" w:rsidP="006554FF">
            <w:pPr>
              <w:keepNext/>
              <w:ind w:left="-108"/>
              <w:jc w:val="center"/>
              <w:rPr>
                <w:rFonts w:ascii="Arial Narrow" w:hAnsi="Arial Narrow"/>
                <w:sz w:val="18"/>
                <w:szCs w:val="18"/>
              </w:rPr>
            </w:pPr>
            <w:r w:rsidRPr="00354F5E">
              <w:rPr>
                <w:rFonts w:ascii="Arial Narrow" w:hAnsi="Arial Narrow"/>
                <w:sz w:val="18"/>
                <w:szCs w:val="18"/>
              </w:rPr>
              <w:t>5</w:t>
            </w:r>
          </w:p>
        </w:tc>
        <w:tc>
          <w:tcPr>
            <w:tcW w:w="1009" w:type="pct"/>
            <w:tcBorders>
              <w:top w:val="single" w:sz="4" w:space="0" w:color="auto"/>
              <w:left w:val="single" w:sz="4" w:space="0" w:color="auto"/>
              <w:bottom w:val="single" w:sz="4" w:space="0" w:color="auto"/>
              <w:right w:val="single" w:sz="4" w:space="0" w:color="auto"/>
            </w:tcBorders>
          </w:tcPr>
          <w:p w:rsidR="006554FF" w:rsidRPr="00354F5E" w:rsidRDefault="006554FF" w:rsidP="006554FF">
            <w:pPr>
              <w:keepNext/>
              <w:rPr>
                <w:rFonts w:ascii="Arial Narrow" w:hAnsi="Arial Narrow"/>
                <w:sz w:val="18"/>
                <w:szCs w:val="18"/>
              </w:rPr>
            </w:pPr>
          </w:p>
          <w:p w:rsidR="006554FF" w:rsidRPr="00354F5E" w:rsidRDefault="006554FF" w:rsidP="006554FF">
            <w:pPr>
              <w:keepNext/>
              <w:rPr>
                <w:rFonts w:ascii="Arial Narrow" w:hAnsi="Arial Narrow"/>
                <w:sz w:val="18"/>
                <w:szCs w:val="18"/>
                <w:vertAlign w:val="superscript"/>
              </w:rPr>
            </w:pPr>
            <w:r w:rsidRPr="00354F5E">
              <w:rPr>
                <w:rFonts w:ascii="Arial Narrow" w:hAnsi="Arial Narrow"/>
                <w:sz w:val="18"/>
                <w:szCs w:val="18"/>
              </w:rPr>
              <w:t>Rinvoq</w:t>
            </w:r>
            <w:r w:rsidRPr="00354F5E">
              <w:rPr>
                <w:rFonts w:ascii="Arial Narrow" w:hAnsi="Arial Narrow"/>
                <w:sz w:val="18"/>
                <w:szCs w:val="18"/>
                <w:vertAlign w:val="superscript"/>
              </w:rPr>
              <w:t>®</w:t>
            </w:r>
          </w:p>
          <w:p w:rsidR="006554FF" w:rsidRPr="00354F5E" w:rsidRDefault="006554FF" w:rsidP="006554FF">
            <w:pPr>
              <w:keepNext/>
              <w:jc w:val="center"/>
              <w:rPr>
                <w:rFonts w:ascii="Arial Narrow" w:hAnsi="Arial Narrow" w:cs="Times New Roman"/>
                <w:sz w:val="18"/>
                <w:szCs w:val="18"/>
              </w:rPr>
            </w:pPr>
          </w:p>
        </w:tc>
      </w:tr>
    </w:tbl>
    <w:p w:rsidR="006554FF" w:rsidRPr="00354F5E" w:rsidRDefault="006554FF" w:rsidP="00395EA6"/>
    <w:tbl>
      <w:tblPr>
        <w:tblStyle w:val="TableGrid"/>
        <w:tblW w:w="5000" w:type="pct"/>
        <w:tblLook w:val="04A0" w:firstRow="1" w:lastRow="0" w:firstColumn="1" w:lastColumn="0" w:noHBand="0" w:noVBand="1"/>
        <w:tblCaption w:val="Restriction Summary"/>
      </w:tblPr>
      <w:tblGrid>
        <w:gridCol w:w="4784"/>
        <w:gridCol w:w="4233"/>
      </w:tblGrid>
      <w:tr w:rsidR="00FF1471" w:rsidRPr="00354F5E" w:rsidTr="003863A9">
        <w:trPr>
          <w:tblHeader/>
        </w:trPr>
        <w:tc>
          <w:tcPr>
            <w:tcW w:w="2653" w:type="pct"/>
            <w:tcBorders>
              <w:top w:val="single" w:sz="4" w:space="0" w:color="auto"/>
              <w:left w:val="single" w:sz="4" w:space="0" w:color="auto"/>
              <w:bottom w:val="single" w:sz="4" w:space="0" w:color="auto"/>
              <w:right w:val="single" w:sz="4" w:space="0" w:color="auto"/>
            </w:tcBorders>
            <w:hideMark/>
          </w:tcPr>
          <w:p w:rsidR="00FF1471" w:rsidRPr="00354F5E" w:rsidRDefault="00FF1471" w:rsidP="00730346">
            <w:pPr>
              <w:keepNext/>
              <w:ind w:left="-108"/>
              <w:rPr>
                <w:rFonts w:ascii="Arial Narrow" w:hAnsi="Arial Narrow"/>
                <w:sz w:val="18"/>
                <w:szCs w:val="18"/>
              </w:rPr>
            </w:pPr>
            <w:r w:rsidRPr="00354F5E">
              <w:rPr>
                <w:rFonts w:ascii="Arial Narrow" w:hAnsi="Arial Narrow"/>
                <w:b/>
                <w:sz w:val="18"/>
                <w:szCs w:val="18"/>
              </w:rPr>
              <w:t xml:space="preserve">Restriction Summary </w:t>
            </w:r>
          </w:p>
        </w:tc>
        <w:tc>
          <w:tcPr>
            <w:tcW w:w="2347" w:type="pct"/>
            <w:tcBorders>
              <w:top w:val="single" w:sz="4" w:space="0" w:color="auto"/>
              <w:left w:val="single" w:sz="4" w:space="0" w:color="auto"/>
              <w:bottom w:val="single" w:sz="4" w:space="0" w:color="auto"/>
              <w:right w:val="single" w:sz="4" w:space="0" w:color="auto"/>
            </w:tcBorders>
            <w:hideMark/>
          </w:tcPr>
          <w:p w:rsidR="00FF1471" w:rsidRPr="00354F5E" w:rsidRDefault="00FF1471" w:rsidP="00730346">
            <w:pPr>
              <w:keepNext/>
              <w:ind w:left="-108"/>
              <w:rPr>
                <w:rFonts w:ascii="Arial Narrow" w:hAnsi="Arial Narrow"/>
                <w:sz w:val="18"/>
                <w:szCs w:val="18"/>
              </w:rPr>
            </w:pPr>
            <w:r w:rsidRPr="00354F5E">
              <w:rPr>
                <w:rFonts w:ascii="Arial Narrow" w:hAnsi="Arial Narrow"/>
                <w:b/>
                <w:sz w:val="18"/>
                <w:szCs w:val="18"/>
              </w:rPr>
              <w:t>Treatment phase</w:t>
            </w:r>
          </w:p>
        </w:tc>
      </w:tr>
      <w:tr w:rsidR="00FF1471" w:rsidRPr="00354F5E" w:rsidTr="00B00354">
        <w:tc>
          <w:tcPr>
            <w:tcW w:w="2653" w:type="pct"/>
            <w:tcBorders>
              <w:top w:val="single" w:sz="4" w:space="0" w:color="auto"/>
              <w:left w:val="single" w:sz="4" w:space="0" w:color="auto"/>
              <w:bottom w:val="single" w:sz="4" w:space="0" w:color="auto"/>
              <w:right w:val="single" w:sz="4" w:space="0" w:color="auto"/>
            </w:tcBorders>
            <w:hideMark/>
          </w:tcPr>
          <w:p w:rsidR="00FF1471" w:rsidRPr="00354F5E" w:rsidRDefault="00FF1471" w:rsidP="00730346">
            <w:pPr>
              <w:keepNext/>
              <w:ind w:left="-108"/>
              <w:rPr>
                <w:rFonts w:ascii="Arial Narrow" w:hAnsi="Arial Narrow"/>
                <w:sz w:val="18"/>
                <w:szCs w:val="18"/>
              </w:rPr>
            </w:pPr>
            <w:r w:rsidRPr="00354F5E">
              <w:rPr>
                <w:rFonts w:ascii="Arial Narrow" w:hAnsi="Arial Narrow"/>
                <w:sz w:val="18"/>
                <w:szCs w:val="18"/>
              </w:rPr>
              <w:t>Restriction Summary 9117 / ToC: 9116: Authority Required</w:t>
            </w:r>
          </w:p>
        </w:tc>
        <w:tc>
          <w:tcPr>
            <w:tcW w:w="2347" w:type="pct"/>
            <w:tcBorders>
              <w:top w:val="single" w:sz="4" w:space="0" w:color="auto"/>
              <w:left w:val="single" w:sz="4" w:space="0" w:color="auto"/>
              <w:bottom w:val="single" w:sz="4" w:space="0" w:color="auto"/>
              <w:right w:val="single" w:sz="4" w:space="0" w:color="auto"/>
            </w:tcBorders>
            <w:hideMark/>
          </w:tcPr>
          <w:p w:rsidR="00FF1471" w:rsidRPr="00354F5E" w:rsidRDefault="00FF1471" w:rsidP="00730346">
            <w:pPr>
              <w:keepNext/>
              <w:ind w:left="-108"/>
              <w:rPr>
                <w:rFonts w:ascii="Arial Narrow" w:hAnsi="Arial Narrow"/>
                <w:sz w:val="18"/>
                <w:szCs w:val="18"/>
              </w:rPr>
            </w:pPr>
            <w:r w:rsidRPr="00354F5E">
              <w:rPr>
                <w:rFonts w:ascii="Arial Narrow" w:hAnsi="Arial Narrow"/>
                <w:sz w:val="18"/>
                <w:szCs w:val="18"/>
              </w:rPr>
              <w:t>Continuing treatment</w:t>
            </w:r>
          </w:p>
        </w:tc>
      </w:tr>
      <w:tr w:rsidR="00FF1471" w:rsidRPr="00354F5E" w:rsidTr="00B00354">
        <w:tc>
          <w:tcPr>
            <w:tcW w:w="2653" w:type="pct"/>
            <w:tcBorders>
              <w:top w:val="single" w:sz="4" w:space="0" w:color="auto"/>
              <w:left w:val="single" w:sz="4" w:space="0" w:color="auto"/>
              <w:bottom w:val="single" w:sz="4" w:space="0" w:color="auto"/>
              <w:right w:val="single" w:sz="4" w:space="0" w:color="auto"/>
            </w:tcBorders>
          </w:tcPr>
          <w:p w:rsidR="00FF1471" w:rsidRPr="00354F5E" w:rsidRDefault="00FF1471" w:rsidP="00730346">
            <w:pPr>
              <w:keepNext/>
              <w:ind w:left="-108"/>
              <w:rPr>
                <w:rFonts w:ascii="Arial Narrow" w:hAnsi="Arial Narrow"/>
                <w:sz w:val="18"/>
                <w:szCs w:val="18"/>
              </w:rPr>
            </w:pPr>
            <w:r w:rsidRPr="00354F5E">
              <w:rPr>
                <w:rFonts w:ascii="Arial Narrow" w:hAnsi="Arial Narrow"/>
                <w:sz w:val="18"/>
                <w:szCs w:val="18"/>
              </w:rPr>
              <w:t>Restriction Summary 9077 / ToC: 9141: Authority Required</w:t>
            </w:r>
          </w:p>
        </w:tc>
        <w:tc>
          <w:tcPr>
            <w:tcW w:w="2347" w:type="pct"/>
            <w:tcBorders>
              <w:top w:val="single" w:sz="4" w:space="0" w:color="auto"/>
              <w:left w:val="single" w:sz="4" w:space="0" w:color="auto"/>
              <w:bottom w:val="single" w:sz="4" w:space="0" w:color="auto"/>
              <w:right w:val="single" w:sz="4" w:space="0" w:color="auto"/>
            </w:tcBorders>
          </w:tcPr>
          <w:p w:rsidR="00FF1471" w:rsidRPr="00354F5E" w:rsidRDefault="00FF1471" w:rsidP="00730346">
            <w:pPr>
              <w:keepNext/>
              <w:ind w:left="-108"/>
              <w:rPr>
                <w:rFonts w:ascii="Arial Narrow" w:hAnsi="Arial Narrow"/>
                <w:sz w:val="18"/>
                <w:szCs w:val="18"/>
              </w:rPr>
            </w:pPr>
            <w:r w:rsidRPr="00354F5E">
              <w:rPr>
                <w:rFonts w:ascii="Arial Narrow" w:hAnsi="Arial Narrow"/>
                <w:sz w:val="18"/>
                <w:szCs w:val="18"/>
              </w:rPr>
              <w:t>Continuing treatment or Grandfathered patients - balance of supply</w:t>
            </w:r>
          </w:p>
        </w:tc>
      </w:tr>
      <w:tr w:rsidR="00FF1471" w:rsidRPr="00354F5E" w:rsidTr="00B00354">
        <w:tc>
          <w:tcPr>
            <w:tcW w:w="2653" w:type="pct"/>
            <w:tcBorders>
              <w:top w:val="single" w:sz="4" w:space="0" w:color="auto"/>
              <w:left w:val="single" w:sz="4" w:space="0" w:color="auto"/>
              <w:bottom w:val="single" w:sz="4" w:space="0" w:color="auto"/>
              <w:right w:val="single" w:sz="4" w:space="0" w:color="auto"/>
            </w:tcBorders>
          </w:tcPr>
          <w:p w:rsidR="00FF1471" w:rsidRPr="00354F5E" w:rsidRDefault="00FF1471" w:rsidP="00505FCB">
            <w:pPr>
              <w:keepNext/>
              <w:ind w:left="-108"/>
              <w:rPr>
                <w:rFonts w:ascii="Arial Narrow" w:hAnsi="Arial Narrow"/>
                <w:sz w:val="18"/>
                <w:szCs w:val="18"/>
              </w:rPr>
            </w:pPr>
            <w:r w:rsidRPr="00354F5E">
              <w:rPr>
                <w:rFonts w:ascii="Arial Narrow" w:hAnsi="Arial Narrow"/>
                <w:sz w:val="18"/>
                <w:szCs w:val="18"/>
              </w:rPr>
              <w:t xml:space="preserve">Restriction Summary </w:t>
            </w:r>
            <w:r w:rsidR="00505FCB" w:rsidRPr="00354F5E">
              <w:rPr>
                <w:rFonts w:ascii="Arial Narrow" w:hAnsi="Arial Narrow"/>
                <w:sz w:val="18"/>
                <w:szCs w:val="18"/>
              </w:rPr>
              <w:t xml:space="preserve">NEW </w:t>
            </w:r>
            <w:r w:rsidRPr="00354F5E">
              <w:rPr>
                <w:rFonts w:ascii="Arial Narrow" w:hAnsi="Arial Narrow"/>
                <w:sz w:val="18"/>
                <w:szCs w:val="18"/>
              </w:rPr>
              <w:t xml:space="preserve">/ ToC: </w:t>
            </w:r>
            <w:r w:rsidR="00505FCB" w:rsidRPr="00354F5E">
              <w:rPr>
                <w:rFonts w:ascii="Arial Narrow" w:hAnsi="Arial Narrow"/>
                <w:sz w:val="18"/>
                <w:szCs w:val="18"/>
              </w:rPr>
              <w:t>NEW</w:t>
            </w:r>
            <w:r w:rsidRPr="00354F5E">
              <w:rPr>
                <w:rFonts w:ascii="Arial Narrow" w:hAnsi="Arial Narrow"/>
                <w:sz w:val="18"/>
                <w:szCs w:val="18"/>
              </w:rPr>
              <w:t>: Authority Required</w:t>
            </w:r>
          </w:p>
        </w:tc>
        <w:tc>
          <w:tcPr>
            <w:tcW w:w="2347" w:type="pct"/>
            <w:tcBorders>
              <w:top w:val="single" w:sz="4" w:space="0" w:color="auto"/>
              <w:left w:val="single" w:sz="4" w:space="0" w:color="auto"/>
              <w:bottom w:val="single" w:sz="4" w:space="0" w:color="auto"/>
              <w:right w:val="single" w:sz="4" w:space="0" w:color="auto"/>
            </w:tcBorders>
          </w:tcPr>
          <w:p w:rsidR="00FF1471" w:rsidRPr="00354F5E" w:rsidRDefault="00FF1471" w:rsidP="00730346">
            <w:pPr>
              <w:keepNext/>
              <w:ind w:left="-108"/>
              <w:rPr>
                <w:rFonts w:ascii="Arial Narrow" w:hAnsi="Arial Narrow"/>
                <w:sz w:val="18"/>
                <w:szCs w:val="18"/>
              </w:rPr>
            </w:pPr>
            <w:r w:rsidRPr="00354F5E">
              <w:rPr>
                <w:rFonts w:ascii="Arial Narrow" w:hAnsi="Arial Narrow"/>
                <w:sz w:val="18"/>
                <w:szCs w:val="18"/>
              </w:rPr>
              <w:t>Grandfather treatment</w:t>
            </w:r>
          </w:p>
        </w:tc>
      </w:tr>
    </w:tbl>
    <w:p w:rsidR="00FF1471" w:rsidRPr="00354F5E" w:rsidRDefault="00FF1471" w:rsidP="00395E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26"/>
      </w:tblGrid>
      <w:tr w:rsidR="005C22A9" w:rsidRPr="005B0842" w:rsidTr="005C22A9">
        <w:tc>
          <w:tcPr>
            <w:tcW w:w="8926"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hideMark/>
          </w:tcPr>
          <w:p w:rsidR="005C22A9" w:rsidRPr="00505FCB" w:rsidRDefault="005C22A9" w:rsidP="00730346">
            <w:pPr>
              <w:jc w:val="left"/>
              <w:textAlignment w:val="baseline"/>
              <w:rPr>
                <w:rFonts w:ascii="Arial Narrow" w:hAnsi="Arial Narrow" w:cs="Times New Roman"/>
                <w:b/>
                <w:bCs/>
                <w:sz w:val="18"/>
                <w:szCs w:val="18"/>
                <w:bdr w:val="none" w:sz="0" w:space="0" w:color="auto" w:frame="1"/>
              </w:rPr>
            </w:pPr>
            <w:r w:rsidRPr="00505FCB">
              <w:rPr>
                <w:rFonts w:ascii="Arial Narrow" w:hAnsi="Arial Narrow" w:cs="Times New Roman"/>
                <w:b/>
                <w:bCs/>
                <w:sz w:val="18"/>
                <w:szCs w:val="18"/>
                <w:bdr w:val="none" w:sz="0" w:space="0" w:color="auto" w:frame="1"/>
              </w:rPr>
              <w:t xml:space="preserve">Category / Program:   </w:t>
            </w:r>
            <w:r w:rsidRPr="00E75886">
              <w:rPr>
                <w:rFonts w:ascii="Arial Narrow" w:hAnsi="Arial Narrow" w:cs="Times New Roman"/>
                <w:bCs/>
                <w:sz w:val="18"/>
                <w:szCs w:val="18"/>
                <w:bdr w:val="none" w:sz="0" w:space="0" w:color="auto" w:frame="1"/>
              </w:rPr>
              <w:t>GENERAL – General Schedule (Code GE)</w:t>
            </w:r>
            <w:r w:rsidRPr="00505FCB">
              <w:rPr>
                <w:rFonts w:ascii="Arial Narrow" w:hAnsi="Arial Narrow" w:cs="Times New Roman"/>
                <w:b/>
                <w:bCs/>
                <w:sz w:val="18"/>
                <w:szCs w:val="18"/>
                <w:bdr w:val="none" w:sz="0" w:space="0" w:color="auto" w:frame="1"/>
              </w:rPr>
              <w:t xml:space="preserve">     </w:t>
            </w:r>
          </w:p>
        </w:tc>
      </w:tr>
      <w:tr w:rsidR="005C22A9" w:rsidRPr="005B0842" w:rsidTr="005C22A9">
        <w:trPr>
          <w:trHeight w:val="73"/>
        </w:trPr>
        <w:tc>
          <w:tcPr>
            <w:tcW w:w="8926"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hideMark/>
          </w:tcPr>
          <w:p w:rsidR="005C22A9" w:rsidRPr="00505FCB" w:rsidRDefault="005C22A9" w:rsidP="00730346">
            <w:pPr>
              <w:jc w:val="left"/>
              <w:textAlignment w:val="baseline"/>
              <w:rPr>
                <w:rFonts w:ascii="Arial Narrow" w:hAnsi="Arial Narrow" w:cs="Times New Roman"/>
                <w:b/>
                <w:bCs/>
                <w:sz w:val="18"/>
                <w:szCs w:val="18"/>
                <w:bdr w:val="none" w:sz="0" w:space="0" w:color="auto" w:frame="1"/>
              </w:rPr>
            </w:pPr>
            <w:r w:rsidRPr="00505FCB">
              <w:rPr>
                <w:rFonts w:ascii="Arial Narrow" w:hAnsi="Arial Narrow" w:cs="Times New Roman"/>
                <w:b/>
                <w:bCs/>
                <w:sz w:val="18"/>
                <w:szCs w:val="18"/>
                <w:bdr w:val="none" w:sz="0" w:space="0" w:color="auto" w:frame="1"/>
              </w:rPr>
              <w:t xml:space="preserve">Prescriber type:  </w:t>
            </w:r>
            <w:r w:rsidRPr="00505FCB">
              <w:rPr>
                <w:rFonts w:ascii="Arial Narrow" w:hAnsi="Arial Narrow" w:cs="Times New Roman"/>
                <w:b/>
                <w:bCs/>
                <w:sz w:val="18"/>
                <w:szCs w:val="18"/>
                <w:bdr w:val="none" w:sz="0" w:space="0" w:color="auto" w:frame="1"/>
              </w:rPr>
              <w:fldChar w:fldCharType="begin">
                <w:ffData>
                  <w:name w:val=""/>
                  <w:enabled/>
                  <w:calcOnExit w:val="0"/>
                  <w:checkBox>
                    <w:sizeAuto/>
                    <w:default w:val="1"/>
                  </w:checkBox>
                </w:ffData>
              </w:fldChar>
            </w:r>
            <w:r w:rsidRPr="00505FCB">
              <w:rPr>
                <w:rFonts w:ascii="Arial Narrow" w:hAnsi="Arial Narrow" w:cs="Times New Roman"/>
                <w:b/>
                <w:bCs/>
                <w:sz w:val="18"/>
                <w:szCs w:val="18"/>
                <w:bdr w:val="none" w:sz="0" w:space="0" w:color="auto" w:frame="1"/>
              </w:rPr>
              <w:instrText xml:space="preserve"> FORMCHECKBOX </w:instrText>
            </w:r>
            <w:r w:rsidR="002D5A94">
              <w:rPr>
                <w:rFonts w:ascii="Arial Narrow" w:hAnsi="Arial Narrow" w:cs="Times New Roman"/>
                <w:b/>
                <w:bCs/>
                <w:sz w:val="18"/>
                <w:szCs w:val="18"/>
                <w:bdr w:val="none" w:sz="0" w:space="0" w:color="auto" w:frame="1"/>
              </w:rPr>
            </w:r>
            <w:r w:rsidR="002D5A94">
              <w:rPr>
                <w:rFonts w:ascii="Arial Narrow" w:hAnsi="Arial Narrow" w:cs="Times New Roman"/>
                <w:b/>
                <w:bCs/>
                <w:sz w:val="18"/>
                <w:szCs w:val="18"/>
                <w:bdr w:val="none" w:sz="0" w:space="0" w:color="auto" w:frame="1"/>
              </w:rPr>
              <w:fldChar w:fldCharType="separate"/>
            </w:r>
            <w:r w:rsidRPr="00505FCB">
              <w:rPr>
                <w:rFonts w:ascii="Arial Narrow" w:hAnsi="Arial Narrow" w:cs="Times New Roman"/>
                <w:b/>
                <w:bCs/>
                <w:sz w:val="18"/>
                <w:szCs w:val="18"/>
                <w:bdr w:val="none" w:sz="0" w:space="0" w:color="auto" w:frame="1"/>
              </w:rPr>
              <w:fldChar w:fldCharType="end"/>
            </w:r>
            <w:r w:rsidRPr="00E75886">
              <w:rPr>
                <w:rFonts w:ascii="Arial Narrow" w:hAnsi="Arial Narrow" w:cs="Times New Roman"/>
                <w:bCs/>
                <w:sz w:val="18"/>
                <w:szCs w:val="18"/>
                <w:bdr w:val="none" w:sz="0" w:space="0" w:color="auto" w:frame="1"/>
              </w:rPr>
              <w:t>Medical Practitioners</w:t>
            </w:r>
            <w:r w:rsidRPr="00505FCB">
              <w:rPr>
                <w:rFonts w:ascii="Arial Narrow" w:hAnsi="Arial Narrow" w:cs="Times New Roman"/>
                <w:b/>
                <w:bCs/>
                <w:sz w:val="18"/>
                <w:szCs w:val="18"/>
                <w:bdr w:val="none" w:sz="0" w:space="0" w:color="auto" w:frame="1"/>
              </w:rPr>
              <w:t xml:space="preserve">  </w:t>
            </w:r>
          </w:p>
        </w:tc>
      </w:tr>
      <w:tr w:rsidR="005C22A9" w:rsidRPr="005B0842" w:rsidTr="005C22A9">
        <w:tc>
          <w:tcPr>
            <w:tcW w:w="8926"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hideMark/>
          </w:tcPr>
          <w:p w:rsidR="005C22A9" w:rsidRPr="00505FCB" w:rsidRDefault="005C22A9" w:rsidP="00730346">
            <w:pPr>
              <w:jc w:val="left"/>
              <w:textAlignment w:val="baseline"/>
              <w:rPr>
                <w:rFonts w:ascii="Arial Narrow" w:hAnsi="Arial Narrow" w:cs="Times New Roman"/>
                <w:b/>
                <w:bCs/>
                <w:sz w:val="18"/>
                <w:szCs w:val="18"/>
                <w:bdr w:val="none" w:sz="0" w:space="0" w:color="auto" w:frame="1"/>
              </w:rPr>
            </w:pPr>
            <w:r w:rsidRPr="00505FCB">
              <w:rPr>
                <w:rFonts w:ascii="Arial Narrow" w:hAnsi="Arial Narrow" w:cs="Times New Roman"/>
                <w:b/>
                <w:bCs/>
                <w:sz w:val="18"/>
                <w:szCs w:val="18"/>
                <w:bdr w:val="none" w:sz="0" w:space="0" w:color="auto" w:frame="1"/>
              </w:rPr>
              <w:t xml:space="preserve">Restriction type / Method: </w:t>
            </w:r>
            <w:r w:rsidRPr="00505FCB">
              <w:rPr>
                <w:rFonts w:ascii="Arial Narrow" w:hAnsi="Arial Narrow" w:cs="Times New Roman"/>
                <w:b/>
                <w:bCs/>
                <w:sz w:val="18"/>
                <w:szCs w:val="18"/>
                <w:bdr w:val="none" w:sz="0" w:space="0" w:color="auto" w:frame="1"/>
              </w:rPr>
              <w:fldChar w:fldCharType="begin">
                <w:ffData>
                  <w:name w:val=""/>
                  <w:enabled/>
                  <w:calcOnExit w:val="0"/>
                  <w:checkBox>
                    <w:sizeAuto/>
                    <w:default w:val="1"/>
                  </w:checkBox>
                </w:ffData>
              </w:fldChar>
            </w:r>
            <w:r w:rsidRPr="00505FCB">
              <w:rPr>
                <w:rFonts w:ascii="Arial Narrow" w:hAnsi="Arial Narrow" w:cs="Times New Roman"/>
                <w:b/>
                <w:bCs/>
                <w:sz w:val="18"/>
                <w:szCs w:val="18"/>
                <w:bdr w:val="none" w:sz="0" w:space="0" w:color="auto" w:frame="1"/>
              </w:rPr>
              <w:instrText xml:space="preserve"> FORMCHECKBOX </w:instrText>
            </w:r>
            <w:r w:rsidR="002D5A94">
              <w:rPr>
                <w:rFonts w:ascii="Arial Narrow" w:hAnsi="Arial Narrow" w:cs="Times New Roman"/>
                <w:b/>
                <w:bCs/>
                <w:sz w:val="18"/>
                <w:szCs w:val="18"/>
                <w:bdr w:val="none" w:sz="0" w:space="0" w:color="auto" w:frame="1"/>
              </w:rPr>
            </w:r>
            <w:r w:rsidR="002D5A94">
              <w:rPr>
                <w:rFonts w:ascii="Arial Narrow" w:hAnsi="Arial Narrow" w:cs="Times New Roman"/>
                <w:b/>
                <w:bCs/>
                <w:sz w:val="18"/>
                <w:szCs w:val="18"/>
                <w:bdr w:val="none" w:sz="0" w:space="0" w:color="auto" w:frame="1"/>
              </w:rPr>
              <w:fldChar w:fldCharType="separate"/>
            </w:r>
            <w:r w:rsidRPr="00505FCB">
              <w:rPr>
                <w:rFonts w:ascii="Arial Narrow" w:hAnsi="Arial Narrow" w:cs="Times New Roman"/>
                <w:b/>
                <w:bCs/>
                <w:sz w:val="18"/>
                <w:szCs w:val="18"/>
                <w:bdr w:val="none" w:sz="0" w:space="0" w:color="auto" w:frame="1"/>
              </w:rPr>
              <w:fldChar w:fldCharType="end"/>
            </w:r>
            <w:r w:rsidRPr="00E75886">
              <w:rPr>
                <w:rFonts w:ascii="Arial Narrow" w:hAnsi="Arial Narrow" w:cs="Times New Roman"/>
                <w:bCs/>
                <w:sz w:val="18"/>
                <w:szCs w:val="18"/>
                <w:bdr w:val="none" w:sz="0" w:space="0" w:color="auto" w:frame="1"/>
              </w:rPr>
              <w:t>Authority Required - In Writing</w:t>
            </w:r>
          </w:p>
        </w:tc>
      </w:tr>
      <w:tr w:rsidR="005C22A9" w:rsidRPr="00615BB3" w:rsidTr="005C22A9">
        <w:tc>
          <w:tcPr>
            <w:tcW w:w="8926"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hideMark/>
          </w:tcPr>
          <w:p w:rsidR="005C22A9" w:rsidRPr="00505FCB" w:rsidRDefault="005C22A9" w:rsidP="00730346">
            <w:pPr>
              <w:jc w:val="left"/>
              <w:textAlignment w:val="baseline"/>
              <w:rPr>
                <w:rFonts w:ascii="Arial Narrow" w:hAnsi="Arial Narrow" w:cs="Times New Roman"/>
                <w:b/>
                <w:bCs/>
                <w:sz w:val="18"/>
                <w:szCs w:val="18"/>
                <w:bdr w:val="none" w:sz="0" w:space="0" w:color="auto" w:frame="1"/>
              </w:rPr>
            </w:pPr>
            <w:r w:rsidRPr="00505FCB">
              <w:rPr>
                <w:rFonts w:ascii="Arial Narrow" w:hAnsi="Arial Narrow" w:cs="Times New Roman"/>
                <w:b/>
                <w:bCs/>
                <w:sz w:val="18"/>
                <w:szCs w:val="18"/>
                <w:bdr w:val="none" w:sz="0" w:space="0" w:color="auto" w:frame="1"/>
              </w:rPr>
              <w:t>Administrative Advice: TREATMENT OF ADULT PATIENTS WITH SEVERE ACTIVE PSORIATIC ARTHRITIS</w:t>
            </w:r>
          </w:p>
        </w:tc>
      </w:tr>
      <w:tr w:rsidR="005C22A9" w:rsidRPr="005B0842" w:rsidTr="005C22A9">
        <w:tc>
          <w:tcPr>
            <w:tcW w:w="8926"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hideMark/>
          </w:tcPr>
          <w:p w:rsidR="005C22A9" w:rsidRPr="00505FCB" w:rsidRDefault="005C22A9" w:rsidP="00730346">
            <w:pPr>
              <w:jc w:val="left"/>
              <w:textAlignment w:val="baseline"/>
              <w:rPr>
                <w:rFonts w:ascii="Arial Narrow" w:hAnsi="Arial Narrow" w:cs="Times New Roman"/>
                <w:b/>
                <w:bCs/>
                <w:sz w:val="18"/>
                <w:szCs w:val="18"/>
                <w:bdr w:val="none" w:sz="0" w:space="0" w:color="auto" w:frame="1"/>
              </w:rPr>
            </w:pPr>
            <w:r w:rsidRPr="00505FCB">
              <w:rPr>
                <w:rFonts w:ascii="Arial Narrow" w:hAnsi="Arial Narrow" w:cs="Times New Roman"/>
                <w:b/>
                <w:bCs/>
                <w:sz w:val="18"/>
                <w:szCs w:val="18"/>
                <w:bdr w:val="none" w:sz="0" w:space="0" w:color="auto" w:frame="1"/>
              </w:rPr>
              <w:t xml:space="preserve">Administrative Advice: </w:t>
            </w:r>
            <w:r w:rsidRPr="00E75886">
              <w:rPr>
                <w:rFonts w:ascii="Arial Narrow" w:hAnsi="Arial Narrow" w:cs="Times New Roman"/>
                <w:bCs/>
                <w:sz w:val="18"/>
                <w:szCs w:val="18"/>
                <w:bdr w:val="none" w:sz="0" w:space="0" w:color="auto" w:frame="1"/>
              </w:rPr>
              <w:t>Special Pricing Arrangements apply.</w:t>
            </w:r>
          </w:p>
        </w:tc>
      </w:tr>
      <w:tr w:rsidR="005C22A9" w:rsidRPr="005B0842" w:rsidTr="005C22A9">
        <w:tc>
          <w:tcPr>
            <w:tcW w:w="8926"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C22A9" w:rsidRPr="00E75886" w:rsidRDefault="005C22A9" w:rsidP="00730346">
            <w:pPr>
              <w:jc w:val="left"/>
              <w:textAlignment w:val="baseline"/>
              <w:rPr>
                <w:rFonts w:ascii="Arial Narrow" w:hAnsi="Arial Narrow" w:cs="Times New Roman"/>
                <w:b/>
                <w:bCs/>
                <w:sz w:val="18"/>
                <w:szCs w:val="18"/>
                <w:bdr w:val="none" w:sz="0" w:space="0" w:color="auto" w:frame="1"/>
              </w:rPr>
            </w:pPr>
            <w:r>
              <w:rPr>
                <w:rFonts w:ascii="Arial Narrow" w:hAnsi="Arial Narrow" w:cs="Times New Roman"/>
                <w:b/>
                <w:bCs/>
                <w:sz w:val="18"/>
                <w:szCs w:val="18"/>
                <w:bdr w:val="none" w:sz="0" w:space="0" w:color="auto" w:frame="1"/>
              </w:rPr>
              <w:t xml:space="preserve">Administrative Advice: </w:t>
            </w:r>
            <w:r w:rsidRPr="00E75886">
              <w:rPr>
                <w:rFonts w:ascii="Arial Narrow" w:hAnsi="Arial Narrow" w:cs="Times New Roman"/>
                <w:bCs/>
                <w:sz w:val="18"/>
                <w:szCs w:val="18"/>
                <w:bdr w:val="none" w:sz="0" w:space="0" w:color="auto" w:frame="1"/>
              </w:rPr>
              <w:t>No increase in the maximum quantity or number of units may be authorised.</w:t>
            </w:r>
          </w:p>
        </w:tc>
      </w:tr>
      <w:tr w:rsidR="005C22A9" w:rsidRPr="005B0842" w:rsidTr="005C22A9">
        <w:tc>
          <w:tcPr>
            <w:tcW w:w="8926"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C22A9" w:rsidRPr="00505FCB" w:rsidRDefault="005C22A9" w:rsidP="00730346">
            <w:pPr>
              <w:jc w:val="left"/>
              <w:textAlignment w:val="baseline"/>
              <w:rPr>
                <w:rFonts w:ascii="Arial Narrow" w:hAnsi="Arial Narrow" w:cs="Times New Roman"/>
                <w:b/>
                <w:bCs/>
                <w:sz w:val="18"/>
                <w:szCs w:val="18"/>
                <w:bdr w:val="none" w:sz="0" w:space="0" w:color="auto" w:frame="1"/>
              </w:rPr>
            </w:pPr>
            <w:r w:rsidRPr="00E75886">
              <w:rPr>
                <w:rFonts w:ascii="Arial Narrow" w:hAnsi="Arial Narrow" w:cs="Times New Roman"/>
                <w:b/>
                <w:bCs/>
                <w:sz w:val="18"/>
                <w:szCs w:val="18"/>
                <w:bdr w:val="none" w:sz="0" w:space="0" w:color="auto" w:frame="1"/>
              </w:rPr>
              <w:t>Administrative Advice:</w:t>
            </w:r>
            <w:r>
              <w:rPr>
                <w:rFonts w:ascii="Arial Narrow" w:hAnsi="Arial Narrow" w:cs="Times New Roman"/>
                <w:b/>
                <w:bCs/>
                <w:sz w:val="18"/>
                <w:szCs w:val="18"/>
                <w:bdr w:val="none" w:sz="0" w:space="0" w:color="auto" w:frame="1"/>
              </w:rPr>
              <w:t xml:space="preserve"> </w:t>
            </w:r>
            <w:r w:rsidRPr="00E75886">
              <w:rPr>
                <w:rFonts w:ascii="Arial Narrow" w:hAnsi="Arial Narrow" w:cs="Times New Roman"/>
                <w:bCs/>
                <w:sz w:val="18"/>
                <w:szCs w:val="18"/>
                <w:bdr w:val="none" w:sz="0" w:space="0" w:color="auto" w:frame="1"/>
              </w:rPr>
              <w:t>No increase in the maximum number of repeats may be authorised.</w:t>
            </w:r>
          </w:p>
        </w:tc>
      </w:tr>
      <w:tr w:rsidR="005C22A9" w:rsidRPr="00505FCB" w:rsidTr="005C22A9">
        <w:tc>
          <w:tcPr>
            <w:tcW w:w="8926" w:type="dxa"/>
            <w:shd w:val="clear" w:color="auto" w:fill="auto"/>
            <w:tcMar>
              <w:top w:w="120" w:type="dxa"/>
              <w:left w:w="240" w:type="dxa"/>
              <w:bottom w:w="120" w:type="dxa"/>
              <w:right w:w="240" w:type="dxa"/>
            </w:tcMar>
            <w:hideMark/>
          </w:tcPr>
          <w:p w:rsidR="005C22A9" w:rsidRPr="00505FCB" w:rsidRDefault="005C22A9" w:rsidP="00730346">
            <w:pPr>
              <w:jc w:val="left"/>
              <w:textAlignment w:val="baseline"/>
              <w:rPr>
                <w:rFonts w:ascii="Arial Narrow" w:hAnsi="Arial Narrow" w:cs="Times New Roman"/>
                <w:sz w:val="18"/>
                <w:szCs w:val="18"/>
              </w:rPr>
            </w:pPr>
            <w:r w:rsidRPr="00505FCB">
              <w:rPr>
                <w:rFonts w:ascii="Arial Narrow" w:hAnsi="Arial Narrow" w:cs="Times New Roman"/>
                <w:b/>
                <w:bCs/>
                <w:sz w:val="18"/>
                <w:szCs w:val="18"/>
                <w:bdr w:val="none" w:sz="0" w:space="0" w:color="auto" w:frame="1"/>
              </w:rPr>
              <w:t>Indication:</w:t>
            </w:r>
            <w:r>
              <w:rPr>
                <w:rFonts w:ascii="Arial Narrow" w:hAnsi="Arial Narrow" w:cs="Times New Roman"/>
                <w:sz w:val="18"/>
                <w:szCs w:val="18"/>
              </w:rPr>
              <w:t xml:space="preserve"> </w:t>
            </w:r>
            <w:r w:rsidRPr="00505FCB">
              <w:rPr>
                <w:rFonts w:ascii="Arial Narrow" w:hAnsi="Arial Narrow" w:cs="Times New Roman"/>
                <w:sz w:val="18"/>
                <w:szCs w:val="18"/>
              </w:rPr>
              <w:t>Severe psoriatic arthritis</w:t>
            </w:r>
          </w:p>
        </w:tc>
      </w:tr>
      <w:tr w:rsidR="005C22A9" w:rsidRPr="00505FCB" w:rsidTr="005C22A9">
        <w:tc>
          <w:tcPr>
            <w:tcW w:w="8926" w:type="dxa"/>
            <w:shd w:val="clear" w:color="auto" w:fill="auto"/>
            <w:tcMar>
              <w:top w:w="120" w:type="dxa"/>
              <w:left w:w="240" w:type="dxa"/>
              <w:bottom w:w="120" w:type="dxa"/>
              <w:right w:w="240" w:type="dxa"/>
            </w:tcMar>
            <w:hideMark/>
          </w:tcPr>
          <w:p w:rsidR="005C22A9" w:rsidRPr="00505FCB" w:rsidRDefault="005C22A9" w:rsidP="00730346">
            <w:pPr>
              <w:jc w:val="left"/>
              <w:textAlignment w:val="baseline"/>
              <w:rPr>
                <w:rFonts w:ascii="Arial Narrow" w:hAnsi="Arial Narrow" w:cs="Times New Roman"/>
                <w:sz w:val="18"/>
                <w:szCs w:val="18"/>
              </w:rPr>
            </w:pPr>
            <w:r w:rsidRPr="00505FCB">
              <w:rPr>
                <w:rFonts w:ascii="Arial Narrow" w:hAnsi="Arial Narrow" w:cs="Times New Roman"/>
                <w:b/>
                <w:bCs/>
                <w:sz w:val="18"/>
                <w:szCs w:val="18"/>
                <w:bdr w:val="none" w:sz="0" w:space="0" w:color="auto" w:frame="1"/>
              </w:rPr>
              <w:t>Treatment Phase:</w:t>
            </w:r>
            <w:r>
              <w:rPr>
                <w:rFonts w:ascii="Arial Narrow" w:hAnsi="Arial Narrow" w:cs="Times New Roman"/>
                <w:sz w:val="18"/>
                <w:szCs w:val="18"/>
              </w:rPr>
              <w:t xml:space="preserve"> </w:t>
            </w:r>
            <w:r w:rsidRPr="00730346">
              <w:rPr>
                <w:rFonts w:ascii="Arial Narrow" w:hAnsi="Arial Narrow" w:cs="Times New Roman"/>
                <w:sz w:val="18"/>
                <w:szCs w:val="18"/>
              </w:rPr>
              <w:t>Transitioning from non-PBS to PBS-subsidised supply - 'Grandfather' arrangements</w:t>
            </w:r>
          </w:p>
        </w:tc>
      </w:tr>
      <w:tr w:rsidR="005C22A9" w:rsidRPr="00505FCB" w:rsidTr="005C22A9">
        <w:tc>
          <w:tcPr>
            <w:tcW w:w="8926" w:type="dxa"/>
            <w:shd w:val="clear" w:color="auto" w:fill="auto"/>
            <w:tcMar>
              <w:top w:w="120" w:type="dxa"/>
              <w:left w:w="240" w:type="dxa"/>
              <w:bottom w:w="120" w:type="dxa"/>
              <w:right w:w="240" w:type="dxa"/>
            </w:tcMar>
            <w:hideMark/>
          </w:tcPr>
          <w:p w:rsidR="005C22A9" w:rsidRPr="00505FCB" w:rsidRDefault="005C22A9" w:rsidP="00730346">
            <w:pPr>
              <w:jc w:val="left"/>
              <w:textAlignment w:val="baseline"/>
              <w:rPr>
                <w:rFonts w:ascii="Arial Narrow" w:hAnsi="Arial Narrow" w:cs="Times New Roman"/>
                <w:sz w:val="18"/>
                <w:szCs w:val="18"/>
              </w:rPr>
            </w:pPr>
            <w:r w:rsidRPr="00505FCB">
              <w:rPr>
                <w:rFonts w:ascii="Arial Narrow" w:hAnsi="Arial Narrow" w:cs="Times New Roman"/>
                <w:b/>
                <w:bCs/>
                <w:sz w:val="18"/>
                <w:szCs w:val="18"/>
                <w:bdr w:val="none" w:sz="0" w:space="0" w:color="auto" w:frame="1"/>
              </w:rPr>
              <w:t>Treatment criteria:</w:t>
            </w:r>
          </w:p>
        </w:tc>
      </w:tr>
      <w:tr w:rsidR="005C22A9" w:rsidRPr="00505FCB" w:rsidTr="005C22A9">
        <w:tc>
          <w:tcPr>
            <w:tcW w:w="8926" w:type="dxa"/>
            <w:shd w:val="clear" w:color="auto" w:fill="auto"/>
            <w:tcMar>
              <w:top w:w="120" w:type="dxa"/>
              <w:left w:w="240" w:type="dxa"/>
              <w:bottom w:w="120" w:type="dxa"/>
              <w:right w:w="240" w:type="dxa"/>
            </w:tcMar>
            <w:hideMark/>
          </w:tcPr>
          <w:p w:rsidR="005C22A9" w:rsidRPr="00505FCB" w:rsidRDefault="005C22A9" w:rsidP="00730346">
            <w:pPr>
              <w:jc w:val="left"/>
              <w:rPr>
                <w:rFonts w:ascii="Arial Narrow" w:hAnsi="Arial Narrow" w:cs="Times New Roman"/>
                <w:sz w:val="18"/>
                <w:szCs w:val="18"/>
              </w:rPr>
            </w:pPr>
            <w:r w:rsidRPr="00505FCB">
              <w:rPr>
                <w:rFonts w:ascii="Arial Narrow" w:hAnsi="Arial Narrow" w:cs="Times New Roman"/>
                <w:sz w:val="18"/>
                <w:szCs w:val="18"/>
              </w:rPr>
              <w:t>Must be treated by a rheumatologist; or</w:t>
            </w:r>
          </w:p>
        </w:tc>
      </w:tr>
      <w:tr w:rsidR="005C22A9" w:rsidRPr="00505FCB" w:rsidTr="005C22A9">
        <w:tc>
          <w:tcPr>
            <w:tcW w:w="8926" w:type="dxa"/>
            <w:shd w:val="clear" w:color="auto" w:fill="auto"/>
            <w:tcMar>
              <w:top w:w="120" w:type="dxa"/>
              <w:left w:w="240" w:type="dxa"/>
              <w:bottom w:w="120" w:type="dxa"/>
              <w:right w:w="240" w:type="dxa"/>
            </w:tcMar>
            <w:hideMark/>
          </w:tcPr>
          <w:p w:rsidR="005C22A9" w:rsidRPr="00505FCB" w:rsidRDefault="005C22A9" w:rsidP="00730346">
            <w:pPr>
              <w:jc w:val="left"/>
              <w:rPr>
                <w:rFonts w:ascii="Arial Narrow" w:hAnsi="Arial Narrow" w:cs="Times New Roman"/>
                <w:sz w:val="18"/>
                <w:szCs w:val="18"/>
              </w:rPr>
            </w:pPr>
            <w:r w:rsidRPr="00505FCB">
              <w:rPr>
                <w:rFonts w:ascii="Arial Narrow" w:hAnsi="Arial Narrow" w:cs="Times New Roman"/>
                <w:sz w:val="18"/>
                <w:szCs w:val="18"/>
              </w:rPr>
              <w:t>Must be treated by a clinical immunologist with expertise in the management of psoriatic arthritis</w:t>
            </w:r>
          </w:p>
        </w:tc>
      </w:tr>
      <w:tr w:rsidR="005C22A9" w:rsidRPr="00505FCB" w:rsidTr="005C22A9">
        <w:tc>
          <w:tcPr>
            <w:tcW w:w="8926" w:type="dxa"/>
            <w:shd w:val="clear" w:color="auto" w:fill="auto"/>
            <w:tcMar>
              <w:top w:w="120" w:type="dxa"/>
              <w:left w:w="240" w:type="dxa"/>
              <w:bottom w:w="120" w:type="dxa"/>
              <w:right w:w="240" w:type="dxa"/>
            </w:tcMar>
            <w:hideMark/>
          </w:tcPr>
          <w:p w:rsidR="005C22A9" w:rsidRPr="00505FCB" w:rsidRDefault="005C22A9" w:rsidP="00730346">
            <w:pPr>
              <w:jc w:val="left"/>
              <w:rPr>
                <w:rFonts w:ascii="Arial Narrow" w:hAnsi="Arial Narrow" w:cs="Times New Roman"/>
                <w:sz w:val="18"/>
                <w:szCs w:val="18"/>
              </w:rPr>
            </w:pPr>
            <w:r w:rsidRPr="00505FCB">
              <w:rPr>
                <w:rFonts w:ascii="Arial Narrow" w:hAnsi="Arial Narrow" w:cs="Times New Roman"/>
                <w:b/>
                <w:bCs/>
                <w:sz w:val="18"/>
                <w:szCs w:val="18"/>
                <w:bdr w:val="none" w:sz="0" w:space="0" w:color="auto" w:frame="1"/>
              </w:rPr>
              <w:t>AND</w:t>
            </w:r>
          </w:p>
        </w:tc>
      </w:tr>
      <w:tr w:rsidR="005C22A9" w:rsidRPr="00505FCB" w:rsidTr="005C22A9">
        <w:tc>
          <w:tcPr>
            <w:tcW w:w="8926" w:type="dxa"/>
            <w:shd w:val="clear" w:color="auto" w:fill="auto"/>
            <w:tcMar>
              <w:top w:w="120" w:type="dxa"/>
              <w:left w:w="240" w:type="dxa"/>
              <w:bottom w:w="120" w:type="dxa"/>
              <w:right w:w="240" w:type="dxa"/>
            </w:tcMar>
            <w:hideMark/>
          </w:tcPr>
          <w:p w:rsidR="005C22A9" w:rsidRPr="00505FCB" w:rsidRDefault="005C22A9" w:rsidP="00730346">
            <w:pPr>
              <w:jc w:val="left"/>
              <w:textAlignment w:val="baseline"/>
              <w:rPr>
                <w:rFonts w:ascii="Arial Narrow" w:hAnsi="Arial Narrow" w:cs="Times New Roman"/>
                <w:sz w:val="18"/>
                <w:szCs w:val="18"/>
              </w:rPr>
            </w:pPr>
            <w:r w:rsidRPr="00505FCB">
              <w:rPr>
                <w:rFonts w:ascii="Arial Narrow" w:hAnsi="Arial Narrow" w:cs="Times New Roman"/>
                <w:b/>
                <w:bCs/>
                <w:sz w:val="18"/>
                <w:szCs w:val="18"/>
                <w:bdr w:val="none" w:sz="0" w:space="0" w:color="auto" w:frame="1"/>
              </w:rPr>
              <w:t>Clinical criteria:</w:t>
            </w:r>
          </w:p>
        </w:tc>
      </w:tr>
      <w:tr w:rsidR="005C22A9" w:rsidRPr="00505FCB" w:rsidTr="005C22A9">
        <w:tc>
          <w:tcPr>
            <w:tcW w:w="8926" w:type="dxa"/>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hideMark/>
          </w:tcPr>
          <w:p w:rsidR="005C22A9" w:rsidRPr="005B0842" w:rsidRDefault="005C22A9" w:rsidP="00730346">
            <w:pPr>
              <w:rPr>
                <w:rFonts w:ascii="Arial Narrow" w:hAnsi="Arial Narrow"/>
                <w:sz w:val="18"/>
                <w:szCs w:val="18"/>
              </w:rPr>
            </w:pPr>
            <w:r w:rsidRPr="005B0842">
              <w:rPr>
                <w:rFonts w:ascii="Arial Narrow" w:hAnsi="Arial Narrow"/>
                <w:sz w:val="18"/>
                <w:szCs w:val="18"/>
              </w:rPr>
              <w:t xml:space="preserve">Patient must have received </w:t>
            </w:r>
            <w:r>
              <w:rPr>
                <w:rFonts w:ascii="Arial Narrow" w:hAnsi="Arial Narrow"/>
                <w:sz w:val="18"/>
                <w:szCs w:val="18"/>
              </w:rPr>
              <w:t xml:space="preserve">treatment </w:t>
            </w:r>
            <w:r w:rsidRPr="005B0842">
              <w:rPr>
                <w:rFonts w:ascii="Arial Narrow" w:hAnsi="Arial Narrow"/>
                <w:sz w:val="18"/>
                <w:szCs w:val="18"/>
              </w:rPr>
              <w:t>with this drug for this</w:t>
            </w:r>
            <w:r>
              <w:rPr>
                <w:rFonts w:ascii="Arial Narrow" w:hAnsi="Arial Narrow"/>
                <w:sz w:val="18"/>
                <w:szCs w:val="18"/>
              </w:rPr>
              <w:t xml:space="preserve"> indication</w:t>
            </w:r>
            <w:r w:rsidRPr="005B0842">
              <w:rPr>
                <w:rFonts w:ascii="Arial Narrow" w:hAnsi="Arial Narrow"/>
                <w:sz w:val="18"/>
                <w:szCs w:val="18"/>
              </w:rPr>
              <w:t xml:space="preserve"> prior to [listing date], </w:t>
            </w:r>
          </w:p>
          <w:p w:rsidR="005C22A9" w:rsidRPr="00505FCB" w:rsidRDefault="005C22A9" w:rsidP="00730346">
            <w:pPr>
              <w:jc w:val="left"/>
              <w:rPr>
                <w:rFonts w:ascii="Arial Narrow" w:hAnsi="Arial Narrow" w:cs="Times New Roman"/>
                <w:sz w:val="18"/>
                <w:szCs w:val="18"/>
              </w:rPr>
            </w:pPr>
          </w:p>
        </w:tc>
      </w:tr>
      <w:tr w:rsidR="005C22A9" w:rsidRPr="00505FCB" w:rsidTr="005C22A9">
        <w:tc>
          <w:tcPr>
            <w:tcW w:w="8926" w:type="dxa"/>
            <w:shd w:val="clear" w:color="auto" w:fill="auto"/>
            <w:tcMar>
              <w:top w:w="120" w:type="dxa"/>
              <w:left w:w="240" w:type="dxa"/>
              <w:bottom w:w="120" w:type="dxa"/>
              <w:right w:w="240" w:type="dxa"/>
            </w:tcMar>
            <w:hideMark/>
          </w:tcPr>
          <w:p w:rsidR="005C22A9" w:rsidRPr="00505FCB" w:rsidRDefault="005C22A9" w:rsidP="00730346">
            <w:pPr>
              <w:jc w:val="left"/>
              <w:rPr>
                <w:rFonts w:ascii="Arial Narrow" w:hAnsi="Arial Narrow" w:cs="Times New Roman"/>
                <w:sz w:val="18"/>
                <w:szCs w:val="18"/>
              </w:rPr>
            </w:pPr>
            <w:r w:rsidRPr="00505FCB">
              <w:rPr>
                <w:rFonts w:ascii="Arial Narrow" w:hAnsi="Arial Narrow" w:cs="Times New Roman"/>
                <w:b/>
                <w:bCs/>
                <w:sz w:val="18"/>
                <w:szCs w:val="18"/>
                <w:bdr w:val="none" w:sz="0" w:space="0" w:color="auto" w:frame="1"/>
              </w:rPr>
              <w:t>AND</w:t>
            </w:r>
          </w:p>
        </w:tc>
      </w:tr>
      <w:tr w:rsidR="005C22A9" w:rsidRPr="00505FCB" w:rsidTr="005C22A9">
        <w:tc>
          <w:tcPr>
            <w:tcW w:w="8926" w:type="dxa"/>
            <w:shd w:val="clear" w:color="auto" w:fill="auto"/>
            <w:tcMar>
              <w:top w:w="120" w:type="dxa"/>
              <w:left w:w="240" w:type="dxa"/>
              <w:bottom w:w="120" w:type="dxa"/>
              <w:right w:w="240" w:type="dxa"/>
            </w:tcMar>
            <w:hideMark/>
          </w:tcPr>
          <w:p w:rsidR="005C22A9" w:rsidRPr="00505FCB" w:rsidRDefault="005C22A9" w:rsidP="00730346">
            <w:pPr>
              <w:jc w:val="left"/>
              <w:textAlignment w:val="baseline"/>
              <w:rPr>
                <w:rFonts w:ascii="Arial Narrow" w:hAnsi="Arial Narrow" w:cs="Times New Roman"/>
                <w:sz w:val="18"/>
                <w:szCs w:val="18"/>
              </w:rPr>
            </w:pPr>
            <w:r w:rsidRPr="00505FCB">
              <w:rPr>
                <w:rFonts w:ascii="Arial Narrow" w:hAnsi="Arial Narrow" w:cs="Times New Roman"/>
                <w:b/>
                <w:bCs/>
                <w:sz w:val="18"/>
                <w:szCs w:val="18"/>
                <w:bdr w:val="none" w:sz="0" w:space="0" w:color="auto" w:frame="1"/>
              </w:rPr>
              <w:t>Clinical criteria:</w:t>
            </w:r>
          </w:p>
        </w:tc>
      </w:tr>
      <w:tr w:rsidR="005C22A9" w:rsidRPr="00505FCB" w:rsidTr="005C22A9">
        <w:tc>
          <w:tcPr>
            <w:tcW w:w="8926" w:type="dxa"/>
            <w:shd w:val="clear" w:color="auto" w:fill="auto"/>
            <w:tcMar>
              <w:top w:w="120" w:type="dxa"/>
              <w:left w:w="240" w:type="dxa"/>
              <w:bottom w:w="120" w:type="dxa"/>
              <w:right w:w="240" w:type="dxa"/>
            </w:tcMar>
            <w:hideMark/>
          </w:tcPr>
          <w:p w:rsidR="005C22A9" w:rsidRPr="00505FCB" w:rsidRDefault="005C22A9" w:rsidP="00730346">
            <w:pPr>
              <w:jc w:val="left"/>
              <w:rPr>
                <w:rFonts w:ascii="Arial Narrow" w:hAnsi="Arial Narrow" w:cs="Times New Roman"/>
                <w:sz w:val="18"/>
                <w:szCs w:val="18"/>
              </w:rPr>
            </w:pPr>
            <w:r w:rsidRPr="00505FCB">
              <w:rPr>
                <w:rFonts w:ascii="Arial Narrow" w:hAnsi="Arial Narrow" w:cs="Times New Roman"/>
                <w:sz w:val="18"/>
                <w:szCs w:val="18"/>
              </w:rPr>
              <w:t>Patient must have failed to achieve an adequate response to methotrexate at a dose of at least 20 mg weekly for a minimum period of 3 months prior to initiating non-PBS subsidised treatment with this drug for this condition</w:t>
            </w:r>
          </w:p>
        </w:tc>
      </w:tr>
      <w:tr w:rsidR="005C22A9" w:rsidRPr="00505FCB" w:rsidTr="005C22A9">
        <w:tc>
          <w:tcPr>
            <w:tcW w:w="8926" w:type="dxa"/>
            <w:shd w:val="clear" w:color="auto" w:fill="auto"/>
            <w:tcMar>
              <w:top w:w="120" w:type="dxa"/>
              <w:left w:w="240" w:type="dxa"/>
              <w:bottom w:w="120" w:type="dxa"/>
              <w:right w:w="240" w:type="dxa"/>
            </w:tcMar>
            <w:hideMark/>
          </w:tcPr>
          <w:p w:rsidR="005C22A9" w:rsidRPr="00505FCB" w:rsidRDefault="005C22A9" w:rsidP="00730346">
            <w:pPr>
              <w:jc w:val="left"/>
              <w:rPr>
                <w:rFonts w:ascii="Arial Narrow" w:hAnsi="Arial Narrow" w:cs="Times New Roman"/>
                <w:sz w:val="18"/>
                <w:szCs w:val="18"/>
              </w:rPr>
            </w:pPr>
            <w:r w:rsidRPr="00505FCB">
              <w:rPr>
                <w:rFonts w:ascii="Arial Narrow" w:hAnsi="Arial Narrow" w:cs="Times New Roman"/>
                <w:b/>
                <w:bCs/>
                <w:sz w:val="18"/>
                <w:szCs w:val="18"/>
                <w:bdr w:val="none" w:sz="0" w:space="0" w:color="auto" w:frame="1"/>
              </w:rPr>
              <w:t>AND</w:t>
            </w:r>
          </w:p>
        </w:tc>
      </w:tr>
      <w:tr w:rsidR="005C22A9" w:rsidRPr="00505FCB" w:rsidTr="005C22A9">
        <w:tc>
          <w:tcPr>
            <w:tcW w:w="8926" w:type="dxa"/>
            <w:shd w:val="clear" w:color="auto" w:fill="auto"/>
            <w:tcMar>
              <w:top w:w="120" w:type="dxa"/>
              <w:left w:w="240" w:type="dxa"/>
              <w:bottom w:w="120" w:type="dxa"/>
              <w:right w:w="240" w:type="dxa"/>
            </w:tcMar>
            <w:hideMark/>
          </w:tcPr>
          <w:p w:rsidR="005C22A9" w:rsidRPr="00505FCB" w:rsidRDefault="005C22A9" w:rsidP="00730346">
            <w:pPr>
              <w:jc w:val="left"/>
              <w:textAlignment w:val="baseline"/>
              <w:rPr>
                <w:rFonts w:ascii="Arial Narrow" w:hAnsi="Arial Narrow" w:cs="Times New Roman"/>
                <w:sz w:val="18"/>
                <w:szCs w:val="18"/>
              </w:rPr>
            </w:pPr>
            <w:r w:rsidRPr="00505FCB">
              <w:rPr>
                <w:rFonts w:ascii="Arial Narrow" w:hAnsi="Arial Narrow" w:cs="Times New Roman"/>
                <w:b/>
                <w:bCs/>
                <w:sz w:val="18"/>
                <w:szCs w:val="18"/>
                <w:bdr w:val="none" w:sz="0" w:space="0" w:color="auto" w:frame="1"/>
              </w:rPr>
              <w:t>Clinical criteria:</w:t>
            </w:r>
          </w:p>
        </w:tc>
      </w:tr>
      <w:tr w:rsidR="005C22A9" w:rsidRPr="00505FCB" w:rsidTr="005C22A9">
        <w:tc>
          <w:tcPr>
            <w:tcW w:w="8926" w:type="dxa"/>
            <w:shd w:val="clear" w:color="auto" w:fill="auto"/>
            <w:tcMar>
              <w:top w:w="120" w:type="dxa"/>
              <w:left w:w="240" w:type="dxa"/>
              <w:bottom w:w="120" w:type="dxa"/>
              <w:right w:w="240" w:type="dxa"/>
            </w:tcMar>
            <w:hideMark/>
          </w:tcPr>
          <w:p w:rsidR="005C22A9" w:rsidRPr="00505FCB" w:rsidRDefault="005C22A9" w:rsidP="00730346">
            <w:pPr>
              <w:jc w:val="left"/>
              <w:rPr>
                <w:rFonts w:ascii="Arial Narrow" w:hAnsi="Arial Narrow" w:cs="Times New Roman"/>
                <w:sz w:val="18"/>
                <w:szCs w:val="18"/>
              </w:rPr>
            </w:pPr>
            <w:r w:rsidRPr="00505FCB">
              <w:rPr>
                <w:rFonts w:ascii="Arial Narrow" w:hAnsi="Arial Narrow" w:cs="Times New Roman"/>
                <w:sz w:val="18"/>
                <w:szCs w:val="18"/>
              </w:rPr>
              <w:t>Patient must have failed to achieve an adequate response to sulfasalazine at a dose of at least 2 g per day for a minimum period of 3 months prior to initiating non-PBS subsidised treatment with this drug for this condition; or</w:t>
            </w:r>
          </w:p>
        </w:tc>
      </w:tr>
      <w:tr w:rsidR="005C22A9" w:rsidRPr="00505FCB" w:rsidTr="005C22A9">
        <w:tc>
          <w:tcPr>
            <w:tcW w:w="8926" w:type="dxa"/>
            <w:shd w:val="clear" w:color="auto" w:fill="auto"/>
            <w:tcMar>
              <w:top w:w="120" w:type="dxa"/>
              <w:left w:w="240" w:type="dxa"/>
              <w:bottom w:w="120" w:type="dxa"/>
              <w:right w:w="240" w:type="dxa"/>
            </w:tcMar>
            <w:hideMark/>
          </w:tcPr>
          <w:p w:rsidR="005C22A9" w:rsidRPr="00505FCB" w:rsidRDefault="005C22A9" w:rsidP="00730346">
            <w:pPr>
              <w:jc w:val="left"/>
              <w:rPr>
                <w:rFonts w:ascii="Arial Narrow" w:hAnsi="Arial Narrow" w:cs="Times New Roman"/>
                <w:sz w:val="18"/>
                <w:szCs w:val="18"/>
              </w:rPr>
            </w:pPr>
            <w:r w:rsidRPr="00505FCB">
              <w:rPr>
                <w:rFonts w:ascii="Arial Narrow" w:hAnsi="Arial Narrow" w:cs="Times New Roman"/>
                <w:sz w:val="18"/>
                <w:szCs w:val="18"/>
              </w:rPr>
              <w:t>Patient must have failed to achieve an adequate response to leflunomide at a dose of up to 20 mg daily for a minimum period of 3 months prior to initiating non-PBS subsidised treatment with this drug for this condition</w:t>
            </w:r>
          </w:p>
        </w:tc>
      </w:tr>
      <w:tr w:rsidR="005C22A9" w:rsidRPr="00505FCB" w:rsidTr="005C22A9">
        <w:tc>
          <w:tcPr>
            <w:tcW w:w="8926" w:type="dxa"/>
            <w:shd w:val="clear" w:color="auto" w:fill="auto"/>
            <w:tcMar>
              <w:top w:w="120" w:type="dxa"/>
              <w:left w:w="240" w:type="dxa"/>
              <w:bottom w:w="120" w:type="dxa"/>
              <w:right w:w="240" w:type="dxa"/>
            </w:tcMar>
            <w:hideMark/>
          </w:tcPr>
          <w:p w:rsidR="005C22A9" w:rsidRPr="00505FCB" w:rsidRDefault="005C22A9" w:rsidP="00730346">
            <w:pPr>
              <w:jc w:val="left"/>
              <w:rPr>
                <w:rFonts w:ascii="Arial Narrow" w:hAnsi="Arial Narrow" w:cs="Times New Roman"/>
                <w:sz w:val="18"/>
                <w:szCs w:val="18"/>
              </w:rPr>
            </w:pPr>
            <w:r w:rsidRPr="00505FCB">
              <w:rPr>
                <w:rFonts w:ascii="Arial Narrow" w:hAnsi="Arial Narrow" w:cs="Times New Roman"/>
                <w:b/>
                <w:bCs/>
                <w:sz w:val="18"/>
                <w:szCs w:val="18"/>
                <w:bdr w:val="none" w:sz="0" w:space="0" w:color="auto" w:frame="1"/>
              </w:rPr>
              <w:t>AND</w:t>
            </w:r>
          </w:p>
        </w:tc>
      </w:tr>
      <w:tr w:rsidR="005C22A9" w:rsidRPr="00505FCB" w:rsidTr="005C22A9">
        <w:tc>
          <w:tcPr>
            <w:tcW w:w="8926" w:type="dxa"/>
            <w:shd w:val="clear" w:color="auto" w:fill="auto"/>
            <w:tcMar>
              <w:top w:w="120" w:type="dxa"/>
              <w:left w:w="240" w:type="dxa"/>
              <w:bottom w:w="120" w:type="dxa"/>
              <w:right w:w="240" w:type="dxa"/>
            </w:tcMar>
            <w:hideMark/>
          </w:tcPr>
          <w:p w:rsidR="005C22A9" w:rsidRPr="00505FCB" w:rsidRDefault="005C22A9" w:rsidP="00730346">
            <w:pPr>
              <w:jc w:val="left"/>
              <w:textAlignment w:val="baseline"/>
              <w:rPr>
                <w:rFonts w:ascii="Arial Narrow" w:hAnsi="Arial Narrow" w:cs="Times New Roman"/>
                <w:sz w:val="18"/>
                <w:szCs w:val="18"/>
              </w:rPr>
            </w:pPr>
            <w:r w:rsidRPr="00505FCB">
              <w:rPr>
                <w:rFonts w:ascii="Arial Narrow" w:hAnsi="Arial Narrow" w:cs="Times New Roman"/>
                <w:b/>
                <w:bCs/>
                <w:sz w:val="18"/>
                <w:szCs w:val="18"/>
                <w:bdr w:val="none" w:sz="0" w:space="0" w:color="auto" w:frame="1"/>
              </w:rPr>
              <w:t>Clinical criteria:</w:t>
            </w:r>
          </w:p>
        </w:tc>
      </w:tr>
      <w:tr w:rsidR="005C22A9" w:rsidRPr="00505FCB" w:rsidTr="005C22A9">
        <w:tc>
          <w:tcPr>
            <w:tcW w:w="8926" w:type="dxa"/>
            <w:shd w:val="clear" w:color="auto" w:fill="auto"/>
            <w:tcMar>
              <w:top w:w="120" w:type="dxa"/>
              <w:left w:w="240" w:type="dxa"/>
              <w:bottom w:w="120" w:type="dxa"/>
              <w:right w:w="240" w:type="dxa"/>
            </w:tcMar>
            <w:hideMark/>
          </w:tcPr>
          <w:p w:rsidR="005C22A9" w:rsidRPr="00505FCB" w:rsidRDefault="005C22A9" w:rsidP="00730346">
            <w:pPr>
              <w:jc w:val="left"/>
              <w:rPr>
                <w:rFonts w:ascii="Arial Narrow" w:hAnsi="Arial Narrow" w:cs="Times New Roman"/>
                <w:sz w:val="18"/>
                <w:szCs w:val="18"/>
              </w:rPr>
            </w:pPr>
            <w:r w:rsidRPr="00505FCB">
              <w:rPr>
                <w:rFonts w:ascii="Arial Narrow" w:hAnsi="Arial Narrow" w:cs="Times New Roman"/>
                <w:sz w:val="18"/>
                <w:szCs w:val="18"/>
              </w:rPr>
              <w:t>Patient must not receive more than 24 weeks of treatment under this restriction</w:t>
            </w:r>
          </w:p>
        </w:tc>
      </w:tr>
      <w:tr w:rsidR="005C22A9" w:rsidRPr="00505FCB" w:rsidTr="005C22A9">
        <w:tc>
          <w:tcPr>
            <w:tcW w:w="8926" w:type="dxa"/>
            <w:shd w:val="clear" w:color="auto" w:fill="auto"/>
            <w:tcMar>
              <w:top w:w="120" w:type="dxa"/>
              <w:left w:w="240" w:type="dxa"/>
              <w:bottom w:w="120" w:type="dxa"/>
              <w:right w:w="240" w:type="dxa"/>
            </w:tcMar>
            <w:hideMark/>
          </w:tcPr>
          <w:p w:rsidR="005C22A9" w:rsidRPr="00505FCB" w:rsidRDefault="005C22A9" w:rsidP="00730346">
            <w:pPr>
              <w:jc w:val="left"/>
              <w:rPr>
                <w:rFonts w:ascii="Arial Narrow" w:hAnsi="Arial Narrow" w:cs="Times New Roman"/>
                <w:sz w:val="18"/>
                <w:szCs w:val="18"/>
              </w:rPr>
            </w:pPr>
            <w:r w:rsidRPr="00505FCB">
              <w:rPr>
                <w:rFonts w:ascii="Arial Narrow" w:hAnsi="Arial Narrow" w:cs="Times New Roman"/>
                <w:b/>
                <w:bCs/>
                <w:sz w:val="18"/>
                <w:szCs w:val="18"/>
                <w:bdr w:val="none" w:sz="0" w:space="0" w:color="auto" w:frame="1"/>
              </w:rPr>
              <w:t>AND</w:t>
            </w:r>
          </w:p>
        </w:tc>
      </w:tr>
      <w:tr w:rsidR="005C22A9" w:rsidRPr="00505FCB" w:rsidTr="005C22A9">
        <w:tc>
          <w:tcPr>
            <w:tcW w:w="8926" w:type="dxa"/>
            <w:shd w:val="clear" w:color="auto" w:fill="auto"/>
            <w:tcMar>
              <w:top w:w="120" w:type="dxa"/>
              <w:left w:w="240" w:type="dxa"/>
              <w:bottom w:w="120" w:type="dxa"/>
              <w:right w:w="240" w:type="dxa"/>
            </w:tcMar>
            <w:hideMark/>
          </w:tcPr>
          <w:p w:rsidR="005C22A9" w:rsidRPr="00505FCB" w:rsidRDefault="005C22A9" w:rsidP="00730346">
            <w:pPr>
              <w:jc w:val="left"/>
              <w:textAlignment w:val="baseline"/>
              <w:rPr>
                <w:rFonts w:ascii="Arial Narrow" w:hAnsi="Arial Narrow" w:cs="Times New Roman"/>
                <w:sz w:val="18"/>
                <w:szCs w:val="18"/>
              </w:rPr>
            </w:pPr>
            <w:r w:rsidRPr="00505FCB">
              <w:rPr>
                <w:rFonts w:ascii="Arial Narrow" w:hAnsi="Arial Narrow" w:cs="Times New Roman"/>
                <w:b/>
                <w:bCs/>
                <w:sz w:val="18"/>
                <w:szCs w:val="18"/>
                <w:bdr w:val="none" w:sz="0" w:space="0" w:color="auto" w:frame="1"/>
              </w:rPr>
              <w:t>Population criteria:</w:t>
            </w:r>
          </w:p>
        </w:tc>
      </w:tr>
      <w:tr w:rsidR="005C22A9" w:rsidRPr="00505FCB" w:rsidTr="005C22A9">
        <w:tc>
          <w:tcPr>
            <w:tcW w:w="8926" w:type="dxa"/>
            <w:shd w:val="clear" w:color="auto" w:fill="auto"/>
            <w:tcMar>
              <w:top w:w="120" w:type="dxa"/>
              <w:left w:w="240" w:type="dxa"/>
              <w:bottom w:w="120" w:type="dxa"/>
              <w:right w:w="240" w:type="dxa"/>
            </w:tcMar>
            <w:hideMark/>
          </w:tcPr>
          <w:p w:rsidR="005C22A9" w:rsidRPr="00505FCB" w:rsidRDefault="005C22A9" w:rsidP="00730346">
            <w:pPr>
              <w:jc w:val="left"/>
              <w:rPr>
                <w:rFonts w:ascii="Arial Narrow" w:hAnsi="Arial Narrow" w:cs="Times New Roman"/>
                <w:sz w:val="18"/>
                <w:szCs w:val="18"/>
              </w:rPr>
            </w:pPr>
            <w:r w:rsidRPr="00505FCB">
              <w:rPr>
                <w:rFonts w:ascii="Arial Narrow" w:hAnsi="Arial Narrow" w:cs="Times New Roman"/>
                <w:sz w:val="18"/>
                <w:szCs w:val="18"/>
              </w:rPr>
              <w:t>Patient must be aged 18 years or older</w:t>
            </w:r>
          </w:p>
        </w:tc>
      </w:tr>
      <w:tr w:rsidR="005C22A9" w:rsidRPr="00505FCB" w:rsidTr="005C22A9">
        <w:tc>
          <w:tcPr>
            <w:tcW w:w="8926" w:type="dxa"/>
            <w:shd w:val="clear" w:color="auto" w:fill="auto"/>
            <w:tcMar>
              <w:top w:w="120" w:type="dxa"/>
              <w:left w:w="240" w:type="dxa"/>
              <w:bottom w:w="120" w:type="dxa"/>
              <w:right w:w="240" w:type="dxa"/>
            </w:tcMar>
            <w:hideMark/>
          </w:tcPr>
          <w:p w:rsidR="005C22A9" w:rsidRPr="00505FCB" w:rsidRDefault="005C22A9" w:rsidP="00730346">
            <w:pPr>
              <w:jc w:val="left"/>
              <w:textAlignment w:val="baseline"/>
              <w:rPr>
                <w:rFonts w:ascii="Arial Narrow" w:hAnsi="Arial Narrow" w:cs="Times New Roman"/>
                <w:sz w:val="18"/>
                <w:szCs w:val="18"/>
              </w:rPr>
            </w:pPr>
            <w:r w:rsidRPr="00505FCB">
              <w:rPr>
                <w:rFonts w:ascii="Arial Narrow" w:hAnsi="Arial Narrow" w:cs="Times New Roman"/>
                <w:b/>
                <w:bCs/>
                <w:sz w:val="18"/>
                <w:szCs w:val="18"/>
                <w:bdr w:val="none" w:sz="0" w:space="0" w:color="auto" w:frame="1"/>
              </w:rPr>
              <w:t>Prescribing Instructions:</w:t>
            </w:r>
          </w:p>
          <w:p w:rsidR="005C22A9" w:rsidRPr="00505FCB" w:rsidRDefault="005C22A9" w:rsidP="00730346">
            <w:pPr>
              <w:jc w:val="left"/>
              <w:textAlignment w:val="baseline"/>
              <w:rPr>
                <w:rFonts w:ascii="Arial Narrow" w:hAnsi="Arial Narrow" w:cs="Times New Roman"/>
                <w:sz w:val="18"/>
                <w:szCs w:val="18"/>
              </w:rPr>
            </w:pPr>
            <w:r w:rsidRPr="00505FCB">
              <w:rPr>
                <w:rFonts w:ascii="Arial Narrow" w:hAnsi="Arial Narrow" w:cs="Times New Roman"/>
                <w:sz w:val="18"/>
                <w:szCs w:val="18"/>
              </w:rPr>
              <w:t xml:space="preserve">The following criteria indicate failure to achieve an adequate response </w:t>
            </w:r>
            <w:r>
              <w:rPr>
                <w:rFonts w:ascii="Arial Narrow" w:hAnsi="Arial Narrow" w:cs="Times New Roman"/>
                <w:sz w:val="18"/>
                <w:szCs w:val="18"/>
              </w:rPr>
              <w:t xml:space="preserve">to the conventional therapies specified under this restriction </w:t>
            </w:r>
            <w:r w:rsidRPr="00551B83">
              <w:rPr>
                <w:rFonts w:ascii="Arial Narrow" w:hAnsi="Arial Narrow" w:cs="Times New Roman"/>
                <w:sz w:val="18"/>
                <w:szCs w:val="18"/>
              </w:rPr>
              <w:t>and must have been demonstrated  prior to initiation of non-PBS subsidised treatment with this biologi</w:t>
            </w:r>
            <w:r>
              <w:rPr>
                <w:rFonts w:ascii="Arial Narrow" w:hAnsi="Arial Narrow" w:cs="Times New Roman"/>
                <w:sz w:val="18"/>
                <w:szCs w:val="18"/>
              </w:rPr>
              <w:t>cal medicine for this condition</w:t>
            </w:r>
            <w:r w:rsidRPr="00505FCB">
              <w:rPr>
                <w:rFonts w:ascii="Arial Narrow" w:hAnsi="Arial Narrow" w:cs="Times New Roman"/>
                <w:sz w:val="18"/>
                <w:szCs w:val="18"/>
              </w:rPr>
              <w:t>:</w:t>
            </w:r>
          </w:p>
          <w:p w:rsidR="005C22A9" w:rsidRPr="00505FCB" w:rsidRDefault="005C22A9" w:rsidP="00730346">
            <w:pPr>
              <w:jc w:val="left"/>
              <w:textAlignment w:val="baseline"/>
              <w:rPr>
                <w:rFonts w:ascii="Arial Narrow" w:hAnsi="Arial Narrow" w:cs="Times New Roman"/>
                <w:sz w:val="18"/>
                <w:szCs w:val="18"/>
              </w:rPr>
            </w:pPr>
            <w:r w:rsidRPr="00505FCB">
              <w:rPr>
                <w:rFonts w:ascii="Arial Narrow" w:hAnsi="Arial Narrow" w:cs="Times New Roman"/>
                <w:sz w:val="18"/>
                <w:szCs w:val="18"/>
              </w:rPr>
              <w:t>an elevated erythrocyte sedimentation rate (ESR) greater than 25 mm per hour or a C-reactive protein (CRP) level greater than 15 mg per L; and</w:t>
            </w:r>
          </w:p>
          <w:p w:rsidR="005C22A9" w:rsidRPr="00505FCB" w:rsidRDefault="005C22A9" w:rsidP="00730346">
            <w:pPr>
              <w:jc w:val="left"/>
              <w:textAlignment w:val="baseline"/>
              <w:rPr>
                <w:rFonts w:ascii="Arial Narrow" w:hAnsi="Arial Narrow" w:cs="Times New Roman"/>
                <w:sz w:val="18"/>
                <w:szCs w:val="18"/>
              </w:rPr>
            </w:pPr>
            <w:r w:rsidRPr="00505FCB">
              <w:rPr>
                <w:rFonts w:ascii="Arial Narrow" w:hAnsi="Arial Narrow" w:cs="Times New Roman"/>
                <w:sz w:val="18"/>
                <w:szCs w:val="18"/>
              </w:rPr>
              <w:t>either</w:t>
            </w:r>
          </w:p>
          <w:p w:rsidR="005C22A9" w:rsidRPr="00505FCB" w:rsidRDefault="005C22A9" w:rsidP="00730346">
            <w:pPr>
              <w:jc w:val="left"/>
              <w:textAlignment w:val="baseline"/>
              <w:rPr>
                <w:rFonts w:ascii="Arial Narrow" w:hAnsi="Arial Narrow" w:cs="Times New Roman"/>
                <w:sz w:val="18"/>
                <w:szCs w:val="18"/>
              </w:rPr>
            </w:pPr>
            <w:r w:rsidRPr="00505FCB">
              <w:rPr>
                <w:rFonts w:ascii="Arial Narrow" w:hAnsi="Arial Narrow" w:cs="Times New Roman"/>
                <w:sz w:val="18"/>
                <w:szCs w:val="18"/>
              </w:rPr>
              <w:t>(a) an active joint count of at least 20 active (swollen and tender) joints; or</w:t>
            </w:r>
          </w:p>
          <w:p w:rsidR="005C22A9" w:rsidRPr="00505FCB" w:rsidRDefault="005C22A9" w:rsidP="00730346">
            <w:pPr>
              <w:jc w:val="left"/>
              <w:textAlignment w:val="baseline"/>
              <w:rPr>
                <w:rFonts w:ascii="Arial Narrow" w:hAnsi="Arial Narrow" w:cs="Times New Roman"/>
                <w:sz w:val="18"/>
                <w:szCs w:val="18"/>
              </w:rPr>
            </w:pPr>
            <w:r w:rsidRPr="00505FCB">
              <w:rPr>
                <w:rFonts w:ascii="Arial Narrow" w:hAnsi="Arial Narrow" w:cs="Times New Roman"/>
                <w:sz w:val="18"/>
                <w:szCs w:val="18"/>
              </w:rPr>
              <w:t>(b) at least 4 active joints from the following list of major joints:</w:t>
            </w:r>
          </w:p>
          <w:p w:rsidR="005C22A9" w:rsidRPr="00505FCB" w:rsidRDefault="005C22A9" w:rsidP="00730346">
            <w:pPr>
              <w:jc w:val="left"/>
              <w:textAlignment w:val="baseline"/>
              <w:rPr>
                <w:rFonts w:ascii="Arial Narrow" w:hAnsi="Arial Narrow" w:cs="Times New Roman"/>
                <w:sz w:val="18"/>
                <w:szCs w:val="18"/>
              </w:rPr>
            </w:pPr>
            <w:r w:rsidRPr="00505FCB">
              <w:rPr>
                <w:rFonts w:ascii="Arial Narrow" w:hAnsi="Arial Narrow" w:cs="Times New Roman"/>
                <w:sz w:val="18"/>
                <w:szCs w:val="18"/>
              </w:rPr>
              <w:t>(i) elbow, wrist, knee and/or ankle (assessed as swollen and tender); and/or</w:t>
            </w:r>
          </w:p>
          <w:p w:rsidR="005C22A9" w:rsidRPr="00505FCB" w:rsidRDefault="005C22A9" w:rsidP="00730346">
            <w:pPr>
              <w:jc w:val="left"/>
              <w:textAlignment w:val="baseline"/>
              <w:rPr>
                <w:rFonts w:ascii="Arial Narrow" w:hAnsi="Arial Narrow" w:cs="Times New Roman"/>
                <w:sz w:val="18"/>
                <w:szCs w:val="18"/>
              </w:rPr>
            </w:pPr>
            <w:r w:rsidRPr="00505FCB">
              <w:rPr>
                <w:rFonts w:ascii="Arial Narrow" w:hAnsi="Arial Narrow" w:cs="Times New Roman"/>
                <w:sz w:val="18"/>
                <w:szCs w:val="18"/>
              </w:rPr>
              <w:t>(ii) shoulder and/or hip (assessed as pain in passive movement and restriction of passive movement, where pain and limitation of movement are due to active disease and not irreversible damage such as joint destruction or bony overgrowth).</w:t>
            </w:r>
          </w:p>
          <w:p w:rsidR="005C22A9" w:rsidRPr="00505FCB" w:rsidRDefault="005C22A9" w:rsidP="00730346">
            <w:pPr>
              <w:jc w:val="left"/>
              <w:textAlignment w:val="baseline"/>
              <w:rPr>
                <w:rFonts w:ascii="Arial Narrow" w:hAnsi="Arial Narrow" w:cs="Times New Roman"/>
                <w:sz w:val="18"/>
                <w:szCs w:val="18"/>
              </w:rPr>
            </w:pPr>
            <w:r w:rsidRPr="00505FCB">
              <w:rPr>
                <w:rFonts w:ascii="Arial Narrow" w:hAnsi="Arial Narrow" w:cs="Times New Roman"/>
                <w:sz w:val="18"/>
                <w:szCs w:val="18"/>
              </w:rPr>
              <w:t>If the above requirement to demonstrate an elevated ESR or CRP cannot be met, the application must state the reasons why this criterion cannot be satisfied.</w:t>
            </w:r>
            <w:r>
              <w:t xml:space="preserve"> </w:t>
            </w:r>
          </w:p>
        </w:tc>
      </w:tr>
      <w:tr w:rsidR="005C22A9" w:rsidRPr="00505FCB" w:rsidTr="005C22A9">
        <w:tc>
          <w:tcPr>
            <w:tcW w:w="8926" w:type="dxa"/>
            <w:shd w:val="clear" w:color="auto" w:fill="auto"/>
            <w:tcMar>
              <w:top w:w="120" w:type="dxa"/>
              <w:left w:w="240" w:type="dxa"/>
              <w:bottom w:w="120" w:type="dxa"/>
              <w:right w:w="240" w:type="dxa"/>
            </w:tcMar>
            <w:hideMark/>
          </w:tcPr>
          <w:p w:rsidR="005C22A9" w:rsidRPr="00505FCB" w:rsidRDefault="005C22A9" w:rsidP="00730346">
            <w:pPr>
              <w:jc w:val="left"/>
              <w:textAlignment w:val="baseline"/>
              <w:rPr>
                <w:rFonts w:ascii="Arial Narrow" w:hAnsi="Arial Narrow" w:cs="Times New Roman"/>
                <w:sz w:val="18"/>
                <w:szCs w:val="18"/>
              </w:rPr>
            </w:pPr>
            <w:r w:rsidRPr="00505FCB">
              <w:rPr>
                <w:rFonts w:ascii="Arial Narrow" w:hAnsi="Arial Narrow" w:cs="Times New Roman"/>
                <w:b/>
                <w:bCs/>
                <w:sz w:val="18"/>
                <w:szCs w:val="18"/>
                <w:bdr w:val="none" w:sz="0" w:space="0" w:color="auto" w:frame="1"/>
              </w:rPr>
              <w:t>Prescribing Instructions:</w:t>
            </w:r>
          </w:p>
          <w:p w:rsidR="005C22A9" w:rsidRPr="00505FCB" w:rsidRDefault="005C22A9" w:rsidP="00730346">
            <w:pPr>
              <w:jc w:val="left"/>
              <w:textAlignment w:val="baseline"/>
              <w:rPr>
                <w:rFonts w:ascii="Arial Narrow" w:hAnsi="Arial Narrow" w:cs="Times New Roman"/>
                <w:sz w:val="18"/>
                <w:szCs w:val="18"/>
              </w:rPr>
            </w:pPr>
            <w:r w:rsidRPr="00505FCB">
              <w:rPr>
                <w:rFonts w:ascii="Arial Narrow" w:hAnsi="Arial Narrow" w:cs="Times New Roman"/>
                <w:sz w:val="18"/>
                <w:szCs w:val="18"/>
              </w:rPr>
              <w:t>The same indices of disease severity used to establish baseline at the commencement of treatment with each initial treatment application must be used to determine response for all subsequent continuing treatments.</w:t>
            </w:r>
          </w:p>
        </w:tc>
      </w:tr>
      <w:tr w:rsidR="005C22A9" w:rsidRPr="00505FCB" w:rsidTr="005C22A9">
        <w:tc>
          <w:tcPr>
            <w:tcW w:w="8926" w:type="dxa"/>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hideMark/>
          </w:tcPr>
          <w:p w:rsidR="005C22A9" w:rsidRPr="005B0842" w:rsidRDefault="005C22A9" w:rsidP="00730346">
            <w:pPr>
              <w:pStyle w:val="NormalWeb"/>
              <w:shd w:val="clear" w:color="auto" w:fill="FFFFFF"/>
              <w:spacing w:before="0" w:after="0" w:line="256" w:lineRule="auto"/>
              <w:textAlignment w:val="baseline"/>
              <w:rPr>
                <w:rFonts w:ascii="Arial Narrow" w:hAnsi="Arial Narrow" w:cs="Open Sans"/>
                <w:sz w:val="18"/>
                <w:szCs w:val="18"/>
                <w:lang w:eastAsia="en-US"/>
              </w:rPr>
            </w:pPr>
            <w:r w:rsidRPr="005B0842">
              <w:rPr>
                <w:rStyle w:val="Strong"/>
                <w:rFonts w:ascii="Arial Narrow" w:hAnsi="Arial Narrow" w:cs="Open Sans"/>
                <w:sz w:val="18"/>
                <w:szCs w:val="18"/>
                <w:bdr w:val="none" w:sz="0" w:space="0" w:color="auto" w:frame="1"/>
              </w:rPr>
              <w:t>Prescribing Instructions:</w:t>
            </w:r>
          </w:p>
          <w:p w:rsidR="005C22A9" w:rsidRPr="00505FCB" w:rsidRDefault="005C22A9" w:rsidP="00730346">
            <w:pPr>
              <w:jc w:val="left"/>
              <w:textAlignment w:val="baseline"/>
              <w:rPr>
                <w:rFonts w:ascii="Arial Narrow" w:hAnsi="Arial Narrow" w:cs="Times New Roman"/>
                <w:sz w:val="18"/>
                <w:szCs w:val="18"/>
              </w:rPr>
            </w:pPr>
            <w:r w:rsidRPr="005B0842">
              <w:rPr>
                <w:rFonts w:ascii="Arial Narrow" w:hAnsi="Arial Narrow"/>
                <w:sz w:val="18"/>
                <w:szCs w:val="18"/>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r>
      <w:tr w:rsidR="005C22A9" w:rsidRPr="00505FCB" w:rsidTr="005C22A9">
        <w:tc>
          <w:tcPr>
            <w:tcW w:w="8926" w:type="dxa"/>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hideMark/>
          </w:tcPr>
          <w:p w:rsidR="005C22A9" w:rsidRPr="005B0842" w:rsidRDefault="005C22A9" w:rsidP="00730346">
            <w:pPr>
              <w:rPr>
                <w:rFonts w:ascii="Arial Narrow" w:hAnsi="Arial Narrow"/>
                <w:b/>
                <w:sz w:val="18"/>
                <w:szCs w:val="18"/>
              </w:rPr>
            </w:pPr>
            <w:r w:rsidRPr="005B0842">
              <w:rPr>
                <w:rFonts w:ascii="Arial Narrow" w:hAnsi="Arial Narrow"/>
                <w:b/>
                <w:sz w:val="18"/>
                <w:szCs w:val="18"/>
              </w:rPr>
              <w:t>Prescriber Instructions</w:t>
            </w:r>
          </w:p>
          <w:p w:rsidR="005C22A9" w:rsidRPr="00505FCB" w:rsidRDefault="005C22A9" w:rsidP="00730346">
            <w:pPr>
              <w:jc w:val="left"/>
              <w:textAlignment w:val="baseline"/>
              <w:rPr>
                <w:rFonts w:ascii="Arial Narrow" w:hAnsi="Arial Narrow" w:cs="Times New Roman"/>
                <w:sz w:val="18"/>
                <w:szCs w:val="18"/>
              </w:rPr>
            </w:pPr>
            <w:r w:rsidRPr="005B0842">
              <w:rPr>
                <w:rFonts w:ascii="Arial Narrow" w:hAnsi="Arial Narrow"/>
                <w:sz w:val="18"/>
                <w:szCs w:val="18"/>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5C22A9" w:rsidRPr="00505FCB" w:rsidTr="005C22A9">
        <w:tc>
          <w:tcPr>
            <w:tcW w:w="8926" w:type="dxa"/>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hideMark/>
          </w:tcPr>
          <w:p w:rsidR="005C22A9" w:rsidRPr="005B0842" w:rsidRDefault="005C22A9" w:rsidP="00730346">
            <w:pPr>
              <w:rPr>
                <w:rFonts w:ascii="Arial Narrow" w:hAnsi="Arial Narrow"/>
                <w:b/>
                <w:sz w:val="18"/>
                <w:szCs w:val="18"/>
              </w:rPr>
            </w:pPr>
            <w:r w:rsidRPr="005B0842">
              <w:rPr>
                <w:rFonts w:ascii="Arial Narrow" w:hAnsi="Arial Narrow"/>
                <w:b/>
                <w:sz w:val="18"/>
                <w:szCs w:val="18"/>
              </w:rPr>
              <w:t>Prescribing Instructions:</w:t>
            </w:r>
          </w:p>
          <w:p w:rsidR="005C22A9" w:rsidRPr="00505FCB" w:rsidRDefault="005C22A9" w:rsidP="00730346">
            <w:pPr>
              <w:jc w:val="left"/>
              <w:textAlignment w:val="baseline"/>
              <w:rPr>
                <w:rFonts w:ascii="Arial Narrow" w:hAnsi="Arial Narrow" w:cs="Times New Roman"/>
                <w:sz w:val="18"/>
                <w:szCs w:val="18"/>
              </w:rPr>
            </w:pPr>
            <w:r w:rsidRPr="005B0842">
              <w:rPr>
                <w:rFonts w:ascii="Arial Narrow" w:hAnsi="Arial Narrow"/>
                <w:sz w:val="18"/>
                <w:szCs w:val="18"/>
              </w:rPr>
              <w:t>A Grandfathered patient may qualify for PBS-subsidised treatment under this restriction once only. For continuing PBS-subsidised treatment, a Grandfathered patient must qualify under the continuing treatment criteria.</w:t>
            </w:r>
          </w:p>
        </w:tc>
      </w:tr>
      <w:tr w:rsidR="005C22A9" w:rsidRPr="00505FCB" w:rsidTr="005C22A9">
        <w:tc>
          <w:tcPr>
            <w:tcW w:w="8926" w:type="dxa"/>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vAlign w:val="center"/>
            <w:hideMark/>
          </w:tcPr>
          <w:p w:rsidR="005C22A9" w:rsidRPr="005B0842" w:rsidRDefault="005C22A9" w:rsidP="00730346">
            <w:pPr>
              <w:rPr>
                <w:rFonts w:ascii="Arial Narrow" w:hAnsi="Arial Narrow"/>
                <w:bCs/>
                <w:sz w:val="18"/>
                <w:szCs w:val="18"/>
              </w:rPr>
            </w:pPr>
            <w:r w:rsidRPr="005B0842">
              <w:rPr>
                <w:rFonts w:ascii="Arial Narrow" w:hAnsi="Arial Narrow"/>
                <w:b/>
                <w:bCs/>
                <w:sz w:val="18"/>
                <w:szCs w:val="18"/>
              </w:rPr>
              <w:t>Administrative advice:</w:t>
            </w:r>
          </w:p>
          <w:p w:rsidR="005C22A9" w:rsidRPr="00505FCB" w:rsidRDefault="005C22A9" w:rsidP="00730346">
            <w:pPr>
              <w:jc w:val="left"/>
              <w:textAlignment w:val="baseline"/>
              <w:rPr>
                <w:rFonts w:ascii="Arial Narrow" w:hAnsi="Arial Narrow" w:cs="Times New Roman"/>
                <w:sz w:val="18"/>
                <w:szCs w:val="18"/>
              </w:rPr>
            </w:pPr>
            <w:r w:rsidRPr="005B0842">
              <w:rPr>
                <w:rFonts w:ascii="Arial Narrow" w:hAnsi="Arial Narrow"/>
                <w:bCs/>
                <w:sz w:val="18"/>
                <w:szCs w:val="18"/>
              </w:rPr>
              <w:t>This Grandfather restriction will cease to operate 12 months after the date specified in the clinical criteria.</w:t>
            </w:r>
          </w:p>
        </w:tc>
      </w:tr>
      <w:tr w:rsidR="005C22A9" w:rsidRPr="00505FCB" w:rsidTr="005C22A9">
        <w:tc>
          <w:tcPr>
            <w:tcW w:w="8926" w:type="dxa"/>
            <w:shd w:val="clear" w:color="auto" w:fill="auto"/>
            <w:tcMar>
              <w:top w:w="120" w:type="dxa"/>
              <w:left w:w="240" w:type="dxa"/>
              <w:bottom w:w="120" w:type="dxa"/>
              <w:right w:w="240" w:type="dxa"/>
            </w:tcMar>
            <w:hideMark/>
          </w:tcPr>
          <w:p w:rsidR="005C22A9" w:rsidRPr="00505FCB" w:rsidRDefault="005C22A9" w:rsidP="00730346">
            <w:pPr>
              <w:jc w:val="left"/>
              <w:textAlignment w:val="baseline"/>
              <w:rPr>
                <w:rFonts w:ascii="Arial Narrow" w:hAnsi="Arial Narrow" w:cs="Times New Roman"/>
                <w:sz w:val="18"/>
                <w:szCs w:val="18"/>
              </w:rPr>
            </w:pPr>
            <w:r w:rsidRPr="00505FCB">
              <w:rPr>
                <w:rFonts w:ascii="Arial Narrow" w:hAnsi="Arial Narrow" w:cs="Times New Roman"/>
                <w:b/>
                <w:bCs/>
                <w:sz w:val="18"/>
                <w:szCs w:val="18"/>
                <w:bdr w:val="none" w:sz="0" w:space="0" w:color="auto" w:frame="1"/>
              </w:rPr>
              <w:t>Prescribing Instructions:</w:t>
            </w:r>
          </w:p>
          <w:p w:rsidR="005C22A9" w:rsidRPr="00505FCB" w:rsidRDefault="005C22A9" w:rsidP="00730346">
            <w:pPr>
              <w:jc w:val="left"/>
              <w:textAlignment w:val="baseline"/>
              <w:rPr>
                <w:rFonts w:ascii="Arial Narrow" w:hAnsi="Arial Narrow" w:cs="Times New Roman"/>
                <w:sz w:val="18"/>
                <w:szCs w:val="18"/>
              </w:rPr>
            </w:pPr>
            <w:r w:rsidRPr="00505FCB">
              <w:rPr>
                <w:rFonts w:ascii="Arial Narrow" w:hAnsi="Arial Narrow" w:cs="Times New Roman"/>
                <w:sz w:val="18"/>
                <w:szCs w:val="18"/>
              </w:rPr>
              <w:t>The authority application must be made in writing and must include:</w:t>
            </w:r>
          </w:p>
          <w:p w:rsidR="005C22A9" w:rsidRPr="00505FCB" w:rsidRDefault="005C22A9" w:rsidP="00730346">
            <w:pPr>
              <w:jc w:val="left"/>
              <w:textAlignment w:val="baseline"/>
              <w:rPr>
                <w:rFonts w:ascii="Arial Narrow" w:hAnsi="Arial Narrow" w:cs="Times New Roman"/>
                <w:sz w:val="18"/>
                <w:szCs w:val="18"/>
              </w:rPr>
            </w:pPr>
            <w:r w:rsidRPr="00505FCB">
              <w:rPr>
                <w:rFonts w:ascii="Arial Narrow" w:hAnsi="Arial Narrow" w:cs="Times New Roman"/>
                <w:sz w:val="18"/>
                <w:szCs w:val="18"/>
              </w:rPr>
              <w:t>(1) a completed authority prescription form; and</w:t>
            </w:r>
          </w:p>
          <w:p w:rsidR="005C22A9" w:rsidRPr="00505FCB" w:rsidRDefault="005C22A9" w:rsidP="00730346">
            <w:pPr>
              <w:jc w:val="left"/>
              <w:textAlignment w:val="baseline"/>
              <w:rPr>
                <w:rFonts w:ascii="Arial Narrow" w:hAnsi="Arial Narrow" w:cs="Times New Roman"/>
                <w:sz w:val="18"/>
                <w:szCs w:val="18"/>
              </w:rPr>
            </w:pPr>
            <w:r w:rsidRPr="00505FCB">
              <w:rPr>
                <w:rFonts w:ascii="Arial Narrow" w:hAnsi="Arial Narrow" w:cs="Times New Roman"/>
                <w:sz w:val="18"/>
                <w:szCs w:val="18"/>
              </w:rPr>
              <w:t>(2) a completed Severe Psoriatic Arthritis PBS Authority Application - Supporting Information Form; and</w:t>
            </w:r>
          </w:p>
          <w:p w:rsidR="005C22A9" w:rsidRPr="00505FCB" w:rsidRDefault="005C22A9" w:rsidP="00730346">
            <w:pPr>
              <w:jc w:val="left"/>
              <w:textAlignment w:val="baseline"/>
              <w:rPr>
                <w:rFonts w:ascii="Arial Narrow" w:hAnsi="Arial Narrow" w:cs="Times New Roman"/>
                <w:sz w:val="18"/>
                <w:szCs w:val="18"/>
              </w:rPr>
            </w:pPr>
            <w:r w:rsidRPr="00505FCB">
              <w:rPr>
                <w:rFonts w:ascii="Arial Narrow" w:hAnsi="Arial Narrow" w:cs="Times New Roman"/>
                <w:sz w:val="18"/>
                <w:szCs w:val="18"/>
              </w:rPr>
              <w:t>(3) the date of commencement of this drug; and</w:t>
            </w:r>
          </w:p>
          <w:p w:rsidR="005C22A9" w:rsidRPr="00505FCB" w:rsidRDefault="005C22A9" w:rsidP="00730346">
            <w:pPr>
              <w:jc w:val="left"/>
              <w:textAlignment w:val="baseline"/>
              <w:rPr>
                <w:rFonts w:ascii="Arial Narrow" w:hAnsi="Arial Narrow" w:cs="Times New Roman"/>
                <w:sz w:val="18"/>
                <w:szCs w:val="18"/>
              </w:rPr>
            </w:pPr>
            <w:r w:rsidRPr="00505FCB">
              <w:rPr>
                <w:rFonts w:ascii="Arial Narrow" w:hAnsi="Arial Narrow" w:cs="Times New Roman"/>
                <w:sz w:val="18"/>
                <w:szCs w:val="18"/>
              </w:rPr>
              <w:t>(4) results of the baseline patient assessment prior to initiation of non-PBS subsidised therapy with this drug.</w:t>
            </w:r>
          </w:p>
        </w:tc>
      </w:tr>
      <w:tr w:rsidR="005C22A9" w:rsidRPr="00505FCB" w:rsidTr="005C22A9">
        <w:tc>
          <w:tcPr>
            <w:tcW w:w="8926" w:type="dxa"/>
            <w:tcBorders>
              <w:top w:val="single" w:sz="4" w:space="0" w:color="auto"/>
              <w:left w:val="single" w:sz="4" w:space="0" w:color="auto"/>
              <w:bottom w:val="single" w:sz="4" w:space="0" w:color="auto"/>
              <w:right w:val="single" w:sz="4" w:space="0" w:color="auto"/>
            </w:tcBorders>
            <w:tcMar>
              <w:top w:w="120" w:type="dxa"/>
              <w:left w:w="240" w:type="dxa"/>
              <w:bottom w:w="120" w:type="dxa"/>
              <w:right w:w="240" w:type="dxa"/>
            </w:tcMar>
            <w:hideMark/>
          </w:tcPr>
          <w:p w:rsidR="005C22A9" w:rsidRPr="005B0842" w:rsidRDefault="005C22A9" w:rsidP="00730346">
            <w:pPr>
              <w:rPr>
                <w:rFonts w:ascii="Arial Narrow" w:hAnsi="Arial Narrow"/>
                <w:b/>
                <w:sz w:val="18"/>
                <w:szCs w:val="18"/>
              </w:rPr>
            </w:pPr>
            <w:r w:rsidRPr="005B0842">
              <w:rPr>
                <w:rFonts w:ascii="Arial Narrow" w:hAnsi="Arial Narrow"/>
                <w:b/>
                <w:sz w:val="18"/>
                <w:szCs w:val="18"/>
              </w:rPr>
              <w:t>Administrative Advice</w:t>
            </w:r>
          </w:p>
          <w:p w:rsidR="005C22A9" w:rsidRPr="005B0842" w:rsidRDefault="005C22A9" w:rsidP="00730346">
            <w:pPr>
              <w:rPr>
                <w:rFonts w:ascii="Arial Narrow" w:hAnsi="Arial Narrow"/>
                <w:sz w:val="18"/>
                <w:szCs w:val="18"/>
              </w:rPr>
            </w:pPr>
            <w:r w:rsidRPr="005B0842">
              <w:rPr>
                <w:rFonts w:ascii="Arial Narrow" w:hAnsi="Arial Narrow"/>
                <w:sz w:val="18"/>
                <w:szCs w:val="18"/>
              </w:rPr>
              <w:t>Any queries concerning the arrangements to prescribe may be directed to Services Australia on 1800 700 270 (hours of operation 8 a.m. to 5 p.m. EST Monday to Friday).</w:t>
            </w:r>
          </w:p>
          <w:p w:rsidR="005C22A9" w:rsidRPr="005B0842" w:rsidRDefault="005C22A9" w:rsidP="00730346">
            <w:pPr>
              <w:rPr>
                <w:rFonts w:ascii="Arial Narrow" w:hAnsi="Arial Narrow"/>
                <w:sz w:val="18"/>
                <w:szCs w:val="18"/>
              </w:rPr>
            </w:pPr>
            <w:r w:rsidRPr="005B0842">
              <w:rPr>
                <w:rFonts w:ascii="Arial Narrow" w:hAnsi="Arial Narrow"/>
                <w:sz w:val="18"/>
                <w:szCs w:val="18"/>
              </w:rPr>
              <w:t>Prescribing information (including Authority Application forms and other relevant documentation as applicable) is available on the Services Australia website at www.servicesaustralia.gov.au</w:t>
            </w:r>
          </w:p>
          <w:p w:rsidR="005C22A9" w:rsidRPr="005B0842" w:rsidRDefault="005C22A9" w:rsidP="00730346">
            <w:pPr>
              <w:rPr>
                <w:rFonts w:ascii="Arial Narrow" w:hAnsi="Arial Narrow"/>
                <w:sz w:val="18"/>
                <w:szCs w:val="18"/>
              </w:rPr>
            </w:pPr>
            <w:r w:rsidRPr="005B0842">
              <w:rPr>
                <w:rFonts w:ascii="Arial Narrow" w:hAnsi="Arial Narrow"/>
                <w:sz w:val="18"/>
                <w:szCs w:val="18"/>
              </w:rPr>
              <w:t>Applications for authority to prescribe should be submitted online using the form upload facility in Health Professional Online Services (HPOS) at www.servicesaustralia.gov.au/hpos</w:t>
            </w:r>
          </w:p>
          <w:p w:rsidR="005C22A9" w:rsidRPr="005B0842" w:rsidRDefault="005C22A9" w:rsidP="00730346">
            <w:pPr>
              <w:rPr>
                <w:rFonts w:ascii="Arial Narrow" w:hAnsi="Arial Narrow"/>
                <w:sz w:val="18"/>
                <w:szCs w:val="18"/>
              </w:rPr>
            </w:pPr>
            <w:r w:rsidRPr="005B0842">
              <w:rPr>
                <w:rFonts w:ascii="Arial Narrow" w:hAnsi="Arial Narrow"/>
                <w:sz w:val="18"/>
                <w:szCs w:val="18"/>
              </w:rPr>
              <w:t>Or mailed to:</w:t>
            </w:r>
          </w:p>
          <w:p w:rsidR="005C22A9" w:rsidRPr="005B0842" w:rsidRDefault="005C22A9" w:rsidP="00730346">
            <w:pPr>
              <w:rPr>
                <w:rFonts w:ascii="Arial Narrow" w:hAnsi="Arial Narrow"/>
                <w:sz w:val="18"/>
                <w:szCs w:val="18"/>
              </w:rPr>
            </w:pPr>
            <w:r w:rsidRPr="005B0842">
              <w:rPr>
                <w:rFonts w:ascii="Arial Narrow" w:hAnsi="Arial Narrow"/>
                <w:sz w:val="18"/>
                <w:szCs w:val="18"/>
              </w:rPr>
              <w:t>Services Australia</w:t>
            </w:r>
          </w:p>
          <w:p w:rsidR="005C22A9" w:rsidRPr="005B0842" w:rsidRDefault="005C22A9" w:rsidP="00730346">
            <w:pPr>
              <w:rPr>
                <w:rFonts w:ascii="Arial Narrow" w:hAnsi="Arial Narrow"/>
                <w:sz w:val="18"/>
                <w:szCs w:val="18"/>
              </w:rPr>
            </w:pPr>
            <w:r w:rsidRPr="005B0842">
              <w:rPr>
                <w:rFonts w:ascii="Arial Narrow" w:hAnsi="Arial Narrow"/>
                <w:sz w:val="18"/>
                <w:szCs w:val="18"/>
              </w:rPr>
              <w:t>Complex Drugs</w:t>
            </w:r>
          </w:p>
          <w:p w:rsidR="005C22A9" w:rsidRPr="005B0842" w:rsidRDefault="005C22A9" w:rsidP="00730346">
            <w:pPr>
              <w:rPr>
                <w:rFonts w:ascii="Arial Narrow" w:hAnsi="Arial Narrow"/>
                <w:sz w:val="18"/>
                <w:szCs w:val="18"/>
              </w:rPr>
            </w:pPr>
            <w:r w:rsidRPr="005B0842">
              <w:rPr>
                <w:rFonts w:ascii="Arial Narrow" w:hAnsi="Arial Narrow"/>
                <w:sz w:val="18"/>
                <w:szCs w:val="18"/>
              </w:rPr>
              <w:t>Reply Paid 9826</w:t>
            </w:r>
          </w:p>
          <w:p w:rsidR="005C22A9" w:rsidRPr="00505FCB" w:rsidRDefault="005C22A9" w:rsidP="00730346">
            <w:pPr>
              <w:jc w:val="left"/>
              <w:textAlignment w:val="baseline"/>
              <w:rPr>
                <w:rFonts w:ascii="Arial Narrow" w:hAnsi="Arial Narrow" w:cs="Times New Roman"/>
                <w:sz w:val="18"/>
                <w:szCs w:val="18"/>
              </w:rPr>
            </w:pPr>
            <w:r w:rsidRPr="005B0842">
              <w:rPr>
                <w:rFonts w:ascii="Arial Narrow" w:hAnsi="Arial Narrow"/>
                <w:sz w:val="18"/>
                <w:szCs w:val="18"/>
              </w:rPr>
              <w:t>HOBART TAS 7001</w:t>
            </w:r>
          </w:p>
        </w:tc>
      </w:tr>
    </w:tbl>
    <w:p w:rsidR="00C02E01" w:rsidRDefault="00C02E01" w:rsidP="00C02E01">
      <w:pPr>
        <w:rPr>
          <w:rFonts w:ascii="Arial Narrow" w:hAnsi="Arial Narrow"/>
          <w:sz w:val="18"/>
          <w:szCs w:val="18"/>
        </w:rPr>
      </w:pPr>
    </w:p>
    <w:p w:rsidR="00C02E01" w:rsidRPr="00871292" w:rsidRDefault="00C02E01" w:rsidP="00C02E01">
      <w:pPr>
        <w:shd w:val="clear" w:color="auto" w:fill="FFFFFF"/>
        <w:textAlignment w:val="baseline"/>
        <w:rPr>
          <w:rFonts w:ascii="Arial Narrow" w:hAnsi="Arial Narrow"/>
          <w:sz w:val="18"/>
          <w:szCs w:val="18"/>
        </w:rPr>
      </w:pPr>
      <w:r w:rsidRPr="00871292">
        <w:rPr>
          <w:rFonts w:ascii="Arial Narrow" w:hAnsi="Arial Narrow"/>
          <w:sz w:val="18"/>
          <w:szCs w:val="18"/>
        </w:rPr>
        <w:t>EDIT ADMINISTRATIVE ADVICE [</w:t>
      </w:r>
      <w:r w:rsidRPr="002777B8">
        <w:rPr>
          <w:rFonts w:ascii="Arial Narrow" w:hAnsi="Arial Narrow"/>
          <w:sz w:val="18"/>
          <w:szCs w:val="18"/>
        </w:rPr>
        <w:t>24357</w:t>
      </w:r>
      <w:r w:rsidRPr="00871292">
        <w:rPr>
          <w:rFonts w:ascii="Arial Narrow" w:hAnsi="Arial Narrow"/>
          <w:sz w:val="18"/>
          <w:szCs w:val="18"/>
        </w:rPr>
        <w:t xml:space="preserve">]: </w:t>
      </w:r>
    </w:p>
    <w:p w:rsidR="00C02E01" w:rsidRDefault="00C02E01" w:rsidP="00C02E01">
      <w:pPr>
        <w:rPr>
          <w:b/>
          <w:bCs/>
        </w:rPr>
      </w:pPr>
    </w:p>
    <w:p w:rsidR="00C02E01" w:rsidRDefault="00C02E01" w:rsidP="00C02E01">
      <w:pPr>
        <w:rPr>
          <w:rFonts w:ascii="Arial Narrow" w:hAnsi="Arial Narrow"/>
          <w:b/>
          <w:bCs/>
          <w:sz w:val="18"/>
          <w:szCs w:val="18"/>
        </w:rPr>
      </w:pPr>
      <w:r w:rsidRPr="00EB256E">
        <w:rPr>
          <w:rFonts w:ascii="Arial Narrow" w:hAnsi="Arial Narrow"/>
          <w:b/>
          <w:bCs/>
          <w:sz w:val="18"/>
          <w:szCs w:val="18"/>
        </w:rPr>
        <w:t>TREATMENT OF ADULT PATIENTS WITH SEVERE ACTIVE PSORIATIC ARTHRITIS</w:t>
      </w:r>
    </w:p>
    <w:p w:rsidR="00C02E01" w:rsidRPr="00EB256E" w:rsidRDefault="00C02E01" w:rsidP="00C02E01">
      <w:pPr>
        <w:rPr>
          <w:rFonts w:ascii="Arial Narrow" w:hAnsi="Arial Narrow"/>
          <w:sz w:val="18"/>
          <w:szCs w:val="18"/>
        </w:rPr>
      </w:pPr>
    </w:p>
    <w:p w:rsidR="00C02E01" w:rsidRPr="00EB256E" w:rsidRDefault="00C02E01" w:rsidP="00C02E01">
      <w:pPr>
        <w:rPr>
          <w:rFonts w:ascii="Arial Narrow" w:hAnsi="Arial Narrow"/>
          <w:sz w:val="18"/>
          <w:szCs w:val="18"/>
        </w:rPr>
      </w:pPr>
      <w:r w:rsidRPr="00EB256E">
        <w:rPr>
          <w:rFonts w:ascii="Arial Narrow" w:hAnsi="Arial Narrow"/>
          <w:sz w:val="18"/>
          <w:szCs w:val="18"/>
        </w:rPr>
        <w:t>The following information applies to the prescribing under the Pharmaceutical Benefits Scheme (PBS) of the biological medicines adalimumab, certolizumab pegol, etanercept, golimumab, infliximab, ixekizumab, secukinumab, tofacitinib</w:t>
      </w:r>
      <w:r w:rsidRPr="00EB256E">
        <w:rPr>
          <w:rFonts w:ascii="Arial Narrow" w:hAnsi="Arial Narrow"/>
          <w:i/>
          <w:sz w:val="18"/>
          <w:szCs w:val="18"/>
        </w:rPr>
        <w:t>, upadacitinib</w:t>
      </w:r>
      <w:r w:rsidRPr="00EB256E">
        <w:rPr>
          <w:rFonts w:ascii="Arial Narrow" w:hAnsi="Arial Narrow"/>
          <w:sz w:val="18"/>
          <w:szCs w:val="18"/>
        </w:rPr>
        <w:t xml:space="preserve"> and ustekinumab for adult patients with severe active psoriatic arthritis. Therefore, where the term 'biological medicine' appears in notes and restrictions, it refers to adalimumab, certolizumab pegol, etanercept, golimumab, infliximab, ixekizumab, secukinumab, tofacitinib</w:t>
      </w:r>
      <w:r w:rsidRPr="00EB256E">
        <w:rPr>
          <w:rFonts w:ascii="Arial Narrow" w:hAnsi="Arial Narrow"/>
          <w:i/>
          <w:sz w:val="18"/>
          <w:szCs w:val="18"/>
        </w:rPr>
        <w:t>, upadacitinib</w:t>
      </w:r>
      <w:r w:rsidRPr="00EB256E">
        <w:rPr>
          <w:rFonts w:ascii="Arial Narrow" w:hAnsi="Arial Narrow"/>
          <w:sz w:val="18"/>
          <w:szCs w:val="18"/>
        </w:rPr>
        <w:t xml:space="preserve"> and ustekinumab only.</w:t>
      </w:r>
    </w:p>
    <w:p w:rsidR="00C02E01" w:rsidRDefault="00C02E01" w:rsidP="00C02E01">
      <w:pPr>
        <w:rPr>
          <w:rFonts w:ascii="Arial Narrow" w:hAnsi="Arial Narrow"/>
          <w:sz w:val="18"/>
          <w:szCs w:val="18"/>
        </w:rPr>
      </w:pPr>
    </w:p>
    <w:p w:rsidR="00C02E01" w:rsidRDefault="00C02E01" w:rsidP="00C02E01">
      <w:pPr>
        <w:rPr>
          <w:rFonts w:ascii="Arial Narrow" w:hAnsi="Arial Narrow"/>
          <w:sz w:val="18"/>
          <w:szCs w:val="18"/>
        </w:rPr>
      </w:pPr>
      <w:r w:rsidRPr="00EB256E">
        <w:rPr>
          <w:rFonts w:ascii="Arial Narrow" w:hAnsi="Arial Narrow"/>
          <w:sz w:val="18"/>
          <w:szCs w:val="18"/>
        </w:rPr>
        <w:t>A patient is eligible for PBS-subsidised treatment with only 1 of the above biological medicines at any 1 time.</w:t>
      </w:r>
    </w:p>
    <w:p w:rsidR="00C02E01" w:rsidRPr="00EB256E" w:rsidRDefault="00C02E01" w:rsidP="00C02E01">
      <w:pPr>
        <w:rPr>
          <w:rFonts w:ascii="Arial Narrow" w:hAnsi="Arial Narrow"/>
          <w:sz w:val="18"/>
          <w:szCs w:val="18"/>
        </w:rPr>
      </w:pPr>
    </w:p>
    <w:p w:rsidR="00C02E01" w:rsidRPr="00EB256E" w:rsidRDefault="00C02E01" w:rsidP="00C02E01">
      <w:pPr>
        <w:rPr>
          <w:rFonts w:ascii="Arial Narrow" w:hAnsi="Arial Narrow"/>
          <w:sz w:val="18"/>
          <w:szCs w:val="18"/>
        </w:rPr>
      </w:pPr>
      <w:r w:rsidRPr="00EB256E">
        <w:rPr>
          <w:rFonts w:ascii="Arial Narrow" w:hAnsi="Arial Narrow"/>
          <w:sz w:val="18"/>
          <w:szCs w:val="18"/>
        </w:rPr>
        <w:t>A patient receiving PBS-subsidised treatment for psoriatic arthritis is able to commence a treatment cycle where they may trial biological medicines without having to experience a disease flare when swapping to the alternate biological medicine. Under these arrangements, within a single cycle, a patient may receive long-term treatment with a biological medicine as long as they sustain a response to therapy.</w:t>
      </w:r>
    </w:p>
    <w:p w:rsidR="00C02E01" w:rsidRPr="00EB256E" w:rsidRDefault="00C02E01" w:rsidP="00C02E01">
      <w:pPr>
        <w:rPr>
          <w:rFonts w:ascii="Arial Narrow" w:hAnsi="Arial Narrow"/>
          <w:sz w:val="18"/>
          <w:szCs w:val="18"/>
        </w:rPr>
      </w:pPr>
      <w:r w:rsidRPr="00EB256E">
        <w:rPr>
          <w:rFonts w:ascii="Arial Narrow" w:hAnsi="Arial Narrow"/>
          <w:sz w:val="18"/>
          <w:szCs w:val="18"/>
        </w:rPr>
        <w:t>A patient who received PBS-subsidised adalimumab, certolizumab pegol, etanercept, golimumab, infliximab, ixekizumab, secukinumab</w:t>
      </w:r>
      <w:r w:rsidRPr="002777B8">
        <w:rPr>
          <w:rFonts w:ascii="Arial Narrow" w:hAnsi="Arial Narrow"/>
          <w:i/>
          <w:sz w:val="18"/>
          <w:szCs w:val="18"/>
        </w:rPr>
        <w:t>, tofacitinib, upadacitinib</w:t>
      </w:r>
      <w:r w:rsidRPr="00EB256E">
        <w:rPr>
          <w:rFonts w:ascii="Arial Narrow" w:hAnsi="Arial Narrow"/>
          <w:sz w:val="18"/>
          <w:szCs w:val="18"/>
        </w:rPr>
        <w:t xml:space="preserve"> or ustekinumab treatment prior to </w:t>
      </w:r>
      <w:r w:rsidRPr="002777B8">
        <w:rPr>
          <w:rFonts w:ascii="Arial Narrow" w:hAnsi="Arial Narrow"/>
          <w:strike/>
          <w:sz w:val="18"/>
          <w:szCs w:val="18"/>
        </w:rPr>
        <w:t>1 May 2019</w:t>
      </w:r>
      <w:r w:rsidRPr="00EB256E">
        <w:rPr>
          <w:rFonts w:ascii="Arial Narrow" w:hAnsi="Arial Narrow"/>
          <w:sz w:val="18"/>
          <w:szCs w:val="18"/>
        </w:rPr>
        <w:t xml:space="preserve"> </w:t>
      </w:r>
      <w:r>
        <w:rPr>
          <w:rFonts w:ascii="Arial Narrow" w:hAnsi="Arial Narrow"/>
          <w:sz w:val="18"/>
          <w:szCs w:val="18"/>
        </w:rPr>
        <w:t>[</w:t>
      </w:r>
      <w:r w:rsidRPr="002777B8">
        <w:rPr>
          <w:rFonts w:ascii="Arial Narrow" w:hAnsi="Arial Narrow"/>
          <w:i/>
          <w:sz w:val="18"/>
          <w:szCs w:val="18"/>
        </w:rPr>
        <w:t>PBS listing date]</w:t>
      </w:r>
      <w:r>
        <w:rPr>
          <w:rFonts w:ascii="Arial Narrow" w:hAnsi="Arial Narrow"/>
          <w:sz w:val="18"/>
          <w:szCs w:val="18"/>
        </w:rPr>
        <w:t xml:space="preserve"> </w:t>
      </w:r>
      <w:r w:rsidRPr="00EB256E">
        <w:rPr>
          <w:rFonts w:ascii="Arial Narrow" w:hAnsi="Arial Narrow"/>
          <w:sz w:val="18"/>
          <w:szCs w:val="18"/>
        </w:rPr>
        <w:t xml:space="preserve">is considered to start their first cycle as of </w:t>
      </w:r>
      <w:r w:rsidRPr="002777B8">
        <w:rPr>
          <w:rFonts w:ascii="Arial Narrow" w:hAnsi="Arial Narrow"/>
          <w:strike/>
          <w:sz w:val="18"/>
          <w:szCs w:val="18"/>
        </w:rPr>
        <w:t>1 May 2019</w:t>
      </w:r>
      <w:r w:rsidRPr="00EB256E">
        <w:rPr>
          <w:rFonts w:ascii="Arial Narrow" w:hAnsi="Arial Narrow"/>
          <w:sz w:val="18"/>
          <w:szCs w:val="18"/>
        </w:rPr>
        <w:t xml:space="preserve"> </w:t>
      </w:r>
      <w:r>
        <w:rPr>
          <w:rFonts w:ascii="Arial Narrow" w:hAnsi="Arial Narrow"/>
          <w:sz w:val="18"/>
          <w:szCs w:val="18"/>
        </w:rPr>
        <w:t>[</w:t>
      </w:r>
      <w:r w:rsidRPr="002777B8">
        <w:rPr>
          <w:rFonts w:ascii="Arial Narrow" w:hAnsi="Arial Narrow"/>
          <w:i/>
          <w:sz w:val="18"/>
          <w:szCs w:val="18"/>
        </w:rPr>
        <w:t>PBS listing date]</w:t>
      </w:r>
      <w:r w:rsidRPr="00EB256E">
        <w:rPr>
          <w:rFonts w:ascii="Arial Narrow" w:hAnsi="Arial Narrow"/>
          <w:sz w:val="18"/>
          <w:szCs w:val="18"/>
        </w:rPr>
        <w:t>.</w:t>
      </w:r>
    </w:p>
    <w:p w:rsidR="00C02E01" w:rsidRDefault="00C02E01" w:rsidP="00C02E01">
      <w:pPr>
        <w:rPr>
          <w:rFonts w:ascii="Arial Narrow" w:hAnsi="Arial Narrow"/>
          <w:sz w:val="18"/>
          <w:szCs w:val="18"/>
        </w:rPr>
      </w:pPr>
    </w:p>
    <w:p w:rsidR="00C02E01" w:rsidRDefault="00C02E01" w:rsidP="00C02E01">
      <w:pPr>
        <w:rPr>
          <w:rFonts w:ascii="Arial Narrow" w:hAnsi="Arial Narrow"/>
          <w:sz w:val="18"/>
          <w:szCs w:val="18"/>
        </w:rPr>
      </w:pPr>
      <w:r w:rsidRPr="00EB256E">
        <w:rPr>
          <w:rFonts w:ascii="Arial Narrow" w:hAnsi="Arial Narrow"/>
          <w:sz w:val="18"/>
          <w:szCs w:val="18"/>
        </w:rPr>
        <w:t>Within the same treatment cycle, a patient cannot trial and fail, or cease to respond to, the same PBS-subsidised biological medicine more than once. Therefore, once a patient fails to meet the response criteria for a PBS-subsidised biological medicine, they must change to an alternate biological medicine if they wish to continue PBS-subsidised biological treatment.</w:t>
      </w:r>
    </w:p>
    <w:p w:rsidR="00C02E01" w:rsidRPr="00EB256E" w:rsidRDefault="00C02E01" w:rsidP="00C02E01">
      <w:pPr>
        <w:rPr>
          <w:rFonts w:ascii="Arial Narrow" w:hAnsi="Arial Narrow"/>
          <w:sz w:val="18"/>
          <w:szCs w:val="18"/>
        </w:rPr>
      </w:pPr>
    </w:p>
    <w:p w:rsidR="00C02E01" w:rsidRDefault="00C02E01" w:rsidP="00C02E01">
      <w:pPr>
        <w:rPr>
          <w:rFonts w:ascii="Arial Narrow" w:hAnsi="Arial Narrow"/>
          <w:sz w:val="18"/>
          <w:szCs w:val="18"/>
        </w:rPr>
      </w:pPr>
      <w:r w:rsidRPr="00EB256E">
        <w:rPr>
          <w:rFonts w:ascii="Arial Narrow" w:hAnsi="Arial Narrow"/>
          <w:sz w:val="18"/>
          <w:szCs w:val="18"/>
        </w:rPr>
        <w:t>Serious adverse reaction of a severity resulting in the necessity for permanent withdrawal of treatment, including serious infusion or injection related reactions, Steven's Johnson Syndrome, development of a demyelinating lesion, progressive multifocal leukoencephalopathy and malignancy related to treatment with the biological medicine, is not considered as a treatment failure.</w:t>
      </w:r>
    </w:p>
    <w:p w:rsidR="00C02E01" w:rsidRPr="00EB256E" w:rsidRDefault="00C02E01" w:rsidP="00C02E01">
      <w:pPr>
        <w:rPr>
          <w:rFonts w:ascii="Arial Narrow" w:hAnsi="Arial Narrow"/>
          <w:sz w:val="18"/>
          <w:szCs w:val="18"/>
        </w:rPr>
      </w:pPr>
    </w:p>
    <w:p w:rsidR="00C02E01" w:rsidRDefault="00C02E01" w:rsidP="00C02E01">
      <w:pPr>
        <w:rPr>
          <w:rFonts w:ascii="Arial Narrow" w:hAnsi="Arial Narrow"/>
          <w:sz w:val="18"/>
          <w:szCs w:val="18"/>
        </w:rPr>
      </w:pPr>
      <w:r w:rsidRPr="00EB256E">
        <w:rPr>
          <w:rFonts w:ascii="Arial Narrow" w:hAnsi="Arial Narrow"/>
          <w:sz w:val="18"/>
          <w:szCs w:val="18"/>
        </w:rPr>
        <w:t>Once a patient has either failed or ceased to sustain a response to treatment 3 times, they are deemed to have completed a single cycle and they must have, at a minimum, a 5-year break in PBS-subsidised biological medicine therapy before they are eligible to commence another cycle [further details are under '(5) Recommencement of treatment after a 5-year break in PBS-subsidised therapy' below].</w:t>
      </w:r>
    </w:p>
    <w:p w:rsidR="00C02E01" w:rsidRPr="00EB256E" w:rsidRDefault="00C02E01" w:rsidP="00C02E01">
      <w:pPr>
        <w:rPr>
          <w:rFonts w:ascii="Arial Narrow" w:hAnsi="Arial Narrow"/>
          <w:sz w:val="18"/>
          <w:szCs w:val="18"/>
        </w:rPr>
      </w:pPr>
    </w:p>
    <w:p w:rsidR="00C02E01" w:rsidRDefault="00C02E01" w:rsidP="00C02E01">
      <w:pPr>
        <w:rPr>
          <w:rFonts w:ascii="Arial Narrow" w:hAnsi="Arial Narrow"/>
          <w:sz w:val="18"/>
          <w:szCs w:val="18"/>
        </w:rPr>
      </w:pPr>
      <w:r w:rsidRPr="00EB256E">
        <w:rPr>
          <w:rFonts w:ascii="Arial Narrow" w:hAnsi="Arial Narrow"/>
          <w:sz w:val="18"/>
          <w:szCs w:val="18"/>
        </w:rPr>
        <w:t>The duration of the break in therapy will be measured from the date the last prescription for PBS-subsidised treatment was approved in the most recent cycle to the date of the first application for initial treatment with a biological medicine under the new cycle.</w:t>
      </w:r>
    </w:p>
    <w:p w:rsidR="00C02E01" w:rsidRPr="00EB256E" w:rsidRDefault="00C02E01" w:rsidP="00C02E01">
      <w:pPr>
        <w:rPr>
          <w:rFonts w:ascii="Arial Narrow" w:hAnsi="Arial Narrow"/>
          <w:sz w:val="18"/>
          <w:szCs w:val="18"/>
        </w:rPr>
      </w:pPr>
    </w:p>
    <w:p w:rsidR="00C02E01" w:rsidRDefault="00C02E01" w:rsidP="00C02E01">
      <w:pPr>
        <w:rPr>
          <w:rFonts w:ascii="Arial Narrow" w:hAnsi="Arial Narrow"/>
          <w:sz w:val="18"/>
          <w:szCs w:val="18"/>
        </w:rPr>
      </w:pPr>
      <w:r w:rsidRPr="00EB256E">
        <w:rPr>
          <w:rFonts w:ascii="Arial Narrow" w:hAnsi="Arial Narrow"/>
          <w:sz w:val="18"/>
          <w:szCs w:val="18"/>
        </w:rPr>
        <w:t>A patient who has failed fewer than 3 biological medicines in a treatment cycle and who has a break in therapy of more than 5 years may commence a new treatment cycle under Initial 3 treatment restriction.</w:t>
      </w:r>
    </w:p>
    <w:p w:rsidR="00C02E01" w:rsidRPr="00EB256E" w:rsidRDefault="00C02E01" w:rsidP="00C02E01">
      <w:pPr>
        <w:rPr>
          <w:rFonts w:ascii="Arial Narrow" w:hAnsi="Arial Narrow"/>
          <w:sz w:val="18"/>
          <w:szCs w:val="18"/>
        </w:rPr>
      </w:pPr>
    </w:p>
    <w:p w:rsidR="00C02E01" w:rsidRDefault="00C02E01" w:rsidP="00C02E01">
      <w:pPr>
        <w:rPr>
          <w:rFonts w:ascii="Arial Narrow" w:hAnsi="Arial Narrow"/>
          <w:sz w:val="18"/>
          <w:szCs w:val="18"/>
        </w:rPr>
      </w:pPr>
      <w:r w:rsidRPr="00EB256E">
        <w:rPr>
          <w:rFonts w:ascii="Arial Narrow" w:hAnsi="Arial Narrow"/>
          <w:sz w:val="18"/>
          <w:szCs w:val="18"/>
        </w:rPr>
        <w:t>A patient who has failed fewer than 3 biological medicines in a treatment cycle and who has a break in therapy of less than 5 years may commence a further course of treatment within the same treatment cycle under Initial 2 treatment restriction.</w:t>
      </w:r>
    </w:p>
    <w:p w:rsidR="00C02E01" w:rsidRPr="00EB256E" w:rsidRDefault="00C02E01" w:rsidP="00C02E01">
      <w:pPr>
        <w:rPr>
          <w:rFonts w:ascii="Arial Narrow" w:hAnsi="Arial Narrow"/>
          <w:sz w:val="18"/>
          <w:szCs w:val="18"/>
        </w:rPr>
      </w:pPr>
    </w:p>
    <w:p w:rsidR="00C02E01" w:rsidRDefault="00C02E01" w:rsidP="00C02E01">
      <w:pPr>
        <w:rPr>
          <w:rFonts w:ascii="Arial Narrow" w:hAnsi="Arial Narrow"/>
          <w:sz w:val="18"/>
          <w:szCs w:val="18"/>
        </w:rPr>
      </w:pPr>
      <w:r w:rsidRPr="00EB256E">
        <w:rPr>
          <w:rFonts w:ascii="Arial Narrow" w:hAnsi="Arial Narrow"/>
          <w:sz w:val="18"/>
          <w:szCs w:val="18"/>
        </w:rPr>
        <w:t>There is no limit to the number of treatment cycles a patient may undertake in their lifetime.</w:t>
      </w:r>
    </w:p>
    <w:p w:rsidR="00C02E01" w:rsidRPr="00EB256E" w:rsidRDefault="00C02E01" w:rsidP="00C02E01">
      <w:pPr>
        <w:rPr>
          <w:rFonts w:ascii="Arial Narrow" w:hAnsi="Arial Narrow"/>
          <w:sz w:val="18"/>
          <w:szCs w:val="18"/>
        </w:rPr>
      </w:pPr>
    </w:p>
    <w:p w:rsidR="00C02E01" w:rsidRDefault="00C02E01" w:rsidP="00C02E01">
      <w:pPr>
        <w:rPr>
          <w:rFonts w:ascii="Arial Narrow" w:hAnsi="Arial Narrow"/>
          <w:sz w:val="18"/>
          <w:szCs w:val="18"/>
        </w:rPr>
      </w:pPr>
      <w:r w:rsidRPr="00EB256E">
        <w:rPr>
          <w:rFonts w:ascii="Arial Narrow" w:hAnsi="Arial Narrow"/>
          <w:sz w:val="18"/>
          <w:szCs w:val="18"/>
        </w:rPr>
        <w:t>How to prescribe PBS-subsidised biological medicine treatment for severe active psoriatic arthritis.</w:t>
      </w:r>
    </w:p>
    <w:p w:rsidR="00C02E01" w:rsidRPr="00EB256E" w:rsidRDefault="00C02E01" w:rsidP="00C02E01">
      <w:pPr>
        <w:rPr>
          <w:rFonts w:ascii="Arial Narrow" w:hAnsi="Arial Narrow"/>
          <w:sz w:val="18"/>
          <w:szCs w:val="18"/>
        </w:rPr>
      </w:pPr>
    </w:p>
    <w:p w:rsidR="00C02E01" w:rsidRPr="00EB256E" w:rsidRDefault="00C02E01" w:rsidP="00C02E01">
      <w:pPr>
        <w:rPr>
          <w:rFonts w:ascii="Arial Narrow" w:hAnsi="Arial Narrow"/>
          <w:sz w:val="18"/>
          <w:szCs w:val="18"/>
        </w:rPr>
      </w:pPr>
      <w:r w:rsidRPr="00EB256E">
        <w:rPr>
          <w:rFonts w:ascii="Arial Narrow" w:hAnsi="Arial Narrow"/>
          <w:sz w:val="18"/>
          <w:szCs w:val="18"/>
        </w:rPr>
        <w:t>(1) Initial treatment.</w:t>
      </w:r>
    </w:p>
    <w:p w:rsidR="00C02E01" w:rsidRDefault="00C02E01" w:rsidP="00C02E01">
      <w:pPr>
        <w:rPr>
          <w:rFonts w:ascii="Arial Narrow" w:hAnsi="Arial Narrow"/>
          <w:sz w:val="18"/>
          <w:szCs w:val="18"/>
        </w:rPr>
      </w:pPr>
      <w:r w:rsidRPr="00EB256E">
        <w:rPr>
          <w:rFonts w:ascii="Arial Narrow" w:hAnsi="Arial Narrow"/>
          <w:sz w:val="18"/>
          <w:szCs w:val="18"/>
        </w:rPr>
        <w:t>Applications for initial treatment should be made where:</w:t>
      </w:r>
    </w:p>
    <w:p w:rsidR="00C02E01" w:rsidRPr="00EB256E" w:rsidRDefault="00C02E01" w:rsidP="00C02E01">
      <w:pPr>
        <w:rPr>
          <w:rFonts w:ascii="Arial Narrow" w:hAnsi="Arial Narrow"/>
          <w:sz w:val="18"/>
          <w:szCs w:val="18"/>
        </w:rPr>
      </w:pPr>
    </w:p>
    <w:p w:rsidR="00C02E01" w:rsidRDefault="00C02E01" w:rsidP="00C02E01">
      <w:pPr>
        <w:rPr>
          <w:rFonts w:ascii="Arial Narrow" w:hAnsi="Arial Narrow"/>
          <w:sz w:val="18"/>
          <w:szCs w:val="18"/>
        </w:rPr>
      </w:pPr>
      <w:r w:rsidRPr="00EB256E">
        <w:rPr>
          <w:rFonts w:ascii="Arial Narrow" w:hAnsi="Arial Narrow"/>
          <w:sz w:val="18"/>
          <w:szCs w:val="18"/>
        </w:rPr>
        <w:t>(i) a patient has not received prior PBS-subsidised biological medicine treatment and wishes to commence such therapy (Initial 1 - New patient); or</w:t>
      </w:r>
    </w:p>
    <w:p w:rsidR="00C02E01" w:rsidRDefault="00C02E01" w:rsidP="00C02E01">
      <w:pPr>
        <w:rPr>
          <w:rFonts w:ascii="Arial Narrow" w:hAnsi="Arial Narrow"/>
          <w:sz w:val="18"/>
          <w:szCs w:val="18"/>
        </w:rPr>
      </w:pPr>
    </w:p>
    <w:p w:rsidR="00C02E01" w:rsidRPr="00EB256E" w:rsidRDefault="00C02E01" w:rsidP="00C02E01">
      <w:pPr>
        <w:rPr>
          <w:rFonts w:ascii="Arial Narrow" w:hAnsi="Arial Narrow"/>
          <w:sz w:val="18"/>
          <w:szCs w:val="18"/>
        </w:rPr>
      </w:pPr>
      <w:r w:rsidRPr="00EB256E">
        <w:rPr>
          <w:rFonts w:ascii="Arial Narrow" w:hAnsi="Arial Narrow"/>
          <w:sz w:val="18"/>
          <w:szCs w:val="18"/>
        </w:rPr>
        <w:t>(ii) a patient has received prior PBS-subsidised biological medicine therapy (initial or continuing) and wishes to trial an alternate medicine (Initial 2 - Change or Recommencement of treatment after a break in therapy of less than 5 years) [further details are under 'Swapping therapy' below]; or</w:t>
      </w:r>
    </w:p>
    <w:p w:rsidR="00C02E01" w:rsidRDefault="00C02E01" w:rsidP="00C02E01">
      <w:pPr>
        <w:rPr>
          <w:rFonts w:ascii="Arial Narrow" w:hAnsi="Arial Narrow"/>
          <w:sz w:val="18"/>
          <w:szCs w:val="18"/>
        </w:rPr>
      </w:pPr>
    </w:p>
    <w:p w:rsidR="00C02E01" w:rsidRPr="00EB256E" w:rsidRDefault="00C02E01" w:rsidP="00C02E01">
      <w:pPr>
        <w:rPr>
          <w:rFonts w:ascii="Arial Narrow" w:hAnsi="Arial Narrow"/>
          <w:sz w:val="18"/>
          <w:szCs w:val="18"/>
        </w:rPr>
      </w:pPr>
      <w:r w:rsidRPr="00EB256E">
        <w:rPr>
          <w:rFonts w:ascii="Arial Narrow" w:hAnsi="Arial Narrow"/>
          <w:sz w:val="18"/>
          <w:szCs w:val="18"/>
        </w:rPr>
        <w:t>(iii) a patient wishes to recommence treatment with a specific biological medicine following a break in PBS-subsidised therapy of less than 5 years with the same medicine (Initial 2 - Change or Recommencement of treatment after a break in biological medicine of less than 5 years).</w:t>
      </w:r>
    </w:p>
    <w:p w:rsidR="00C02E01" w:rsidRDefault="00C02E01" w:rsidP="00C02E01">
      <w:pPr>
        <w:rPr>
          <w:rFonts w:ascii="Arial Narrow" w:hAnsi="Arial Narrow"/>
          <w:sz w:val="18"/>
          <w:szCs w:val="18"/>
        </w:rPr>
      </w:pPr>
    </w:p>
    <w:p w:rsidR="00C02E01" w:rsidRPr="00EB256E" w:rsidRDefault="00C02E01" w:rsidP="00C02E01">
      <w:pPr>
        <w:rPr>
          <w:rFonts w:ascii="Arial Narrow" w:hAnsi="Arial Narrow"/>
          <w:sz w:val="18"/>
          <w:szCs w:val="18"/>
        </w:rPr>
      </w:pPr>
      <w:r w:rsidRPr="00EB256E">
        <w:rPr>
          <w:rFonts w:ascii="Arial Narrow" w:hAnsi="Arial Narrow"/>
          <w:sz w:val="18"/>
          <w:szCs w:val="18"/>
        </w:rPr>
        <w:t>(iv) a patient wishes to recommence treatment with a biological medicine following a break in PBS-subsidised therapy of more than 5 years (Initial 3 - Recommencement of treatment after a break in biological medicine of more than 5 years) or</w:t>
      </w:r>
    </w:p>
    <w:p w:rsidR="00C02E01" w:rsidRDefault="00C02E01" w:rsidP="00C02E01">
      <w:pPr>
        <w:rPr>
          <w:rFonts w:ascii="Arial Narrow" w:hAnsi="Arial Narrow"/>
          <w:sz w:val="18"/>
          <w:szCs w:val="18"/>
        </w:rPr>
      </w:pPr>
    </w:p>
    <w:p w:rsidR="00C02E01" w:rsidRDefault="00C02E01" w:rsidP="00C02E01">
      <w:pPr>
        <w:rPr>
          <w:rFonts w:ascii="Arial Narrow" w:hAnsi="Arial Narrow"/>
          <w:sz w:val="18"/>
          <w:szCs w:val="18"/>
        </w:rPr>
      </w:pPr>
      <w:r w:rsidRPr="00EB256E">
        <w:rPr>
          <w:rFonts w:ascii="Arial Narrow" w:hAnsi="Arial Narrow"/>
          <w:sz w:val="18"/>
          <w:szCs w:val="18"/>
        </w:rPr>
        <w:t>An application for initial treatment will be limited to provide for a maximum of 16 weeks of therapy for adalimumab, etanercept, golimumab secukinumab</w:t>
      </w:r>
      <w:r w:rsidR="00985521" w:rsidRPr="00985521">
        <w:rPr>
          <w:rFonts w:ascii="Arial Narrow" w:hAnsi="Arial Narrow"/>
          <w:i/>
          <w:sz w:val="18"/>
          <w:szCs w:val="18"/>
        </w:rPr>
        <w:t>,</w:t>
      </w:r>
      <w:r w:rsidRPr="00EE61CB">
        <w:rPr>
          <w:rFonts w:ascii="Arial Narrow" w:hAnsi="Arial Narrow"/>
          <w:strike/>
          <w:sz w:val="18"/>
          <w:szCs w:val="18"/>
        </w:rPr>
        <w:t xml:space="preserve"> and</w:t>
      </w:r>
      <w:r w:rsidRPr="00EB256E">
        <w:rPr>
          <w:rFonts w:ascii="Arial Narrow" w:hAnsi="Arial Narrow"/>
          <w:sz w:val="18"/>
          <w:szCs w:val="18"/>
        </w:rPr>
        <w:t xml:space="preserve"> tofacitinib</w:t>
      </w:r>
      <w:r w:rsidRPr="00EE61CB">
        <w:rPr>
          <w:rFonts w:ascii="Arial Narrow" w:hAnsi="Arial Narrow"/>
          <w:strike/>
          <w:sz w:val="18"/>
          <w:szCs w:val="18"/>
        </w:rPr>
        <w:t>,</w:t>
      </w:r>
      <w:r>
        <w:rPr>
          <w:rFonts w:ascii="Arial Narrow" w:hAnsi="Arial Narrow"/>
          <w:sz w:val="18"/>
          <w:szCs w:val="18"/>
        </w:rPr>
        <w:t xml:space="preserve"> and </w:t>
      </w:r>
      <w:r w:rsidRPr="00EE61CB">
        <w:rPr>
          <w:rFonts w:ascii="Arial Narrow" w:hAnsi="Arial Narrow"/>
          <w:i/>
          <w:sz w:val="18"/>
          <w:szCs w:val="18"/>
        </w:rPr>
        <w:t>upadacitinib</w:t>
      </w:r>
      <w:r w:rsidR="00985521">
        <w:rPr>
          <w:rFonts w:ascii="Arial Narrow" w:hAnsi="Arial Narrow"/>
          <w:i/>
          <w:sz w:val="18"/>
          <w:szCs w:val="18"/>
        </w:rPr>
        <w:t>,</w:t>
      </w:r>
      <w:r w:rsidR="00985521" w:rsidRPr="00EB256E">
        <w:rPr>
          <w:rFonts w:ascii="Arial Narrow" w:hAnsi="Arial Narrow"/>
          <w:sz w:val="18"/>
          <w:szCs w:val="18"/>
        </w:rPr>
        <w:t xml:space="preserve"> 18</w:t>
      </w:r>
      <w:r w:rsidRPr="00EB256E">
        <w:rPr>
          <w:rFonts w:ascii="Arial Narrow" w:hAnsi="Arial Narrow"/>
          <w:sz w:val="18"/>
          <w:szCs w:val="18"/>
        </w:rPr>
        <w:t xml:space="preserve"> to 20 weeks of therapy for certolizumab pegol (depending upon the dosing regimen), 20 weeks of therapy for ixekizumab, 22 weeks of therapy for infliximab, and 28 weeks of therapy for ustekinumab. It is recommended that a patient be reviewed in the</w:t>
      </w:r>
      <w:r w:rsidRPr="00EB256E">
        <w:rPr>
          <w:rFonts w:ascii="Arial Narrow" w:hAnsi="Arial Narrow"/>
          <w:strike/>
          <w:sz w:val="18"/>
          <w:szCs w:val="18"/>
        </w:rPr>
        <w:t xml:space="preserve"> month</w:t>
      </w:r>
      <w:r w:rsidRPr="00EB256E">
        <w:rPr>
          <w:rFonts w:ascii="Arial Narrow" w:hAnsi="Arial Narrow"/>
          <w:sz w:val="18"/>
          <w:szCs w:val="18"/>
        </w:rPr>
        <w:t xml:space="preserve"> </w:t>
      </w:r>
      <w:r w:rsidRPr="00EB256E">
        <w:rPr>
          <w:rFonts w:ascii="Arial Narrow" w:hAnsi="Arial Narrow"/>
          <w:i/>
          <w:sz w:val="18"/>
          <w:szCs w:val="18"/>
        </w:rPr>
        <w:t>4 weeks</w:t>
      </w:r>
      <w:r w:rsidRPr="00EB256E">
        <w:rPr>
          <w:rFonts w:ascii="Arial Narrow" w:hAnsi="Arial Narrow"/>
          <w:sz w:val="18"/>
          <w:szCs w:val="18"/>
        </w:rPr>
        <w:t xml:space="preserve"> prior to completing their course of initial treatment to ensure uninterrupted biological medicine supply.</w:t>
      </w:r>
    </w:p>
    <w:p w:rsidR="00C02E01" w:rsidRPr="00EB256E" w:rsidRDefault="00C02E01" w:rsidP="00C02E01">
      <w:pPr>
        <w:rPr>
          <w:rFonts w:ascii="Arial Narrow" w:hAnsi="Arial Narrow"/>
          <w:sz w:val="18"/>
          <w:szCs w:val="18"/>
        </w:rPr>
      </w:pPr>
    </w:p>
    <w:p w:rsidR="00C02E01" w:rsidRPr="00EB256E" w:rsidRDefault="00C02E01" w:rsidP="00C02E01">
      <w:pPr>
        <w:rPr>
          <w:rFonts w:ascii="Arial Narrow" w:hAnsi="Arial Narrow"/>
          <w:sz w:val="18"/>
          <w:szCs w:val="18"/>
        </w:rPr>
      </w:pPr>
      <w:r w:rsidRPr="00EB256E">
        <w:rPr>
          <w:rFonts w:ascii="Arial Narrow" w:hAnsi="Arial Narrow"/>
          <w:sz w:val="18"/>
          <w:szCs w:val="18"/>
        </w:rPr>
        <w:t xml:space="preserve">A patient must be assessed for response to a course of PBS-subsidised initial treatment following a minimum of 12 weeks of therapy and conducted no later than 4 weeks from the cessation of the treatment course. If the response assessment is not </w:t>
      </w:r>
      <w:r w:rsidRPr="00EB256E">
        <w:rPr>
          <w:rFonts w:ascii="Arial Narrow" w:hAnsi="Arial Narrow"/>
          <w:strike/>
          <w:sz w:val="18"/>
          <w:szCs w:val="18"/>
        </w:rPr>
        <w:t xml:space="preserve">submitted </w:t>
      </w:r>
      <w:r w:rsidRPr="00EB256E">
        <w:rPr>
          <w:rFonts w:ascii="Arial Narrow" w:hAnsi="Arial Narrow"/>
          <w:i/>
          <w:sz w:val="18"/>
          <w:szCs w:val="18"/>
        </w:rPr>
        <w:t xml:space="preserve">conducted </w:t>
      </w:r>
      <w:r w:rsidRPr="00EB256E">
        <w:rPr>
          <w:rFonts w:ascii="Arial Narrow" w:hAnsi="Arial Narrow"/>
          <w:sz w:val="18"/>
          <w:szCs w:val="18"/>
        </w:rPr>
        <w:t>within these timeframes, the patient will be deemed to have failed this course of treatment.</w:t>
      </w:r>
    </w:p>
    <w:p w:rsidR="00C02E01" w:rsidRDefault="00C02E01" w:rsidP="00C02E01">
      <w:pPr>
        <w:rPr>
          <w:rFonts w:ascii="Arial Narrow" w:hAnsi="Arial Narrow"/>
          <w:strike/>
          <w:sz w:val="18"/>
          <w:szCs w:val="18"/>
        </w:rPr>
      </w:pPr>
    </w:p>
    <w:p w:rsidR="00C02E01" w:rsidRPr="00EB256E" w:rsidRDefault="00C02E01" w:rsidP="00C02E01">
      <w:pPr>
        <w:rPr>
          <w:rFonts w:ascii="Arial Narrow" w:hAnsi="Arial Narrow"/>
          <w:strike/>
          <w:sz w:val="18"/>
          <w:szCs w:val="18"/>
        </w:rPr>
      </w:pPr>
      <w:r w:rsidRPr="00EB256E">
        <w:rPr>
          <w:rFonts w:ascii="Arial Narrow" w:hAnsi="Arial Narrow"/>
          <w:strike/>
          <w:sz w:val="18"/>
          <w:szCs w:val="18"/>
        </w:rPr>
        <w:t>Grandfather patients (ixekizumab only).</w:t>
      </w:r>
    </w:p>
    <w:p w:rsidR="00C02E01" w:rsidRPr="00EB256E" w:rsidRDefault="00C02E01" w:rsidP="00C02E01">
      <w:pPr>
        <w:rPr>
          <w:rFonts w:ascii="Arial Narrow" w:hAnsi="Arial Narrow"/>
          <w:strike/>
          <w:sz w:val="18"/>
          <w:szCs w:val="18"/>
        </w:rPr>
      </w:pPr>
      <w:r w:rsidRPr="00EB256E">
        <w:rPr>
          <w:rFonts w:ascii="Arial Narrow" w:hAnsi="Arial Narrow"/>
          <w:strike/>
          <w:sz w:val="18"/>
          <w:szCs w:val="18"/>
        </w:rPr>
        <w:t>A patient who commenced treatment with ixekizumab for severe psoriatic arthritis prior to 1 March 2019 and who continues to receive treatment at the time of application, may qualify for treatment under the 'Grandfather' treatment restriction.</w:t>
      </w:r>
    </w:p>
    <w:p w:rsidR="00C02E01" w:rsidRPr="00EB256E" w:rsidRDefault="00C02E01" w:rsidP="00C02E01">
      <w:pPr>
        <w:rPr>
          <w:rFonts w:ascii="Arial Narrow" w:hAnsi="Arial Narrow"/>
          <w:strike/>
          <w:sz w:val="18"/>
          <w:szCs w:val="18"/>
        </w:rPr>
      </w:pPr>
      <w:r w:rsidRPr="00EB256E">
        <w:rPr>
          <w:rFonts w:ascii="Arial Narrow" w:hAnsi="Arial Narrow"/>
          <w:strike/>
          <w:sz w:val="18"/>
          <w:szCs w:val="18"/>
        </w:rPr>
        <w:t>A patient may only qualify for PBS-subsidised treatment under this restriction once. A maximum of 24 weeks of treatment will be authorised under this criterion. Following completion of the initial PBS-subsidised course, further subsidised treatment must be prescribed under the continuing treatment restriction of the relevant drug. 'Grandfather' arrangements will only apply for the first treatment cycle.</w:t>
      </w:r>
    </w:p>
    <w:p w:rsidR="00C02E01" w:rsidRPr="00EB256E" w:rsidRDefault="00C02E01" w:rsidP="00C02E01">
      <w:pPr>
        <w:rPr>
          <w:rFonts w:ascii="Arial Narrow" w:hAnsi="Arial Narrow"/>
          <w:strike/>
          <w:sz w:val="18"/>
          <w:szCs w:val="18"/>
        </w:rPr>
      </w:pPr>
      <w:r w:rsidRPr="00EB256E">
        <w:rPr>
          <w:rFonts w:ascii="Arial Narrow" w:hAnsi="Arial Narrow"/>
          <w:strike/>
          <w:sz w:val="18"/>
          <w:szCs w:val="18"/>
        </w:rPr>
        <w:t>For the second and subsequent cycles, a 'grandfather' patient must qualify for continuing treatment under the criteria that apply to a continuing patient.</w:t>
      </w:r>
    </w:p>
    <w:p w:rsidR="00C02E01" w:rsidRDefault="00C02E01" w:rsidP="00C02E01">
      <w:pPr>
        <w:rPr>
          <w:rFonts w:ascii="Arial Narrow" w:hAnsi="Arial Narrow"/>
          <w:strike/>
          <w:sz w:val="18"/>
          <w:szCs w:val="18"/>
        </w:rPr>
      </w:pPr>
    </w:p>
    <w:p w:rsidR="00C02E01" w:rsidRPr="00EB256E" w:rsidRDefault="00C02E01" w:rsidP="00C02E01">
      <w:pPr>
        <w:rPr>
          <w:rFonts w:ascii="Arial Narrow" w:hAnsi="Arial Narrow"/>
          <w:strike/>
          <w:sz w:val="18"/>
          <w:szCs w:val="18"/>
        </w:rPr>
      </w:pPr>
      <w:r w:rsidRPr="00EB256E">
        <w:rPr>
          <w:rFonts w:ascii="Arial Narrow" w:hAnsi="Arial Narrow"/>
          <w:strike/>
          <w:sz w:val="18"/>
          <w:szCs w:val="18"/>
        </w:rPr>
        <w:t>Grandfather patients (tofacitinib only).</w:t>
      </w:r>
    </w:p>
    <w:p w:rsidR="00C02E01" w:rsidRPr="00EB256E" w:rsidRDefault="00C02E01" w:rsidP="00C02E01">
      <w:pPr>
        <w:rPr>
          <w:rFonts w:ascii="Arial Narrow" w:hAnsi="Arial Narrow"/>
          <w:strike/>
          <w:sz w:val="18"/>
          <w:szCs w:val="18"/>
        </w:rPr>
      </w:pPr>
      <w:r w:rsidRPr="00EB256E">
        <w:rPr>
          <w:rFonts w:ascii="Arial Narrow" w:hAnsi="Arial Narrow"/>
          <w:strike/>
          <w:sz w:val="18"/>
          <w:szCs w:val="18"/>
        </w:rPr>
        <w:t>A patient who commenced treatment with Tofacitinib for severe psoriatic arthritis prior to 1 May 2019 and who continues to receive treatment at the time of application, may qualify for treatment under the 'Grandfather' treatment restriction.</w:t>
      </w:r>
    </w:p>
    <w:p w:rsidR="00C02E01" w:rsidRPr="00EB256E" w:rsidRDefault="00C02E01" w:rsidP="00C02E01">
      <w:pPr>
        <w:rPr>
          <w:rFonts w:ascii="Arial Narrow" w:hAnsi="Arial Narrow"/>
          <w:strike/>
          <w:sz w:val="18"/>
          <w:szCs w:val="18"/>
        </w:rPr>
      </w:pPr>
      <w:r w:rsidRPr="00EB256E">
        <w:rPr>
          <w:rFonts w:ascii="Arial Narrow" w:hAnsi="Arial Narrow"/>
          <w:strike/>
          <w:sz w:val="18"/>
          <w:szCs w:val="18"/>
        </w:rPr>
        <w:t>A patient may only qualify for PBS-subsidised treatment under this restriction once. A maximum of 24 weeks of treatment will be authorised under this criterion. Following completion of the initial PBS-subsidised course, further subsidised treatment must be prescribed under the continuing treatment restriction of the relevant drug. 'Grandfather' arrangements will only apply for the first treatment cycle.</w:t>
      </w:r>
    </w:p>
    <w:p w:rsidR="00C02E01" w:rsidRDefault="00C02E01" w:rsidP="00C02E01">
      <w:pPr>
        <w:rPr>
          <w:rFonts w:ascii="Arial Narrow" w:hAnsi="Arial Narrow"/>
          <w:strike/>
          <w:sz w:val="18"/>
          <w:szCs w:val="18"/>
        </w:rPr>
      </w:pPr>
      <w:r w:rsidRPr="00EB256E">
        <w:rPr>
          <w:rFonts w:ascii="Arial Narrow" w:hAnsi="Arial Narrow"/>
          <w:strike/>
          <w:sz w:val="18"/>
          <w:szCs w:val="18"/>
        </w:rPr>
        <w:t>For the second and subsequent cycles, a 'grandfather' patient must qualify for continuing treatment under the criteria that apply to a continuing patient.</w:t>
      </w:r>
    </w:p>
    <w:p w:rsidR="00C02E01" w:rsidRDefault="00C02E01" w:rsidP="00C02E01">
      <w:pPr>
        <w:rPr>
          <w:rFonts w:ascii="Arial Narrow" w:hAnsi="Arial Narrow"/>
          <w:strike/>
          <w:sz w:val="18"/>
          <w:szCs w:val="18"/>
        </w:rPr>
      </w:pPr>
    </w:p>
    <w:p w:rsidR="00C02E01" w:rsidRPr="00EE61CB" w:rsidRDefault="00C02E01" w:rsidP="00C02E01">
      <w:pPr>
        <w:rPr>
          <w:rFonts w:ascii="Arial Narrow" w:hAnsi="Arial Narrow"/>
          <w:i/>
          <w:sz w:val="18"/>
          <w:szCs w:val="18"/>
        </w:rPr>
      </w:pPr>
      <w:r w:rsidRPr="00EE61CB">
        <w:rPr>
          <w:rFonts w:ascii="Arial Narrow" w:hAnsi="Arial Narrow"/>
          <w:i/>
          <w:sz w:val="18"/>
          <w:szCs w:val="18"/>
        </w:rPr>
        <w:t>Grandfather patients (upadacitinib only)</w:t>
      </w:r>
    </w:p>
    <w:p w:rsidR="00C02E01" w:rsidRPr="00EE61CB" w:rsidRDefault="00C02E01" w:rsidP="00C02E01">
      <w:pPr>
        <w:rPr>
          <w:rFonts w:ascii="Arial Narrow" w:hAnsi="Arial Narrow"/>
          <w:i/>
          <w:sz w:val="18"/>
          <w:szCs w:val="18"/>
        </w:rPr>
      </w:pPr>
      <w:r w:rsidRPr="00EE61CB">
        <w:rPr>
          <w:rFonts w:ascii="Arial Narrow" w:hAnsi="Arial Narrow"/>
          <w:i/>
          <w:sz w:val="18"/>
          <w:szCs w:val="18"/>
        </w:rPr>
        <w:t xml:space="preserve">A patient who commenced treatment with upadacitinib for severe psoriatic arthritis prior to [PBS listing </w:t>
      </w:r>
      <w:r w:rsidR="00985521">
        <w:rPr>
          <w:rFonts w:ascii="Arial Narrow" w:hAnsi="Arial Narrow"/>
          <w:i/>
          <w:sz w:val="18"/>
          <w:szCs w:val="18"/>
        </w:rPr>
        <w:t>d</w:t>
      </w:r>
      <w:r w:rsidRPr="00EE61CB">
        <w:rPr>
          <w:rFonts w:ascii="Arial Narrow" w:hAnsi="Arial Narrow"/>
          <w:i/>
          <w:sz w:val="18"/>
          <w:szCs w:val="18"/>
        </w:rPr>
        <w:t>ate] and who continues to receive treatment at the time of application, may qualify for treatment under the 'Grandfather' treatment restriction.</w:t>
      </w:r>
    </w:p>
    <w:p w:rsidR="00C02E01" w:rsidRPr="00EE61CB" w:rsidRDefault="00C02E01" w:rsidP="00C02E01">
      <w:pPr>
        <w:rPr>
          <w:rFonts w:ascii="Arial Narrow" w:hAnsi="Arial Narrow"/>
          <w:i/>
          <w:sz w:val="18"/>
          <w:szCs w:val="18"/>
        </w:rPr>
      </w:pPr>
    </w:p>
    <w:p w:rsidR="00C02E01" w:rsidRPr="00EE61CB" w:rsidRDefault="00C02E01" w:rsidP="00C02E01">
      <w:pPr>
        <w:rPr>
          <w:rFonts w:ascii="Arial Narrow" w:hAnsi="Arial Narrow"/>
          <w:i/>
          <w:sz w:val="18"/>
          <w:szCs w:val="18"/>
        </w:rPr>
      </w:pPr>
      <w:r w:rsidRPr="00EE61CB">
        <w:rPr>
          <w:rFonts w:ascii="Arial Narrow" w:hAnsi="Arial Narrow"/>
          <w:i/>
          <w:sz w:val="18"/>
          <w:szCs w:val="18"/>
        </w:rPr>
        <w:t>A patient may only qualify for PBS-subsidised treatment under this restriction once. A maximum of 24 weeks of treatment will be authorised under this criterion. Following completion of the initial PBS-subsidised course, further subsidised treatment must be prescribed under the continuing treatment restriction of the relevant drug. 'Grandfather' arrangements will only apply for the first treatment cycle.</w:t>
      </w:r>
    </w:p>
    <w:p w:rsidR="00C02E01" w:rsidRPr="00EE61CB" w:rsidRDefault="00C02E01" w:rsidP="00C02E01">
      <w:pPr>
        <w:rPr>
          <w:rFonts w:ascii="Arial Narrow" w:hAnsi="Arial Narrow"/>
          <w:i/>
          <w:sz w:val="18"/>
          <w:szCs w:val="18"/>
        </w:rPr>
      </w:pPr>
    </w:p>
    <w:p w:rsidR="00C02E01" w:rsidRPr="00EE61CB" w:rsidRDefault="00C02E01" w:rsidP="00C02E01">
      <w:pPr>
        <w:rPr>
          <w:rFonts w:ascii="Arial Narrow" w:hAnsi="Arial Narrow"/>
          <w:i/>
          <w:sz w:val="18"/>
          <w:szCs w:val="18"/>
        </w:rPr>
      </w:pPr>
      <w:r w:rsidRPr="00EE61CB">
        <w:rPr>
          <w:rFonts w:ascii="Arial Narrow" w:hAnsi="Arial Narrow"/>
          <w:i/>
          <w:sz w:val="18"/>
          <w:szCs w:val="18"/>
        </w:rPr>
        <w:t>For the second and subsequent cycles, a 'grandfather' patient must qualify for continuing treatment under the criteria that apply to a continuing patient.</w:t>
      </w:r>
    </w:p>
    <w:p w:rsidR="00C02E01" w:rsidRPr="00EB256E" w:rsidRDefault="00C02E01" w:rsidP="00C02E01">
      <w:pPr>
        <w:rPr>
          <w:rFonts w:ascii="Arial Narrow" w:hAnsi="Arial Narrow"/>
          <w:strike/>
          <w:sz w:val="18"/>
          <w:szCs w:val="18"/>
        </w:rPr>
      </w:pPr>
    </w:p>
    <w:p w:rsidR="00C02E01" w:rsidRPr="00EB256E" w:rsidRDefault="00C02E01" w:rsidP="00C02E01">
      <w:pPr>
        <w:rPr>
          <w:rFonts w:ascii="Arial Narrow" w:hAnsi="Arial Narrow"/>
          <w:sz w:val="18"/>
          <w:szCs w:val="18"/>
        </w:rPr>
      </w:pPr>
      <w:r w:rsidRPr="00EB256E">
        <w:rPr>
          <w:rFonts w:ascii="Arial Narrow" w:hAnsi="Arial Narrow"/>
          <w:sz w:val="18"/>
          <w:szCs w:val="18"/>
        </w:rPr>
        <w:t>(2) Continuing treatment.</w:t>
      </w:r>
    </w:p>
    <w:p w:rsidR="00C02E01" w:rsidRDefault="00C02E01" w:rsidP="00C02E01">
      <w:pPr>
        <w:rPr>
          <w:rFonts w:ascii="Arial Narrow" w:hAnsi="Arial Narrow"/>
          <w:sz w:val="18"/>
          <w:szCs w:val="18"/>
        </w:rPr>
      </w:pPr>
      <w:r w:rsidRPr="00EB256E">
        <w:rPr>
          <w:rFonts w:ascii="Arial Narrow" w:hAnsi="Arial Narrow"/>
          <w:sz w:val="18"/>
          <w:szCs w:val="18"/>
        </w:rPr>
        <w:t xml:space="preserve">Following the completion of an initial treatment course with a specific biological medicine, a patient may qualify to receive up to 24 weeks of continuing treatment with that drug providing they have demonstrated an adequate response to treatment. The patient remains eligible to receive continuing biological medicine treatment with the same drug in courses of up to 24 weeks providing they continue to sustain the response. It is recommended that a patient be reviewed </w:t>
      </w:r>
      <w:r w:rsidRPr="00EB256E">
        <w:rPr>
          <w:rFonts w:ascii="Arial Narrow" w:hAnsi="Arial Narrow"/>
          <w:i/>
          <w:sz w:val="18"/>
          <w:szCs w:val="18"/>
        </w:rPr>
        <w:t>for response following a minimum of 12 weeks of therapy and no later than</w:t>
      </w:r>
      <w:r w:rsidRPr="00EB256E">
        <w:rPr>
          <w:rFonts w:ascii="Arial Narrow" w:hAnsi="Arial Narrow"/>
          <w:sz w:val="18"/>
          <w:szCs w:val="18"/>
        </w:rPr>
        <w:t xml:space="preserve"> the</w:t>
      </w:r>
      <w:r w:rsidRPr="00EB256E">
        <w:rPr>
          <w:rFonts w:ascii="Arial Narrow" w:hAnsi="Arial Narrow"/>
          <w:strike/>
          <w:sz w:val="18"/>
          <w:szCs w:val="18"/>
        </w:rPr>
        <w:t xml:space="preserve"> month</w:t>
      </w:r>
      <w:r w:rsidRPr="00EB256E">
        <w:rPr>
          <w:rFonts w:ascii="Arial Narrow" w:hAnsi="Arial Narrow"/>
          <w:sz w:val="18"/>
          <w:szCs w:val="18"/>
        </w:rPr>
        <w:t xml:space="preserve"> </w:t>
      </w:r>
      <w:r w:rsidRPr="00EB256E">
        <w:rPr>
          <w:rFonts w:ascii="Arial Narrow" w:hAnsi="Arial Narrow"/>
          <w:i/>
          <w:sz w:val="18"/>
          <w:szCs w:val="18"/>
        </w:rPr>
        <w:t>4 weeks</w:t>
      </w:r>
      <w:r w:rsidRPr="00EB256E">
        <w:rPr>
          <w:rFonts w:ascii="Arial Narrow" w:hAnsi="Arial Narrow"/>
          <w:sz w:val="18"/>
          <w:szCs w:val="18"/>
        </w:rPr>
        <w:t xml:space="preserve"> </w:t>
      </w:r>
      <w:r w:rsidRPr="00EB256E">
        <w:rPr>
          <w:rFonts w:ascii="Arial Narrow" w:hAnsi="Arial Narrow"/>
          <w:i/>
          <w:sz w:val="18"/>
          <w:szCs w:val="18"/>
        </w:rPr>
        <w:t>from the completion of the most recent course of treatment</w:t>
      </w:r>
      <w:r w:rsidRPr="00EB256E">
        <w:rPr>
          <w:rFonts w:ascii="Arial Narrow" w:hAnsi="Arial Narrow"/>
          <w:sz w:val="18"/>
          <w:szCs w:val="18"/>
        </w:rPr>
        <w:t xml:space="preserve"> </w:t>
      </w:r>
      <w:r w:rsidRPr="00EB256E">
        <w:rPr>
          <w:rFonts w:ascii="Arial Narrow" w:hAnsi="Arial Narrow"/>
          <w:strike/>
          <w:sz w:val="18"/>
          <w:szCs w:val="18"/>
        </w:rPr>
        <w:t>prior to completing their current course of treatment to ensure uninterrupted biological medicine supply</w:t>
      </w:r>
      <w:r w:rsidRPr="00EB256E">
        <w:rPr>
          <w:rFonts w:ascii="Arial Narrow" w:hAnsi="Arial Narrow"/>
          <w:sz w:val="18"/>
          <w:szCs w:val="18"/>
        </w:rPr>
        <w:t>.</w:t>
      </w:r>
    </w:p>
    <w:p w:rsidR="00C02E01" w:rsidRPr="00EB256E" w:rsidRDefault="00C02E01" w:rsidP="00C02E01">
      <w:pPr>
        <w:rPr>
          <w:rFonts w:ascii="Arial Narrow" w:hAnsi="Arial Narrow"/>
          <w:sz w:val="18"/>
          <w:szCs w:val="18"/>
        </w:rPr>
      </w:pPr>
    </w:p>
    <w:p w:rsidR="00C02E01" w:rsidRPr="00EB256E" w:rsidRDefault="00C02E01" w:rsidP="00C02E01">
      <w:pPr>
        <w:rPr>
          <w:rFonts w:ascii="Arial Narrow" w:hAnsi="Arial Narrow"/>
          <w:sz w:val="18"/>
          <w:szCs w:val="18"/>
        </w:rPr>
      </w:pPr>
      <w:r w:rsidRPr="00EB256E">
        <w:rPr>
          <w:rFonts w:ascii="Arial Narrow" w:hAnsi="Arial Narrow"/>
          <w:sz w:val="18"/>
          <w:szCs w:val="18"/>
        </w:rPr>
        <w:t xml:space="preserve">A patient must be assessed for response to a course of continuing therapy, and the assessment must be submitted to </w:t>
      </w:r>
      <w:r w:rsidRPr="00EB256E">
        <w:rPr>
          <w:rFonts w:ascii="Arial Narrow" w:hAnsi="Arial Narrow"/>
          <w:strike/>
          <w:sz w:val="18"/>
          <w:szCs w:val="18"/>
        </w:rPr>
        <w:t>the Department of Human</w:t>
      </w:r>
      <w:r w:rsidRPr="00EB256E">
        <w:rPr>
          <w:rFonts w:ascii="Arial Narrow" w:hAnsi="Arial Narrow"/>
          <w:sz w:val="18"/>
          <w:szCs w:val="18"/>
        </w:rPr>
        <w:t xml:space="preserve"> Services </w:t>
      </w:r>
      <w:r w:rsidRPr="00EB256E">
        <w:rPr>
          <w:rFonts w:ascii="Arial Narrow" w:hAnsi="Arial Narrow"/>
          <w:i/>
          <w:sz w:val="18"/>
          <w:szCs w:val="18"/>
        </w:rPr>
        <w:t xml:space="preserve">Australia </w:t>
      </w:r>
      <w:r w:rsidRPr="00EB256E">
        <w:rPr>
          <w:rFonts w:ascii="Arial Narrow" w:hAnsi="Arial Narrow"/>
          <w:sz w:val="18"/>
          <w:szCs w:val="18"/>
        </w:rPr>
        <w:t>where applicable. Where a response assessment is not submitted where applicable, the patient will be deemed to have failed to respond to treatment with that biological medicine, unless the patient has experienced a serious adverse reaction of a severity resulting in the necessity for permanent withdrawal of treatment.</w:t>
      </w:r>
    </w:p>
    <w:p w:rsidR="00C02E01" w:rsidRDefault="00C02E01" w:rsidP="00C02E01">
      <w:pPr>
        <w:rPr>
          <w:rFonts w:ascii="Arial Narrow" w:hAnsi="Arial Narrow"/>
          <w:sz w:val="18"/>
          <w:szCs w:val="18"/>
        </w:rPr>
      </w:pPr>
    </w:p>
    <w:p w:rsidR="00C02E01" w:rsidRPr="00EB256E" w:rsidRDefault="00C02E01" w:rsidP="00C02E01">
      <w:pPr>
        <w:rPr>
          <w:rFonts w:ascii="Arial Narrow" w:hAnsi="Arial Narrow"/>
          <w:sz w:val="18"/>
          <w:szCs w:val="18"/>
        </w:rPr>
      </w:pPr>
      <w:r w:rsidRPr="00EB256E">
        <w:rPr>
          <w:rFonts w:ascii="Arial Narrow" w:hAnsi="Arial Narrow"/>
          <w:sz w:val="18"/>
          <w:szCs w:val="18"/>
        </w:rPr>
        <w:t>Infliximab</w:t>
      </w:r>
      <w:r>
        <w:rPr>
          <w:rFonts w:ascii="Arial Narrow" w:hAnsi="Arial Narrow"/>
          <w:sz w:val="18"/>
          <w:szCs w:val="18"/>
        </w:rPr>
        <w:t xml:space="preserve"> </w:t>
      </w:r>
      <w:r w:rsidRPr="00EB256E">
        <w:rPr>
          <w:rFonts w:ascii="Arial Narrow" w:hAnsi="Arial Narrow"/>
          <w:sz w:val="18"/>
          <w:szCs w:val="18"/>
        </w:rPr>
        <w:t>and etanercept only:</w:t>
      </w:r>
    </w:p>
    <w:p w:rsidR="00C02E01" w:rsidRDefault="00C02E01" w:rsidP="00C02E01">
      <w:pPr>
        <w:rPr>
          <w:rFonts w:ascii="Arial Narrow" w:hAnsi="Arial Narrow"/>
          <w:sz w:val="18"/>
          <w:szCs w:val="18"/>
        </w:rPr>
      </w:pPr>
      <w:r w:rsidRPr="00EB256E">
        <w:rPr>
          <w:rFonts w:ascii="Arial Narrow" w:hAnsi="Arial Narrow"/>
          <w:sz w:val="18"/>
          <w:szCs w:val="18"/>
        </w:rPr>
        <w:t>For the first continuing treatment course of PBS-subsidised biological medicine treatment, it is recommended that a patient is reviewed for response following a minimum of 12 weeks of therapy and no later than 4 weeks from the completion of the most recent course of treatment under the Initial 1</w:t>
      </w:r>
      <w:r w:rsidRPr="00EB256E">
        <w:rPr>
          <w:rFonts w:ascii="Arial Narrow" w:hAnsi="Arial Narrow"/>
          <w:i/>
          <w:sz w:val="18"/>
          <w:szCs w:val="18"/>
        </w:rPr>
        <w:t>,</w:t>
      </w:r>
      <w:r w:rsidRPr="00EB256E">
        <w:rPr>
          <w:rFonts w:ascii="Arial Narrow" w:hAnsi="Arial Narrow"/>
          <w:sz w:val="18"/>
          <w:szCs w:val="18"/>
        </w:rPr>
        <w:t xml:space="preserve"> </w:t>
      </w:r>
      <w:r w:rsidRPr="00EB256E">
        <w:rPr>
          <w:rFonts w:ascii="Arial Narrow" w:hAnsi="Arial Narrow"/>
          <w:strike/>
          <w:sz w:val="18"/>
          <w:szCs w:val="18"/>
        </w:rPr>
        <w:t>or</w:t>
      </w:r>
      <w:r w:rsidRPr="00EB256E">
        <w:rPr>
          <w:rFonts w:ascii="Arial Narrow" w:hAnsi="Arial Narrow"/>
          <w:sz w:val="18"/>
          <w:szCs w:val="18"/>
        </w:rPr>
        <w:t xml:space="preserve"> Initial 2 </w:t>
      </w:r>
      <w:r w:rsidRPr="00EB256E">
        <w:rPr>
          <w:rFonts w:ascii="Arial Narrow" w:hAnsi="Arial Narrow"/>
          <w:i/>
          <w:sz w:val="18"/>
          <w:szCs w:val="18"/>
        </w:rPr>
        <w:t xml:space="preserve">or Initial 3 </w:t>
      </w:r>
      <w:r w:rsidRPr="00EB256E">
        <w:rPr>
          <w:rFonts w:ascii="Arial Narrow" w:hAnsi="Arial Narrow"/>
          <w:sz w:val="18"/>
          <w:szCs w:val="18"/>
        </w:rPr>
        <w:t>treatment restrictions.</w:t>
      </w:r>
    </w:p>
    <w:p w:rsidR="00C02E01" w:rsidRPr="00EB256E" w:rsidRDefault="00C02E01" w:rsidP="00C02E01">
      <w:pPr>
        <w:rPr>
          <w:rFonts w:ascii="Arial Narrow" w:hAnsi="Arial Narrow"/>
          <w:sz w:val="18"/>
          <w:szCs w:val="18"/>
        </w:rPr>
      </w:pPr>
    </w:p>
    <w:p w:rsidR="00C02E01" w:rsidRDefault="00C02E01" w:rsidP="00C02E01">
      <w:pPr>
        <w:rPr>
          <w:rFonts w:ascii="Arial Narrow" w:hAnsi="Arial Narrow"/>
          <w:sz w:val="18"/>
          <w:szCs w:val="18"/>
        </w:rPr>
      </w:pPr>
      <w:r w:rsidRPr="00EB256E">
        <w:rPr>
          <w:rFonts w:ascii="Arial Narrow" w:hAnsi="Arial Narrow"/>
          <w:sz w:val="18"/>
          <w:szCs w:val="18"/>
        </w:rPr>
        <w:t>For the second and subsequent continuing courses of PBS-subsidised biological medicine treatment, it is recommended that an assessment of a patient's response is conducted following a minimum of 12 weeks of therapy and no later than 4 weeks from the completion of the most recent course of treatment.</w:t>
      </w:r>
    </w:p>
    <w:p w:rsidR="00C02E01" w:rsidRPr="00EB256E" w:rsidRDefault="00C02E01" w:rsidP="00C02E01">
      <w:pPr>
        <w:rPr>
          <w:rFonts w:ascii="Arial Narrow" w:hAnsi="Arial Narrow"/>
          <w:sz w:val="18"/>
          <w:szCs w:val="18"/>
        </w:rPr>
      </w:pPr>
    </w:p>
    <w:p w:rsidR="00C02E01" w:rsidRPr="00EB256E" w:rsidRDefault="00C02E01" w:rsidP="00C02E01">
      <w:pPr>
        <w:rPr>
          <w:rFonts w:ascii="Arial Narrow" w:hAnsi="Arial Narrow"/>
          <w:sz w:val="18"/>
          <w:szCs w:val="18"/>
        </w:rPr>
      </w:pPr>
      <w:r w:rsidRPr="00EB256E">
        <w:rPr>
          <w:rFonts w:ascii="Arial Narrow" w:hAnsi="Arial Narrow"/>
          <w:sz w:val="18"/>
          <w:szCs w:val="18"/>
        </w:rPr>
        <w:t>(3) Swapping therapy.</w:t>
      </w:r>
    </w:p>
    <w:p w:rsidR="00C02E01" w:rsidRPr="00EB256E" w:rsidRDefault="00C02E01" w:rsidP="00C02E01">
      <w:pPr>
        <w:rPr>
          <w:rFonts w:ascii="Arial Narrow" w:hAnsi="Arial Narrow"/>
          <w:sz w:val="18"/>
          <w:szCs w:val="18"/>
        </w:rPr>
      </w:pPr>
      <w:r w:rsidRPr="00EB256E">
        <w:rPr>
          <w:rFonts w:ascii="Arial Narrow" w:hAnsi="Arial Narrow"/>
          <w:sz w:val="18"/>
          <w:szCs w:val="18"/>
        </w:rPr>
        <w:t>Once initial treatment with the first PBS-subsidised biological medicine is approved, a patient may swap to an alternate biological medicine without having to re-qualify with respect to either the indices of disease severity (i.e. erythrocyte sedimentation rate (ESR) or C-reactive protein (CRP) level, and active joint count) or the prior non-biological therapy requirements, except if the patient has had a break in therapy of more than 5 years who would need to requalify under the Initial 3 treatment restriction with respect to the indices of disease severity.</w:t>
      </w:r>
    </w:p>
    <w:p w:rsidR="00C02E01" w:rsidRPr="00EB256E" w:rsidRDefault="00C02E01" w:rsidP="00C02E01">
      <w:pPr>
        <w:rPr>
          <w:rFonts w:ascii="Arial Narrow" w:hAnsi="Arial Narrow"/>
          <w:sz w:val="18"/>
          <w:szCs w:val="18"/>
        </w:rPr>
      </w:pPr>
      <w:r w:rsidRPr="00EB256E">
        <w:rPr>
          <w:rFonts w:ascii="Arial Narrow" w:hAnsi="Arial Narrow"/>
          <w:sz w:val="18"/>
          <w:szCs w:val="18"/>
        </w:rPr>
        <w:t>A patient who is not able to complete a minimum of 12 weeks of an initial treatment course will be deemed to have failed treatment with that biological medicine unless the patient has experienced a serious adverse reaction of a severity resulting in the necessity for permanent withdrawal of treatment.</w:t>
      </w:r>
    </w:p>
    <w:p w:rsidR="00C02E01" w:rsidRDefault="00C02E01" w:rsidP="00C02E01">
      <w:pPr>
        <w:rPr>
          <w:rFonts w:ascii="Arial Narrow" w:hAnsi="Arial Narrow"/>
          <w:sz w:val="18"/>
          <w:szCs w:val="18"/>
        </w:rPr>
      </w:pPr>
    </w:p>
    <w:p w:rsidR="00C02E01" w:rsidRPr="00EB256E" w:rsidRDefault="00C02E01" w:rsidP="00C02E01">
      <w:pPr>
        <w:rPr>
          <w:rFonts w:ascii="Arial Narrow" w:hAnsi="Arial Narrow"/>
          <w:sz w:val="18"/>
          <w:szCs w:val="18"/>
        </w:rPr>
      </w:pPr>
      <w:r w:rsidRPr="00EB256E">
        <w:rPr>
          <w:rFonts w:ascii="Arial Narrow" w:hAnsi="Arial Narrow"/>
          <w:sz w:val="18"/>
          <w:szCs w:val="18"/>
        </w:rPr>
        <w:t>A patient may trial an alternate biological medicine at any time, regardless of whether they are receiving therapy (initial or continuing) with a biological medicine at the time of the application.</w:t>
      </w:r>
    </w:p>
    <w:p w:rsidR="00C02E01" w:rsidRDefault="00C02E01" w:rsidP="00C02E01">
      <w:pPr>
        <w:rPr>
          <w:rFonts w:ascii="Arial Narrow" w:hAnsi="Arial Narrow"/>
          <w:sz w:val="18"/>
          <w:szCs w:val="18"/>
        </w:rPr>
      </w:pPr>
      <w:r w:rsidRPr="00EB256E">
        <w:rPr>
          <w:rFonts w:ascii="Arial Narrow" w:hAnsi="Arial Narrow"/>
          <w:sz w:val="18"/>
          <w:szCs w:val="18"/>
        </w:rPr>
        <w:t>However, they cannot swap to a particular biological medicine if they have failed to respond to prior treatment with that drug within the same treatment cycle.</w:t>
      </w:r>
    </w:p>
    <w:p w:rsidR="00C02E01" w:rsidRPr="00EB256E" w:rsidRDefault="00C02E01" w:rsidP="00C02E01">
      <w:pPr>
        <w:rPr>
          <w:rFonts w:ascii="Arial Narrow" w:hAnsi="Arial Narrow"/>
          <w:sz w:val="18"/>
          <w:szCs w:val="18"/>
        </w:rPr>
      </w:pPr>
    </w:p>
    <w:p w:rsidR="00C02E01" w:rsidRPr="00EB256E" w:rsidRDefault="00C02E01" w:rsidP="00C02E01">
      <w:pPr>
        <w:rPr>
          <w:rFonts w:ascii="Arial Narrow" w:hAnsi="Arial Narrow"/>
          <w:sz w:val="18"/>
          <w:szCs w:val="18"/>
        </w:rPr>
      </w:pPr>
      <w:r w:rsidRPr="00EB256E">
        <w:rPr>
          <w:rFonts w:ascii="Arial Narrow" w:hAnsi="Arial Narrow"/>
          <w:sz w:val="18"/>
          <w:szCs w:val="18"/>
        </w:rPr>
        <w:t>Within a treatment cycle a patient may alternate between therapy with any biological medicine of their choice (1 at a time) providing:</w:t>
      </w:r>
    </w:p>
    <w:p w:rsidR="00C02E01" w:rsidRDefault="00C02E01" w:rsidP="00C02E01">
      <w:pPr>
        <w:rPr>
          <w:rFonts w:ascii="Arial Narrow" w:hAnsi="Arial Narrow"/>
          <w:sz w:val="18"/>
          <w:szCs w:val="18"/>
        </w:rPr>
      </w:pPr>
      <w:r w:rsidRPr="00EB256E">
        <w:rPr>
          <w:rFonts w:ascii="Arial Narrow" w:hAnsi="Arial Narrow"/>
          <w:sz w:val="18"/>
          <w:szCs w:val="18"/>
        </w:rPr>
        <w:t>(i) they have not received PBS-subsidised treatment with that particular biological medicine previously; or</w:t>
      </w:r>
    </w:p>
    <w:p w:rsidR="00C02E01" w:rsidRPr="00EB256E" w:rsidRDefault="00C02E01" w:rsidP="00C02E01">
      <w:pPr>
        <w:rPr>
          <w:rFonts w:ascii="Arial Narrow" w:hAnsi="Arial Narrow"/>
          <w:sz w:val="18"/>
          <w:szCs w:val="18"/>
        </w:rPr>
      </w:pPr>
    </w:p>
    <w:p w:rsidR="00C02E01" w:rsidRPr="00EB256E" w:rsidRDefault="00C02E01" w:rsidP="00C02E01">
      <w:pPr>
        <w:rPr>
          <w:rFonts w:ascii="Arial Narrow" w:hAnsi="Arial Narrow"/>
          <w:sz w:val="18"/>
          <w:szCs w:val="18"/>
        </w:rPr>
      </w:pPr>
      <w:r w:rsidRPr="00EB256E">
        <w:rPr>
          <w:rFonts w:ascii="Arial Narrow" w:hAnsi="Arial Narrow"/>
          <w:sz w:val="18"/>
          <w:szCs w:val="18"/>
        </w:rPr>
        <w:t>(ii) they have demonstrated an adequate response to that particular biological medicine if they have previously trialled it on the PBS; and</w:t>
      </w:r>
    </w:p>
    <w:p w:rsidR="00C02E01" w:rsidRDefault="00C02E01" w:rsidP="00C02E01">
      <w:pPr>
        <w:rPr>
          <w:rFonts w:ascii="Arial Narrow" w:hAnsi="Arial Narrow"/>
          <w:sz w:val="18"/>
          <w:szCs w:val="18"/>
        </w:rPr>
      </w:pPr>
    </w:p>
    <w:p w:rsidR="00C02E01" w:rsidRPr="00EB256E" w:rsidRDefault="00C02E01" w:rsidP="00C02E01">
      <w:pPr>
        <w:rPr>
          <w:rFonts w:ascii="Arial Narrow" w:hAnsi="Arial Narrow"/>
          <w:sz w:val="18"/>
          <w:szCs w:val="18"/>
        </w:rPr>
      </w:pPr>
      <w:r w:rsidRPr="00EB256E">
        <w:rPr>
          <w:rFonts w:ascii="Arial Narrow" w:hAnsi="Arial Narrow"/>
          <w:sz w:val="18"/>
          <w:szCs w:val="18"/>
        </w:rPr>
        <w:t xml:space="preserve">(iii) they have not previously failed to respond to treatment 3 times in this treatment cycle with </w:t>
      </w:r>
      <w:r w:rsidRPr="00EB256E">
        <w:rPr>
          <w:rFonts w:ascii="Arial Narrow" w:hAnsi="Arial Narrow"/>
          <w:strike/>
          <w:sz w:val="18"/>
          <w:szCs w:val="18"/>
        </w:rPr>
        <w:t>that</w:t>
      </w:r>
      <w:r w:rsidRPr="00EB256E">
        <w:rPr>
          <w:rFonts w:ascii="Arial Narrow" w:hAnsi="Arial Narrow"/>
          <w:sz w:val="18"/>
          <w:szCs w:val="18"/>
        </w:rPr>
        <w:t xml:space="preserve"> biological medicine</w:t>
      </w:r>
      <w:r w:rsidRPr="00EB256E">
        <w:rPr>
          <w:rFonts w:ascii="Arial Narrow" w:hAnsi="Arial Narrow"/>
          <w:i/>
          <w:sz w:val="18"/>
          <w:szCs w:val="18"/>
        </w:rPr>
        <w:t>s</w:t>
      </w:r>
      <w:r w:rsidRPr="00EB256E">
        <w:rPr>
          <w:rFonts w:ascii="Arial Narrow" w:hAnsi="Arial Narrow"/>
          <w:sz w:val="18"/>
          <w:szCs w:val="18"/>
        </w:rPr>
        <w:t>.</w:t>
      </w:r>
    </w:p>
    <w:p w:rsidR="00C02E01" w:rsidRPr="00EB256E" w:rsidRDefault="00C02E01" w:rsidP="00C02E01">
      <w:pPr>
        <w:rPr>
          <w:rFonts w:ascii="Arial Narrow" w:hAnsi="Arial Narrow"/>
          <w:sz w:val="18"/>
          <w:szCs w:val="18"/>
        </w:rPr>
      </w:pPr>
      <w:r w:rsidRPr="00EB256E">
        <w:rPr>
          <w:rFonts w:ascii="Arial Narrow" w:hAnsi="Arial Narrow"/>
          <w:sz w:val="18"/>
          <w:szCs w:val="18"/>
        </w:rPr>
        <w:t>To ensure a patient receives the maximum treatment opportunities allowed under these arrangements, it is important that they are assessed for response to every course of treatment.</w:t>
      </w:r>
    </w:p>
    <w:p w:rsidR="00C02E01" w:rsidRDefault="00C02E01" w:rsidP="00C02E01">
      <w:pPr>
        <w:rPr>
          <w:rFonts w:ascii="Arial Narrow" w:hAnsi="Arial Narrow"/>
          <w:sz w:val="18"/>
          <w:szCs w:val="18"/>
        </w:rPr>
      </w:pPr>
    </w:p>
    <w:p w:rsidR="00C02E01" w:rsidRPr="00EB256E" w:rsidRDefault="00C02E01" w:rsidP="00C02E01">
      <w:pPr>
        <w:rPr>
          <w:rFonts w:ascii="Arial Narrow" w:hAnsi="Arial Narrow"/>
          <w:sz w:val="18"/>
          <w:szCs w:val="18"/>
        </w:rPr>
      </w:pPr>
      <w:r w:rsidRPr="00EB256E">
        <w:rPr>
          <w:rFonts w:ascii="Arial Narrow" w:hAnsi="Arial Narrow"/>
          <w:sz w:val="18"/>
          <w:szCs w:val="18"/>
        </w:rPr>
        <w:t>(4) Baseline measurements to determine response.</w:t>
      </w:r>
    </w:p>
    <w:p w:rsidR="00C02E01" w:rsidRDefault="00C02E01" w:rsidP="00C02E01">
      <w:pPr>
        <w:rPr>
          <w:rFonts w:ascii="Arial Narrow" w:hAnsi="Arial Narrow"/>
          <w:sz w:val="18"/>
          <w:szCs w:val="18"/>
        </w:rPr>
      </w:pPr>
      <w:r w:rsidRPr="00EB256E">
        <w:rPr>
          <w:rFonts w:ascii="Arial Narrow" w:hAnsi="Arial Narrow"/>
          <w:strike/>
          <w:sz w:val="18"/>
          <w:szCs w:val="18"/>
        </w:rPr>
        <w:t xml:space="preserve">The Department of Human Services </w:t>
      </w:r>
      <w:r w:rsidRPr="00EB256E">
        <w:rPr>
          <w:rFonts w:ascii="Arial Narrow" w:hAnsi="Arial Narrow"/>
          <w:i/>
          <w:strike/>
          <w:sz w:val="18"/>
          <w:szCs w:val="18"/>
        </w:rPr>
        <w:t xml:space="preserve">Australia </w:t>
      </w:r>
      <w:r w:rsidRPr="00EB256E">
        <w:rPr>
          <w:rFonts w:ascii="Arial Narrow" w:hAnsi="Arial Narrow"/>
          <w:strike/>
          <w:sz w:val="18"/>
          <w:szCs w:val="18"/>
        </w:rPr>
        <w:t>will determine whether a</w:t>
      </w:r>
      <w:r w:rsidRPr="00EB256E">
        <w:rPr>
          <w:rFonts w:ascii="Arial Narrow" w:hAnsi="Arial Narrow"/>
          <w:sz w:val="18"/>
          <w:szCs w:val="18"/>
        </w:rPr>
        <w:t xml:space="preserve"> </w:t>
      </w:r>
      <w:r w:rsidRPr="00EB256E">
        <w:rPr>
          <w:rFonts w:ascii="Arial Narrow" w:hAnsi="Arial Narrow"/>
          <w:i/>
          <w:sz w:val="18"/>
          <w:szCs w:val="18"/>
        </w:rPr>
        <w:t>A</w:t>
      </w:r>
      <w:r w:rsidRPr="00EB256E">
        <w:rPr>
          <w:rFonts w:ascii="Arial Narrow" w:hAnsi="Arial Narrow"/>
          <w:sz w:val="18"/>
          <w:szCs w:val="18"/>
        </w:rPr>
        <w:t xml:space="preserve"> response to treatment </w:t>
      </w:r>
      <w:r w:rsidRPr="00EB256E">
        <w:rPr>
          <w:rFonts w:ascii="Arial Narrow" w:hAnsi="Arial Narrow"/>
          <w:strike/>
          <w:sz w:val="18"/>
          <w:szCs w:val="18"/>
        </w:rPr>
        <w:t>has been demonstrated based</w:t>
      </w:r>
      <w:r w:rsidRPr="00EB256E">
        <w:rPr>
          <w:rFonts w:ascii="Arial Narrow" w:hAnsi="Arial Narrow"/>
          <w:sz w:val="18"/>
          <w:szCs w:val="18"/>
        </w:rPr>
        <w:t xml:space="preserve"> </w:t>
      </w:r>
      <w:r w:rsidRPr="00EB256E">
        <w:rPr>
          <w:rFonts w:ascii="Arial Narrow" w:hAnsi="Arial Narrow"/>
          <w:i/>
          <w:sz w:val="18"/>
          <w:szCs w:val="18"/>
        </w:rPr>
        <w:t>is to be determined by comparison of current disease activity measurements</w:t>
      </w:r>
      <w:r w:rsidRPr="00EB256E">
        <w:rPr>
          <w:rFonts w:ascii="Arial Narrow" w:hAnsi="Arial Narrow"/>
          <w:sz w:val="18"/>
          <w:szCs w:val="18"/>
        </w:rPr>
        <w:t xml:space="preserve"> </w:t>
      </w:r>
      <w:r w:rsidRPr="00EB256E">
        <w:rPr>
          <w:rFonts w:ascii="Arial Narrow" w:hAnsi="Arial Narrow"/>
          <w:strike/>
          <w:sz w:val="18"/>
          <w:szCs w:val="18"/>
        </w:rPr>
        <w:t>on</w:t>
      </w:r>
      <w:r w:rsidRPr="00EB256E">
        <w:rPr>
          <w:rFonts w:ascii="Arial Narrow" w:hAnsi="Arial Narrow"/>
          <w:sz w:val="18"/>
          <w:szCs w:val="18"/>
        </w:rPr>
        <w:t xml:space="preserve"> </w:t>
      </w:r>
      <w:r w:rsidRPr="00EB256E">
        <w:rPr>
          <w:rFonts w:ascii="Arial Narrow" w:hAnsi="Arial Narrow"/>
          <w:i/>
          <w:sz w:val="18"/>
          <w:szCs w:val="18"/>
        </w:rPr>
        <w:t>relative to</w:t>
      </w:r>
      <w:r w:rsidRPr="00EB256E">
        <w:rPr>
          <w:rFonts w:ascii="Arial Narrow" w:hAnsi="Arial Narrow"/>
          <w:sz w:val="18"/>
          <w:szCs w:val="18"/>
        </w:rPr>
        <w:t xml:space="preserve"> the baseline measurements of the indices of disease severity submitted with the first authority application for a biological medicine. However, prescribers may provide new baseline measurements any time that an initial or change or recommencement treatment application is submitted within a treatment cycle and these revised baseline measurements will be used to assess response to the PBS-subsidised treatment.</w:t>
      </w:r>
    </w:p>
    <w:p w:rsidR="00C02E01" w:rsidRPr="00EB256E" w:rsidRDefault="00C02E01" w:rsidP="00C02E01">
      <w:pPr>
        <w:rPr>
          <w:rFonts w:ascii="Arial Narrow" w:hAnsi="Arial Narrow"/>
          <w:sz w:val="18"/>
          <w:szCs w:val="18"/>
        </w:rPr>
      </w:pPr>
    </w:p>
    <w:p w:rsidR="00C02E01" w:rsidRDefault="00C02E01" w:rsidP="00C02E01">
      <w:pPr>
        <w:rPr>
          <w:rFonts w:ascii="Arial Narrow" w:hAnsi="Arial Narrow"/>
          <w:sz w:val="18"/>
          <w:szCs w:val="18"/>
        </w:rPr>
      </w:pPr>
      <w:r w:rsidRPr="00EB256E">
        <w:rPr>
          <w:rFonts w:ascii="Arial Narrow" w:hAnsi="Arial Narrow"/>
          <w:sz w:val="18"/>
          <w:szCs w:val="18"/>
        </w:rPr>
        <w:t>To ensure consistency in determining response, the same indices of disease severity used to establish baseline at the commencement of treatment with each initial treatment application must be used to determine response for all subsequent continuing treatments. Therefore, where only an ESR or CRP level is provided at baseline, an ESR or CRP level respectively must be used to determine response. Similarly, where the baseline active joint count is based on total active joints (i.e. 20 or more active joints), response will be determined according to a reduction in the total number of active joints.</w:t>
      </w:r>
    </w:p>
    <w:p w:rsidR="00C02E01" w:rsidRPr="00EB256E" w:rsidRDefault="00C02E01" w:rsidP="00C02E01">
      <w:pPr>
        <w:rPr>
          <w:rFonts w:ascii="Arial Narrow" w:hAnsi="Arial Narrow"/>
          <w:sz w:val="18"/>
          <w:szCs w:val="18"/>
        </w:rPr>
      </w:pPr>
    </w:p>
    <w:p w:rsidR="00C02E01" w:rsidRPr="00EB256E" w:rsidRDefault="00C02E01" w:rsidP="00C02E01">
      <w:pPr>
        <w:rPr>
          <w:rFonts w:ascii="Arial Narrow" w:hAnsi="Arial Narrow"/>
          <w:sz w:val="18"/>
          <w:szCs w:val="18"/>
        </w:rPr>
      </w:pPr>
      <w:r w:rsidRPr="00EB256E">
        <w:rPr>
          <w:rFonts w:ascii="Arial Narrow" w:hAnsi="Arial Narrow"/>
          <w:sz w:val="18"/>
          <w:szCs w:val="18"/>
        </w:rPr>
        <w:t>(5) Re-commencement of treatment after a 5-year break in PBS-subsidised therapy.</w:t>
      </w:r>
    </w:p>
    <w:p w:rsidR="00C02E01" w:rsidRPr="00EB256E" w:rsidRDefault="00C02E01" w:rsidP="00C02E01">
      <w:pPr>
        <w:rPr>
          <w:rFonts w:ascii="Arial Narrow" w:hAnsi="Arial Narrow"/>
          <w:sz w:val="18"/>
          <w:szCs w:val="18"/>
        </w:rPr>
      </w:pPr>
      <w:r w:rsidRPr="00EB256E">
        <w:rPr>
          <w:rFonts w:ascii="Arial Narrow" w:hAnsi="Arial Narrow"/>
          <w:sz w:val="18"/>
          <w:szCs w:val="18"/>
        </w:rPr>
        <w:t xml:space="preserve">A patient who wishes to trial a second or subsequent course of treatment following a break in PBS-subsidised biological therapy of at least 5 years, must qualify under Initial 3 treatment restriction according to the criteria of the relevant restriction and index of disease severity. The application must include a joint count and ESR and/or CRP measurement that is no more than </w:t>
      </w:r>
      <w:r w:rsidRPr="00EB256E">
        <w:rPr>
          <w:rFonts w:ascii="Arial Narrow" w:hAnsi="Arial Narrow"/>
          <w:strike/>
          <w:sz w:val="18"/>
          <w:szCs w:val="18"/>
        </w:rPr>
        <w:t>one month</w:t>
      </w:r>
      <w:r w:rsidRPr="00EB256E">
        <w:rPr>
          <w:rFonts w:ascii="Arial Narrow" w:hAnsi="Arial Narrow"/>
          <w:sz w:val="18"/>
          <w:szCs w:val="18"/>
        </w:rPr>
        <w:t xml:space="preserve"> </w:t>
      </w:r>
      <w:r w:rsidRPr="00EB256E">
        <w:rPr>
          <w:rFonts w:ascii="Arial Narrow" w:hAnsi="Arial Narrow"/>
          <w:i/>
          <w:sz w:val="18"/>
          <w:szCs w:val="18"/>
        </w:rPr>
        <w:t>4 weeks</w:t>
      </w:r>
      <w:r w:rsidRPr="00EB256E">
        <w:rPr>
          <w:rFonts w:ascii="Arial Narrow" w:hAnsi="Arial Narrow"/>
          <w:sz w:val="18"/>
          <w:szCs w:val="18"/>
        </w:rPr>
        <w:t xml:space="preserve"> old at the time of application.</w:t>
      </w:r>
    </w:p>
    <w:p w:rsidR="00505FCB" w:rsidRDefault="00505FCB" w:rsidP="00395EA6">
      <w:pPr>
        <w:rPr>
          <w:rFonts w:ascii="Arial Narrow" w:hAnsi="Arial Narrow"/>
          <w:sz w:val="18"/>
          <w:szCs w:val="18"/>
        </w:rPr>
      </w:pPr>
    </w:p>
    <w:p w:rsidR="00F01C84" w:rsidRDefault="00F01C84" w:rsidP="00F01C84">
      <w:pPr>
        <w:pStyle w:val="CommentText"/>
        <w:rPr>
          <w:rFonts w:ascii="Arial Narrow" w:hAnsi="Arial Narrow"/>
          <w:sz w:val="18"/>
          <w:szCs w:val="18"/>
        </w:rPr>
      </w:pPr>
    </w:p>
    <w:p w:rsidR="00F01C84" w:rsidRPr="00F01C84" w:rsidRDefault="00F01C84" w:rsidP="00F01C84">
      <w:pPr>
        <w:pStyle w:val="CommentText"/>
        <w:rPr>
          <w:rFonts w:ascii="Arial Narrow" w:hAnsi="Arial Narrow"/>
          <w:sz w:val="18"/>
          <w:szCs w:val="18"/>
        </w:rPr>
      </w:pPr>
      <w:r w:rsidRPr="00F01C84">
        <w:rPr>
          <w:rFonts w:ascii="Arial Narrow" w:hAnsi="Arial Narrow"/>
          <w:sz w:val="18"/>
          <w:szCs w:val="18"/>
        </w:rPr>
        <w:t xml:space="preserve">Flow-on changes to Administrative Advice [24357] to the following: </w:t>
      </w:r>
    </w:p>
    <w:p w:rsidR="00F01C84" w:rsidRPr="00F01C84" w:rsidRDefault="00F01C84" w:rsidP="00F01C84">
      <w:pPr>
        <w:pStyle w:val="CommentText"/>
        <w:rPr>
          <w:rFonts w:ascii="Arial Narrow" w:hAnsi="Arial Narrow"/>
          <w:sz w:val="18"/>
          <w:szCs w:val="18"/>
        </w:rPr>
      </w:pPr>
    </w:p>
    <w:p w:rsidR="00F01C84" w:rsidRPr="00F01C84" w:rsidRDefault="00F01C84" w:rsidP="00F01C84">
      <w:pPr>
        <w:pStyle w:val="CommentText"/>
        <w:rPr>
          <w:rFonts w:ascii="Arial Narrow" w:hAnsi="Arial Narrow"/>
          <w:sz w:val="18"/>
          <w:szCs w:val="18"/>
        </w:rPr>
      </w:pPr>
      <w:r w:rsidRPr="00F01C84">
        <w:rPr>
          <w:rFonts w:ascii="Arial Narrow" w:hAnsi="Arial Narrow"/>
          <w:sz w:val="18"/>
          <w:szCs w:val="18"/>
        </w:rPr>
        <w:t xml:space="preserve">Golimumab: 3430M, 3432P, 11365E, 11373N. </w:t>
      </w:r>
    </w:p>
    <w:p w:rsidR="00F01C84" w:rsidRPr="00F01C84" w:rsidRDefault="00F01C84" w:rsidP="00F01C84">
      <w:pPr>
        <w:pStyle w:val="CommentText"/>
        <w:rPr>
          <w:rFonts w:ascii="Arial Narrow" w:hAnsi="Arial Narrow"/>
          <w:sz w:val="18"/>
          <w:szCs w:val="18"/>
        </w:rPr>
      </w:pPr>
    </w:p>
    <w:p w:rsidR="00F01C84" w:rsidRPr="00F01C84" w:rsidRDefault="00F01C84" w:rsidP="00F01C84">
      <w:pPr>
        <w:pStyle w:val="CommentText"/>
        <w:rPr>
          <w:rFonts w:ascii="Arial Narrow" w:hAnsi="Arial Narrow"/>
          <w:sz w:val="18"/>
          <w:szCs w:val="18"/>
        </w:rPr>
      </w:pPr>
      <w:r w:rsidRPr="00F01C84">
        <w:rPr>
          <w:rFonts w:ascii="Arial Narrow" w:hAnsi="Arial Narrow"/>
          <w:sz w:val="18"/>
          <w:szCs w:val="18"/>
        </w:rPr>
        <w:t xml:space="preserve">Etanercept: 9035M, 9036N, 9087G, 9088H, 9457R, 9458T, 11207W, 11198J, 11208X, 11216H, 11202N. </w:t>
      </w:r>
    </w:p>
    <w:p w:rsidR="00F01C84" w:rsidRPr="00F01C84" w:rsidRDefault="00F01C84" w:rsidP="00F01C84">
      <w:pPr>
        <w:pStyle w:val="CommentText"/>
        <w:rPr>
          <w:rFonts w:ascii="Arial Narrow" w:hAnsi="Arial Narrow"/>
          <w:sz w:val="18"/>
          <w:szCs w:val="18"/>
        </w:rPr>
      </w:pPr>
    </w:p>
    <w:p w:rsidR="00F01C84" w:rsidRPr="00F01C84" w:rsidRDefault="00F01C84" w:rsidP="00F01C84">
      <w:pPr>
        <w:pStyle w:val="CommentText"/>
        <w:rPr>
          <w:rFonts w:ascii="Arial Narrow" w:hAnsi="Arial Narrow"/>
          <w:sz w:val="18"/>
          <w:szCs w:val="18"/>
        </w:rPr>
      </w:pPr>
      <w:r w:rsidRPr="00F01C84">
        <w:rPr>
          <w:rFonts w:ascii="Arial Narrow" w:hAnsi="Arial Narrow"/>
          <w:sz w:val="18"/>
          <w:szCs w:val="18"/>
        </w:rPr>
        <w:t xml:space="preserve">Infliximab: 5756Y, 6496X, 11514B, 11515C, 11497D, 11498E. </w:t>
      </w:r>
    </w:p>
    <w:p w:rsidR="00F01C84" w:rsidRPr="00F01C84" w:rsidRDefault="00F01C84" w:rsidP="00F01C84">
      <w:pPr>
        <w:pStyle w:val="CommentText"/>
        <w:rPr>
          <w:rFonts w:ascii="Arial Narrow" w:hAnsi="Arial Narrow"/>
          <w:sz w:val="18"/>
          <w:szCs w:val="18"/>
        </w:rPr>
      </w:pPr>
    </w:p>
    <w:p w:rsidR="00F01C84" w:rsidRPr="00F01C84" w:rsidRDefault="00F01C84" w:rsidP="00F01C84">
      <w:pPr>
        <w:pStyle w:val="CommentText"/>
        <w:rPr>
          <w:rFonts w:ascii="Arial Narrow" w:hAnsi="Arial Narrow"/>
          <w:sz w:val="18"/>
          <w:szCs w:val="18"/>
        </w:rPr>
      </w:pPr>
      <w:r w:rsidRPr="00F01C84">
        <w:rPr>
          <w:rFonts w:ascii="Arial Narrow" w:hAnsi="Arial Narrow"/>
          <w:sz w:val="18"/>
          <w:szCs w:val="18"/>
        </w:rPr>
        <w:t xml:space="preserve">Certolizumab: 10238W, 10909E, 10896L, 11324B, 11326D, 11323Y. </w:t>
      </w:r>
    </w:p>
    <w:p w:rsidR="00F01C84" w:rsidRPr="00F01C84" w:rsidRDefault="00F01C84" w:rsidP="00F01C84">
      <w:pPr>
        <w:pStyle w:val="CommentText"/>
        <w:rPr>
          <w:rFonts w:ascii="Arial Narrow" w:hAnsi="Arial Narrow"/>
          <w:sz w:val="18"/>
          <w:szCs w:val="18"/>
        </w:rPr>
      </w:pPr>
    </w:p>
    <w:p w:rsidR="00F01C84" w:rsidRPr="00F01C84" w:rsidRDefault="00F01C84" w:rsidP="00F01C84">
      <w:pPr>
        <w:pStyle w:val="CommentText"/>
        <w:rPr>
          <w:rFonts w:ascii="Arial Narrow" w:hAnsi="Arial Narrow"/>
          <w:sz w:val="18"/>
          <w:szCs w:val="18"/>
        </w:rPr>
      </w:pPr>
      <w:r w:rsidRPr="00F01C84">
        <w:rPr>
          <w:rFonts w:ascii="Arial Narrow" w:hAnsi="Arial Narrow"/>
          <w:sz w:val="18"/>
          <w:szCs w:val="18"/>
        </w:rPr>
        <w:t xml:space="preserve">Ustekinumab: 10774C, 10767Q. </w:t>
      </w:r>
    </w:p>
    <w:p w:rsidR="00F01C84" w:rsidRPr="00F01C84" w:rsidRDefault="00F01C84" w:rsidP="00F01C84">
      <w:pPr>
        <w:pStyle w:val="CommentText"/>
        <w:rPr>
          <w:rFonts w:ascii="Arial Narrow" w:hAnsi="Arial Narrow"/>
          <w:sz w:val="18"/>
          <w:szCs w:val="18"/>
        </w:rPr>
      </w:pPr>
    </w:p>
    <w:p w:rsidR="00F01C84" w:rsidRPr="00F01C84" w:rsidRDefault="00F01C84" w:rsidP="00F01C84">
      <w:pPr>
        <w:pStyle w:val="CommentText"/>
        <w:rPr>
          <w:rFonts w:ascii="Arial Narrow" w:hAnsi="Arial Narrow"/>
          <w:sz w:val="18"/>
          <w:szCs w:val="18"/>
        </w:rPr>
      </w:pPr>
      <w:r w:rsidRPr="00F01C84">
        <w:rPr>
          <w:rFonts w:ascii="Arial Narrow" w:hAnsi="Arial Narrow"/>
          <w:sz w:val="18"/>
          <w:szCs w:val="18"/>
        </w:rPr>
        <w:t>Secukinumab: 10900Q, 10895K, 10898N, 10901R, 10894J, 10899P.</w:t>
      </w:r>
    </w:p>
    <w:p w:rsidR="00F01C84" w:rsidRPr="00F01C84" w:rsidRDefault="00F01C84" w:rsidP="00F01C84">
      <w:pPr>
        <w:pStyle w:val="CommentText"/>
        <w:rPr>
          <w:rFonts w:ascii="Arial Narrow" w:hAnsi="Arial Narrow"/>
          <w:sz w:val="18"/>
          <w:szCs w:val="18"/>
        </w:rPr>
      </w:pPr>
    </w:p>
    <w:p w:rsidR="00F01C84" w:rsidRPr="00F01C84" w:rsidRDefault="00F01C84" w:rsidP="00F01C84">
      <w:pPr>
        <w:pStyle w:val="CommentText"/>
        <w:rPr>
          <w:rFonts w:ascii="Arial Narrow" w:hAnsi="Arial Narrow"/>
          <w:sz w:val="18"/>
          <w:szCs w:val="18"/>
        </w:rPr>
      </w:pPr>
      <w:r w:rsidRPr="00F01C84">
        <w:rPr>
          <w:rFonts w:ascii="Arial Narrow" w:hAnsi="Arial Narrow"/>
          <w:sz w:val="18"/>
          <w:szCs w:val="18"/>
        </w:rPr>
        <w:t>Ixekizumab: 11623R</w:t>
      </w:r>
    </w:p>
    <w:p w:rsidR="00F01C84" w:rsidRPr="00F01C84" w:rsidRDefault="00F01C84" w:rsidP="00F01C84">
      <w:pPr>
        <w:pStyle w:val="CommentText"/>
        <w:rPr>
          <w:rFonts w:ascii="Arial Narrow" w:hAnsi="Arial Narrow"/>
          <w:sz w:val="18"/>
          <w:szCs w:val="18"/>
        </w:rPr>
      </w:pPr>
    </w:p>
    <w:p w:rsidR="00F01C84" w:rsidRPr="00F01C84" w:rsidRDefault="00F01C84" w:rsidP="00F01C84">
      <w:pPr>
        <w:pStyle w:val="CommentText"/>
        <w:rPr>
          <w:rFonts w:ascii="Arial Narrow" w:hAnsi="Arial Narrow"/>
          <w:sz w:val="18"/>
          <w:szCs w:val="18"/>
        </w:rPr>
      </w:pPr>
      <w:r w:rsidRPr="00F01C84">
        <w:rPr>
          <w:rFonts w:ascii="Arial Narrow" w:hAnsi="Arial Narrow"/>
          <w:sz w:val="18"/>
          <w:szCs w:val="18"/>
        </w:rPr>
        <w:t xml:space="preserve">Tofacitinib: 11690G, 11675L. </w:t>
      </w:r>
    </w:p>
    <w:p w:rsidR="00F01C84" w:rsidRPr="00F01C84" w:rsidRDefault="00F01C84" w:rsidP="00F01C84">
      <w:pPr>
        <w:pStyle w:val="CommentText"/>
        <w:rPr>
          <w:rFonts w:ascii="Arial Narrow" w:hAnsi="Arial Narrow"/>
          <w:sz w:val="18"/>
          <w:szCs w:val="18"/>
        </w:rPr>
      </w:pPr>
    </w:p>
    <w:p w:rsidR="00F01C84" w:rsidRPr="00F01C84" w:rsidRDefault="00F01C84" w:rsidP="00F01C84">
      <w:pPr>
        <w:pStyle w:val="CommentText"/>
        <w:rPr>
          <w:rFonts w:ascii="Arial Narrow" w:hAnsi="Arial Narrow"/>
          <w:sz w:val="18"/>
          <w:szCs w:val="18"/>
        </w:rPr>
      </w:pPr>
      <w:r w:rsidRPr="00F01C84">
        <w:rPr>
          <w:rFonts w:ascii="Arial Narrow" w:hAnsi="Arial Narrow"/>
          <w:sz w:val="18"/>
          <w:szCs w:val="18"/>
        </w:rPr>
        <w:t>Adalimumab: 9033K</w:t>
      </w:r>
      <w:r>
        <w:rPr>
          <w:rFonts w:ascii="Arial Narrow" w:hAnsi="Arial Narrow"/>
          <w:sz w:val="18"/>
          <w:szCs w:val="18"/>
        </w:rPr>
        <w:t xml:space="preserve">, 9034L, </w:t>
      </w:r>
      <w:r w:rsidRPr="00F01C84">
        <w:rPr>
          <w:rFonts w:ascii="Arial Narrow" w:hAnsi="Arial Narrow"/>
          <w:sz w:val="18"/>
          <w:szCs w:val="18"/>
        </w:rPr>
        <w:t>9101B</w:t>
      </w:r>
      <w:r>
        <w:rPr>
          <w:rFonts w:ascii="Arial Narrow" w:hAnsi="Arial Narrow"/>
          <w:sz w:val="18"/>
          <w:szCs w:val="18"/>
        </w:rPr>
        <w:t>, 9102C</w:t>
      </w:r>
    </w:p>
    <w:p w:rsidR="00F01C84" w:rsidRPr="00F01C84" w:rsidRDefault="00F01C84" w:rsidP="00395EA6">
      <w:pPr>
        <w:rPr>
          <w:rFonts w:ascii="Arial Narrow" w:hAnsi="Arial Narrow"/>
          <w:sz w:val="18"/>
          <w:szCs w:val="18"/>
        </w:rPr>
      </w:pPr>
    </w:p>
    <w:p w:rsidR="00F60604" w:rsidRDefault="00F60604" w:rsidP="00F60604">
      <w:pPr>
        <w:rPr>
          <w:b/>
          <w:bCs/>
          <w:i/>
        </w:rPr>
      </w:pPr>
      <w:r w:rsidRPr="0042672B">
        <w:rPr>
          <w:b/>
          <w:bCs/>
          <w:i/>
        </w:rPr>
        <w:t>This restriction may be subject to further review. Should there be any changes made to the restriction the Sponsor will be informed.</w:t>
      </w:r>
    </w:p>
    <w:p w:rsidR="008038A4" w:rsidRDefault="008038A4" w:rsidP="00F60604">
      <w:pPr>
        <w:rPr>
          <w:b/>
          <w:bCs/>
          <w:i/>
        </w:rPr>
      </w:pPr>
    </w:p>
    <w:p w:rsidR="008038A4" w:rsidRPr="001749C0" w:rsidRDefault="008038A4" w:rsidP="008038A4">
      <w:pPr>
        <w:pStyle w:val="2-SectionHeading"/>
        <w:numPr>
          <w:ilvl w:val="0"/>
          <w:numId w:val="1"/>
        </w:numPr>
      </w:pPr>
      <w:r w:rsidRPr="00C07617">
        <w:t>Context for Decision</w:t>
      </w:r>
    </w:p>
    <w:p w:rsidR="008038A4" w:rsidRPr="007129F2" w:rsidRDefault="008038A4" w:rsidP="000A0AA0">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8038A4" w:rsidRPr="00C07617" w:rsidRDefault="008038A4" w:rsidP="008038A4">
      <w:pPr>
        <w:pStyle w:val="2-SectionHeading"/>
        <w:numPr>
          <w:ilvl w:val="0"/>
          <w:numId w:val="1"/>
        </w:numPr>
        <w:rPr>
          <w:b w:val="0"/>
        </w:rPr>
      </w:pPr>
      <w:r>
        <w:t>Sponsor’s Comment</w:t>
      </w:r>
    </w:p>
    <w:p w:rsidR="008038A4" w:rsidRPr="0042672B" w:rsidRDefault="00A371D9" w:rsidP="000A0AA0">
      <w:pPr>
        <w:ind w:left="720"/>
        <w:rPr>
          <w:b/>
          <w:bCs/>
          <w:i/>
        </w:rPr>
      </w:pPr>
      <w:r w:rsidRPr="00A371D9">
        <w:rPr>
          <w:rFonts w:asciiTheme="minorHAnsi" w:hAnsiTheme="minorHAnsi"/>
          <w:bCs/>
          <w:lang w:val="en-GB"/>
        </w:rPr>
        <w:t xml:space="preserve">AbbVie welcomes the decision of the PBAC and is working with the Department of Health on the earliest possible PBS listing. </w:t>
      </w:r>
    </w:p>
    <w:sectPr w:rsidR="008038A4" w:rsidRPr="0042672B" w:rsidSect="008171E5">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8B3B71" w16cid:durableId="239D6002"/>
  <w16cid:commentId w16cid:paraId="532899FA" w16cid:durableId="239D6003"/>
  <w16cid:commentId w16cid:paraId="606C38BD" w16cid:durableId="23A6CF53"/>
  <w16cid:commentId w16cid:paraId="4EE06DB5" w16cid:durableId="239D6004"/>
  <w16cid:commentId w16cid:paraId="3FE5CC27" w16cid:durableId="23A6CF55"/>
  <w16cid:commentId w16cid:paraId="6CE70EE2" w16cid:durableId="239D6005"/>
  <w16cid:commentId w16cid:paraId="6B082265" w16cid:durableId="23A6CF57"/>
  <w16cid:commentId w16cid:paraId="6D729C7C" w16cid:durableId="23A6CF58"/>
  <w16cid:commentId w16cid:paraId="5F4CC042" w16cid:durableId="239D6006"/>
  <w16cid:commentId w16cid:paraId="371A2295" w16cid:durableId="23A6CF5A"/>
  <w16cid:commentId w16cid:paraId="2D2D66C5" w16cid:durableId="239D6009"/>
  <w16cid:commentId w16cid:paraId="00F17358" w16cid:durableId="23A6CF5C"/>
  <w16cid:commentId w16cid:paraId="1234D524" w16cid:durableId="23A6D30D"/>
  <w16cid:commentId w16cid:paraId="4B148050" w16cid:durableId="2381D88E"/>
  <w16cid:commentId w16cid:paraId="6E0B981D" w16cid:durableId="239D600E"/>
  <w16cid:commentId w16cid:paraId="3C4147C9" w16cid:durableId="23A6CF60"/>
  <w16cid:commentId w16cid:paraId="42693CCF" w16cid:durableId="23738782"/>
  <w16cid:commentId w16cid:paraId="5A552527" w16cid:durableId="239D6010"/>
  <w16cid:commentId w16cid:paraId="337A7474" w16cid:durableId="23621698"/>
  <w16cid:commentId w16cid:paraId="416FF72B" w16cid:durableId="237A1F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A94" w:rsidRDefault="002D5A94" w:rsidP="00124A51">
      <w:r>
        <w:separator/>
      </w:r>
    </w:p>
    <w:p w:rsidR="002D5A94" w:rsidRDefault="002D5A94"/>
  </w:endnote>
  <w:endnote w:type="continuationSeparator" w:id="0">
    <w:p w:rsidR="002D5A94" w:rsidRDefault="002D5A94" w:rsidP="00124A51">
      <w:r>
        <w:continuationSeparator/>
      </w:r>
    </w:p>
    <w:p w:rsidR="002D5A94" w:rsidRDefault="002D5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0000000000000000000"/>
    <w:charset w:val="00"/>
    <w:family w:val="modern"/>
    <w:notTrueType/>
    <w:pitch w:val="variable"/>
    <w:sig w:usb0="20000287" w:usb1="00000001" w:usb2="00000000" w:usb3="00000000" w:csb0="0000019F" w:csb1="00000000"/>
  </w:font>
  <w:font w:name="Open Sans">
    <w:altName w:val="MS Reference Sans Serif"/>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95E" w:rsidRDefault="00EA0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13" w:rsidRDefault="00317B13" w:rsidP="00084F24">
    <w:pPr>
      <w:ind w:right="360"/>
      <w:jc w:val="center"/>
    </w:pPr>
  </w:p>
  <w:p w:rsidR="00317B13" w:rsidRPr="007C1CD9" w:rsidRDefault="00317B13" w:rsidP="00B779ED">
    <w:pPr>
      <w:ind w:right="360"/>
      <w:jc w:val="center"/>
    </w:pPr>
    <w:r w:rsidRPr="00836F75">
      <w:rPr>
        <w:b/>
      </w:rPr>
      <w:fldChar w:fldCharType="begin"/>
    </w:r>
    <w:r w:rsidRPr="00836F75">
      <w:rPr>
        <w:b/>
      </w:rPr>
      <w:instrText xml:space="preserve"> PAGE   \* MERGEFORMAT </w:instrText>
    </w:r>
    <w:r w:rsidRPr="00836F75">
      <w:rPr>
        <w:b/>
      </w:rPr>
      <w:fldChar w:fldCharType="separate"/>
    </w:r>
    <w:r w:rsidR="002D5A94">
      <w:rPr>
        <w:b/>
        <w:noProof/>
      </w:rPr>
      <w:t>2</w:t>
    </w:r>
    <w:r w:rsidRPr="00836F75">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13" w:rsidRPr="001B74A5" w:rsidRDefault="00317B13" w:rsidP="001B74A5">
    <w:pPr>
      <w:pStyle w:val="Footer"/>
      <w:jc w:val="center"/>
      <w:rPr>
        <w:b/>
      </w:rPr>
    </w:pPr>
    <w:r w:rsidRPr="001B74A5">
      <w:rPr>
        <w:b/>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A94" w:rsidRDefault="002D5A94" w:rsidP="00124A51">
      <w:r>
        <w:separator/>
      </w:r>
    </w:p>
    <w:p w:rsidR="002D5A94" w:rsidRDefault="002D5A94"/>
  </w:footnote>
  <w:footnote w:type="continuationSeparator" w:id="0">
    <w:p w:rsidR="002D5A94" w:rsidRDefault="002D5A94" w:rsidP="00124A51">
      <w:r>
        <w:continuationSeparator/>
      </w:r>
    </w:p>
    <w:p w:rsidR="002D5A94" w:rsidRDefault="002D5A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95E" w:rsidRDefault="00EA0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13" w:rsidRPr="00056684" w:rsidRDefault="00317B13" w:rsidP="00B779ED">
    <w:pPr>
      <w:pStyle w:val="Header"/>
      <w:ind w:left="360"/>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March 2021</w:t>
    </w:r>
    <w:r w:rsidRPr="00056684">
      <w:rPr>
        <w:rFonts w:asciiTheme="minorHAnsi" w:hAnsiTheme="minorHAnsi"/>
        <w:i/>
        <w:color w:val="808080"/>
      </w:rPr>
      <w:t xml:space="preserve"> PBAC Meeting</w:t>
    </w:r>
  </w:p>
  <w:p w:rsidR="00317B13" w:rsidRDefault="00317B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13" w:rsidRDefault="00317B13" w:rsidP="005C22A9">
    <w:pPr>
      <w:pStyle w:val="Header"/>
      <w:ind w:left="360"/>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March 2021</w:t>
    </w:r>
    <w:r w:rsidRPr="00056684">
      <w:rPr>
        <w:rFonts w:asciiTheme="minorHAnsi" w:hAnsiTheme="minorHAnsi"/>
        <w:i/>
        <w:color w:val="808080"/>
      </w:rPr>
      <w:t xml:space="preserve"> PBAC Meeting</w:t>
    </w:r>
  </w:p>
  <w:p w:rsidR="00317B13" w:rsidRDefault="00317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964473"/>
    <w:multiLevelType w:val="hybridMultilevel"/>
    <w:tmpl w:val="54E64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56D30"/>
    <w:multiLevelType w:val="hybridMultilevel"/>
    <w:tmpl w:val="2AFC8468"/>
    <w:lvl w:ilvl="0" w:tplc="79BE154A">
      <w:numFmt w:val="bullet"/>
      <w:lvlText w:val="-"/>
      <w:lvlJc w:val="left"/>
      <w:pPr>
        <w:ind w:left="346" w:hanging="360"/>
      </w:pPr>
      <w:rPr>
        <w:rFonts w:ascii="Arial Narrow" w:eastAsia="Times New Roman" w:hAnsi="Arial Narrow" w:cs="Arial" w:hint="default"/>
      </w:rPr>
    </w:lvl>
    <w:lvl w:ilvl="1" w:tplc="0C090003" w:tentative="1">
      <w:start w:val="1"/>
      <w:numFmt w:val="bullet"/>
      <w:lvlText w:val="o"/>
      <w:lvlJc w:val="left"/>
      <w:pPr>
        <w:ind w:left="1066" w:hanging="360"/>
      </w:pPr>
      <w:rPr>
        <w:rFonts w:ascii="Courier New" w:hAnsi="Courier New" w:cs="Courier New" w:hint="default"/>
      </w:rPr>
    </w:lvl>
    <w:lvl w:ilvl="2" w:tplc="0C090005" w:tentative="1">
      <w:start w:val="1"/>
      <w:numFmt w:val="bullet"/>
      <w:lvlText w:val=""/>
      <w:lvlJc w:val="left"/>
      <w:pPr>
        <w:ind w:left="1786" w:hanging="360"/>
      </w:pPr>
      <w:rPr>
        <w:rFonts w:ascii="Wingdings" w:hAnsi="Wingdings" w:hint="default"/>
      </w:rPr>
    </w:lvl>
    <w:lvl w:ilvl="3" w:tplc="0C090001" w:tentative="1">
      <w:start w:val="1"/>
      <w:numFmt w:val="bullet"/>
      <w:lvlText w:val=""/>
      <w:lvlJc w:val="left"/>
      <w:pPr>
        <w:ind w:left="2506" w:hanging="360"/>
      </w:pPr>
      <w:rPr>
        <w:rFonts w:ascii="Symbol" w:hAnsi="Symbol" w:hint="default"/>
      </w:rPr>
    </w:lvl>
    <w:lvl w:ilvl="4" w:tplc="0C090003" w:tentative="1">
      <w:start w:val="1"/>
      <w:numFmt w:val="bullet"/>
      <w:lvlText w:val="o"/>
      <w:lvlJc w:val="left"/>
      <w:pPr>
        <w:ind w:left="3226" w:hanging="360"/>
      </w:pPr>
      <w:rPr>
        <w:rFonts w:ascii="Courier New" w:hAnsi="Courier New" w:cs="Courier New" w:hint="default"/>
      </w:rPr>
    </w:lvl>
    <w:lvl w:ilvl="5" w:tplc="0C090005" w:tentative="1">
      <w:start w:val="1"/>
      <w:numFmt w:val="bullet"/>
      <w:lvlText w:val=""/>
      <w:lvlJc w:val="left"/>
      <w:pPr>
        <w:ind w:left="3946" w:hanging="360"/>
      </w:pPr>
      <w:rPr>
        <w:rFonts w:ascii="Wingdings" w:hAnsi="Wingdings" w:hint="default"/>
      </w:rPr>
    </w:lvl>
    <w:lvl w:ilvl="6" w:tplc="0C090001" w:tentative="1">
      <w:start w:val="1"/>
      <w:numFmt w:val="bullet"/>
      <w:lvlText w:val=""/>
      <w:lvlJc w:val="left"/>
      <w:pPr>
        <w:ind w:left="4666" w:hanging="360"/>
      </w:pPr>
      <w:rPr>
        <w:rFonts w:ascii="Symbol" w:hAnsi="Symbol" w:hint="default"/>
      </w:rPr>
    </w:lvl>
    <w:lvl w:ilvl="7" w:tplc="0C090003" w:tentative="1">
      <w:start w:val="1"/>
      <w:numFmt w:val="bullet"/>
      <w:lvlText w:val="o"/>
      <w:lvlJc w:val="left"/>
      <w:pPr>
        <w:ind w:left="5386" w:hanging="360"/>
      </w:pPr>
      <w:rPr>
        <w:rFonts w:ascii="Courier New" w:hAnsi="Courier New" w:cs="Courier New" w:hint="default"/>
      </w:rPr>
    </w:lvl>
    <w:lvl w:ilvl="8" w:tplc="0C090005" w:tentative="1">
      <w:start w:val="1"/>
      <w:numFmt w:val="bullet"/>
      <w:lvlText w:val=""/>
      <w:lvlJc w:val="left"/>
      <w:pPr>
        <w:ind w:left="6106" w:hanging="360"/>
      </w:pPr>
      <w:rPr>
        <w:rFonts w:ascii="Wingdings" w:hAnsi="Wingdings" w:hint="default"/>
      </w:rPr>
    </w:lvl>
  </w:abstractNum>
  <w:abstractNum w:abstractNumId="5" w15:restartNumberingAfterBreak="0">
    <w:nsid w:val="1B235599"/>
    <w:multiLevelType w:val="hybridMultilevel"/>
    <w:tmpl w:val="45B0E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DB0416"/>
    <w:multiLevelType w:val="hybridMultilevel"/>
    <w:tmpl w:val="D5E2F9A0"/>
    <w:lvl w:ilvl="0" w:tplc="645A49B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B6274A"/>
    <w:multiLevelType w:val="hybridMultilevel"/>
    <w:tmpl w:val="175C701E"/>
    <w:lvl w:ilvl="0" w:tplc="2DA8D2AC">
      <w:start w:val="1"/>
      <w:numFmt w:val="decimal"/>
      <w:lvlText w:val="%1."/>
      <w:lvlJc w:val="left"/>
      <w:pPr>
        <w:ind w:left="1778" w:hanging="360"/>
      </w:pPr>
      <w:rPr>
        <w:rFonts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1B418B"/>
    <w:multiLevelType w:val="hybridMultilevel"/>
    <w:tmpl w:val="72185F12"/>
    <w:lvl w:ilvl="0" w:tplc="54DCF304">
      <w:start w:val="1"/>
      <w:numFmt w:val="decimal"/>
      <w:lvlText w:val="%1."/>
      <w:lvlJc w:val="left"/>
      <w:pPr>
        <w:ind w:left="113" w:firstLine="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2A3C6AA3"/>
    <w:multiLevelType w:val="hybridMultilevel"/>
    <w:tmpl w:val="7FAA3ACA"/>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8948B4"/>
    <w:multiLevelType w:val="hybridMultilevel"/>
    <w:tmpl w:val="9E909332"/>
    <w:lvl w:ilvl="0" w:tplc="645A49B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D81BAA"/>
    <w:multiLevelType w:val="multilevel"/>
    <w:tmpl w:val="196214C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F9723A"/>
    <w:multiLevelType w:val="hybridMultilevel"/>
    <w:tmpl w:val="D976FDD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4245127B"/>
    <w:multiLevelType w:val="hybridMultilevel"/>
    <w:tmpl w:val="4E94D5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AA41AD"/>
    <w:multiLevelType w:val="hybridMultilevel"/>
    <w:tmpl w:val="D38C6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F20366"/>
    <w:multiLevelType w:val="multilevel"/>
    <w:tmpl w:val="26841860"/>
    <w:lvl w:ilvl="0">
      <w:start w:val="2"/>
      <w:numFmt w:val="decimal"/>
      <w:lvlText w:val="%1"/>
      <w:lvlJc w:val="left"/>
      <w:pPr>
        <w:ind w:left="360" w:hanging="360"/>
      </w:pPr>
      <w:rPr>
        <w:rFonts w:ascii="Arial" w:eastAsia="Calibri" w:hAnsi="Arial" w:cs="Times New Roman" w:hint="default"/>
        <w:sz w:val="22"/>
      </w:rPr>
    </w:lvl>
    <w:lvl w:ilvl="1">
      <w:start w:val="1"/>
      <w:numFmt w:val="decimal"/>
      <w:lvlText w:val="%1.%2"/>
      <w:lvlJc w:val="left"/>
      <w:pPr>
        <w:ind w:left="360" w:hanging="360"/>
      </w:pPr>
      <w:rPr>
        <w:rFonts w:ascii="Arial" w:eastAsia="Calibri" w:hAnsi="Arial" w:cs="Times New Roman" w:hint="default"/>
        <w:sz w:val="22"/>
      </w:rPr>
    </w:lvl>
    <w:lvl w:ilvl="2">
      <w:start w:val="1"/>
      <w:numFmt w:val="decimal"/>
      <w:lvlText w:val="%1.%2.%3"/>
      <w:lvlJc w:val="left"/>
      <w:pPr>
        <w:ind w:left="720" w:hanging="720"/>
      </w:pPr>
      <w:rPr>
        <w:rFonts w:ascii="Arial" w:eastAsia="Calibri" w:hAnsi="Arial" w:cs="Times New Roman" w:hint="default"/>
        <w:sz w:val="22"/>
      </w:rPr>
    </w:lvl>
    <w:lvl w:ilvl="3">
      <w:start w:val="1"/>
      <w:numFmt w:val="decimal"/>
      <w:lvlText w:val="%1.%2.%3.%4"/>
      <w:lvlJc w:val="left"/>
      <w:pPr>
        <w:ind w:left="720" w:hanging="720"/>
      </w:pPr>
      <w:rPr>
        <w:rFonts w:ascii="Arial" w:eastAsia="Calibri" w:hAnsi="Arial" w:cs="Times New Roman" w:hint="default"/>
        <w:sz w:val="22"/>
      </w:rPr>
    </w:lvl>
    <w:lvl w:ilvl="4">
      <w:start w:val="1"/>
      <w:numFmt w:val="decimal"/>
      <w:lvlText w:val="%1.%2.%3.%4.%5"/>
      <w:lvlJc w:val="left"/>
      <w:pPr>
        <w:ind w:left="1080" w:hanging="1080"/>
      </w:pPr>
      <w:rPr>
        <w:rFonts w:ascii="Arial" w:eastAsia="Calibri" w:hAnsi="Arial" w:cs="Times New Roman" w:hint="default"/>
        <w:sz w:val="22"/>
      </w:rPr>
    </w:lvl>
    <w:lvl w:ilvl="5">
      <w:start w:val="1"/>
      <w:numFmt w:val="decimal"/>
      <w:lvlText w:val="%1.%2.%3.%4.%5.%6"/>
      <w:lvlJc w:val="left"/>
      <w:pPr>
        <w:ind w:left="1080" w:hanging="1080"/>
      </w:pPr>
      <w:rPr>
        <w:rFonts w:ascii="Arial" w:eastAsia="Calibri" w:hAnsi="Arial" w:cs="Times New Roman" w:hint="default"/>
        <w:sz w:val="22"/>
      </w:rPr>
    </w:lvl>
    <w:lvl w:ilvl="6">
      <w:start w:val="1"/>
      <w:numFmt w:val="decimal"/>
      <w:lvlText w:val="%1.%2.%3.%4.%5.%6.%7"/>
      <w:lvlJc w:val="left"/>
      <w:pPr>
        <w:ind w:left="1440" w:hanging="1440"/>
      </w:pPr>
      <w:rPr>
        <w:rFonts w:ascii="Arial" w:eastAsia="Calibri" w:hAnsi="Arial" w:cs="Times New Roman" w:hint="default"/>
        <w:sz w:val="22"/>
      </w:rPr>
    </w:lvl>
    <w:lvl w:ilvl="7">
      <w:start w:val="1"/>
      <w:numFmt w:val="decimal"/>
      <w:lvlText w:val="%1.%2.%3.%4.%5.%6.%7.%8"/>
      <w:lvlJc w:val="left"/>
      <w:pPr>
        <w:ind w:left="1440" w:hanging="1440"/>
      </w:pPr>
      <w:rPr>
        <w:rFonts w:ascii="Arial" w:eastAsia="Calibri" w:hAnsi="Arial" w:cs="Times New Roman" w:hint="default"/>
        <w:sz w:val="22"/>
      </w:rPr>
    </w:lvl>
    <w:lvl w:ilvl="8">
      <w:start w:val="1"/>
      <w:numFmt w:val="decimal"/>
      <w:lvlText w:val="%1.%2.%3.%4.%5.%6.%7.%8.%9"/>
      <w:lvlJc w:val="left"/>
      <w:pPr>
        <w:ind w:left="1800" w:hanging="1800"/>
      </w:pPr>
      <w:rPr>
        <w:rFonts w:ascii="Arial" w:eastAsia="Calibri" w:hAnsi="Arial" w:cs="Times New Roman" w:hint="default"/>
        <w:sz w:val="22"/>
      </w:rPr>
    </w:lvl>
  </w:abstractNum>
  <w:abstractNum w:abstractNumId="24" w15:restartNumberingAfterBreak="0">
    <w:nsid w:val="752D0C23"/>
    <w:multiLevelType w:val="hybridMultilevel"/>
    <w:tmpl w:val="C5469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4D033C"/>
    <w:multiLevelType w:val="multilevel"/>
    <w:tmpl w:val="0CB6DE68"/>
    <w:lvl w:ilvl="0">
      <w:start w:val="1"/>
      <w:numFmt w:val="decimal"/>
      <w:pStyle w:val="2-SectionHeading"/>
      <w:lvlText w:val="%1"/>
      <w:lvlJc w:val="left"/>
      <w:pPr>
        <w:ind w:left="720" w:hanging="720"/>
      </w:pPr>
      <w:rPr>
        <w:rFonts w:hint="default"/>
        <w:b/>
        <w:i w:val="0"/>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EC272B"/>
    <w:multiLevelType w:val="hybridMultilevel"/>
    <w:tmpl w:val="4C9203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A0031A"/>
    <w:multiLevelType w:val="hybridMultilevel"/>
    <w:tmpl w:val="40160ED4"/>
    <w:lvl w:ilvl="0" w:tplc="645A49B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53672A"/>
    <w:multiLevelType w:val="hybridMultilevel"/>
    <w:tmpl w:val="B44A0CCE"/>
    <w:lvl w:ilvl="0" w:tplc="83A252CE">
      <w:start w:val="1"/>
      <w:numFmt w:val="decimal"/>
      <w:lvlText w:val="%1."/>
      <w:lvlJc w:val="left"/>
      <w:pPr>
        <w:ind w:left="829" w:hanging="360"/>
      </w:pPr>
      <w:rPr>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25"/>
  </w:num>
  <w:num w:numId="2">
    <w:abstractNumId w:val="18"/>
  </w:num>
  <w:num w:numId="3">
    <w:abstractNumId w:val="19"/>
  </w:num>
  <w:num w:numId="4">
    <w:abstractNumId w:val="0"/>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6"/>
  </w:num>
  <w:num w:numId="9">
    <w:abstractNumId w:val="24"/>
  </w:num>
  <w:num w:numId="10">
    <w:abstractNumId w:val="5"/>
  </w:num>
  <w:num w:numId="11">
    <w:abstractNumId w:val="27"/>
  </w:num>
  <w:num w:numId="12">
    <w:abstractNumId w:val="7"/>
  </w:num>
  <w:num w:numId="13">
    <w:abstractNumId w:val="11"/>
  </w:num>
  <w:num w:numId="14">
    <w:abstractNumId w:val="14"/>
  </w:num>
  <w:num w:numId="15">
    <w:abstractNumId w:val="4"/>
  </w:num>
  <w:num w:numId="16">
    <w:abstractNumId w:val="22"/>
  </w:num>
  <w:num w:numId="17">
    <w:abstractNumId w:val="17"/>
  </w:num>
  <w:num w:numId="18">
    <w:abstractNumId w:val="15"/>
  </w:num>
  <w:num w:numId="19">
    <w:abstractNumId w:val="12"/>
  </w:num>
  <w:num w:numId="20">
    <w:abstractNumId w:val="2"/>
  </w:num>
  <w:num w:numId="21">
    <w:abstractNumId w:val="9"/>
  </w:num>
  <w:num w:numId="22">
    <w:abstractNumId w:val="28"/>
  </w:num>
  <w:num w:numId="23">
    <w:abstractNumId w:val="19"/>
  </w:num>
  <w:num w:numId="24">
    <w:abstractNumId w:val="19"/>
  </w:num>
  <w:num w:numId="25">
    <w:abstractNumId w:val="19"/>
  </w:num>
  <w:num w:numId="26">
    <w:abstractNumId w:val="25"/>
  </w:num>
  <w:num w:numId="27">
    <w:abstractNumId w:val="20"/>
  </w:num>
  <w:num w:numId="28">
    <w:abstractNumId w:val="21"/>
  </w:num>
  <w:num w:numId="29">
    <w:abstractNumId w:val="3"/>
  </w:num>
  <w:num w:numId="30">
    <w:abstractNumId w:val="1"/>
  </w:num>
  <w:num w:numId="31">
    <w:abstractNumId w:val="10"/>
  </w:num>
  <w:num w:numId="32">
    <w:abstractNumId w:val="13"/>
  </w:num>
  <w:num w:numId="33">
    <w:abstractNumId w:val="8"/>
  </w:num>
  <w:num w:numId="34">
    <w:abstractNumId w:val="19"/>
  </w:num>
  <w:num w:numId="35">
    <w:abstractNumId w:val="6"/>
  </w:num>
  <w:num w:numId="3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activeWritingStyle w:appName="MSWord" w:lang="fr-FR" w:vendorID="64" w:dllVersion="6" w:nlCheck="1" w:checkStyle="0"/>
  <w:activeWritingStyle w:appName="MSWord" w:lang="en-AU"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AU"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1E88"/>
    <w:rsid w:val="0000231D"/>
    <w:rsid w:val="00002E8E"/>
    <w:rsid w:val="00002FD7"/>
    <w:rsid w:val="0000336E"/>
    <w:rsid w:val="00003499"/>
    <w:rsid w:val="000039B7"/>
    <w:rsid w:val="0000639A"/>
    <w:rsid w:val="00007A3F"/>
    <w:rsid w:val="00007C66"/>
    <w:rsid w:val="00010B8C"/>
    <w:rsid w:val="00013247"/>
    <w:rsid w:val="00013E71"/>
    <w:rsid w:val="00015886"/>
    <w:rsid w:val="00015D13"/>
    <w:rsid w:val="000162EF"/>
    <w:rsid w:val="000207C9"/>
    <w:rsid w:val="00021E5B"/>
    <w:rsid w:val="0002225F"/>
    <w:rsid w:val="00023763"/>
    <w:rsid w:val="000248E8"/>
    <w:rsid w:val="000274B8"/>
    <w:rsid w:val="00027B05"/>
    <w:rsid w:val="00027E8D"/>
    <w:rsid w:val="00030C92"/>
    <w:rsid w:val="00031CAF"/>
    <w:rsid w:val="000329BC"/>
    <w:rsid w:val="000332A5"/>
    <w:rsid w:val="00033863"/>
    <w:rsid w:val="00034629"/>
    <w:rsid w:val="0003589C"/>
    <w:rsid w:val="00035DC0"/>
    <w:rsid w:val="00036829"/>
    <w:rsid w:val="00040895"/>
    <w:rsid w:val="00042EC2"/>
    <w:rsid w:val="00042FE0"/>
    <w:rsid w:val="000435EE"/>
    <w:rsid w:val="000436CC"/>
    <w:rsid w:val="00043C37"/>
    <w:rsid w:val="00044329"/>
    <w:rsid w:val="00045017"/>
    <w:rsid w:val="00045A2B"/>
    <w:rsid w:val="0004698F"/>
    <w:rsid w:val="00047C7A"/>
    <w:rsid w:val="0005131D"/>
    <w:rsid w:val="000539D0"/>
    <w:rsid w:val="00053D04"/>
    <w:rsid w:val="00053F35"/>
    <w:rsid w:val="0005414A"/>
    <w:rsid w:val="00054621"/>
    <w:rsid w:val="000546D7"/>
    <w:rsid w:val="00056ECF"/>
    <w:rsid w:val="000604DF"/>
    <w:rsid w:val="000615D9"/>
    <w:rsid w:val="000618D1"/>
    <w:rsid w:val="0006193D"/>
    <w:rsid w:val="00064BF2"/>
    <w:rsid w:val="000653B5"/>
    <w:rsid w:val="00066360"/>
    <w:rsid w:val="000668C7"/>
    <w:rsid w:val="00066AF8"/>
    <w:rsid w:val="0007034E"/>
    <w:rsid w:val="000703CB"/>
    <w:rsid w:val="0007106C"/>
    <w:rsid w:val="00071248"/>
    <w:rsid w:val="00071996"/>
    <w:rsid w:val="000720B9"/>
    <w:rsid w:val="00072DD3"/>
    <w:rsid w:val="000737F7"/>
    <w:rsid w:val="000749F5"/>
    <w:rsid w:val="00074A04"/>
    <w:rsid w:val="000765E2"/>
    <w:rsid w:val="0007672F"/>
    <w:rsid w:val="00076B54"/>
    <w:rsid w:val="00076F03"/>
    <w:rsid w:val="000774F0"/>
    <w:rsid w:val="00080909"/>
    <w:rsid w:val="000812CA"/>
    <w:rsid w:val="00081E63"/>
    <w:rsid w:val="0008258D"/>
    <w:rsid w:val="00083E99"/>
    <w:rsid w:val="00083F20"/>
    <w:rsid w:val="0008403C"/>
    <w:rsid w:val="00084F24"/>
    <w:rsid w:val="00084FA8"/>
    <w:rsid w:val="00085052"/>
    <w:rsid w:val="000856C5"/>
    <w:rsid w:val="00085C31"/>
    <w:rsid w:val="00086E0B"/>
    <w:rsid w:val="00087234"/>
    <w:rsid w:val="00087595"/>
    <w:rsid w:val="000902D9"/>
    <w:rsid w:val="00090369"/>
    <w:rsid w:val="00090374"/>
    <w:rsid w:val="00090C7E"/>
    <w:rsid w:val="00090CFF"/>
    <w:rsid w:val="000913B7"/>
    <w:rsid w:val="00092600"/>
    <w:rsid w:val="0009262B"/>
    <w:rsid w:val="00093310"/>
    <w:rsid w:val="0009445C"/>
    <w:rsid w:val="00094B31"/>
    <w:rsid w:val="00095200"/>
    <w:rsid w:val="00095FE5"/>
    <w:rsid w:val="00096284"/>
    <w:rsid w:val="00097EB7"/>
    <w:rsid w:val="000A0AA0"/>
    <w:rsid w:val="000A0B9D"/>
    <w:rsid w:val="000A1BC0"/>
    <w:rsid w:val="000A2F7A"/>
    <w:rsid w:val="000A6039"/>
    <w:rsid w:val="000A7453"/>
    <w:rsid w:val="000A7D08"/>
    <w:rsid w:val="000A7E54"/>
    <w:rsid w:val="000B0121"/>
    <w:rsid w:val="000B0670"/>
    <w:rsid w:val="000B0E75"/>
    <w:rsid w:val="000B2B22"/>
    <w:rsid w:val="000B2DCB"/>
    <w:rsid w:val="000B5007"/>
    <w:rsid w:val="000B5213"/>
    <w:rsid w:val="000B5CE0"/>
    <w:rsid w:val="000B6CAC"/>
    <w:rsid w:val="000B7612"/>
    <w:rsid w:val="000B78AE"/>
    <w:rsid w:val="000C10D7"/>
    <w:rsid w:val="000C1362"/>
    <w:rsid w:val="000C20B4"/>
    <w:rsid w:val="000C272D"/>
    <w:rsid w:val="000C2CB7"/>
    <w:rsid w:val="000C3B36"/>
    <w:rsid w:val="000C3DF9"/>
    <w:rsid w:val="000C6713"/>
    <w:rsid w:val="000C7C77"/>
    <w:rsid w:val="000D1192"/>
    <w:rsid w:val="000D1BFC"/>
    <w:rsid w:val="000D1D5D"/>
    <w:rsid w:val="000D281A"/>
    <w:rsid w:val="000D2848"/>
    <w:rsid w:val="000D326A"/>
    <w:rsid w:val="000D3E70"/>
    <w:rsid w:val="000D48CA"/>
    <w:rsid w:val="000D51FB"/>
    <w:rsid w:val="000D5540"/>
    <w:rsid w:val="000E0640"/>
    <w:rsid w:val="000E135D"/>
    <w:rsid w:val="000E3471"/>
    <w:rsid w:val="000E514D"/>
    <w:rsid w:val="000E55F3"/>
    <w:rsid w:val="000E6D30"/>
    <w:rsid w:val="000F00BA"/>
    <w:rsid w:val="000F1D18"/>
    <w:rsid w:val="000F316A"/>
    <w:rsid w:val="000F3902"/>
    <w:rsid w:val="000F396E"/>
    <w:rsid w:val="000F3C74"/>
    <w:rsid w:val="000F4BB8"/>
    <w:rsid w:val="000F4FA9"/>
    <w:rsid w:val="000F53FB"/>
    <w:rsid w:val="000F6CCB"/>
    <w:rsid w:val="000F7127"/>
    <w:rsid w:val="000F7B54"/>
    <w:rsid w:val="00100CEE"/>
    <w:rsid w:val="00100F8A"/>
    <w:rsid w:val="0010452E"/>
    <w:rsid w:val="00105411"/>
    <w:rsid w:val="001055CF"/>
    <w:rsid w:val="00105AE2"/>
    <w:rsid w:val="001060C6"/>
    <w:rsid w:val="0010637A"/>
    <w:rsid w:val="00106B80"/>
    <w:rsid w:val="00106BD5"/>
    <w:rsid w:val="0011032E"/>
    <w:rsid w:val="00112960"/>
    <w:rsid w:val="0011348B"/>
    <w:rsid w:val="00114045"/>
    <w:rsid w:val="00114127"/>
    <w:rsid w:val="00114211"/>
    <w:rsid w:val="00115982"/>
    <w:rsid w:val="001165DC"/>
    <w:rsid w:val="00116C53"/>
    <w:rsid w:val="00117B1D"/>
    <w:rsid w:val="00121727"/>
    <w:rsid w:val="00121799"/>
    <w:rsid w:val="001222FC"/>
    <w:rsid w:val="001227EA"/>
    <w:rsid w:val="001230EF"/>
    <w:rsid w:val="00123441"/>
    <w:rsid w:val="00123902"/>
    <w:rsid w:val="00124A51"/>
    <w:rsid w:val="001263C4"/>
    <w:rsid w:val="00126621"/>
    <w:rsid w:val="00126B1D"/>
    <w:rsid w:val="001301E9"/>
    <w:rsid w:val="00130780"/>
    <w:rsid w:val="0013164A"/>
    <w:rsid w:val="00131D82"/>
    <w:rsid w:val="00132B22"/>
    <w:rsid w:val="00133D36"/>
    <w:rsid w:val="00136964"/>
    <w:rsid w:val="00136A94"/>
    <w:rsid w:val="00137645"/>
    <w:rsid w:val="0014015A"/>
    <w:rsid w:val="00140917"/>
    <w:rsid w:val="00140BAD"/>
    <w:rsid w:val="00140E99"/>
    <w:rsid w:val="00141D53"/>
    <w:rsid w:val="00143F67"/>
    <w:rsid w:val="00145540"/>
    <w:rsid w:val="001456B0"/>
    <w:rsid w:val="00147976"/>
    <w:rsid w:val="001506F0"/>
    <w:rsid w:val="00153B31"/>
    <w:rsid w:val="00153F33"/>
    <w:rsid w:val="00156F8F"/>
    <w:rsid w:val="00157130"/>
    <w:rsid w:val="001576B1"/>
    <w:rsid w:val="0016047B"/>
    <w:rsid w:val="00160A4C"/>
    <w:rsid w:val="00162913"/>
    <w:rsid w:val="00162D4C"/>
    <w:rsid w:val="00163EFF"/>
    <w:rsid w:val="00163F66"/>
    <w:rsid w:val="001661FB"/>
    <w:rsid w:val="001671A0"/>
    <w:rsid w:val="0016767F"/>
    <w:rsid w:val="00171641"/>
    <w:rsid w:val="00173565"/>
    <w:rsid w:val="00173716"/>
    <w:rsid w:val="00173B07"/>
    <w:rsid w:val="001746B8"/>
    <w:rsid w:val="001751FA"/>
    <w:rsid w:val="00175F42"/>
    <w:rsid w:val="001766FC"/>
    <w:rsid w:val="00176FD4"/>
    <w:rsid w:val="0017751D"/>
    <w:rsid w:val="001810E0"/>
    <w:rsid w:val="00181D9C"/>
    <w:rsid w:val="00183381"/>
    <w:rsid w:val="00184B0E"/>
    <w:rsid w:val="00185F29"/>
    <w:rsid w:val="001861D4"/>
    <w:rsid w:val="00187359"/>
    <w:rsid w:val="0018752F"/>
    <w:rsid w:val="00191924"/>
    <w:rsid w:val="00192BD9"/>
    <w:rsid w:val="00193838"/>
    <w:rsid w:val="00194AD8"/>
    <w:rsid w:val="00195222"/>
    <w:rsid w:val="001975D8"/>
    <w:rsid w:val="001A178E"/>
    <w:rsid w:val="001A1E4D"/>
    <w:rsid w:val="001A43FA"/>
    <w:rsid w:val="001A4552"/>
    <w:rsid w:val="001A47C5"/>
    <w:rsid w:val="001A4829"/>
    <w:rsid w:val="001A59FB"/>
    <w:rsid w:val="001A5E9E"/>
    <w:rsid w:val="001A6354"/>
    <w:rsid w:val="001A6366"/>
    <w:rsid w:val="001A6BDC"/>
    <w:rsid w:val="001A7AE8"/>
    <w:rsid w:val="001A7FA0"/>
    <w:rsid w:val="001B204E"/>
    <w:rsid w:val="001B2372"/>
    <w:rsid w:val="001B2BBA"/>
    <w:rsid w:val="001B3443"/>
    <w:rsid w:val="001B4BDA"/>
    <w:rsid w:val="001B4CAF"/>
    <w:rsid w:val="001B4D20"/>
    <w:rsid w:val="001B74A5"/>
    <w:rsid w:val="001B7A34"/>
    <w:rsid w:val="001C0C1B"/>
    <w:rsid w:val="001C1FEE"/>
    <w:rsid w:val="001C2A9B"/>
    <w:rsid w:val="001C4299"/>
    <w:rsid w:val="001C4874"/>
    <w:rsid w:val="001C5610"/>
    <w:rsid w:val="001C5BDA"/>
    <w:rsid w:val="001C5F94"/>
    <w:rsid w:val="001C64DD"/>
    <w:rsid w:val="001C6891"/>
    <w:rsid w:val="001C6E66"/>
    <w:rsid w:val="001C729D"/>
    <w:rsid w:val="001C73FA"/>
    <w:rsid w:val="001C79C9"/>
    <w:rsid w:val="001D056B"/>
    <w:rsid w:val="001D07E5"/>
    <w:rsid w:val="001D0D80"/>
    <w:rsid w:val="001D1100"/>
    <w:rsid w:val="001D1391"/>
    <w:rsid w:val="001D25D7"/>
    <w:rsid w:val="001D2E66"/>
    <w:rsid w:val="001D3A65"/>
    <w:rsid w:val="001D4231"/>
    <w:rsid w:val="001D50B2"/>
    <w:rsid w:val="001D5A4A"/>
    <w:rsid w:val="001D634E"/>
    <w:rsid w:val="001D67BB"/>
    <w:rsid w:val="001D7645"/>
    <w:rsid w:val="001E1E86"/>
    <w:rsid w:val="001E238E"/>
    <w:rsid w:val="001E2483"/>
    <w:rsid w:val="001E2B1E"/>
    <w:rsid w:val="001E2C23"/>
    <w:rsid w:val="001E2CFF"/>
    <w:rsid w:val="001E2F24"/>
    <w:rsid w:val="001E30D4"/>
    <w:rsid w:val="001E310C"/>
    <w:rsid w:val="001E34DF"/>
    <w:rsid w:val="001E4305"/>
    <w:rsid w:val="001E4753"/>
    <w:rsid w:val="001E52EB"/>
    <w:rsid w:val="001E5921"/>
    <w:rsid w:val="001E61D2"/>
    <w:rsid w:val="001E6C50"/>
    <w:rsid w:val="001E7317"/>
    <w:rsid w:val="001E740C"/>
    <w:rsid w:val="001F1235"/>
    <w:rsid w:val="001F1CB3"/>
    <w:rsid w:val="001F1DE5"/>
    <w:rsid w:val="001F37B3"/>
    <w:rsid w:val="001F38B5"/>
    <w:rsid w:val="001F4081"/>
    <w:rsid w:val="001F58F9"/>
    <w:rsid w:val="001F68AF"/>
    <w:rsid w:val="001F7361"/>
    <w:rsid w:val="001F7B15"/>
    <w:rsid w:val="0020074D"/>
    <w:rsid w:val="002011B0"/>
    <w:rsid w:val="00201928"/>
    <w:rsid w:val="00203181"/>
    <w:rsid w:val="002032BF"/>
    <w:rsid w:val="00203783"/>
    <w:rsid w:val="0020385F"/>
    <w:rsid w:val="00205A5A"/>
    <w:rsid w:val="002067E7"/>
    <w:rsid w:val="002068A0"/>
    <w:rsid w:val="00207021"/>
    <w:rsid w:val="0020732F"/>
    <w:rsid w:val="00207D00"/>
    <w:rsid w:val="002105C1"/>
    <w:rsid w:val="00210BE1"/>
    <w:rsid w:val="00210C51"/>
    <w:rsid w:val="00213EF5"/>
    <w:rsid w:val="0021400D"/>
    <w:rsid w:val="00214257"/>
    <w:rsid w:val="00216BF5"/>
    <w:rsid w:val="0021712A"/>
    <w:rsid w:val="002219B6"/>
    <w:rsid w:val="00222972"/>
    <w:rsid w:val="00223B49"/>
    <w:rsid w:val="00223D5A"/>
    <w:rsid w:val="00224DD4"/>
    <w:rsid w:val="00224FB3"/>
    <w:rsid w:val="002278A0"/>
    <w:rsid w:val="002305CA"/>
    <w:rsid w:val="002309CC"/>
    <w:rsid w:val="0023209F"/>
    <w:rsid w:val="00233C01"/>
    <w:rsid w:val="0023413C"/>
    <w:rsid w:val="002346F0"/>
    <w:rsid w:val="00235EA3"/>
    <w:rsid w:val="0023629D"/>
    <w:rsid w:val="00236B0B"/>
    <w:rsid w:val="00237255"/>
    <w:rsid w:val="00237E41"/>
    <w:rsid w:val="00242136"/>
    <w:rsid w:val="00242220"/>
    <w:rsid w:val="002424AF"/>
    <w:rsid w:val="0024251F"/>
    <w:rsid w:val="00242FDC"/>
    <w:rsid w:val="002439DC"/>
    <w:rsid w:val="00243BF6"/>
    <w:rsid w:val="002441D2"/>
    <w:rsid w:val="00244DC8"/>
    <w:rsid w:val="00245724"/>
    <w:rsid w:val="002458BA"/>
    <w:rsid w:val="00245CE9"/>
    <w:rsid w:val="0024636C"/>
    <w:rsid w:val="002473CD"/>
    <w:rsid w:val="00247925"/>
    <w:rsid w:val="00247F7A"/>
    <w:rsid w:val="00251006"/>
    <w:rsid w:val="002524D5"/>
    <w:rsid w:val="00252C61"/>
    <w:rsid w:val="00253B1D"/>
    <w:rsid w:val="00254DCF"/>
    <w:rsid w:val="0025534B"/>
    <w:rsid w:val="00255BB7"/>
    <w:rsid w:val="00257541"/>
    <w:rsid w:val="00257A39"/>
    <w:rsid w:val="00257AC4"/>
    <w:rsid w:val="00261EEF"/>
    <w:rsid w:val="00262713"/>
    <w:rsid w:val="00262A1A"/>
    <w:rsid w:val="00262A87"/>
    <w:rsid w:val="00262F4F"/>
    <w:rsid w:val="00264D26"/>
    <w:rsid w:val="002652C2"/>
    <w:rsid w:val="00266FD4"/>
    <w:rsid w:val="00267642"/>
    <w:rsid w:val="00267AEA"/>
    <w:rsid w:val="002700E6"/>
    <w:rsid w:val="0027294B"/>
    <w:rsid w:val="00273EB4"/>
    <w:rsid w:val="00274505"/>
    <w:rsid w:val="00274682"/>
    <w:rsid w:val="00275A4C"/>
    <w:rsid w:val="00275C5A"/>
    <w:rsid w:val="002763EA"/>
    <w:rsid w:val="002770A8"/>
    <w:rsid w:val="00277758"/>
    <w:rsid w:val="00281014"/>
    <w:rsid w:val="00281BFD"/>
    <w:rsid w:val="0028265F"/>
    <w:rsid w:val="0028611D"/>
    <w:rsid w:val="0028665D"/>
    <w:rsid w:val="002879EA"/>
    <w:rsid w:val="00290790"/>
    <w:rsid w:val="00290C58"/>
    <w:rsid w:val="00291941"/>
    <w:rsid w:val="00292D9E"/>
    <w:rsid w:val="00292E20"/>
    <w:rsid w:val="0029422C"/>
    <w:rsid w:val="00294ADA"/>
    <w:rsid w:val="00294D18"/>
    <w:rsid w:val="002953E0"/>
    <w:rsid w:val="00297190"/>
    <w:rsid w:val="00297981"/>
    <w:rsid w:val="002A037F"/>
    <w:rsid w:val="002A04D8"/>
    <w:rsid w:val="002A14AB"/>
    <w:rsid w:val="002A2ADE"/>
    <w:rsid w:val="002A2F50"/>
    <w:rsid w:val="002A3E23"/>
    <w:rsid w:val="002A4E40"/>
    <w:rsid w:val="002A76B0"/>
    <w:rsid w:val="002B05A1"/>
    <w:rsid w:val="002B09A4"/>
    <w:rsid w:val="002B09B5"/>
    <w:rsid w:val="002B1C1F"/>
    <w:rsid w:val="002B432F"/>
    <w:rsid w:val="002B5596"/>
    <w:rsid w:val="002B62B3"/>
    <w:rsid w:val="002B62C9"/>
    <w:rsid w:val="002B6754"/>
    <w:rsid w:val="002B6CCE"/>
    <w:rsid w:val="002B7A06"/>
    <w:rsid w:val="002C1DDC"/>
    <w:rsid w:val="002C2510"/>
    <w:rsid w:val="002C2595"/>
    <w:rsid w:val="002C2775"/>
    <w:rsid w:val="002C27C1"/>
    <w:rsid w:val="002C5099"/>
    <w:rsid w:val="002C53A7"/>
    <w:rsid w:val="002C5889"/>
    <w:rsid w:val="002C71CE"/>
    <w:rsid w:val="002D0763"/>
    <w:rsid w:val="002D08F8"/>
    <w:rsid w:val="002D1769"/>
    <w:rsid w:val="002D2A3C"/>
    <w:rsid w:val="002D43B6"/>
    <w:rsid w:val="002D577C"/>
    <w:rsid w:val="002D5A94"/>
    <w:rsid w:val="002D6EEA"/>
    <w:rsid w:val="002E0AD4"/>
    <w:rsid w:val="002E1071"/>
    <w:rsid w:val="002E15B9"/>
    <w:rsid w:val="002E2158"/>
    <w:rsid w:val="002E3215"/>
    <w:rsid w:val="002E4F02"/>
    <w:rsid w:val="002E54FD"/>
    <w:rsid w:val="002E7722"/>
    <w:rsid w:val="002E7770"/>
    <w:rsid w:val="002F07BA"/>
    <w:rsid w:val="002F0B98"/>
    <w:rsid w:val="002F0DA9"/>
    <w:rsid w:val="002F1014"/>
    <w:rsid w:val="002F47B9"/>
    <w:rsid w:val="002F4D65"/>
    <w:rsid w:val="002F643C"/>
    <w:rsid w:val="002F6D5E"/>
    <w:rsid w:val="002F71C0"/>
    <w:rsid w:val="002F74F1"/>
    <w:rsid w:val="002F7D09"/>
    <w:rsid w:val="002F7D4A"/>
    <w:rsid w:val="00301017"/>
    <w:rsid w:val="0030155F"/>
    <w:rsid w:val="003017A7"/>
    <w:rsid w:val="00301B14"/>
    <w:rsid w:val="0030210F"/>
    <w:rsid w:val="003046A9"/>
    <w:rsid w:val="0030587B"/>
    <w:rsid w:val="00305FBE"/>
    <w:rsid w:val="00306903"/>
    <w:rsid w:val="00306976"/>
    <w:rsid w:val="00306D98"/>
    <w:rsid w:val="0030786C"/>
    <w:rsid w:val="0031031A"/>
    <w:rsid w:val="00310981"/>
    <w:rsid w:val="00311080"/>
    <w:rsid w:val="003110AE"/>
    <w:rsid w:val="00311E2B"/>
    <w:rsid w:val="003124D9"/>
    <w:rsid w:val="00312594"/>
    <w:rsid w:val="003127D0"/>
    <w:rsid w:val="00313BDF"/>
    <w:rsid w:val="00313FB9"/>
    <w:rsid w:val="0031465E"/>
    <w:rsid w:val="00315498"/>
    <w:rsid w:val="00316474"/>
    <w:rsid w:val="00316B74"/>
    <w:rsid w:val="00317B13"/>
    <w:rsid w:val="0032066B"/>
    <w:rsid w:val="003209C7"/>
    <w:rsid w:val="00322107"/>
    <w:rsid w:val="0032224A"/>
    <w:rsid w:val="00322355"/>
    <w:rsid w:val="00322477"/>
    <w:rsid w:val="0032250B"/>
    <w:rsid w:val="00322846"/>
    <w:rsid w:val="00323487"/>
    <w:rsid w:val="00323514"/>
    <w:rsid w:val="00323E60"/>
    <w:rsid w:val="00326637"/>
    <w:rsid w:val="00326DA7"/>
    <w:rsid w:val="003270E4"/>
    <w:rsid w:val="003274CF"/>
    <w:rsid w:val="00327CD0"/>
    <w:rsid w:val="003301B2"/>
    <w:rsid w:val="003307F5"/>
    <w:rsid w:val="00330DAA"/>
    <w:rsid w:val="00330F5C"/>
    <w:rsid w:val="003319BB"/>
    <w:rsid w:val="00331A26"/>
    <w:rsid w:val="00334BD9"/>
    <w:rsid w:val="00335C14"/>
    <w:rsid w:val="003366C9"/>
    <w:rsid w:val="003371B0"/>
    <w:rsid w:val="00340DF1"/>
    <w:rsid w:val="00342314"/>
    <w:rsid w:val="0034416E"/>
    <w:rsid w:val="00344D31"/>
    <w:rsid w:val="00346B64"/>
    <w:rsid w:val="00350DB4"/>
    <w:rsid w:val="003517F9"/>
    <w:rsid w:val="00351BA9"/>
    <w:rsid w:val="003543DC"/>
    <w:rsid w:val="00354E07"/>
    <w:rsid w:val="00354F5E"/>
    <w:rsid w:val="00354F64"/>
    <w:rsid w:val="0035620E"/>
    <w:rsid w:val="003564F9"/>
    <w:rsid w:val="00356776"/>
    <w:rsid w:val="00360345"/>
    <w:rsid w:val="00360E25"/>
    <w:rsid w:val="00361A05"/>
    <w:rsid w:val="003624C4"/>
    <w:rsid w:val="003625B7"/>
    <w:rsid w:val="003631DC"/>
    <w:rsid w:val="00363B00"/>
    <w:rsid w:val="00365485"/>
    <w:rsid w:val="003654AC"/>
    <w:rsid w:val="003662C9"/>
    <w:rsid w:val="003668D4"/>
    <w:rsid w:val="00370C5F"/>
    <w:rsid w:val="003710CF"/>
    <w:rsid w:val="00372F1B"/>
    <w:rsid w:val="0037358A"/>
    <w:rsid w:val="0037445F"/>
    <w:rsid w:val="003750F6"/>
    <w:rsid w:val="003760FC"/>
    <w:rsid w:val="00376A86"/>
    <w:rsid w:val="00380A00"/>
    <w:rsid w:val="0038365C"/>
    <w:rsid w:val="0038369B"/>
    <w:rsid w:val="00383B78"/>
    <w:rsid w:val="00384F9E"/>
    <w:rsid w:val="00385A9D"/>
    <w:rsid w:val="003863A9"/>
    <w:rsid w:val="00386BCD"/>
    <w:rsid w:val="00387270"/>
    <w:rsid w:val="0038784D"/>
    <w:rsid w:val="003902B1"/>
    <w:rsid w:val="0039179C"/>
    <w:rsid w:val="00393666"/>
    <w:rsid w:val="00394E54"/>
    <w:rsid w:val="00395809"/>
    <w:rsid w:val="00395EA6"/>
    <w:rsid w:val="00396896"/>
    <w:rsid w:val="00396FD0"/>
    <w:rsid w:val="00397175"/>
    <w:rsid w:val="003A00F1"/>
    <w:rsid w:val="003A0AB8"/>
    <w:rsid w:val="003A1A7A"/>
    <w:rsid w:val="003A1F55"/>
    <w:rsid w:val="003A2392"/>
    <w:rsid w:val="003A2831"/>
    <w:rsid w:val="003A3CB6"/>
    <w:rsid w:val="003A3ED1"/>
    <w:rsid w:val="003A44DB"/>
    <w:rsid w:val="003A711B"/>
    <w:rsid w:val="003B0943"/>
    <w:rsid w:val="003B34FB"/>
    <w:rsid w:val="003B3971"/>
    <w:rsid w:val="003B3A52"/>
    <w:rsid w:val="003B55D1"/>
    <w:rsid w:val="003B5B61"/>
    <w:rsid w:val="003C0834"/>
    <w:rsid w:val="003C12A5"/>
    <w:rsid w:val="003C1654"/>
    <w:rsid w:val="003C1B47"/>
    <w:rsid w:val="003C2BB9"/>
    <w:rsid w:val="003C4D45"/>
    <w:rsid w:val="003C4D65"/>
    <w:rsid w:val="003C50D1"/>
    <w:rsid w:val="003C5542"/>
    <w:rsid w:val="003C67AD"/>
    <w:rsid w:val="003C79D5"/>
    <w:rsid w:val="003C7D19"/>
    <w:rsid w:val="003C7D2F"/>
    <w:rsid w:val="003D1828"/>
    <w:rsid w:val="003D1DE4"/>
    <w:rsid w:val="003D1E9A"/>
    <w:rsid w:val="003D23FB"/>
    <w:rsid w:val="003D2422"/>
    <w:rsid w:val="003D39A1"/>
    <w:rsid w:val="003D3DA3"/>
    <w:rsid w:val="003D3F92"/>
    <w:rsid w:val="003D3FBF"/>
    <w:rsid w:val="003D4770"/>
    <w:rsid w:val="003D4A30"/>
    <w:rsid w:val="003D4E96"/>
    <w:rsid w:val="003D6882"/>
    <w:rsid w:val="003D7123"/>
    <w:rsid w:val="003D7452"/>
    <w:rsid w:val="003D79BB"/>
    <w:rsid w:val="003D7C98"/>
    <w:rsid w:val="003D7D9D"/>
    <w:rsid w:val="003E0543"/>
    <w:rsid w:val="003E06E6"/>
    <w:rsid w:val="003E296B"/>
    <w:rsid w:val="003E2EF2"/>
    <w:rsid w:val="003E4A6B"/>
    <w:rsid w:val="003E50E2"/>
    <w:rsid w:val="003E53B4"/>
    <w:rsid w:val="003E552B"/>
    <w:rsid w:val="003E55F2"/>
    <w:rsid w:val="003E5F85"/>
    <w:rsid w:val="003E749E"/>
    <w:rsid w:val="003E7541"/>
    <w:rsid w:val="003F30A3"/>
    <w:rsid w:val="003F3F10"/>
    <w:rsid w:val="003F4156"/>
    <w:rsid w:val="003F5106"/>
    <w:rsid w:val="003F5ADF"/>
    <w:rsid w:val="003F69DB"/>
    <w:rsid w:val="004009BF"/>
    <w:rsid w:val="00400B29"/>
    <w:rsid w:val="004046BC"/>
    <w:rsid w:val="0040504B"/>
    <w:rsid w:val="004059F4"/>
    <w:rsid w:val="00406A39"/>
    <w:rsid w:val="00407591"/>
    <w:rsid w:val="00407FE5"/>
    <w:rsid w:val="004101B0"/>
    <w:rsid w:val="004101CC"/>
    <w:rsid w:val="00410326"/>
    <w:rsid w:val="00410708"/>
    <w:rsid w:val="00410EC7"/>
    <w:rsid w:val="00411B39"/>
    <w:rsid w:val="004127A7"/>
    <w:rsid w:val="00413778"/>
    <w:rsid w:val="00413A1E"/>
    <w:rsid w:val="00413B85"/>
    <w:rsid w:val="00413BFE"/>
    <w:rsid w:val="00414476"/>
    <w:rsid w:val="00414C2E"/>
    <w:rsid w:val="004151CF"/>
    <w:rsid w:val="0041534D"/>
    <w:rsid w:val="00416364"/>
    <w:rsid w:val="00416609"/>
    <w:rsid w:val="00416A74"/>
    <w:rsid w:val="0042047F"/>
    <w:rsid w:val="00420AA6"/>
    <w:rsid w:val="00420B9F"/>
    <w:rsid w:val="00420F00"/>
    <w:rsid w:val="0042192C"/>
    <w:rsid w:val="00421E4C"/>
    <w:rsid w:val="00422260"/>
    <w:rsid w:val="004223C5"/>
    <w:rsid w:val="00423858"/>
    <w:rsid w:val="0042413F"/>
    <w:rsid w:val="00425E22"/>
    <w:rsid w:val="0042672B"/>
    <w:rsid w:val="00427C57"/>
    <w:rsid w:val="004303BF"/>
    <w:rsid w:val="00430862"/>
    <w:rsid w:val="004319F8"/>
    <w:rsid w:val="00431D2F"/>
    <w:rsid w:val="00431E55"/>
    <w:rsid w:val="004321F6"/>
    <w:rsid w:val="00433044"/>
    <w:rsid w:val="00434088"/>
    <w:rsid w:val="004375B9"/>
    <w:rsid w:val="004378D3"/>
    <w:rsid w:val="00440F53"/>
    <w:rsid w:val="004428D0"/>
    <w:rsid w:val="00444185"/>
    <w:rsid w:val="004443A7"/>
    <w:rsid w:val="0044442C"/>
    <w:rsid w:val="00444545"/>
    <w:rsid w:val="00444B5D"/>
    <w:rsid w:val="00445331"/>
    <w:rsid w:val="004455D0"/>
    <w:rsid w:val="00445941"/>
    <w:rsid w:val="00445AB9"/>
    <w:rsid w:val="00445AC6"/>
    <w:rsid w:val="004462C6"/>
    <w:rsid w:val="004464EB"/>
    <w:rsid w:val="00447D26"/>
    <w:rsid w:val="00447DFC"/>
    <w:rsid w:val="004506D7"/>
    <w:rsid w:val="004515E8"/>
    <w:rsid w:val="004529EC"/>
    <w:rsid w:val="00452A55"/>
    <w:rsid w:val="0045365A"/>
    <w:rsid w:val="00455D45"/>
    <w:rsid w:val="0045743C"/>
    <w:rsid w:val="004632DC"/>
    <w:rsid w:val="00464595"/>
    <w:rsid w:val="004658B5"/>
    <w:rsid w:val="0046676E"/>
    <w:rsid w:val="00467160"/>
    <w:rsid w:val="0047142E"/>
    <w:rsid w:val="00471EA5"/>
    <w:rsid w:val="00472A79"/>
    <w:rsid w:val="00473578"/>
    <w:rsid w:val="00473F19"/>
    <w:rsid w:val="0047413A"/>
    <w:rsid w:val="00474D86"/>
    <w:rsid w:val="00474F44"/>
    <w:rsid w:val="0047528C"/>
    <w:rsid w:val="00475E22"/>
    <w:rsid w:val="0048029C"/>
    <w:rsid w:val="0048088E"/>
    <w:rsid w:val="00480D22"/>
    <w:rsid w:val="00480F2B"/>
    <w:rsid w:val="00482720"/>
    <w:rsid w:val="0048276F"/>
    <w:rsid w:val="004835E7"/>
    <w:rsid w:val="0048543A"/>
    <w:rsid w:val="00485566"/>
    <w:rsid w:val="004858AB"/>
    <w:rsid w:val="004867E2"/>
    <w:rsid w:val="00487950"/>
    <w:rsid w:val="00490B17"/>
    <w:rsid w:val="00491B3A"/>
    <w:rsid w:val="00492923"/>
    <w:rsid w:val="00492CFD"/>
    <w:rsid w:val="00492D4D"/>
    <w:rsid w:val="00494207"/>
    <w:rsid w:val="00494DD5"/>
    <w:rsid w:val="004957EE"/>
    <w:rsid w:val="004962D2"/>
    <w:rsid w:val="004967DF"/>
    <w:rsid w:val="0049683B"/>
    <w:rsid w:val="00497E73"/>
    <w:rsid w:val="004A0A96"/>
    <w:rsid w:val="004A0DA1"/>
    <w:rsid w:val="004A13D6"/>
    <w:rsid w:val="004A1452"/>
    <w:rsid w:val="004A23A3"/>
    <w:rsid w:val="004A2D5B"/>
    <w:rsid w:val="004A330A"/>
    <w:rsid w:val="004A47DE"/>
    <w:rsid w:val="004A52E9"/>
    <w:rsid w:val="004A551B"/>
    <w:rsid w:val="004A6040"/>
    <w:rsid w:val="004A6597"/>
    <w:rsid w:val="004A7848"/>
    <w:rsid w:val="004B1CB4"/>
    <w:rsid w:val="004B2858"/>
    <w:rsid w:val="004B2F18"/>
    <w:rsid w:val="004B38E7"/>
    <w:rsid w:val="004B3DDB"/>
    <w:rsid w:val="004B44FD"/>
    <w:rsid w:val="004B5CFC"/>
    <w:rsid w:val="004B6B04"/>
    <w:rsid w:val="004B6F79"/>
    <w:rsid w:val="004B774D"/>
    <w:rsid w:val="004B79F3"/>
    <w:rsid w:val="004B7C36"/>
    <w:rsid w:val="004B7EC9"/>
    <w:rsid w:val="004C0C12"/>
    <w:rsid w:val="004C24FF"/>
    <w:rsid w:val="004C2F5F"/>
    <w:rsid w:val="004C4AED"/>
    <w:rsid w:val="004C57F4"/>
    <w:rsid w:val="004C5FCF"/>
    <w:rsid w:val="004D0E77"/>
    <w:rsid w:val="004D171B"/>
    <w:rsid w:val="004D2C2D"/>
    <w:rsid w:val="004D4556"/>
    <w:rsid w:val="004D4E01"/>
    <w:rsid w:val="004D6746"/>
    <w:rsid w:val="004D69B5"/>
    <w:rsid w:val="004D7227"/>
    <w:rsid w:val="004E0E7F"/>
    <w:rsid w:val="004E0EB8"/>
    <w:rsid w:val="004E0F8F"/>
    <w:rsid w:val="004E1771"/>
    <w:rsid w:val="004E18E9"/>
    <w:rsid w:val="004E2ADC"/>
    <w:rsid w:val="004E43B2"/>
    <w:rsid w:val="004E6D7B"/>
    <w:rsid w:val="004E74C0"/>
    <w:rsid w:val="004E7E58"/>
    <w:rsid w:val="004F170C"/>
    <w:rsid w:val="004F1A6A"/>
    <w:rsid w:val="004F1D02"/>
    <w:rsid w:val="004F2679"/>
    <w:rsid w:val="004F2F21"/>
    <w:rsid w:val="004F3DE5"/>
    <w:rsid w:val="004F453C"/>
    <w:rsid w:val="004F6913"/>
    <w:rsid w:val="004F7865"/>
    <w:rsid w:val="005007CA"/>
    <w:rsid w:val="0050174E"/>
    <w:rsid w:val="00501854"/>
    <w:rsid w:val="00501D85"/>
    <w:rsid w:val="0050219B"/>
    <w:rsid w:val="0050306E"/>
    <w:rsid w:val="00503F17"/>
    <w:rsid w:val="00504423"/>
    <w:rsid w:val="00505AE6"/>
    <w:rsid w:val="00505FCB"/>
    <w:rsid w:val="0050602A"/>
    <w:rsid w:val="00506928"/>
    <w:rsid w:val="005077EF"/>
    <w:rsid w:val="00507897"/>
    <w:rsid w:val="0051098B"/>
    <w:rsid w:val="00511AD5"/>
    <w:rsid w:val="00511B07"/>
    <w:rsid w:val="00511DC7"/>
    <w:rsid w:val="00512C27"/>
    <w:rsid w:val="005142C5"/>
    <w:rsid w:val="0051501B"/>
    <w:rsid w:val="005152B5"/>
    <w:rsid w:val="0051574C"/>
    <w:rsid w:val="0051695F"/>
    <w:rsid w:val="005178AF"/>
    <w:rsid w:val="0052123C"/>
    <w:rsid w:val="00521319"/>
    <w:rsid w:val="00521840"/>
    <w:rsid w:val="00522BC8"/>
    <w:rsid w:val="00523C28"/>
    <w:rsid w:val="00525236"/>
    <w:rsid w:val="005260B9"/>
    <w:rsid w:val="00527226"/>
    <w:rsid w:val="00527B76"/>
    <w:rsid w:val="00530A93"/>
    <w:rsid w:val="0053176B"/>
    <w:rsid w:val="00532B3E"/>
    <w:rsid w:val="00532D88"/>
    <w:rsid w:val="00534425"/>
    <w:rsid w:val="005365CB"/>
    <w:rsid w:val="00536F42"/>
    <w:rsid w:val="00537182"/>
    <w:rsid w:val="005379AD"/>
    <w:rsid w:val="00541137"/>
    <w:rsid w:val="00541314"/>
    <w:rsid w:val="00541EDD"/>
    <w:rsid w:val="00542743"/>
    <w:rsid w:val="00542C2D"/>
    <w:rsid w:val="005442B9"/>
    <w:rsid w:val="00545021"/>
    <w:rsid w:val="00546DE4"/>
    <w:rsid w:val="005478BD"/>
    <w:rsid w:val="005479E3"/>
    <w:rsid w:val="005503E3"/>
    <w:rsid w:val="005503EA"/>
    <w:rsid w:val="00551985"/>
    <w:rsid w:val="0055216F"/>
    <w:rsid w:val="00552BD3"/>
    <w:rsid w:val="005532A0"/>
    <w:rsid w:val="00555109"/>
    <w:rsid w:val="005551E5"/>
    <w:rsid w:val="005552CD"/>
    <w:rsid w:val="00556B35"/>
    <w:rsid w:val="0055741A"/>
    <w:rsid w:val="00557A00"/>
    <w:rsid w:val="00560665"/>
    <w:rsid w:val="005606B9"/>
    <w:rsid w:val="00560AAD"/>
    <w:rsid w:val="00560C86"/>
    <w:rsid w:val="005610BD"/>
    <w:rsid w:val="005611B7"/>
    <w:rsid w:val="005618D4"/>
    <w:rsid w:val="00561D92"/>
    <w:rsid w:val="00562CD3"/>
    <w:rsid w:val="00565729"/>
    <w:rsid w:val="00565DF0"/>
    <w:rsid w:val="00565E64"/>
    <w:rsid w:val="00566272"/>
    <w:rsid w:val="0056696F"/>
    <w:rsid w:val="00572269"/>
    <w:rsid w:val="0057244A"/>
    <w:rsid w:val="00572F26"/>
    <w:rsid w:val="005732F5"/>
    <w:rsid w:val="005735AF"/>
    <w:rsid w:val="005750C5"/>
    <w:rsid w:val="005752DE"/>
    <w:rsid w:val="00575D0C"/>
    <w:rsid w:val="00575D8D"/>
    <w:rsid w:val="00576972"/>
    <w:rsid w:val="005818DA"/>
    <w:rsid w:val="00582865"/>
    <w:rsid w:val="00582E3E"/>
    <w:rsid w:val="005830AD"/>
    <w:rsid w:val="00583699"/>
    <w:rsid w:val="005838A3"/>
    <w:rsid w:val="00583A5B"/>
    <w:rsid w:val="0058471A"/>
    <w:rsid w:val="00585CDD"/>
    <w:rsid w:val="00587058"/>
    <w:rsid w:val="0059081D"/>
    <w:rsid w:val="00590F72"/>
    <w:rsid w:val="0059167B"/>
    <w:rsid w:val="00591957"/>
    <w:rsid w:val="00593E8B"/>
    <w:rsid w:val="00594D3D"/>
    <w:rsid w:val="00594F94"/>
    <w:rsid w:val="00595096"/>
    <w:rsid w:val="00597844"/>
    <w:rsid w:val="00597BF9"/>
    <w:rsid w:val="005A1C47"/>
    <w:rsid w:val="005A2736"/>
    <w:rsid w:val="005A2954"/>
    <w:rsid w:val="005A309A"/>
    <w:rsid w:val="005A373D"/>
    <w:rsid w:val="005A57E3"/>
    <w:rsid w:val="005A71C8"/>
    <w:rsid w:val="005A7457"/>
    <w:rsid w:val="005A79CF"/>
    <w:rsid w:val="005B0B58"/>
    <w:rsid w:val="005B111E"/>
    <w:rsid w:val="005B4E53"/>
    <w:rsid w:val="005B5367"/>
    <w:rsid w:val="005B5857"/>
    <w:rsid w:val="005B5DCA"/>
    <w:rsid w:val="005B6405"/>
    <w:rsid w:val="005C0053"/>
    <w:rsid w:val="005C0936"/>
    <w:rsid w:val="005C100E"/>
    <w:rsid w:val="005C196D"/>
    <w:rsid w:val="005C1B83"/>
    <w:rsid w:val="005C22A9"/>
    <w:rsid w:val="005C25FF"/>
    <w:rsid w:val="005C2D55"/>
    <w:rsid w:val="005C346B"/>
    <w:rsid w:val="005C35BA"/>
    <w:rsid w:val="005C3E70"/>
    <w:rsid w:val="005C4B92"/>
    <w:rsid w:val="005C5D31"/>
    <w:rsid w:val="005C6AF1"/>
    <w:rsid w:val="005D044D"/>
    <w:rsid w:val="005D0ABD"/>
    <w:rsid w:val="005D18AD"/>
    <w:rsid w:val="005D25CC"/>
    <w:rsid w:val="005D26B4"/>
    <w:rsid w:val="005D37C7"/>
    <w:rsid w:val="005D48CE"/>
    <w:rsid w:val="005D7912"/>
    <w:rsid w:val="005E4973"/>
    <w:rsid w:val="005E4C35"/>
    <w:rsid w:val="005E4C39"/>
    <w:rsid w:val="005E4F73"/>
    <w:rsid w:val="005E5175"/>
    <w:rsid w:val="005E6CBC"/>
    <w:rsid w:val="005E72FF"/>
    <w:rsid w:val="005E73C0"/>
    <w:rsid w:val="005F158A"/>
    <w:rsid w:val="005F1F0B"/>
    <w:rsid w:val="005F2706"/>
    <w:rsid w:val="005F3DA9"/>
    <w:rsid w:val="005F4872"/>
    <w:rsid w:val="005F493F"/>
    <w:rsid w:val="005F6A8F"/>
    <w:rsid w:val="005F6BB7"/>
    <w:rsid w:val="005F7365"/>
    <w:rsid w:val="005F7588"/>
    <w:rsid w:val="006035A2"/>
    <w:rsid w:val="006036A8"/>
    <w:rsid w:val="00603DB9"/>
    <w:rsid w:val="006041C7"/>
    <w:rsid w:val="006041EE"/>
    <w:rsid w:val="00605A1B"/>
    <w:rsid w:val="00606D9E"/>
    <w:rsid w:val="00606FBA"/>
    <w:rsid w:val="00607669"/>
    <w:rsid w:val="006076F4"/>
    <w:rsid w:val="00607AFD"/>
    <w:rsid w:val="00607E65"/>
    <w:rsid w:val="0061048F"/>
    <w:rsid w:val="00610905"/>
    <w:rsid w:val="00612F97"/>
    <w:rsid w:val="0061345D"/>
    <w:rsid w:val="00614511"/>
    <w:rsid w:val="0061549B"/>
    <w:rsid w:val="00615663"/>
    <w:rsid w:val="00615897"/>
    <w:rsid w:val="00616802"/>
    <w:rsid w:val="00617E12"/>
    <w:rsid w:val="00620C25"/>
    <w:rsid w:val="00621477"/>
    <w:rsid w:val="00621ADA"/>
    <w:rsid w:val="00621C9A"/>
    <w:rsid w:val="00622286"/>
    <w:rsid w:val="00623064"/>
    <w:rsid w:val="006232A8"/>
    <w:rsid w:val="0062346F"/>
    <w:rsid w:val="00623F7B"/>
    <w:rsid w:val="006246F8"/>
    <w:rsid w:val="00626B04"/>
    <w:rsid w:val="00630C92"/>
    <w:rsid w:val="00630FF0"/>
    <w:rsid w:val="0063158F"/>
    <w:rsid w:val="006315AB"/>
    <w:rsid w:val="00631D6B"/>
    <w:rsid w:val="00632183"/>
    <w:rsid w:val="006323AF"/>
    <w:rsid w:val="00632DA1"/>
    <w:rsid w:val="00632DDD"/>
    <w:rsid w:val="00632E54"/>
    <w:rsid w:val="006330A1"/>
    <w:rsid w:val="0063350E"/>
    <w:rsid w:val="00633F0A"/>
    <w:rsid w:val="0063479F"/>
    <w:rsid w:val="006347EA"/>
    <w:rsid w:val="006353F0"/>
    <w:rsid w:val="006357B5"/>
    <w:rsid w:val="006364A1"/>
    <w:rsid w:val="0063678E"/>
    <w:rsid w:val="0063741C"/>
    <w:rsid w:val="00637BFD"/>
    <w:rsid w:val="00641C4E"/>
    <w:rsid w:val="00641FB3"/>
    <w:rsid w:val="0064434C"/>
    <w:rsid w:val="00645443"/>
    <w:rsid w:val="00646DD4"/>
    <w:rsid w:val="006471CC"/>
    <w:rsid w:val="006478F9"/>
    <w:rsid w:val="00647A29"/>
    <w:rsid w:val="0065079F"/>
    <w:rsid w:val="00652A28"/>
    <w:rsid w:val="00652A99"/>
    <w:rsid w:val="0065379F"/>
    <w:rsid w:val="006554FF"/>
    <w:rsid w:val="00656188"/>
    <w:rsid w:val="00656C26"/>
    <w:rsid w:val="00656FBB"/>
    <w:rsid w:val="0065715A"/>
    <w:rsid w:val="0066055D"/>
    <w:rsid w:val="006610F1"/>
    <w:rsid w:val="00661C6B"/>
    <w:rsid w:val="00662630"/>
    <w:rsid w:val="006630A3"/>
    <w:rsid w:val="006651C3"/>
    <w:rsid w:val="00665F5E"/>
    <w:rsid w:val="00666C9C"/>
    <w:rsid w:val="00667037"/>
    <w:rsid w:val="006674F9"/>
    <w:rsid w:val="00667710"/>
    <w:rsid w:val="00671004"/>
    <w:rsid w:val="00671371"/>
    <w:rsid w:val="00671671"/>
    <w:rsid w:val="00672646"/>
    <w:rsid w:val="00672697"/>
    <w:rsid w:val="00672C83"/>
    <w:rsid w:val="00674E42"/>
    <w:rsid w:val="0068017B"/>
    <w:rsid w:val="006813F8"/>
    <w:rsid w:val="006819C8"/>
    <w:rsid w:val="00682112"/>
    <w:rsid w:val="006827AF"/>
    <w:rsid w:val="00682BA6"/>
    <w:rsid w:val="00682FCE"/>
    <w:rsid w:val="00686957"/>
    <w:rsid w:val="006872BA"/>
    <w:rsid w:val="006874A0"/>
    <w:rsid w:val="00690795"/>
    <w:rsid w:val="0069088C"/>
    <w:rsid w:val="00691648"/>
    <w:rsid w:val="006917D7"/>
    <w:rsid w:val="0069434C"/>
    <w:rsid w:val="006943AA"/>
    <w:rsid w:val="00694F44"/>
    <w:rsid w:val="00696F51"/>
    <w:rsid w:val="006979A5"/>
    <w:rsid w:val="006A2B0C"/>
    <w:rsid w:val="006A43B3"/>
    <w:rsid w:val="006A43FB"/>
    <w:rsid w:val="006A4F88"/>
    <w:rsid w:val="006A5329"/>
    <w:rsid w:val="006A6B99"/>
    <w:rsid w:val="006A7E5F"/>
    <w:rsid w:val="006B2413"/>
    <w:rsid w:val="006B261B"/>
    <w:rsid w:val="006B2C90"/>
    <w:rsid w:val="006B35E6"/>
    <w:rsid w:val="006B429B"/>
    <w:rsid w:val="006B4395"/>
    <w:rsid w:val="006B465A"/>
    <w:rsid w:val="006B5AD8"/>
    <w:rsid w:val="006B5FF4"/>
    <w:rsid w:val="006B6DD0"/>
    <w:rsid w:val="006B710D"/>
    <w:rsid w:val="006C023A"/>
    <w:rsid w:val="006C0399"/>
    <w:rsid w:val="006C163D"/>
    <w:rsid w:val="006C2A8E"/>
    <w:rsid w:val="006C3255"/>
    <w:rsid w:val="006C3F26"/>
    <w:rsid w:val="006C5961"/>
    <w:rsid w:val="006C5D51"/>
    <w:rsid w:val="006C71FD"/>
    <w:rsid w:val="006C79DB"/>
    <w:rsid w:val="006D0D17"/>
    <w:rsid w:val="006D3C7D"/>
    <w:rsid w:val="006D3FB9"/>
    <w:rsid w:val="006D4659"/>
    <w:rsid w:val="006D5D5F"/>
    <w:rsid w:val="006D68FB"/>
    <w:rsid w:val="006D715F"/>
    <w:rsid w:val="006D77D5"/>
    <w:rsid w:val="006E0197"/>
    <w:rsid w:val="006E0501"/>
    <w:rsid w:val="006E0B55"/>
    <w:rsid w:val="006E2868"/>
    <w:rsid w:val="006E33D3"/>
    <w:rsid w:val="006E471A"/>
    <w:rsid w:val="006E4E11"/>
    <w:rsid w:val="006E5829"/>
    <w:rsid w:val="006E6E00"/>
    <w:rsid w:val="006E757D"/>
    <w:rsid w:val="006F136D"/>
    <w:rsid w:val="006F306C"/>
    <w:rsid w:val="006F60B3"/>
    <w:rsid w:val="006F63A5"/>
    <w:rsid w:val="00700563"/>
    <w:rsid w:val="0070142B"/>
    <w:rsid w:val="0070276E"/>
    <w:rsid w:val="00702A8B"/>
    <w:rsid w:val="00702ABA"/>
    <w:rsid w:val="00702F8F"/>
    <w:rsid w:val="007031F9"/>
    <w:rsid w:val="00703276"/>
    <w:rsid w:val="00705740"/>
    <w:rsid w:val="00705F16"/>
    <w:rsid w:val="007069EC"/>
    <w:rsid w:val="00706B7F"/>
    <w:rsid w:val="007079FC"/>
    <w:rsid w:val="007112A7"/>
    <w:rsid w:val="007115B5"/>
    <w:rsid w:val="007118E4"/>
    <w:rsid w:val="00711A36"/>
    <w:rsid w:val="00711A4B"/>
    <w:rsid w:val="00714C26"/>
    <w:rsid w:val="0071529C"/>
    <w:rsid w:val="007170DA"/>
    <w:rsid w:val="007172AD"/>
    <w:rsid w:val="00720801"/>
    <w:rsid w:val="00720B4D"/>
    <w:rsid w:val="00722B1B"/>
    <w:rsid w:val="0072416F"/>
    <w:rsid w:val="00727C94"/>
    <w:rsid w:val="00730346"/>
    <w:rsid w:val="0073040F"/>
    <w:rsid w:val="00731B0A"/>
    <w:rsid w:val="00731EAE"/>
    <w:rsid w:val="00732C57"/>
    <w:rsid w:val="00733073"/>
    <w:rsid w:val="00733703"/>
    <w:rsid w:val="00733C3F"/>
    <w:rsid w:val="00734B49"/>
    <w:rsid w:val="00735033"/>
    <w:rsid w:val="00735328"/>
    <w:rsid w:val="00735ABE"/>
    <w:rsid w:val="0073685B"/>
    <w:rsid w:val="00740163"/>
    <w:rsid w:val="0074070E"/>
    <w:rsid w:val="00741E76"/>
    <w:rsid w:val="00743CF4"/>
    <w:rsid w:val="007449BF"/>
    <w:rsid w:val="00744E08"/>
    <w:rsid w:val="0074568B"/>
    <w:rsid w:val="00746BC0"/>
    <w:rsid w:val="00750336"/>
    <w:rsid w:val="007510B4"/>
    <w:rsid w:val="007513A4"/>
    <w:rsid w:val="00751F7A"/>
    <w:rsid w:val="00752142"/>
    <w:rsid w:val="007523F9"/>
    <w:rsid w:val="0075357E"/>
    <w:rsid w:val="007573E8"/>
    <w:rsid w:val="00760BE6"/>
    <w:rsid w:val="00760C4E"/>
    <w:rsid w:val="00760F9E"/>
    <w:rsid w:val="007627BE"/>
    <w:rsid w:val="0076492B"/>
    <w:rsid w:val="00764F03"/>
    <w:rsid w:val="00765B1A"/>
    <w:rsid w:val="00765FBA"/>
    <w:rsid w:val="00770AF2"/>
    <w:rsid w:val="00771042"/>
    <w:rsid w:val="007713BC"/>
    <w:rsid w:val="00771C09"/>
    <w:rsid w:val="007732FD"/>
    <w:rsid w:val="007742F5"/>
    <w:rsid w:val="007749C8"/>
    <w:rsid w:val="00775B19"/>
    <w:rsid w:val="00777335"/>
    <w:rsid w:val="00780125"/>
    <w:rsid w:val="00780460"/>
    <w:rsid w:val="00780549"/>
    <w:rsid w:val="0078091E"/>
    <w:rsid w:val="00780B07"/>
    <w:rsid w:val="007832C1"/>
    <w:rsid w:val="007843F2"/>
    <w:rsid w:val="00785A9F"/>
    <w:rsid w:val="007876B9"/>
    <w:rsid w:val="007879CC"/>
    <w:rsid w:val="00790EDF"/>
    <w:rsid w:val="00792579"/>
    <w:rsid w:val="007925DF"/>
    <w:rsid w:val="00796822"/>
    <w:rsid w:val="007978F4"/>
    <w:rsid w:val="007A052C"/>
    <w:rsid w:val="007A08AA"/>
    <w:rsid w:val="007A0A12"/>
    <w:rsid w:val="007A0B44"/>
    <w:rsid w:val="007A0F3F"/>
    <w:rsid w:val="007A132D"/>
    <w:rsid w:val="007A1345"/>
    <w:rsid w:val="007A16D1"/>
    <w:rsid w:val="007A2773"/>
    <w:rsid w:val="007A2DDB"/>
    <w:rsid w:val="007A70BA"/>
    <w:rsid w:val="007B0D68"/>
    <w:rsid w:val="007B10F7"/>
    <w:rsid w:val="007B251D"/>
    <w:rsid w:val="007B30C0"/>
    <w:rsid w:val="007B4F58"/>
    <w:rsid w:val="007B528D"/>
    <w:rsid w:val="007B5D18"/>
    <w:rsid w:val="007B63CA"/>
    <w:rsid w:val="007B77D1"/>
    <w:rsid w:val="007C07C7"/>
    <w:rsid w:val="007C1CD9"/>
    <w:rsid w:val="007C2870"/>
    <w:rsid w:val="007C32EF"/>
    <w:rsid w:val="007C361D"/>
    <w:rsid w:val="007C4B84"/>
    <w:rsid w:val="007C5227"/>
    <w:rsid w:val="007C5453"/>
    <w:rsid w:val="007C70FF"/>
    <w:rsid w:val="007C7C25"/>
    <w:rsid w:val="007D004F"/>
    <w:rsid w:val="007D0B38"/>
    <w:rsid w:val="007D0E8E"/>
    <w:rsid w:val="007D0F3D"/>
    <w:rsid w:val="007D229A"/>
    <w:rsid w:val="007D5440"/>
    <w:rsid w:val="007D69EB"/>
    <w:rsid w:val="007D7308"/>
    <w:rsid w:val="007D7759"/>
    <w:rsid w:val="007E128F"/>
    <w:rsid w:val="007E5919"/>
    <w:rsid w:val="007E7A2C"/>
    <w:rsid w:val="007F1017"/>
    <w:rsid w:val="007F1E8D"/>
    <w:rsid w:val="007F1F18"/>
    <w:rsid w:val="007F24F3"/>
    <w:rsid w:val="007F2790"/>
    <w:rsid w:val="007F3E2C"/>
    <w:rsid w:val="007F4A3F"/>
    <w:rsid w:val="007F4A61"/>
    <w:rsid w:val="007F5255"/>
    <w:rsid w:val="007F56CC"/>
    <w:rsid w:val="007F61C2"/>
    <w:rsid w:val="008009F0"/>
    <w:rsid w:val="00800A8A"/>
    <w:rsid w:val="0080219C"/>
    <w:rsid w:val="008027F3"/>
    <w:rsid w:val="008033FC"/>
    <w:rsid w:val="008038A4"/>
    <w:rsid w:val="00805142"/>
    <w:rsid w:val="00805FCE"/>
    <w:rsid w:val="008066FD"/>
    <w:rsid w:val="00806A92"/>
    <w:rsid w:val="00807A8B"/>
    <w:rsid w:val="00811320"/>
    <w:rsid w:val="00811383"/>
    <w:rsid w:val="008120F6"/>
    <w:rsid w:val="00812149"/>
    <w:rsid w:val="00812CAC"/>
    <w:rsid w:val="0081357C"/>
    <w:rsid w:val="0081447A"/>
    <w:rsid w:val="00814F18"/>
    <w:rsid w:val="00816361"/>
    <w:rsid w:val="008166EF"/>
    <w:rsid w:val="00816FEF"/>
    <w:rsid w:val="008171E5"/>
    <w:rsid w:val="00820A8C"/>
    <w:rsid w:val="008212DA"/>
    <w:rsid w:val="008215FB"/>
    <w:rsid w:val="008219CE"/>
    <w:rsid w:val="008226C4"/>
    <w:rsid w:val="00823174"/>
    <w:rsid w:val="008236CE"/>
    <w:rsid w:val="00824181"/>
    <w:rsid w:val="0082476D"/>
    <w:rsid w:val="00825751"/>
    <w:rsid w:val="008260BF"/>
    <w:rsid w:val="008264EB"/>
    <w:rsid w:val="00830AA4"/>
    <w:rsid w:val="00833794"/>
    <w:rsid w:val="00833B05"/>
    <w:rsid w:val="00833BFE"/>
    <w:rsid w:val="008355E3"/>
    <w:rsid w:val="008362B4"/>
    <w:rsid w:val="00840CA2"/>
    <w:rsid w:val="00841B6B"/>
    <w:rsid w:val="0084342A"/>
    <w:rsid w:val="0084374F"/>
    <w:rsid w:val="008449A4"/>
    <w:rsid w:val="00844A22"/>
    <w:rsid w:val="0084665E"/>
    <w:rsid w:val="00847703"/>
    <w:rsid w:val="00847DF5"/>
    <w:rsid w:val="0085309D"/>
    <w:rsid w:val="008542D1"/>
    <w:rsid w:val="00855FA7"/>
    <w:rsid w:val="00856897"/>
    <w:rsid w:val="00856E9A"/>
    <w:rsid w:val="00856FFD"/>
    <w:rsid w:val="008573E6"/>
    <w:rsid w:val="0086075D"/>
    <w:rsid w:val="00862502"/>
    <w:rsid w:val="00862CC1"/>
    <w:rsid w:val="0086369D"/>
    <w:rsid w:val="008660D4"/>
    <w:rsid w:val="00866B22"/>
    <w:rsid w:val="00867D27"/>
    <w:rsid w:val="0087040D"/>
    <w:rsid w:val="00871FA9"/>
    <w:rsid w:val="008728E9"/>
    <w:rsid w:val="00872C9B"/>
    <w:rsid w:val="00875DED"/>
    <w:rsid w:val="008760A4"/>
    <w:rsid w:val="0087670A"/>
    <w:rsid w:val="00882874"/>
    <w:rsid w:val="00882E3C"/>
    <w:rsid w:val="00883787"/>
    <w:rsid w:val="008855E4"/>
    <w:rsid w:val="0088575A"/>
    <w:rsid w:val="00886790"/>
    <w:rsid w:val="00886CD2"/>
    <w:rsid w:val="00891E6F"/>
    <w:rsid w:val="0089275D"/>
    <w:rsid w:val="00892A36"/>
    <w:rsid w:val="008930C0"/>
    <w:rsid w:val="00893239"/>
    <w:rsid w:val="008943A5"/>
    <w:rsid w:val="00894489"/>
    <w:rsid w:val="0089502F"/>
    <w:rsid w:val="008963A5"/>
    <w:rsid w:val="0089669A"/>
    <w:rsid w:val="00896D5D"/>
    <w:rsid w:val="008A2826"/>
    <w:rsid w:val="008A3023"/>
    <w:rsid w:val="008A3363"/>
    <w:rsid w:val="008A3371"/>
    <w:rsid w:val="008A3C3E"/>
    <w:rsid w:val="008A79DE"/>
    <w:rsid w:val="008B0422"/>
    <w:rsid w:val="008B0F29"/>
    <w:rsid w:val="008B14D2"/>
    <w:rsid w:val="008B1757"/>
    <w:rsid w:val="008B3086"/>
    <w:rsid w:val="008B398D"/>
    <w:rsid w:val="008B61D0"/>
    <w:rsid w:val="008B6F21"/>
    <w:rsid w:val="008B7992"/>
    <w:rsid w:val="008B7D7E"/>
    <w:rsid w:val="008C0BFB"/>
    <w:rsid w:val="008C1322"/>
    <w:rsid w:val="008C1853"/>
    <w:rsid w:val="008C55FC"/>
    <w:rsid w:val="008C5610"/>
    <w:rsid w:val="008C5739"/>
    <w:rsid w:val="008C5E90"/>
    <w:rsid w:val="008C69C7"/>
    <w:rsid w:val="008C74B9"/>
    <w:rsid w:val="008C7ECB"/>
    <w:rsid w:val="008D0E91"/>
    <w:rsid w:val="008D2407"/>
    <w:rsid w:val="008D2651"/>
    <w:rsid w:val="008D3B86"/>
    <w:rsid w:val="008D4755"/>
    <w:rsid w:val="008D4863"/>
    <w:rsid w:val="008D4C3D"/>
    <w:rsid w:val="008D4D26"/>
    <w:rsid w:val="008D6518"/>
    <w:rsid w:val="008D66DF"/>
    <w:rsid w:val="008D7160"/>
    <w:rsid w:val="008D743C"/>
    <w:rsid w:val="008E099F"/>
    <w:rsid w:val="008E0D3C"/>
    <w:rsid w:val="008E1B9E"/>
    <w:rsid w:val="008E2774"/>
    <w:rsid w:val="008E55AB"/>
    <w:rsid w:val="008E5F39"/>
    <w:rsid w:val="008E7B57"/>
    <w:rsid w:val="008E7F19"/>
    <w:rsid w:val="008F120A"/>
    <w:rsid w:val="008F17AF"/>
    <w:rsid w:val="008F27E0"/>
    <w:rsid w:val="008F3577"/>
    <w:rsid w:val="008F3F38"/>
    <w:rsid w:val="008F48EB"/>
    <w:rsid w:val="008F4F0B"/>
    <w:rsid w:val="008F5836"/>
    <w:rsid w:val="00900E30"/>
    <w:rsid w:val="00902120"/>
    <w:rsid w:val="00903995"/>
    <w:rsid w:val="00903BB1"/>
    <w:rsid w:val="009046C4"/>
    <w:rsid w:val="00904A30"/>
    <w:rsid w:val="0090523E"/>
    <w:rsid w:val="00905D63"/>
    <w:rsid w:val="009062A5"/>
    <w:rsid w:val="00906581"/>
    <w:rsid w:val="0091092A"/>
    <w:rsid w:val="00910FA7"/>
    <w:rsid w:val="00911272"/>
    <w:rsid w:val="00911A67"/>
    <w:rsid w:val="009135D6"/>
    <w:rsid w:val="00914C77"/>
    <w:rsid w:val="00914D6B"/>
    <w:rsid w:val="009155F4"/>
    <w:rsid w:val="00915D6A"/>
    <w:rsid w:val="00921863"/>
    <w:rsid w:val="00921ACB"/>
    <w:rsid w:val="0092369B"/>
    <w:rsid w:val="009265DE"/>
    <w:rsid w:val="00933483"/>
    <w:rsid w:val="00933D93"/>
    <w:rsid w:val="00934136"/>
    <w:rsid w:val="0093469C"/>
    <w:rsid w:val="00934988"/>
    <w:rsid w:val="00935D41"/>
    <w:rsid w:val="00937089"/>
    <w:rsid w:val="00941060"/>
    <w:rsid w:val="00941379"/>
    <w:rsid w:val="009434AA"/>
    <w:rsid w:val="009438F5"/>
    <w:rsid w:val="00943AF6"/>
    <w:rsid w:val="00944F8A"/>
    <w:rsid w:val="00945EE2"/>
    <w:rsid w:val="00946A89"/>
    <w:rsid w:val="00947770"/>
    <w:rsid w:val="009510A2"/>
    <w:rsid w:val="00951521"/>
    <w:rsid w:val="00951836"/>
    <w:rsid w:val="009528DC"/>
    <w:rsid w:val="00952A44"/>
    <w:rsid w:val="00953257"/>
    <w:rsid w:val="0095377B"/>
    <w:rsid w:val="00953D58"/>
    <w:rsid w:val="00953EFA"/>
    <w:rsid w:val="0095474C"/>
    <w:rsid w:val="00956168"/>
    <w:rsid w:val="0095743F"/>
    <w:rsid w:val="00960C6C"/>
    <w:rsid w:val="00962CB9"/>
    <w:rsid w:val="0096356A"/>
    <w:rsid w:val="00963B79"/>
    <w:rsid w:val="00964312"/>
    <w:rsid w:val="00965B8A"/>
    <w:rsid w:val="0097071F"/>
    <w:rsid w:val="00970B5E"/>
    <w:rsid w:val="009717AC"/>
    <w:rsid w:val="00972B70"/>
    <w:rsid w:val="0097342D"/>
    <w:rsid w:val="0097384D"/>
    <w:rsid w:val="009751C1"/>
    <w:rsid w:val="00976C01"/>
    <w:rsid w:val="00976EAC"/>
    <w:rsid w:val="0097779A"/>
    <w:rsid w:val="00980E40"/>
    <w:rsid w:val="009811F1"/>
    <w:rsid w:val="0098156F"/>
    <w:rsid w:val="0098182E"/>
    <w:rsid w:val="00981A56"/>
    <w:rsid w:val="00981CC7"/>
    <w:rsid w:val="00982B7C"/>
    <w:rsid w:val="00983D84"/>
    <w:rsid w:val="00983E57"/>
    <w:rsid w:val="00985521"/>
    <w:rsid w:val="00985DE2"/>
    <w:rsid w:val="0098675D"/>
    <w:rsid w:val="009911CD"/>
    <w:rsid w:val="009926E0"/>
    <w:rsid w:val="00993BFE"/>
    <w:rsid w:val="009943C9"/>
    <w:rsid w:val="0099451E"/>
    <w:rsid w:val="009947DF"/>
    <w:rsid w:val="00996B1A"/>
    <w:rsid w:val="009A0944"/>
    <w:rsid w:val="009A24BF"/>
    <w:rsid w:val="009A2839"/>
    <w:rsid w:val="009A2DCC"/>
    <w:rsid w:val="009A32AE"/>
    <w:rsid w:val="009A4567"/>
    <w:rsid w:val="009A5ABC"/>
    <w:rsid w:val="009A662E"/>
    <w:rsid w:val="009A7722"/>
    <w:rsid w:val="009A7F10"/>
    <w:rsid w:val="009B0C76"/>
    <w:rsid w:val="009B10B0"/>
    <w:rsid w:val="009B12C0"/>
    <w:rsid w:val="009B3E22"/>
    <w:rsid w:val="009B3E26"/>
    <w:rsid w:val="009B43CB"/>
    <w:rsid w:val="009B5B0F"/>
    <w:rsid w:val="009B5BFE"/>
    <w:rsid w:val="009B60C9"/>
    <w:rsid w:val="009B6B06"/>
    <w:rsid w:val="009C0996"/>
    <w:rsid w:val="009C16AF"/>
    <w:rsid w:val="009C1E78"/>
    <w:rsid w:val="009C30C6"/>
    <w:rsid w:val="009C3706"/>
    <w:rsid w:val="009C3A3A"/>
    <w:rsid w:val="009C6CEA"/>
    <w:rsid w:val="009C78A5"/>
    <w:rsid w:val="009C7B85"/>
    <w:rsid w:val="009D0254"/>
    <w:rsid w:val="009D1A64"/>
    <w:rsid w:val="009D3EDF"/>
    <w:rsid w:val="009D5609"/>
    <w:rsid w:val="009D5B91"/>
    <w:rsid w:val="009D792E"/>
    <w:rsid w:val="009E0DFE"/>
    <w:rsid w:val="009E31F6"/>
    <w:rsid w:val="009E3DB5"/>
    <w:rsid w:val="009E44C3"/>
    <w:rsid w:val="009E4C07"/>
    <w:rsid w:val="009E4F08"/>
    <w:rsid w:val="009E5AA1"/>
    <w:rsid w:val="009E60E4"/>
    <w:rsid w:val="009E6D11"/>
    <w:rsid w:val="009F08A1"/>
    <w:rsid w:val="009F14D1"/>
    <w:rsid w:val="009F212B"/>
    <w:rsid w:val="009F5008"/>
    <w:rsid w:val="009F7536"/>
    <w:rsid w:val="00A01184"/>
    <w:rsid w:val="00A023BA"/>
    <w:rsid w:val="00A02453"/>
    <w:rsid w:val="00A037C2"/>
    <w:rsid w:val="00A03D43"/>
    <w:rsid w:val="00A04380"/>
    <w:rsid w:val="00A05472"/>
    <w:rsid w:val="00A05C32"/>
    <w:rsid w:val="00A0653F"/>
    <w:rsid w:val="00A066F0"/>
    <w:rsid w:val="00A10433"/>
    <w:rsid w:val="00A10910"/>
    <w:rsid w:val="00A11CD0"/>
    <w:rsid w:val="00A11EA6"/>
    <w:rsid w:val="00A134EC"/>
    <w:rsid w:val="00A13948"/>
    <w:rsid w:val="00A14266"/>
    <w:rsid w:val="00A14915"/>
    <w:rsid w:val="00A1555B"/>
    <w:rsid w:val="00A155C5"/>
    <w:rsid w:val="00A16AD8"/>
    <w:rsid w:val="00A21495"/>
    <w:rsid w:val="00A21C95"/>
    <w:rsid w:val="00A21CF2"/>
    <w:rsid w:val="00A21CF3"/>
    <w:rsid w:val="00A24813"/>
    <w:rsid w:val="00A261A6"/>
    <w:rsid w:val="00A27AEC"/>
    <w:rsid w:val="00A27C8B"/>
    <w:rsid w:val="00A320DB"/>
    <w:rsid w:val="00A32255"/>
    <w:rsid w:val="00A34B3E"/>
    <w:rsid w:val="00A35D16"/>
    <w:rsid w:val="00A36707"/>
    <w:rsid w:val="00A371D9"/>
    <w:rsid w:val="00A37BCD"/>
    <w:rsid w:val="00A4135B"/>
    <w:rsid w:val="00A41689"/>
    <w:rsid w:val="00A4235D"/>
    <w:rsid w:val="00A42592"/>
    <w:rsid w:val="00A436C0"/>
    <w:rsid w:val="00A43A47"/>
    <w:rsid w:val="00A43B8A"/>
    <w:rsid w:val="00A43C59"/>
    <w:rsid w:val="00A45CF9"/>
    <w:rsid w:val="00A5010A"/>
    <w:rsid w:val="00A50ECD"/>
    <w:rsid w:val="00A5177A"/>
    <w:rsid w:val="00A518F3"/>
    <w:rsid w:val="00A52729"/>
    <w:rsid w:val="00A53675"/>
    <w:rsid w:val="00A564D7"/>
    <w:rsid w:val="00A56B6A"/>
    <w:rsid w:val="00A578DC"/>
    <w:rsid w:val="00A57FBE"/>
    <w:rsid w:val="00A623A1"/>
    <w:rsid w:val="00A6399E"/>
    <w:rsid w:val="00A640E2"/>
    <w:rsid w:val="00A64D65"/>
    <w:rsid w:val="00A64E3A"/>
    <w:rsid w:val="00A65DA7"/>
    <w:rsid w:val="00A6725B"/>
    <w:rsid w:val="00A70605"/>
    <w:rsid w:val="00A71363"/>
    <w:rsid w:val="00A72F79"/>
    <w:rsid w:val="00A73134"/>
    <w:rsid w:val="00A7383D"/>
    <w:rsid w:val="00A742CF"/>
    <w:rsid w:val="00A748FF"/>
    <w:rsid w:val="00A76001"/>
    <w:rsid w:val="00A777B2"/>
    <w:rsid w:val="00A81B3E"/>
    <w:rsid w:val="00A825D4"/>
    <w:rsid w:val="00A828F6"/>
    <w:rsid w:val="00A82B73"/>
    <w:rsid w:val="00A848E7"/>
    <w:rsid w:val="00A8685D"/>
    <w:rsid w:val="00A86E8B"/>
    <w:rsid w:val="00A87164"/>
    <w:rsid w:val="00A87445"/>
    <w:rsid w:val="00A90B07"/>
    <w:rsid w:val="00A93072"/>
    <w:rsid w:val="00A938BD"/>
    <w:rsid w:val="00A93953"/>
    <w:rsid w:val="00A950B6"/>
    <w:rsid w:val="00A959D8"/>
    <w:rsid w:val="00AA113D"/>
    <w:rsid w:val="00AA480C"/>
    <w:rsid w:val="00AA6BD5"/>
    <w:rsid w:val="00AA6BD8"/>
    <w:rsid w:val="00AA6C7D"/>
    <w:rsid w:val="00AA73BF"/>
    <w:rsid w:val="00AA7FD6"/>
    <w:rsid w:val="00AB042A"/>
    <w:rsid w:val="00AB06F2"/>
    <w:rsid w:val="00AB19EF"/>
    <w:rsid w:val="00AB2D34"/>
    <w:rsid w:val="00AB315E"/>
    <w:rsid w:val="00AB3430"/>
    <w:rsid w:val="00AB36CF"/>
    <w:rsid w:val="00AB37B9"/>
    <w:rsid w:val="00AB45EB"/>
    <w:rsid w:val="00AB4AD1"/>
    <w:rsid w:val="00AB54E9"/>
    <w:rsid w:val="00AB5E07"/>
    <w:rsid w:val="00AB7CFA"/>
    <w:rsid w:val="00AC13B6"/>
    <w:rsid w:val="00AC19D2"/>
    <w:rsid w:val="00AC28F5"/>
    <w:rsid w:val="00AC3A02"/>
    <w:rsid w:val="00AC462E"/>
    <w:rsid w:val="00AC5AA6"/>
    <w:rsid w:val="00AC5B48"/>
    <w:rsid w:val="00AC6699"/>
    <w:rsid w:val="00AD1450"/>
    <w:rsid w:val="00AD2888"/>
    <w:rsid w:val="00AD44A7"/>
    <w:rsid w:val="00AD6502"/>
    <w:rsid w:val="00AD6F8B"/>
    <w:rsid w:val="00AD7372"/>
    <w:rsid w:val="00AE0695"/>
    <w:rsid w:val="00AE0E86"/>
    <w:rsid w:val="00AE0FFA"/>
    <w:rsid w:val="00AE3BC0"/>
    <w:rsid w:val="00AE3E7E"/>
    <w:rsid w:val="00AE5D5A"/>
    <w:rsid w:val="00AE6FA6"/>
    <w:rsid w:val="00AF005D"/>
    <w:rsid w:val="00AF1315"/>
    <w:rsid w:val="00AF19BF"/>
    <w:rsid w:val="00AF2DC3"/>
    <w:rsid w:val="00AF33A5"/>
    <w:rsid w:val="00AF3B7D"/>
    <w:rsid w:val="00AF3EE0"/>
    <w:rsid w:val="00AF54C2"/>
    <w:rsid w:val="00B00354"/>
    <w:rsid w:val="00B025BE"/>
    <w:rsid w:val="00B028F9"/>
    <w:rsid w:val="00B033E5"/>
    <w:rsid w:val="00B03A63"/>
    <w:rsid w:val="00B06C5D"/>
    <w:rsid w:val="00B06D78"/>
    <w:rsid w:val="00B074D8"/>
    <w:rsid w:val="00B11CE7"/>
    <w:rsid w:val="00B12B8A"/>
    <w:rsid w:val="00B13FD9"/>
    <w:rsid w:val="00B176F2"/>
    <w:rsid w:val="00B201A4"/>
    <w:rsid w:val="00B201D1"/>
    <w:rsid w:val="00B213A6"/>
    <w:rsid w:val="00B216A8"/>
    <w:rsid w:val="00B230EC"/>
    <w:rsid w:val="00B235B0"/>
    <w:rsid w:val="00B24D41"/>
    <w:rsid w:val="00B24DF6"/>
    <w:rsid w:val="00B264BA"/>
    <w:rsid w:val="00B310DE"/>
    <w:rsid w:val="00B33778"/>
    <w:rsid w:val="00B34FE2"/>
    <w:rsid w:val="00B35166"/>
    <w:rsid w:val="00B357D8"/>
    <w:rsid w:val="00B360F4"/>
    <w:rsid w:val="00B36A00"/>
    <w:rsid w:val="00B37A5C"/>
    <w:rsid w:val="00B37BFC"/>
    <w:rsid w:val="00B40358"/>
    <w:rsid w:val="00B41614"/>
    <w:rsid w:val="00B42437"/>
    <w:rsid w:val="00B42851"/>
    <w:rsid w:val="00B42BDD"/>
    <w:rsid w:val="00B42F80"/>
    <w:rsid w:val="00B435CB"/>
    <w:rsid w:val="00B46B76"/>
    <w:rsid w:val="00B47805"/>
    <w:rsid w:val="00B50374"/>
    <w:rsid w:val="00B505C8"/>
    <w:rsid w:val="00B50DB8"/>
    <w:rsid w:val="00B53654"/>
    <w:rsid w:val="00B53905"/>
    <w:rsid w:val="00B54B5B"/>
    <w:rsid w:val="00B5562E"/>
    <w:rsid w:val="00B55D65"/>
    <w:rsid w:val="00B56F33"/>
    <w:rsid w:val="00B57000"/>
    <w:rsid w:val="00B60939"/>
    <w:rsid w:val="00B60AFD"/>
    <w:rsid w:val="00B62715"/>
    <w:rsid w:val="00B62749"/>
    <w:rsid w:val="00B62F20"/>
    <w:rsid w:val="00B65611"/>
    <w:rsid w:val="00B65DC3"/>
    <w:rsid w:val="00B70E8E"/>
    <w:rsid w:val="00B718B3"/>
    <w:rsid w:val="00B73497"/>
    <w:rsid w:val="00B73E0D"/>
    <w:rsid w:val="00B74F65"/>
    <w:rsid w:val="00B769FD"/>
    <w:rsid w:val="00B76C92"/>
    <w:rsid w:val="00B774B5"/>
    <w:rsid w:val="00B779ED"/>
    <w:rsid w:val="00B80021"/>
    <w:rsid w:val="00B81129"/>
    <w:rsid w:val="00B81584"/>
    <w:rsid w:val="00B818A4"/>
    <w:rsid w:val="00B826A9"/>
    <w:rsid w:val="00B84072"/>
    <w:rsid w:val="00B84117"/>
    <w:rsid w:val="00B85039"/>
    <w:rsid w:val="00B858F0"/>
    <w:rsid w:val="00B85AA2"/>
    <w:rsid w:val="00B85C19"/>
    <w:rsid w:val="00B86478"/>
    <w:rsid w:val="00B8649C"/>
    <w:rsid w:val="00B864D0"/>
    <w:rsid w:val="00B867FB"/>
    <w:rsid w:val="00B8695D"/>
    <w:rsid w:val="00B86C92"/>
    <w:rsid w:val="00B87F0A"/>
    <w:rsid w:val="00B914DF"/>
    <w:rsid w:val="00B92D0B"/>
    <w:rsid w:val="00B9338E"/>
    <w:rsid w:val="00B94945"/>
    <w:rsid w:val="00B94DD6"/>
    <w:rsid w:val="00BA1958"/>
    <w:rsid w:val="00BA19AC"/>
    <w:rsid w:val="00BA2197"/>
    <w:rsid w:val="00BA322D"/>
    <w:rsid w:val="00BA5122"/>
    <w:rsid w:val="00BA5C73"/>
    <w:rsid w:val="00BA5E1F"/>
    <w:rsid w:val="00BA63FA"/>
    <w:rsid w:val="00BB00B3"/>
    <w:rsid w:val="00BB0BDD"/>
    <w:rsid w:val="00BB176C"/>
    <w:rsid w:val="00BB18A0"/>
    <w:rsid w:val="00BB1C2E"/>
    <w:rsid w:val="00BB2A73"/>
    <w:rsid w:val="00BB2E94"/>
    <w:rsid w:val="00BB3326"/>
    <w:rsid w:val="00BB3A45"/>
    <w:rsid w:val="00BB3B2B"/>
    <w:rsid w:val="00BB4ACC"/>
    <w:rsid w:val="00BB560E"/>
    <w:rsid w:val="00BB68B0"/>
    <w:rsid w:val="00BB703E"/>
    <w:rsid w:val="00BB732D"/>
    <w:rsid w:val="00BB7405"/>
    <w:rsid w:val="00BC035C"/>
    <w:rsid w:val="00BC0D6E"/>
    <w:rsid w:val="00BC338A"/>
    <w:rsid w:val="00BC3631"/>
    <w:rsid w:val="00BC3725"/>
    <w:rsid w:val="00BC591F"/>
    <w:rsid w:val="00BC7D6D"/>
    <w:rsid w:val="00BD2108"/>
    <w:rsid w:val="00BD3EDE"/>
    <w:rsid w:val="00BD55C6"/>
    <w:rsid w:val="00BD68A3"/>
    <w:rsid w:val="00BD6938"/>
    <w:rsid w:val="00BD6CF3"/>
    <w:rsid w:val="00BE06EB"/>
    <w:rsid w:val="00BE0ECA"/>
    <w:rsid w:val="00BE1041"/>
    <w:rsid w:val="00BE2180"/>
    <w:rsid w:val="00BE21F2"/>
    <w:rsid w:val="00BE4275"/>
    <w:rsid w:val="00BE6A8D"/>
    <w:rsid w:val="00BE7784"/>
    <w:rsid w:val="00BF06AE"/>
    <w:rsid w:val="00BF0C96"/>
    <w:rsid w:val="00BF0F95"/>
    <w:rsid w:val="00BF2433"/>
    <w:rsid w:val="00BF3223"/>
    <w:rsid w:val="00BF342A"/>
    <w:rsid w:val="00BF3E0B"/>
    <w:rsid w:val="00BF49CB"/>
    <w:rsid w:val="00BF61C9"/>
    <w:rsid w:val="00BF6C94"/>
    <w:rsid w:val="00C00424"/>
    <w:rsid w:val="00C02E01"/>
    <w:rsid w:val="00C03CC8"/>
    <w:rsid w:val="00C047A9"/>
    <w:rsid w:val="00C06722"/>
    <w:rsid w:val="00C0792A"/>
    <w:rsid w:val="00C10340"/>
    <w:rsid w:val="00C105AD"/>
    <w:rsid w:val="00C105DA"/>
    <w:rsid w:val="00C1179F"/>
    <w:rsid w:val="00C12C14"/>
    <w:rsid w:val="00C142A3"/>
    <w:rsid w:val="00C15855"/>
    <w:rsid w:val="00C15F04"/>
    <w:rsid w:val="00C16025"/>
    <w:rsid w:val="00C16C91"/>
    <w:rsid w:val="00C16EF6"/>
    <w:rsid w:val="00C179B3"/>
    <w:rsid w:val="00C17E3F"/>
    <w:rsid w:val="00C200AA"/>
    <w:rsid w:val="00C237ED"/>
    <w:rsid w:val="00C24090"/>
    <w:rsid w:val="00C24632"/>
    <w:rsid w:val="00C25418"/>
    <w:rsid w:val="00C25D9C"/>
    <w:rsid w:val="00C2778B"/>
    <w:rsid w:val="00C27E3E"/>
    <w:rsid w:val="00C31649"/>
    <w:rsid w:val="00C318F1"/>
    <w:rsid w:val="00C342D6"/>
    <w:rsid w:val="00C3434C"/>
    <w:rsid w:val="00C34690"/>
    <w:rsid w:val="00C358D6"/>
    <w:rsid w:val="00C35F58"/>
    <w:rsid w:val="00C35FDC"/>
    <w:rsid w:val="00C36FDC"/>
    <w:rsid w:val="00C37A70"/>
    <w:rsid w:val="00C40385"/>
    <w:rsid w:val="00C40AC2"/>
    <w:rsid w:val="00C41768"/>
    <w:rsid w:val="00C42DBD"/>
    <w:rsid w:val="00C45A8A"/>
    <w:rsid w:val="00C46E44"/>
    <w:rsid w:val="00C475AA"/>
    <w:rsid w:val="00C50380"/>
    <w:rsid w:val="00C51082"/>
    <w:rsid w:val="00C52D7D"/>
    <w:rsid w:val="00C53C98"/>
    <w:rsid w:val="00C5531C"/>
    <w:rsid w:val="00C56E6B"/>
    <w:rsid w:val="00C56FBD"/>
    <w:rsid w:val="00C56FCF"/>
    <w:rsid w:val="00C57B6C"/>
    <w:rsid w:val="00C61EAB"/>
    <w:rsid w:val="00C628A6"/>
    <w:rsid w:val="00C64344"/>
    <w:rsid w:val="00C65108"/>
    <w:rsid w:val="00C6521D"/>
    <w:rsid w:val="00C65576"/>
    <w:rsid w:val="00C658B4"/>
    <w:rsid w:val="00C65D44"/>
    <w:rsid w:val="00C66148"/>
    <w:rsid w:val="00C66165"/>
    <w:rsid w:val="00C70183"/>
    <w:rsid w:val="00C7060A"/>
    <w:rsid w:val="00C70A03"/>
    <w:rsid w:val="00C7151A"/>
    <w:rsid w:val="00C717E3"/>
    <w:rsid w:val="00C71B52"/>
    <w:rsid w:val="00C71F60"/>
    <w:rsid w:val="00C72241"/>
    <w:rsid w:val="00C72AA3"/>
    <w:rsid w:val="00C74D37"/>
    <w:rsid w:val="00C750C8"/>
    <w:rsid w:val="00C7560F"/>
    <w:rsid w:val="00C77320"/>
    <w:rsid w:val="00C80A0E"/>
    <w:rsid w:val="00C8213F"/>
    <w:rsid w:val="00C831C3"/>
    <w:rsid w:val="00C84E59"/>
    <w:rsid w:val="00C85154"/>
    <w:rsid w:val="00C857AD"/>
    <w:rsid w:val="00C85EA4"/>
    <w:rsid w:val="00C86BD2"/>
    <w:rsid w:val="00C86CBE"/>
    <w:rsid w:val="00C8797A"/>
    <w:rsid w:val="00C900B8"/>
    <w:rsid w:val="00C90C71"/>
    <w:rsid w:val="00C91FD1"/>
    <w:rsid w:val="00C931CF"/>
    <w:rsid w:val="00C938CF"/>
    <w:rsid w:val="00C94053"/>
    <w:rsid w:val="00C94EE6"/>
    <w:rsid w:val="00C951F0"/>
    <w:rsid w:val="00C95A05"/>
    <w:rsid w:val="00C9624D"/>
    <w:rsid w:val="00C96285"/>
    <w:rsid w:val="00C9661F"/>
    <w:rsid w:val="00C969DA"/>
    <w:rsid w:val="00C97565"/>
    <w:rsid w:val="00CA018D"/>
    <w:rsid w:val="00CA233B"/>
    <w:rsid w:val="00CA2C77"/>
    <w:rsid w:val="00CA31AB"/>
    <w:rsid w:val="00CA444F"/>
    <w:rsid w:val="00CA5245"/>
    <w:rsid w:val="00CA6C99"/>
    <w:rsid w:val="00CA71F4"/>
    <w:rsid w:val="00CA7B09"/>
    <w:rsid w:val="00CB121E"/>
    <w:rsid w:val="00CB12A5"/>
    <w:rsid w:val="00CB1CAC"/>
    <w:rsid w:val="00CB2F2A"/>
    <w:rsid w:val="00CB56A6"/>
    <w:rsid w:val="00CB5753"/>
    <w:rsid w:val="00CB5B1A"/>
    <w:rsid w:val="00CB5C01"/>
    <w:rsid w:val="00CB5D4F"/>
    <w:rsid w:val="00CB6B22"/>
    <w:rsid w:val="00CB7EED"/>
    <w:rsid w:val="00CB7F5F"/>
    <w:rsid w:val="00CC093A"/>
    <w:rsid w:val="00CC0B14"/>
    <w:rsid w:val="00CC1B39"/>
    <w:rsid w:val="00CC1B8C"/>
    <w:rsid w:val="00CC2970"/>
    <w:rsid w:val="00CC35EA"/>
    <w:rsid w:val="00CC3848"/>
    <w:rsid w:val="00CC4DE4"/>
    <w:rsid w:val="00CC7178"/>
    <w:rsid w:val="00CD15F0"/>
    <w:rsid w:val="00CD1E6E"/>
    <w:rsid w:val="00CD363C"/>
    <w:rsid w:val="00CD3F77"/>
    <w:rsid w:val="00CD40E2"/>
    <w:rsid w:val="00CD460C"/>
    <w:rsid w:val="00CD54A3"/>
    <w:rsid w:val="00CD5AA5"/>
    <w:rsid w:val="00CD6ADC"/>
    <w:rsid w:val="00CD7193"/>
    <w:rsid w:val="00CE1AF9"/>
    <w:rsid w:val="00CE2D29"/>
    <w:rsid w:val="00CE38C8"/>
    <w:rsid w:val="00CE38CA"/>
    <w:rsid w:val="00CE4057"/>
    <w:rsid w:val="00CE6274"/>
    <w:rsid w:val="00CE77B6"/>
    <w:rsid w:val="00CF26D2"/>
    <w:rsid w:val="00CF2B8D"/>
    <w:rsid w:val="00CF44E8"/>
    <w:rsid w:val="00CF456B"/>
    <w:rsid w:val="00CF496E"/>
    <w:rsid w:val="00CF5A22"/>
    <w:rsid w:val="00CF5F10"/>
    <w:rsid w:val="00CF6B9E"/>
    <w:rsid w:val="00D002E3"/>
    <w:rsid w:val="00D0034E"/>
    <w:rsid w:val="00D023D6"/>
    <w:rsid w:val="00D0262E"/>
    <w:rsid w:val="00D02B42"/>
    <w:rsid w:val="00D05E3D"/>
    <w:rsid w:val="00D06139"/>
    <w:rsid w:val="00D110BD"/>
    <w:rsid w:val="00D12336"/>
    <w:rsid w:val="00D12708"/>
    <w:rsid w:val="00D13675"/>
    <w:rsid w:val="00D141E1"/>
    <w:rsid w:val="00D15314"/>
    <w:rsid w:val="00D1683E"/>
    <w:rsid w:val="00D16F7D"/>
    <w:rsid w:val="00D17C7F"/>
    <w:rsid w:val="00D17D6C"/>
    <w:rsid w:val="00D2155B"/>
    <w:rsid w:val="00D22B98"/>
    <w:rsid w:val="00D23D11"/>
    <w:rsid w:val="00D23EDD"/>
    <w:rsid w:val="00D24154"/>
    <w:rsid w:val="00D244B6"/>
    <w:rsid w:val="00D2479C"/>
    <w:rsid w:val="00D25D30"/>
    <w:rsid w:val="00D2754D"/>
    <w:rsid w:val="00D27B27"/>
    <w:rsid w:val="00D27D93"/>
    <w:rsid w:val="00D33BE9"/>
    <w:rsid w:val="00D33F93"/>
    <w:rsid w:val="00D357FF"/>
    <w:rsid w:val="00D35881"/>
    <w:rsid w:val="00D37663"/>
    <w:rsid w:val="00D40DF5"/>
    <w:rsid w:val="00D41F04"/>
    <w:rsid w:val="00D424C7"/>
    <w:rsid w:val="00D42AC0"/>
    <w:rsid w:val="00D42C0B"/>
    <w:rsid w:val="00D42DA2"/>
    <w:rsid w:val="00D43B2A"/>
    <w:rsid w:val="00D43D83"/>
    <w:rsid w:val="00D4538C"/>
    <w:rsid w:val="00D47575"/>
    <w:rsid w:val="00D50C28"/>
    <w:rsid w:val="00D51C43"/>
    <w:rsid w:val="00D5243B"/>
    <w:rsid w:val="00D525FE"/>
    <w:rsid w:val="00D5267F"/>
    <w:rsid w:val="00D526B2"/>
    <w:rsid w:val="00D533EC"/>
    <w:rsid w:val="00D56A95"/>
    <w:rsid w:val="00D57C1C"/>
    <w:rsid w:val="00D62775"/>
    <w:rsid w:val="00D62E2F"/>
    <w:rsid w:val="00D62EF8"/>
    <w:rsid w:val="00D67616"/>
    <w:rsid w:val="00D67FD5"/>
    <w:rsid w:val="00D70F16"/>
    <w:rsid w:val="00D72F57"/>
    <w:rsid w:val="00D74BB6"/>
    <w:rsid w:val="00D74D3D"/>
    <w:rsid w:val="00D7644B"/>
    <w:rsid w:val="00D76A44"/>
    <w:rsid w:val="00D77976"/>
    <w:rsid w:val="00D77FBF"/>
    <w:rsid w:val="00D80049"/>
    <w:rsid w:val="00D815EF"/>
    <w:rsid w:val="00D81F26"/>
    <w:rsid w:val="00D82BA5"/>
    <w:rsid w:val="00D8483F"/>
    <w:rsid w:val="00D84ABE"/>
    <w:rsid w:val="00D859D1"/>
    <w:rsid w:val="00D86231"/>
    <w:rsid w:val="00D91923"/>
    <w:rsid w:val="00D927CA"/>
    <w:rsid w:val="00D93753"/>
    <w:rsid w:val="00D93CDE"/>
    <w:rsid w:val="00D9474A"/>
    <w:rsid w:val="00D94CB0"/>
    <w:rsid w:val="00D94E64"/>
    <w:rsid w:val="00D975B3"/>
    <w:rsid w:val="00DA3167"/>
    <w:rsid w:val="00DA4DC3"/>
    <w:rsid w:val="00DA77A5"/>
    <w:rsid w:val="00DB263D"/>
    <w:rsid w:val="00DB3DBF"/>
    <w:rsid w:val="00DB453D"/>
    <w:rsid w:val="00DB484F"/>
    <w:rsid w:val="00DB583E"/>
    <w:rsid w:val="00DB59D7"/>
    <w:rsid w:val="00DB5F78"/>
    <w:rsid w:val="00DB69E2"/>
    <w:rsid w:val="00DB782C"/>
    <w:rsid w:val="00DB7DC3"/>
    <w:rsid w:val="00DC04B7"/>
    <w:rsid w:val="00DC04F6"/>
    <w:rsid w:val="00DC0690"/>
    <w:rsid w:val="00DC0EFD"/>
    <w:rsid w:val="00DC1284"/>
    <w:rsid w:val="00DC1A64"/>
    <w:rsid w:val="00DC1D65"/>
    <w:rsid w:val="00DC389B"/>
    <w:rsid w:val="00DC3C57"/>
    <w:rsid w:val="00DC5501"/>
    <w:rsid w:val="00DC5BAE"/>
    <w:rsid w:val="00DC66A8"/>
    <w:rsid w:val="00DC7154"/>
    <w:rsid w:val="00DC73A7"/>
    <w:rsid w:val="00DC7DD4"/>
    <w:rsid w:val="00DC7E8A"/>
    <w:rsid w:val="00DD0F78"/>
    <w:rsid w:val="00DD273C"/>
    <w:rsid w:val="00DD3F28"/>
    <w:rsid w:val="00DD4537"/>
    <w:rsid w:val="00DD487C"/>
    <w:rsid w:val="00DD4E15"/>
    <w:rsid w:val="00DD69D5"/>
    <w:rsid w:val="00DD6BBE"/>
    <w:rsid w:val="00DE0158"/>
    <w:rsid w:val="00DE2304"/>
    <w:rsid w:val="00DE3138"/>
    <w:rsid w:val="00DE37F8"/>
    <w:rsid w:val="00DE4FCB"/>
    <w:rsid w:val="00DE59E3"/>
    <w:rsid w:val="00DE59E9"/>
    <w:rsid w:val="00DE5D07"/>
    <w:rsid w:val="00DE5FD2"/>
    <w:rsid w:val="00DE703B"/>
    <w:rsid w:val="00DE72A7"/>
    <w:rsid w:val="00DE7832"/>
    <w:rsid w:val="00DF18FC"/>
    <w:rsid w:val="00DF2540"/>
    <w:rsid w:val="00DF2A90"/>
    <w:rsid w:val="00DF55DF"/>
    <w:rsid w:val="00DF5D2B"/>
    <w:rsid w:val="00DF630B"/>
    <w:rsid w:val="00E003F0"/>
    <w:rsid w:val="00E00E8E"/>
    <w:rsid w:val="00E01D12"/>
    <w:rsid w:val="00E03111"/>
    <w:rsid w:val="00E03E29"/>
    <w:rsid w:val="00E041E0"/>
    <w:rsid w:val="00E0447F"/>
    <w:rsid w:val="00E0482A"/>
    <w:rsid w:val="00E05381"/>
    <w:rsid w:val="00E05630"/>
    <w:rsid w:val="00E06DBB"/>
    <w:rsid w:val="00E10149"/>
    <w:rsid w:val="00E10B00"/>
    <w:rsid w:val="00E11340"/>
    <w:rsid w:val="00E122A1"/>
    <w:rsid w:val="00E15A91"/>
    <w:rsid w:val="00E16372"/>
    <w:rsid w:val="00E17C0D"/>
    <w:rsid w:val="00E20E4D"/>
    <w:rsid w:val="00E20ED6"/>
    <w:rsid w:val="00E21358"/>
    <w:rsid w:val="00E21C6D"/>
    <w:rsid w:val="00E2249B"/>
    <w:rsid w:val="00E22A0D"/>
    <w:rsid w:val="00E23D7A"/>
    <w:rsid w:val="00E241A9"/>
    <w:rsid w:val="00E244F6"/>
    <w:rsid w:val="00E24555"/>
    <w:rsid w:val="00E247F1"/>
    <w:rsid w:val="00E26071"/>
    <w:rsid w:val="00E2771E"/>
    <w:rsid w:val="00E311EF"/>
    <w:rsid w:val="00E32180"/>
    <w:rsid w:val="00E34948"/>
    <w:rsid w:val="00E351A3"/>
    <w:rsid w:val="00E36BC2"/>
    <w:rsid w:val="00E37569"/>
    <w:rsid w:val="00E378AD"/>
    <w:rsid w:val="00E401B2"/>
    <w:rsid w:val="00E41E30"/>
    <w:rsid w:val="00E42847"/>
    <w:rsid w:val="00E42F73"/>
    <w:rsid w:val="00E43D70"/>
    <w:rsid w:val="00E466F3"/>
    <w:rsid w:val="00E46FA0"/>
    <w:rsid w:val="00E476CE"/>
    <w:rsid w:val="00E47B2C"/>
    <w:rsid w:val="00E50D04"/>
    <w:rsid w:val="00E51560"/>
    <w:rsid w:val="00E5392B"/>
    <w:rsid w:val="00E53FC8"/>
    <w:rsid w:val="00E54347"/>
    <w:rsid w:val="00E5514F"/>
    <w:rsid w:val="00E55424"/>
    <w:rsid w:val="00E55915"/>
    <w:rsid w:val="00E55BB5"/>
    <w:rsid w:val="00E55F35"/>
    <w:rsid w:val="00E578F2"/>
    <w:rsid w:val="00E60046"/>
    <w:rsid w:val="00E600DF"/>
    <w:rsid w:val="00E60424"/>
    <w:rsid w:val="00E6251C"/>
    <w:rsid w:val="00E6334B"/>
    <w:rsid w:val="00E63871"/>
    <w:rsid w:val="00E63F53"/>
    <w:rsid w:val="00E64894"/>
    <w:rsid w:val="00E65E79"/>
    <w:rsid w:val="00E66BA2"/>
    <w:rsid w:val="00E66BE1"/>
    <w:rsid w:val="00E67416"/>
    <w:rsid w:val="00E705E8"/>
    <w:rsid w:val="00E718B6"/>
    <w:rsid w:val="00E723BA"/>
    <w:rsid w:val="00E732CC"/>
    <w:rsid w:val="00E73581"/>
    <w:rsid w:val="00E74DBA"/>
    <w:rsid w:val="00E803FB"/>
    <w:rsid w:val="00E81D60"/>
    <w:rsid w:val="00E823A6"/>
    <w:rsid w:val="00E8317E"/>
    <w:rsid w:val="00E833F7"/>
    <w:rsid w:val="00E83A8E"/>
    <w:rsid w:val="00E83BDF"/>
    <w:rsid w:val="00E84E74"/>
    <w:rsid w:val="00E85269"/>
    <w:rsid w:val="00E85452"/>
    <w:rsid w:val="00E86D79"/>
    <w:rsid w:val="00E871D4"/>
    <w:rsid w:val="00E878C2"/>
    <w:rsid w:val="00E87A1D"/>
    <w:rsid w:val="00E9001D"/>
    <w:rsid w:val="00E90387"/>
    <w:rsid w:val="00E9094A"/>
    <w:rsid w:val="00E90DE6"/>
    <w:rsid w:val="00E91625"/>
    <w:rsid w:val="00E91820"/>
    <w:rsid w:val="00E91D35"/>
    <w:rsid w:val="00E925CC"/>
    <w:rsid w:val="00E926A5"/>
    <w:rsid w:val="00E92F0E"/>
    <w:rsid w:val="00E93133"/>
    <w:rsid w:val="00E93363"/>
    <w:rsid w:val="00E9403B"/>
    <w:rsid w:val="00E956E3"/>
    <w:rsid w:val="00E96191"/>
    <w:rsid w:val="00E973A5"/>
    <w:rsid w:val="00E97B1E"/>
    <w:rsid w:val="00E97F00"/>
    <w:rsid w:val="00EA095E"/>
    <w:rsid w:val="00EA12B2"/>
    <w:rsid w:val="00EA17C3"/>
    <w:rsid w:val="00EA2072"/>
    <w:rsid w:val="00EA27C2"/>
    <w:rsid w:val="00EA2CAA"/>
    <w:rsid w:val="00EA3864"/>
    <w:rsid w:val="00EA56A2"/>
    <w:rsid w:val="00EA76CA"/>
    <w:rsid w:val="00EA7F1C"/>
    <w:rsid w:val="00EB138E"/>
    <w:rsid w:val="00EB15B6"/>
    <w:rsid w:val="00EB2438"/>
    <w:rsid w:val="00EB3D06"/>
    <w:rsid w:val="00EB4916"/>
    <w:rsid w:val="00EB55B2"/>
    <w:rsid w:val="00EB5F5F"/>
    <w:rsid w:val="00EB6AB5"/>
    <w:rsid w:val="00EB7561"/>
    <w:rsid w:val="00EB7C95"/>
    <w:rsid w:val="00EC00C9"/>
    <w:rsid w:val="00EC0DD9"/>
    <w:rsid w:val="00EC2649"/>
    <w:rsid w:val="00EC2804"/>
    <w:rsid w:val="00EC31ED"/>
    <w:rsid w:val="00EC33D3"/>
    <w:rsid w:val="00EC3BB7"/>
    <w:rsid w:val="00EC5836"/>
    <w:rsid w:val="00EC688C"/>
    <w:rsid w:val="00ED13F2"/>
    <w:rsid w:val="00ED505F"/>
    <w:rsid w:val="00ED57EA"/>
    <w:rsid w:val="00ED5BD4"/>
    <w:rsid w:val="00ED7271"/>
    <w:rsid w:val="00ED7D5F"/>
    <w:rsid w:val="00ED7F29"/>
    <w:rsid w:val="00EE077E"/>
    <w:rsid w:val="00EE07D3"/>
    <w:rsid w:val="00EE1996"/>
    <w:rsid w:val="00EE1C01"/>
    <w:rsid w:val="00EE22AF"/>
    <w:rsid w:val="00EE2D27"/>
    <w:rsid w:val="00EE2E2D"/>
    <w:rsid w:val="00EE57BA"/>
    <w:rsid w:val="00EE605E"/>
    <w:rsid w:val="00EE6787"/>
    <w:rsid w:val="00EE7019"/>
    <w:rsid w:val="00EF0171"/>
    <w:rsid w:val="00EF06E7"/>
    <w:rsid w:val="00EF0D4D"/>
    <w:rsid w:val="00EF1B25"/>
    <w:rsid w:val="00EF1DA0"/>
    <w:rsid w:val="00EF2827"/>
    <w:rsid w:val="00EF463C"/>
    <w:rsid w:val="00EF4747"/>
    <w:rsid w:val="00EF4BF8"/>
    <w:rsid w:val="00EF56FC"/>
    <w:rsid w:val="00EF66CB"/>
    <w:rsid w:val="00F01B60"/>
    <w:rsid w:val="00F01C84"/>
    <w:rsid w:val="00F02253"/>
    <w:rsid w:val="00F03C2E"/>
    <w:rsid w:val="00F04A66"/>
    <w:rsid w:val="00F04B4B"/>
    <w:rsid w:val="00F0516C"/>
    <w:rsid w:val="00F067A2"/>
    <w:rsid w:val="00F07234"/>
    <w:rsid w:val="00F07B9E"/>
    <w:rsid w:val="00F1116F"/>
    <w:rsid w:val="00F11904"/>
    <w:rsid w:val="00F1263A"/>
    <w:rsid w:val="00F15B77"/>
    <w:rsid w:val="00F173ED"/>
    <w:rsid w:val="00F2310F"/>
    <w:rsid w:val="00F24837"/>
    <w:rsid w:val="00F24A46"/>
    <w:rsid w:val="00F2575F"/>
    <w:rsid w:val="00F2624D"/>
    <w:rsid w:val="00F2681E"/>
    <w:rsid w:val="00F27026"/>
    <w:rsid w:val="00F27565"/>
    <w:rsid w:val="00F310D4"/>
    <w:rsid w:val="00F31D5A"/>
    <w:rsid w:val="00F3242D"/>
    <w:rsid w:val="00F33975"/>
    <w:rsid w:val="00F33DE9"/>
    <w:rsid w:val="00F35CF7"/>
    <w:rsid w:val="00F35E6D"/>
    <w:rsid w:val="00F3619A"/>
    <w:rsid w:val="00F363AD"/>
    <w:rsid w:val="00F36412"/>
    <w:rsid w:val="00F36CC7"/>
    <w:rsid w:val="00F40AAA"/>
    <w:rsid w:val="00F40BA7"/>
    <w:rsid w:val="00F40F9D"/>
    <w:rsid w:val="00F41ACD"/>
    <w:rsid w:val="00F426FB"/>
    <w:rsid w:val="00F4347D"/>
    <w:rsid w:val="00F43664"/>
    <w:rsid w:val="00F447AF"/>
    <w:rsid w:val="00F45C79"/>
    <w:rsid w:val="00F46CB6"/>
    <w:rsid w:val="00F4756D"/>
    <w:rsid w:val="00F4766E"/>
    <w:rsid w:val="00F47DE8"/>
    <w:rsid w:val="00F47EA6"/>
    <w:rsid w:val="00F536FB"/>
    <w:rsid w:val="00F536FF"/>
    <w:rsid w:val="00F537B3"/>
    <w:rsid w:val="00F542C1"/>
    <w:rsid w:val="00F54A6D"/>
    <w:rsid w:val="00F54B10"/>
    <w:rsid w:val="00F550AB"/>
    <w:rsid w:val="00F55E73"/>
    <w:rsid w:val="00F55EDA"/>
    <w:rsid w:val="00F56C80"/>
    <w:rsid w:val="00F60092"/>
    <w:rsid w:val="00F60604"/>
    <w:rsid w:val="00F61C18"/>
    <w:rsid w:val="00F62814"/>
    <w:rsid w:val="00F647B5"/>
    <w:rsid w:val="00F65F4B"/>
    <w:rsid w:val="00F67322"/>
    <w:rsid w:val="00F67A69"/>
    <w:rsid w:val="00F67C19"/>
    <w:rsid w:val="00F70956"/>
    <w:rsid w:val="00F70BFF"/>
    <w:rsid w:val="00F70C9D"/>
    <w:rsid w:val="00F731B6"/>
    <w:rsid w:val="00F73F47"/>
    <w:rsid w:val="00F74CD9"/>
    <w:rsid w:val="00F76972"/>
    <w:rsid w:val="00F77196"/>
    <w:rsid w:val="00F8025F"/>
    <w:rsid w:val="00F80A7B"/>
    <w:rsid w:val="00F80E5D"/>
    <w:rsid w:val="00F814BE"/>
    <w:rsid w:val="00F81541"/>
    <w:rsid w:val="00F81E78"/>
    <w:rsid w:val="00F82BA9"/>
    <w:rsid w:val="00F83A9E"/>
    <w:rsid w:val="00F851CE"/>
    <w:rsid w:val="00F91219"/>
    <w:rsid w:val="00F92444"/>
    <w:rsid w:val="00F9393E"/>
    <w:rsid w:val="00F968F7"/>
    <w:rsid w:val="00F96FD0"/>
    <w:rsid w:val="00F97793"/>
    <w:rsid w:val="00F97A78"/>
    <w:rsid w:val="00FA0B20"/>
    <w:rsid w:val="00FA0EE9"/>
    <w:rsid w:val="00FA1FC5"/>
    <w:rsid w:val="00FA24E7"/>
    <w:rsid w:val="00FA2608"/>
    <w:rsid w:val="00FA5EE6"/>
    <w:rsid w:val="00FA7956"/>
    <w:rsid w:val="00FB0F6B"/>
    <w:rsid w:val="00FB2FCB"/>
    <w:rsid w:val="00FB3152"/>
    <w:rsid w:val="00FB4AC9"/>
    <w:rsid w:val="00FB5706"/>
    <w:rsid w:val="00FB72E9"/>
    <w:rsid w:val="00FB774E"/>
    <w:rsid w:val="00FB7C55"/>
    <w:rsid w:val="00FC1074"/>
    <w:rsid w:val="00FC10AB"/>
    <w:rsid w:val="00FC1884"/>
    <w:rsid w:val="00FC2094"/>
    <w:rsid w:val="00FC371D"/>
    <w:rsid w:val="00FC41D1"/>
    <w:rsid w:val="00FC5F0B"/>
    <w:rsid w:val="00FC676E"/>
    <w:rsid w:val="00FC765A"/>
    <w:rsid w:val="00FC766D"/>
    <w:rsid w:val="00FC76D9"/>
    <w:rsid w:val="00FD0C29"/>
    <w:rsid w:val="00FD15EA"/>
    <w:rsid w:val="00FD2100"/>
    <w:rsid w:val="00FD2D01"/>
    <w:rsid w:val="00FD343F"/>
    <w:rsid w:val="00FD4076"/>
    <w:rsid w:val="00FD436C"/>
    <w:rsid w:val="00FD446D"/>
    <w:rsid w:val="00FD4F2C"/>
    <w:rsid w:val="00FD6394"/>
    <w:rsid w:val="00FD6542"/>
    <w:rsid w:val="00FE0E6C"/>
    <w:rsid w:val="00FE1CDC"/>
    <w:rsid w:val="00FE2401"/>
    <w:rsid w:val="00FE3337"/>
    <w:rsid w:val="00FE70C3"/>
    <w:rsid w:val="00FF1471"/>
    <w:rsid w:val="00FF2AD9"/>
    <w:rsid w:val="00FF33DB"/>
    <w:rsid w:val="00FF359F"/>
    <w:rsid w:val="00FF3DCF"/>
    <w:rsid w:val="00FF492C"/>
    <w:rsid w:val="00FF4A0E"/>
    <w:rsid w:val="00FF4A21"/>
    <w:rsid w:val="00FF4E12"/>
    <w:rsid w:val="00FF5AA3"/>
    <w:rsid w:val="00FF5AD8"/>
    <w:rsid w:val="00FF5DB7"/>
    <w:rsid w:val="00FF6AA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Table Legend,Bullet1,Bullet 1,Bullet List,Section 5,ES Paragraph,PBAC ES Paragraph,PBAC normal poin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Table Legend Char,Bullet1 Char,Bullet 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B7DC3"/>
    <w:pPr>
      <w:widowControl w:val="0"/>
      <w:jc w:val="left"/>
    </w:pPr>
    <w:rPr>
      <w:rFonts w:ascii="Arial Narrow" w:eastAsia="SimSun" w:hAnsi="Arial Narrow"/>
      <w:b/>
      <w:sz w:val="16"/>
      <w:szCs w:val="16"/>
      <w:lang w:eastAsia="zh-CN"/>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TableNotes">
    <w:name w:val="Table Notes"/>
    <w:basedOn w:val="Normal"/>
    <w:next w:val="Normal"/>
    <w:link w:val="TableNotesChar"/>
    <w:uiPriority w:val="6"/>
    <w:qFormat/>
    <w:rsid w:val="008C74B9"/>
    <w:pPr>
      <w:keepNext/>
      <w:keepLines/>
      <w:spacing w:before="60" w:after="240"/>
      <w:contextualSpacing/>
      <w:jc w:val="left"/>
    </w:pPr>
    <w:rPr>
      <w:rFonts w:ascii="Arial" w:hAnsi="Arial" w:cs="Times New Roman"/>
      <w:sz w:val="16"/>
      <w:szCs w:val="16"/>
    </w:rPr>
  </w:style>
  <w:style w:type="character" w:customStyle="1" w:styleId="TableNotesChar">
    <w:name w:val="Table Notes Char"/>
    <w:basedOn w:val="DefaultParagraphFont"/>
    <w:link w:val="TableNotes"/>
    <w:uiPriority w:val="6"/>
    <w:locked/>
    <w:rsid w:val="008C74B9"/>
    <w:rPr>
      <w:rFonts w:ascii="Arial" w:hAnsi="Arial"/>
      <w:sz w:val="16"/>
      <w:szCs w:val="16"/>
    </w:rPr>
  </w:style>
  <w:style w:type="paragraph" w:styleId="FootnoteText">
    <w:name w:val="footnote text"/>
    <w:basedOn w:val="Normal"/>
    <w:link w:val="FootnoteTextChar"/>
    <w:semiHidden/>
    <w:unhideWhenUsed/>
    <w:rsid w:val="00583A5B"/>
    <w:rPr>
      <w:sz w:val="20"/>
      <w:szCs w:val="20"/>
    </w:rPr>
  </w:style>
  <w:style w:type="character" w:customStyle="1" w:styleId="FootnoteTextChar">
    <w:name w:val="Footnote Text Char"/>
    <w:basedOn w:val="DefaultParagraphFont"/>
    <w:link w:val="FootnoteText"/>
    <w:semiHidden/>
    <w:rsid w:val="00583A5B"/>
    <w:rPr>
      <w:rFonts w:ascii="Calibri" w:hAnsi="Calibri" w:cs="Arial"/>
    </w:rPr>
  </w:style>
  <w:style w:type="character" w:styleId="FootnoteReference">
    <w:name w:val="footnote reference"/>
    <w:basedOn w:val="DefaultParagraphFont"/>
    <w:semiHidden/>
    <w:unhideWhenUsed/>
    <w:rsid w:val="00583A5B"/>
    <w:rPr>
      <w:vertAlign w:val="superscript"/>
    </w:rPr>
  </w:style>
  <w:style w:type="paragraph" w:customStyle="1" w:styleId="Tableheadingleft">
    <w:name w:val="Table heading left"/>
    <w:basedOn w:val="Normal"/>
    <w:qFormat/>
    <w:rsid w:val="000703CB"/>
    <w:pPr>
      <w:keepNext/>
      <w:keepLines/>
      <w:tabs>
        <w:tab w:val="left" w:pos="113"/>
        <w:tab w:val="center" w:pos="142"/>
        <w:tab w:val="center" w:pos="284"/>
        <w:tab w:val="center" w:pos="425"/>
      </w:tabs>
      <w:spacing w:after="120"/>
      <w:jc w:val="left"/>
    </w:pPr>
    <w:rPr>
      <w:rFonts w:ascii="Arial" w:hAnsi="Arial"/>
      <w:b/>
      <w:sz w:val="20"/>
      <w:szCs w:val="20"/>
      <w:lang w:val="en-GB" w:eastAsia="en-US"/>
    </w:rPr>
  </w:style>
  <w:style w:type="character" w:customStyle="1" w:styleId="UnresolvedMention1">
    <w:name w:val="Unresolved Mention1"/>
    <w:basedOn w:val="DefaultParagraphFont"/>
    <w:uiPriority w:val="99"/>
    <w:semiHidden/>
    <w:unhideWhenUsed/>
    <w:rsid w:val="005F1F0B"/>
    <w:rPr>
      <w:color w:val="605E5C"/>
      <w:shd w:val="clear" w:color="auto" w:fill="E1DFDD"/>
    </w:rPr>
  </w:style>
  <w:style w:type="paragraph" w:customStyle="1" w:styleId="Table">
    <w:name w:val="Table"/>
    <w:basedOn w:val="Normal"/>
    <w:qFormat/>
    <w:rsid w:val="00425E22"/>
    <w:pPr>
      <w:jc w:val="left"/>
    </w:pPr>
    <w:rPr>
      <w:rFonts w:eastAsiaTheme="majorEastAsia" w:cstheme="majorBidi"/>
      <w:sz w:val="20"/>
      <w:szCs w:val="22"/>
      <w:lang w:eastAsia="en-US" w:bidi="en-US"/>
    </w:rPr>
  </w:style>
  <w:style w:type="paragraph" w:customStyle="1" w:styleId="Default">
    <w:name w:val="Default"/>
    <w:rsid w:val="00D16F7D"/>
    <w:pPr>
      <w:autoSpaceDE w:val="0"/>
      <w:autoSpaceDN w:val="0"/>
      <w:adjustRightInd w:val="0"/>
    </w:pPr>
    <w:rPr>
      <w:rFonts w:ascii="Calibri" w:hAnsi="Calibri" w:cs="Calibri"/>
      <w:color w:val="000000"/>
      <w:sz w:val="24"/>
      <w:szCs w:val="24"/>
    </w:rPr>
  </w:style>
  <w:style w:type="character" w:customStyle="1" w:styleId="Small">
    <w:name w:val="Small"/>
    <w:basedOn w:val="DefaultParagraphFont"/>
    <w:uiPriority w:val="4"/>
    <w:qFormat/>
    <w:rsid w:val="008B61D0"/>
    <w:rPr>
      <w:rFonts w:ascii="Proxima Nova" w:hAnsi="Proxima Nova"/>
      <w:sz w:val="20"/>
    </w:rPr>
  </w:style>
  <w:style w:type="character" w:styleId="Emphasis">
    <w:name w:val="Emphasis"/>
    <w:basedOn w:val="DefaultParagraphFont"/>
    <w:uiPriority w:val="99"/>
    <w:qFormat/>
    <w:rsid w:val="00C72AA3"/>
    <w:rPr>
      <w:i/>
      <w:iCs/>
    </w:rPr>
  </w:style>
  <w:style w:type="character" w:styleId="Strong">
    <w:name w:val="Strong"/>
    <w:basedOn w:val="DefaultParagraphFont"/>
    <w:uiPriority w:val="22"/>
    <w:qFormat/>
    <w:rsid w:val="00C02E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116262378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8880">
      <w:bodyDiv w:val="1"/>
      <w:marLeft w:val="0"/>
      <w:marRight w:val="0"/>
      <w:marTop w:val="0"/>
      <w:marBottom w:val="0"/>
      <w:divBdr>
        <w:top w:val="none" w:sz="0" w:space="0" w:color="auto"/>
        <w:left w:val="none" w:sz="0" w:space="0" w:color="auto"/>
        <w:bottom w:val="none" w:sz="0" w:space="0" w:color="auto"/>
        <w:right w:val="none" w:sz="0" w:space="0" w:color="auto"/>
      </w:divBdr>
    </w:div>
    <w:div w:id="1512791866">
      <w:bodyDiv w:val="1"/>
      <w:marLeft w:val="0"/>
      <w:marRight w:val="0"/>
      <w:marTop w:val="0"/>
      <w:marBottom w:val="0"/>
      <w:divBdr>
        <w:top w:val="none" w:sz="0" w:space="0" w:color="auto"/>
        <w:left w:val="none" w:sz="0" w:space="0" w:color="auto"/>
        <w:bottom w:val="none" w:sz="0" w:space="0" w:color="auto"/>
        <w:right w:val="none" w:sz="0" w:space="0" w:color="auto"/>
      </w:divBdr>
    </w:div>
    <w:div w:id="1550412298">
      <w:bodyDiv w:val="1"/>
      <w:marLeft w:val="0"/>
      <w:marRight w:val="0"/>
      <w:marTop w:val="0"/>
      <w:marBottom w:val="0"/>
      <w:divBdr>
        <w:top w:val="none" w:sz="0" w:space="0" w:color="auto"/>
        <w:left w:val="none" w:sz="0" w:space="0" w:color="auto"/>
        <w:bottom w:val="none" w:sz="0" w:space="0" w:color="auto"/>
        <w:right w:val="none" w:sz="0" w:space="0" w:color="auto"/>
      </w:divBdr>
      <w:divsChild>
        <w:div w:id="1296326161">
          <w:marLeft w:val="0"/>
          <w:marRight w:val="0"/>
          <w:marTop w:val="0"/>
          <w:marBottom w:val="0"/>
          <w:divBdr>
            <w:top w:val="none" w:sz="0" w:space="0" w:color="auto"/>
            <w:left w:val="none" w:sz="0" w:space="0" w:color="auto"/>
            <w:bottom w:val="none" w:sz="0" w:space="0" w:color="auto"/>
            <w:right w:val="none" w:sz="0" w:space="0" w:color="auto"/>
          </w:divBdr>
          <w:divsChild>
            <w:div w:id="1616328389">
              <w:marLeft w:val="0"/>
              <w:marRight w:val="0"/>
              <w:marTop w:val="0"/>
              <w:marBottom w:val="0"/>
              <w:divBdr>
                <w:top w:val="none" w:sz="0" w:space="0" w:color="auto"/>
                <w:left w:val="none" w:sz="0" w:space="0" w:color="auto"/>
                <w:bottom w:val="none" w:sz="0" w:space="0" w:color="auto"/>
                <w:right w:val="none" w:sz="0" w:space="0" w:color="auto"/>
              </w:divBdr>
              <w:divsChild>
                <w:div w:id="4897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4735">
          <w:marLeft w:val="0"/>
          <w:marRight w:val="0"/>
          <w:marTop w:val="0"/>
          <w:marBottom w:val="0"/>
          <w:divBdr>
            <w:top w:val="none" w:sz="0" w:space="0" w:color="auto"/>
            <w:left w:val="none" w:sz="0" w:space="0" w:color="auto"/>
            <w:bottom w:val="none" w:sz="0" w:space="0" w:color="auto"/>
            <w:right w:val="none" w:sz="0" w:space="0" w:color="auto"/>
          </w:divBdr>
          <w:divsChild>
            <w:div w:id="607271459">
              <w:marLeft w:val="0"/>
              <w:marRight w:val="0"/>
              <w:marTop w:val="0"/>
              <w:marBottom w:val="0"/>
              <w:divBdr>
                <w:top w:val="none" w:sz="0" w:space="0" w:color="auto"/>
                <w:left w:val="none" w:sz="0" w:space="0" w:color="auto"/>
                <w:bottom w:val="none" w:sz="0" w:space="0" w:color="auto"/>
                <w:right w:val="none" w:sz="0" w:space="0" w:color="auto"/>
              </w:divBdr>
              <w:divsChild>
                <w:div w:id="13706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6001">
          <w:marLeft w:val="0"/>
          <w:marRight w:val="0"/>
          <w:marTop w:val="0"/>
          <w:marBottom w:val="0"/>
          <w:divBdr>
            <w:top w:val="none" w:sz="0" w:space="0" w:color="auto"/>
            <w:left w:val="none" w:sz="0" w:space="0" w:color="auto"/>
            <w:bottom w:val="none" w:sz="0" w:space="0" w:color="auto"/>
            <w:right w:val="none" w:sz="0" w:space="0" w:color="auto"/>
          </w:divBdr>
          <w:divsChild>
            <w:div w:id="1987853588">
              <w:marLeft w:val="0"/>
              <w:marRight w:val="0"/>
              <w:marTop w:val="0"/>
              <w:marBottom w:val="0"/>
              <w:divBdr>
                <w:top w:val="none" w:sz="0" w:space="0" w:color="auto"/>
                <w:left w:val="none" w:sz="0" w:space="0" w:color="auto"/>
                <w:bottom w:val="none" w:sz="0" w:space="0" w:color="auto"/>
                <w:right w:val="none" w:sz="0" w:space="0" w:color="auto"/>
              </w:divBdr>
              <w:divsChild>
                <w:div w:id="1189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2151">
          <w:marLeft w:val="0"/>
          <w:marRight w:val="0"/>
          <w:marTop w:val="0"/>
          <w:marBottom w:val="0"/>
          <w:divBdr>
            <w:top w:val="none" w:sz="0" w:space="0" w:color="auto"/>
            <w:left w:val="none" w:sz="0" w:space="0" w:color="auto"/>
            <w:bottom w:val="none" w:sz="0" w:space="0" w:color="auto"/>
            <w:right w:val="none" w:sz="0" w:space="0" w:color="auto"/>
          </w:divBdr>
          <w:divsChild>
            <w:div w:id="2072460038">
              <w:marLeft w:val="0"/>
              <w:marRight w:val="0"/>
              <w:marTop w:val="0"/>
              <w:marBottom w:val="0"/>
              <w:divBdr>
                <w:top w:val="none" w:sz="0" w:space="0" w:color="auto"/>
                <w:left w:val="none" w:sz="0" w:space="0" w:color="auto"/>
                <w:bottom w:val="none" w:sz="0" w:space="0" w:color="auto"/>
                <w:right w:val="none" w:sz="0" w:space="0" w:color="auto"/>
              </w:divBdr>
              <w:divsChild>
                <w:div w:id="6152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41601">
          <w:marLeft w:val="0"/>
          <w:marRight w:val="0"/>
          <w:marTop w:val="0"/>
          <w:marBottom w:val="0"/>
          <w:divBdr>
            <w:top w:val="none" w:sz="0" w:space="0" w:color="auto"/>
            <w:left w:val="none" w:sz="0" w:space="0" w:color="auto"/>
            <w:bottom w:val="none" w:sz="0" w:space="0" w:color="auto"/>
            <w:right w:val="none" w:sz="0" w:space="0" w:color="auto"/>
          </w:divBdr>
          <w:divsChild>
            <w:div w:id="484248154">
              <w:marLeft w:val="0"/>
              <w:marRight w:val="0"/>
              <w:marTop w:val="0"/>
              <w:marBottom w:val="0"/>
              <w:divBdr>
                <w:top w:val="none" w:sz="0" w:space="0" w:color="auto"/>
                <w:left w:val="none" w:sz="0" w:space="0" w:color="auto"/>
                <w:bottom w:val="none" w:sz="0" w:space="0" w:color="auto"/>
                <w:right w:val="none" w:sz="0" w:space="0" w:color="auto"/>
              </w:divBdr>
              <w:divsChild>
                <w:div w:id="8128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3430">
          <w:marLeft w:val="0"/>
          <w:marRight w:val="0"/>
          <w:marTop w:val="0"/>
          <w:marBottom w:val="0"/>
          <w:divBdr>
            <w:top w:val="none" w:sz="0" w:space="0" w:color="auto"/>
            <w:left w:val="none" w:sz="0" w:space="0" w:color="auto"/>
            <w:bottom w:val="none" w:sz="0" w:space="0" w:color="auto"/>
            <w:right w:val="none" w:sz="0" w:space="0" w:color="auto"/>
          </w:divBdr>
          <w:divsChild>
            <w:div w:id="1604725591">
              <w:marLeft w:val="0"/>
              <w:marRight w:val="0"/>
              <w:marTop w:val="0"/>
              <w:marBottom w:val="0"/>
              <w:divBdr>
                <w:top w:val="none" w:sz="0" w:space="0" w:color="auto"/>
                <w:left w:val="none" w:sz="0" w:space="0" w:color="auto"/>
                <w:bottom w:val="none" w:sz="0" w:space="0" w:color="auto"/>
                <w:right w:val="none" w:sz="0" w:space="0" w:color="auto"/>
              </w:divBdr>
              <w:divsChild>
                <w:div w:id="5486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40318">
          <w:marLeft w:val="0"/>
          <w:marRight w:val="0"/>
          <w:marTop w:val="0"/>
          <w:marBottom w:val="0"/>
          <w:divBdr>
            <w:top w:val="none" w:sz="0" w:space="0" w:color="auto"/>
            <w:left w:val="none" w:sz="0" w:space="0" w:color="auto"/>
            <w:bottom w:val="none" w:sz="0" w:space="0" w:color="auto"/>
            <w:right w:val="none" w:sz="0" w:space="0" w:color="auto"/>
          </w:divBdr>
          <w:divsChild>
            <w:div w:id="1409957951">
              <w:marLeft w:val="0"/>
              <w:marRight w:val="0"/>
              <w:marTop w:val="0"/>
              <w:marBottom w:val="0"/>
              <w:divBdr>
                <w:top w:val="none" w:sz="0" w:space="0" w:color="auto"/>
                <w:left w:val="none" w:sz="0" w:space="0" w:color="auto"/>
                <w:bottom w:val="none" w:sz="0" w:space="0" w:color="auto"/>
                <w:right w:val="none" w:sz="0" w:space="0" w:color="auto"/>
              </w:divBdr>
              <w:divsChild>
                <w:div w:id="15210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01448">
          <w:marLeft w:val="0"/>
          <w:marRight w:val="0"/>
          <w:marTop w:val="0"/>
          <w:marBottom w:val="0"/>
          <w:divBdr>
            <w:top w:val="none" w:sz="0" w:space="0" w:color="auto"/>
            <w:left w:val="none" w:sz="0" w:space="0" w:color="auto"/>
            <w:bottom w:val="none" w:sz="0" w:space="0" w:color="auto"/>
            <w:right w:val="none" w:sz="0" w:space="0" w:color="auto"/>
          </w:divBdr>
          <w:divsChild>
            <w:div w:id="336925835">
              <w:marLeft w:val="0"/>
              <w:marRight w:val="0"/>
              <w:marTop w:val="0"/>
              <w:marBottom w:val="0"/>
              <w:divBdr>
                <w:top w:val="none" w:sz="0" w:space="0" w:color="auto"/>
                <w:left w:val="none" w:sz="0" w:space="0" w:color="auto"/>
                <w:bottom w:val="none" w:sz="0" w:space="0" w:color="auto"/>
                <w:right w:val="none" w:sz="0" w:space="0" w:color="auto"/>
              </w:divBdr>
              <w:divsChild>
                <w:div w:id="853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877">
          <w:marLeft w:val="0"/>
          <w:marRight w:val="0"/>
          <w:marTop w:val="0"/>
          <w:marBottom w:val="0"/>
          <w:divBdr>
            <w:top w:val="none" w:sz="0" w:space="0" w:color="auto"/>
            <w:left w:val="none" w:sz="0" w:space="0" w:color="auto"/>
            <w:bottom w:val="none" w:sz="0" w:space="0" w:color="auto"/>
            <w:right w:val="none" w:sz="0" w:space="0" w:color="auto"/>
          </w:divBdr>
          <w:divsChild>
            <w:div w:id="1211919130">
              <w:marLeft w:val="0"/>
              <w:marRight w:val="0"/>
              <w:marTop w:val="0"/>
              <w:marBottom w:val="0"/>
              <w:divBdr>
                <w:top w:val="none" w:sz="0" w:space="0" w:color="auto"/>
                <w:left w:val="none" w:sz="0" w:space="0" w:color="auto"/>
                <w:bottom w:val="none" w:sz="0" w:space="0" w:color="auto"/>
                <w:right w:val="none" w:sz="0" w:space="0" w:color="auto"/>
              </w:divBdr>
              <w:divsChild>
                <w:div w:id="1279340646">
                  <w:marLeft w:val="0"/>
                  <w:marRight w:val="0"/>
                  <w:marTop w:val="0"/>
                  <w:marBottom w:val="0"/>
                  <w:divBdr>
                    <w:top w:val="none" w:sz="0" w:space="0" w:color="auto"/>
                    <w:left w:val="none" w:sz="0" w:space="0" w:color="auto"/>
                    <w:bottom w:val="none" w:sz="0" w:space="0" w:color="auto"/>
                    <w:right w:val="none" w:sz="0" w:space="0" w:color="auto"/>
                  </w:divBdr>
                </w:div>
              </w:divsChild>
            </w:div>
            <w:div w:id="1272014394">
              <w:marLeft w:val="0"/>
              <w:marRight w:val="0"/>
              <w:marTop w:val="0"/>
              <w:marBottom w:val="0"/>
              <w:divBdr>
                <w:top w:val="none" w:sz="0" w:space="0" w:color="auto"/>
                <w:left w:val="none" w:sz="0" w:space="0" w:color="auto"/>
                <w:bottom w:val="none" w:sz="0" w:space="0" w:color="auto"/>
                <w:right w:val="none" w:sz="0" w:space="0" w:color="auto"/>
              </w:divBdr>
              <w:divsChild>
                <w:div w:id="16095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4603">
          <w:marLeft w:val="0"/>
          <w:marRight w:val="0"/>
          <w:marTop w:val="0"/>
          <w:marBottom w:val="0"/>
          <w:divBdr>
            <w:top w:val="none" w:sz="0" w:space="0" w:color="auto"/>
            <w:left w:val="none" w:sz="0" w:space="0" w:color="auto"/>
            <w:bottom w:val="none" w:sz="0" w:space="0" w:color="auto"/>
            <w:right w:val="none" w:sz="0" w:space="0" w:color="auto"/>
          </w:divBdr>
          <w:divsChild>
            <w:div w:id="603223246">
              <w:marLeft w:val="0"/>
              <w:marRight w:val="0"/>
              <w:marTop w:val="0"/>
              <w:marBottom w:val="0"/>
              <w:divBdr>
                <w:top w:val="none" w:sz="0" w:space="0" w:color="auto"/>
                <w:left w:val="none" w:sz="0" w:space="0" w:color="auto"/>
                <w:bottom w:val="none" w:sz="0" w:space="0" w:color="auto"/>
                <w:right w:val="none" w:sz="0" w:space="0" w:color="auto"/>
              </w:divBdr>
              <w:divsChild>
                <w:div w:id="1320813402">
                  <w:marLeft w:val="0"/>
                  <w:marRight w:val="0"/>
                  <w:marTop w:val="0"/>
                  <w:marBottom w:val="0"/>
                  <w:divBdr>
                    <w:top w:val="none" w:sz="0" w:space="0" w:color="auto"/>
                    <w:left w:val="none" w:sz="0" w:space="0" w:color="auto"/>
                    <w:bottom w:val="none" w:sz="0" w:space="0" w:color="auto"/>
                    <w:right w:val="none" w:sz="0" w:space="0" w:color="auto"/>
                  </w:divBdr>
                </w:div>
              </w:divsChild>
            </w:div>
            <w:div w:id="260722512">
              <w:marLeft w:val="0"/>
              <w:marRight w:val="0"/>
              <w:marTop w:val="0"/>
              <w:marBottom w:val="0"/>
              <w:divBdr>
                <w:top w:val="none" w:sz="0" w:space="0" w:color="auto"/>
                <w:left w:val="none" w:sz="0" w:space="0" w:color="auto"/>
                <w:bottom w:val="none" w:sz="0" w:space="0" w:color="auto"/>
                <w:right w:val="none" w:sz="0" w:space="0" w:color="auto"/>
              </w:divBdr>
              <w:divsChild>
                <w:div w:id="9666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6063">
          <w:marLeft w:val="0"/>
          <w:marRight w:val="0"/>
          <w:marTop w:val="0"/>
          <w:marBottom w:val="0"/>
          <w:divBdr>
            <w:top w:val="none" w:sz="0" w:space="0" w:color="auto"/>
            <w:left w:val="none" w:sz="0" w:space="0" w:color="auto"/>
            <w:bottom w:val="none" w:sz="0" w:space="0" w:color="auto"/>
            <w:right w:val="none" w:sz="0" w:space="0" w:color="auto"/>
          </w:divBdr>
          <w:divsChild>
            <w:div w:id="337004545">
              <w:marLeft w:val="0"/>
              <w:marRight w:val="0"/>
              <w:marTop w:val="0"/>
              <w:marBottom w:val="0"/>
              <w:divBdr>
                <w:top w:val="none" w:sz="0" w:space="0" w:color="auto"/>
                <w:left w:val="none" w:sz="0" w:space="0" w:color="auto"/>
                <w:bottom w:val="none" w:sz="0" w:space="0" w:color="auto"/>
                <w:right w:val="none" w:sz="0" w:space="0" w:color="auto"/>
              </w:divBdr>
              <w:divsChild>
                <w:div w:id="1381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014">
          <w:marLeft w:val="0"/>
          <w:marRight w:val="0"/>
          <w:marTop w:val="0"/>
          <w:marBottom w:val="0"/>
          <w:divBdr>
            <w:top w:val="none" w:sz="0" w:space="0" w:color="auto"/>
            <w:left w:val="none" w:sz="0" w:space="0" w:color="auto"/>
            <w:bottom w:val="none" w:sz="0" w:space="0" w:color="auto"/>
            <w:right w:val="none" w:sz="0" w:space="0" w:color="auto"/>
          </w:divBdr>
          <w:divsChild>
            <w:div w:id="1109157959">
              <w:marLeft w:val="0"/>
              <w:marRight w:val="0"/>
              <w:marTop w:val="0"/>
              <w:marBottom w:val="0"/>
              <w:divBdr>
                <w:top w:val="none" w:sz="0" w:space="0" w:color="auto"/>
                <w:left w:val="none" w:sz="0" w:space="0" w:color="auto"/>
                <w:bottom w:val="none" w:sz="0" w:space="0" w:color="auto"/>
                <w:right w:val="none" w:sz="0" w:space="0" w:color="auto"/>
              </w:divBdr>
              <w:divsChild>
                <w:div w:id="22448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4380">
          <w:marLeft w:val="0"/>
          <w:marRight w:val="0"/>
          <w:marTop w:val="0"/>
          <w:marBottom w:val="0"/>
          <w:divBdr>
            <w:top w:val="none" w:sz="0" w:space="0" w:color="auto"/>
            <w:left w:val="none" w:sz="0" w:space="0" w:color="auto"/>
            <w:bottom w:val="none" w:sz="0" w:space="0" w:color="auto"/>
            <w:right w:val="none" w:sz="0" w:space="0" w:color="auto"/>
          </w:divBdr>
          <w:divsChild>
            <w:div w:id="1824155555">
              <w:marLeft w:val="0"/>
              <w:marRight w:val="0"/>
              <w:marTop w:val="0"/>
              <w:marBottom w:val="0"/>
              <w:divBdr>
                <w:top w:val="none" w:sz="0" w:space="0" w:color="auto"/>
                <w:left w:val="none" w:sz="0" w:space="0" w:color="auto"/>
                <w:bottom w:val="none" w:sz="0" w:space="0" w:color="auto"/>
                <w:right w:val="none" w:sz="0" w:space="0" w:color="auto"/>
              </w:divBdr>
              <w:divsChild>
                <w:div w:id="19974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3978">
          <w:marLeft w:val="0"/>
          <w:marRight w:val="0"/>
          <w:marTop w:val="0"/>
          <w:marBottom w:val="0"/>
          <w:divBdr>
            <w:top w:val="none" w:sz="0" w:space="0" w:color="auto"/>
            <w:left w:val="none" w:sz="0" w:space="0" w:color="auto"/>
            <w:bottom w:val="none" w:sz="0" w:space="0" w:color="auto"/>
            <w:right w:val="none" w:sz="0" w:space="0" w:color="auto"/>
          </w:divBdr>
          <w:divsChild>
            <w:div w:id="101657025">
              <w:marLeft w:val="0"/>
              <w:marRight w:val="0"/>
              <w:marTop w:val="0"/>
              <w:marBottom w:val="0"/>
              <w:divBdr>
                <w:top w:val="none" w:sz="0" w:space="0" w:color="auto"/>
                <w:left w:val="none" w:sz="0" w:space="0" w:color="auto"/>
                <w:bottom w:val="none" w:sz="0" w:space="0" w:color="auto"/>
                <w:right w:val="none" w:sz="0" w:space="0" w:color="auto"/>
              </w:divBdr>
              <w:divsChild>
                <w:div w:id="6690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87418">
          <w:marLeft w:val="0"/>
          <w:marRight w:val="0"/>
          <w:marTop w:val="0"/>
          <w:marBottom w:val="0"/>
          <w:divBdr>
            <w:top w:val="none" w:sz="0" w:space="0" w:color="auto"/>
            <w:left w:val="none" w:sz="0" w:space="0" w:color="auto"/>
            <w:bottom w:val="none" w:sz="0" w:space="0" w:color="auto"/>
            <w:right w:val="none" w:sz="0" w:space="0" w:color="auto"/>
          </w:divBdr>
          <w:divsChild>
            <w:div w:id="1685475551">
              <w:marLeft w:val="0"/>
              <w:marRight w:val="0"/>
              <w:marTop w:val="0"/>
              <w:marBottom w:val="0"/>
              <w:divBdr>
                <w:top w:val="none" w:sz="0" w:space="0" w:color="auto"/>
                <w:left w:val="none" w:sz="0" w:space="0" w:color="auto"/>
                <w:bottom w:val="none" w:sz="0" w:space="0" w:color="auto"/>
                <w:right w:val="none" w:sz="0" w:space="0" w:color="auto"/>
              </w:divBdr>
              <w:divsChild>
                <w:div w:id="199170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6453">
          <w:marLeft w:val="0"/>
          <w:marRight w:val="0"/>
          <w:marTop w:val="0"/>
          <w:marBottom w:val="0"/>
          <w:divBdr>
            <w:top w:val="none" w:sz="0" w:space="0" w:color="auto"/>
            <w:left w:val="none" w:sz="0" w:space="0" w:color="auto"/>
            <w:bottom w:val="none" w:sz="0" w:space="0" w:color="auto"/>
            <w:right w:val="none" w:sz="0" w:space="0" w:color="auto"/>
          </w:divBdr>
          <w:divsChild>
            <w:div w:id="1992831745">
              <w:marLeft w:val="0"/>
              <w:marRight w:val="0"/>
              <w:marTop w:val="0"/>
              <w:marBottom w:val="0"/>
              <w:divBdr>
                <w:top w:val="none" w:sz="0" w:space="0" w:color="auto"/>
                <w:left w:val="none" w:sz="0" w:space="0" w:color="auto"/>
                <w:bottom w:val="none" w:sz="0" w:space="0" w:color="auto"/>
                <w:right w:val="none" w:sz="0" w:space="0" w:color="auto"/>
              </w:divBdr>
              <w:divsChild>
                <w:div w:id="1684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909">
          <w:marLeft w:val="0"/>
          <w:marRight w:val="0"/>
          <w:marTop w:val="0"/>
          <w:marBottom w:val="0"/>
          <w:divBdr>
            <w:top w:val="none" w:sz="0" w:space="0" w:color="auto"/>
            <w:left w:val="none" w:sz="0" w:space="0" w:color="auto"/>
            <w:bottom w:val="none" w:sz="0" w:space="0" w:color="auto"/>
            <w:right w:val="none" w:sz="0" w:space="0" w:color="auto"/>
          </w:divBdr>
          <w:divsChild>
            <w:div w:id="1440297785">
              <w:marLeft w:val="0"/>
              <w:marRight w:val="0"/>
              <w:marTop w:val="0"/>
              <w:marBottom w:val="0"/>
              <w:divBdr>
                <w:top w:val="none" w:sz="0" w:space="0" w:color="auto"/>
                <w:left w:val="none" w:sz="0" w:space="0" w:color="auto"/>
                <w:bottom w:val="none" w:sz="0" w:space="0" w:color="auto"/>
                <w:right w:val="none" w:sz="0" w:space="0" w:color="auto"/>
              </w:divBdr>
              <w:divsChild>
                <w:div w:id="53858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6175">
          <w:marLeft w:val="0"/>
          <w:marRight w:val="0"/>
          <w:marTop w:val="0"/>
          <w:marBottom w:val="0"/>
          <w:divBdr>
            <w:top w:val="none" w:sz="0" w:space="0" w:color="auto"/>
            <w:left w:val="none" w:sz="0" w:space="0" w:color="auto"/>
            <w:bottom w:val="none" w:sz="0" w:space="0" w:color="auto"/>
            <w:right w:val="none" w:sz="0" w:space="0" w:color="auto"/>
          </w:divBdr>
          <w:divsChild>
            <w:div w:id="1006250022">
              <w:marLeft w:val="0"/>
              <w:marRight w:val="0"/>
              <w:marTop w:val="0"/>
              <w:marBottom w:val="0"/>
              <w:divBdr>
                <w:top w:val="none" w:sz="0" w:space="0" w:color="auto"/>
                <w:left w:val="none" w:sz="0" w:space="0" w:color="auto"/>
                <w:bottom w:val="none" w:sz="0" w:space="0" w:color="auto"/>
                <w:right w:val="none" w:sz="0" w:space="0" w:color="auto"/>
              </w:divBdr>
              <w:divsChild>
                <w:div w:id="89092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8134">
          <w:marLeft w:val="0"/>
          <w:marRight w:val="0"/>
          <w:marTop w:val="0"/>
          <w:marBottom w:val="0"/>
          <w:divBdr>
            <w:top w:val="none" w:sz="0" w:space="0" w:color="auto"/>
            <w:left w:val="none" w:sz="0" w:space="0" w:color="auto"/>
            <w:bottom w:val="none" w:sz="0" w:space="0" w:color="auto"/>
            <w:right w:val="none" w:sz="0" w:space="0" w:color="auto"/>
          </w:divBdr>
          <w:divsChild>
            <w:div w:id="1624267831">
              <w:marLeft w:val="0"/>
              <w:marRight w:val="0"/>
              <w:marTop w:val="0"/>
              <w:marBottom w:val="0"/>
              <w:divBdr>
                <w:top w:val="none" w:sz="0" w:space="0" w:color="auto"/>
                <w:left w:val="none" w:sz="0" w:space="0" w:color="auto"/>
                <w:bottom w:val="none" w:sz="0" w:space="0" w:color="auto"/>
                <w:right w:val="none" w:sz="0" w:space="0" w:color="auto"/>
              </w:divBdr>
              <w:divsChild>
                <w:div w:id="112770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107">
          <w:marLeft w:val="0"/>
          <w:marRight w:val="0"/>
          <w:marTop w:val="0"/>
          <w:marBottom w:val="0"/>
          <w:divBdr>
            <w:top w:val="none" w:sz="0" w:space="0" w:color="auto"/>
            <w:left w:val="none" w:sz="0" w:space="0" w:color="auto"/>
            <w:bottom w:val="none" w:sz="0" w:space="0" w:color="auto"/>
            <w:right w:val="none" w:sz="0" w:space="0" w:color="auto"/>
          </w:divBdr>
          <w:divsChild>
            <w:div w:id="872809506">
              <w:marLeft w:val="0"/>
              <w:marRight w:val="0"/>
              <w:marTop w:val="0"/>
              <w:marBottom w:val="0"/>
              <w:divBdr>
                <w:top w:val="none" w:sz="0" w:space="0" w:color="auto"/>
                <w:left w:val="none" w:sz="0" w:space="0" w:color="auto"/>
                <w:bottom w:val="none" w:sz="0" w:space="0" w:color="auto"/>
                <w:right w:val="none" w:sz="0" w:space="0" w:color="auto"/>
              </w:divBdr>
              <w:divsChild>
                <w:div w:id="2119252917">
                  <w:marLeft w:val="0"/>
                  <w:marRight w:val="0"/>
                  <w:marTop w:val="0"/>
                  <w:marBottom w:val="0"/>
                  <w:divBdr>
                    <w:top w:val="none" w:sz="0" w:space="0" w:color="auto"/>
                    <w:left w:val="none" w:sz="0" w:space="0" w:color="auto"/>
                    <w:bottom w:val="none" w:sz="0" w:space="0" w:color="auto"/>
                    <w:right w:val="none" w:sz="0" w:space="0" w:color="auto"/>
                  </w:divBdr>
                </w:div>
              </w:divsChild>
            </w:div>
            <w:div w:id="1027370201">
              <w:marLeft w:val="0"/>
              <w:marRight w:val="0"/>
              <w:marTop w:val="0"/>
              <w:marBottom w:val="0"/>
              <w:divBdr>
                <w:top w:val="none" w:sz="0" w:space="0" w:color="auto"/>
                <w:left w:val="none" w:sz="0" w:space="0" w:color="auto"/>
                <w:bottom w:val="none" w:sz="0" w:space="0" w:color="auto"/>
                <w:right w:val="none" w:sz="0" w:space="0" w:color="auto"/>
              </w:divBdr>
              <w:divsChild>
                <w:div w:id="67314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70589">
          <w:marLeft w:val="0"/>
          <w:marRight w:val="0"/>
          <w:marTop w:val="0"/>
          <w:marBottom w:val="0"/>
          <w:divBdr>
            <w:top w:val="none" w:sz="0" w:space="0" w:color="auto"/>
            <w:left w:val="none" w:sz="0" w:space="0" w:color="auto"/>
            <w:bottom w:val="none" w:sz="0" w:space="0" w:color="auto"/>
            <w:right w:val="none" w:sz="0" w:space="0" w:color="auto"/>
          </w:divBdr>
          <w:divsChild>
            <w:div w:id="860626737">
              <w:marLeft w:val="0"/>
              <w:marRight w:val="0"/>
              <w:marTop w:val="0"/>
              <w:marBottom w:val="0"/>
              <w:divBdr>
                <w:top w:val="none" w:sz="0" w:space="0" w:color="auto"/>
                <w:left w:val="none" w:sz="0" w:space="0" w:color="auto"/>
                <w:bottom w:val="none" w:sz="0" w:space="0" w:color="auto"/>
                <w:right w:val="none" w:sz="0" w:space="0" w:color="auto"/>
              </w:divBdr>
              <w:divsChild>
                <w:div w:id="9381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48300">
          <w:marLeft w:val="0"/>
          <w:marRight w:val="0"/>
          <w:marTop w:val="0"/>
          <w:marBottom w:val="0"/>
          <w:divBdr>
            <w:top w:val="none" w:sz="0" w:space="0" w:color="auto"/>
            <w:left w:val="none" w:sz="0" w:space="0" w:color="auto"/>
            <w:bottom w:val="none" w:sz="0" w:space="0" w:color="auto"/>
            <w:right w:val="none" w:sz="0" w:space="0" w:color="auto"/>
          </w:divBdr>
          <w:divsChild>
            <w:div w:id="1929459213">
              <w:marLeft w:val="0"/>
              <w:marRight w:val="0"/>
              <w:marTop w:val="0"/>
              <w:marBottom w:val="0"/>
              <w:divBdr>
                <w:top w:val="none" w:sz="0" w:space="0" w:color="auto"/>
                <w:left w:val="none" w:sz="0" w:space="0" w:color="auto"/>
                <w:bottom w:val="none" w:sz="0" w:space="0" w:color="auto"/>
                <w:right w:val="none" w:sz="0" w:space="0" w:color="auto"/>
              </w:divBdr>
              <w:divsChild>
                <w:div w:id="21364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9187">
          <w:marLeft w:val="0"/>
          <w:marRight w:val="0"/>
          <w:marTop w:val="0"/>
          <w:marBottom w:val="0"/>
          <w:divBdr>
            <w:top w:val="none" w:sz="0" w:space="0" w:color="auto"/>
            <w:left w:val="none" w:sz="0" w:space="0" w:color="auto"/>
            <w:bottom w:val="none" w:sz="0" w:space="0" w:color="auto"/>
            <w:right w:val="none" w:sz="0" w:space="0" w:color="auto"/>
          </w:divBdr>
          <w:divsChild>
            <w:div w:id="185287832">
              <w:marLeft w:val="0"/>
              <w:marRight w:val="0"/>
              <w:marTop w:val="0"/>
              <w:marBottom w:val="0"/>
              <w:divBdr>
                <w:top w:val="none" w:sz="0" w:space="0" w:color="auto"/>
                <w:left w:val="none" w:sz="0" w:space="0" w:color="auto"/>
                <w:bottom w:val="none" w:sz="0" w:space="0" w:color="auto"/>
                <w:right w:val="none" w:sz="0" w:space="0" w:color="auto"/>
              </w:divBdr>
              <w:divsChild>
                <w:div w:id="18615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6003">
          <w:marLeft w:val="0"/>
          <w:marRight w:val="0"/>
          <w:marTop w:val="0"/>
          <w:marBottom w:val="0"/>
          <w:divBdr>
            <w:top w:val="none" w:sz="0" w:space="0" w:color="auto"/>
            <w:left w:val="none" w:sz="0" w:space="0" w:color="auto"/>
            <w:bottom w:val="none" w:sz="0" w:space="0" w:color="auto"/>
            <w:right w:val="none" w:sz="0" w:space="0" w:color="auto"/>
          </w:divBdr>
          <w:divsChild>
            <w:div w:id="60374617">
              <w:marLeft w:val="0"/>
              <w:marRight w:val="0"/>
              <w:marTop w:val="0"/>
              <w:marBottom w:val="0"/>
              <w:divBdr>
                <w:top w:val="none" w:sz="0" w:space="0" w:color="auto"/>
                <w:left w:val="none" w:sz="0" w:space="0" w:color="auto"/>
                <w:bottom w:val="none" w:sz="0" w:space="0" w:color="auto"/>
                <w:right w:val="none" w:sz="0" w:space="0" w:color="auto"/>
              </w:divBdr>
              <w:divsChild>
                <w:div w:id="2721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15125">
          <w:marLeft w:val="0"/>
          <w:marRight w:val="0"/>
          <w:marTop w:val="0"/>
          <w:marBottom w:val="0"/>
          <w:divBdr>
            <w:top w:val="none" w:sz="0" w:space="0" w:color="auto"/>
            <w:left w:val="none" w:sz="0" w:space="0" w:color="auto"/>
            <w:bottom w:val="none" w:sz="0" w:space="0" w:color="auto"/>
            <w:right w:val="none" w:sz="0" w:space="0" w:color="auto"/>
          </w:divBdr>
          <w:divsChild>
            <w:div w:id="1901938843">
              <w:marLeft w:val="0"/>
              <w:marRight w:val="0"/>
              <w:marTop w:val="0"/>
              <w:marBottom w:val="0"/>
              <w:divBdr>
                <w:top w:val="none" w:sz="0" w:space="0" w:color="auto"/>
                <w:left w:val="none" w:sz="0" w:space="0" w:color="auto"/>
                <w:bottom w:val="none" w:sz="0" w:space="0" w:color="auto"/>
                <w:right w:val="none" w:sz="0" w:space="0" w:color="auto"/>
              </w:divBdr>
              <w:divsChild>
                <w:div w:id="15446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6900">
          <w:marLeft w:val="0"/>
          <w:marRight w:val="0"/>
          <w:marTop w:val="0"/>
          <w:marBottom w:val="0"/>
          <w:divBdr>
            <w:top w:val="none" w:sz="0" w:space="0" w:color="auto"/>
            <w:left w:val="none" w:sz="0" w:space="0" w:color="auto"/>
            <w:bottom w:val="none" w:sz="0" w:space="0" w:color="auto"/>
            <w:right w:val="none" w:sz="0" w:space="0" w:color="auto"/>
          </w:divBdr>
          <w:divsChild>
            <w:div w:id="1873684773">
              <w:marLeft w:val="0"/>
              <w:marRight w:val="0"/>
              <w:marTop w:val="0"/>
              <w:marBottom w:val="0"/>
              <w:divBdr>
                <w:top w:val="none" w:sz="0" w:space="0" w:color="auto"/>
                <w:left w:val="none" w:sz="0" w:space="0" w:color="auto"/>
                <w:bottom w:val="none" w:sz="0" w:space="0" w:color="auto"/>
                <w:right w:val="none" w:sz="0" w:space="0" w:color="auto"/>
              </w:divBdr>
              <w:divsChild>
                <w:div w:id="7116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1408">
          <w:marLeft w:val="0"/>
          <w:marRight w:val="0"/>
          <w:marTop w:val="0"/>
          <w:marBottom w:val="0"/>
          <w:divBdr>
            <w:top w:val="none" w:sz="0" w:space="0" w:color="auto"/>
            <w:left w:val="none" w:sz="0" w:space="0" w:color="auto"/>
            <w:bottom w:val="none" w:sz="0" w:space="0" w:color="auto"/>
            <w:right w:val="none" w:sz="0" w:space="0" w:color="auto"/>
          </w:divBdr>
          <w:divsChild>
            <w:div w:id="215050990">
              <w:marLeft w:val="0"/>
              <w:marRight w:val="0"/>
              <w:marTop w:val="0"/>
              <w:marBottom w:val="0"/>
              <w:divBdr>
                <w:top w:val="none" w:sz="0" w:space="0" w:color="auto"/>
                <w:left w:val="none" w:sz="0" w:space="0" w:color="auto"/>
                <w:bottom w:val="none" w:sz="0" w:space="0" w:color="auto"/>
                <w:right w:val="none" w:sz="0" w:space="0" w:color="auto"/>
              </w:divBdr>
              <w:divsChild>
                <w:div w:id="1228690318">
                  <w:marLeft w:val="0"/>
                  <w:marRight w:val="0"/>
                  <w:marTop w:val="0"/>
                  <w:marBottom w:val="0"/>
                  <w:divBdr>
                    <w:top w:val="none" w:sz="0" w:space="0" w:color="auto"/>
                    <w:left w:val="none" w:sz="0" w:space="0" w:color="auto"/>
                    <w:bottom w:val="none" w:sz="0" w:space="0" w:color="auto"/>
                    <w:right w:val="none" w:sz="0" w:space="0" w:color="auto"/>
                  </w:divBdr>
                </w:div>
              </w:divsChild>
            </w:div>
            <w:div w:id="690570438">
              <w:marLeft w:val="0"/>
              <w:marRight w:val="0"/>
              <w:marTop w:val="0"/>
              <w:marBottom w:val="0"/>
              <w:divBdr>
                <w:top w:val="none" w:sz="0" w:space="0" w:color="auto"/>
                <w:left w:val="none" w:sz="0" w:space="0" w:color="auto"/>
                <w:bottom w:val="none" w:sz="0" w:space="0" w:color="auto"/>
                <w:right w:val="none" w:sz="0" w:space="0" w:color="auto"/>
              </w:divBdr>
              <w:divsChild>
                <w:div w:id="14410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6534">
          <w:marLeft w:val="0"/>
          <w:marRight w:val="0"/>
          <w:marTop w:val="0"/>
          <w:marBottom w:val="0"/>
          <w:divBdr>
            <w:top w:val="none" w:sz="0" w:space="0" w:color="auto"/>
            <w:left w:val="none" w:sz="0" w:space="0" w:color="auto"/>
            <w:bottom w:val="none" w:sz="0" w:space="0" w:color="auto"/>
            <w:right w:val="none" w:sz="0" w:space="0" w:color="auto"/>
          </w:divBdr>
          <w:divsChild>
            <w:div w:id="1787046319">
              <w:marLeft w:val="0"/>
              <w:marRight w:val="0"/>
              <w:marTop w:val="0"/>
              <w:marBottom w:val="0"/>
              <w:divBdr>
                <w:top w:val="none" w:sz="0" w:space="0" w:color="auto"/>
                <w:left w:val="none" w:sz="0" w:space="0" w:color="auto"/>
                <w:bottom w:val="none" w:sz="0" w:space="0" w:color="auto"/>
                <w:right w:val="none" w:sz="0" w:space="0" w:color="auto"/>
              </w:divBdr>
              <w:divsChild>
                <w:div w:id="1119833960">
                  <w:marLeft w:val="0"/>
                  <w:marRight w:val="0"/>
                  <w:marTop w:val="0"/>
                  <w:marBottom w:val="0"/>
                  <w:divBdr>
                    <w:top w:val="none" w:sz="0" w:space="0" w:color="auto"/>
                    <w:left w:val="none" w:sz="0" w:space="0" w:color="auto"/>
                    <w:bottom w:val="none" w:sz="0" w:space="0" w:color="auto"/>
                    <w:right w:val="none" w:sz="0" w:space="0" w:color="auto"/>
                  </w:divBdr>
                </w:div>
              </w:divsChild>
            </w:div>
            <w:div w:id="703099523">
              <w:marLeft w:val="0"/>
              <w:marRight w:val="0"/>
              <w:marTop w:val="0"/>
              <w:marBottom w:val="0"/>
              <w:divBdr>
                <w:top w:val="none" w:sz="0" w:space="0" w:color="auto"/>
                <w:left w:val="none" w:sz="0" w:space="0" w:color="auto"/>
                <w:bottom w:val="none" w:sz="0" w:space="0" w:color="auto"/>
                <w:right w:val="none" w:sz="0" w:space="0" w:color="auto"/>
              </w:divBdr>
              <w:divsChild>
                <w:div w:id="7865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00F0-8F39-4047-A2CB-1A1A62685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10300</Words>
  <Characters>59782</Characters>
  <Application>Microsoft Office Word</Application>
  <DocSecurity>0</DocSecurity>
  <Lines>498</Lines>
  <Paragraphs>139</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6.12	UPADACITINIB, Tablet 15 mg, Rinvoq®, AbbVie Pty Ltd.</vt:lpstr>
      <vt:lpstr>Purpose of submission</vt:lpstr>
      <vt:lpstr>Background</vt:lpstr>
      <vt:lpstr>    Registration status</vt:lpstr>
      <vt:lpstr>Requested listing</vt:lpstr>
      <vt:lpstr>Population and disease</vt:lpstr>
      <vt:lpstr>Comparator</vt:lpstr>
      <vt:lpstr>Consideration of the evidence</vt:lpstr>
      <vt:lpstr>    Sponsor hearing</vt:lpstr>
      <vt:lpstr>    Consumer comments</vt:lpstr>
      <vt:lpstr>    Clinical trials</vt:lpstr>
      <vt:lpstr>    Comparative effectiveness</vt:lpstr>
      <vt:lpstr>    Comparative harms</vt:lpstr>
      <vt:lpstr>    Clinical claim</vt:lpstr>
      <vt:lpstr>    Economic analysis </vt:lpstr>
      <vt:lpstr>    Drug cost/patient/year: $''''''''''''''''</vt:lpstr>
      <vt:lpstr>    Estimated PBS usage &amp; financial implications</vt:lpstr>
      <vt:lpstr>    Quality Use of Medicines</vt:lpstr>
      <vt:lpstr>PBAC Outcome</vt:lpstr>
      <vt:lpstr>Recommended listing</vt:lpstr>
      <vt:lpstr>Context for Decision</vt:lpstr>
      <vt:lpstr>Sponsor’s Comment</vt:lpstr>
    </vt:vector>
  </TitlesOfParts>
  <Company/>
  <LinksUpToDate>false</LinksUpToDate>
  <CharactersWithSpaces>69943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2021-07-02T04:56:00Z</dcterms:created>
  <dcterms:modified xsi:type="dcterms:W3CDTF">2021-07-02T04:56:00Z</dcterms:modified>
</cp:coreProperties>
</file>