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C927B9" w:rsidRDefault="002B2BFF" w:rsidP="00D41155">
      <w:pPr>
        <w:pStyle w:val="1-MainHeading"/>
        <w:spacing w:before="0"/>
        <w:ind w:left="851" w:hanging="851"/>
      </w:pPr>
      <w:r w:rsidRPr="00C927B9">
        <w:t>6.14</w:t>
      </w:r>
      <w:r w:rsidR="00D41155" w:rsidRPr="00C927B9">
        <w:tab/>
      </w:r>
      <w:r w:rsidR="00A15AB8" w:rsidRPr="00C927B9">
        <w:t>VENETOCLAX</w:t>
      </w:r>
      <w:proofErr w:type="gramStart"/>
      <w:r w:rsidR="00163F66" w:rsidRPr="00C927B9">
        <w:t>,</w:t>
      </w:r>
      <w:proofErr w:type="gramEnd"/>
      <w:r w:rsidR="00163F66" w:rsidRPr="00C927B9">
        <w:br/>
      </w:r>
      <w:r w:rsidR="00F243F1" w:rsidRPr="00C927B9">
        <w:t>T</w:t>
      </w:r>
      <w:r w:rsidR="00A15AB8" w:rsidRPr="00C927B9">
        <w:t>ablet</w:t>
      </w:r>
      <w:r w:rsidR="00F243F1" w:rsidRPr="00C927B9">
        <w:t xml:space="preserve"> </w:t>
      </w:r>
      <w:r w:rsidR="00A15AB8" w:rsidRPr="00C927B9">
        <w:t>100 mg</w:t>
      </w:r>
      <w:r w:rsidR="00163F66" w:rsidRPr="00C927B9">
        <w:t>,</w:t>
      </w:r>
      <w:r w:rsidR="00163F66" w:rsidRPr="00C927B9">
        <w:br/>
      </w:r>
      <w:r w:rsidR="00A15AB8" w:rsidRPr="00C927B9">
        <w:t>Venclexta</w:t>
      </w:r>
      <w:r w:rsidR="00B60939" w:rsidRPr="00C927B9">
        <w:rPr>
          <w:vertAlign w:val="superscript"/>
        </w:rPr>
        <w:t>®</w:t>
      </w:r>
      <w:r w:rsidR="004A6040" w:rsidRPr="00C927B9">
        <w:t>,</w:t>
      </w:r>
      <w:r w:rsidR="004A6040" w:rsidRPr="00C927B9">
        <w:br/>
      </w:r>
      <w:r w:rsidR="00A15AB8" w:rsidRPr="00C927B9">
        <w:t>AbbVie Pty Ltd</w:t>
      </w:r>
      <w:r w:rsidR="00B60939" w:rsidRPr="00C927B9">
        <w:t>.</w:t>
      </w:r>
    </w:p>
    <w:p w:rsidR="00B50DB8" w:rsidRPr="00C927B9" w:rsidRDefault="00B50DB8" w:rsidP="004A6040">
      <w:pPr>
        <w:pStyle w:val="2-SectionHeading"/>
      </w:pPr>
      <w:bookmarkStart w:id="0" w:name="_Toc62040056"/>
      <w:r w:rsidRPr="00C927B9">
        <w:t xml:space="preserve">Purpose of </w:t>
      </w:r>
      <w:r w:rsidR="00CD7193" w:rsidRPr="00C927B9">
        <w:t>s</w:t>
      </w:r>
      <w:r w:rsidR="00BB3A45" w:rsidRPr="00C927B9">
        <w:t>ubmission</w:t>
      </w:r>
      <w:bookmarkEnd w:id="0"/>
    </w:p>
    <w:p w:rsidR="00F36508" w:rsidRPr="00C927B9" w:rsidRDefault="00F36508" w:rsidP="00F36508">
      <w:pPr>
        <w:pStyle w:val="ExecSumBodyText"/>
        <w:rPr>
          <w:lang w:val="en-AU"/>
        </w:rPr>
      </w:pPr>
      <w:r w:rsidRPr="00C927B9">
        <w:rPr>
          <w:lang w:val="en-AU"/>
        </w:rPr>
        <w:t>The submission requested an Authority Required (</w:t>
      </w:r>
      <w:r w:rsidR="00AE4C35" w:rsidRPr="00C927B9">
        <w:rPr>
          <w:lang w:val="en-AU"/>
        </w:rPr>
        <w:t>Telephone/Online</w:t>
      </w:r>
      <w:r w:rsidRPr="00C927B9">
        <w:rPr>
          <w:lang w:val="en-AU"/>
        </w:rPr>
        <w:t>) listing for venetoclax for the treatment of patients with newly diagnosed acute myeloid leukaemia</w:t>
      </w:r>
      <w:r w:rsidR="00A67090" w:rsidRPr="00C927B9">
        <w:rPr>
          <w:lang w:val="en-AU"/>
        </w:rPr>
        <w:t xml:space="preserve"> (AML)</w:t>
      </w:r>
      <w:r w:rsidRPr="00C927B9">
        <w:rPr>
          <w:lang w:val="en-AU"/>
        </w:rPr>
        <w:t>, ineligible for standard intensive remission induction chemotherapy, given in combination with azacitidine. Venetoclax has not previously been considered by the PBAC for this indication.</w:t>
      </w:r>
    </w:p>
    <w:p w:rsidR="00D2246F" w:rsidRPr="00C927B9" w:rsidRDefault="00D2246F" w:rsidP="00D2246F">
      <w:pPr>
        <w:pStyle w:val="ExecSumBodyText"/>
        <w:rPr>
          <w:lang w:val="en-AU"/>
        </w:rPr>
      </w:pPr>
      <w:r w:rsidRPr="00C927B9">
        <w:rPr>
          <w:lang w:val="en-AU"/>
        </w:rPr>
        <w:t xml:space="preserve">Listing was requested on the basis of a cost-effectiveness analysis versus azacitidine or </w:t>
      </w:r>
      <w:r w:rsidR="00364681" w:rsidRPr="00C927B9">
        <w:rPr>
          <w:lang w:val="en-AU"/>
        </w:rPr>
        <w:t>low-dose cytarabine</w:t>
      </w:r>
      <w:r w:rsidRPr="00C927B9">
        <w:rPr>
          <w:lang w:val="en-AU"/>
        </w:rPr>
        <w:t xml:space="preserve"> </w:t>
      </w:r>
      <w:r w:rsidR="00ED2E6B" w:rsidRPr="00C927B9">
        <w:rPr>
          <w:lang w:val="en-AU"/>
        </w:rPr>
        <w:t xml:space="preserve">(LoDAC) </w:t>
      </w:r>
      <w:r w:rsidRPr="00C927B9">
        <w:rPr>
          <w:lang w:val="en-AU"/>
        </w:rPr>
        <w:t>monotherapies.</w:t>
      </w:r>
      <w:r w:rsidR="008D478A" w:rsidRPr="00C927B9">
        <w:rPr>
          <w:color w:val="0066FF"/>
          <w:lang w:val="en-AU"/>
        </w:rPr>
        <w:t xml:space="preserve"> </w:t>
      </w:r>
    </w:p>
    <w:p w:rsidR="00C3796A" w:rsidRPr="00C927B9" w:rsidRDefault="0060344B" w:rsidP="0060344B">
      <w:pPr>
        <w:pStyle w:val="Caption"/>
        <w:rPr>
          <w:lang w:val="en-AU"/>
        </w:rPr>
      </w:pPr>
      <w:bookmarkStart w:id="1" w:name="_Ref64032177"/>
      <w:r w:rsidRPr="00C927B9">
        <w:rPr>
          <w:lang w:val="en-AU"/>
        </w:rPr>
        <w:t xml:space="preserve">Table </w:t>
      </w:r>
      <w:r w:rsidR="00DB3600" w:rsidRPr="00C927B9">
        <w:rPr>
          <w:lang w:val="en-AU"/>
        </w:rPr>
        <w:t>1</w:t>
      </w:r>
      <w:bookmarkEnd w:id="1"/>
      <w:r w:rsidRPr="00C927B9">
        <w:rPr>
          <w:lang w:val="en-AU"/>
        </w:rPr>
        <w:t xml:space="preserve">: </w:t>
      </w:r>
      <w:r w:rsidR="00C3796A" w:rsidRPr="00C927B9">
        <w:rPr>
          <w:lang w:val="en-AU"/>
        </w:rPr>
        <w:t>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C3796A" w:rsidRPr="00C927B9" w:rsidTr="00574791">
        <w:trPr>
          <w:cantSplit/>
          <w:tblHeader/>
        </w:trPr>
        <w:tc>
          <w:tcPr>
            <w:tcW w:w="924" w:type="pct"/>
            <w:shd w:val="clear" w:color="auto" w:fill="auto"/>
          </w:tcPr>
          <w:p w:rsidR="00C3796A" w:rsidRPr="00C927B9" w:rsidRDefault="00C3796A" w:rsidP="00574791">
            <w:pPr>
              <w:pStyle w:val="Tableheadingrow"/>
              <w:rPr>
                <w:szCs w:val="20"/>
                <w:lang w:val="en-AU"/>
              </w:rPr>
            </w:pPr>
            <w:r w:rsidRPr="00C927B9">
              <w:rPr>
                <w:lang w:val="en-AU"/>
              </w:rPr>
              <w:t>Component</w:t>
            </w:r>
          </w:p>
        </w:tc>
        <w:tc>
          <w:tcPr>
            <w:tcW w:w="4076" w:type="pct"/>
            <w:shd w:val="clear" w:color="auto" w:fill="auto"/>
          </w:tcPr>
          <w:p w:rsidR="00C3796A" w:rsidRPr="00C927B9" w:rsidRDefault="00C3796A" w:rsidP="00574791">
            <w:pPr>
              <w:pStyle w:val="Tableheadingrow"/>
              <w:rPr>
                <w:lang w:val="en-AU"/>
              </w:rPr>
            </w:pPr>
            <w:r w:rsidRPr="00C927B9">
              <w:rPr>
                <w:lang w:val="en-AU"/>
              </w:rPr>
              <w:t>Description</w:t>
            </w:r>
          </w:p>
        </w:tc>
      </w:tr>
      <w:tr w:rsidR="00C3796A" w:rsidRPr="00C927B9" w:rsidTr="00574791">
        <w:trPr>
          <w:cantSplit/>
        </w:trPr>
        <w:tc>
          <w:tcPr>
            <w:tcW w:w="924" w:type="pct"/>
            <w:shd w:val="clear" w:color="auto" w:fill="auto"/>
            <w:vAlign w:val="center"/>
          </w:tcPr>
          <w:p w:rsidR="00C3796A" w:rsidRPr="00C927B9" w:rsidRDefault="00C3796A" w:rsidP="00574791">
            <w:pPr>
              <w:pStyle w:val="TableText"/>
            </w:pPr>
            <w:r w:rsidRPr="00C927B9">
              <w:t>Population</w:t>
            </w:r>
          </w:p>
        </w:tc>
        <w:tc>
          <w:tcPr>
            <w:tcW w:w="4076" w:type="pct"/>
            <w:shd w:val="clear" w:color="auto" w:fill="auto"/>
            <w:vAlign w:val="center"/>
          </w:tcPr>
          <w:p w:rsidR="00C3796A" w:rsidRPr="00C927B9" w:rsidRDefault="00C3796A" w:rsidP="00574791">
            <w:pPr>
              <w:pStyle w:val="TableText"/>
              <w:rPr>
                <w:szCs w:val="20"/>
              </w:rPr>
            </w:pPr>
            <w:r w:rsidRPr="00C927B9">
              <w:t>Patients with newly diagnosed acute myeloid leukaemia ineligible for standard intensive induction chemotherapy.</w:t>
            </w:r>
          </w:p>
        </w:tc>
      </w:tr>
      <w:tr w:rsidR="00C3796A" w:rsidRPr="00C927B9" w:rsidTr="00574791">
        <w:trPr>
          <w:cantSplit/>
        </w:trPr>
        <w:tc>
          <w:tcPr>
            <w:tcW w:w="924" w:type="pct"/>
            <w:shd w:val="clear" w:color="auto" w:fill="auto"/>
            <w:vAlign w:val="center"/>
          </w:tcPr>
          <w:p w:rsidR="00C3796A" w:rsidRPr="00C927B9" w:rsidRDefault="00C3796A" w:rsidP="00574791">
            <w:pPr>
              <w:pStyle w:val="TableText"/>
            </w:pPr>
            <w:r w:rsidRPr="00C927B9">
              <w:t>Intervention</w:t>
            </w:r>
          </w:p>
        </w:tc>
        <w:tc>
          <w:tcPr>
            <w:tcW w:w="4076" w:type="pct"/>
            <w:shd w:val="clear" w:color="auto" w:fill="auto"/>
            <w:vAlign w:val="center"/>
          </w:tcPr>
          <w:p w:rsidR="00C3796A" w:rsidRPr="00C927B9" w:rsidRDefault="00C3796A" w:rsidP="00574791">
            <w:pPr>
              <w:pStyle w:val="TableText"/>
            </w:pPr>
            <w:r w:rsidRPr="00C927B9">
              <w:t>Venetoclax 400 mg tablet orally once daily on Days 1-28 each 28 day cycle, following dose ramp-up on Days 1-3 of Cycle 1 (i.e. 100 mg, 200 mg, 400 mg); plus azacitidine 75 mg/m</w:t>
            </w:r>
            <w:r w:rsidRPr="00C927B9">
              <w:rPr>
                <w:vertAlign w:val="superscript"/>
              </w:rPr>
              <w:t>2</w:t>
            </w:r>
            <w:r w:rsidRPr="00C927B9">
              <w:t xml:space="preserve"> by subcutaneous or intravenous injection once daily on Days 1-7 each 28 day cycle; until disease progression or unacceptable toxicity.</w:t>
            </w:r>
          </w:p>
        </w:tc>
      </w:tr>
      <w:tr w:rsidR="00C3796A" w:rsidRPr="00C927B9" w:rsidTr="00574791">
        <w:trPr>
          <w:cantSplit/>
        </w:trPr>
        <w:tc>
          <w:tcPr>
            <w:tcW w:w="924" w:type="pct"/>
            <w:shd w:val="clear" w:color="auto" w:fill="auto"/>
            <w:vAlign w:val="center"/>
          </w:tcPr>
          <w:p w:rsidR="00C3796A" w:rsidRPr="00C927B9" w:rsidRDefault="00C3796A" w:rsidP="00574791">
            <w:pPr>
              <w:pStyle w:val="TableText"/>
            </w:pPr>
            <w:r w:rsidRPr="00C927B9">
              <w:t>Comparator</w:t>
            </w:r>
          </w:p>
        </w:tc>
        <w:tc>
          <w:tcPr>
            <w:tcW w:w="4076" w:type="pct"/>
            <w:shd w:val="clear" w:color="auto" w:fill="auto"/>
            <w:vAlign w:val="center"/>
          </w:tcPr>
          <w:p w:rsidR="00C3796A" w:rsidRPr="00C927B9" w:rsidRDefault="00760AE1" w:rsidP="00574791">
            <w:pPr>
              <w:pStyle w:val="TableText"/>
              <w:keepNext w:val="0"/>
              <w:widowControl w:val="0"/>
            </w:pPr>
            <w:r w:rsidRPr="00C927B9">
              <w:t xml:space="preserve">Primary: </w:t>
            </w:r>
            <w:r w:rsidR="00C3796A" w:rsidRPr="00C927B9">
              <w:t>Azacitidine 75 mg/m</w:t>
            </w:r>
            <w:r w:rsidR="00C3796A" w:rsidRPr="00C927B9">
              <w:rPr>
                <w:vertAlign w:val="superscript"/>
              </w:rPr>
              <w:t>2</w:t>
            </w:r>
            <w:r w:rsidR="00C3796A" w:rsidRPr="00C927B9">
              <w:t xml:space="preserve"> by subcutaneous or intravenous injection once daily on Days 1-7 each 28 day cycle; until disease progression or unacceptable toxicity.</w:t>
            </w:r>
          </w:p>
          <w:p w:rsidR="00C3796A" w:rsidRPr="00C927B9" w:rsidRDefault="00760AE1" w:rsidP="00364681">
            <w:pPr>
              <w:pStyle w:val="TableText"/>
            </w:pPr>
            <w:r w:rsidRPr="00C927B9">
              <w:t xml:space="preserve">Secondary: </w:t>
            </w:r>
            <w:r w:rsidR="00C3796A" w:rsidRPr="00C927B9">
              <w:t>Low</w:t>
            </w:r>
            <w:r w:rsidR="00364681" w:rsidRPr="00C927B9">
              <w:t>-</w:t>
            </w:r>
            <w:r w:rsidR="00C3796A" w:rsidRPr="00C927B9">
              <w:t>dose cytarabine</w:t>
            </w:r>
            <w:r w:rsidR="00C3796A" w:rsidRPr="00C927B9">
              <w:rPr>
                <w:b/>
              </w:rPr>
              <w:t xml:space="preserve"> </w:t>
            </w:r>
            <w:r w:rsidR="00C3796A" w:rsidRPr="00C927B9">
              <w:t>20 mg by subcutaneous injection twice daily on Days 1-10 each 28 day cycle; until disease progression or unacceptable toxicity.</w:t>
            </w:r>
          </w:p>
        </w:tc>
      </w:tr>
      <w:tr w:rsidR="00C3796A" w:rsidRPr="00C927B9" w:rsidTr="00574791">
        <w:trPr>
          <w:cantSplit/>
        </w:trPr>
        <w:tc>
          <w:tcPr>
            <w:tcW w:w="924" w:type="pct"/>
            <w:shd w:val="clear" w:color="auto" w:fill="auto"/>
            <w:vAlign w:val="center"/>
          </w:tcPr>
          <w:p w:rsidR="00C3796A" w:rsidRPr="00C927B9" w:rsidRDefault="00C3796A" w:rsidP="00574791">
            <w:pPr>
              <w:pStyle w:val="TableText"/>
            </w:pPr>
            <w:r w:rsidRPr="00C927B9">
              <w:t>Outcomes</w:t>
            </w:r>
          </w:p>
        </w:tc>
        <w:tc>
          <w:tcPr>
            <w:tcW w:w="4076" w:type="pct"/>
            <w:shd w:val="clear" w:color="auto" w:fill="auto"/>
            <w:vAlign w:val="center"/>
          </w:tcPr>
          <w:p w:rsidR="00C3796A" w:rsidRPr="00C927B9" w:rsidRDefault="00C3796A" w:rsidP="00574791">
            <w:pPr>
              <w:pStyle w:val="TableText"/>
              <w:rPr>
                <w:rFonts w:eastAsia="Times New Roman" w:cs="Arial"/>
                <w:bCs w:val="0"/>
                <w:snapToGrid w:val="0"/>
                <w:color w:val="0066FF"/>
                <w:szCs w:val="20"/>
              </w:rPr>
            </w:pPr>
            <w:r w:rsidRPr="00C927B9">
              <w:t>Overall survival, complete remission, transfusion independence, event free survival, minimal residual disease, and safety.</w:t>
            </w:r>
          </w:p>
        </w:tc>
      </w:tr>
      <w:tr w:rsidR="00C3796A" w:rsidRPr="00C927B9" w:rsidTr="00574791">
        <w:trPr>
          <w:cantSplit/>
        </w:trPr>
        <w:tc>
          <w:tcPr>
            <w:tcW w:w="924" w:type="pct"/>
            <w:shd w:val="clear" w:color="auto" w:fill="auto"/>
            <w:vAlign w:val="center"/>
          </w:tcPr>
          <w:p w:rsidR="00C3796A" w:rsidRPr="00C927B9" w:rsidRDefault="00C3796A" w:rsidP="00574791">
            <w:pPr>
              <w:pStyle w:val="TableText"/>
            </w:pPr>
            <w:r w:rsidRPr="00C927B9">
              <w:t>Clinical claim</w:t>
            </w:r>
          </w:p>
        </w:tc>
        <w:tc>
          <w:tcPr>
            <w:tcW w:w="4076" w:type="pct"/>
            <w:shd w:val="clear" w:color="auto" w:fill="auto"/>
            <w:vAlign w:val="center"/>
          </w:tcPr>
          <w:p w:rsidR="00C3796A" w:rsidRPr="00C927B9" w:rsidRDefault="00C3796A" w:rsidP="00574791">
            <w:pPr>
              <w:pStyle w:val="TableText"/>
            </w:pPr>
            <w:r w:rsidRPr="00C927B9">
              <w:t>Venetoclax with azacitidine is associated with superior efficacy and inferior safety compared to azacitidine monotherapy</w:t>
            </w:r>
            <w:r w:rsidR="00F359CD" w:rsidRPr="00C927B9">
              <w:t>.</w:t>
            </w:r>
          </w:p>
          <w:p w:rsidR="00C3796A" w:rsidRPr="00C927B9" w:rsidRDefault="00C3796A" w:rsidP="00574791">
            <w:pPr>
              <w:pStyle w:val="TableText"/>
              <w:rPr>
                <w:rFonts w:eastAsia="Times New Roman" w:cs="Arial"/>
                <w:bCs w:val="0"/>
                <w:snapToGrid w:val="0"/>
                <w:color w:val="0066FF"/>
                <w:szCs w:val="20"/>
              </w:rPr>
            </w:pPr>
            <w:r w:rsidRPr="00C927B9">
              <w:t>Venetoclax with azacitidine is associated with superior efficacy and inferior safety compared to low</w:t>
            </w:r>
            <w:r w:rsidR="00760AE1" w:rsidRPr="00C927B9">
              <w:t>-</w:t>
            </w:r>
            <w:r w:rsidRPr="00C927B9">
              <w:t>dose cytarabine</w:t>
            </w:r>
            <w:r w:rsidRPr="00C927B9">
              <w:rPr>
                <w:b/>
              </w:rPr>
              <w:t xml:space="preserve"> </w:t>
            </w:r>
            <w:r w:rsidRPr="00C927B9">
              <w:t>monotherapy.</w:t>
            </w:r>
          </w:p>
        </w:tc>
      </w:tr>
    </w:tbl>
    <w:p w:rsidR="00C3796A" w:rsidRPr="00C927B9" w:rsidRDefault="00C3796A" w:rsidP="00C3796A">
      <w:pPr>
        <w:pStyle w:val="TableFigureFooter"/>
        <w:rPr>
          <w:lang w:val="en-AU"/>
        </w:rPr>
      </w:pPr>
      <w:r w:rsidRPr="00C927B9">
        <w:rPr>
          <w:lang w:val="en-AU"/>
        </w:rPr>
        <w:t>Source: Table 1-1, p.3 of the submission.</w:t>
      </w:r>
    </w:p>
    <w:p w:rsidR="005C25FF" w:rsidRPr="00C927B9" w:rsidRDefault="005C25FF" w:rsidP="004A6040">
      <w:pPr>
        <w:pStyle w:val="2-SectionHeading"/>
      </w:pPr>
      <w:bookmarkStart w:id="2" w:name="_Toc62040057"/>
      <w:r w:rsidRPr="00C927B9">
        <w:t>Background</w:t>
      </w:r>
      <w:bookmarkEnd w:id="2"/>
    </w:p>
    <w:p w:rsidR="005C25FF" w:rsidRPr="00C927B9" w:rsidRDefault="005C25FF" w:rsidP="004A6040">
      <w:pPr>
        <w:pStyle w:val="3-SubsectionHeading"/>
        <w:rPr>
          <w:lang w:val="en-AU"/>
        </w:rPr>
      </w:pPr>
      <w:bookmarkStart w:id="3" w:name="_Toc22897638"/>
      <w:bookmarkStart w:id="4" w:name="_Toc62040058"/>
      <w:r w:rsidRPr="00C927B9">
        <w:rPr>
          <w:lang w:val="en-AU"/>
        </w:rPr>
        <w:t>Registration status</w:t>
      </w:r>
      <w:bookmarkEnd w:id="3"/>
      <w:bookmarkEnd w:id="4"/>
    </w:p>
    <w:p w:rsidR="00ED2E6B" w:rsidRPr="00C927B9" w:rsidRDefault="00F10F56" w:rsidP="00ED2E6B">
      <w:pPr>
        <w:pStyle w:val="ExecSumBodyText"/>
        <w:rPr>
          <w:lang w:val="en-AU"/>
        </w:rPr>
      </w:pPr>
      <w:bookmarkStart w:id="5" w:name="_Hlk61353634"/>
      <w:r w:rsidRPr="00C927B9">
        <w:rPr>
          <w:rFonts w:ascii="Calibri" w:eastAsia="Calibri" w:hAnsi="Calibri"/>
          <w:b/>
          <w:szCs w:val="22"/>
          <w:lang w:val="en-AU"/>
        </w:rPr>
        <w:t xml:space="preserve">TGA status at time of </w:t>
      </w:r>
      <w:r w:rsidR="00F359CD" w:rsidRPr="00C927B9">
        <w:rPr>
          <w:rFonts w:ascii="Calibri" w:eastAsia="Calibri" w:hAnsi="Calibri"/>
          <w:b/>
          <w:szCs w:val="22"/>
          <w:lang w:val="en-AU"/>
        </w:rPr>
        <w:t xml:space="preserve">PBAC </w:t>
      </w:r>
      <w:r w:rsidR="00BB7416" w:rsidRPr="00C927B9">
        <w:rPr>
          <w:rFonts w:ascii="Calibri" w:eastAsia="Calibri" w:hAnsi="Calibri"/>
          <w:b/>
          <w:szCs w:val="22"/>
          <w:lang w:val="en-AU"/>
        </w:rPr>
        <w:t>consideration</w:t>
      </w:r>
      <w:r w:rsidRPr="00C927B9">
        <w:rPr>
          <w:rFonts w:ascii="Calibri" w:eastAsia="Calibri" w:hAnsi="Calibri"/>
          <w:szCs w:val="22"/>
          <w:lang w:val="en-AU"/>
        </w:rPr>
        <w:t xml:space="preserve">: </w:t>
      </w:r>
      <w:r w:rsidR="00ED2E6B" w:rsidRPr="00C927B9">
        <w:rPr>
          <w:lang w:val="en-AU"/>
        </w:rPr>
        <w:t xml:space="preserve">Venetoclax was granted provisional approval by the TGA for the treatment of newly diagnosed </w:t>
      </w:r>
      <w:r w:rsidR="00A67090" w:rsidRPr="00C927B9">
        <w:rPr>
          <w:lang w:val="en-AU"/>
        </w:rPr>
        <w:t>AML</w:t>
      </w:r>
      <w:r w:rsidR="00ED2E6B" w:rsidRPr="00C927B9">
        <w:rPr>
          <w:lang w:val="en-AU"/>
        </w:rPr>
        <w:t xml:space="preserve"> in adults who are ineligible for intensive chemotherapy as part of combination therapy with LoDAC (28 January 2020) and with azacitidine (5 February 2020). </w:t>
      </w:r>
    </w:p>
    <w:bookmarkEnd w:id="5"/>
    <w:p w:rsidR="00ED2E6B" w:rsidRPr="00C927B9" w:rsidRDefault="00102502" w:rsidP="00F359CD">
      <w:pPr>
        <w:pStyle w:val="ExecSumBodyText"/>
        <w:rPr>
          <w:lang w:val="en-AU"/>
        </w:rPr>
      </w:pPr>
      <w:r w:rsidRPr="00C927B9">
        <w:rPr>
          <w:lang w:val="en-AU"/>
        </w:rPr>
        <w:t>At the time of PBAC consideration, t</w:t>
      </w:r>
      <w:r w:rsidR="00ED2E6B" w:rsidRPr="00C927B9">
        <w:rPr>
          <w:lang w:val="en-AU"/>
        </w:rPr>
        <w:t xml:space="preserve">he regulatory submission to transition the provisional registration to full approval </w:t>
      </w:r>
      <w:r w:rsidRPr="00C927B9">
        <w:rPr>
          <w:lang w:val="en-AU"/>
        </w:rPr>
        <w:t>was</w:t>
      </w:r>
      <w:r w:rsidR="00ED2E6B" w:rsidRPr="00C927B9">
        <w:rPr>
          <w:lang w:val="en-AU"/>
        </w:rPr>
        <w:t xml:space="preserve"> under evaluation, under </w:t>
      </w:r>
      <w:r w:rsidR="003F3E8D" w:rsidRPr="00C927B9">
        <w:rPr>
          <w:lang w:val="en-AU"/>
        </w:rPr>
        <w:t xml:space="preserve">a </w:t>
      </w:r>
      <w:r w:rsidR="00ED2E6B" w:rsidRPr="00C927B9">
        <w:rPr>
          <w:lang w:val="en-AU"/>
        </w:rPr>
        <w:t>collaborative review initiative</w:t>
      </w:r>
      <w:r w:rsidR="003F3E8D" w:rsidRPr="00C927B9">
        <w:rPr>
          <w:lang w:val="en-AU"/>
        </w:rPr>
        <w:t xml:space="preserve"> with the US Food and Drug Administration (FDA)</w:t>
      </w:r>
      <w:r w:rsidR="00ED2E6B" w:rsidRPr="00C927B9">
        <w:rPr>
          <w:lang w:val="en-AU"/>
        </w:rPr>
        <w:t>.</w:t>
      </w:r>
      <w:r w:rsidR="003F3E8D" w:rsidRPr="00C927B9">
        <w:rPr>
          <w:lang w:val="en-AU"/>
        </w:rPr>
        <w:t xml:space="preserve"> </w:t>
      </w:r>
      <w:r w:rsidRPr="00C927B9">
        <w:rPr>
          <w:lang w:val="en-AU"/>
        </w:rPr>
        <w:t>T</w:t>
      </w:r>
      <w:r w:rsidR="003F3E8D" w:rsidRPr="00C927B9">
        <w:rPr>
          <w:lang w:val="en-AU"/>
        </w:rPr>
        <w:t xml:space="preserve">he US FDA </w:t>
      </w:r>
      <w:r w:rsidR="003F3E8D" w:rsidRPr="00C927B9">
        <w:rPr>
          <w:rFonts w:ascii="Calibri" w:hAnsi="Calibri"/>
          <w:snapToGrid/>
          <w:lang w:val="en-AU"/>
        </w:rPr>
        <w:t>multi-</w:t>
      </w:r>
      <w:proofErr w:type="gramStart"/>
      <w:r w:rsidR="003F3E8D" w:rsidRPr="00C927B9">
        <w:rPr>
          <w:rFonts w:ascii="Calibri" w:hAnsi="Calibri"/>
          <w:snapToGrid/>
          <w:lang w:val="en-AU"/>
        </w:rPr>
        <w:lastRenderedPageBreak/>
        <w:t>discipline</w:t>
      </w:r>
      <w:proofErr w:type="gramEnd"/>
      <w:r w:rsidR="003F3E8D" w:rsidRPr="00C927B9">
        <w:rPr>
          <w:rFonts w:ascii="Calibri" w:hAnsi="Calibri"/>
          <w:snapToGrid/>
          <w:lang w:val="en-AU"/>
        </w:rPr>
        <w:t xml:space="preserve"> review was available (in lieu of a TGA-branded Clinical Evaluation Report). </w:t>
      </w:r>
      <w:r w:rsidR="00F359CD" w:rsidRPr="00C927B9">
        <w:rPr>
          <w:rFonts w:ascii="Calibri" w:hAnsi="Calibri"/>
          <w:snapToGrid/>
          <w:lang w:val="en-AU"/>
        </w:rPr>
        <w:t>The FDA approved venetoclax for the treatment of AML in combination with azacitidine or low-dose cytarabine or decitabine</w:t>
      </w:r>
      <w:r w:rsidR="00A67090" w:rsidRPr="00C927B9">
        <w:rPr>
          <w:rFonts w:ascii="Calibri" w:hAnsi="Calibri"/>
          <w:snapToGrid/>
          <w:lang w:val="en-AU"/>
        </w:rPr>
        <w:t xml:space="preserve"> (16 October 2020)</w:t>
      </w:r>
      <w:r w:rsidR="00F359CD" w:rsidRPr="00C927B9">
        <w:rPr>
          <w:rFonts w:ascii="Calibri" w:hAnsi="Calibri"/>
          <w:snapToGrid/>
          <w:lang w:val="en-AU"/>
        </w:rPr>
        <w:t>.</w:t>
      </w:r>
    </w:p>
    <w:p w:rsidR="00861836" w:rsidRPr="00C927B9" w:rsidRDefault="00A67090" w:rsidP="00ED2E6B">
      <w:pPr>
        <w:pStyle w:val="ExecSumBodyText"/>
        <w:rPr>
          <w:lang w:val="en-AU"/>
        </w:rPr>
      </w:pPr>
      <w:bookmarkStart w:id="6" w:name="_Hlk61353727"/>
      <w:r w:rsidRPr="00C927B9">
        <w:rPr>
          <w:lang w:val="en-AU"/>
        </w:rPr>
        <w:t xml:space="preserve">The requested final indication for venetoclax </w:t>
      </w:r>
      <w:r w:rsidR="00102502" w:rsidRPr="00C927B9">
        <w:rPr>
          <w:lang w:val="en-AU"/>
        </w:rPr>
        <w:t>wa</w:t>
      </w:r>
      <w:r w:rsidRPr="00C927B9">
        <w:rPr>
          <w:lang w:val="en-AU"/>
        </w:rPr>
        <w:t>s consistent with the provisionally approved indication.</w:t>
      </w:r>
    </w:p>
    <w:bookmarkEnd w:id="6"/>
    <w:p w:rsidR="00F00E75" w:rsidRPr="00C927B9" w:rsidRDefault="001D3A6C" w:rsidP="00ED2E6B">
      <w:pPr>
        <w:pStyle w:val="ExecSumBodyText"/>
        <w:rPr>
          <w:lang w:val="en-AU"/>
        </w:rPr>
      </w:pPr>
      <w:r w:rsidRPr="00C927B9">
        <w:rPr>
          <w:lang w:val="en-AU"/>
        </w:rPr>
        <w:t>A</w:t>
      </w:r>
      <w:r w:rsidR="009822BF" w:rsidRPr="00C927B9">
        <w:rPr>
          <w:lang w:val="en-AU"/>
        </w:rPr>
        <w:t>zacitidine</w:t>
      </w:r>
      <w:r w:rsidRPr="00C927B9">
        <w:rPr>
          <w:lang w:val="en-AU"/>
        </w:rPr>
        <w:t xml:space="preserve"> has an ARTG listing</w:t>
      </w:r>
      <w:r w:rsidR="00F359CD" w:rsidRPr="00C927B9">
        <w:rPr>
          <w:lang w:val="en-AU"/>
        </w:rPr>
        <w:t xml:space="preserve"> for </w:t>
      </w:r>
      <w:r w:rsidR="009822BF" w:rsidRPr="00C927B9">
        <w:rPr>
          <w:lang w:val="en-AU"/>
        </w:rPr>
        <w:t>patients with myelodysplastic syndromes</w:t>
      </w:r>
      <w:r w:rsidR="00AA681A" w:rsidRPr="00C927B9">
        <w:rPr>
          <w:lang w:val="en-AU"/>
        </w:rPr>
        <w:t xml:space="preserve"> (MDS)</w:t>
      </w:r>
      <w:r w:rsidR="009822BF" w:rsidRPr="00C927B9">
        <w:rPr>
          <w:lang w:val="en-AU"/>
        </w:rPr>
        <w:t>, chronic myelomonocytic leukaemia</w:t>
      </w:r>
      <w:r w:rsidR="00AA681A" w:rsidRPr="00C927B9">
        <w:rPr>
          <w:lang w:val="en-AU"/>
        </w:rPr>
        <w:t xml:space="preserve"> (CMML)</w:t>
      </w:r>
      <w:r w:rsidR="009822BF" w:rsidRPr="00C927B9">
        <w:rPr>
          <w:lang w:val="en-AU"/>
        </w:rPr>
        <w:t xml:space="preserve">, and </w:t>
      </w:r>
      <w:r w:rsidR="00AA681A" w:rsidRPr="00C927B9">
        <w:rPr>
          <w:lang w:val="en-AU"/>
        </w:rPr>
        <w:t>AML</w:t>
      </w:r>
      <w:r w:rsidR="009822BF" w:rsidRPr="00C927B9">
        <w:rPr>
          <w:lang w:val="en-AU"/>
        </w:rPr>
        <w:t xml:space="preserve"> with 20-30% blasts and multi-lineage dysplasia</w:t>
      </w:r>
      <w:r w:rsidR="00F359CD" w:rsidRPr="00C927B9">
        <w:rPr>
          <w:lang w:val="en-AU"/>
        </w:rPr>
        <w:t>.</w:t>
      </w:r>
    </w:p>
    <w:p w:rsidR="00085A6E" w:rsidRPr="00C927B9" w:rsidRDefault="00085A6E" w:rsidP="001F508A">
      <w:pPr>
        <w:pStyle w:val="ExecSumBodyText"/>
        <w:numPr>
          <w:ilvl w:val="0"/>
          <w:numId w:val="0"/>
        </w:numPr>
        <w:ind w:left="720"/>
        <w:rPr>
          <w:lang w:val="en-AU"/>
        </w:rPr>
      </w:pPr>
      <w:r w:rsidRPr="00C927B9">
        <w:rPr>
          <w:i/>
          <w:lang w:val="en-AU"/>
        </w:rPr>
        <w:t>For more detail on the PBAC’s view, see section 7 PBAC outcome.</w:t>
      </w:r>
    </w:p>
    <w:p w:rsidR="00B60939" w:rsidRPr="00C927B9" w:rsidRDefault="00B50DB8" w:rsidP="004E18E9">
      <w:pPr>
        <w:pStyle w:val="2-SectionHeading"/>
      </w:pPr>
      <w:bookmarkStart w:id="7" w:name="_Toc62040060"/>
      <w:r w:rsidRPr="00C927B9">
        <w:t>Requested listing</w:t>
      </w:r>
      <w:bookmarkEnd w:id="7"/>
    </w:p>
    <w:p w:rsidR="004A0672" w:rsidRPr="00C927B9" w:rsidRDefault="00BB7416" w:rsidP="004A0672">
      <w:pPr>
        <w:pStyle w:val="ExecSumBodyText"/>
        <w:rPr>
          <w:rFonts w:cstheme="minorHAnsi"/>
          <w:lang w:val="en-AU"/>
        </w:rPr>
      </w:pPr>
      <w:r w:rsidRPr="00C927B9">
        <w:rPr>
          <w:rFonts w:cstheme="minorHAnsi"/>
          <w:lang w:val="en-AU"/>
        </w:rPr>
        <w:t>Suggestions and additions proposed by the Secretariat are added in italics and suggested deletions are crossed out with strikethrough.</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988"/>
        <w:gridCol w:w="1277"/>
        <w:gridCol w:w="1135"/>
        <w:gridCol w:w="851"/>
        <w:gridCol w:w="2229"/>
        <w:gridCol w:w="1461"/>
        <w:gridCol w:w="86"/>
      </w:tblGrid>
      <w:tr w:rsidR="00F9569B" w:rsidRPr="00C927B9" w:rsidTr="00B44EAB">
        <w:trPr>
          <w:gridAfter w:val="1"/>
          <w:wAfter w:w="86" w:type="dxa"/>
        </w:trPr>
        <w:tc>
          <w:tcPr>
            <w:tcW w:w="1985" w:type="dxa"/>
            <w:tcBorders>
              <w:bottom w:val="single" w:sz="4" w:space="0" w:color="auto"/>
            </w:tcBorders>
          </w:tcPr>
          <w:p w:rsidR="00F9569B" w:rsidRPr="00C927B9" w:rsidRDefault="00F9569B" w:rsidP="00574791">
            <w:pPr>
              <w:pStyle w:val="TableFigureCaption"/>
            </w:pPr>
            <w:r w:rsidRPr="00C927B9">
              <w:t>Name, restriction, manner of administration, form</w:t>
            </w:r>
          </w:p>
        </w:tc>
        <w:tc>
          <w:tcPr>
            <w:tcW w:w="1276" w:type="dxa"/>
            <w:tcBorders>
              <w:bottom w:val="single" w:sz="4" w:space="0" w:color="auto"/>
            </w:tcBorders>
            <w:vAlign w:val="center"/>
          </w:tcPr>
          <w:p w:rsidR="00F9569B" w:rsidRPr="00C927B9" w:rsidRDefault="00F9569B" w:rsidP="00574791">
            <w:pPr>
              <w:pStyle w:val="TableFigureCaption"/>
              <w:jc w:val="center"/>
            </w:pPr>
            <w:r w:rsidRPr="00C927B9">
              <w:t>Maximum quantity (packs)</w:t>
            </w:r>
          </w:p>
        </w:tc>
        <w:tc>
          <w:tcPr>
            <w:tcW w:w="1134" w:type="dxa"/>
            <w:tcBorders>
              <w:bottom w:val="single" w:sz="4" w:space="0" w:color="auto"/>
            </w:tcBorders>
            <w:vAlign w:val="center"/>
          </w:tcPr>
          <w:p w:rsidR="00F9569B" w:rsidRPr="00C927B9" w:rsidRDefault="00F9569B" w:rsidP="00574791">
            <w:pPr>
              <w:pStyle w:val="TableFigureCaption"/>
              <w:jc w:val="center"/>
            </w:pPr>
            <w:r w:rsidRPr="00C927B9">
              <w:t>Maximum amount (units)</w:t>
            </w:r>
          </w:p>
        </w:tc>
        <w:tc>
          <w:tcPr>
            <w:tcW w:w="850" w:type="dxa"/>
            <w:tcBorders>
              <w:bottom w:val="single" w:sz="4" w:space="0" w:color="auto"/>
            </w:tcBorders>
            <w:vAlign w:val="center"/>
          </w:tcPr>
          <w:p w:rsidR="00F9569B" w:rsidRPr="00C927B9" w:rsidRDefault="00F9569B" w:rsidP="00574791">
            <w:pPr>
              <w:pStyle w:val="TableFigureCaption"/>
              <w:jc w:val="center"/>
            </w:pPr>
            <w:r w:rsidRPr="00C927B9">
              <w:t>No. of repeats</w:t>
            </w:r>
          </w:p>
        </w:tc>
        <w:tc>
          <w:tcPr>
            <w:tcW w:w="2227" w:type="dxa"/>
            <w:tcBorders>
              <w:bottom w:val="single" w:sz="4" w:space="0" w:color="auto"/>
            </w:tcBorders>
            <w:vAlign w:val="center"/>
          </w:tcPr>
          <w:p w:rsidR="00F9569B" w:rsidRPr="00C927B9" w:rsidRDefault="00F9569B" w:rsidP="00574791">
            <w:pPr>
              <w:pStyle w:val="TableFigureCaption"/>
              <w:jc w:val="center"/>
            </w:pPr>
            <w:r w:rsidRPr="00C927B9">
              <w:t>Dispensed price for maximum quantity</w:t>
            </w:r>
          </w:p>
        </w:tc>
        <w:tc>
          <w:tcPr>
            <w:tcW w:w="1459" w:type="dxa"/>
            <w:tcBorders>
              <w:bottom w:val="single" w:sz="4" w:space="0" w:color="auto"/>
            </w:tcBorders>
            <w:vAlign w:val="center"/>
          </w:tcPr>
          <w:p w:rsidR="00F9569B" w:rsidRPr="00C927B9" w:rsidRDefault="00F9569B" w:rsidP="00574791">
            <w:pPr>
              <w:pStyle w:val="TableFigureCaption"/>
              <w:jc w:val="center"/>
            </w:pPr>
            <w:r w:rsidRPr="00C927B9">
              <w:t>Proprietary name and manufacturer</w:t>
            </w:r>
          </w:p>
        </w:tc>
      </w:tr>
      <w:tr w:rsidR="00F9569B" w:rsidRPr="00C927B9" w:rsidTr="00B44EAB">
        <w:trPr>
          <w:gridAfter w:val="1"/>
          <w:wAfter w:w="86" w:type="dxa"/>
        </w:trPr>
        <w:tc>
          <w:tcPr>
            <w:tcW w:w="1985" w:type="dxa"/>
            <w:tcBorders>
              <w:bottom w:val="nil"/>
            </w:tcBorders>
            <w:vAlign w:val="center"/>
          </w:tcPr>
          <w:p w:rsidR="00F9569B" w:rsidRPr="00C927B9" w:rsidRDefault="00F9569B" w:rsidP="00574791">
            <w:pPr>
              <w:pStyle w:val="TableText"/>
              <w:rPr>
                <w:smallCaps/>
              </w:rPr>
            </w:pPr>
            <w:r w:rsidRPr="00C927B9">
              <w:rPr>
                <w:smallCaps/>
              </w:rPr>
              <w:t>Venetoclax</w:t>
            </w:r>
          </w:p>
          <w:p w:rsidR="00F9569B" w:rsidRPr="00C927B9" w:rsidRDefault="00F9569B" w:rsidP="00574791">
            <w:pPr>
              <w:pStyle w:val="TableText"/>
            </w:pPr>
            <w:r w:rsidRPr="00C927B9">
              <w:t>100 mg tablet, 120</w:t>
            </w:r>
          </w:p>
        </w:tc>
        <w:tc>
          <w:tcPr>
            <w:tcW w:w="1276" w:type="dxa"/>
            <w:tcBorders>
              <w:bottom w:val="nil"/>
            </w:tcBorders>
            <w:vAlign w:val="center"/>
          </w:tcPr>
          <w:p w:rsidR="00F9569B" w:rsidRPr="00C927B9" w:rsidRDefault="00F9569B" w:rsidP="00574791">
            <w:pPr>
              <w:pStyle w:val="TableText"/>
              <w:jc w:val="center"/>
              <w:rPr>
                <w:rFonts w:ascii="Times" w:hAnsi="Times"/>
              </w:rPr>
            </w:pPr>
            <w:r w:rsidRPr="00C927B9">
              <w:t>1</w:t>
            </w:r>
          </w:p>
        </w:tc>
        <w:tc>
          <w:tcPr>
            <w:tcW w:w="1134" w:type="dxa"/>
            <w:tcBorders>
              <w:bottom w:val="nil"/>
            </w:tcBorders>
            <w:vAlign w:val="center"/>
          </w:tcPr>
          <w:p w:rsidR="00F9569B" w:rsidRPr="00C927B9" w:rsidRDefault="00F9569B" w:rsidP="00574791">
            <w:pPr>
              <w:pStyle w:val="TableText"/>
              <w:jc w:val="center"/>
              <w:rPr>
                <w:rFonts w:ascii="Times" w:hAnsi="Times"/>
              </w:rPr>
            </w:pPr>
            <w:r w:rsidRPr="00C927B9">
              <w:t>120</w:t>
            </w:r>
          </w:p>
        </w:tc>
        <w:tc>
          <w:tcPr>
            <w:tcW w:w="850" w:type="dxa"/>
            <w:tcBorders>
              <w:bottom w:val="nil"/>
            </w:tcBorders>
            <w:vAlign w:val="center"/>
          </w:tcPr>
          <w:p w:rsidR="00F9569B" w:rsidRPr="00C927B9" w:rsidRDefault="00F9569B" w:rsidP="00574791">
            <w:pPr>
              <w:pStyle w:val="TableText"/>
              <w:jc w:val="center"/>
              <w:rPr>
                <w:rFonts w:ascii="Times" w:hAnsi="Times"/>
                <w:i/>
              </w:rPr>
            </w:pPr>
            <w:r w:rsidRPr="00C927B9">
              <w:rPr>
                <w:strike/>
              </w:rPr>
              <w:t>5</w:t>
            </w:r>
            <w:r w:rsidR="00102502" w:rsidRPr="00C927B9">
              <w:t xml:space="preserve"> </w:t>
            </w:r>
            <w:r w:rsidR="00102502" w:rsidRPr="00C927B9">
              <w:rPr>
                <w:i/>
              </w:rPr>
              <w:t>0</w:t>
            </w:r>
          </w:p>
        </w:tc>
        <w:tc>
          <w:tcPr>
            <w:tcW w:w="2227" w:type="dxa"/>
            <w:tcBorders>
              <w:bottom w:val="nil"/>
            </w:tcBorders>
            <w:vAlign w:val="center"/>
          </w:tcPr>
          <w:p w:rsidR="00F9569B" w:rsidRPr="00C927B9" w:rsidRDefault="00F9569B" w:rsidP="00574791">
            <w:pPr>
              <w:pStyle w:val="TableText"/>
              <w:jc w:val="center"/>
            </w:pPr>
            <w:r w:rsidRPr="00C927B9">
              <w:t>$7,799.98 (published)</w:t>
            </w:r>
          </w:p>
          <w:p w:rsidR="00F9569B" w:rsidRPr="00C927B9" w:rsidRDefault="00F9569B" w:rsidP="00574791">
            <w:pPr>
              <w:pStyle w:val="TableText"/>
              <w:jc w:val="center"/>
              <w:rPr>
                <w:rFonts w:ascii="Times" w:hAnsi="Times"/>
              </w:rPr>
            </w:pPr>
            <w:r w:rsidRPr="00C927B9">
              <w:t>$</w:t>
            </w:r>
            <w:r w:rsidR="004F2A12">
              <w:rPr>
                <w:noProof/>
                <w:color w:val="000000"/>
                <w:highlight w:val="black"/>
              </w:rPr>
              <w:t>'''''''''''''''''''</w:t>
            </w:r>
            <w:r w:rsidRPr="00C927B9">
              <w:t xml:space="preserve"> (effective)</w:t>
            </w:r>
          </w:p>
        </w:tc>
        <w:tc>
          <w:tcPr>
            <w:tcW w:w="1459" w:type="dxa"/>
            <w:tcBorders>
              <w:bottom w:val="nil"/>
            </w:tcBorders>
            <w:vAlign w:val="center"/>
          </w:tcPr>
          <w:p w:rsidR="00F9569B" w:rsidRPr="00C927B9" w:rsidRDefault="00F9569B" w:rsidP="00574791">
            <w:pPr>
              <w:pStyle w:val="TableText"/>
              <w:jc w:val="center"/>
              <w:rPr>
                <w:rFonts w:ascii="Times" w:hAnsi="Times"/>
              </w:rPr>
            </w:pPr>
            <w:r w:rsidRPr="00C927B9">
              <w:t>VENCLEXTA</w:t>
            </w:r>
            <w:r w:rsidRPr="00C927B9">
              <w:rPr>
                <w:vertAlign w:val="superscript"/>
              </w:rPr>
              <w:t>®</w:t>
            </w:r>
            <w:r w:rsidRPr="00C927B9">
              <w:t>, AbbVie Pty Ltd</w:t>
            </w:r>
          </w:p>
        </w:tc>
      </w:tr>
      <w:tr w:rsidR="00F9569B" w:rsidRPr="00C927B9" w:rsidTr="00B44EAB">
        <w:trPr>
          <w:gridAfter w:val="1"/>
          <w:wAfter w:w="86" w:type="dxa"/>
        </w:trPr>
        <w:tc>
          <w:tcPr>
            <w:tcW w:w="1985" w:type="dxa"/>
            <w:tcBorders>
              <w:top w:val="nil"/>
              <w:bottom w:val="nil"/>
            </w:tcBorders>
            <w:vAlign w:val="center"/>
          </w:tcPr>
          <w:p w:rsidR="00F9569B" w:rsidRPr="00C927B9" w:rsidRDefault="00F9569B" w:rsidP="00574791">
            <w:pPr>
              <w:pStyle w:val="TableText"/>
              <w:rPr>
                <w:smallCaps/>
                <w:sz w:val="6"/>
                <w:szCs w:val="6"/>
              </w:rPr>
            </w:pPr>
          </w:p>
        </w:tc>
        <w:tc>
          <w:tcPr>
            <w:tcW w:w="1276" w:type="dxa"/>
            <w:tcBorders>
              <w:top w:val="nil"/>
              <w:bottom w:val="nil"/>
            </w:tcBorders>
            <w:vAlign w:val="center"/>
          </w:tcPr>
          <w:p w:rsidR="00F9569B" w:rsidRPr="00C927B9" w:rsidRDefault="00F9569B" w:rsidP="00574791">
            <w:pPr>
              <w:pStyle w:val="TableText"/>
              <w:jc w:val="center"/>
              <w:rPr>
                <w:sz w:val="6"/>
                <w:szCs w:val="6"/>
              </w:rPr>
            </w:pPr>
          </w:p>
        </w:tc>
        <w:tc>
          <w:tcPr>
            <w:tcW w:w="1134" w:type="dxa"/>
            <w:tcBorders>
              <w:top w:val="nil"/>
              <w:bottom w:val="nil"/>
            </w:tcBorders>
            <w:vAlign w:val="center"/>
          </w:tcPr>
          <w:p w:rsidR="00F9569B" w:rsidRPr="00C927B9" w:rsidRDefault="00F9569B" w:rsidP="00574791">
            <w:pPr>
              <w:pStyle w:val="TableText"/>
              <w:jc w:val="center"/>
              <w:rPr>
                <w:sz w:val="6"/>
                <w:szCs w:val="6"/>
              </w:rPr>
            </w:pPr>
          </w:p>
        </w:tc>
        <w:tc>
          <w:tcPr>
            <w:tcW w:w="850" w:type="dxa"/>
            <w:tcBorders>
              <w:top w:val="nil"/>
              <w:bottom w:val="nil"/>
            </w:tcBorders>
            <w:vAlign w:val="center"/>
          </w:tcPr>
          <w:p w:rsidR="00F9569B" w:rsidRPr="00C927B9" w:rsidRDefault="00F9569B" w:rsidP="00574791">
            <w:pPr>
              <w:pStyle w:val="TableText"/>
              <w:jc w:val="center"/>
              <w:rPr>
                <w:sz w:val="6"/>
                <w:szCs w:val="6"/>
              </w:rPr>
            </w:pPr>
          </w:p>
        </w:tc>
        <w:tc>
          <w:tcPr>
            <w:tcW w:w="2227" w:type="dxa"/>
            <w:tcBorders>
              <w:top w:val="nil"/>
              <w:bottom w:val="nil"/>
            </w:tcBorders>
            <w:vAlign w:val="center"/>
          </w:tcPr>
          <w:p w:rsidR="00F9569B" w:rsidRPr="00C927B9" w:rsidRDefault="00F9569B" w:rsidP="00574791">
            <w:pPr>
              <w:pStyle w:val="TableText"/>
              <w:jc w:val="center"/>
              <w:rPr>
                <w:sz w:val="6"/>
                <w:szCs w:val="6"/>
              </w:rPr>
            </w:pPr>
          </w:p>
        </w:tc>
        <w:tc>
          <w:tcPr>
            <w:tcW w:w="1459" w:type="dxa"/>
            <w:tcBorders>
              <w:top w:val="nil"/>
              <w:bottom w:val="nil"/>
            </w:tcBorders>
            <w:vAlign w:val="center"/>
          </w:tcPr>
          <w:p w:rsidR="00F9569B" w:rsidRPr="00C927B9" w:rsidRDefault="00F9569B" w:rsidP="00574791">
            <w:pPr>
              <w:pStyle w:val="TableText"/>
              <w:jc w:val="center"/>
              <w:rPr>
                <w:sz w:val="6"/>
                <w:szCs w:val="6"/>
              </w:rPr>
            </w:pPr>
          </w:p>
        </w:tc>
      </w:tr>
      <w:tr w:rsidR="00B5184B" w:rsidRPr="00C927B9" w:rsidTr="00B44EAB">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9017" w:type="dxa"/>
            <w:gridSpan w:val="7"/>
            <w:tcBorders>
              <w:top w:val="single" w:sz="4" w:space="0" w:color="auto"/>
              <w:left w:val="single" w:sz="4" w:space="0" w:color="auto"/>
              <w:bottom w:val="single" w:sz="4" w:space="0" w:color="auto"/>
              <w:right w:val="single" w:sz="4" w:space="0" w:color="auto"/>
            </w:tcBorders>
          </w:tcPr>
          <w:p w:rsidR="00B5184B" w:rsidRPr="00C927B9" w:rsidRDefault="00B5184B" w:rsidP="00B5184B">
            <w:pPr>
              <w:rPr>
                <w:rFonts w:ascii="Arial Narrow" w:eastAsia="Calibri" w:hAnsi="Arial Narrow"/>
                <w:sz w:val="20"/>
                <w:szCs w:val="20"/>
                <w:lang w:val="en-AU" w:eastAsia="en-US"/>
              </w:rPr>
            </w:pPr>
            <w:r w:rsidRPr="00C927B9">
              <w:rPr>
                <w:rFonts w:ascii="Arial Narrow" w:eastAsia="Calibri" w:hAnsi="Arial Narrow"/>
                <w:b/>
                <w:sz w:val="20"/>
                <w:szCs w:val="20"/>
                <w:lang w:val="en-AU" w:eastAsia="en-US"/>
              </w:rPr>
              <w:t xml:space="preserve">Category / Program: </w:t>
            </w:r>
            <w:r w:rsidRPr="00C927B9">
              <w:rPr>
                <w:rFonts w:ascii="Arial Narrow" w:eastAsia="Calibri" w:hAnsi="Arial Narrow"/>
                <w:sz w:val="20"/>
                <w:szCs w:val="20"/>
                <w:lang w:val="en-AU" w:eastAsia="en-US"/>
              </w:rPr>
              <w:t xml:space="preserve">GENERAL – General Schedule (Code GE) </w:t>
            </w:r>
          </w:p>
        </w:tc>
      </w:tr>
      <w:tr w:rsidR="00B5184B" w:rsidRPr="00C927B9" w:rsidTr="00B44EAB">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240"/>
        </w:trPr>
        <w:tc>
          <w:tcPr>
            <w:tcW w:w="9017" w:type="dxa"/>
            <w:gridSpan w:val="7"/>
            <w:tcBorders>
              <w:top w:val="single" w:sz="4" w:space="0" w:color="auto"/>
              <w:left w:val="single" w:sz="4" w:space="0" w:color="auto"/>
              <w:bottom w:val="single" w:sz="4" w:space="0" w:color="auto"/>
              <w:right w:val="single" w:sz="4" w:space="0" w:color="auto"/>
            </w:tcBorders>
          </w:tcPr>
          <w:p w:rsidR="00B5184B" w:rsidRPr="00C927B9" w:rsidRDefault="00B5184B" w:rsidP="00AC3BF3">
            <w:pPr>
              <w:rPr>
                <w:rFonts w:ascii="Arial Narrow" w:eastAsia="Calibri" w:hAnsi="Arial Narrow"/>
                <w:b/>
                <w:sz w:val="20"/>
                <w:szCs w:val="20"/>
                <w:lang w:val="en-AU" w:eastAsia="en-US"/>
              </w:rPr>
            </w:pPr>
            <w:r w:rsidRPr="00C927B9">
              <w:rPr>
                <w:rFonts w:ascii="Arial Narrow" w:eastAsia="Calibri" w:hAnsi="Arial Narrow"/>
                <w:b/>
                <w:sz w:val="20"/>
                <w:szCs w:val="20"/>
                <w:lang w:val="en-AU" w:eastAsia="en-US"/>
              </w:rPr>
              <w:t xml:space="preserve">Prescriber type:   </w:t>
            </w:r>
            <w:r w:rsidRPr="00C927B9">
              <w:rPr>
                <w:rFonts w:ascii="Arial Narrow" w:eastAsia="Calibri" w:hAnsi="Arial Narrow"/>
                <w:sz w:val="20"/>
                <w:szCs w:val="20"/>
                <w:lang w:val="en-AU" w:eastAsia="en-US"/>
              </w:rPr>
              <w:fldChar w:fldCharType="begin">
                <w:ffData>
                  <w:name w:val="Check1"/>
                  <w:enabled/>
                  <w:calcOnExit w:val="0"/>
                  <w:checkBox>
                    <w:sizeAuto/>
                    <w:default w:val="0"/>
                  </w:checkBox>
                </w:ffData>
              </w:fldChar>
            </w:r>
            <w:r w:rsidRPr="00C927B9">
              <w:rPr>
                <w:rFonts w:ascii="Arial Narrow" w:eastAsia="Calibri" w:hAnsi="Arial Narrow"/>
                <w:sz w:val="20"/>
                <w:szCs w:val="20"/>
                <w:lang w:val="en-AU" w:eastAsia="en-US"/>
              </w:rPr>
              <w:instrText xml:space="preserve"> FORMCHECKBOX </w:instrText>
            </w:r>
            <w:r w:rsidR="000146B9">
              <w:rPr>
                <w:rFonts w:ascii="Arial Narrow" w:eastAsia="Calibri" w:hAnsi="Arial Narrow"/>
                <w:sz w:val="20"/>
                <w:szCs w:val="20"/>
                <w:lang w:val="en-AU" w:eastAsia="en-US"/>
              </w:rPr>
            </w:r>
            <w:r w:rsidR="000146B9">
              <w:rPr>
                <w:rFonts w:ascii="Arial Narrow" w:eastAsia="Calibri" w:hAnsi="Arial Narrow"/>
                <w:sz w:val="20"/>
                <w:szCs w:val="20"/>
                <w:lang w:val="en-AU" w:eastAsia="en-US"/>
              </w:rPr>
              <w:fldChar w:fldCharType="separate"/>
            </w:r>
            <w:r w:rsidRPr="00C927B9">
              <w:rPr>
                <w:rFonts w:ascii="Arial Narrow" w:eastAsia="Calibri" w:hAnsi="Arial Narrow"/>
                <w:sz w:val="20"/>
                <w:szCs w:val="20"/>
                <w:lang w:val="en-AU" w:eastAsia="en-US"/>
              </w:rPr>
              <w:fldChar w:fldCharType="end"/>
            </w:r>
            <w:r w:rsidRPr="00C927B9">
              <w:rPr>
                <w:rFonts w:ascii="Arial Narrow" w:eastAsia="Calibri" w:hAnsi="Arial Narrow"/>
                <w:sz w:val="20"/>
                <w:szCs w:val="20"/>
                <w:lang w:val="en-AU" w:eastAsia="en-US"/>
              </w:rPr>
              <w:t xml:space="preserve">Dental    </w:t>
            </w:r>
            <w:r w:rsidRPr="00C927B9">
              <w:rPr>
                <w:rFonts w:ascii="Arial Narrow" w:eastAsia="Calibri" w:hAnsi="Arial Narrow"/>
                <w:sz w:val="20"/>
                <w:szCs w:val="20"/>
                <w:lang w:val="en-AU" w:eastAsia="en-US"/>
              </w:rPr>
              <w:fldChar w:fldCharType="begin">
                <w:ffData>
                  <w:name w:val=""/>
                  <w:enabled/>
                  <w:calcOnExit w:val="0"/>
                  <w:checkBox>
                    <w:sizeAuto/>
                    <w:default w:val="1"/>
                  </w:checkBox>
                </w:ffData>
              </w:fldChar>
            </w:r>
            <w:r w:rsidRPr="00C927B9">
              <w:rPr>
                <w:rFonts w:ascii="Arial Narrow" w:eastAsia="Calibri" w:hAnsi="Arial Narrow"/>
                <w:sz w:val="20"/>
                <w:szCs w:val="20"/>
                <w:lang w:val="en-AU" w:eastAsia="en-US"/>
              </w:rPr>
              <w:instrText xml:space="preserve"> FORMCHECKBOX </w:instrText>
            </w:r>
            <w:r w:rsidR="000146B9">
              <w:rPr>
                <w:rFonts w:ascii="Arial Narrow" w:eastAsia="Calibri" w:hAnsi="Arial Narrow"/>
                <w:sz w:val="20"/>
                <w:szCs w:val="20"/>
                <w:lang w:val="en-AU" w:eastAsia="en-US"/>
              </w:rPr>
            </w:r>
            <w:r w:rsidR="000146B9">
              <w:rPr>
                <w:rFonts w:ascii="Arial Narrow" w:eastAsia="Calibri" w:hAnsi="Arial Narrow"/>
                <w:sz w:val="20"/>
                <w:szCs w:val="20"/>
                <w:lang w:val="en-AU" w:eastAsia="en-US"/>
              </w:rPr>
              <w:fldChar w:fldCharType="separate"/>
            </w:r>
            <w:r w:rsidRPr="00C927B9">
              <w:rPr>
                <w:rFonts w:ascii="Arial Narrow" w:eastAsia="Calibri" w:hAnsi="Arial Narrow"/>
                <w:sz w:val="20"/>
                <w:szCs w:val="20"/>
                <w:lang w:val="en-AU" w:eastAsia="en-US"/>
              </w:rPr>
              <w:fldChar w:fldCharType="end"/>
            </w:r>
            <w:r w:rsidRPr="00C927B9">
              <w:rPr>
                <w:rFonts w:ascii="Arial Narrow" w:eastAsia="Calibri" w:hAnsi="Arial Narrow"/>
                <w:sz w:val="20"/>
                <w:szCs w:val="20"/>
                <w:lang w:val="en-AU" w:eastAsia="en-US"/>
              </w:rPr>
              <w:t xml:space="preserve">Medical Practitioners    </w:t>
            </w:r>
            <w:r w:rsidRPr="00C927B9">
              <w:rPr>
                <w:rFonts w:ascii="Arial Narrow" w:eastAsia="Calibri" w:hAnsi="Arial Narrow"/>
                <w:sz w:val="20"/>
                <w:szCs w:val="20"/>
                <w:lang w:val="en-AU" w:eastAsia="en-US"/>
              </w:rPr>
              <w:fldChar w:fldCharType="begin">
                <w:ffData>
                  <w:name w:val="Check3"/>
                  <w:enabled/>
                  <w:calcOnExit w:val="0"/>
                  <w:checkBox>
                    <w:sizeAuto/>
                    <w:default w:val="0"/>
                  </w:checkBox>
                </w:ffData>
              </w:fldChar>
            </w:r>
            <w:r w:rsidRPr="00C927B9">
              <w:rPr>
                <w:rFonts w:ascii="Arial Narrow" w:eastAsia="Calibri" w:hAnsi="Arial Narrow"/>
                <w:sz w:val="20"/>
                <w:szCs w:val="20"/>
                <w:lang w:val="en-AU" w:eastAsia="en-US"/>
              </w:rPr>
              <w:instrText xml:space="preserve"> FORMCHECKBOX </w:instrText>
            </w:r>
            <w:r w:rsidR="000146B9">
              <w:rPr>
                <w:rFonts w:ascii="Arial Narrow" w:eastAsia="Calibri" w:hAnsi="Arial Narrow"/>
                <w:sz w:val="20"/>
                <w:szCs w:val="20"/>
                <w:lang w:val="en-AU" w:eastAsia="en-US"/>
              </w:rPr>
            </w:r>
            <w:r w:rsidR="000146B9">
              <w:rPr>
                <w:rFonts w:ascii="Arial Narrow" w:eastAsia="Calibri" w:hAnsi="Arial Narrow"/>
                <w:sz w:val="20"/>
                <w:szCs w:val="20"/>
                <w:lang w:val="en-AU" w:eastAsia="en-US"/>
              </w:rPr>
              <w:fldChar w:fldCharType="separate"/>
            </w:r>
            <w:r w:rsidRPr="00C927B9">
              <w:rPr>
                <w:rFonts w:ascii="Arial Narrow" w:eastAsia="Calibri" w:hAnsi="Arial Narrow"/>
                <w:sz w:val="20"/>
                <w:szCs w:val="20"/>
                <w:lang w:val="en-AU" w:eastAsia="en-US"/>
              </w:rPr>
              <w:fldChar w:fldCharType="end"/>
            </w:r>
            <w:r w:rsidRPr="00C927B9">
              <w:rPr>
                <w:rFonts w:ascii="Arial Narrow" w:eastAsia="Calibri" w:hAnsi="Arial Narrow"/>
                <w:sz w:val="20"/>
                <w:szCs w:val="20"/>
                <w:lang w:val="en-AU" w:eastAsia="en-US"/>
              </w:rPr>
              <w:t xml:space="preserve">Nurse practitioners     </w:t>
            </w:r>
            <w:r w:rsidRPr="00C927B9">
              <w:rPr>
                <w:rFonts w:ascii="Arial Narrow" w:eastAsia="Calibri" w:hAnsi="Arial Narrow"/>
                <w:sz w:val="20"/>
                <w:szCs w:val="20"/>
                <w:lang w:val="en-AU" w:eastAsia="en-US"/>
              </w:rPr>
              <w:fldChar w:fldCharType="begin">
                <w:ffData>
                  <w:name w:val=""/>
                  <w:enabled/>
                  <w:calcOnExit w:val="0"/>
                  <w:checkBox>
                    <w:sizeAuto/>
                    <w:default w:val="0"/>
                  </w:checkBox>
                </w:ffData>
              </w:fldChar>
            </w:r>
            <w:r w:rsidRPr="00C927B9">
              <w:rPr>
                <w:rFonts w:ascii="Arial Narrow" w:eastAsia="Calibri" w:hAnsi="Arial Narrow"/>
                <w:sz w:val="20"/>
                <w:szCs w:val="20"/>
                <w:lang w:val="en-AU" w:eastAsia="en-US"/>
              </w:rPr>
              <w:instrText xml:space="preserve"> FORMCHECKBOX </w:instrText>
            </w:r>
            <w:r w:rsidR="000146B9">
              <w:rPr>
                <w:rFonts w:ascii="Arial Narrow" w:eastAsia="Calibri" w:hAnsi="Arial Narrow"/>
                <w:sz w:val="20"/>
                <w:szCs w:val="20"/>
                <w:lang w:val="en-AU" w:eastAsia="en-US"/>
              </w:rPr>
            </w:r>
            <w:r w:rsidR="000146B9">
              <w:rPr>
                <w:rFonts w:ascii="Arial Narrow" w:eastAsia="Calibri" w:hAnsi="Arial Narrow"/>
                <w:sz w:val="20"/>
                <w:szCs w:val="20"/>
                <w:lang w:val="en-AU" w:eastAsia="en-US"/>
              </w:rPr>
              <w:fldChar w:fldCharType="separate"/>
            </w:r>
            <w:r w:rsidRPr="00C927B9">
              <w:rPr>
                <w:rFonts w:ascii="Arial Narrow" w:eastAsia="Calibri" w:hAnsi="Arial Narrow"/>
                <w:sz w:val="20"/>
                <w:szCs w:val="20"/>
                <w:lang w:val="en-AU" w:eastAsia="en-US"/>
              </w:rPr>
              <w:fldChar w:fldCharType="end"/>
            </w:r>
            <w:r w:rsidRPr="00C927B9">
              <w:rPr>
                <w:rFonts w:ascii="Arial Narrow" w:eastAsia="Calibri" w:hAnsi="Arial Narrow"/>
                <w:sz w:val="20"/>
                <w:szCs w:val="20"/>
                <w:lang w:val="en-AU" w:eastAsia="en-US"/>
              </w:rPr>
              <w:t xml:space="preserve">Optometrists    </w:t>
            </w:r>
            <w:r w:rsidRPr="00C927B9">
              <w:rPr>
                <w:rFonts w:ascii="Arial Narrow" w:eastAsia="Calibri" w:hAnsi="Arial Narrow"/>
                <w:sz w:val="20"/>
                <w:szCs w:val="20"/>
                <w:lang w:val="en-AU" w:eastAsia="en-US"/>
              </w:rPr>
              <w:fldChar w:fldCharType="begin">
                <w:ffData>
                  <w:name w:val="Check5"/>
                  <w:enabled/>
                  <w:calcOnExit w:val="0"/>
                  <w:checkBox>
                    <w:sizeAuto/>
                    <w:default w:val="0"/>
                  </w:checkBox>
                </w:ffData>
              </w:fldChar>
            </w:r>
            <w:r w:rsidRPr="00C927B9">
              <w:rPr>
                <w:rFonts w:ascii="Arial Narrow" w:eastAsia="Calibri" w:hAnsi="Arial Narrow"/>
                <w:sz w:val="20"/>
                <w:szCs w:val="20"/>
                <w:lang w:val="en-AU" w:eastAsia="en-US"/>
              </w:rPr>
              <w:instrText xml:space="preserve"> FORMCHECKBOX </w:instrText>
            </w:r>
            <w:r w:rsidR="000146B9">
              <w:rPr>
                <w:rFonts w:ascii="Arial Narrow" w:eastAsia="Calibri" w:hAnsi="Arial Narrow"/>
                <w:sz w:val="20"/>
                <w:szCs w:val="20"/>
                <w:lang w:val="en-AU" w:eastAsia="en-US"/>
              </w:rPr>
            </w:r>
            <w:r w:rsidR="000146B9">
              <w:rPr>
                <w:rFonts w:ascii="Arial Narrow" w:eastAsia="Calibri" w:hAnsi="Arial Narrow"/>
                <w:sz w:val="20"/>
                <w:szCs w:val="20"/>
                <w:lang w:val="en-AU" w:eastAsia="en-US"/>
              </w:rPr>
              <w:fldChar w:fldCharType="separate"/>
            </w:r>
            <w:r w:rsidRPr="00C927B9">
              <w:rPr>
                <w:rFonts w:ascii="Arial Narrow" w:eastAsia="Calibri" w:hAnsi="Arial Narrow"/>
                <w:sz w:val="20"/>
                <w:szCs w:val="20"/>
                <w:lang w:val="en-AU" w:eastAsia="en-US"/>
              </w:rPr>
              <w:fldChar w:fldCharType="end"/>
            </w:r>
            <w:r w:rsidRPr="00C927B9">
              <w:rPr>
                <w:rFonts w:ascii="Arial Narrow" w:eastAsia="Calibri" w:hAnsi="Arial Narrow"/>
                <w:sz w:val="20"/>
                <w:szCs w:val="20"/>
                <w:lang w:val="en-AU" w:eastAsia="en-US"/>
              </w:rPr>
              <w:t>Midwives</w:t>
            </w:r>
          </w:p>
        </w:tc>
      </w:tr>
      <w:tr w:rsidR="00B5184B" w:rsidRPr="00C927B9" w:rsidTr="00B44EAB">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9017" w:type="dxa"/>
            <w:gridSpan w:val="7"/>
            <w:tcBorders>
              <w:top w:val="single" w:sz="4" w:space="0" w:color="auto"/>
              <w:left w:val="single" w:sz="4" w:space="0" w:color="auto"/>
              <w:bottom w:val="single" w:sz="4" w:space="0" w:color="auto"/>
              <w:right w:val="single" w:sz="4" w:space="0" w:color="auto"/>
            </w:tcBorders>
          </w:tcPr>
          <w:p w:rsidR="00B5184B" w:rsidRPr="00C927B9" w:rsidRDefault="00B5184B" w:rsidP="00AC3BF3">
            <w:pPr>
              <w:rPr>
                <w:rFonts w:ascii="Arial Narrow" w:eastAsia="Calibri" w:hAnsi="Arial Narrow"/>
                <w:b/>
                <w:sz w:val="20"/>
                <w:szCs w:val="20"/>
                <w:lang w:val="en-AU" w:eastAsia="en-US"/>
              </w:rPr>
            </w:pPr>
            <w:r w:rsidRPr="00C927B9">
              <w:rPr>
                <w:rFonts w:ascii="Arial Narrow" w:eastAsia="Calibri" w:hAnsi="Arial Narrow"/>
                <w:b/>
                <w:sz w:val="20"/>
                <w:szCs w:val="20"/>
                <w:lang w:val="en-AU" w:eastAsia="en-US"/>
              </w:rPr>
              <w:t>Restriction Type – assessment time by Services Australia – Method of obtaining authority approval (if Authority Required)</w:t>
            </w:r>
          </w:p>
          <w:p w:rsidR="00B5184B" w:rsidRPr="00C927B9" w:rsidRDefault="00B5184B" w:rsidP="00AC3BF3">
            <w:pPr>
              <w:rPr>
                <w:rFonts w:ascii="Arial Narrow" w:eastAsia="Calibri" w:hAnsi="Arial Narrow"/>
                <w:sz w:val="20"/>
                <w:szCs w:val="20"/>
                <w:lang w:val="en-AU" w:eastAsia="en-US"/>
              </w:rPr>
            </w:pPr>
            <w:r w:rsidRPr="00C927B9">
              <w:rPr>
                <w:rFonts w:ascii="Arial Narrow" w:eastAsia="Calibri" w:hAnsi="Arial Narrow"/>
                <w:sz w:val="20"/>
                <w:szCs w:val="20"/>
                <w:lang w:val="en-AU" w:eastAsia="en-US"/>
              </w:rPr>
              <w:fldChar w:fldCharType="begin">
                <w:ffData>
                  <w:name w:val="Check3"/>
                  <w:enabled/>
                  <w:calcOnExit w:val="0"/>
                  <w:checkBox>
                    <w:sizeAuto/>
                    <w:default w:val="1"/>
                  </w:checkBox>
                </w:ffData>
              </w:fldChar>
            </w:r>
            <w:r w:rsidRPr="00C927B9">
              <w:rPr>
                <w:rFonts w:ascii="Arial Narrow" w:eastAsia="Calibri" w:hAnsi="Arial Narrow"/>
                <w:sz w:val="20"/>
                <w:szCs w:val="20"/>
                <w:lang w:val="en-AU" w:eastAsia="en-US"/>
              </w:rPr>
              <w:instrText xml:space="preserve"> FORMCHECKBOX </w:instrText>
            </w:r>
            <w:r w:rsidR="000146B9">
              <w:rPr>
                <w:rFonts w:ascii="Arial Narrow" w:eastAsia="Calibri" w:hAnsi="Arial Narrow"/>
                <w:sz w:val="20"/>
                <w:szCs w:val="20"/>
                <w:lang w:val="en-AU" w:eastAsia="en-US"/>
              </w:rPr>
            </w:r>
            <w:r w:rsidR="000146B9">
              <w:rPr>
                <w:rFonts w:ascii="Arial Narrow" w:eastAsia="Calibri" w:hAnsi="Arial Narrow"/>
                <w:sz w:val="20"/>
                <w:szCs w:val="20"/>
                <w:lang w:val="en-AU" w:eastAsia="en-US"/>
              </w:rPr>
              <w:fldChar w:fldCharType="separate"/>
            </w:r>
            <w:r w:rsidRPr="00C927B9">
              <w:rPr>
                <w:rFonts w:ascii="Arial Narrow" w:eastAsia="Calibri" w:hAnsi="Arial Narrow"/>
                <w:sz w:val="20"/>
                <w:szCs w:val="20"/>
                <w:lang w:val="en-AU" w:eastAsia="en-US"/>
              </w:rPr>
              <w:fldChar w:fldCharType="end"/>
            </w:r>
            <w:r w:rsidRPr="00C927B9">
              <w:rPr>
                <w:rFonts w:ascii="Arial Narrow" w:eastAsia="Calibri" w:hAnsi="Arial Narrow"/>
                <w:sz w:val="20"/>
                <w:szCs w:val="20"/>
                <w:lang w:val="en-AU" w:eastAsia="en-US"/>
              </w:rPr>
              <w:t>Authority Required – immediate/real time assessment by Services Australia (telephone/electronic)</w:t>
            </w:r>
          </w:p>
        </w:tc>
      </w:tr>
      <w:tr w:rsidR="00B5184B" w:rsidRPr="00C927B9" w:rsidTr="00B44EAB">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9017" w:type="dxa"/>
            <w:gridSpan w:val="7"/>
            <w:vAlign w:val="center"/>
          </w:tcPr>
          <w:p w:rsidR="00B5184B" w:rsidRPr="00C927B9" w:rsidRDefault="00B5184B" w:rsidP="00AC3BF3">
            <w:pPr>
              <w:jc w:val="left"/>
              <w:rPr>
                <w:rFonts w:ascii="Arial Narrow" w:hAnsi="Arial Narrow" w:cs="Times New Roman"/>
                <w:bCs/>
                <w:strike/>
                <w:sz w:val="20"/>
                <w:szCs w:val="20"/>
                <w:lang w:val="en-AU"/>
              </w:rPr>
            </w:pPr>
            <w:proofErr w:type="spellStart"/>
            <w:r w:rsidRPr="00C927B9">
              <w:rPr>
                <w:rFonts w:ascii="Arial Narrow" w:hAnsi="Arial Narrow" w:cs="Times New Roman"/>
                <w:b/>
                <w:bCs/>
                <w:strike/>
                <w:sz w:val="20"/>
                <w:szCs w:val="20"/>
                <w:lang w:val="en-AU"/>
              </w:rPr>
              <w:t>Episodicity</w:t>
            </w:r>
            <w:proofErr w:type="spellEnd"/>
            <w:r w:rsidRPr="00C927B9">
              <w:rPr>
                <w:rFonts w:ascii="Arial Narrow" w:hAnsi="Arial Narrow" w:cs="Times New Roman"/>
                <w:b/>
                <w:bCs/>
                <w:strike/>
                <w:sz w:val="20"/>
                <w:szCs w:val="20"/>
                <w:lang w:val="en-AU"/>
              </w:rPr>
              <w:t xml:space="preserve">: </w:t>
            </w:r>
            <w:r w:rsidRPr="00C927B9">
              <w:rPr>
                <w:rFonts w:ascii="Arial Narrow" w:hAnsi="Arial Narrow" w:cs="Times New Roman"/>
                <w:bCs/>
                <w:strike/>
                <w:sz w:val="20"/>
                <w:szCs w:val="20"/>
                <w:lang w:val="en-AU"/>
              </w:rPr>
              <w:t>Untreated/newly diagnosed</w:t>
            </w:r>
          </w:p>
        </w:tc>
      </w:tr>
      <w:tr w:rsidR="00B5184B" w:rsidRPr="00C927B9" w:rsidTr="00B44EAB">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9017" w:type="dxa"/>
            <w:gridSpan w:val="7"/>
            <w:vAlign w:val="center"/>
          </w:tcPr>
          <w:p w:rsidR="00B5184B" w:rsidRPr="00C927B9" w:rsidRDefault="00B5184B" w:rsidP="00AC3BF3">
            <w:pPr>
              <w:jc w:val="left"/>
              <w:rPr>
                <w:rFonts w:ascii="Arial Narrow" w:hAnsi="Arial Narrow" w:cs="Times New Roman"/>
                <w:b/>
                <w:bCs/>
                <w:sz w:val="20"/>
                <w:szCs w:val="20"/>
                <w:lang w:val="en-AU"/>
              </w:rPr>
            </w:pPr>
            <w:r w:rsidRPr="00C927B9">
              <w:rPr>
                <w:rFonts w:ascii="Arial Narrow" w:hAnsi="Arial Narrow" w:cs="Times New Roman"/>
                <w:b/>
                <w:bCs/>
                <w:sz w:val="20"/>
                <w:szCs w:val="20"/>
                <w:lang w:val="en-AU"/>
              </w:rPr>
              <w:t xml:space="preserve">Condition: </w:t>
            </w:r>
            <w:r w:rsidRPr="00C927B9">
              <w:rPr>
                <w:rFonts w:ascii="Arial Narrow" w:hAnsi="Arial Narrow" w:cs="Times New Roman"/>
                <w:bCs/>
                <w:sz w:val="20"/>
                <w:szCs w:val="20"/>
                <w:lang w:val="en-AU"/>
              </w:rPr>
              <w:t>Acute myeloid leukaemia (AML)</w:t>
            </w:r>
          </w:p>
        </w:tc>
      </w:tr>
      <w:tr w:rsidR="00B5184B" w:rsidRPr="00C927B9" w:rsidTr="00B44EAB">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9017" w:type="dxa"/>
            <w:gridSpan w:val="7"/>
            <w:vAlign w:val="center"/>
            <w:hideMark/>
          </w:tcPr>
          <w:p w:rsidR="00B5184B" w:rsidRPr="00C927B9" w:rsidRDefault="00B5184B" w:rsidP="00AC3BF3">
            <w:pPr>
              <w:jc w:val="left"/>
              <w:rPr>
                <w:rFonts w:ascii="Arial Narrow" w:hAnsi="Arial Narrow" w:cs="Times New Roman"/>
                <w:sz w:val="20"/>
                <w:szCs w:val="20"/>
                <w:lang w:val="en-AU"/>
              </w:rPr>
            </w:pPr>
            <w:r w:rsidRPr="00C927B9">
              <w:rPr>
                <w:rFonts w:ascii="Arial Narrow" w:hAnsi="Arial Narrow" w:cs="Times New Roman"/>
                <w:b/>
                <w:bCs/>
                <w:sz w:val="20"/>
                <w:szCs w:val="20"/>
                <w:lang w:val="en-AU"/>
              </w:rPr>
              <w:t>Indication:</w:t>
            </w:r>
            <w:r w:rsidRPr="00C927B9">
              <w:rPr>
                <w:rFonts w:ascii="Arial Narrow" w:hAnsi="Arial Narrow" w:cs="Times New Roman"/>
                <w:sz w:val="20"/>
                <w:szCs w:val="20"/>
                <w:lang w:val="en-AU"/>
              </w:rPr>
              <w:t xml:space="preserve"> </w:t>
            </w:r>
            <w:r w:rsidRPr="00C927B9">
              <w:rPr>
                <w:rFonts w:ascii="Arial Narrow" w:hAnsi="Arial Narrow" w:cs="Times New Roman"/>
                <w:strike/>
                <w:sz w:val="20"/>
                <w:szCs w:val="20"/>
                <w:lang w:val="en-AU"/>
              </w:rPr>
              <w:t>Newly diagnosed</w:t>
            </w:r>
            <w:r w:rsidRPr="00C927B9">
              <w:rPr>
                <w:rFonts w:ascii="Arial Narrow" w:hAnsi="Arial Narrow" w:cs="Times New Roman"/>
                <w:sz w:val="20"/>
                <w:szCs w:val="20"/>
                <w:lang w:val="en-AU"/>
              </w:rPr>
              <w:t xml:space="preserve"> acute myeloid leukaemia (AML)</w:t>
            </w:r>
          </w:p>
        </w:tc>
      </w:tr>
      <w:tr w:rsidR="00B5184B" w:rsidRPr="00C927B9" w:rsidTr="00B44EAB">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9017" w:type="dxa"/>
            <w:gridSpan w:val="7"/>
            <w:vAlign w:val="center"/>
            <w:hideMark/>
          </w:tcPr>
          <w:p w:rsidR="00B5184B" w:rsidRPr="00C927B9" w:rsidRDefault="00B5184B" w:rsidP="00AC3BF3">
            <w:pPr>
              <w:jc w:val="left"/>
              <w:rPr>
                <w:rFonts w:ascii="Arial Narrow" w:hAnsi="Arial Narrow" w:cs="Times New Roman"/>
                <w:strike/>
                <w:sz w:val="20"/>
                <w:szCs w:val="20"/>
                <w:lang w:val="en-AU"/>
              </w:rPr>
            </w:pPr>
            <w:r w:rsidRPr="00C927B9">
              <w:rPr>
                <w:rFonts w:ascii="Arial Narrow" w:hAnsi="Arial Narrow" w:cs="Times New Roman"/>
                <w:b/>
                <w:bCs/>
                <w:strike/>
                <w:sz w:val="20"/>
                <w:szCs w:val="20"/>
                <w:lang w:val="en-AU"/>
              </w:rPr>
              <w:t>Treatment Phase:</w:t>
            </w:r>
            <w:r w:rsidRPr="00C927B9">
              <w:rPr>
                <w:rFonts w:ascii="Arial Narrow" w:hAnsi="Arial Narrow" w:cs="Times New Roman"/>
                <w:strike/>
                <w:sz w:val="20"/>
                <w:szCs w:val="20"/>
                <w:lang w:val="en-AU"/>
              </w:rPr>
              <w:t xml:space="preserve"> Initial treatment</w:t>
            </w:r>
          </w:p>
        </w:tc>
      </w:tr>
      <w:tr w:rsidR="00B5184B" w:rsidRPr="00C927B9" w:rsidTr="00B44EAB">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9017" w:type="dxa"/>
            <w:gridSpan w:val="7"/>
            <w:vAlign w:val="center"/>
            <w:hideMark/>
          </w:tcPr>
          <w:p w:rsidR="00B5184B" w:rsidRPr="00C927B9" w:rsidRDefault="00B5184B" w:rsidP="00AC3BF3">
            <w:pPr>
              <w:jc w:val="left"/>
              <w:rPr>
                <w:rFonts w:ascii="Arial Narrow" w:hAnsi="Arial Narrow" w:cs="Times New Roman"/>
                <w:sz w:val="20"/>
                <w:szCs w:val="20"/>
                <w:lang w:val="en-AU"/>
              </w:rPr>
            </w:pPr>
            <w:r w:rsidRPr="00C927B9">
              <w:rPr>
                <w:rFonts w:ascii="Arial Narrow" w:hAnsi="Arial Narrow" w:cs="Times New Roman"/>
                <w:b/>
                <w:bCs/>
                <w:sz w:val="20"/>
                <w:szCs w:val="20"/>
                <w:lang w:val="en-AU"/>
              </w:rPr>
              <w:t>Clinical criteria:</w:t>
            </w:r>
          </w:p>
        </w:tc>
      </w:tr>
      <w:tr w:rsidR="00B5184B" w:rsidRPr="00C927B9" w:rsidTr="00B44EAB">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9017" w:type="dxa"/>
            <w:gridSpan w:val="7"/>
            <w:tcBorders>
              <w:top w:val="single" w:sz="4" w:space="0" w:color="auto"/>
              <w:left w:val="single" w:sz="4" w:space="0" w:color="auto"/>
              <w:bottom w:val="single" w:sz="4" w:space="0" w:color="auto"/>
              <w:right w:val="single" w:sz="4" w:space="0" w:color="auto"/>
            </w:tcBorders>
            <w:vAlign w:val="center"/>
            <w:hideMark/>
          </w:tcPr>
          <w:p w:rsidR="00B5184B" w:rsidRPr="00C927B9" w:rsidRDefault="00B5184B" w:rsidP="00AC3BF3">
            <w:pPr>
              <w:jc w:val="left"/>
              <w:rPr>
                <w:rFonts w:ascii="Arial Narrow" w:hAnsi="Arial Narrow"/>
                <w:strike/>
                <w:sz w:val="20"/>
                <w:szCs w:val="20"/>
                <w:lang w:val="en-AU"/>
              </w:rPr>
            </w:pPr>
            <w:r w:rsidRPr="00C927B9">
              <w:rPr>
                <w:rFonts w:ascii="Arial Narrow" w:hAnsi="Arial Narrow"/>
                <w:bCs/>
                <w:strike/>
                <w:sz w:val="20"/>
                <w:szCs w:val="20"/>
                <w:lang w:val="en-AU" w:eastAsia="en-US"/>
              </w:rPr>
              <w:t>Patient must not have previously received PBS-subsidised treatment with this drug for this condition</w:t>
            </w:r>
          </w:p>
        </w:tc>
      </w:tr>
      <w:tr w:rsidR="00B5184B" w:rsidRPr="00C927B9" w:rsidTr="00B44EAB">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9017" w:type="dxa"/>
            <w:gridSpan w:val="7"/>
            <w:tcBorders>
              <w:top w:val="single" w:sz="4" w:space="0" w:color="auto"/>
              <w:left w:val="single" w:sz="4" w:space="0" w:color="auto"/>
              <w:bottom w:val="single" w:sz="4" w:space="0" w:color="auto"/>
              <w:right w:val="single" w:sz="4" w:space="0" w:color="auto"/>
            </w:tcBorders>
            <w:vAlign w:val="center"/>
            <w:hideMark/>
          </w:tcPr>
          <w:p w:rsidR="00B5184B" w:rsidRPr="00C927B9" w:rsidRDefault="00B5184B" w:rsidP="00AC3BF3">
            <w:pPr>
              <w:jc w:val="left"/>
              <w:rPr>
                <w:rFonts w:ascii="Arial Narrow" w:hAnsi="Arial Narrow"/>
                <w:strike/>
                <w:sz w:val="20"/>
                <w:szCs w:val="20"/>
                <w:lang w:val="en-AU"/>
              </w:rPr>
            </w:pPr>
            <w:r w:rsidRPr="00C927B9">
              <w:rPr>
                <w:rFonts w:ascii="Arial Narrow" w:hAnsi="Arial Narrow"/>
                <w:bCs/>
                <w:strike/>
                <w:sz w:val="20"/>
                <w:szCs w:val="20"/>
                <w:lang w:val="en-AU" w:eastAsia="en-US"/>
              </w:rPr>
              <w:t>AND</w:t>
            </w:r>
          </w:p>
        </w:tc>
      </w:tr>
      <w:tr w:rsidR="00B5184B" w:rsidRPr="00C927B9" w:rsidTr="00B44EAB">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20"/>
        </w:trPr>
        <w:tc>
          <w:tcPr>
            <w:tcW w:w="9017" w:type="dxa"/>
            <w:gridSpan w:val="7"/>
            <w:tcBorders>
              <w:top w:val="single" w:sz="4" w:space="0" w:color="auto"/>
              <w:left w:val="single" w:sz="4" w:space="0" w:color="auto"/>
              <w:bottom w:val="single" w:sz="4" w:space="0" w:color="auto"/>
              <w:right w:val="single" w:sz="4" w:space="0" w:color="auto"/>
            </w:tcBorders>
            <w:vAlign w:val="center"/>
            <w:hideMark/>
          </w:tcPr>
          <w:p w:rsidR="00B5184B" w:rsidRPr="00C927B9" w:rsidRDefault="00B5184B" w:rsidP="00AC3BF3">
            <w:pPr>
              <w:jc w:val="left"/>
              <w:rPr>
                <w:rFonts w:ascii="Arial Narrow" w:hAnsi="Arial Narrow"/>
                <w:strike/>
                <w:sz w:val="20"/>
                <w:szCs w:val="20"/>
                <w:lang w:val="en-AU"/>
              </w:rPr>
            </w:pPr>
            <w:r w:rsidRPr="00C927B9">
              <w:rPr>
                <w:rFonts w:ascii="Arial Narrow" w:hAnsi="Arial Narrow"/>
                <w:strike/>
                <w:sz w:val="20"/>
                <w:szCs w:val="20"/>
                <w:lang w:val="en-AU" w:eastAsia="en-US"/>
              </w:rPr>
              <w:t>Patient must not have received a prior line of treatment for this condition</w:t>
            </w:r>
          </w:p>
        </w:tc>
      </w:tr>
      <w:tr w:rsidR="00B5184B" w:rsidRPr="00C927B9" w:rsidTr="00B44EAB">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20"/>
        </w:trPr>
        <w:tc>
          <w:tcPr>
            <w:tcW w:w="9017" w:type="dxa"/>
            <w:gridSpan w:val="7"/>
            <w:tcBorders>
              <w:top w:val="single" w:sz="4" w:space="0" w:color="auto"/>
              <w:left w:val="single" w:sz="4" w:space="0" w:color="auto"/>
              <w:bottom w:val="single" w:sz="4" w:space="0" w:color="auto"/>
              <w:right w:val="single" w:sz="4" w:space="0" w:color="auto"/>
            </w:tcBorders>
            <w:vAlign w:val="center"/>
          </w:tcPr>
          <w:p w:rsidR="00B5184B" w:rsidRPr="00C927B9" w:rsidRDefault="00B5184B" w:rsidP="00AC3BF3">
            <w:pPr>
              <w:jc w:val="left"/>
              <w:rPr>
                <w:rFonts w:ascii="Arial Narrow" w:hAnsi="Arial Narrow"/>
                <w:i/>
                <w:sz w:val="20"/>
                <w:szCs w:val="20"/>
                <w:lang w:val="en-AU" w:eastAsia="en-US"/>
              </w:rPr>
            </w:pPr>
            <w:r w:rsidRPr="00C927B9">
              <w:rPr>
                <w:rFonts w:ascii="Arial Narrow" w:hAnsi="Arial Narrow"/>
                <w:i/>
                <w:sz w:val="20"/>
                <w:szCs w:val="20"/>
                <w:lang w:val="en-AU" w:eastAsia="en-US"/>
              </w:rPr>
              <w:t>The condition must be previously untreated at the time of initiation with this drug</w:t>
            </w:r>
          </w:p>
        </w:tc>
      </w:tr>
      <w:tr w:rsidR="00B5184B" w:rsidRPr="00C927B9" w:rsidTr="00B44EAB">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9017" w:type="dxa"/>
            <w:gridSpan w:val="7"/>
            <w:tcBorders>
              <w:top w:val="single" w:sz="4" w:space="0" w:color="auto"/>
              <w:left w:val="single" w:sz="4" w:space="0" w:color="auto"/>
              <w:bottom w:val="single" w:sz="4" w:space="0" w:color="auto"/>
              <w:right w:val="single" w:sz="4" w:space="0" w:color="auto"/>
            </w:tcBorders>
            <w:vAlign w:val="center"/>
            <w:hideMark/>
          </w:tcPr>
          <w:p w:rsidR="00B5184B" w:rsidRPr="00C927B9" w:rsidRDefault="00B5184B" w:rsidP="00AC3BF3">
            <w:pPr>
              <w:jc w:val="left"/>
              <w:rPr>
                <w:rFonts w:ascii="Arial Narrow" w:hAnsi="Arial Narrow"/>
                <w:sz w:val="20"/>
                <w:szCs w:val="20"/>
                <w:lang w:val="en-AU"/>
              </w:rPr>
            </w:pPr>
            <w:r w:rsidRPr="00C927B9">
              <w:rPr>
                <w:rFonts w:ascii="Arial Narrow" w:hAnsi="Arial Narrow"/>
                <w:bCs/>
                <w:sz w:val="20"/>
                <w:szCs w:val="20"/>
                <w:lang w:val="en-AU" w:eastAsia="en-US"/>
              </w:rPr>
              <w:t>AND</w:t>
            </w:r>
          </w:p>
        </w:tc>
      </w:tr>
      <w:tr w:rsidR="00B5184B" w:rsidRPr="00C927B9" w:rsidTr="00B44EAB">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9017" w:type="dxa"/>
            <w:gridSpan w:val="7"/>
            <w:tcBorders>
              <w:top w:val="single" w:sz="4" w:space="0" w:color="auto"/>
              <w:left w:val="single" w:sz="4" w:space="0" w:color="auto"/>
              <w:bottom w:val="single" w:sz="4" w:space="0" w:color="auto"/>
              <w:right w:val="single" w:sz="4" w:space="0" w:color="auto"/>
            </w:tcBorders>
            <w:vAlign w:val="center"/>
            <w:hideMark/>
          </w:tcPr>
          <w:p w:rsidR="00B5184B" w:rsidRPr="00C927B9" w:rsidRDefault="00B5184B" w:rsidP="00AC3BF3">
            <w:pPr>
              <w:jc w:val="left"/>
              <w:rPr>
                <w:rFonts w:ascii="Arial Narrow" w:hAnsi="Arial Narrow"/>
                <w:sz w:val="20"/>
                <w:szCs w:val="20"/>
                <w:lang w:val="en-AU"/>
              </w:rPr>
            </w:pPr>
            <w:r w:rsidRPr="00C927B9">
              <w:rPr>
                <w:rFonts w:ascii="Arial Narrow" w:hAnsi="Arial Narrow"/>
                <w:sz w:val="20"/>
                <w:szCs w:val="20"/>
                <w:lang w:val="en-AU" w:eastAsia="en-US"/>
              </w:rPr>
              <w:t>Patient must not be considered eligible for standard intensive remission induction chemotherapy</w:t>
            </w:r>
          </w:p>
        </w:tc>
      </w:tr>
      <w:tr w:rsidR="00B5184B" w:rsidRPr="00C927B9" w:rsidTr="00B44EAB">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9017" w:type="dxa"/>
            <w:gridSpan w:val="7"/>
            <w:tcBorders>
              <w:top w:val="single" w:sz="4" w:space="0" w:color="auto"/>
              <w:left w:val="single" w:sz="4" w:space="0" w:color="auto"/>
              <w:bottom w:val="single" w:sz="4" w:space="0" w:color="auto"/>
              <w:right w:val="single" w:sz="4" w:space="0" w:color="auto"/>
            </w:tcBorders>
            <w:vAlign w:val="center"/>
            <w:hideMark/>
          </w:tcPr>
          <w:p w:rsidR="00B5184B" w:rsidRPr="00C927B9" w:rsidRDefault="00B5184B" w:rsidP="00AC3BF3">
            <w:pPr>
              <w:jc w:val="left"/>
              <w:rPr>
                <w:rFonts w:ascii="Arial Narrow" w:hAnsi="Arial Narrow"/>
                <w:sz w:val="20"/>
                <w:szCs w:val="20"/>
                <w:lang w:val="en-AU"/>
              </w:rPr>
            </w:pPr>
            <w:r w:rsidRPr="00C927B9">
              <w:rPr>
                <w:rFonts w:ascii="Arial Narrow" w:hAnsi="Arial Narrow"/>
                <w:bCs/>
                <w:sz w:val="20"/>
                <w:szCs w:val="20"/>
                <w:lang w:val="en-AU" w:eastAsia="en-US"/>
              </w:rPr>
              <w:t>AND</w:t>
            </w:r>
          </w:p>
        </w:tc>
      </w:tr>
      <w:tr w:rsidR="00B5184B" w:rsidRPr="00C927B9" w:rsidTr="00B44EAB">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9017" w:type="dxa"/>
            <w:gridSpan w:val="7"/>
            <w:tcBorders>
              <w:top w:val="single" w:sz="4" w:space="0" w:color="auto"/>
              <w:left w:val="single" w:sz="4" w:space="0" w:color="auto"/>
              <w:bottom w:val="single" w:sz="4" w:space="0" w:color="auto"/>
              <w:right w:val="single" w:sz="4" w:space="0" w:color="auto"/>
            </w:tcBorders>
            <w:vAlign w:val="center"/>
            <w:hideMark/>
          </w:tcPr>
          <w:p w:rsidR="00B5184B" w:rsidRPr="00C927B9" w:rsidRDefault="00B5184B" w:rsidP="00AC3BF3">
            <w:pPr>
              <w:jc w:val="left"/>
              <w:rPr>
                <w:rFonts w:ascii="Arial Narrow" w:hAnsi="Arial Narrow"/>
                <w:sz w:val="20"/>
                <w:szCs w:val="20"/>
                <w:lang w:val="en-AU"/>
              </w:rPr>
            </w:pPr>
            <w:r w:rsidRPr="00C927B9">
              <w:rPr>
                <w:rFonts w:ascii="Arial Narrow" w:hAnsi="Arial Narrow"/>
                <w:bCs/>
                <w:sz w:val="20"/>
                <w:szCs w:val="20"/>
                <w:lang w:val="en-AU" w:eastAsia="en-US"/>
              </w:rPr>
              <w:t xml:space="preserve">The treatment must be used in combination with azacitidine </w:t>
            </w:r>
            <w:r w:rsidRPr="00C927B9">
              <w:rPr>
                <w:rFonts w:ascii="Arial Narrow" w:hAnsi="Arial Narrow"/>
                <w:bCs/>
                <w:strike/>
                <w:sz w:val="20"/>
                <w:szCs w:val="20"/>
                <w:lang w:val="en-AU" w:eastAsia="en-US"/>
              </w:rPr>
              <w:t>for this condition</w:t>
            </w:r>
            <w:r w:rsidRPr="00C927B9">
              <w:rPr>
                <w:rFonts w:ascii="Arial Narrow" w:hAnsi="Arial Narrow"/>
                <w:bCs/>
                <w:i/>
                <w:sz w:val="20"/>
                <w:szCs w:val="20"/>
                <w:lang w:val="en-AU" w:eastAsia="en-US"/>
              </w:rPr>
              <w:t xml:space="preserve"> (refer to Product Information for timing of azacitidine and venetoclax doses)</w:t>
            </w:r>
          </w:p>
        </w:tc>
      </w:tr>
      <w:tr w:rsidR="00B5184B" w:rsidRPr="00C927B9" w:rsidTr="00B44EAB">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9017" w:type="dxa"/>
            <w:gridSpan w:val="7"/>
            <w:tcBorders>
              <w:top w:val="single" w:sz="4" w:space="0" w:color="auto"/>
              <w:left w:val="single" w:sz="4" w:space="0" w:color="auto"/>
              <w:bottom w:val="single" w:sz="4" w:space="0" w:color="auto"/>
              <w:right w:val="single" w:sz="4" w:space="0" w:color="auto"/>
            </w:tcBorders>
            <w:vAlign w:val="center"/>
          </w:tcPr>
          <w:p w:rsidR="00B5184B" w:rsidRPr="00C927B9" w:rsidRDefault="00B5184B" w:rsidP="00AC3BF3">
            <w:pPr>
              <w:jc w:val="left"/>
              <w:rPr>
                <w:rFonts w:ascii="Arial Narrow" w:hAnsi="Arial Narrow"/>
                <w:bCs/>
                <w:i/>
                <w:sz w:val="20"/>
                <w:szCs w:val="20"/>
                <w:lang w:val="en-AU" w:eastAsia="en-US"/>
              </w:rPr>
            </w:pPr>
            <w:r w:rsidRPr="00C927B9">
              <w:rPr>
                <w:rFonts w:ascii="Arial Narrow" w:hAnsi="Arial Narrow"/>
                <w:bCs/>
                <w:i/>
                <w:sz w:val="20"/>
                <w:szCs w:val="20"/>
                <w:lang w:val="en-AU" w:eastAsia="en-US"/>
              </w:rPr>
              <w:t>AND</w:t>
            </w:r>
          </w:p>
        </w:tc>
      </w:tr>
      <w:tr w:rsidR="00B5184B" w:rsidRPr="00C927B9" w:rsidTr="00B44EAB">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9017" w:type="dxa"/>
            <w:gridSpan w:val="7"/>
            <w:tcBorders>
              <w:top w:val="single" w:sz="4" w:space="0" w:color="auto"/>
              <w:left w:val="single" w:sz="4" w:space="0" w:color="auto"/>
              <w:bottom w:val="single" w:sz="4" w:space="0" w:color="auto"/>
              <w:right w:val="single" w:sz="4" w:space="0" w:color="auto"/>
            </w:tcBorders>
            <w:vAlign w:val="center"/>
          </w:tcPr>
          <w:p w:rsidR="00B5184B" w:rsidRPr="00C927B9" w:rsidRDefault="00B5184B" w:rsidP="00AC3BF3">
            <w:pPr>
              <w:jc w:val="left"/>
              <w:rPr>
                <w:rFonts w:ascii="Arial Narrow" w:hAnsi="Arial Narrow"/>
                <w:bCs/>
                <w:i/>
                <w:sz w:val="20"/>
                <w:szCs w:val="20"/>
                <w:lang w:val="en-AU" w:eastAsia="en-US"/>
              </w:rPr>
            </w:pPr>
            <w:r w:rsidRPr="00C927B9">
              <w:rPr>
                <w:rFonts w:ascii="Arial Narrow" w:hAnsi="Arial Narrow"/>
                <w:bCs/>
                <w:i/>
                <w:sz w:val="20"/>
                <w:szCs w:val="20"/>
                <w:lang w:val="en-AU" w:eastAsia="en-US"/>
              </w:rPr>
              <w:t>Patient must not have developed disease progression while receiving PBS-subsidised treatment with this drug for this condition</w:t>
            </w:r>
          </w:p>
        </w:tc>
      </w:tr>
      <w:tr w:rsidR="00B5184B" w:rsidRPr="00C927B9" w:rsidTr="00B44EAB">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9017" w:type="dxa"/>
            <w:gridSpan w:val="7"/>
            <w:tcBorders>
              <w:top w:val="single" w:sz="4" w:space="0" w:color="auto"/>
              <w:left w:val="single" w:sz="4" w:space="0" w:color="auto"/>
              <w:bottom w:val="single" w:sz="4" w:space="0" w:color="auto"/>
              <w:right w:val="single" w:sz="4" w:space="0" w:color="auto"/>
            </w:tcBorders>
            <w:vAlign w:val="center"/>
          </w:tcPr>
          <w:p w:rsidR="00B5184B" w:rsidRPr="00C927B9" w:rsidRDefault="00B5184B" w:rsidP="00AC3BF3">
            <w:pPr>
              <w:jc w:val="left"/>
              <w:rPr>
                <w:rFonts w:ascii="Arial Narrow" w:hAnsi="Arial Narrow"/>
                <w:bCs/>
                <w:i/>
                <w:sz w:val="20"/>
                <w:szCs w:val="20"/>
                <w:lang w:val="en-AU" w:eastAsia="en-US"/>
              </w:rPr>
            </w:pPr>
            <w:r w:rsidRPr="00C927B9">
              <w:rPr>
                <w:rFonts w:ascii="Arial Narrow" w:hAnsi="Arial Narrow"/>
                <w:bCs/>
                <w:i/>
                <w:sz w:val="20"/>
                <w:szCs w:val="20"/>
                <w:lang w:val="en-AU" w:eastAsia="en-US"/>
              </w:rPr>
              <w:t>AND</w:t>
            </w:r>
          </w:p>
        </w:tc>
      </w:tr>
      <w:tr w:rsidR="00B5184B" w:rsidRPr="00C927B9" w:rsidTr="00B44EAB">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9017" w:type="dxa"/>
            <w:gridSpan w:val="7"/>
            <w:tcBorders>
              <w:top w:val="single" w:sz="4" w:space="0" w:color="auto"/>
              <w:left w:val="single" w:sz="4" w:space="0" w:color="auto"/>
              <w:bottom w:val="single" w:sz="4" w:space="0" w:color="auto"/>
              <w:right w:val="single" w:sz="4" w:space="0" w:color="auto"/>
            </w:tcBorders>
            <w:vAlign w:val="center"/>
          </w:tcPr>
          <w:p w:rsidR="00B5184B" w:rsidRPr="00C927B9" w:rsidRDefault="00B5184B" w:rsidP="00AC3BF3">
            <w:pPr>
              <w:jc w:val="left"/>
              <w:rPr>
                <w:rFonts w:ascii="Arial Narrow" w:hAnsi="Arial Narrow"/>
                <w:bCs/>
                <w:i/>
                <w:sz w:val="20"/>
                <w:szCs w:val="20"/>
                <w:lang w:val="en-AU" w:eastAsia="en-US"/>
              </w:rPr>
            </w:pPr>
            <w:r w:rsidRPr="00C927B9">
              <w:rPr>
                <w:rFonts w:ascii="Arial Narrow" w:hAnsi="Arial Narrow"/>
                <w:bCs/>
                <w:i/>
                <w:sz w:val="20"/>
                <w:szCs w:val="20"/>
                <w:lang w:val="en-AU" w:eastAsia="en-US"/>
              </w:rPr>
              <w:t>Patient must not have acute promyelocytic leukaemia</w:t>
            </w:r>
          </w:p>
        </w:tc>
      </w:tr>
      <w:tr w:rsidR="00B5184B" w:rsidRPr="00C927B9" w:rsidTr="00B44EAB">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9017" w:type="dxa"/>
            <w:gridSpan w:val="7"/>
            <w:vAlign w:val="center"/>
            <w:hideMark/>
          </w:tcPr>
          <w:p w:rsidR="00B5184B" w:rsidRPr="00C927B9" w:rsidRDefault="00B5184B" w:rsidP="00AC3BF3">
            <w:pPr>
              <w:jc w:val="left"/>
              <w:rPr>
                <w:rFonts w:ascii="Arial Narrow" w:hAnsi="Arial Narrow" w:cs="Times New Roman"/>
                <w:sz w:val="20"/>
                <w:szCs w:val="20"/>
                <w:lang w:val="en-AU"/>
              </w:rPr>
            </w:pPr>
            <w:r w:rsidRPr="00C927B9">
              <w:rPr>
                <w:rFonts w:ascii="Arial Narrow" w:hAnsi="Arial Narrow" w:cs="Times New Roman"/>
                <w:b/>
                <w:bCs/>
                <w:sz w:val="20"/>
                <w:szCs w:val="20"/>
                <w:lang w:val="en-AU"/>
              </w:rPr>
              <w:t>Prescribing Instructions:</w:t>
            </w:r>
            <w:r w:rsidRPr="00C927B9">
              <w:rPr>
                <w:rFonts w:ascii="Arial Narrow" w:hAnsi="Arial Narrow" w:cs="Times New Roman"/>
                <w:sz w:val="20"/>
                <w:szCs w:val="20"/>
                <w:lang w:val="en-AU"/>
              </w:rPr>
              <w:t xml:space="preserve"> </w:t>
            </w:r>
          </w:p>
          <w:p w:rsidR="00B5184B" w:rsidRPr="00C927B9" w:rsidRDefault="00B5184B" w:rsidP="00AC3BF3">
            <w:pPr>
              <w:jc w:val="left"/>
              <w:rPr>
                <w:rFonts w:ascii="Arial Narrow" w:hAnsi="Arial Narrow" w:cs="Times New Roman"/>
                <w:sz w:val="20"/>
                <w:szCs w:val="20"/>
                <w:lang w:val="en-AU"/>
              </w:rPr>
            </w:pPr>
            <w:r w:rsidRPr="00C927B9">
              <w:rPr>
                <w:rFonts w:ascii="Arial Narrow" w:hAnsi="Arial Narrow" w:cs="Times New Roman"/>
                <w:sz w:val="20"/>
                <w:szCs w:val="20"/>
                <w:lang w:val="en-AU"/>
              </w:rPr>
              <w:t>Progressive disease monitoring via a complete blood count must be taken at the end of each cycle.</w:t>
            </w:r>
          </w:p>
          <w:p w:rsidR="00B5184B" w:rsidRPr="00C927B9" w:rsidRDefault="00B5184B" w:rsidP="00AC3BF3">
            <w:pPr>
              <w:jc w:val="left"/>
              <w:rPr>
                <w:rFonts w:ascii="Arial Narrow" w:hAnsi="Arial Narrow" w:cs="Times New Roman"/>
                <w:sz w:val="20"/>
                <w:szCs w:val="20"/>
                <w:lang w:val="en-AU"/>
              </w:rPr>
            </w:pPr>
            <w:r w:rsidRPr="00C927B9">
              <w:rPr>
                <w:rFonts w:ascii="Arial Narrow" w:hAnsi="Arial Narrow" w:cs="Times New Roman"/>
                <w:sz w:val="20"/>
                <w:szCs w:val="20"/>
                <w:lang w:val="en-AU"/>
              </w:rPr>
              <w:lastRenderedPageBreak/>
              <w:t>If abnormal blood counts suggest the potential for relapsed AML, a bone marrow biopsy must be performed to confirm the absence of progressive disease for the patient to be eligible for further cycles.</w:t>
            </w:r>
          </w:p>
          <w:p w:rsidR="00B5184B" w:rsidRPr="00C927B9" w:rsidRDefault="00B5184B" w:rsidP="00AC3BF3">
            <w:pPr>
              <w:jc w:val="left"/>
              <w:rPr>
                <w:rFonts w:ascii="Arial Narrow" w:hAnsi="Arial Narrow" w:cs="Times New Roman"/>
                <w:strike/>
                <w:sz w:val="20"/>
                <w:szCs w:val="20"/>
                <w:lang w:val="en-AU"/>
              </w:rPr>
            </w:pPr>
            <w:r w:rsidRPr="00C927B9">
              <w:rPr>
                <w:rFonts w:ascii="Arial Narrow" w:hAnsi="Arial Narrow" w:cs="Times New Roman"/>
                <w:strike/>
                <w:sz w:val="20"/>
                <w:szCs w:val="20"/>
                <w:lang w:val="en-AU"/>
              </w:rPr>
              <w:t>A patient who has progressive disease when treated with this drug is no longer eligible for PBS-subsidised treatment with this drug.</w:t>
            </w:r>
          </w:p>
          <w:p w:rsidR="00B5184B" w:rsidRPr="00C927B9" w:rsidRDefault="00B5184B" w:rsidP="00AC3BF3">
            <w:pPr>
              <w:jc w:val="left"/>
              <w:rPr>
                <w:rFonts w:ascii="Arial Narrow" w:hAnsi="Arial Narrow" w:cs="Times New Roman"/>
                <w:sz w:val="20"/>
                <w:szCs w:val="20"/>
                <w:lang w:val="en-AU"/>
              </w:rPr>
            </w:pPr>
            <w:r w:rsidRPr="00C927B9">
              <w:rPr>
                <w:rFonts w:ascii="Arial Narrow" w:hAnsi="Arial Narrow" w:cs="Times New Roman"/>
                <w:sz w:val="20"/>
                <w:szCs w:val="20"/>
                <w:lang w:val="en-AU"/>
              </w:rPr>
              <w:t xml:space="preserve">Patients will still be considered eligible despite receiving prior, but essential treatment with </w:t>
            </w:r>
            <w:proofErr w:type="spellStart"/>
            <w:r w:rsidRPr="00C927B9">
              <w:rPr>
                <w:rFonts w:ascii="Arial Narrow" w:hAnsi="Arial Narrow" w:cs="Times New Roman"/>
                <w:sz w:val="20"/>
                <w:szCs w:val="20"/>
                <w:lang w:val="en-AU"/>
              </w:rPr>
              <w:t>hydroxyurea</w:t>
            </w:r>
            <w:proofErr w:type="spellEnd"/>
            <w:r w:rsidRPr="00C927B9">
              <w:rPr>
                <w:rFonts w:ascii="Arial Narrow" w:hAnsi="Arial Narrow" w:cs="Times New Roman"/>
                <w:sz w:val="20"/>
                <w:szCs w:val="20"/>
                <w:lang w:val="en-AU"/>
              </w:rPr>
              <w:t xml:space="preserve"> or </w:t>
            </w:r>
            <w:proofErr w:type="spellStart"/>
            <w:r w:rsidRPr="00C927B9">
              <w:rPr>
                <w:rFonts w:ascii="Arial Narrow" w:hAnsi="Arial Narrow" w:cs="Times New Roman"/>
                <w:sz w:val="20"/>
                <w:szCs w:val="20"/>
                <w:lang w:val="en-AU"/>
              </w:rPr>
              <w:t>leukapheresis</w:t>
            </w:r>
            <w:proofErr w:type="spellEnd"/>
            <w:r w:rsidRPr="00C927B9">
              <w:rPr>
                <w:rFonts w:ascii="Arial Narrow" w:hAnsi="Arial Narrow" w:cs="Times New Roman"/>
                <w:sz w:val="20"/>
                <w:szCs w:val="20"/>
                <w:lang w:val="en-AU"/>
              </w:rPr>
              <w:t xml:space="preserve"> </w:t>
            </w:r>
          </w:p>
          <w:p w:rsidR="00B5184B" w:rsidRPr="00C927B9" w:rsidRDefault="00B5184B" w:rsidP="00AC3BF3">
            <w:pPr>
              <w:jc w:val="left"/>
              <w:rPr>
                <w:rFonts w:ascii="Arial Narrow" w:hAnsi="Arial Narrow" w:cs="Times New Roman"/>
                <w:strike/>
                <w:sz w:val="20"/>
                <w:szCs w:val="20"/>
                <w:lang w:val="en-AU"/>
              </w:rPr>
            </w:pPr>
            <w:r w:rsidRPr="00C927B9">
              <w:rPr>
                <w:rFonts w:ascii="Arial Narrow" w:hAnsi="Arial Narrow" w:cs="Times New Roman"/>
                <w:strike/>
                <w:sz w:val="20"/>
                <w:szCs w:val="20"/>
                <w:lang w:val="en-AU"/>
              </w:rPr>
              <w:t>Patients with acute promyelocytic leukaemia are not eligible for treatment.</w:t>
            </w:r>
          </w:p>
        </w:tc>
      </w:tr>
      <w:tr w:rsidR="00B5184B" w:rsidRPr="00C927B9" w:rsidTr="00B44EAB">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9017" w:type="dxa"/>
            <w:gridSpan w:val="7"/>
            <w:vAlign w:val="center"/>
            <w:hideMark/>
          </w:tcPr>
          <w:p w:rsidR="00B5184B" w:rsidRPr="00C927B9" w:rsidRDefault="00B5184B" w:rsidP="00AC3BF3">
            <w:pPr>
              <w:jc w:val="left"/>
              <w:rPr>
                <w:rFonts w:ascii="Arial Narrow" w:hAnsi="Arial Narrow" w:cs="Times New Roman"/>
                <w:b/>
                <w:bCs/>
                <w:sz w:val="20"/>
                <w:szCs w:val="20"/>
                <w:lang w:val="en-AU"/>
              </w:rPr>
            </w:pPr>
            <w:r w:rsidRPr="00C927B9">
              <w:rPr>
                <w:rFonts w:ascii="Arial Narrow" w:hAnsi="Arial Narrow" w:cs="Times New Roman"/>
                <w:b/>
                <w:bCs/>
                <w:sz w:val="20"/>
                <w:szCs w:val="20"/>
                <w:lang w:val="en-AU"/>
              </w:rPr>
              <w:lastRenderedPageBreak/>
              <w:t xml:space="preserve">Administrative Advice: </w:t>
            </w:r>
          </w:p>
          <w:p w:rsidR="00B5184B" w:rsidRPr="00C927B9" w:rsidRDefault="00B5184B" w:rsidP="00AC3BF3">
            <w:pPr>
              <w:jc w:val="left"/>
              <w:rPr>
                <w:rFonts w:ascii="Arial Narrow" w:hAnsi="Arial Narrow" w:cs="Times New Roman"/>
                <w:i/>
                <w:sz w:val="20"/>
                <w:szCs w:val="20"/>
                <w:lang w:val="en-AU"/>
              </w:rPr>
            </w:pPr>
            <w:r w:rsidRPr="00C927B9">
              <w:rPr>
                <w:rFonts w:ascii="Arial Narrow" w:hAnsi="Arial Narrow" w:cs="Times New Roman"/>
                <w:i/>
                <w:sz w:val="20"/>
                <w:szCs w:val="20"/>
                <w:lang w:val="en-AU"/>
              </w:rPr>
              <w:t>No increase in the maximum number of repeats may be authorised.</w:t>
            </w:r>
          </w:p>
          <w:p w:rsidR="00B5184B" w:rsidRPr="00C927B9" w:rsidRDefault="00B5184B" w:rsidP="00AC3BF3">
            <w:pPr>
              <w:jc w:val="left"/>
              <w:rPr>
                <w:rFonts w:ascii="Arial Narrow" w:hAnsi="Arial Narrow" w:cs="Times New Roman"/>
                <w:i/>
                <w:sz w:val="20"/>
                <w:szCs w:val="20"/>
                <w:lang w:val="en-AU"/>
              </w:rPr>
            </w:pPr>
            <w:r w:rsidRPr="00C927B9">
              <w:rPr>
                <w:rFonts w:ascii="Arial Narrow" w:hAnsi="Arial Narrow" w:cs="Times New Roman"/>
                <w:i/>
                <w:sz w:val="20"/>
                <w:szCs w:val="20"/>
                <w:lang w:val="en-AU"/>
              </w:rPr>
              <w:t>No increase in the maximum quantity or number of units may be authorised.</w:t>
            </w:r>
          </w:p>
          <w:p w:rsidR="00B5184B" w:rsidRPr="00C927B9" w:rsidRDefault="00B5184B" w:rsidP="00AC3BF3">
            <w:pPr>
              <w:jc w:val="left"/>
              <w:rPr>
                <w:rFonts w:ascii="Arial Narrow" w:hAnsi="Arial Narrow" w:cs="Times New Roman"/>
                <w:i/>
                <w:sz w:val="20"/>
                <w:szCs w:val="20"/>
                <w:lang w:val="en-AU"/>
              </w:rPr>
            </w:pPr>
            <w:r w:rsidRPr="00C927B9">
              <w:rPr>
                <w:rFonts w:ascii="Arial Narrow" w:hAnsi="Arial Narrow" w:cs="Times New Roman"/>
                <w:i/>
                <w:sz w:val="20"/>
                <w:szCs w:val="20"/>
                <w:lang w:val="en-AU"/>
              </w:rPr>
              <w:t>Special Pricing Arrangements apply.</w:t>
            </w:r>
          </w:p>
          <w:p w:rsidR="00B5184B" w:rsidRPr="00C927B9" w:rsidRDefault="00B5184B" w:rsidP="00AC3BF3">
            <w:pPr>
              <w:jc w:val="left"/>
              <w:rPr>
                <w:rFonts w:ascii="Arial Narrow" w:hAnsi="Arial Narrow" w:cs="Times New Roman"/>
                <w:i/>
                <w:sz w:val="20"/>
                <w:szCs w:val="20"/>
                <w:lang w:val="en-AU"/>
              </w:rPr>
            </w:pPr>
            <w:r w:rsidRPr="00C927B9">
              <w:rPr>
                <w:rFonts w:ascii="Arial Narrow" w:hAnsi="Arial Narrow" w:cs="Times New Roman"/>
                <w:i/>
                <w:sz w:val="20"/>
                <w:szCs w:val="20"/>
                <w:lang w:val="en-AU"/>
              </w:rPr>
              <w:t>Applications for authorisation under this restriction may be made in real time using the Online PBS Authorities system (see www.servicesaustralia.gov.au/HPOS) or by telephone by contacting Services Australia on 1800 888 333.</w:t>
            </w:r>
          </w:p>
        </w:tc>
      </w:tr>
    </w:tbl>
    <w:p w:rsidR="00B5184B" w:rsidRPr="00C927B9" w:rsidRDefault="00B5184B" w:rsidP="00B5184B">
      <w:pPr>
        <w:spacing w:line="259" w:lineRule="auto"/>
        <w:jc w:val="left"/>
        <w:rPr>
          <w:rFonts w:ascii="Times New Roman" w:eastAsia="Calibri" w:hAnsi="Times New Roman" w:cs="Times New Roman"/>
          <w:lang w:val="en-AU"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B5184B" w:rsidRPr="00C927B9" w:rsidTr="00B5184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5184B" w:rsidRPr="00C927B9" w:rsidRDefault="00B5184B" w:rsidP="00AC3BF3">
            <w:pPr>
              <w:widowControl w:val="0"/>
              <w:spacing w:before="20" w:after="20"/>
              <w:jc w:val="left"/>
              <w:rPr>
                <w:rFonts w:ascii="Arial Narrow" w:eastAsia="TimesNewRoman" w:hAnsi="Arial Narrow" w:cs="Times New Roman"/>
                <w:strike/>
                <w:color w:val="000000"/>
                <w:sz w:val="20"/>
                <w:szCs w:val="20"/>
                <w:lang w:val="en-AU"/>
              </w:rPr>
            </w:pPr>
            <w:r w:rsidRPr="00C927B9">
              <w:rPr>
                <w:rFonts w:ascii="Arial Narrow" w:eastAsia="TimesNewRoman" w:hAnsi="Arial Narrow" w:cs="Times New Roman"/>
                <w:b/>
                <w:bCs/>
                <w:strike/>
                <w:color w:val="000000"/>
                <w:sz w:val="20"/>
                <w:szCs w:val="20"/>
                <w:lang w:val="en-AU"/>
              </w:rPr>
              <w:t xml:space="preserve">Category / Program: </w:t>
            </w:r>
            <w:r w:rsidRPr="00C927B9">
              <w:rPr>
                <w:rFonts w:ascii="Arial Narrow" w:eastAsia="TimesNewRoman" w:hAnsi="Arial Narrow" w:cs="Times New Roman"/>
                <w:strike/>
                <w:color w:val="000000"/>
                <w:sz w:val="20"/>
                <w:szCs w:val="20"/>
                <w:lang w:val="en-AU"/>
              </w:rPr>
              <w:t xml:space="preserve">GENERAL – General Schedule (Code GE) </w:t>
            </w:r>
          </w:p>
        </w:tc>
      </w:tr>
      <w:tr w:rsidR="00B5184B" w:rsidRPr="00C927B9" w:rsidTr="00B5184B">
        <w:trPr>
          <w:trHeight w:val="240"/>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5184B" w:rsidRPr="00C927B9" w:rsidRDefault="00B5184B" w:rsidP="00AC3BF3">
            <w:pPr>
              <w:widowControl w:val="0"/>
              <w:spacing w:before="20" w:after="20"/>
              <w:jc w:val="left"/>
              <w:rPr>
                <w:rFonts w:ascii="Arial Narrow" w:eastAsia="TimesNewRoman" w:hAnsi="Arial Narrow" w:cs="Times New Roman"/>
                <w:strike/>
                <w:color w:val="000000"/>
                <w:sz w:val="20"/>
                <w:szCs w:val="20"/>
                <w:lang w:val="en-AU"/>
              </w:rPr>
            </w:pPr>
            <w:r w:rsidRPr="00C927B9">
              <w:rPr>
                <w:rFonts w:ascii="Arial Narrow" w:eastAsia="TimesNewRoman" w:hAnsi="Arial Narrow" w:cs="Times New Roman"/>
                <w:b/>
                <w:bCs/>
                <w:strike/>
                <w:color w:val="000000"/>
                <w:sz w:val="20"/>
                <w:szCs w:val="20"/>
                <w:lang w:val="en-AU"/>
              </w:rPr>
              <w:t>Prescriber type:</w:t>
            </w:r>
            <w:r w:rsidRPr="00C927B9">
              <w:rPr>
                <w:rFonts w:ascii="Arial Narrow" w:eastAsia="TimesNewRoman" w:hAnsi="Arial Narrow" w:cs="Times New Roman"/>
                <w:strike/>
                <w:color w:val="000000"/>
                <w:sz w:val="20"/>
                <w:szCs w:val="20"/>
                <w:lang w:val="en-AU"/>
              </w:rPr>
              <w:t xml:space="preserve"> </w:t>
            </w:r>
            <w:r w:rsidRPr="00C927B9">
              <w:rPr>
                <w:rFonts w:ascii="Arial Narrow" w:eastAsia="TimesNewRoman" w:hAnsi="Arial Narrow" w:cs="Times New Roman"/>
                <w:strike/>
                <w:color w:val="000000"/>
                <w:sz w:val="20"/>
                <w:szCs w:val="20"/>
                <w:lang w:val="en-AU"/>
              </w:rPr>
              <w:fldChar w:fldCharType="begin">
                <w:ffData>
                  <w:name w:val="Check1"/>
                  <w:enabled/>
                  <w:calcOnExit w:val="0"/>
                  <w:checkBox>
                    <w:sizeAuto/>
                    <w:default w:val="0"/>
                  </w:checkBox>
                </w:ffData>
              </w:fldChar>
            </w:r>
            <w:r w:rsidRPr="00C927B9">
              <w:rPr>
                <w:rFonts w:ascii="Arial Narrow" w:eastAsia="TimesNewRoman" w:hAnsi="Arial Narrow" w:cs="Times New Roman"/>
                <w:strike/>
                <w:color w:val="000000"/>
                <w:sz w:val="20"/>
                <w:szCs w:val="20"/>
                <w:lang w:val="en-AU"/>
              </w:rPr>
              <w:instrText xml:space="preserve"> FORMCHECKBOX </w:instrText>
            </w:r>
            <w:r w:rsidR="000146B9">
              <w:rPr>
                <w:rFonts w:ascii="Arial Narrow" w:eastAsia="TimesNewRoman" w:hAnsi="Arial Narrow" w:cs="Times New Roman"/>
                <w:strike/>
                <w:color w:val="000000"/>
                <w:sz w:val="20"/>
                <w:szCs w:val="20"/>
                <w:lang w:val="en-AU"/>
              </w:rPr>
            </w:r>
            <w:r w:rsidR="000146B9">
              <w:rPr>
                <w:rFonts w:ascii="Arial Narrow" w:eastAsia="TimesNewRoman" w:hAnsi="Arial Narrow" w:cs="Times New Roman"/>
                <w:strike/>
                <w:color w:val="000000"/>
                <w:sz w:val="20"/>
                <w:szCs w:val="20"/>
                <w:lang w:val="en-AU"/>
              </w:rPr>
              <w:fldChar w:fldCharType="separate"/>
            </w:r>
            <w:r w:rsidRPr="00C927B9">
              <w:rPr>
                <w:rFonts w:ascii="Arial Narrow" w:eastAsia="TimesNewRoman" w:hAnsi="Arial Narrow" w:cs="Times New Roman"/>
                <w:strike/>
                <w:color w:val="000000"/>
                <w:sz w:val="20"/>
                <w:szCs w:val="20"/>
                <w:lang w:val="en-AU"/>
              </w:rPr>
              <w:fldChar w:fldCharType="end"/>
            </w:r>
            <w:r w:rsidRPr="00C927B9">
              <w:rPr>
                <w:rFonts w:ascii="Arial Narrow" w:eastAsia="TimesNewRoman" w:hAnsi="Arial Narrow" w:cs="Times New Roman"/>
                <w:strike/>
                <w:color w:val="000000"/>
                <w:sz w:val="20"/>
                <w:szCs w:val="20"/>
                <w:lang w:val="en-AU"/>
              </w:rPr>
              <w:t xml:space="preserve">Dental </w:t>
            </w:r>
            <w:r w:rsidRPr="00C927B9">
              <w:rPr>
                <w:rFonts w:ascii="Arial Narrow" w:eastAsia="TimesNewRoman" w:hAnsi="Arial Narrow" w:cs="Times New Roman"/>
                <w:strike/>
                <w:color w:val="000000"/>
                <w:sz w:val="20"/>
                <w:szCs w:val="20"/>
                <w:lang w:val="en-AU"/>
              </w:rPr>
              <w:fldChar w:fldCharType="begin">
                <w:ffData>
                  <w:name w:val=""/>
                  <w:enabled/>
                  <w:calcOnExit w:val="0"/>
                  <w:checkBox>
                    <w:sizeAuto/>
                    <w:default w:val="1"/>
                  </w:checkBox>
                </w:ffData>
              </w:fldChar>
            </w:r>
            <w:r w:rsidRPr="00C927B9">
              <w:rPr>
                <w:rFonts w:ascii="Arial Narrow" w:eastAsia="TimesNewRoman" w:hAnsi="Arial Narrow" w:cs="Times New Roman"/>
                <w:strike/>
                <w:color w:val="000000"/>
                <w:sz w:val="20"/>
                <w:szCs w:val="20"/>
                <w:lang w:val="en-AU"/>
              </w:rPr>
              <w:instrText xml:space="preserve"> FORMCHECKBOX </w:instrText>
            </w:r>
            <w:r w:rsidR="000146B9">
              <w:rPr>
                <w:rFonts w:ascii="Arial Narrow" w:eastAsia="TimesNewRoman" w:hAnsi="Arial Narrow" w:cs="Times New Roman"/>
                <w:strike/>
                <w:color w:val="000000"/>
                <w:sz w:val="20"/>
                <w:szCs w:val="20"/>
                <w:lang w:val="en-AU"/>
              </w:rPr>
            </w:r>
            <w:r w:rsidR="000146B9">
              <w:rPr>
                <w:rFonts w:ascii="Arial Narrow" w:eastAsia="TimesNewRoman" w:hAnsi="Arial Narrow" w:cs="Times New Roman"/>
                <w:strike/>
                <w:color w:val="000000"/>
                <w:sz w:val="20"/>
                <w:szCs w:val="20"/>
                <w:lang w:val="en-AU"/>
              </w:rPr>
              <w:fldChar w:fldCharType="separate"/>
            </w:r>
            <w:r w:rsidRPr="00C927B9">
              <w:rPr>
                <w:rFonts w:ascii="Arial Narrow" w:eastAsia="TimesNewRoman" w:hAnsi="Arial Narrow" w:cs="Times New Roman"/>
                <w:strike/>
                <w:color w:val="000000"/>
                <w:sz w:val="20"/>
                <w:szCs w:val="20"/>
                <w:lang w:val="en-AU"/>
              </w:rPr>
              <w:fldChar w:fldCharType="end"/>
            </w:r>
            <w:r w:rsidRPr="00C927B9">
              <w:rPr>
                <w:rFonts w:ascii="Arial Narrow" w:eastAsia="TimesNewRoman" w:hAnsi="Arial Narrow" w:cs="Times New Roman"/>
                <w:strike/>
                <w:color w:val="000000"/>
                <w:sz w:val="20"/>
                <w:szCs w:val="20"/>
                <w:lang w:val="en-AU"/>
              </w:rPr>
              <w:t xml:space="preserve">Medical Practitioners </w:t>
            </w:r>
            <w:r w:rsidRPr="00C927B9">
              <w:rPr>
                <w:rFonts w:ascii="Arial Narrow" w:eastAsia="TimesNewRoman" w:hAnsi="Arial Narrow" w:cs="Times New Roman"/>
                <w:strike/>
                <w:color w:val="000000"/>
                <w:sz w:val="20"/>
                <w:szCs w:val="20"/>
                <w:lang w:val="en-AU"/>
              </w:rPr>
              <w:fldChar w:fldCharType="begin">
                <w:ffData>
                  <w:name w:val="Check3"/>
                  <w:enabled/>
                  <w:calcOnExit w:val="0"/>
                  <w:checkBox>
                    <w:sizeAuto/>
                    <w:default w:val="0"/>
                  </w:checkBox>
                </w:ffData>
              </w:fldChar>
            </w:r>
            <w:r w:rsidRPr="00C927B9">
              <w:rPr>
                <w:rFonts w:ascii="Arial Narrow" w:eastAsia="TimesNewRoman" w:hAnsi="Arial Narrow" w:cs="Times New Roman"/>
                <w:strike/>
                <w:color w:val="000000"/>
                <w:sz w:val="20"/>
                <w:szCs w:val="20"/>
                <w:lang w:val="en-AU"/>
              </w:rPr>
              <w:instrText xml:space="preserve"> FORMCHECKBOX </w:instrText>
            </w:r>
            <w:r w:rsidR="000146B9">
              <w:rPr>
                <w:rFonts w:ascii="Arial Narrow" w:eastAsia="TimesNewRoman" w:hAnsi="Arial Narrow" w:cs="Times New Roman"/>
                <w:strike/>
                <w:color w:val="000000"/>
                <w:sz w:val="20"/>
                <w:szCs w:val="20"/>
                <w:lang w:val="en-AU"/>
              </w:rPr>
            </w:r>
            <w:r w:rsidR="000146B9">
              <w:rPr>
                <w:rFonts w:ascii="Arial Narrow" w:eastAsia="TimesNewRoman" w:hAnsi="Arial Narrow" w:cs="Times New Roman"/>
                <w:strike/>
                <w:color w:val="000000"/>
                <w:sz w:val="20"/>
                <w:szCs w:val="20"/>
                <w:lang w:val="en-AU"/>
              </w:rPr>
              <w:fldChar w:fldCharType="separate"/>
            </w:r>
            <w:r w:rsidRPr="00C927B9">
              <w:rPr>
                <w:rFonts w:ascii="Arial Narrow" w:eastAsia="TimesNewRoman" w:hAnsi="Arial Narrow" w:cs="Times New Roman"/>
                <w:strike/>
                <w:color w:val="000000"/>
                <w:sz w:val="20"/>
                <w:szCs w:val="20"/>
                <w:lang w:val="en-AU"/>
              </w:rPr>
              <w:fldChar w:fldCharType="end"/>
            </w:r>
            <w:r w:rsidRPr="00C927B9">
              <w:rPr>
                <w:rFonts w:ascii="Arial Narrow" w:eastAsia="TimesNewRoman" w:hAnsi="Arial Narrow" w:cs="Times New Roman"/>
                <w:strike/>
                <w:color w:val="000000"/>
                <w:sz w:val="20"/>
                <w:szCs w:val="20"/>
                <w:lang w:val="en-AU"/>
              </w:rPr>
              <w:t xml:space="preserve">Nurse practitioners </w:t>
            </w:r>
            <w:r w:rsidRPr="00C927B9">
              <w:rPr>
                <w:rFonts w:ascii="Arial Narrow" w:eastAsia="TimesNewRoman" w:hAnsi="Arial Narrow" w:cs="Times New Roman"/>
                <w:strike/>
                <w:color w:val="000000"/>
                <w:sz w:val="20"/>
                <w:szCs w:val="20"/>
                <w:lang w:val="en-AU"/>
              </w:rPr>
              <w:fldChar w:fldCharType="begin">
                <w:ffData>
                  <w:name w:val=""/>
                  <w:enabled/>
                  <w:calcOnExit w:val="0"/>
                  <w:checkBox>
                    <w:sizeAuto/>
                    <w:default w:val="0"/>
                  </w:checkBox>
                </w:ffData>
              </w:fldChar>
            </w:r>
            <w:r w:rsidRPr="00C927B9">
              <w:rPr>
                <w:rFonts w:ascii="Arial Narrow" w:eastAsia="TimesNewRoman" w:hAnsi="Arial Narrow" w:cs="Times New Roman"/>
                <w:strike/>
                <w:color w:val="000000"/>
                <w:sz w:val="20"/>
                <w:szCs w:val="20"/>
                <w:lang w:val="en-AU"/>
              </w:rPr>
              <w:instrText xml:space="preserve"> FORMCHECKBOX </w:instrText>
            </w:r>
            <w:r w:rsidR="000146B9">
              <w:rPr>
                <w:rFonts w:ascii="Arial Narrow" w:eastAsia="TimesNewRoman" w:hAnsi="Arial Narrow" w:cs="Times New Roman"/>
                <w:strike/>
                <w:color w:val="000000"/>
                <w:sz w:val="20"/>
                <w:szCs w:val="20"/>
                <w:lang w:val="en-AU"/>
              </w:rPr>
            </w:r>
            <w:r w:rsidR="000146B9">
              <w:rPr>
                <w:rFonts w:ascii="Arial Narrow" w:eastAsia="TimesNewRoman" w:hAnsi="Arial Narrow" w:cs="Times New Roman"/>
                <w:strike/>
                <w:color w:val="000000"/>
                <w:sz w:val="20"/>
                <w:szCs w:val="20"/>
                <w:lang w:val="en-AU"/>
              </w:rPr>
              <w:fldChar w:fldCharType="separate"/>
            </w:r>
            <w:r w:rsidRPr="00C927B9">
              <w:rPr>
                <w:rFonts w:ascii="Arial Narrow" w:eastAsia="TimesNewRoman" w:hAnsi="Arial Narrow" w:cs="Times New Roman"/>
                <w:strike/>
                <w:color w:val="000000"/>
                <w:sz w:val="20"/>
                <w:szCs w:val="20"/>
                <w:lang w:val="en-AU"/>
              </w:rPr>
              <w:fldChar w:fldCharType="end"/>
            </w:r>
            <w:r w:rsidRPr="00C927B9">
              <w:rPr>
                <w:rFonts w:ascii="Arial Narrow" w:eastAsia="TimesNewRoman" w:hAnsi="Arial Narrow" w:cs="Times New Roman"/>
                <w:strike/>
                <w:color w:val="000000"/>
                <w:sz w:val="20"/>
                <w:szCs w:val="20"/>
                <w:lang w:val="en-AU"/>
              </w:rPr>
              <w:t xml:space="preserve">Optometrists </w:t>
            </w:r>
            <w:r w:rsidRPr="00C927B9">
              <w:rPr>
                <w:rFonts w:ascii="Arial Narrow" w:eastAsia="TimesNewRoman" w:hAnsi="Arial Narrow" w:cs="Times New Roman"/>
                <w:strike/>
                <w:color w:val="000000"/>
                <w:sz w:val="20"/>
                <w:szCs w:val="20"/>
                <w:lang w:val="en-AU"/>
              </w:rPr>
              <w:fldChar w:fldCharType="begin">
                <w:ffData>
                  <w:name w:val="Check5"/>
                  <w:enabled/>
                  <w:calcOnExit w:val="0"/>
                  <w:checkBox>
                    <w:sizeAuto/>
                    <w:default w:val="0"/>
                  </w:checkBox>
                </w:ffData>
              </w:fldChar>
            </w:r>
            <w:r w:rsidRPr="00C927B9">
              <w:rPr>
                <w:rFonts w:ascii="Arial Narrow" w:eastAsia="TimesNewRoman" w:hAnsi="Arial Narrow" w:cs="Times New Roman"/>
                <w:strike/>
                <w:color w:val="000000"/>
                <w:sz w:val="20"/>
                <w:szCs w:val="20"/>
                <w:lang w:val="en-AU"/>
              </w:rPr>
              <w:instrText xml:space="preserve"> FORMCHECKBOX </w:instrText>
            </w:r>
            <w:r w:rsidR="000146B9">
              <w:rPr>
                <w:rFonts w:ascii="Arial Narrow" w:eastAsia="TimesNewRoman" w:hAnsi="Arial Narrow" w:cs="Times New Roman"/>
                <w:strike/>
                <w:color w:val="000000"/>
                <w:sz w:val="20"/>
                <w:szCs w:val="20"/>
                <w:lang w:val="en-AU"/>
              </w:rPr>
            </w:r>
            <w:r w:rsidR="000146B9">
              <w:rPr>
                <w:rFonts w:ascii="Arial Narrow" w:eastAsia="TimesNewRoman" w:hAnsi="Arial Narrow" w:cs="Times New Roman"/>
                <w:strike/>
                <w:color w:val="000000"/>
                <w:sz w:val="20"/>
                <w:szCs w:val="20"/>
                <w:lang w:val="en-AU"/>
              </w:rPr>
              <w:fldChar w:fldCharType="separate"/>
            </w:r>
            <w:r w:rsidRPr="00C927B9">
              <w:rPr>
                <w:rFonts w:ascii="Arial Narrow" w:eastAsia="TimesNewRoman" w:hAnsi="Arial Narrow" w:cs="Times New Roman"/>
                <w:strike/>
                <w:color w:val="000000"/>
                <w:sz w:val="20"/>
                <w:szCs w:val="20"/>
                <w:lang w:val="en-AU"/>
              </w:rPr>
              <w:fldChar w:fldCharType="end"/>
            </w:r>
            <w:r w:rsidRPr="00C927B9">
              <w:rPr>
                <w:rFonts w:ascii="Arial Narrow" w:eastAsia="TimesNewRoman" w:hAnsi="Arial Narrow" w:cs="Times New Roman"/>
                <w:strike/>
                <w:color w:val="000000"/>
                <w:sz w:val="20"/>
                <w:szCs w:val="20"/>
                <w:lang w:val="en-AU"/>
              </w:rPr>
              <w:t>Midwives</w:t>
            </w:r>
          </w:p>
        </w:tc>
      </w:tr>
      <w:tr w:rsidR="00B5184B" w:rsidRPr="00C927B9" w:rsidTr="00B5184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5184B" w:rsidRPr="00C927B9" w:rsidRDefault="00B5184B" w:rsidP="00AC3BF3">
            <w:pPr>
              <w:widowControl w:val="0"/>
              <w:spacing w:before="20" w:after="20"/>
              <w:jc w:val="left"/>
              <w:rPr>
                <w:rFonts w:ascii="Arial Narrow" w:eastAsia="TimesNewRoman" w:hAnsi="Arial Narrow" w:cs="Times New Roman"/>
                <w:b/>
                <w:bCs/>
                <w:strike/>
                <w:color w:val="000000"/>
                <w:sz w:val="20"/>
                <w:szCs w:val="20"/>
                <w:lang w:val="en-AU"/>
              </w:rPr>
            </w:pPr>
            <w:r w:rsidRPr="00C927B9">
              <w:rPr>
                <w:rFonts w:ascii="Arial Narrow" w:eastAsia="TimesNewRoman" w:hAnsi="Arial Narrow" w:cs="Times New Roman"/>
                <w:b/>
                <w:bCs/>
                <w:strike/>
                <w:color w:val="000000"/>
                <w:sz w:val="20"/>
                <w:szCs w:val="20"/>
                <w:lang w:val="en-AU"/>
              </w:rPr>
              <w:t xml:space="preserve">Restriction Type / Method: </w:t>
            </w:r>
          </w:p>
          <w:p w:rsidR="00B5184B" w:rsidRPr="00C927B9" w:rsidRDefault="00B5184B" w:rsidP="00AC3BF3">
            <w:pPr>
              <w:widowControl w:val="0"/>
              <w:spacing w:before="20" w:after="20"/>
              <w:jc w:val="left"/>
              <w:rPr>
                <w:rFonts w:ascii="Arial Narrow" w:eastAsia="Calibri" w:hAnsi="Arial Narrow" w:cs="Times New Roman"/>
                <w:strike/>
                <w:color w:val="000000"/>
                <w:sz w:val="20"/>
                <w:szCs w:val="20"/>
                <w:lang w:val="en-AU"/>
              </w:rPr>
            </w:pPr>
            <w:r w:rsidRPr="00C927B9">
              <w:rPr>
                <w:rFonts w:ascii="Arial Narrow" w:eastAsia="Calibri" w:hAnsi="Arial Narrow" w:cs="Times New Roman"/>
                <w:strike/>
                <w:color w:val="000000"/>
                <w:sz w:val="20"/>
                <w:szCs w:val="20"/>
                <w:lang w:val="en-AU"/>
              </w:rPr>
              <w:fldChar w:fldCharType="begin">
                <w:ffData>
                  <w:name w:val=""/>
                  <w:enabled/>
                  <w:calcOnExit w:val="0"/>
                  <w:checkBox>
                    <w:sizeAuto/>
                    <w:default w:val="1"/>
                  </w:checkBox>
                </w:ffData>
              </w:fldChar>
            </w:r>
            <w:r w:rsidRPr="00C927B9">
              <w:rPr>
                <w:rFonts w:ascii="Arial Narrow" w:eastAsia="Calibri" w:hAnsi="Arial Narrow" w:cs="Times New Roman"/>
                <w:strike/>
                <w:color w:val="000000"/>
                <w:sz w:val="20"/>
                <w:szCs w:val="20"/>
                <w:lang w:val="en-AU"/>
              </w:rPr>
              <w:instrText xml:space="preserve"> FORMCHECKBOX </w:instrText>
            </w:r>
            <w:r w:rsidR="000146B9">
              <w:rPr>
                <w:rFonts w:ascii="Arial Narrow" w:eastAsia="Calibri" w:hAnsi="Arial Narrow" w:cs="Times New Roman"/>
                <w:strike/>
                <w:color w:val="000000"/>
                <w:sz w:val="20"/>
                <w:szCs w:val="20"/>
                <w:lang w:val="en-AU"/>
              </w:rPr>
            </w:r>
            <w:r w:rsidR="000146B9">
              <w:rPr>
                <w:rFonts w:ascii="Arial Narrow" w:eastAsia="Calibri" w:hAnsi="Arial Narrow" w:cs="Times New Roman"/>
                <w:strike/>
                <w:color w:val="000000"/>
                <w:sz w:val="20"/>
                <w:szCs w:val="20"/>
                <w:lang w:val="en-AU"/>
              </w:rPr>
              <w:fldChar w:fldCharType="separate"/>
            </w:r>
            <w:r w:rsidRPr="00C927B9">
              <w:rPr>
                <w:rFonts w:ascii="Arial Narrow" w:eastAsia="Calibri" w:hAnsi="Arial Narrow" w:cs="Times New Roman"/>
                <w:strike/>
                <w:color w:val="000000"/>
                <w:sz w:val="20"/>
                <w:szCs w:val="20"/>
                <w:lang w:val="en-AU"/>
              </w:rPr>
              <w:fldChar w:fldCharType="end"/>
            </w:r>
            <w:r w:rsidRPr="00C927B9">
              <w:rPr>
                <w:rFonts w:ascii="Arial Narrow" w:eastAsia="Calibri" w:hAnsi="Arial Narrow" w:cs="Times New Roman"/>
                <w:strike/>
                <w:color w:val="000000"/>
                <w:sz w:val="20"/>
                <w:szCs w:val="20"/>
                <w:lang w:val="en-AU"/>
              </w:rPr>
              <w:t>Authority Required – immediate/real time assessment by Services Australia (telephone/online application avenues)</w:t>
            </w:r>
          </w:p>
        </w:tc>
      </w:tr>
      <w:tr w:rsidR="00B5184B" w:rsidRPr="00C927B9" w:rsidTr="00B5184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5184B" w:rsidRPr="00C927B9" w:rsidRDefault="00B5184B" w:rsidP="00AC3BF3">
            <w:pPr>
              <w:widowControl w:val="0"/>
              <w:spacing w:before="20" w:after="20"/>
              <w:jc w:val="left"/>
              <w:rPr>
                <w:rFonts w:ascii="Arial Narrow" w:hAnsi="Arial Narrow" w:cs="Times New Roman"/>
                <w:b/>
                <w:strike/>
                <w:color w:val="000000"/>
                <w:sz w:val="20"/>
                <w:szCs w:val="20"/>
                <w:lang w:val="en-AU"/>
              </w:rPr>
            </w:pPr>
            <w:r w:rsidRPr="00C927B9">
              <w:rPr>
                <w:rFonts w:ascii="Arial Narrow" w:hAnsi="Arial Narrow" w:cs="Times New Roman"/>
                <w:b/>
                <w:strike/>
                <w:color w:val="000000"/>
                <w:sz w:val="20"/>
                <w:szCs w:val="20"/>
                <w:lang w:val="en-AU"/>
              </w:rPr>
              <w:t xml:space="preserve">Condition: </w:t>
            </w:r>
            <w:r w:rsidRPr="00C927B9">
              <w:rPr>
                <w:rFonts w:ascii="Arial Narrow" w:hAnsi="Arial Narrow" w:cs="Times New Roman"/>
                <w:bCs/>
                <w:strike/>
                <w:color w:val="000000"/>
                <w:sz w:val="20"/>
                <w:szCs w:val="20"/>
                <w:lang w:val="en-AU"/>
              </w:rPr>
              <w:t>Acute myeloid leukaemia (AML)</w:t>
            </w:r>
          </w:p>
        </w:tc>
      </w:tr>
      <w:tr w:rsidR="00B5184B" w:rsidRPr="00C927B9" w:rsidTr="00B5184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5184B" w:rsidRPr="00C927B9" w:rsidRDefault="00B5184B" w:rsidP="00AC3BF3">
            <w:pPr>
              <w:widowControl w:val="0"/>
              <w:spacing w:before="20" w:after="20"/>
              <w:jc w:val="left"/>
              <w:rPr>
                <w:rFonts w:ascii="Arial Narrow" w:hAnsi="Arial Narrow" w:cs="Times New Roman"/>
                <w:b/>
                <w:strike/>
                <w:color w:val="000000"/>
                <w:sz w:val="20"/>
                <w:szCs w:val="20"/>
                <w:lang w:val="en-AU"/>
              </w:rPr>
            </w:pPr>
            <w:r w:rsidRPr="00C927B9">
              <w:rPr>
                <w:rFonts w:ascii="Arial Narrow" w:hAnsi="Arial Narrow" w:cs="Times New Roman"/>
                <w:b/>
                <w:strike/>
                <w:color w:val="000000"/>
                <w:sz w:val="20"/>
                <w:szCs w:val="20"/>
                <w:lang w:val="en-AU"/>
              </w:rPr>
              <w:t xml:space="preserve">Indication: </w:t>
            </w:r>
            <w:r w:rsidRPr="00C927B9">
              <w:rPr>
                <w:rFonts w:ascii="Arial Narrow" w:hAnsi="Arial Narrow" w:cs="Times New Roman"/>
                <w:bCs/>
                <w:strike/>
                <w:color w:val="000000"/>
                <w:sz w:val="20"/>
                <w:szCs w:val="20"/>
                <w:lang w:val="en-AU"/>
              </w:rPr>
              <w:t>A</w:t>
            </w:r>
            <w:r w:rsidRPr="00C927B9">
              <w:rPr>
                <w:rFonts w:ascii="Arial Narrow" w:eastAsia="TimesNewRoman" w:hAnsi="Arial Narrow" w:cs="Times New Roman"/>
                <w:strike/>
                <w:color w:val="000000"/>
                <w:sz w:val="20"/>
                <w:szCs w:val="20"/>
                <w:lang w:val="en-AU"/>
              </w:rPr>
              <w:t>cute myeloid leukaemia (AML)</w:t>
            </w:r>
          </w:p>
        </w:tc>
      </w:tr>
      <w:tr w:rsidR="00B5184B" w:rsidRPr="00C927B9" w:rsidTr="00B5184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5184B" w:rsidRPr="00C927B9" w:rsidRDefault="00B5184B" w:rsidP="00AC3BF3">
            <w:pPr>
              <w:widowControl w:val="0"/>
              <w:spacing w:before="20" w:after="20"/>
              <w:jc w:val="left"/>
              <w:rPr>
                <w:rFonts w:ascii="Arial Narrow" w:hAnsi="Arial Narrow" w:cs="Times New Roman"/>
                <w:strike/>
                <w:color w:val="000000"/>
                <w:sz w:val="20"/>
                <w:szCs w:val="20"/>
                <w:lang w:val="en-AU"/>
              </w:rPr>
            </w:pPr>
            <w:r w:rsidRPr="00C927B9">
              <w:rPr>
                <w:rFonts w:ascii="Arial Narrow" w:hAnsi="Arial Narrow" w:cs="Times New Roman"/>
                <w:b/>
                <w:strike/>
                <w:color w:val="000000"/>
                <w:sz w:val="20"/>
                <w:szCs w:val="20"/>
                <w:lang w:val="en-AU"/>
              </w:rPr>
              <w:t>Treatment Phase:</w:t>
            </w:r>
            <w:r w:rsidRPr="00C927B9">
              <w:rPr>
                <w:rFonts w:ascii="Arial Narrow" w:hAnsi="Arial Narrow" w:cs="Times New Roman"/>
                <w:strike/>
                <w:color w:val="000000"/>
                <w:sz w:val="20"/>
                <w:szCs w:val="20"/>
                <w:lang w:val="en-AU"/>
              </w:rPr>
              <w:t xml:space="preserve"> Continuing treatment</w:t>
            </w:r>
          </w:p>
        </w:tc>
      </w:tr>
      <w:tr w:rsidR="00B5184B" w:rsidRPr="00C927B9" w:rsidTr="00B5184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5184B" w:rsidRPr="00C927B9" w:rsidRDefault="00B5184B" w:rsidP="00AC3BF3">
            <w:pPr>
              <w:widowControl w:val="0"/>
              <w:spacing w:before="20" w:after="20"/>
              <w:jc w:val="left"/>
              <w:rPr>
                <w:rFonts w:ascii="Arial Narrow" w:hAnsi="Arial Narrow" w:cs="Times New Roman"/>
                <w:b/>
                <w:strike/>
                <w:color w:val="000000"/>
                <w:sz w:val="20"/>
                <w:szCs w:val="20"/>
                <w:lang w:val="en-AU"/>
              </w:rPr>
            </w:pPr>
            <w:r w:rsidRPr="00C927B9">
              <w:rPr>
                <w:rFonts w:ascii="Arial Narrow" w:hAnsi="Arial Narrow" w:cs="Times New Roman"/>
                <w:b/>
                <w:strike/>
                <w:color w:val="000000"/>
                <w:sz w:val="20"/>
                <w:szCs w:val="20"/>
                <w:lang w:val="en-AU"/>
              </w:rPr>
              <w:t>Clinical criteria:</w:t>
            </w:r>
          </w:p>
        </w:tc>
      </w:tr>
      <w:tr w:rsidR="00B5184B" w:rsidRPr="00C927B9" w:rsidTr="00B5184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5184B" w:rsidRPr="00C927B9" w:rsidRDefault="00B5184B" w:rsidP="00AC3BF3">
            <w:pPr>
              <w:widowControl w:val="0"/>
              <w:spacing w:before="20" w:after="20"/>
              <w:jc w:val="left"/>
              <w:rPr>
                <w:rFonts w:ascii="Arial Narrow" w:hAnsi="Arial Narrow" w:cs="Times New Roman"/>
                <w:strike/>
                <w:color w:val="000000"/>
                <w:sz w:val="20"/>
                <w:szCs w:val="20"/>
                <w:lang w:val="en-AU"/>
              </w:rPr>
            </w:pPr>
            <w:r w:rsidRPr="00C927B9">
              <w:rPr>
                <w:rFonts w:ascii="Arial Narrow" w:hAnsi="Arial Narrow" w:cs="Times New Roman"/>
                <w:strike/>
                <w:color w:val="000000"/>
                <w:sz w:val="20"/>
                <w:szCs w:val="20"/>
                <w:lang w:val="en-AU"/>
              </w:rPr>
              <w:t>Patient must have previously received PBS-subsidised treatment with this drug for this condition</w:t>
            </w:r>
          </w:p>
        </w:tc>
      </w:tr>
      <w:tr w:rsidR="00B5184B" w:rsidRPr="00C927B9" w:rsidTr="00B5184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5184B" w:rsidRPr="00C927B9" w:rsidRDefault="00B5184B" w:rsidP="00AC3BF3">
            <w:pPr>
              <w:widowControl w:val="0"/>
              <w:spacing w:before="20" w:after="20"/>
              <w:jc w:val="left"/>
              <w:rPr>
                <w:rFonts w:ascii="Arial Narrow" w:hAnsi="Arial Narrow" w:cs="Times New Roman"/>
                <w:strike/>
                <w:color w:val="000000"/>
                <w:sz w:val="20"/>
                <w:szCs w:val="20"/>
                <w:lang w:val="en-AU"/>
              </w:rPr>
            </w:pPr>
            <w:r w:rsidRPr="00C927B9">
              <w:rPr>
                <w:rFonts w:ascii="Arial Narrow" w:hAnsi="Arial Narrow" w:cs="Times New Roman"/>
                <w:bCs/>
                <w:strike/>
                <w:color w:val="000000"/>
                <w:sz w:val="20"/>
                <w:szCs w:val="20"/>
                <w:lang w:val="en-AU"/>
              </w:rPr>
              <w:t>AND</w:t>
            </w:r>
          </w:p>
        </w:tc>
      </w:tr>
      <w:tr w:rsidR="00B5184B" w:rsidRPr="00C927B9" w:rsidTr="00B5184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5184B" w:rsidRPr="00C927B9" w:rsidRDefault="00B5184B" w:rsidP="00AC3BF3">
            <w:pPr>
              <w:widowControl w:val="0"/>
              <w:spacing w:before="20" w:after="20"/>
              <w:jc w:val="left"/>
              <w:rPr>
                <w:rFonts w:ascii="Arial Narrow" w:hAnsi="Arial Narrow" w:cs="Times New Roman"/>
                <w:strike/>
                <w:color w:val="000000"/>
                <w:sz w:val="20"/>
                <w:szCs w:val="20"/>
                <w:lang w:val="en-AU"/>
              </w:rPr>
            </w:pPr>
            <w:r w:rsidRPr="00C927B9">
              <w:rPr>
                <w:rFonts w:ascii="Arial Narrow" w:hAnsi="Arial Narrow" w:cs="Times New Roman"/>
                <w:strike/>
                <w:color w:val="000000"/>
                <w:sz w:val="20"/>
                <w:szCs w:val="20"/>
                <w:lang w:val="en-AU"/>
              </w:rPr>
              <w:t>Patient must not have developed disease progression while receiving PBS-subsidised treatment with this drug for this condition</w:t>
            </w:r>
          </w:p>
        </w:tc>
      </w:tr>
      <w:tr w:rsidR="00B5184B" w:rsidRPr="00C927B9" w:rsidTr="00B5184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5184B" w:rsidRPr="00C927B9" w:rsidRDefault="00B5184B" w:rsidP="00AC3BF3">
            <w:pPr>
              <w:widowControl w:val="0"/>
              <w:spacing w:before="20" w:after="20"/>
              <w:jc w:val="left"/>
              <w:rPr>
                <w:rFonts w:ascii="Arial Narrow" w:hAnsi="Arial Narrow" w:cs="Times New Roman"/>
                <w:strike/>
                <w:color w:val="000000"/>
                <w:sz w:val="20"/>
                <w:szCs w:val="20"/>
                <w:lang w:val="en-AU"/>
              </w:rPr>
            </w:pPr>
            <w:r w:rsidRPr="00C927B9">
              <w:rPr>
                <w:rFonts w:ascii="Arial Narrow" w:hAnsi="Arial Narrow" w:cs="Times New Roman"/>
                <w:bCs/>
                <w:strike/>
                <w:color w:val="000000"/>
                <w:sz w:val="20"/>
                <w:szCs w:val="20"/>
                <w:lang w:val="en-AU"/>
              </w:rPr>
              <w:t>AND</w:t>
            </w:r>
          </w:p>
        </w:tc>
      </w:tr>
      <w:tr w:rsidR="00B5184B" w:rsidRPr="00C927B9" w:rsidTr="00B5184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5184B" w:rsidRPr="00C927B9" w:rsidRDefault="00B5184B" w:rsidP="00AC3BF3">
            <w:pPr>
              <w:widowControl w:val="0"/>
              <w:spacing w:before="20" w:after="20"/>
              <w:jc w:val="left"/>
              <w:rPr>
                <w:rFonts w:ascii="Arial Narrow" w:hAnsi="Arial Narrow" w:cs="Times New Roman"/>
                <w:strike/>
                <w:color w:val="000000"/>
                <w:sz w:val="20"/>
                <w:szCs w:val="20"/>
                <w:lang w:val="en-AU"/>
              </w:rPr>
            </w:pPr>
            <w:r w:rsidRPr="00C927B9">
              <w:rPr>
                <w:rFonts w:ascii="Arial Narrow" w:hAnsi="Arial Narrow" w:cs="Times New Roman"/>
                <w:bCs/>
                <w:strike/>
                <w:color w:val="000000"/>
                <w:sz w:val="20"/>
                <w:szCs w:val="20"/>
                <w:lang w:val="en-AU"/>
              </w:rPr>
              <w:t>The treatment must be in combination with azacitidine for this condition</w:t>
            </w:r>
          </w:p>
        </w:tc>
      </w:tr>
      <w:tr w:rsidR="00B5184B" w:rsidRPr="00C927B9" w:rsidTr="00B5184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5184B" w:rsidRPr="00C927B9" w:rsidRDefault="00B5184B" w:rsidP="00AC3BF3">
            <w:pPr>
              <w:keepNext/>
              <w:keepLines/>
              <w:widowControl w:val="0"/>
              <w:spacing w:before="20" w:after="20"/>
              <w:jc w:val="left"/>
              <w:rPr>
                <w:rFonts w:ascii="Arial Narrow" w:hAnsi="Arial Narrow" w:cs="Times New Roman"/>
                <w:strike/>
                <w:color w:val="000000"/>
                <w:sz w:val="20"/>
                <w:szCs w:val="20"/>
                <w:lang w:val="en-AU"/>
              </w:rPr>
            </w:pPr>
            <w:r w:rsidRPr="00C927B9">
              <w:rPr>
                <w:rFonts w:ascii="Arial Narrow" w:hAnsi="Arial Narrow" w:cs="Times New Roman"/>
                <w:b/>
                <w:strike/>
                <w:color w:val="000000"/>
                <w:sz w:val="20"/>
                <w:szCs w:val="20"/>
                <w:lang w:val="en-AU"/>
              </w:rPr>
              <w:t>Prescribing Instructions:</w:t>
            </w:r>
            <w:r w:rsidRPr="00C927B9">
              <w:rPr>
                <w:rFonts w:ascii="Arial Narrow" w:hAnsi="Arial Narrow" w:cs="Times New Roman"/>
                <w:strike/>
                <w:color w:val="000000"/>
                <w:sz w:val="20"/>
                <w:szCs w:val="20"/>
                <w:lang w:val="en-AU"/>
              </w:rPr>
              <w:t xml:space="preserve"> </w:t>
            </w:r>
          </w:p>
          <w:p w:rsidR="00B5184B" w:rsidRPr="00C927B9" w:rsidRDefault="00B5184B" w:rsidP="00AC3BF3">
            <w:pPr>
              <w:keepNext/>
              <w:keepLines/>
              <w:widowControl w:val="0"/>
              <w:spacing w:before="20" w:after="20"/>
              <w:jc w:val="left"/>
              <w:rPr>
                <w:rFonts w:ascii="Arial Narrow" w:hAnsi="Arial Narrow" w:cs="Times New Roman"/>
                <w:bCs/>
                <w:strike/>
                <w:color w:val="000000"/>
                <w:sz w:val="20"/>
                <w:szCs w:val="20"/>
                <w:lang w:val="en-AU"/>
              </w:rPr>
            </w:pPr>
            <w:r w:rsidRPr="00C927B9">
              <w:rPr>
                <w:rFonts w:ascii="Arial Narrow" w:hAnsi="Arial Narrow" w:cs="Times New Roman"/>
                <w:bCs/>
                <w:strike/>
                <w:color w:val="000000"/>
                <w:sz w:val="20"/>
                <w:szCs w:val="20"/>
                <w:lang w:val="en-AU"/>
              </w:rPr>
              <w:t>Progressive disease monitoring via a complete blood count must be taken at the end of each cycle.</w:t>
            </w:r>
          </w:p>
          <w:p w:rsidR="00B5184B" w:rsidRPr="00C927B9" w:rsidRDefault="00B5184B" w:rsidP="00AC3BF3">
            <w:pPr>
              <w:keepNext/>
              <w:keepLines/>
              <w:widowControl w:val="0"/>
              <w:spacing w:before="20" w:after="20"/>
              <w:jc w:val="left"/>
              <w:rPr>
                <w:rFonts w:ascii="Arial Narrow" w:hAnsi="Arial Narrow" w:cs="Times New Roman"/>
                <w:bCs/>
                <w:strike/>
                <w:color w:val="000000"/>
                <w:sz w:val="20"/>
                <w:szCs w:val="20"/>
                <w:lang w:val="en-AU"/>
              </w:rPr>
            </w:pPr>
            <w:r w:rsidRPr="00C927B9">
              <w:rPr>
                <w:rFonts w:ascii="Arial Narrow" w:hAnsi="Arial Narrow" w:cs="Times New Roman"/>
                <w:bCs/>
                <w:strike/>
                <w:color w:val="000000"/>
                <w:sz w:val="20"/>
                <w:szCs w:val="20"/>
                <w:lang w:val="en-AU"/>
              </w:rPr>
              <w:t>If abnormal blood counts suggest the potential for relapsed AML, a bone marrow biopsy must be performed to confirm the absence of progressive disease for the patient to be eligible for further cycles.</w:t>
            </w:r>
          </w:p>
          <w:p w:rsidR="00B5184B" w:rsidRPr="00C927B9" w:rsidRDefault="00B5184B" w:rsidP="00AC3BF3">
            <w:pPr>
              <w:keepNext/>
              <w:keepLines/>
              <w:widowControl w:val="0"/>
              <w:spacing w:before="20" w:after="20"/>
              <w:jc w:val="left"/>
              <w:rPr>
                <w:rFonts w:ascii="Arial Narrow" w:hAnsi="Arial Narrow" w:cs="Times New Roman"/>
                <w:bCs/>
                <w:strike/>
                <w:color w:val="000000"/>
                <w:sz w:val="20"/>
                <w:szCs w:val="20"/>
                <w:highlight w:val="yellow"/>
                <w:lang w:val="en-AU"/>
              </w:rPr>
            </w:pPr>
            <w:r w:rsidRPr="00C927B9">
              <w:rPr>
                <w:rFonts w:ascii="Arial Narrow" w:hAnsi="Arial Narrow" w:cs="Times New Roman"/>
                <w:bCs/>
                <w:strike/>
                <w:color w:val="000000"/>
                <w:sz w:val="20"/>
                <w:szCs w:val="20"/>
                <w:lang w:val="en-AU"/>
              </w:rPr>
              <w:t>A patient who has progressive disease when treated with this drug is no longer eligible for PBS-subsidised treatment with this drug</w:t>
            </w:r>
          </w:p>
        </w:tc>
      </w:tr>
    </w:tbl>
    <w:p w:rsidR="00B5184B" w:rsidRPr="00C927B9" w:rsidRDefault="00B5184B">
      <w:pPr>
        <w:rPr>
          <w:lang w:val="en-AU"/>
        </w:rPr>
      </w:pPr>
    </w:p>
    <w:p w:rsidR="006D04B0" w:rsidRPr="00C927B9" w:rsidRDefault="006D04B0" w:rsidP="00AB0688">
      <w:pPr>
        <w:pStyle w:val="ExecSumBodyText"/>
        <w:rPr>
          <w:color w:val="0066FF"/>
          <w:lang w:val="en-AU"/>
        </w:rPr>
      </w:pPr>
      <w:r w:rsidRPr="00C927B9">
        <w:rPr>
          <w:lang w:val="en-AU"/>
        </w:rPr>
        <w:t xml:space="preserve">The submission </w:t>
      </w:r>
      <w:r w:rsidR="00541CEF" w:rsidRPr="00C927B9">
        <w:rPr>
          <w:lang w:val="en-AU"/>
        </w:rPr>
        <w:t xml:space="preserve">requested </w:t>
      </w:r>
      <w:r w:rsidRPr="00C927B9">
        <w:rPr>
          <w:lang w:val="en-AU"/>
        </w:rPr>
        <w:t>a special pricing arrangement with a published price of $7,799.98 (DPMQ) and an effective price of $</w:t>
      </w:r>
      <w:r w:rsidR="004F2A12">
        <w:rPr>
          <w:noProof/>
          <w:color w:val="000000"/>
          <w:highlight w:val="black"/>
          <w:lang w:val="en-AU"/>
        </w:rPr>
        <w:t>'''''''''''''''''</w:t>
      </w:r>
      <w:r w:rsidRPr="00C927B9">
        <w:rPr>
          <w:lang w:val="en-AU"/>
        </w:rPr>
        <w:t xml:space="preserve"> (DPMQ)</w:t>
      </w:r>
      <w:r w:rsidR="00AB0688" w:rsidRPr="00C927B9">
        <w:rPr>
          <w:lang w:val="en-AU"/>
        </w:rPr>
        <w:t xml:space="preserve">. </w:t>
      </w:r>
      <w:r w:rsidR="004F2A12">
        <w:rPr>
          <w:noProof/>
          <w:color w:val="000000"/>
          <w:highlight w:val="black"/>
          <w:lang w:val="en-AU"/>
        </w:rPr>
        <w:t>''''' '''''' '''''''' ''''' '''''''''''''''''''''''' '''''''''''' ''''''''''' ''''''''''' '''''''''''''''''' '''''''' ''''''' '''''''''' '''''' ''''''''''''''''''' ''''''' ''''''' ''''''''''' ''''''' ''''''''''''</w:t>
      </w:r>
      <w:r w:rsidR="00AB0688" w:rsidRPr="00C927B9">
        <w:rPr>
          <w:lang w:val="en-AU"/>
        </w:rPr>
        <w:t>. However, new fees were introduced on 1 January 2021, and the DPMQ is now $7</w:t>
      </w:r>
      <w:r w:rsidR="00337EA2" w:rsidRPr="00C927B9">
        <w:rPr>
          <w:lang w:val="en-AU"/>
        </w:rPr>
        <w:t>,</w:t>
      </w:r>
      <w:r w:rsidR="00AB0688" w:rsidRPr="00C927B9">
        <w:rPr>
          <w:lang w:val="en-AU"/>
        </w:rPr>
        <w:t>784.18.</w:t>
      </w:r>
    </w:p>
    <w:p w:rsidR="00C87982" w:rsidRPr="00C927B9" w:rsidRDefault="006344D0" w:rsidP="006344D0">
      <w:pPr>
        <w:pStyle w:val="ExecSumBodyText"/>
        <w:rPr>
          <w:color w:val="0066FF"/>
          <w:lang w:val="en-AU"/>
        </w:rPr>
      </w:pPr>
      <w:r w:rsidRPr="00C927B9">
        <w:rPr>
          <w:lang w:val="en-AU"/>
        </w:rPr>
        <w:t xml:space="preserve">The submission anticipated that venetoclax </w:t>
      </w:r>
      <w:r w:rsidR="00B5184B" w:rsidRPr="00C927B9">
        <w:rPr>
          <w:lang w:val="en-AU"/>
        </w:rPr>
        <w:t>would</w:t>
      </w:r>
      <w:r w:rsidRPr="00C927B9">
        <w:rPr>
          <w:lang w:val="en-AU"/>
        </w:rPr>
        <w:t xml:space="preserve"> be administered in the hospital setting, either as inpatient or at the day-stay unit, during the ramp-up phase (days 1-4) to monitor for TLS. </w:t>
      </w:r>
      <w:r w:rsidR="006B2427" w:rsidRPr="00C927B9">
        <w:rPr>
          <w:lang w:val="en-AU"/>
        </w:rPr>
        <w:t>W</w:t>
      </w:r>
      <w:r w:rsidR="009E5BF5" w:rsidRPr="00C927B9">
        <w:rPr>
          <w:lang w:val="en-AU"/>
        </w:rPr>
        <w:t xml:space="preserve">hen </w:t>
      </w:r>
      <w:r w:rsidR="006B2427" w:rsidRPr="00C927B9">
        <w:rPr>
          <w:lang w:val="en-AU"/>
        </w:rPr>
        <w:t xml:space="preserve">venetoclax is </w:t>
      </w:r>
      <w:r w:rsidR="009E5BF5" w:rsidRPr="00C927B9">
        <w:rPr>
          <w:lang w:val="en-AU"/>
        </w:rPr>
        <w:t xml:space="preserve">co-administered with strong or moderate CYP3A </w:t>
      </w:r>
      <w:r w:rsidR="006B2427" w:rsidRPr="00C927B9">
        <w:rPr>
          <w:lang w:val="en-AU"/>
        </w:rPr>
        <w:t>inhibitors, dose reductions are recommended to reduce the risk of TLS. However, t</w:t>
      </w:r>
      <w:r w:rsidR="00C87982" w:rsidRPr="00C927B9">
        <w:rPr>
          <w:lang w:val="en-AU"/>
        </w:rPr>
        <w:t xml:space="preserve">he submission did not request listings for the venetoclax 10 mg and 50 mg </w:t>
      </w:r>
      <w:r w:rsidR="00C87982" w:rsidRPr="00C927B9">
        <w:rPr>
          <w:lang w:val="en-AU"/>
        </w:rPr>
        <w:lastRenderedPageBreak/>
        <w:t>dose strengths</w:t>
      </w:r>
      <w:r w:rsidR="00B12607" w:rsidRPr="00C927B9">
        <w:rPr>
          <w:lang w:val="en-AU"/>
        </w:rPr>
        <w:t xml:space="preserve">, stating </w:t>
      </w:r>
      <w:r w:rsidR="006B2427" w:rsidRPr="00C927B9">
        <w:rPr>
          <w:lang w:val="en-AU"/>
        </w:rPr>
        <w:t xml:space="preserve">that the sponsor will work with </w:t>
      </w:r>
      <w:r w:rsidR="00FD2694" w:rsidRPr="00C927B9">
        <w:rPr>
          <w:lang w:val="en-AU"/>
        </w:rPr>
        <w:t>hospitals</w:t>
      </w:r>
      <w:r w:rsidR="006B2427" w:rsidRPr="00C927B9">
        <w:rPr>
          <w:lang w:val="en-AU"/>
        </w:rPr>
        <w:t xml:space="preserve"> to provide access in this situation. </w:t>
      </w:r>
    </w:p>
    <w:p w:rsidR="00C87982" w:rsidRPr="00C927B9" w:rsidRDefault="00C87982" w:rsidP="00C87982">
      <w:pPr>
        <w:pStyle w:val="ExecSumBodyText"/>
        <w:rPr>
          <w:color w:val="0066FF"/>
          <w:lang w:val="en-AU"/>
        </w:rPr>
      </w:pPr>
      <w:r w:rsidRPr="00C927B9">
        <w:rPr>
          <w:lang w:val="en-AU"/>
        </w:rPr>
        <w:t xml:space="preserve">The requested restriction is narrower than the venetoclax provisional TGA indication, as eligible patients must be treated with venetoclax in combination therapy with azacitidine (excludes combination therapy with LoDAC or other agents). </w:t>
      </w:r>
    </w:p>
    <w:p w:rsidR="006D04B0" w:rsidRPr="00C927B9" w:rsidRDefault="003F2660" w:rsidP="000772A0">
      <w:pPr>
        <w:pStyle w:val="ExecSumBodyText"/>
        <w:rPr>
          <w:iCs/>
          <w:color w:val="0066FF"/>
          <w:lang w:val="en-AU"/>
        </w:rPr>
      </w:pPr>
      <w:r w:rsidRPr="00C927B9">
        <w:rPr>
          <w:iCs/>
          <w:lang w:val="en-AU"/>
        </w:rPr>
        <w:t>The ESC noted that c</w:t>
      </w:r>
      <w:r w:rsidR="00C87982" w:rsidRPr="00C927B9">
        <w:rPr>
          <w:iCs/>
          <w:lang w:val="en-AU"/>
        </w:rPr>
        <w:t>linical criteria for ‘ineligibility’ for standard intensive remission induction chemotherapy and disease progression are not defined and will most likely be determined on a patient-by-patient basis by treating physicians.</w:t>
      </w:r>
      <w:r w:rsidRPr="00C927B9">
        <w:rPr>
          <w:iCs/>
          <w:lang w:val="en-AU"/>
        </w:rPr>
        <w:t xml:space="preserve"> </w:t>
      </w:r>
      <w:r w:rsidR="000772A0" w:rsidRPr="00C927B9">
        <w:rPr>
          <w:iCs/>
          <w:lang w:val="en-AU"/>
        </w:rPr>
        <w:t>The evaluation considered that</w:t>
      </w:r>
      <w:r w:rsidR="00B5184B" w:rsidRPr="00C927B9">
        <w:rPr>
          <w:iCs/>
          <w:lang w:val="en-AU"/>
        </w:rPr>
        <w:t xml:space="preserve"> the</w:t>
      </w:r>
      <w:r w:rsidR="00C87982" w:rsidRPr="00C927B9">
        <w:rPr>
          <w:iCs/>
          <w:lang w:val="en-AU"/>
        </w:rPr>
        <w:t xml:space="preserve"> listing of venetoclax in combination with azacitidine on the PBS as an effective treatment for AML in patients unfit for (i.e. unsuitable, or unable to tolerate) standard intensive remission induction chemotherapy, may impact physician and patient choice of treatment options, and provide an alternative to standard intensive remission induction chemotherapy for some patients.</w:t>
      </w:r>
      <w:r w:rsidRPr="00C927B9">
        <w:rPr>
          <w:iCs/>
          <w:lang w:val="en-AU"/>
        </w:rPr>
        <w:t xml:space="preserve"> The Pre-Sub-Committee Response (PSCR) argued that if patients are </w:t>
      </w:r>
      <w:r w:rsidR="000772A0" w:rsidRPr="00C927B9">
        <w:rPr>
          <w:iCs/>
          <w:lang w:val="en-AU"/>
        </w:rPr>
        <w:t xml:space="preserve">deemed </w:t>
      </w:r>
      <w:r w:rsidRPr="00C927B9">
        <w:rPr>
          <w:iCs/>
          <w:lang w:val="en-AU"/>
        </w:rPr>
        <w:t xml:space="preserve">eligible for a potentially curative induction chemotherapy regimen, it is unlikely that this </w:t>
      </w:r>
      <w:r w:rsidR="000772A0" w:rsidRPr="00C927B9">
        <w:rPr>
          <w:iCs/>
          <w:lang w:val="en-AU"/>
        </w:rPr>
        <w:t>would</w:t>
      </w:r>
      <w:r w:rsidRPr="00C927B9">
        <w:rPr>
          <w:iCs/>
          <w:lang w:val="en-AU"/>
        </w:rPr>
        <w:t xml:space="preserve"> be forgone for low-intensity non-curative options. The ESC agreed, but also advised that a small risk of leakage remained for patients whose eligibility for a cur</w:t>
      </w:r>
      <w:r w:rsidR="001F508A" w:rsidRPr="00C927B9">
        <w:rPr>
          <w:iCs/>
          <w:lang w:val="en-AU"/>
        </w:rPr>
        <w:t>ative regimen was “borderline”.</w:t>
      </w:r>
    </w:p>
    <w:p w:rsidR="002662F3" w:rsidRPr="00C927B9" w:rsidRDefault="00410E7B" w:rsidP="002662F3">
      <w:pPr>
        <w:pStyle w:val="ExecSumBodyText"/>
        <w:rPr>
          <w:iCs/>
          <w:color w:val="0066FF"/>
          <w:lang w:val="en-AU"/>
        </w:rPr>
      </w:pPr>
      <w:r w:rsidRPr="00C927B9">
        <w:rPr>
          <w:lang w:val="en-AU"/>
        </w:rPr>
        <w:t>Azacitidine is currently listed on the PBS for use in AML with 20-30% bone marrow blasts and multi-lineage dysplasia, for MDS, or for CMML. The submission requested that the current PBS listing for azacitidine be amended to allow use in AML patients regardless of blast cell count and presence of multi-lineage dysplasia when used in combination with venetoclax.</w:t>
      </w:r>
      <w:r w:rsidRPr="00C927B9" w:rsidDel="003B0ACF">
        <w:rPr>
          <w:lang w:val="en-AU"/>
        </w:rPr>
        <w:t xml:space="preserve"> </w:t>
      </w:r>
      <w:r w:rsidRPr="00C927B9">
        <w:rPr>
          <w:lang w:val="en-AU"/>
        </w:rPr>
        <w:t>The ESC noted that at the time of PBAC consideration (2009), the WHO classification scheme for MDS included refractory anaemia (with or without excess blasts), CMML without myeloproliferative disease, and AML with blasts of between 20-30%. As such, the intent of the PBS listing was for treatment of patients with MDS, not AML per se.</w:t>
      </w:r>
    </w:p>
    <w:p w:rsidR="002662F3" w:rsidRPr="00C927B9" w:rsidRDefault="00306182" w:rsidP="002662F3">
      <w:pPr>
        <w:pStyle w:val="ExecSumBodyText"/>
        <w:rPr>
          <w:iCs/>
          <w:color w:val="0066FF"/>
          <w:lang w:val="en-AU"/>
        </w:rPr>
      </w:pPr>
      <w:r w:rsidRPr="00C927B9">
        <w:rPr>
          <w:lang w:val="en-AU"/>
        </w:rPr>
        <w:t xml:space="preserve">The submission requested grandfathering provisions </w:t>
      </w:r>
      <w:r w:rsidR="002662F3" w:rsidRPr="00C927B9">
        <w:rPr>
          <w:lang w:val="en-AU"/>
        </w:rPr>
        <w:t>for patients receiving non-PBS subsidised venetoclax prior to PBS listing</w:t>
      </w:r>
      <w:r w:rsidRPr="00C927B9">
        <w:rPr>
          <w:lang w:val="en-AU"/>
        </w:rPr>
        <w:t>. The PBAC noted that no further details were provided.</w:t>
      </w:r>
    </w:p>
    <w:p w:rsidR="001F508A" w:rsidRPr="00C927B9" w:rsidRDefault="001F508A" w:rsidP="001F508A">
      <w:pPr>
        <w:pStyle w:val="ExecSumBodyText"/>
        <w:numPr>
          <w:ilvl w:val="0"/>
          <w:numId w:val="0"/>
        </w:numPr>
        <w:ind w:left="720"/>
        <w:rPr>
          <w:lang w:val="en-AU"/>
        </w:rPr>
      </w:pPr>
      <w:r w:rsidRPr="00C927B9">
        <w:rPr>
          <w:i/>
          <w:lang w:val="en-AU"/>
        </w:rPr>
        <w:t>For more detail on the PBAC’s view, see section 7 PBAC outcome.</w:t>
      </w:r>
    </w:p>
    <w:p w:rsidR="00B50DB8" w:rsidRPr="00C927B9" w:rsidRDefault="00203181" w:rsidP="004E18E9">
      <w:pPr>
        <w:pStyle w:val="2-SectionHeading"/>
      </w:pPr>
      <w:bookmarkStart w:id="8" w:name="_Toc62040061"/>
      <w:r w:rsidRPr="00C927B9">
        <w:t xml:space="preserve">Population and </w:t>
      </w:r>
      <w:r w:rsidR="008E0D3C" w:rsidRPr="00C927B9">
        <w:t>d</w:t>
      </w:r>
      <w:r w:rsidRPr="00C927B9">
        <w:t>isease</w:t>
      </w:r>
      <w:bookmarkEnd w:id="8"/>
    </w:p>
    <w:p w:rsidR="0055564C" w:rsidRPr="00C927B9" w:rsidRDefault="0055564C" w:rsidP="0055564C">
      <w:pPr>
        <w:pStyle w:val="ExecSumBodyText"/>
        <w:rPr>
          <w:lang w:val="en-AU"/>
        </w:rPr>
      </w:pPr>
      <w:r w:rsidRPr="00C927B9">
        <w:rPr>
          <w:lang w:val="en-AU"/>
        </w:rPr>
        <w:t>AML is the most common acute leukaemia in adults, with an estimated incidence in the Australian setting of 3.8 per 100,000 (age standardised incidence) or 4.3 per 100,000 (average age specific incidence; AIHW Cancer data in Australia, 2020). The onset and progression of AML is typically rapid with presentation and diagnosis occurring within weeks of the onset of symptoms (</w:t>
      </w:r>
      <w:proofErr w:type="spellStart"/>
      <w:r w:rsidRPr="00C927B9">
        <w:rPr>
          <w:lang w:val="en-AU"/>
        </w:rPr>
        <w:t>Estey</w:t>
      </w:r>
      <w:proofErr w:type="spellEnd"/>
      <w:r w:rsidRPr="00C927B9">
        <w:rPr>
          <w:lang w:val="en-AU"/>
        </w:rPr>
        <w:t xml:space="preserve"> &amp; </w:t>
      </w:r>
      <w:proofErr w:type="spellStart"/>
      <w:r w:rsidRPr="00C927B9">
        <w:rPr>
          <w:lang w:val="en-AU"/>
        </w:rPr>
        <w:t>Döhner</w:t>
      </w:r>
      <w:proofErr w:type="spellEnd"/>
      <w:r w:rsidRPr="00C927B9">
        <w:rPr>
          <w:lang w:val="en-AU"/>
        </w:rPr>
        <w:t xml:space="preserve">, 2006). Median age at diagnosis is 70.4 years in males (56.4% of cases) and 65.6 years in females (43.6% of cases). </w:t>
      </w:r>
      <w:r w:rsidR="00AF7BF0" w:rsidRPr="00C927B9">
        <w:rPr>
          <w:lang w:val="en-AU"/>
        </w:rPr>
        <w:t xml:space="preserve">The five-year </w:t>
      </w:r>
      <w:r w:rsidRPr="00C927B9">
        <w:rPr>
          <w:lang w:val="en-AU"/>
        </w:rPr>
        <w:t xml:space="preserve">relative survival </w:t>
      </w:r>
      <w:r w:rsidR="00AF7BF0" w:rsidRPr="00C927B9">
        <w:rPr>
          <w:lang w:val="en-AU"/>
        </w:rPr>
        <w:t>of</w:t>
      </w:r>
      <w:r w:rsidRPr="00C927B9">
        <w:rPr>
          <w:lang w:val="en-AU"/>
        </w:rPr>
        <w:t xml:space="preserve"> AML is 27.7% (AIHW, 2020), with both incidence and mortality increasing with age. </w:t>
      </w:r>
    </w:p>
    <w:p w:rsidR="0055564C" w:rsidRPr="00C927B9" w:rsidRDefault="0055564C" w:rsidP="0055564C">
      <w:pPr>
        <w:pStyle w:val="ExecSumBodyText"/>
        <w:rPr>
          <w:lang w:val="en-AU"/>
        </w:rPr>
      </w:pPr>
      <w:r w:rsidRPr="00C927B9">
        <w:rPr>
          <w:lang w:val="en-AU"/>
        </w:rPr>
        <w:lastRenderedPageBreak/>
        <w:t>Presentation is typically either de novo (AML not related to prior disease), or secondary (AML related to prior MDS, myeloproliferative disorder, or aplastic anaemia, that converts to myeloid leukaemia). Prognosis and response to therapies varies by age and cytogenetic risk.</w:t>
      </w:r>
    </w:p>
    <w:p w:rsidR="0055564C" w:rsidRPr="00C927B9" w:rsidRDefault="0055564C" w:rsidP="0055564C">
      <w:pPr>
        <w:pStyle w:val="ExecSumBodyText"/>
        <w:rPr>
          <w:lang w:val="en-AU"/>
        </w:rPr>
      </w:pPr>
      <w:r w:rsidRPr="00C927B9">
        <w:rPr>
          <w:lang w:val="en-AU"/>
        </w:rPr>
        <w:t xml:space="preserve">AML is defined as the presence of </w:t>
      </w:r>
      <w:r w:rsidRPr="00C927B9">
        <w:rPr>
          <w:rFonts w:cs="Calibri"/>
          <w:lang w:val="en-AU"/>
        </w:rPr>
        <w:t>≥</w:t>
      </w:r>
      <w:r w:rsidRPr="00C927B9">
        <w:rPr>
          <w:lang w:val="en-AU"/>
        </w:rPr>
        <w:t>20% blasts in the bone marrow or peripheral blood. Diagnosis is confirmed on morphologic assessment of bone marrow specimens and blood smears, patient and family history, analysis of the expression of cell-surface or cytoplasmic markers by means of flow cytometry, identification of chromosomal findings by means of conventional cytogenetic testing and screening for selected molecular genetic lesions (</w:t>
      </w:r>
      <w:proofErr w:type="spellStart"/>
      <w:r w:rsidRPr="00C927B9">
        <w:rPr>
          <w:lang w:val="en-AU"/>
        </w:rPr>
        <w:t>D</w:t>
      </w:r>
      <w:r w:rsidRPr="00C927B9">
        <w:rPr>
          <w:rFonts w:cs="Calibri"/>
          <w:lang w:val="en-AU"/>
        </w:rPr>
        <w:t>ö</w:t>
      </w:r>
      <w:r w:rsidRPr="00C927B9">
        <w:rPr>
          <w:lang w:val="en-AU"/>
        </w:rPr>
        <w:t>hner</w:t>
      </w:r>
      <w:proofErr w:type="spellEnd"/>
      <w:r w:rsidRPr="00C927B9">
        <w:rPr>
          <w:lang w:val="en-AU"/>
        </w:rPr>
        <w:t xml:space="preserve"> et al., 2015a; </w:t>
      </w:r>
      <w:proofErr w:type="spellStart"/>
      <w:r w:rsidRPr="00C927B9">
        <w:rPr>
          <w:lang w:val="en-AU"/>
        </w:rPr>
        <w:t>Heuser</w:t>
      </w:r>
      <w:proofErr w:type="spellEnd"/>
      <w:r w:rsidRPr="00C927B9">
        <w:rPr>
          <w:lang w:val="en-AU"/>
        </w:rPr>
        <w:t xml:space="preserve"> et al., 2020)</w:t>
      </w:r>
      <w:r w:rsidR="005020FF" w:rsidRPr="00C927B9">
        <w:rPr>
          <w:lang w:val="en-AU"/>
        </w:rPr>
        <w:t>. Diagnosis</w:t>
      </w:r>
      <w:r w:rsidRPr="00C927B9">
        <w:rPr>
          <w:lang w:val="en-AU"/>
        </w:rPr>
        <w:t xml:space="preserve"> may also be confirmed in patients with less than 20% blasts by recurrent cytogenetic abnormalities including </w:t>
      </w:r>
      <w:proofErr w:type="gramStart"/>
      <w:r w:rsidRPr="00C927B9">
        <w:rPr>
          <w:lang w:val="en-AU"/>
        </w:rPr>
        <w:t>t(</w:t>
      </w:r>
      <w:proofErr w:type="gramEnd"/>
      <w:r w:rsidRPr="00C927B9">
        <w:rPr>
          <w:lang w:val="en-AU"/>
        </w:rPr>
        <w:t xml:space="preserve">15;17), t(8;21), t(16;16), or </w:t>
      </w:r>
      <w:proofErr w:type="spellStart"/>
      <w:r w:rsidRPr="00C927B9">
        <w:rPr>
          <w:lang w:val="en-AU"/>
        </w:rPr>
        <w:t>inv</w:t>
      </w:r>
      <w:proofErr w:type="spellEnd"/>
      <w:r w:rsidRPr="00C927B9">
        <w:rPr>
          <w:lang w:val="en-AU"/>
        </w:rPr>
        <w:t>(16) or the corresponding transcript (National Comprehensive Cancer Network, NCCN, 2020).</w:t>
      </w:r>
    </w:p>
    <w:p w:rsidR="0055564C" w:rsidRPr="00C927B9" w:rsidRDefault="0055564C" w:rsidP="00D91796">
      <w:pPr>
        <w:pStyle w:val="ExecSumBodyText"/>
        <w:rPr>
          <w:lang w:val="en-AU"/>
        </w:rPr>
      </w:pPr>
      <w:r w:rsidRPr="00C927B9">
        <w:rPr>
          <w:lang w:val="en-AU"/>
        </w:rPr>
        <w:t xml:space="preserve">A diagnosis with AML may be preceded by MDS, a group of </w:t>
      </w:r>
      <w:proofErr w:type="spellStart"/>
      <w:r w:rsidRPr="00C927B9">
        <w:rPr>
          <w:lang w:val="en-AU"/>
        </w:rPr>
        <w:t>haematologic</w:t>
      </w:r>
      <w:proofErr w:type="spellEnd"/>
      <w:r w:rsidRPr="00C927B9">
        <w:rPr>
          <w:lang w:val="en-AU"/>
        </w:rPr>
        <w:t xml:space="preserve"> malignancies characterised by clonal haematopoiesis and abnormal cellular maturation, clinically similar to AML but with a lower percentage of blasts in the bone marrow peripheral blood (&lt;20% blasts). Patients with MDS may experience anaemia, infection and/or bleeding, and disease progression or transformation to AML. Treatment for MDS may include watchful waiting, supportive therapies or in </w:t>
      </w:r>
      <w:r w:rsidR="000C396D" w:rsidRPr="00C927B9">
        <w:rPr>
          <w:lang w:val="en-AU"/>
        </w:rPr>
        <w:t>high-risk</w:t>
      </w:r>
      <w:r w:rsidRPr="00C927B9">
        <w:rPr>
          <w:lang w:val="en-AU"/>
        </w:rPr>
        <w:t xml:space="preserve"> cytogenetic subgroups or variants (e.g. CMML), standard or low intensity chemotherapy (e.g. azacitidine). Patients who have progressed to AML from MDS after significant exposure to </w:t>
      </w:r>
      <w:proofErr w:type="spellStart"/>
      <w:r w:rsidR="00D91796" w:rsidRPr="00C927B9">
        <w:rPr>
          <w:lang w:val="en-AU"/>
        </w:rPr>
        <w:t>hypomethylating</w:t>
      </w:r>
      <w:proofErr w:type="spellEnd"/>
      <w:r w:rsidR="00D91796" w:rsidRPr="00C927B9">
        <w:rPr>
          <w:lang w:val="en-AU"/>
        </w:rPr>
        <w:t xml:space="preserve"> agents (</w:t>
      </w:r>
      <w:r w:rsidRPr="00C927B9">
        <w:rPr>
          <w:lang w:val="en-AU"/>
        </w:rPr>
        <w:t>HMA</w:t>
      </w:r>
      <w:r w:rsidR="00D91796" w:rsidRPr="00C927B9">
        <w:rPr>
          <w:lang w:val="en-AU"/>
        </w:rPr>
        <w:t>)</w:t>
      </w:r>
      <w:r w:rsidRPr="00C927B9">
        <w:rPr>
          <w:lang w:val="en-AU"/>
        </w:rPr>
        <w:t xml:space="preserve"> may be less likely to benefit from continued treatment with a HMA compared to treatment naïve patients.</w:t>
      </w:r>
    </w:p>
    <w:p w:rsidR="0055564C" w:rsidRPr="00C927B9" w:rsidRDefault="0055564C" w:rsidP="0055564C">
      <w:pPr>
        <w:pStyle w:val="ExecSumBodyText"/>
        <w:rPr>
          <w:lang w:val="en-AU"/>
        </w:rPr>
      </w:pPr>
      <w:r w:rsidRPr="00C927B9">
        <w:rPr>
          <w:lang w:val="en-AU"/>
        </w:rPr>
        <w:t>Standard intensive induction chemotherapy for treatment na</w:t>
      </w:r>
      <w:r w:rsidR="00723ED2" w:rsidRPr="00C927B9">
        <w:rPr>
          <w:lang w:val="en-AU"/>
        </w:rPr>
        <w:t>ï</w:t>
      </w:r>
      <w:r w:rsidRPr="00C927B9">
        <w:rPr>
          <w:lang w:val="en-AU"/>
        </w:rPr>
        <w:t xml:space="preserve">ve AML is commonly cytarabine combined with an </w:t>
      </w:r>
      <w:proofErr w:type="spellStart"/>
      <w:r w:rsidRPr="00C927B9">
        <w:rPr>
          <w:lang w:val="en-AU"/>
        </w:rPr>
        <w:t>anthracycline</w:t>
      </w:r>
      <w:proofErr w:type="spellEnd"/>
      <w:r w:rsidRPr="00C927B9">
        <w:rPr>
          <w:lang w:val="en-AU"/>
        </w:rPr>
        <w:t xml:space="preserve"> (i.e. ‘7+3’ regimen) with or without cytogenetic targeted therapies, followed by high intensity consolidation therapy; e.g. intermediate or high dose cytarabine or allogeneic haematopoietic stem cell transplantation (NCCN, 2020), and has been associated with increased mortality and morbidity, and prolonged hospitalisation in unfit patients. Patients unfit for intensive induction chemotherapy are treated with HMAs (e.g. azacitidine), LoDAC, other low intensity therapies</w:t>
      </w:r>
      <w:r w:rsidR="00FD2694" w:rsidRPr="00C927B9">
        <w:rPr>
          <w:lang w:val="en-AU"/>
        </w:rPr>
        <w:t>,</w:t>
      </w:r>
      <w:r w:rsidRPr="00C927B9">
        <w:rPr>
          <w:lang w:val="en-AU"/>
        </w:rPr>
        <w:t xml:space="preserve"> or best supportive care.</w:t>
      </w:r>
    </w:p>
    <w:p w:rsidR="0055564C" w:rsidRPr="00C927B9" w:rsidRDefault="0055564C" w:rsidP="0055564C">
      <w:pPr>
        <w:pStyle w:val="ExecSumBodyText"/>
        <w:rPr>
          <w:lang w:val="en-AU"/>
        </w:rPr>
      </w:pPr>
      <w:r w:rsidRPr="00C927B9">
        <w:rPr>
          <w:lang w:val="en-AU"/>
        </w:rPr>
        <w:t xml:space="preserve">The proposed clinical management algorithm places venetoclax with azacitidine as an alternative to low intensity azacitidine or LoDAC, for patients with previously untreated AML, unfit for intensive induction chemotherapy. </w:t>
      </w:r>
    </w:p>
    <w:p w:rsidR="001F508A" w:rsidRPr="00C927B9" w:rsidRDefault="001F508A" w:rsidP="001F508A">
      <w:pPr>
        <w:pStyle w:val="ExecSumBodyText"/>
        <w:numPr>
          <w:ilvl w:val="0"/>
          <w:numId w:val="0"/>
        </w:numPr>
        <w:ind w:left="720"/>
        <w:rPr>
          <w:lang w:val="en-AU"/>
        </w:rPr>
      </w:pPr>
      <w:r w:rsidRPr="00C927B9">
        <w:rPr>
          <w:i/>
          <w:lang w:val="en-AU"/>
        </w:rPr>
        <w:t>For more detail on the PBAC’s view, see section 7 PBAC outcome.</w:t>
      </w:r>
    </w:p>
    <w:p w:rsidR="00B50DB8" w:rsidRPr="00C927B9" w:rsidRDefault="00B50DB8" w:rsidP="004E18E9">
      <w:pPr>
        <w:pStyle w:val="2-SectionHeading"/>
      </w:pPr>
      <w:bookmarkStart w:id="9" w:name="_Toc62040062"/>
      <w:r w:rsidRPr="00C927B9">
        <w:t>Comparator</w:t>
      </w:r>
      <w:bookmarkEnd w:id="9"/>
    </w:p>
    <w:p w:rsidR="008501FD" w:rsidRPr="00C927B9" w:rsidRDefault="008501FD" w:rsidP="00171897">
      <w:pPr>
        <w:pStyle w:val="ExecSumBodyText"/>
        <w:rPr>
          <w:snapToGrid/>
          <w:lang w:val="en-AU"/>
        </w:rPr>
      </w:pPr>
      <w:r w:rsidRPr="00C927B9">
        <w:rPr>
          <w:lang w:val="en-AU"/>
        </w:rPr>
        <w:t>The submission nominated azacitidine monotherapy as the main comparator, and LoDAC as a secondary comparator</w:t>
      </w:r>
      <w:r w:rsidR="00171897" w:rsidRPr="00C927B9">
        <w:rPr>
          <w:lang w:val="en-AU"/>
        </w:rPr>
        <w:t xml:space="preserve"> (with a 55.6%/44.4% split in the economic evaluation; and 50%/50% market share in the financial estimates)</w:t>
      </w:r>
      <w:r w:rsidRPr="00C927B9">
        <w:rPr>
          <w:lang w:val="en-AU"/>
        </w:rPr>
        <w:t xml:space="preserve">. The submission argued that this is consistent with the use of low intensity therapies recommended in </w:t>
      </w:r>
      <w:r w:rsidRPr="00C927B9">
        <w:rPr>
          <w:lang w:val="en-AU"/>
        </w:rPr>
        <w:lastRenderedPageBreak/>
        <w:t>international clinical guidelines for treatment naïve AML in patients unsuitable for intensive induction chemotherapy. Azacitidine and LoDAC are recommended for use as low intensity therapies in the requested population</w:t>
      </w:r>
      <w:r w:rsidRPr="00C927B9">
        <w:rPr>
          <w:snapToGrid/>
          <w:lang w:val="en-AU"/>
        </w:rPr>
        <w:t>. However, excepting specific cytogenetic risks, there was no overall preference for azacitidine over cytarabine in the clinical guidelines.</w:t>
      </w:r>
    </w:p>
    <w:p w:rsidR="008501FD" w:rsidRPr="00C927B9" w:rsidRDefault="001D3A6C" w:rsidP="00574791">
      <w:pPr>
        <w:pStyle w:val="ExecSumBodyText"/>
        <w:rPr>
          <w:iCs/>
          <w:snapToGrid/>
          <w:lang w:val="en-AU"/>
        </w:rPr>
      </w:pPr>
      <w:r w:rsidRPr="00C927B9">
        <w:rPr>
          <w:snapToGrid/>
          <w:lang w:val="en-AU"/>
        </w:rPr>
        <w:t>As noted above, a</w:t>
      </w:r>
      <w:r w:rsidR="008501FD" w:rsidRPr="00C927B9">
        <w:rPr>
          <w:snapToGrid/>
          <w:lang w:val="en-AU"/>
        </w:rPr>
        <w:t xml:space="preserve">zacitidine is not listed </w:t>
      </w:r>
      <w:r w:rsidR="008501FD" w:rsidRPr="00C927B9">
        <w:rPr>
          <w:lang w:val="en-AU"/>
        </w:rPr>
        <w:t xml:space="preserve">on the ARTG or PBS for use in the requested indication, and existing azacitidine </w:t>
      </w:r>
      <w:r w:rsidR="00D91796" w:rsidRPr="00C927B9">
        <w:rPr>
          <w:lang w:val="en-AU"/>
        </w:rPr>
        <w:t xml:space="preserve">PBS </w:t>
      </w:r>
      <w:r w:rsidR="008501FD" w:rsidRPr="00C927B9">
        <w:rPr>
          <w:lang w:val="en-AU"/>
        </w:rPr>
        <w:t>listings would require amendment to facilitate use of venetoclax in combination with azacitidine in the requested population.</w:t>
      </w:r>
      <w:r w:rsidR="00D61A8F" w:rsidRPr="00C927B9">
        <w:rPr>
          <w:iCs/>
          <w:lang w:val="en-AU"/>
        </w:rPr>
        <w:t xml:space="preserve"> </w:t>
      </w:r>
      <w:r w:rsidR="008501FD" w:rsidRPr="00C927B9">
        <w:rPr>
          <w:lang w:val="en-AU"/>
        </w:rPr>
        <w:t xml:space="preserve">Azacitidine is currently </w:t>
      </w:r>
      <w:r w:rsidR="00171897" w:rsidRPr="00C927B9">
        <w:rPr>
          <w:lang w:val="en-AU"/>
        </w:rPr>
        <w:t>PBS-listed as a section 100 Highly Specialised Drug</w:t>
      </w:r>
      <w:r w:rsidR="008501FD" w:rsidRPr="00C927B9">
        <w:rPr>
          <w:lang w:val="en-AU"/>
        </w:rPr>
        <w:t xml:space="preserve">, for use in AML with 20-30% bone marrow blasts and multi-lineage dysplasia. </w:t>
      </w:r>
      <w:r w:rsidR="00477A04" w:rsidRPr="00C927B9">
        <w:rPr>
          <w:lang w:val="en-AU"/>
        </w:rPr>
        <w:t xml:space="preserve">The ESC noted that at the time of PBAC recommendation (2009), this group of patients were classified as having MDS. </w:t>
      </w:r>
      <w:r w:rsidR="008501FD" w:rsidRPr="00C927B9">
        <w:rPr>
          <w:lang w:val="en-AU"/>
        </w:rPr>
        <w:t xml:space="preserve">The submission stated that access to azacitidine in patients with &gt;30% blasts is supported by some major hospitals, and that </w:t>
      </w:r>
      <w:r w:rsidR="00314737" w:rsidRPr="00C927B9">
        <w:rPr>
          <w:lang w:val="en-AU"/>
        </w:rPr>
        <w:t xml:space="preserve">a </w:t>
      </w:r>
      <w:r w:rsidR="008501FD" w:rsidRPr="00C927B9">
        <w:rPr>
          <w:lang w:val="en-AU"/>
        </w:rPr>
        <w:t xml:space="preserve">sponsor </w:t>
      </w:r>
      <w:r w:rsidR="005922F3" w:rsidRPr="00C927B9">
        <w:rPr>
          <w:lang w:val="en-AU"/>
        </w:rPr>
        <w:t xml:space="preserve">of azacitidine </w:t>
      </w:r>
      <w:r w:rsidR="008501FD" w:rsidRPr="00C927B9">
        <w:rPr>
          <w:lang w:val="en-AU"/>
        </w:rPr>
        <w:t xml:space="preserve">offers a capped expenditure program for the use of azacitidine where it is not subsidised. </w:t>
      </w:r>
      <w:r w:rsidR="008501FD" w:rsidRPr="00C927B9">
        <w:rPr>
          <w:iCs/>
          <w:lang w:val="en-AU"/>
        </w:rPr>
        <w:t xml:space="preserve">While there may be some overlap between the current azacitidine PBS listing and the requested population, the extent of </w:t>
      </w:r>
      <w:r w:rsidR="00476CB5" w:rsidRPr="00C927B9">
        <w:rPr>
          <w:iCs/>
          <w:lang w:val="en-AU"/>
        </w:rPr>
        <w:t xml:space="preserve">overlap is </w:t>
      </w:r>
      <w:r w:rsidR="008501FD" w:rsidRPr="00C927B9">
        <w:rPr>
          <w:iCs/>
          <w:lang w:val="en-AU"/>
        </w:rPr>
        <w:t xml:space="preserve">most likely small. </w:t>
      </w:r>
    </w:p>
    <w:p w:rsidR="00B50DB8" w:rsidRPr="00C927B9" w:rsidRDefault="008501FD" w:rsidP="00CE6CE6">
      <w:pPr>
        <w:pStyle w:val="ExecSumBodyText"/>
        <w:rPr>
          <w:snapToGrid/>
          <w:lang w:val="en-AU"/>
        </w:rPr>
      </w:pPr>
      <w:r w:rsidRPr="00C927B9">
        <w:rPr>
          <w:lang w:val="en-AU"/>
        </w:rPr>
        <w:t xml:space="preserve">Cytarabine has an unrestricted listing on the ARTG and PBS Efficient Funding of Chemotherapy </w:t>
      </w:r>
      <w:r w:rsidR="007B6B7A" w:rsidRPr="00C927B9">
        <w:rPr>
          <w:lang w:val="en-AU"/>
        </w:rPr>
        <w:t>S</w:t>
      </w:r>
      <w:r w:rsidRPr="00C927B9">
        <w:rPr>
          <w:lang w:val="en-AU"/>
        </w:rPr>
        <w:t>chedule, and is subsidised for use in the requested population. Consequently, LoDAC may be the comparator most likely to be replaced in clinical practice.</w:t>
      </w:r>
      <w:r w:rsidR="00BC591F" w:rsidRPr="00C927B9">
        <w:rPr>
          <w:snapToGrid/>
          <w:lang w:val="en-AU"/>
        </w:rPr>
        <w:t xml:space="preserve"> </w:t>
      </w:r>
      <w:r w:rsidR="003D7601" w:rsidRPr="00C927B9">
        <w:rPr>
          <w:snapToGrid/>
          <w:lang w:val="en-AU"/>
        </w:rPr>
        <w:t>The PSCR argued that the results of the CURRENT study, an Australian real-world observational study of treatment patterns and clinical outcomes in unfit AML patients, which was provided with the submission, indicate that the majority of new diagnosed AML patients treated with low-intensity therapy undergo treatment with azacitidine. It further argued that th</w:t>
      </w:r>
      <w:r w:rsidR="00AA681A" w:rsidRPr="00C927B9">
        <w:rPr>
          <w:snapToGrid/>
          <w:lang w:val="en-AU"/>
        </w:rPr>
        <w:t>i</w:t>
      </w:r>
      <w:r w:rsidR="003D7601" w:rsidRPr="00C927B9">
        <w:rPr>
          <w:snapToGrid/>
          <w:lang w:val="en-AU"/>
        </w:rPr>
        <w:t xml:space="preserve">s was consistent with local clinician advice, supporting azacitidine as the most likely therapy to be replaced on the PBS. It suggested that LoDAC was the comparator for patients who are ineligible, contraindicated or do not have access to azacitidine. </w:t>
      </w:r>
      <w:r w:rsidR="00CE6CE6" w:rsidRPr="00C927B9">
        <w:rPr>
          <w:snapToGrid/>
          <w:lang w:val="en-AU"/>
        </w:rPr>
        <w:t xml:space="preserve">The ESC noted that Attachment 1 of the submission contained tables and figures from the CURRENT study, but no information was available on authorship or patient selection, and the trial </w:t>
      </w:r>
      <w:r w:rsidR="00BF752E" w:rsidRPr="00C927B9">
        <w:rPr>
          <w:snapToGrid/>
          <w:lang w:val="en-AU"/>
        </w:rPr>
        <w:t>was</w:t>
      </w:r>
      <w:r w:rsidR="00CE6CE6" w:rsidRPr="00C927B9">
        <w:rPr>
          <w:snapToGrid/>
          <w:lang w:val="en-AU"/>
        </w:rPr>
        <w:t xml:space="preserve"> not included in the Australian New Zealand Clinical Trial Registry. Furthermore, it did not provide information of first-line systemic therapy by subgroups based on blast cell counts</w:t>
      </w:r>
      <w:r w:rsidR="008334D2" w:rsidRPr="00C927B9">
        <w:rPr>
          <w:snapToGrid/>
          <w:lang w:val="en-AU"/>
        </w:rPr>
        <w:t xml:space="preserve"> (i.e. </w:t>
      </w:r>
      <w:r w:rsidR="008334D2" w:rsidRPr="00C927B9">
        <w:rPr>
          <w:lang w:val="en-AU"/>
        </w:rPr>
        <w:t>&lt; 20%, 20-30%, &gt; 30%)</w:t>
      </w:r>
      <w:r w:rsidR="00CE6CE6" w:rsidRPr="00C927B9">
        <w:rPr>
          <w:snapToGrid/>
          <w:lang w:val="en-AU"/>
        </w:rPr>
        <w:t>. As such, it was unreliable and uninformative for establishing the relative weighting of azacit</w:t>
      </w:r>
      <w:r w:rsidR="004A3E39" w:rsidRPr="00C927B9">
        <w:rPr>
          <w:snapToGrid/>
          <w:lang w:val="en-AU"/>
        </w:rPr>
        <w:t>id</w:t>
      </w:r>
      <w:r w:rsidR="00CE6CE6" w:rsidRPr="00C927B9">
        <w:rPr>
          <w:snapToGrid/>
          <w:lang w:val="en-AU"/>
        </w:rPr>
        <w:t>ine as part of the comp</w:t>
      </w:r>
      <w:r w:rsidR="008367DE" w:rsidRPr="00C927B9">
        <w:rPr>
          <w:snapToGrid/>
          <w:lang w:val="en-AU"/>
        </w:rPr>
        <w:t>arator mix for this submission.</w:t>
      </w:r>
    </w:p>
    <w:p w:rsidR="00272567" w:rsidRPr="00C927B9" w:rsidRDefault="00272567" w:rsidP="00CE6CE6">
      <w:pPr>
        <w:pStyle w:val="ExecSumBodyText"/>
        <w:rPr>
          <w:snapToGrid/>
          <w:lang w:val="en-AU"/>
        </w:rPr>
      </w:pPr>
      <w:r w:rsidRPr="00C927B9">
        <w:rPr>
          <w:snapToGrid/>
          <w:lang w:val="en-AU"/>
        </w:rPr>
        <w:t>The ESC advised that a mixed comparator was appropriate, but noting the above</w:t>
      </w:r>
      <w:r w:rsidR="00541CEF" w:rsidRPr="00C927B9">
        <w:rPr>
          <w:snapToGrid/>
          <w:lang w:val="en-AU"/>
        </w:rPr>
        <w:t xml:space="preserve"> paragraphs</w:t>
      </w:r>
      <w:r w:rsidRPr="00C927B9">
        <w:rPr>
          <w:snapToGrid/>
          <w:lang w:val="en-AU"/>
        </w:rPr>
        <w:t xml:space="preserve">, </w:t>
      </w:r>
      <w:r w:rsidR="008334D2" w:rsidRPr="00C927B9">
        <w:rPr>
          <w:snapToGrid/>
          <w:lang w:val="en-AU"/>
        </w:rPr>
        <w:t xml:space="preserve">this </w:t>
      </w:r>
      <w:r w:rsidRPr="00C927B9">
        <w:rPr>
          <w:snapToGrid/>
          <w:lang w:val="en-AU"/>
        </w:rPr>
        <w:t xml:space="preserve">should be heavily weighted towards LoDAC. </w:t>
      </w:r>
    </w:p>
    <w:p w:rsidR="001F508A" w:rsidRPr="00C927B9" w:rsidRDefault="001F508A" w:rsidP="001F508A">
      <w:pPr>
        <w:pStyle w:val="ExecSumBodyText"/>
        <w:numPr>
          <w:ilvl w:val="0"/>
          <w:numId w:val="0"/>
        </w:numPr>
        <w:ind w:left="720"/>
        <w:rPr>
          <w:i/>
          <w:snapToGrid/>
          <w:lang w:val="en-AU"/>
        </w:rPr>
      </w:pPr>
      <w:r w:rsidRPr="00C927B9">
        <w:rPr>
          <w:i/>
          <w:snapToGrid/>
          <w:lang w:val="en-AU"/>
        </w:rPr>
        <w:t>For more detail on the PBAC’s view, see section 7 PBAC outcome.</w:t>
      </w:r>
    </w:p>
    <w:p w:rsidR="00223D5A" w:rsidRPr="00C927B9" w:rsidRDefault="00223D5A" w:rsidP="00223D5A">
      <w:pPr>
        <w:pStyle w:val="2-SectionHeading"/>
        <w:numPr>
          <w:ilvl w:val="0"/>
          <w:numId w:val="1"/>
        </w:numPr>
      </w:pPr>
      <w:bookmarkStart w:id="10" w:name="_Toc62040063"/>
      <w:bookmarkStart w:id="11" w:name="_Toc22897640"/>
      <w:r w:rsidRPr="00C927B9">
        <w:lastRenderedPageBreak/>
        <w:t>Consideration of the evidence</w:t>
      </w:r>
      <w:bookmarkEnd w:id="10"/>
    </w:p>
    <w:p w:rsidR="00C06DE0" w:rsidRPr="00C927B9" w:rsidRDefault="00C06DE0" w:rsidP="00C06DE0">
      <w:pPr>
        <w:pStyle w:val="3-SubsectionHeading"/>
        <w:rPr>
          <w:rFonts w:cs="Arial"/>
          <w:b w:val="0"/>
          <w:bCs/>
          <w:i w:val="0"/>
          <w:snapToGrid w:val="0"/>
          <w:szCs w:val="28"/>
          <w:lang w:val="en-AU"/>
        </w:rPr>
      </w:pPr>
      <w:bookmarkStart w:id="12" w:name="_Toc62040064"/>
      <w:r w:rsidRPr="00C927B9">
        <w:rPr>
          <w:rFonts w:cs="Arial"/>
          <w:bCs/>
          <w:snapToGrid w:val="0"/>
          <w:szCs w:val="28"/>
          <w:lang w:val="en-AU"/>
        </w:rPr>
        <w:t>Sponsor hearing</w:t>
      </w:r>
    </w:p>
    <w:p w:rsidR="00C06DE0" w:rsidRPr="00C927B9" w:rsidRDefault="00C06DE0" w:rsidP="00C06DE0">
      <w:pPr>
        <w:pStyle w:val="ExecSumBodyText"/>
        <w:widowControl w:val="0"/>
        <w:numPr>
          <w:ilvl w:val="1"/>
          <w:numId w:val="1"/>
        </w:numPr>
        <w:rPr>
          <w:bCs/>
          <w:lang w:val="en-AU"/>
        </w:rPr>
      </w:pPr>
      <w:r w:rsidRPr="00C927B9">
        <w:rPr>
          <w:lang w:val="en-AU"/>
        </w:rPr>
        <w:t>The sponsor requested a hearing for this item. The clinician discussed the natural history of the disease, current and historical treatment approaches, and how the drug would be used in practice. The clinician highlighted that azacitidine is the current treatment of choice for this patient population in other jurisdictions, and although it is not currently available on the PBS, there is a strong desire for its wider availability as there are few agents available in this population. The clinician discussed the results of the VIALE-A study (</w:t>
      </w:r>
      <w:r w:rsidRPr="00C927B9">
        <w:rPr>
          <w:snapToGrid/>
          <w:lang w:val="en-AU"/>
        </w:rPr>
        <w:t>M15-656</w:t>
      </w:r>
      <w:r w:rsidRPr="00C927B9">
        <w:rPr>
          <w:lang w:val="en-AU"/>
        </w:rPr>
        <w:t xml:space="preserve">), a head-to-head randomised trial comparing </w:t>
      </w:r>
      <w:r w:rsidRPr="00C927B9">
        <w:rPr>
          <w:rFonts w:ascii="Calibri" w:hAnsi="Calibri"/>
          <w:snapToGrid/>
          <w:lang w:val="en-AU"/>
        </w:rPr>
        <w:t xml:space="preserve">venetoclax with azacitidine versus azacitidine, highlighting similarities between the control arm and patients in the Australasian Leukaemia and Lymphoma Group National Blood Cancer Registry (ALLG NBCR) receiving low-intensity therapy. The clinician stated that the venetoclax arm in VIALE-A had seen earlier and more durable response results, with lower risk of infection and less dependence on blood transfusions, all contributing to an improved overall survival. In terms of how venetoclax may be used in practice, the clinician highlighted that ultimately the decision to initiate low-intensity chemotherapy was at the discretion of clinicians and according to patient preferences. </w:t>
      </w:r>
    </w:p>
    <w:p w:rsidR="00C06DE0" w:rsidRPr="00C927B9" w:rsidRDefault="00C06DE0" w:rsidP="00C06DE0">
      <w:pPr>
        <w:pStyle w:val="3-SubsectionHeading"/>
        <w:rPr>
          <w:rFonts w:cs="Arial"/>
          <w:b w:val="0"/>
          <w:bCs/>
          <w:i w:val="0"/>
          <w:snapToGrid w:val="0"/>
          <w:szCs w:val="28"/>
          <w:lang w:val="en-AU"/>
        </w:rPr>
      </w:pPr>
      <w:r w:rsidRPr="00C927B9">
        <w:rPr>
          <w:rFonts w:cs="Arial"/>
          <w:bCs/>
          <w:snapToGrid w:val="0"/>
          <w:szCs w:val="28"/>
          <w:lang w:val="en-AU"/>
        </w:rPr>
        <w:t>Consumer comments</w:t>
      </w:r>
    </w:p>
    <w:p w:rsidR="00C06DE0" w:rsidRPr="00C927B9" w:rsidRDefault="00C06DE0" w:rsidP="00C06DE0">
      <w:pPr>
        <w:pStyle w:val="ExecSumBodyText"/>
        <w:rPr>
          <w:lang w:val="en-AU"/>
        </w:rPr>
      </w:pPr>
      <w:r w:rsidRPr="00C927B9">
        <w:rPr>
          <w:lang w:val="en-AU"/>
        </w:rPr>
        <w:t>The PBAC noted and welcomed the input from the Leukaemia Foundation and Rare Cancers Australia, via the Consumer Comments facility on the PBS website. The comments described individual patient experiences of the benefits of treatment with venetoclax including the convenience and tolerability of an oral therapy, and returning to a normal work and family life after commencing treatment</w:t>
      </w:r>
      <w:r w:rsidRPr="00C927B9">
        <w:rPr>
          <w:bCs/>
          <w:lang w:val="en-AU"/>
        </w:rPr>
        <w:t>.</w:t>
      </w:r>
    </w:p>
    <w:p w:rsidR="00B60939" w:rsidRPr="00C927B9" w:rsidRDefault="00B60939" w:rsidP="002E4F02">
      <w:pPr>
        <w:pStyle w:val="3-SubsectionHeading"/>
        <w:rPr>
          <w:lang w:val="en-AU"/>
        </w:rPr>
      </w:pPr>
      <w:r w:rsidRPr="00C927B9">
        <w:rPr>
          <w:lang w:val="en-AU"/>
        </w:rPr>
        <w:t>Clinical trials</w:t>
      </w:r>
      <w:bookmarkEnd w:id="11"/>
      <w:bookmarkEnd w:id="12"/>
    </w:p>
    <w:p w:rsidR="00A63861" w:rsidRPr="00C927B9" w:rsidRDefault="00A63861" w:rsidP="00A63861">
      <w:pPr>
        <w:pStyle w:val="ExecSumBodyText"/>
        <w:numPr>
          <w:ilvl w:val="1"/>
          <w:numId w:val="1"/>
        </w:numPr>
        <w:rPr>
          <w:snapToGrid/>
          <w:lang w:val="en-AU"/>
        </w:rPr>
      </w:pPr>
      <w:r w:rsidRPr="00C927B9">
        <w:rPr>
          <w:snapToGrid/>
          <w:lang w:val="en-AU"/>
        </w:rPr>
        <w:t xml:space="preserve">The submission presented comparisons between venetoclax with azacitidine versus each of the two nominated comparators, azacitidine </w:t>
      </w:r>
      <w:r w:rsidR="004862EF" w:rsidRPr="00C927B9">
        <w:rPr>
          <w:snapToGrid/>
          <w:lang w:val="en-AU"/>
        </w:rPr>
        <w:t xml:space="preserve">low intensity therapy </w:t>
      </w:r>
      <w:r w:rsidRPr="00C927B9">
        <w:rPr>
          <w:snapToGrid/>
          <w:lang w:val="en-AU"/>
        </w:rPr>
        <w:t xml:space="preserve">and LoDAC: </w:t>
      </w:r>
    </w:p>
    <w:p w:rsidR="00A63861" w:rsidRPr="00C927B9" w:rsidRDefault="00A63861" w:rsidP="00D622F5">
      <w:pPr>
        <w:pStyle w:val="ExecSumBodyText"/>
        <w:numPr>
          <w:ilvl w:val="1"/>
          <w:numId w:val="9"/>
        </w:numPr>
        <w:ind w:left="993" w:hanging="295"/>
        <w:rPr>
          <w:snapToGrid/>
          <w:lang w:val="en-AU"/>
        </w:rPr>
      </w:pPr>
      <w:r w:rsidRPr="00C927B9">
        <w:rPr>
          <w:snapToGrid/>
          <w:lang w:val="en-AU"/>
        </w:rPr>
        <w:t xml:space="preserve">A direct comparison of venetoclax with azacitidine versus azacitidine, based on one head-to-head randomised trial (M15-656); </w:t>
      </w:r>
    </w:p>
    <w:p w:rsidR="00A63861" w:rsidRPr="00C927B9" w:rsidRDefault="00A63861" w:rsidP="00D622F5">
      <w:pPr>
        <w:pStyle w:val="ExecSumBodyText"/>
        <w:numPr>
          <w:ilvl w:val="1"/>
          <w:numId w:val="9"/>
        </w:numPr>
        <w:ind w:left="993" w:hanging="295"/>
        <w:rPr>
          <w:snapToGrid/>
          <w:lang w:val="en-AU"/>
        </w:rPr>
      </w:pPr>
      <w:r w:rsidRPr="00C927B9">
        <w:rPr>
          <w:snapToGrid/>
          <w:lang w:val="en-AU"/>
        </w:rPr>
        <w:t>An indirect treatment comparison of venetoclax with azacitidine (M15-656) versus LoDAC (AZA-AML-001) with azacitidine as a common reference;</w:t>
      </w:r>
    </w:p>
    <w:p w:rsidR="00A63861" w:rsidRPr="00C927B9" w:rsidRDefault="00A63861" w:rsidP="00D622F5">
      <w:pPr>
        <w:pStyle w:val="ExecSumBodyText"/>
        <w:numPr>
          <w:ilvl w:val="1"/>
          <w:numId w:val="9"/>
        </w:numPr>
        <w:ind w:left="993" w:hanging="295"/>
        <w:rPr>
          <w:snapToGrid/>
          <w:lang w:val="en-AU"/>
        </w:rPr>
      </w:pPr>
      <w:r w:rsidRPr="00C927B9">
        <w:rPr>
          <w:snapToGrid/>
          <w:lang w:val="en-AU"/>
        </w:rPr>
        <w:t xml:space="preserve">An indirect treatment comparison of venetoclax with azacitidine (M15-656) versus LoDAC (meta-analysis of AZA-AML-001 and AZA-001) with azacitidine as a common reference as a </w:t>
      </w:r>
      <w:r w:rsidR="00271804" w:rsidRPr="00C927B9">
        <w:rPr>
          <w:snapToGrid/>
          <w:lang w:val="en-AU"/>
        </w:rPr>
        <w:t xml:space="preserve">sensitivity </w:t>
      </w:r>
      <w:r w:rsidRPr="00C927B9">
        <w:rPr>
          <w:snapToGrid/>
          <w:lang w:val="en-AU"/>
        </w:rPr>
        <w:t>analysis; and</w:t>
      </w:r>
    </w:p>
    <w:p w:rsidR="00A63861" w:rsidRPr="00C927B9" w:rsidRDefault="00A63861" w:rsidP="00D622F5">
      <w:pPr>
        <w:pStyle w:val="ExecSumBodyText"/>
        <w:numPr>
          <w:ilvl w:val="1"/>
          <w:numId w:val="9"/>
        </w:numPr>
        <w:ind w:left="993" w:hanging="295"/>
        <w:rPr>
          <w:snapToGrid/>
          <w:lang w:val="en-AU"/>
        </w:rPr>
      </w:pPr>
      <w:r w:rsidRPr="00C927B9">
        <w:rPr>
          <w:snapToGrid/>
          <w:lang w:val="en-AU"/>
        </w:rPr>
        <w:t>A propensity score weighted analysis of venetoclax with azacitidine (M15-656) versus LoDAC (M16-043) as a supporting analysis.</w:t>
      </w:r>
    </w:p>
    <w:p w:rsidR="00A63861" w:rsidRPr="00C927B9" w:rsidRDefault="00A63861" w:rsidP="00A63861">
      <w:pPr>
        <w:pStyle w:val="ExecSumBodyText"/>
        <w:numPr>
          <w:ilvl w:val="1"/>
          <w:numId w:val="1"/>
        </w:numPr>
        <w:rPr>
          <w:lang w:val="en-AU"/>
        </w:rPr>
      </w:pPr>
      <w:r w:rsidRPr="00C927B9">
        <w:rPr>
          <w:lang w:val="en-AU"/>
        </w:rPr>
        <w:t xml:space="preserve">The submission also presented a direct comparison of venetoclax with </w:t>
      </w:r>
      <w:r w:rsidR="00854E63" w:rsidRPr="00C927B9">
        <w:rPr>
          <w:lang w:val="en-AU"/>
        </w:rPr>
        <w:t>LoDAC versus</w:t>
      </w:r>
      <w:r w:rsidRPr="00C927B9">
        <w:rPr>
          <w:lang w:val="en-AU"/>
        </w:rPr>
        <w:t xml:space="preserve"> LoDAC (M16-043) as a supporting analysis. It was acknowledged that a listing for </w:t>
      </w:r>
      <w:r w:rsidRPr="00C927B9">
        <w:rPr>
          <w:lang w:val="en-AU"/>
        </w:rPr>
        <w:lastRenderedPageBreak/>
        <w:t>venetoclax with LoDAC was not requested in the current submission, and the comparison was provided as selected results were used to inform the economic model.</w:t>
      </w:r>
    </w:p>
    <w:p w:rsidR="00A63861" w:rsidRPr="00C927B9" w:rsidRDefault="00A63861" w:rsidP="00A63861">
      <w:pPr>
        <w:pStyle w:val="ExecSumBodyText"/>
        <w:numPr>
          <w:ilvl w:val="1"/>
          <w:numId w:val="1"/>
        </w:numPr>
        <w:rPr>
          <w:lang w:val="en-AU"/>
        </w:rPr>
      </w:pPr>
      <w:r w:rsidRPr="00C927B9">
        <w:rPr>
          <w:lang w:val="en-AU"/>
        </w:rPr>
        <w:t xml:space="preserve">The PBAC previously reviewed </w:t>
      </w:r>
      <w:r w:rsidR="00034E56" w:rsidRPr="00C927B9">
        <w:rPr>
          <w:lang w:val="en-AU"/>
        </w:rPr>
        <w:t xml:space="preserve">the </w:t>
      </w:r>
      <w:r w:rsidRPr="00C927B9">
        <w:rPr>
          <w:lang w:val="en-AU"/>
        </w:rPr>
        <w:t xml:space="preserve">AZA-001 </w:t>
      </w:r>
      <w:r w:rsidR="00034E56" w:rsidRPr="00C927B9">
        <w:rPr>
          <w:lang w:val="en-AU"/>
        </w:rPr>
        <w:t xml:space="preserve">trial </w:t>
      </w:r>
      <w:r w:rsidRPr="00C927B9">
        <w:rPr>
          <w:lang w:val="en-AU"/>
        </w:rPr>
        <w:t xml:space="preserve">in the July 2009 consideration of azacitidine for the treatment of </w:t>
      </w:r>
      <w:r w:rsidR="00034E56" w:rsidRPr="00C927B9">
        <w:rPr>
          <w:lang w:val="en-AU"/>
        </w:rPr>
        <w:t>myelodysplastic syndromes, chronic myelomonocytic leukaemia, and</w:t>
      </w:r>
      <w:r w:rsidRPr="00C927B9">
        <w:rPr>
          <w:lang w:val="en-AU"/>
        </w:rPr>
        <w:t xml:space="preserve"> AML.</w:t>
      </w:r>
    </w:p>
    <w:p w:rsidR="00A63861" w:rsidRPr="00C927B9" w:rsidRDefault="00A63861" w:rsidP="00A63861">
      <w:pPr>
        <w:pStyle w:val="ExecSumBodyText"/>
        <w:numPr>
          <w:ilvl w:val="1"/>
          <w:numId w:val="1"/>
        </w:numPr>
        <w:rPr>
          <w:lang w:val="en-AU"/>
        </w:rPr>
      </w:pPr>
      <w:r w:rsidRPr="00C927B9">
        <w:rPr>
          <w:snapToGrid/>
          <w:lang w:val="en-AU"/>
        </w:rPr>
        <w:t xml:space="preserve">Details of the trials presented in the submission are provided in the table below. </w:t>
      </w:r>
    </w:p>
    <w:p w:rsidR="00DC541B" w:rsidRPr="00C927B9" w:rsidRDefault="0060344B" w:rsidP="0060344B">
      <w:pPr>
        <w:pStyle w:val="Caption"/>
        <w:rPr>
          <w:lang w:val="en-AU"/>
        </w:rPr>
      </w:pPr>
      <w:r w:rsidRPr="00C927B9">
        <w:rPr>
          <w:lang w:val="en-AU"/>
        </w:rPr>
        <w:t xml:space="preserve">Table </w:t>
      </w:r>
      <w:r w:rsidR="00DB3600" w:rsidRPr="00C927B9">
        <w:rPr>
          <w:lang w:val="en-AU"/>
        </w:rPr>
        <w:t>2</w:t>
      </w:r>
      <w:r w:rsidRPr="00C927B9">
        <w:rPr>
          <w:lang w:val="en-AU"/>
        </w:rPr>
        <w:t>:</w:t>
      </w:r>
      <w:r w:rsidR="00DC541B" w:rsidRPr="00C927B9">
        <w:rPr>
          <w:lang w:val="en-AU"/>
        </w:rPr>
        <w:t xml:space="preserve"> Trials and studies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29"/>
        <w:gridCol w:w="5387"/>
        <w:gridCol w:w="2501"/>
      </w:tblGrid>
      <w:tr w:rsidR="00DC541B" w:rsidRPr="00C927B9" w:rsidTr="00A7390B">
        <w:trPr>
          <w:tblHeader/>
        </w:trPr>
        <w:tc>
          <w:tcPr>
            <w:tcW w:w="626" w:type="pct"/>
            <w:tcBorders>
              <w:bottom w:val="single" w:sz="4" w:space="0" w:color="auto"/>
            </w:tcBorders>
            <w:vAlign w:val="center"/>
          </w:tcPr>
          <w:p w:rsidR="00DC541B" w:rsidRPr="00C927B9" w:rsidRDefault="00DC541B" w:rsidP="005A5E60">
            <w:pPr>
              <w:pStyle w:val="Tableheadingrow"/>
              <w:rPr>
                <w:lang w:val="en-AU"/>
              </w:rPr>
            </w:pPr>
            <w:r w:rsidRPr="00C927B9">
              <w:rPr>
                <w:lang w:val="en-AU"/>
              </w:rPr>
              <w:t>Trial ID</w:t>
            </w:r>
          </w:p>
        </w:tc>
        <w:tc>
          <w:tcPr>
            <w:tcW w:w="2987" w:type="pct"/>
            <w:tcBorders>
              <w:bottom w:val="single" w:sz="4" w:space="0" w:color="auto"/>
            </w:tcBorders>
            <w:vAlign w:val="center"/>
          </w:tcPr>
          <w:p w:rsidR="00DC541B" w:rsidRPr="00C927B9" w:rsidRDefault="00DC541B" w:rsidP="005A5E60">
            <w:pPr>
              <w:pStyle w:val="Tableheadingrow"/>
              <w:rPr>
                <w:lang w:val="en-AU"/>
              </w:rPr>
            </w:pPr>
            <w:r w:rsidRPr="00C927B9">
              <w:rPr>
                <w:lang w:val="en-AU"/>
              </w:rPr>
              <w:t>Protocol title/ Publication title</w:t>
            </w:r>
          </w:p>
        </w:tc>
        <w:tc>
          <w:tcPr>
            <w:tcW w:w="1387" w:type="pct"/>
            <w:tcBorders>
              <w:bottom w:val="single" w:sz="4" w:space="0" w:color="auto"/>
            </w:tcBorders>
            <w:vAlign w:val="center"/>
          </w:tcPr>
          <w:p w:rsidR="00DC541B" w:rsidRPr="00C927B9" w:rsidRDefault="00DC541B" w:rsidP="005A5E60">
            <w:pPr>
              <w:pStyle w:val="Tableheadingrow"/>
              <w:rPr>
                <w:lang w:val="en-AU"/>
              </w:rPr>
            </w:pPr>
            <w:r w:rsidRPr="00C927B9">
              <w:rPr>
                <w:lang w:val="en-AU"/>
              </w:rPr>
              <w:t>Publication citation</w:t>
            </w:r>
          </w:p>
        </w:tc>
      </w:tr>
      <w:tr w:rsidR="00DC541B" w:rsidRPr="00C927B9" w:rsidTr="00A7390B">
        <w:tc>
          <w:tcPr>
            <w:tcW w:w="626" w:type="pct"/>
            <w:tcBorders>
              <w:bottom w:val="nil"/>
            </w:tcBorders>
            <w:vAlign w:val="center"/>
          </w:tcPr>
          <w:p w:rsidR="00DC541B" w:rsidRPr="00C927B9" w:rsidRDefault="00DC541B" w:rsidP="005A5E60">
            <w:pPr>
              <w:pStyle w:val="TableText"/>
            </w:pPr>
            <w:r w:rsidRPr="00C927B9">
              <w:t>M15-656</w:t>
            </w:r>
          </w:p>
          <w:p w:rsidR="00DC541B" w:rsidRPr="00C927B9" w:rsidRDefault="00DC541B" w:rsidP="005A5E60">
            <w:pPr>
              <w:pStyle w:val="TableText"/>
            </w:pPr>
          </w:p>
        </w:tc>
        <w:tc>
          <w:tcPr>
            <w:tcW w:w="2987" w:type="pct"/>
            <w:tcBorders>
              <w:bottom w:val="single" w:sz="4" w:space="0" w:color="auto"/>
            </w:tcBorders>
          </w:tcPr>
          <w:p w:rsidR="00DC541B" w:rsidRPr="00C927B9" w:rsidRDefault="00DC541B" w:rsidP="005A5E60">
            <w:pPr>
              <w:pStyle w:val="TableText"/>
              <w:rPr>
                <w:rFonts w:cstheme="minorHAnsi"/>
                <w:szCs w:val="18"/>
              </w:rPr>
            </w:pPr>
            <w:r w:rsidRPr="00C927B9">
              <w:rPr>
                <w:rFonts w:cstheme="minorHAnsi"/>
                <w:szCs w:val="20"/>
              </w:rPr>
              <w:t xml:space="preserve">A randomized, double-blind, placebo controlled phase 3 study of venetoclax in combination with azacitidine versus azacitidine in treatment naïve subjects with acute myeloid </w:t>
            </w:r>
            <w:proofErr w:type="spellStart"/>
            <w:r w:rsidRPr="00C927B9">
              <w:rPr>
                <w:rFonts w:cstheme="minorHAnsi"/>
                <w:szCs w:val="20"/>
              </w:rPr>
              <w:t>leukemia</w:t>
            </w:r>
            <w:proofErr w:type="spellEnd"/>
            <w:r w:rsidRPr="00C927B9">
              <w:rPr>
                <w:rFonts w:cstheme="minorHAnsi"/>
                <w:szCs w:val="20"/>
              </w:rPr>
              <w:t xml:space="preserve"> who are ineligible for standard induction therapy.</w:t>
            </w:r>
            <w:r w:rsidRPr="00C927B9">
              <w:t xml:space="preserve"> (NCT02993523)</w:t>
            </w:r>
          </w:p>
        </w:tc>
        <w:tc>
          <w:tcPr>
            <w:tcW w:w="1387" w:type="pct"/>
            <w:tcBorders>
              <w:bottom w:val="single" w:sz="4" w:space="0" w:color="auto"/>
            </w:tcBorders>
          </w:tcPr>
          <w:p w:rsidR="00DC541B" w:rsidRPr="00C927B9" w:rsidRDefault="00DC541B" w:rsidP="005A5E60">
            <w:pPr>
              <w:pStyle w:val="TableText"/>
            </w:pPr>
            <w:r w:rsidRPr="00C927B9">
              <w:t xml:space="preserve">Interim Clinical Study Report: </w:t>
            </w:r>
            <w:r w:rsidRPr="00C927B9">
              <w:br/>
              <w:t>8 May 2020.</w:t>
            </w:r>
          </w:p>
        </w:tc>
      </w:tr>
      <w:tr w:rsidR="00DC541B" w:rsidRPr="00C927B9" w:rsidTr="00A7390B">
        <w:tc>
          <w:tcPr>
            <w:tcW w:w="626" w:type="pct"/>
            <w:tcBorders>
              <w:top w:val="nil"/>
              <w:bottom w:val="nil"/>
            </w:tcBorders>
            <w:vAlign w:val="center"/>
          </w:tcPr>
          <w:p w:rsidR="00DC541B" w:rsidRPr="00C927B9" w:rsidRDefault="00DC541B" w:rsidP="005A5E60">
            <w:pPr>
              <w:pStyle w:val="TableText"/>
            </w:pPr>
          </w:p>
        </w:tc>
        <w:tc>
          <w:tcPr>
            <w:tcW w:w="2987" w:type="pct"/>
            <w:tcBorders>
              <w:top w:val="single" w:sz="4" w:space="0" w:color="auto"/>
              <w:bottom w:val="single" w:sz="4" w:space="0" w:color="auto"/>
            </w:tcBorders>
          </w:tcPr>
          <w:p w:rsidR="00DC541B" w:rsidRPr="00C927B9" w:rsidRDefault="00DC541B" w:rsidP="005A5E60">
            <w:pPr>
              <w:pStyle w:val="TableText"/>
              <w:rPr>
                <w:szCs w:val="18"/>
              </w:rPr>
            </w:pPr>
            <w:proofErr w:type="spellStart"/>
            <w:r w:rsidRPr="00C927B9">
              <w:t>DiNardo</w:t>
            </w:r>
            <w:proofErr w:type="spellEnd"/>
            <w:r w:rsidRPr="00C927B9">
              <w:t xml:space="preserve">, C. D., Jonas, B. A., </w:t>
            </w:r>
            <w:proofErr w:type="spellStart"/>
            <w:r w:rsidRPr="00C927B9">
              <w:t>Pullarkat</w:t>
            </w:r>
            <w:proofErr w:type="spellEnd"/>
            <w:r w:rsidRPr="00C927B9">
              <w:t>, V., et al. Azacitidine and venetoclax in previously untreated acute myeloid leukaemia.</w:t>
            </w:r>
          </w:p>
        </w:tc>
        <w:tc>
          <w:tcPr>
            <w:tcW w:w="1387" w:type="pct"/>
            <w:tcBorders>
              <w:top w:val="single" w:sz="4" w:space="0" w:color="auto"/>
              <w:bottom w:val="single" w:sz="4" w:space="0" w:color="auto"/>
            </w:tcBorders>
          </w:tcPr>
          <w:p w:rsidR="00DC541B" w:rsidRPr="00C927B9" w:rsidRDefault="00DC541B" w:rsidP="00A7390B">
            <w:pPr>
              <w:pStyle w:val="TableText"/>
              <w:rPr>
                <w:szCs w:val="18"/>
              </w:rPr>
            </w:pPr>
            <w:r w:rsidRPr="00C927B9">
              <w:rPr>
                <w:i/>
              </w:rPr>
              <w:t>New England Journal of Medicine</w:t>
            </w:r>
            <w:r w:rsidRPr="00C927B9">
              <w:t xml:space="preserve"> 2020, 383(7):617-629.</w:t>
            </w:r>
          </w:p>
        </w:tc>
      </w:tr>
      <w:tr w:rsidR="00DC541B" w:rsidRPr="00C927B9" w:rsidTr="00A7390B">
        <w:tc>
          <w:tcPr>
            <w:tcW w:w="626" w:type="pct"/>
            <w:tcBorders>
              <w:top w:val="nil"/>
              <w:bottom w:val="nil"/>
            </w:tcBorders>
            <w:vAlign w:val="center"/>
          </w:tcPr>
          <w:p w:rsidR="00DC541B" w:rsidRPr="00C927B9" w:rsidRDefault="00DC541B" w:rsidP="005A5E60">
            <w:pPr>
              <w:pStyle w:val="TableText"/>
            </w:pPr>
          </w:p>
        </w:tc>
        <w:tc>
          <w:tcPr>
            <w:tcW w:w="2987" w:type="pct"/>
            <w:tcBorders>
              <w:top w:val="single" w:sz="4" w:space="0" w:color="auto"/>
              <w:bottom w:val="single" w:sz="4" w:space="0" w:color="auto"/>
            </w:tcBorders>
          </w:tcPr>
          <w:p w:rsidR="00DC541B" w:rsidRPr="00C927B9" w:rsidRDefault="00DC541B" w:rsidP="005A5E60">
            <w:pPr>
              <w:pStyle w:val="TableText"/>
              <w:rPr>
                <w:szCs w:val="18"/>
              </w:rPr>
            </w:pPr>
            <w:proofErr w:type="spellStart"/>
            <w:r w:rsidRPr="00C927B9">
              <w:t>Potluri</w:t>
            </w:r>
            <w:proofErr w:type="spellEnd"/>
            <w:r w:rsidRPr="00C927B9">
              <w:t>, J., Xu, T., Hong, W. J., et al. Phase 3, randomised, double-blind, placebo-controlled study of venetoclax combined with azacitidine versus azacitidine in treatment-naïve patients with acute myeloid leukaemia.</w:t>
            </w:r>
          </w:p>
        </w:tc>
        <w:tc>
          <w:tcPr>
            <w:tcW w:w="1387" w:type="pct"/>
            <w:tcBorders>
              <w:top w:val="single" w:sz="4" w:space="0" w:color="auto"/>
              <w:bottom w:val="single" w:sz="4" w:space="0" w:color="auto"/>
            </w:tcBorders>
          </w:tcPr>
          <w:p w:rsidR="00DC541B" w:rsidRPr="00C927B9" w:rsidRDefault="00DC541B" w:rsidP="00A7390B">
            <w:pPr>
              <w:pStyle w:val="TableText"/>
              <w:rPr>
                <w:i/>
                <w:szCs w:val="18"/>
              </w:rPr>
            </w:pPr>
            <w:r w:rsidRPr="00C927B9">
              <w:rPr>
                <w:i/>
              </w:rPr>
              <w:t>Journal of Clinical Oncology</w:t>
            </w:r>
            <w:r w:rsidRPr="00C927B9">
              <w:t xml:space="preserve"> 2017, 35(15):</w:t>
            </w:r>
            <w:r w:rsidR="00854E63" w:rsidRPr="00C927B9">
              <w:t xml:space="preserve"> </w:t>
            </w:r>
            <w:r w:rsidRPr="00C927B9">
              <w:t>Abstract TPS7069.</w:t>
            </w:r>
          </w:p>
        </w:tc>
      </w:tr>
      <w:tr w:rsidR="00DC541B" w:rsidRPr="00C927B9" w:rsidTr="00A7390B">
        <w:tc>
          <w:tcPr>
            <w:tcW w:w="626" w:type="pct"/>
            <w:tcBorders>
              <w:bottom w:val="nil"/>
            </w:tcBorders>
            <w:vAlign w:val="center"/>
          </w:tcPr>
          <w:p w:rsidR="00DC541B" w:rsidRPr="00C927B9" w:rsidRDefault="00DC541B" w:rsidP="005A5E60">
            <w:pPr>
              <w:pStyle w:val="TableText"/>
            </w:pPr>
            <w:r w:rsidRPr="00C927B9">
              <w:t>M16-043</w:t>
            </w:r>
          </w:p>
        </w:tc>
        <w:tc>
          <w:tcPr>
            <w:tcW w:w="2987" w:type="pct"/>
            <w:tcBorders>
              <w:bottom w:val="single" w:sz="4" w:space="0" w:color="auto"/>
            </w:tcBorders>
          </w:tcPr>
          <w:p w:rsidR="00DC541B" w:rsidRPr="00C927B9" w:rsidRDefault="00DC541B" w:rsidP="005A5E60">
            <w:pPr>
              <w:pStyle w:val="TableText"/>
            </w:pPr>
            <w:r w:rsidRPr="00C927B9">
              <w:rPr>
                <w:szCs w:val="18"/>
              </w:rPr>
              <w:t xml:space="preserve">A randomized, double-blind, placebo controlled phase 3 study of venetoclax co-administered with low dose cytarabine versus low dose cytarabine in treatment-naïve patients with acute myeloid </w:t>
            </w:r>
            <w:proofErr w:type="spellStart"/>
            <w:r w:rsidRPr="00C927B9">
              <w:rPr>
                <w:szCs w:val="18"/>
              </w:rPr>
              <w:t>leukemia</w:t>
            </w:r>
            <w:proofErr w:type="spellEnd"/>
            <w:r w:rsidRPr="00C927B9">
              <w:rPr>
                <w:szCs w:val="18"/>
              </w:rPr>
              <w:t xml:space="preserve"> who are ineligible for intensive chemotherapy.</w:t>
            </w:r>
          </w:p>
        </w:tc>
        <w:tc>
          <w:tcPr>
            <w:tcW w:w="1387" w:type="pct"/>
            <w:tcBorders>
              <w:bottom w:val="single" w:sz="4" w:space="0" w:color="auto"/>
            </w:tcBorders>
          </w:tcPr>
          <w:p w:rsidR="00DC541B" w:rsidRPr="00C927B9" w:rsidRDefault="00DC541B" w:rsidP="005A5E60">
            <w:pPr>
              <w:pStyle w:val="TableText"/>
            </w:pPr>
            <w:r w:rsidRPr="00C927B9">
              <w:t xml:space="preserve">Clinical Study Report: </w:t>
            </w:r>
            <w:r w:rsidRPr="00C927B9">
              <w:br/>
              <w:t>20 March 2020.</w:t>
            </w:r>
          </w:p>
        </w:tc>
      </w:tr>
      <w:tr w:rsidR="00DC541B" w:rsidRPr="00C927B9" w:rsidTr="00A7390B">
        <w:tc>
          <w:tcPr>
            <w:tcW w:w="626" w:type="pct"/>
            <w:tcBorders>
              <w:top w:val="nil"/>
              <w:bottom w:val="nil"/>
            </w:tcBorders>
            <w:vAlign w:val="center"/>
          </w:tcPr>
          <w:p w:rsidR="00DC541B" w:rsidRPr="00C927B9" w:rsidRDefault="00DC541B" w:rsidP="005A5E60">
            <w:pPr>
              <w:pStyle w:val="TableText"/>
            </w:pPr>
          </w:p>
        </w:tc>
        <w:tc>
          <w:tcPr>
            <w:tcW w:w="2987" w:type="pct"/>
            <w:tcBorders>
              <w:top w:val="single" w:sz="4" w:space="0" w:color="auto"/>
              <w:bottom w:val="single" w:sz="4" w:space="0" w:color="auto"/>
            </w:tcBorders>
          </w:tcPr>
          <w:p w:rsidR="00DC541B" w:rsidRPr="00C927B9" w:rsidRDefault="00DC541B" w:rsidP="005A5E60">
            <w:pPr>
              <w:pStyle w:val="TableText"/>
              <w:rPr>
                <w:szCs w:val="18"/>
              </w:rPr>
            </w:pPr>
            <w:r w:rsidRPr="00C927B9">
              <w:rPr>
                <w:szCs w:val="18"/>
              </w:rPr>
              <w:t xml:space="preserve">Wei, A. H., </w:t>
            </w:r>
            <w:proofErr w:type="spellStart"/>
            <w:r w:rsidRPr="00C927B9">
              <w:rPr>
                <w:szCs w:val="18"/>
              </w:rPr>
              <w:t>Montesinos</w:t>
            </w:r>
            <w:proofErr w:type="spellEnd"/>
            <w:r w:rsidRPr="00C927B9">
              <w:rPr>
                <w:szCs w:val="18"/>
              </w:rPr>
              <w:t xml:space="preserve">, P., </w:t>
            </w:r>
            <w:proofErr w:type="gramStart"/>
            <w:r w:rsidRPr="00C927B9">
              <w:rPr>
                <w:szCs w:val="18"/>
              </w:rPr>
              <w:t>Ivanov</w:t>
            </w:r>
            <w:proofErr w:type="gramEnd"/>
            <w:r w:rsidRPr="00C927B9">
              <w:rPr>
                <w:szCs w:val="18"/>
              </w:rPr>
              <w:t xml:space="preserve">, V., et al. Venetoclax plus LDAC for newly diagnosed AML ineligible for intensive chemotherapy: a phase 3 randomised placebo-controlled trial. </w:t>
            </w:r>
          </w:p>
        </w:tc>
        <w:tc>
          <w:tcPr>
            <w:tcW w:w="1387" w:type="pct"/>
            <w:tcBorders>
              <w:top w:val="single" w:sz="4" w:space="0" w:color="auto"/>
              <w:bottom w:val="single" w:sz="4" w:space="0" w:color="auto"/>
            </w:tcBorders>
          </w:tcPr>
          <w:p w:rsidR="00DC541B" w:rsidRPr="00C927B9" w:rsidRDefault="00DC541B" w:rsidP="00A7390B">
            <w:pPr>
              <w:pStyle w:val="TableText"/>
              <w:rPr>
                <w:i/>
              </w:rPr>
            </w:pPr>
            <w:r w:rsidRPr="00C927B9">
              <w:rPr>
                <w:i/>
                <w:szCs w:val="18"/>
              </w:rPr>
              <w:t>Blood</w:t>
            </w:r>
            <w:r w:rsidRPr="00C927B9">
              <w:rPr>
                <w:szCs w:val="18"/>
              </w:rPr>
              <w:t xml:space="preserve"> 2020, 135(24):2137-2145.</w:t>
            </w:r>
          </w:p>
        </w:tc>
      </w:tr>
      <w:tr w:rsidR="00DC541B" w:rsidRPr="00C927B9" w:rsidTr="00A7390B">
        <w:tc>
          <w:tcPr>
            <w:tcW w:w="626" w:type="pct"/>
            <w:tcBorders>
              <w:top w:val="nil"/>
              <w:bottom w:val="nil"/>
            </w:tcBorders>
            <w:vAlign w:val="center"/>
          </w:tcPr>
          <w:p w:rsidR="00DC541B" w:rsidRPr="00C927B9" w:rsidRDefault="00DC541B" w:rsidP="005A5E60">
            <w:pPr>
              <w:pStyle w:val="TableText"/>
            </w:pPr>
          </w:p>
        </w:tc>
        <w:tc>
          <w:tcPr>
            <w:tcW w:w="2987" w:type="pct"/>
            <w:tcBorders>
              <w:top w:val="single" w:sz="4" w:space="0" w:color="auto"/>
              <w:bottom w:val="single" w:sz="4" w:space="0" w:color="auto"/>
            </w:tcBorders>
          </w:tcPr>
          <w:p w:rsidR="00DC541B" w:rsidRPr="00C927B9" w:rsidRDefault="00DC541B" w:rsidP="005A5E60">
            <w:pPr>
              <w:pStyle w:val="TableText"/>
              <w:rPr>
                <w:szCs w:val="18"/>
              </w:rPr>
            </w:pPr>
            <w:r w:rsidRPr="00C927B9">
              <w:rPr>
                <w:szCs w:val="18"/>
              </w:rPr>
              <w:t xml:space="preserve">Wei, A. H., </w:t>
            </w:r>
            <w:proofErr w:type="spellStart"/>
            <w:r w:rsidRPr="00C927B9">
              <w:rPr>
                <w:szCs w:val="18"/>
              </w:rPr>
              <w:t>Montesinos</w:t>
            </w:r>
            <w:proofErr w:type="spellEnd"/>
            <w:r w:rsidRPr="00C927B9">
              <w:rPr>
                <w:szCs w:val="18"/>
              </w:rPr>
              <w:t>, P., Ivanov, V., et al. A phase 3 study of venetoclax plus low dose cytarabine in previously untreated older patients with acute myeloid leukaemia (</w:t>
            </w:r>
            <w:proofErr w:type="spellStart"/>
            <w:r w:rsidRPr="00C927B9">
              <w:rPr>
                <w:szCs w:val="18"/>
              </w:rPr>
              <w:t>viale</w:t>
            </w:r>
            <w:proofErr w:type="spellEnd"/>
            <w:r w:rsidRPr="00C927B9">
              <w:rPr>
                <w:szCs w:val="18"/>
              </w:rPr>
              <w:t>-C): A 6-month update.</w:t>
            </w:r>
          </w:p>
        </w:tc>
        <w:tc>
          <w:tcPr>
            <w:tcW w:w="1387" w:type="pct"/>
            <w:tcBorders>
              <w:top w:val="single" w:sz="4" w:space="0" w:color="auto"/>
              <w:bottom w:val="single" w:sz="4" w:space="0" w:color="auto"/>
            </w:tcBorders>
          </w:tcPr>
          <w:p w:rsidR="00DC541B" w:rsidRPr="00C927B9" w:rsidRDefault="00DC541B" w:rsidP="005A5E60">
            <w:pPr>
              <w:pStyle w:val="TableText"/>
            </w:pPr>
            <w:proofErr w:type="spellStart"/>
            <w:r w:rsidRPr="00C927B9">
              <w:rPr>
                <w:i/>
                <w:szCs w:val="18"/>
              </w:rPr>
              <w:t>HemaSphere</w:t>
            </w:r>
            <w:proofErr w:type="spellEnd"/>
            <w:r w:rsidRPr="00C927B9">
              <w:rPr>
                <w:szCs w:val="18"/>
              </w:rPr>
              <w:t xml:space="preserve"> 2020, 4: Abstract 19-20.</w:t>
            </w:r>
          </w:p>
        </w:tc>
      </w:tr>
      <w:tr w:rsidR="00DC541B" w:rsidRPr="00C927B9" w:rsidTr="00A7390B">
        <w:tc>
          <w:tcPr>
            <w:tcW w:w="626" w:type="pct"/>
            <w:tcBorders>
              <w:bottom w:val="nil"/>
            </w:tcBorders>
            <w:vAlign w:val="center"/>
          </w:tcPr>
          <w:p w:rsidR="00DC541B" w:rsidRPr="00C927B9" w:rsidRDefault="00DC541B" w:rsidP="005A5E60">
            <w:pPr>
              <w:pStyle w:val="TableText"/>
            </w:pPr>
            <w:r w:rsidRPr="00C927B9">
              <w:t>AZA-AML-001</w:t>
            </w:r>
          </w:p>
        </w:tc>
        <w:tc>
          <w:tcPr>
            <w:tcW w:w="2987" w:type="pct"/>
            <w:tcBorders>
              <w:bottom w:val="single" w:sz="4" w:space="0" w:color="auto"/>
            </w:tcBorders>
          </w:tcPr>
          <w:p w:rsidR="00DC541B" w:rsidRPr="00C927B9" w:rsidRDefault="00DC541B" w:rsidP="005A5E60">
            <w:pPr>
              <w:pStyle w:val="TableText"/>
            </w:pPr>
            <w:proofErr w:type="spellStart"/>
            <w:r w:rsidRPr="00C927B9">
              <w:t>Dombret</w:t>
            </w:r>
            <w:proofErr w:type="spellEnd"/>
            <w:r w:rsidRPr="00C927B9">
              <w:t>, H., et al. International phase 3 study of azacitidine vs conventional care regimens in older patients with newly diagnosed AML with &gt;30% blasts.</w:t>
            </w:r>
          </w:p>
        </w:tc>
        <w:tc>
          <w:tcPr>
            <w:tcW w:w="1387" w:type="pct"/>
            <w:tcBorders>
              <w:bottom w:val="single" w:sz="4" w:space="0" w:color="auto"/>
            </w:tcBorders>
          </w:tcPr>
          <w:p w:rsidR="00DC541B" w:rsidRPr="00C927B9" w:rsidRDefault="00DC541B" w:rsidP="005A5E60">
            <w:pPr>
              <w:pStyle w:val="TableText"/>
            </w:pPr>
            <w:r w:rsidRPr="00C927B9">
              <w:rPr>
                <w:i/>
              </w:rPr>
              <w:t>Blood</w:t>
            </w:r>
            <w:r w:rsidR="00A7390B" w:rsidRPr="00C927B9">
              <w:rPr>
                <w:i/>
              </w:rPr>
              <w:t xml:space="preserve"> </w:t>
            </w:r>
            <w:r w:rsidRPr="00C927B9">
              <w:t>2015, 126(3):291</w:t>
            </w:r>
            <w:r w:rsidRPr="00C927B9">
              <w:rPr>
                <w:rFonts w:ascii="Cambria Math" w:hAnsi="Cambria Math" w:cs="Cambria Math"/>
              </w:rPr>
              <w:t>‐</w:t>
            </w:r>
            <w:r w:rsidRPr="00C927B9">
              <w:t>299.</w:t>
            </w:r>
          </w:p>
        </w:tc>
      </w:tr>
      <w:tr w:rsidR="00DC541B" w:rsidRPr="00C927B9" w:rsidTr="00A7390B">
        <w:tc>
          <w:tcPr>
            <w:tcW w:w="626" w:type="pct"/>
            <w:tcBorders>
              <w:top w:val="nil"/>
              <w:bottom w:val="nil"/>
            </w:tcBorders>
            <w:vAlign w:val="center"/>
          </w:tcPr>
          <w:p w:rsidR="00DC541B" w:rsidRPr="00C927B9" w:rsidRDefault="00DC541B" w:rsidP="005A5E60">
            <w:pPr>
              <w:pStyle w:val="TableText"/>
            </w:pPr>
          </w:p>
        </w:tc>
        <w:tc>
          <w:tcPr>
            <w:tcW w:w="2987" w:type="pct"/>
            <w:tcBorders>
              <w:top w:val="single" w:sz="4" w:space="0" w:color="auto"/>
              <w:bottom w:val="single" w:sz="4" w:space="0" w:color="auto"/>
            </w:tcBorders>
          </w:tcPr>
          <w:p w:rsidR="00DC541B" w:rsidRPr="00C927B9" w:rsidRDefault="00DC541B" w:rsidP="005A5E60">
            <w:pPr>
              <w:pStyle w:val="TableText"/>
              <w:rPr>
                <w:szCs w:val="18"/>
              </w:rPr>
            </w:pPr>
            <w:r w:rsidRPr="00C927B9">
              <w:t>Seymour, J. F., et al. Azacitidine improves clinical outcomes in older patients with acute myeloid leukaemia with myelodysplasia-related changes compared with conventional care regimens.</w:t>
            </w:r>
          </w:p>
        </w:tc>
        <w:tc>
          <w:tcPr>
            <w:tcW w:w="1387" w:type="pct"/>
            <w:tcBorders>
              <w:top w:val="single" w:sz="4" w:space="0" w:color="auto"/>
              <w:bottom w:val="single" w:sz="4" w:space="0" w:color="auto"/>
            </w:tcBorders>
          </w:tcPr>
          <w:p w:rsidR="00DC541B" w:rsidRPr="00C927B9" w:rsidRDefault="00DC541B" w:rsidP="005A5E60">
            <w:pPr>
              <w:pStyle w:val="TableText"/>
            </w:pPr>
            <w:r w:rsidRPr="00C927B9">
              <w:rPr>
                <w:i/>
              </w:rPr>
              <w:t>BMC Cancer</w:t>
            </w:r>
            <w:r w:rsidRPr="00C927B9">
              <w:t xml:space="preserve"> 2017, 17(1):852.</w:t>
            </w:r>
          </w:p>
        </w:tc>
      </w:tr>
      <w:tr w:rsidR="00DC541B" w:rsidRPr="00C927B9" w:rsidTr="00A7390B">
        <w:tc>
          <w:tcPr>
            <w:tcW w:w="626" w:type="pct"/>
            <w:tcBorders>
              <w:top w:val="nil"/>
              <w:bottom w:val="single" w:sz="4" w:space="0" w:color="auto"/>
            </w:tcBorders>
            <w:vAlign w:val="center"/>
          </w:tcPr>
          <w:p w:rsidR="00DC541B" w:rsidRPr="00C927B9" w:rsidRDefault="00DC541B" w:rsidP="005A5E60">
            <w:pPr>
              <w:pStyle w:val="TableText"/>
            </w:pPr>
          </w:p>
        </w:tc>
        <w:tc>
          <w:tcPr>
            <w:tcW w:w="2987" w:type="pct"/>
            <w:tcBorders>
              <w:top w:val="single" w:sz="4" w:space="0" w:color="auto"/>
              <w:bottom w:val="single" w:sz="4" w:space="0" w:color="auto"/>
            </w:tcBorders>
          </w:tcPr>
          <w:p w:rsidR="00DC541B" w:rsidRPr="00C927B9" w:rsidRDefault="00DC541B" w:rsidP="005A5E60">
            <w:pPr>
              <w:pStyle w:val="TableText"/>
            </w:pPr>
            <w:r w:rsidRPr="00C927B9">
              <w:t>Seymour, J. F., et al. Incidence rates of treatment emergent adverse events and related hospitalisation are reduced with azacitidine compared with conventional care regimens in older patients with acute myeloid leukaemia.</w:t>
            </w:r>
          </w:p>
        </w:tc>
        <w:tc>
          <w:tcPr>
            <w:tcW w:w="1387" w:type="pct"/>
            <w:tcBorders>
              <w:top w:val="single" w:sz="4" w:space="0" w:color="auto"/>
              <w:bottom w:val="single" w:sz="4" w:space="0" w:color="auto"/>
            </w:tcBorders>
          </w:tcPr>
          <w:p w:rsidR="00DC541B" w:rsidRPr="00C927B9" w:rsidRDefault="00DC541B" w:rsidP="005A5E60">
            <w:pPr>
              <w:pStyle w:val="TableText"/>
              <w:rPr>
                <w:i/>
              </w:rPr>
            </w:pPr>
            <w:r w:rsidRPr="00C927B9">
              <w:rPr>
                <w:i/>
              </w:rPr>
              <w:t>Leukaemia and Lymphoma</w:t>
            </w:r>
            <w:r w:rsidRPr="00C927B9">
              <w:t xml:space="preserve"> 2017, 58(6):1412-1423.</w:t>
            </w:r>
          </w:p>
        </w:tc>
      </w:tr>
      <w:tr w:rsidR="00DC541B" w:rsidRPr="00C927B9" w:rsidTr="00A7390B">
        <w:tc>
          <w:tcPr>
            <w:tcW w:w="626" w:type="pct"/>
            <w:tcBorders>
              <w:top w:val="single" w:sz="4" w:space="0" w:color="auto"/>
              <w:left w:val="single" w:sz="4" w:space="0" w:color="auto"/>
              <w:bottom w:val="nil"/>
              <w:right w:val="single" w:sz="4" w:space="0" w:color="auto"/>
            </w:tcBorders>
            <w:vAlign w:val="center"/>
          </w:tcPr>
          <w:p w:rsidR="00DC541B" w:rsidRPr="00C927B9" w:rsidRDefault="00DC541B" w:rsidP="005A5E60">
            <w:pPr>
              <w:pStyle w:val="TableText"/>
            </w:pPr>
            <w:r w:rsidRPr="00C927B9">
              <w:t>AZA-001</w:t>
            </w:r>
          </w:p>
        </w:tc>
        <w:tc>
          <w:tcPr>
            <w:tcW w:w="2987" w:type="pct"/>
            <w:tcBorders>
              <w:top w:val="single" w:sz="4" w:space="0" w:color="auto"/>
              <w:left w:val="single" w:sz="4" w:space="0" w:color="auto"/>
              <w:bottom w:val="single" w:sz="4" w:space="0" w:color="auto"/>
              <w:right w:val="single" w:sz="4" w:space="0" w:color="auto"/>
            </w:tcBorders>
          </w:tcPr>
          <w:p w:rsidR="00DC541B" w:rsidRPr="00C927B9" w:rsidRDefault="00DC541B" w:rsidP="005A5E60">
            <w:pPr>
              <w:pStyle w:val="TableText"/>
              <w:rPr>
                <w:szCs w:val="18"/>
              </w:rPr>
            </w:pPr>
            <w:proofErr w:type="spellStart"/>
            <w:r w:rsidRPr="00C927B9">
              <w:rPr>
                <w:szCs w:val="18"/>
              </w:rPr>
              <w:t>Fenaux</w:t>
            </w:r>
            <w:proofErr w:type="spellEnd"/>
            <w:r w:rsidRPr="00C927B9">
              <w:rPr>
                <w:szCs w:val="18"/>
              </w:rPr>
              <w:t>, P., et al. Azacitidine prolongs overall survival compared with conventional care regimens in elderly patients with low bone marrow blast count acute myeloid leukaemia.</w:t>
            </w:r>
          </w:p>
        </w:tc>
        <w:tc>
          <w:tcPr>
            <w:tcW w:w="1387" w:type="pct"/>
            <w:tcBorders>
              <w:top w:val="single" w:sz="4" w:space="0" w:color="auto"/>
              <w:left w:val="single" w:sz="4" w:space="0" w:color="auto"/>
              <w:bottom w:val="single" w:sz="4" w:space="0" w:color="auto"/>
              <w:right w:val="single" w:sz="4" w:space="0" w:color="auto"/>
            </w:tcBorders>
          </w:tcPr>
          <w:p w:rsidR="00DC541B" w:rsidRPr="00C927B9" w:rsidRDefault="00DC541B" w:rsidP="005A5E60">
            <w:pPr>
              <w:pStyle w:val="TableText"/>
            </w:pPr>
            <w:r w:rsidRPr="00C927B9">
              <w:rPr>
                <w:i/>
                <w:szCs w:val="18"/>
              </w:rPr>
              <w:t>Journal of Clinical Oncology</w:t>
            </w:r>
            <w:r w:rsidRPr="00C927B9">
              <w:rPr>
                <w:szCs w:val="18"/>
              </w:rPr>
              <w:t xml:space="preserve"> 2010, 28(4):562</w:t>
            </w:r>
            <w:r w:rsidRPr="00C927B9">
              <w:rPr>
                <w:rFonts w:ascii="Cambria Math" w:hAnsi="Cambria Math" w:cs="Cambria Math"/>
                <w:szCs w:val="18"/>
              </w:rPr>
              <w:t>‐</w:t>
            </w:r>
            <w:r w:rsidRPr="00C927B9">
              <w:rPr>
                <w:szCs w:val="18"/>
              </w:rPr>
              <w:t>569.</w:t>
            </w:r>
          </w:p>
        </w:tc>
      </w:tr>
      <w:tr w:rsidR="00DC541B" w:rsidRPr="00C927B9" w:rsidTr="00A7390B">
        <w:tc>
          <w:tcPr>
            <w:tcW w:w="626" w:type="pct"/>
            <w:tcBorders>
              <w:top w:val="nil"/>
              <w:left w:val="single" w:sz="4" w:space="0" w:color="auto"/>
              <w:bottom w:val="nil"/>
              <w:right w:val="single" w:sz="4" w:space="0" w:color="auto"/>
            </w:tcBorders>
            <w:vAlign w:val="center"/>
          </w:tcPr>
          <w:p w:rsidR="00DC541B" w:rsidRPr="00C927B9" w:rsidRDefault="00DC541B" w:rsidP="005A5E60">
            <w:pPr>
              <w:pStyle w:val="TableText"/>
            </w:pPr>
          </w:p>
        </w:tc>
        <w:tc>
          <w:tcPr>
            <w:tcW w:w="2987" w:type="pct"/>
            <w:tcBorders>
              <w:top w:val="single" w:sz="4" w:space="0" w:color="auto"/>
              <w:left w:val="single" w:sz="4" w:space="0" w:color="auto"/>
              <w:bottom w:val="single" w:sz="4" w:space="0" w:color="auto"/>
              <w:right w:val="single" w:sz="4" w:space="0" w:color="auto"/>
            </w:tcBorders>
          </w:tcPr>
          <w:p w:rsidR="00DC541B" w:rsidRPr="00C927B9" w:rsidRDefault="00DC541B" w:rsidP="005A5E60">
            <w:pPr>
              <w:pStyle w:val="TableText"/>
              <w:rPr>
                <w:szCs w:val="18"/>
              </w:rPr>
            </w:pPr>
            <w:proofErr w:type="spellStart"/>
            <w:r w:rsidRPr="00C927B9">
              <w:t>Fenaux</w:t>
            </w:r>
            <w:proofErr w:type="spellEnd"/>
            <w:r w:rsidRPr="00C927B9">
              <w:t xml:space="preserve">, P., et al. Prolonged survival with improved tolerability in higher risk myelodysplastic syndromes: Azacitidine compared with low dose </w:t>
            </w:r>
            <w:proofErr w:type="spellStart"/>
            <w:r w:rsidRPr="00C927B9">
              <w:t>ara</w:t>
            </w:r>
            <w:proofErr w:type="spellEnd"/>
            <w:r w:rsidRPr="00C927B9">
              <w:t>-C.</w:t>
            </w:r>
          </w:p>
        </w:tc>
        <w:tc>
          <w:tcPr>
            <w:tcW w:w="1387" w:type="pct"/>
            <w:tcBorders>
              <w:top w:val="single" w:sz="4" w:space="0" w:color="auto"/>
              <w:left w:val="single" w:sz="4" w:space="0" w:color="auto"/>
              <w:bottom w:val="single" w:sz="4" w:space="0" w:color="auto"/>
              <w:right w:val="single" w:sz="4" w:space="0" w:color="auto"/>
            </w:tcBorders>
          </w:tcPr>
          <w:p w:rsidR="00DC541B" w:rsidRPr="00C927B9" w:rsidRDefault="00DC541B" w:rsidP="005A5E60">
            <w:pPr>
              <w:pStyle w:val="TableText"/>
            </w:pPr>
            <w:r w:rsidRPr="00C927B9">
              <w:rPr>
                <w:i/>
              </w:rPr>
              <w:t>British Journal of Haematology</w:t>
            </w:r>
            <w:r w:rsidRPr="00C927B9">
              <w:t xml:space="preserve"> 2010, 149(2):244-249.</w:t>
            </w:r>
          </w:p>
        </w:tc>
      </w:tr>
      <w:tr w:rsidR="00DC541B" w:rsidRPr="00C927B9" w:rsidTr="00A7390B">
        <w:tc>
          <w:tcPr>
            <w:tcW w:w="626" w:type="pct"/>
            <w:tcBorders>
              <w:top w:val="nil"/>
              <w:left w:val="single" w:sz="4" w:space="0" w:color="auto"/>
              <w:bottom w:val="single" w:sz="4" w:space="0" w:color="auto"/>
              <w:right w:val="single" w:sz="4" w:space="0" w:color="auto"/>
            </w:tcBorders>
            <w:vAlign w:val="center"/>
          </w:tcPr>
          <w:p w:rsidR="00DC541B" w:rsidRPr="00C927B9" w:rsidRDefault="00DC541B" w:rsidP="005A5E60">
            <w:pPr>
              <w:pStyle w:val="TableText"/>
            </w:pPr>
          </w:p>
        </w:tc>
        <w:tc>
          <w:tcPr>
            <w:tcW w:w="2987" w:type="pct"/>
            <w:tcBorders>
              <w:top w:val="single" w:sz="4" w:space="0" w:color="auto"/>
              <w:left w:val="single" w:sz="4" w:space="0" w:color="auto"/>
              <w:bottom w:val="single" w:sz="4" w:space="0" w:color="auto"/>
              <w:right w:val="single" w:sz="4" w:space="0" w:color="auto"/>
            </w:tcBorders>
          </w:tcPr>
          <w:p w:rsidR="00DC541B" w:rsidRPr="00C927B9" w:rsidRDefault="00DC541B" w:rsidP="005A5E60">
            <w:pPr>
              <w:pStyle w:val="TableText"/>
            </w:pPr>
            <w:r w:rsidRPr="00C927B9">
              <w:t>Seymour, J. F., et al. Effects of azacitidine compared with conventional care regimens in elderly (≥75 years) patients with higher risk myelodysplastic syndromes.</w:t>
            </w:r>
          </w:p>
        </w:tc>
        <w:tc>
          <w:tcPr>
            <w:tcW w:w="1387" w:type="pct"/>
            <w:tcBorders>
              <w:top w:val="single" w:sz="4" w:space="0" w:color="auto"/>
              <w:left w:val="single" w:sz="4" w:space="0" w:color="auto"/>
              <w:bottom w:val="single" w:sz="4" w:space="0" w:color="auto"/>
              <w:right w:val="single" w:sz="4" w:space="0" w:color="auto"/>
            </w:tcBorders>
          </w:tcPr>
          <w:p w:rsidR="00DC541B" w:rsidRPr="00C927B9" w:rsidRDefault="00DC541B" w:rsidP="005A5E60">
            <w:pPr>
              <w:pStyle w:val="TableText"/>
              <w:rPr>
                <w:i/>
              </w:rPr>
            </w:pPr>
            <w:r w:rsidRPr="00C927B9">
              <w:rPr>
                <w:i/>
              </w:rPr>
              <w:t>Critical Reviews in Oncology / Haematology</w:t>
            </w:r>
            <w:r w:rsidRPr="00C927B9">
              <w:t xml:space="preserve"> 2010, 76(3):218-227.</w:t>
            </w:r>
          </w:p>
        </w:tc>
      </w:tr>
    </w:tbl>
    <w:p w:rsidR="00034E56" w:rsidRPr="00C927B9" w:rsidRDefault="00DC541B" w:rsidP="005A5E60">
      <w:pPr>
        <w:pStyle w:val="TableFigureFooter"/>
        <w:keepNext/>
        <w:rPr>
          <w:lang w:val="en-AU"/>
        </w:rPr>
      </w:pPr>
      <w:r w:rsidRPr="00C927B9">
        <w:rPr>
          <w:lang w:val="en-AU"/>
        </w:rPr>
        <w:t>Source: Table 2-6, pp.48-51 of the submission.</w:t>
      </w:r>
    </w:p>
    <w:p w:rsidR="00A8097C" w:rsidRPr="00C927B9" w:rsidRDefault="00A8097C" w:rsidP="00A8097C">
      <w:pPr>
        <w:pStyle w:val="ExecSumBodyText"/>
        <w:rPr>
          <w:color w:val="0066FF"/>
          <w:lang w:val="en-AU"/>
        </w:rPr>
      </w:pPr>
      <w:r w:rsidRPr="00C927B9">
        <w:rPr>
          <w:lang w:val="en-AU"/>
        </w:rPr>
        <w:t>The key features of the trials included in the submission are summarised in the table below.</w:t>
      </w:r>
    </w:p>
    <w:p w:rsidR="00460EAB" w:rsidRPr="00C927B9" w:rsidRDefault="0060344B" w:rsidP="0060344B">
      <w:pPr>
        <w:pStyle w:val="Caption"/>
        <w:rPr>
          <w:lang w:val="en-AU"/>
        </w:rPr>
      </w:pPr>
      <w:r w:rsidRPr="00C927B9">
        <w:rPr>
          <w:lang w:val="en-AU"/>
        </w:rPr>
        <w:lastRenderedPageBreak/>
        <w:t xml:space="preserve">Table </w:t>
      </w:r>
      <w:r w:rsidR="00DB3600" w:rsidRPr="00C927B9">
        <w:rPr>
          <w:lang w:val="en-AU"/>
        </w:rPr>
        <w:t>3</w:t>
      </w:r>
      <w:r w:rsidRPr="00C927B9">
        <w:rPr>
          <w:lang w:val="en-AU"/>
        </w:rPr>
        <w:t>:</w:t>
      </w:r>
      <w:r w:rsidR="00460EAB" w:rsidRPr="00C927B9">
        <w:rPr>
          <w:lang w:val="en-AU"/>
        </w:rPr>
        <w:t xml:space="preserve">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539"/>
        <w:gridCol w:w="1870"/>
        <w:gridCol w:w="709"/>
        <w:gridCol w:w="1984"/>
        <w:gridCol w:w="1616"/>
        <w:gridCol w:w="1170"/>
      </w:tblGrid>
      <w:tr w:rsidR="00460EAB" w:rsidRPr="00C927B9" w:rsidTr="00460EAB">
        <w:trPr>
          <w:tblHeader/>
        </w:trPr>
        <w:tc>
          <w:tcPr>
            <w:tcW w:w="626" w:type="pct"/>
            <w:shd w:val="clear" w:color="auto" w:fill="auto"/>
            <w:vAlign w:val="center"/>
          </w:tcPr>
          <w:p w:rsidR="00460EAB" w:rsidRPr="00C927B9" w:rsidRDefault="00460EAB" w:rsidP="005A5E60">
            <w:pPr>
              <w:pStyle w:val="Tabletext0"/>
              <w:keepNext/>
              <w:rPr>
                <w:b/>
                <w:lang w:val="en-AU"/>
              </w:rPr>
            </w:pPr>
            <w:r w:rsidRPr="00C927B9">
              <w:rPr>
                <w:b/>
                <w:lang w:val="en-AU"/>
              </w:rPr>
              <w:t>Trial</w:t>
            </w:r>
          </w:p>
        </w:tc>
        <w:tc>
          <w:tcPr>
            <w:tcW w:w="299" w:type="pct"/>
            <w:shd w:val="clear" w:color="auto" w:fill="auto"/>
            <w:vAlign w:val="center"/>
          </w:tcPr>
          <w:p w:rsidR="00460EAB" w:rsidRPr="00C927B9" w:rsidRDefault="00460EAB" w:rsidP="005A5E60">
            <w:pPr>
              <w:pStyle w:val="Tabletext0"/>
              <w:keepNext/>
              <w:jc w:val="center"/>
              <w:rPr>
                <w:b/>
                <w:lang w:val="en-AU"/>
              </w:rPr>
            </w:pPr>
            <w:r w:rsidRPr="00C927B9">
              <w:rPr>
                <w:b/>
                <w:lang w:val="en-AU"/>
              </w:rPr>
              <w:t>N</w:t>
            </w:r>
          </w:p>
        </w:tc>
        <w:tc>
          <w:tcPr>
            <w:tcW w:w="1037" w:type="pct"/>
            <w:shd w:val="clear" w:color="auto" w:fill="auto"/>
            <w:vAlign w:val="center"/>
          </w:tcPr>
          <w:p w:rsidR="00460EAB" w:rsidRPr="00C927B9" w:rsidRDefault="00460EAB" w:rsidP="005A5E60">
            <w:pPr>
              <w:pStyle w:val="Tabletext0"/>
              <w:keepNext/>
              <w:jc w:val="center"/>
              <w:rPr>
                <w:b/>
                <w:lang w:val="en-AU"/>
              </w:rPr>
            </w:pPr>
            <w:r w:rsidRPr="00C927B9">
              <w:rPr>
                <w:b/>
                <w:lang w:val="en-AU"/>
              </w:rPr>
              <w:t>Design/ duration</w:t>
            </w:r>
          </w:p>
        </w:tc>
        <w:tc>
          <w:tcPr>
            <w:tcW w:w="393" w:type="pct"/>
            <w:shd w:val="clear" w:color="auto" w:fill="auto"/>
            <w:vAlign w:val="center"/>
          </w:tcPr>
          <w:p w:rsidR="00460EAB" w:rsidRPr="00C927B9" w:rsidRDefault="00460EAB" w:rsidP="005A5E60">
            <w:pPr>
              <w:pStyle w:val="Tabletext0"/>
              <w:keepNext/>
              <w:jc w:val="center"/>
              <w:rPr>
                <w:b/>
                <w:lang w:val="en-AU"/>
              </w:rPr>
            </w:pPr>
            <w:r w:rsidRPr="00C927B9">
              <w:rPr>
                <w:b/>
                <w:lang w:val="en-AU"/>
              </w:rPr>
              <w:t>Risk of bias</w:t>
            </w:r>
          </w:p>
        </w:tc>
        <w:tc>
          <w:tcPr>
            <w:tcW w:w="1100" w:type="pct"/>
            <w:shd w:val="clear" w:color="auto" w:fill="auto"/>
            <w:vAlign w:val="center"/>
          </w:tcPr>
          <w:p w:rsidR="00460EAB" w:rsidRPr="00C927B9" w:rsidRDefault="00460EAB" w:rsidP="005A5E60">
            <w:pPr>
              <w:pStyle w:val="Tabletext0"/>
              <w:keepNext/>
              <w:jc w:val="center"/>
              <w:rPr>
                <w:b/>
                <w:vertAlign w:val="superscript"/>
                <w:lang w:val="en-AU"/>
              </w:rPr>
            </w:pPr>
            <w:r w:rsidRPr="00C927B9">
              <w:rPr>
                <w:b/>
                <w:lang w:val="en-AU"/>
              </w:rPr>
              <w:t>Patient population</w:t>
            </w:r>
          </w:p>
        </w:tc>
        <w:tc>
          <w:tcPr>
            <w:tcW w:w="896" w:type="pct"/>
            <w:shd w:val="clear" w:color="auto" w:fill="auto"/>
            <w:vAlign w:val="center"/>
          </w:tcPr>
          <w:p w:rsidR="00460EAB" w:rsidRPr="00C927B9" w:rsidRDefault="00460EAB" w:rsidP="005A5E60">
            <w:pPr>
              <w:pStyle w:val="Tabletext0"/>
              <w:keepNext/>
              <w:jc w:val="center"/>
              <w:rPr>
                <w:b/>
                <w:lang w:val="en-AU"/>
              </w:rPr>
            </w:pPr>
            <w:r w:rsidRPr="00C927B9">
              <w:rPr>
                <w:b/>
                <w:lang w:val="en-AU"/>
              </w:rPr>
              <w:t>Outcomes</w:t>
            </w:r>
          </w:p>
        </w:tc>
        <w:tc>
          <w:tcPr>
            <w:tcW w:w="649" w:type="pct"/>
            <w:shd w:val="clear" w:color="auto" w:fill="auto"/>
            <w:vAlign w:val="center"/>
          </w:tcPr>
          <w:p w:rsidR="00460EAB" w:rsidRPr="00C927B9" w:rsidRDefault="00460EAB" w:rsidP="005A5E60">
            <w:pPr>
              <w:pStyle w:val="Tabletext0"/>
              <w:keepNext/>
              <w:jc w:val="center"/>
              <w:rPr>
                <w:b/>
                <w:lang w:val="en-AU"/>
              </w:rPr>
            </w:pPr>
            <w:r w:rsidRPr="00C927B9">
              <w:rPr>
                <w:b/>
                <w:lang w:val="en-AU"/>
              </w:rPr>
              <w:t>Use in model</w:t>
            </w:r>
          </w:p>
        </w:tc>
      </w:tr>
      <w:tr w:rsidR="00460EAB" w:rsidRPr="00C927B9" w:rsidTr="00574791">
        <w:tc>
          <w:tcPr>
            <w:tcW w:w="5000" w:type="pct"/>
            <w:gridSpan w:val="7"/>
            <w:tcBorders>
              <w:bottom w:val="single" w:sz="4" w:space="0" w:color="auto"/>
            </w:tcBorders>
            <w:shd w:val="clear" w:color="auto" w:fill="auto"/>
            <w:vAlign w:val="center"/>
          </w:tcPr>
          <w:p w:rsidR="00460EAB" w:rsidRPr="00C927B9" w:rsidRDefault="00460EAB" w:rsidP="005A5E60">
            <w:pPr>
              <w:pStyle w:val="Tabletext0"/>
              <w:keepNext/>
              <w:rPr>
                <w:b/>
                <w:lang w:val="en-AU"/>
              </w:rPr>
            </w:pPr>
            <w:r w:rsidRPr="00C927B9">
              <w:rPr>
                <w:b/>
                <w:lang w:val="en-AU"/>
              </w:rPr>
              <w:t>Venetoclax 400 mg + azacitidine versus placebo + azacitidine</w:t>
            </w:r>
          </w:p>
        </w:tc>
      </w:tr>
      <w:tr w:rsidR="00460EAB" w:rsidRPr="00C927B9" w:rsidTr="00460EAB">
        <w:trPr>
          <w:trHeight w:val="395"/>
        </w:trPr>
        <w:tc>
          <w:tcPr>
            <w:tcW w:w="626" w:type="pct"/>
            <w:tcBorders>
              <w:bottom w:val="single" w:sz="4" w:space="0" w:color="auto"/>
            </w:tcBorders>
            <w:shd w:val="clear" w:color="auto" w:fill="auto"/>
            <w:vAlign w:val="center"/>
          </w:tcPr>
          <w:p w:rsidR="00460EAB" w:rsidRPr="00C927B9" w:rsidRDefault="00460EAB" w:rsidP="005A5E60">
            <w:pPr>
              <w:pStyle w:val="Tabletext0"/>
              <w:keepNext/>
              <w:rPr>
                <w:vertAlign w:val="superscript"/>
                <w:lang w:val="en-AU"/>
              </w:rPr>
            </w:pPr>
            <w:r w:rsidRPr="00C927B9">
              <w:rPr>
                <w:lang w:val="en-AU"/>
              </w:rPr>
              <w:t>M15-656</w:t>
            </w:r>
          </w:p>
        </w:tc>
        <w:tc>
          <w:tcPr>
            <w:tcW w:w="299" w:type="pct"/>
            <w:tcBorders>
              <w:bottom w:val="single" w:sz="4" w:space="0" w:color="auto"/>
            </w:tcBorders>
            <w:shd w:val="clear" w:color="auto" w:fill="auto"/>
            <w:vAlign w:val="center"/>
          </w:tcPr>
          <w:p w:rsidR="00460EAB" w:rsidRPr="00C927B9" w:rsidRDefault="00460EAB" w:rsidP="005A5E60">
            <w:pPr>
              <w:pStyle w:val="Tabletext0"/>
              <w:keepNext/>
              <w:jc w:val="center"/>
              <w:rPr>
                <w:lang w:val="en-AU"/>
              </w:rPr>
            </w:pPr>
            <w:r w:rsidRPr="00C927B9">
              <w:rPr>
                <w:lang w:val="en-AU"/>
              </w:rPr>
              <w:t>433</w:t>
            </w:r>
          </w:p>
        </w:tc>
        <w:tc>
          <w:tcPr>
            <w:tcW w:w="1037" w:type="pct"/>
            <w:tcBorders>
              <w:bottom w:val="single" w:sz="4" w:space="0" w:color="auto"/>
            </w:tcBorders>
            <w:shd w:val="clear" w:color="auto" w:fill="auto"/>
            <w:vAlign w:val="center"/>
          </w:tcPr>
          <w:p w:rsidR="00460EAB" w:rsidRPr="00C927B9" w:rsidRDefault="00460EAB" w:rsidP="005A5E60">
            <w:pPr>
              <w:pStyle w:val="Tabletext0"/>
              <w:keepNext/>
              <w:jc w:val="center"/>
              <w:rPr>
                <w:lang w:val="en-AU"/>
              </w:rPr>
            </w:pPr>
            <w:r w:rsidRPr="00C927B9">
              <w:rPr>
                <w:lang w:val="en-AU"/>
              </w:rPr>
              <w:t xml:space="preserve">Phase III, </w:t>
            </w:r>
            <w:r w:rsidRPr="00C927B9">
              <w:rPr>
                <w:lang w:val="en-AU"/>
              </w:rPr>
              <w:br/>
              <w:t xml:space="preserve">R, DB, PC, MC </w:t>
            </w:r>
          </w:p>
          <w:p w:rsidR="00460EAB" w:rsidRPr="00C927B9" w:rsidRDefault="00460EAB" w:rsidP="005A5E60">
            <w:pPr>
              <w:pStyle w:val="Tabletext0"/>
              <w:keepNext/>
              <w:jc w:val="center"/>
              <w:rPr>
                <w:vertAlign w:val="superscript"/>
                <w:lang w:val="en-AU"/>
              </w:rPr>
            </w:pPr>
            <w:r w:rsidRPr="00C927B9">
              <w:rPr>
                <w:lang w:val="en-AU"/>
              </w:rPr>
              <w:t>Treatment to disease progression or discontinuation</w:t>
            </w:r>
          </w:p>
          <w:p w:rsidR="00460EAB" w:rsidRPr="00C927B9" w:rsidRDefault="00460EAB" w:rsidP="005A5E60">
            <w:pPr>
              <w:pStyle w:val="Tabletext0"/>
              <w:keepNext/>
              <w:jc w:val="center"/>
              <w:rPr>
                <w:lang w:val="en-AU"/>
              </w:rPr>
            </w:pPr>
            <w:r w:rsidRPr="00C927B9">
              <w:rPr>
                <w:lang w:val="en-AU"/>
              </w:rPr>
              <w:t>(</w:t>
            </w:r>
            <w:proofErr w:type="gramStart"/>
            <w:r w:rsidRPr="00C927B9">
              <w:rPr>
                <w:lang w:val="en-AU"/>
              </w:rPr>
              <w:t>follow-up</w:t>
            </w:r>
            <w:proofErr w:type="gramEnd"/>
            <w:r w:rsidRPr="00C927B9">
              <w:rPr>
                <w:lang w:val="en-AU"/>
              </w:rPr>
              <w:t xml:space="preserve"> ongoing).</w:t>
            </w:r>
          </w:p>
        </w:tc>
        <w:tc>
          <w:tcPr>
            <w:tcW w:w="393" w:type="pct"/>
            <w:tcBorders>
              <w:bottom w:val="single" w:sz="4" w:space="0" w:color="auto"/>
            </w:tcBorders>
            <w:shd w:val="clear" w:color="auto" w:fill="auto"/>
            <w:vAlign w:val="center"/>
          </w:tcPr>
          <w:p w:rsidR="00460EAB" w:rsidRPr="00C927B9" w:rsidRDefault="00460EAB" w:rsidP="005A5E60">
            <w:pPr>
              <w:pStyle w:val="Tabletext0"/>
              <w:keepNext/>
              <w:jc w:val="center"/>
              <w:rPr>
                <w:iCs/>
                <w:lang w:val="en-AU"/>
              </w:rPr>
            </w:pPr>
            <w:r w:rsidRPr="00C927B9">
              <w:rPr>
                <w:iCs/>
                <w:lang w:val="en-AU"/>
              </w:rPr>
              <w:t>Low</w:t>
            </w:r>
          </w:p>
        </w:tc>
        <w:tc>
          <w:tcPr>
            <w:tcW w:w="1100" w:type="pct"/>
            <w:tcBorders>
              <w:bottom w:val="single" w:sz="4" w:space="0" w:color="auto"/>
            </w:tcBorders>
            <w:shd w:val="clear" w:color="auto" w:fill="auto"/>
            <w:vAlign w:val="center"/>
          </w:tcPr>
          <w:p w:rsidR="00460EAB" w:rsidRPr="00C927B9" w:rsidRDefault="00460EAB" w:rsidP="005A5E60">
            <w:pPr>
              <w:pStyle w:val="Tabletext0"/>
              <w:keepNext/>
              <w:jc w:val="center"/>
              <w:rPr>
                <w:lang w:val="en-AU"/>
              </w:rPr>
            </w:pPr>
            <w:r w:rsidRPr="00C927B9">
              <w:rPr>
                <w:lang w:val="en-AU"/>
              </w:rPr>
              <w:t>Adults ≥ 18 years,</w:t>
            </w:r>
          </w:p>
          <w:p w:rsidR="00460EAB" w:rsidRPr="00C927B9" w:rsidRDefault="00460EAB" w:rsidP="005A5E60">
            <w:pPr>
              <w:pStyle w:val="Tabletext0"/>
              <w:keepNext/>
              <w:jc w:val="center"/>
              <w:rPr>
                <w:lang w:val="en-AU"/>
              </w:rPr>
            </w:pPr>
            <w:r w:rsidRPr="00C927B9">
              <w:rPr>
                <w:lang w:val="en-AU"/>
              </w:rPr>
              <w:t>Treatment naïve AML,</w:t>
            </w:r>
          </w:p>
          <w:p w:rsidR="00460EAB" w:rsidRPr="00C927B9" w:rsidRDefault="00460EAB" w:rsidP="005A5E60">
            <w:pPr>
              <w:pStyle w:val="Tabletext0"/>
              <w:keepNext/>
              <w:jc w:val="center"/>
              <w:rPr>
                <w:lang w:val="en-AU"/>
              </w:rPr>
            </w:pPr>
            <w:proofErr w:type="gramStart"/>
            <w:r w:rsidRPr="00C927B9">
              <w:rPr>
                <w:lang w:val="en-AU"/>
              </w:rPr>
              <w:t>not</w:t>
            </w:r>
            <w:proofErr w:type="gramEnd"/>
            <w:r w:rsidRPr="00C927B9">
              <w:rPr>
                <w:lang w:val="en-AU"/>
              </w:rPr>
              <w:t xml:space="preserve"> eligible for standard induction therapy due to age or comorbidities.</w:t>
            </w:r>
          </w:p>
        </w:tc>
        <w:tc>
          <w:tcPr>
            <w:tcW w:w="896" w:type="pct"/>
            <w:tcBorders>
              <w:bottom w:val="single" w:sz="4" w:space="0" w:color="auto"/>
            </w:tcBorders>
            <w:shd w:val="clear" w:color="auto" w:fill="auto"/>
            <w:vAlign w:val="center"/>
          </w:tcPr>
          <w:p w:rsidR="00460EAB" w:rsidRPr="00C927B9" w:rsidRDefault="00460EAB" w:rsidP="005A5E60">
            <w:pPr>
              <w:pStyle w:val="Tabletext0"/>
              <w:keepNext/>
              <w:jc w:val="center"/>
              <w:rPr>
                <w:lang w:val="en-AU"/>
              </w:rPr>
            </w:pPr>
            <w:r w:rsidRPr="00C927B9">
              <w:rPr>
                <w:lang w:val="en-AU"/>
              </w:rPr>
              <w:t>Primary: OS,</w:t>
            </w:r>
          </w:p>
          <w:p w:rsidR="00460EAB" w:rsidRPr="00C927B9" w:rsidRDefault="00460EAB" w:rsidP="005A5E60">
            <w:pPr>
              <w:pStyle w:val="Tabletext0"/>
              <w:keepNext/>
              <w:jc w:val="center"/>
              <w:rPr>
                <w:lang w:val="en-AU"/>
              </w:rPr>
            </w:pPr>
            <w:r w:rsidRPr="00C927B9">
              <w:rPr>
                <w:lang w:val="en-AU"/>
              </w:rPr>
              <w:t xml:space="preserve">CR + </w:t>
            </w:r>
            <w:proofErr w:type="spellStart"/>
            <w:r w:rsidRPr="00C927B9">
              <w:rPr>
                <w:lang w:val="en-AU"/>
              </w:rPr>
              <w:t>CRi</w:t>
            </w:r>
            <w:proofErr w:type="spellEnd"/>
          </w:p>
          <w:p w:rsidR="00460EAB" w:rsidRPr="00C927B9" w:rsidRDefault="00460EAB" w:rsidP="005A5E60">
            <w:pPr>
              <w:pStyle w:val="Tabletext0"/>
              <w:keepNext/>
              <w:jc w:val="center"/>
              <w:rPr>
                <w:lang w:val="en-AU"/>
              </w:rPr>
            </w:pPr>
            <w:r w:rsidRPr="00C927B9">
              <w:rPr>
                <w:lang w:val="en-AU"/>
              </w:rPr>
              <w:t xml:space="preserve">Secondary: EFS, CR, </w:t>
            </w:r>
            <w:proofErr w:type="spellStart"/>
            <w:r w:rsidRPr="00C927B9">
              <w:rPr>
                <w:lang w:val="en-AU"/>
              </w:rPr>
              <w:t>CRi</w:t>
            </w:r>
            <w:proofErr w:type="spellEnd"/>
            <w:r w:rsidRPr="00C927B9">
              <w:rPr>
                <w:lang w:val="en-AU"/>
              </w:rPr>
              <w:t xml:space="preserve">, </w:t>
            </w:r>
            <w:proofErr w:type="spellStart"/>
            <w:r w:rsidRPr="00C927B9">
              <w:rPr>
                <w:lang w:val="en-AU"/>
              </w:rPr>
              <w:t>CRh</w:t>
            </w:r>
            <w:proofErr w:type="spellEnd"/>
            <w:r w:rsidRPr="00C927B9">
              <w:rPr>
                <w:lang w:val="en-AU"/>
              </w:rPr>
              <w:t>, TIR, MRD, QoL</w:t>
            </w:r>
            <w:r w:rsidR="00C84140" w:rsidRPr="00C927B9">
              <w:rPr>
                <w:lang w:val="en-AU"/>
              </w:rPr>
              <w:t>,</w:t>
            </w:r>
            <w:r w:rsidRPr="00C927B9">
              <w:rPr>
                <w:lang w:val="en-AU"/>
              </w:rPr>
              <w:t xml:space="preserve"> </w:t>
            </w:r>
          </w:p>
          <w:p w:rsidR="00460EAB" w:rsidRPr="00C927B9" w:rsidRDefault="00460EAB" w:rsidP="005A5E60">
            <w:pPr>
              <w:pStyle w:val="Tabletext0"/>
              <w:keepNext/>
              <w:jc w:val="center"/>
              <w:rPr>
                <w:lang w:val="en-AU"/>
              </w:rPr>
            </w:pPr>
            <w:r w:rsidRPr="00C927B9">
              <w:rPr>
                <w:lang w:val="en-AU"/>
              </w:rPr>
              <w:t>Safety.</w:t>
            </w:r>
          </w:p>
        </w:tc>
        <w:tc>
          <w:tcPr>
            <w:tcW w:w="649" w:type="pct"/>
            <w:tcBorders>
              <w:bottom w:val="single" w:sz="4" w:space="0" w:color="auto"/>
            </w:tcBorders>
            <w:shd w:val="clear" w:color="auto" w:fill="auto"/>
            <w:vAlign w:val="center"/>
          </w:tcPr>
          <w:p w:rsidR="00460EAB" w:rsidRPr="00C927B9" w:rsidRDefault="00CF065D" w:rsidP="005A5E60">
            <w:pPr>
              <w:pStyle w:val="Tabletext0"/>
              <w:keepNext/>
              <w:jc w:val="center"/>
              <w:rPr>
                <w:lang w:val="en-AU"/>
              </w:rPr>
            </w:pPr>
            <w:r w:rsidRPr="00C927B9">
              <w:rPr>
                <w:lang w:val="en-AU"/>
              </w:rPr>
              <w:t>OS, EFS, CR/</w:t>
            </w:r>
            <w:proofErr w:type="spellStart"/>
            <w:r w:rsidRPr="00C927B9">
              <w:rPr>
                <w:lang w:val="en-AU"/>
              </w:rPr>
              <w:t>C</w:t>
            </w:r>
            <w:r w:rsidR="002224BA" w:rsidRPr="00C927B9">
              <w:rPr>
                <w:lang w:val="en-AU"/>
              </w:rPr>
              <w:t>R</w:t>
            </w:r>
            <w:r w:rsidRPr="00C927B9">
              <w:rPr>
                <w:lang w:val="en-AU"/>
              </w:rPr>
              <w:t>i</w:t>
            </w:r>
            <w:proofErr w:type="spellEnd"/>
            <w:r w:rsidR="002224BA" w:rsidRPr="00C927B9">
              <w:rPr>
                <w:lang w:val="en-AU"/>
              </w:rPr>
              <w:t>, TTD for VTX+AZA and AZA arms</w:t>
            </w:r>
            <w:r w:rsidRPr="00C927B9">
              <w:rPr>
                <w:lang w:val="en-AU"/>
              </w:rPr>
              <w:t xml:space="preserve"> </w:t>
            </w:r>
          </w:p>
        </w:tc>
      </w:tr>
      <w:tr w:rsidR="00460EAB" w:rsidRPr="00C927B9" w:rsidTr="00574791">
        <w:tc>
          <w:tcPr>
            <w:tcW w:w="5000" w:type="pct"/>
            <w:gridSpan w:val="7"/>
            <w:tcBorders>
              <w:bottom w:val="single" w:sz="4" w:space="0" w:color="auto"/>
            </w:tcBorders>
            <w:shd w:val="clear" w:color="auto" w:fill="auto"/>
            <w:vAlign w:val="center"/>
          </w:tcPr>
          <w:p w:rsidR="00460EAB" w:rsidRPr="00C927B9" w:rsidRDefault="00460EAB" w:rsidP="005A5E60">
            <w:pPr>
              <w:pStyle w:val="Tabletext0"/>
              <w:keepNext/>
              <w:rPr>
                <w:b/>
                <w:lang w:val="en-AU"/>
              </w:rPr>
            </w:pPr>
            <w:r w:rsidRPr="00C927B9">
              <w:rPr>
                <w:b/>
                <w:lang w:val="en-AU"/>
              </w:rPr>
              <w:t>Venetoclax 600 mg + LoDAC versus placebo + LoDAC</w:t>
            </w:r>
          </w:p>
        </w:tc>
      </w:tr>
      <w:tr w:rsidR="002224BA" w:rsidRPr="00C927B9" w:rsidTr="00460EAB">
        <w:tc>
          <w:tcPr>
            <w:tcW w:w="626" w:type="pct"/>
            <w:tcBorders>
              <w:top w:val="single" w:sz="4" w:space="0" w:color="auto"/>
            </w:tcBorders>
            <w:shd w:val="clear" w:color="auto" w:fill="auto"/>
            <w:vAlign w:val="center"/>
          </w:tcPr>
          <w:p w:rsidR="002224BA" w:rsidRPr="00C927B9" w:rsidRDefault="002224BA" w:rsidP="005A5E60">
            <w:pPr>
              <w:pStyle w:val="Tabletext0"/>
              <w:keepNext/>
              <w:rPr>
                <w:lang w:val="en-AU"/>
              </w:rPr>
            </w:pPr>
            <w:r w:rsidRPr="00C927B9">
              <w:rPr>
                <w:lang w:val="en-AU"/>
              </w:rPr>
              <w:t>M16-043</w:t>
            </w:r>
          </w:p>
        </w:tc>
        <w:tc>
          <w:tcPr>
            <w:tcW w:w="299" w:type="pct"/>
            <w:tcBorders>
              <w:top w:val="nil"/>
            </w:tcBorders>
            <w:shd w:val="clear" w:color="auto" w:fill="auto"/>
            <w:vAlign w:val="center"/>
          </w:tcPr>
          <w:p w:rsidR="002224BA" w:rsidRPr="00C927B9" w:rsidRDefault="002224BA" w:rsidP="005A5E60">
            <w:pPr>
              <w:pStyle w:val="Tabletext0"/>
              <w:keepNext/>
              <w:jc w:val="center"/>
              <w:rPr>
                <w:lang w:val="en-AU"/>
              </w:rPr>
            </w:pPr>
            <w:r w:rsidRPr="00C927B9">
              <w:rPr>
                <w:lang w:val="en-AU"/>
              </w:rPr>
              <w:t>221</w:t>
            </w:r>
          </w:p>
        </w:tc>
        <w:tc>
          <w:tcPr>
            <w:tcW w:w="1037" w:type="pct"/>
            <w:tcBorders>
              <w:top w:val="nil"/>
            </w:tcBorders>
            <w:shd w:val="clear" w:color="auto" w:fill="auto"/>
            <w:vAlign w:val="center"/>
          </w:tcPr>
          <w:p w:rsidR="002224BA" w:rsidRPr="00C927B9" w:rsidRDefault="002224BA" w:rsidP="005A5E60">
            <w:pPr>
              <w:pStyle w:val="Tabletext0"/>
              <w:keepNext/>
              <w:jc w:val="center"/>
              <w:rPr>
                <w:lang w:val="en-AU"/>
              </w:rPr>
            </w:pPr>
            <w:r w:rsidRPr="00C927B9">
              <w:rPr>
                <w:lang w:val="en-AU"/>
              </w:rPr>
              <w:t xml:space="preserve">Phase III, </w:t>
            </w:r>
            <w:r w:rsidRPr="00C927B9">
              <w:rPr>
                <w:lang w:val="en-AU"/>
              </w:rPr>
              <w:br/>
              <w:t xml:space="preserve">R, DB, PC, MC </w:t>
            </w:r>
          </w:p>
          <w:p w:rsidR="003B1D4A" w:rsidRPr="00C927B9" w:rsidRDefault="002224BA" w:rsidP="005A5E60">
            <w:pPr>
              <w:pStyle w:val="Tabletext0"/>
              <w:keepNext/>
              <w:jc w:val="center"/>
              <w:rPr>
                <w:lang w:val="en-AU"/>
              </w:rPr>
            </w:pPr>
            <w:r w:rsidRPr="00C927B9">
              <w:rPr>
                <w:lang w:val="en-AU"/>
              </w:rPr>
              <w:t>Treatment to disease progression or discontinuation</w:t>
            </w:r>
          </w:p>
          <w:p w:rsidR="002224BA" w:rsidRPr="00C927B9" w:rsidRDefault="003B1D4A" w:rsidP="005A5E60">
            <w:pPr>
              <w:pStyle w:val="Tabletext0"/>
              <w:keepNext/>
              <w:jc w:val="center"/>
              <w:rPr>
                <w:vertAlign w:val="superscript"/>
                <w:lang w:val="en-AU"/>
              </w:rPr>
            </w:pPr>
            <w:r w:rsidRPr="00C927B9">
              <w:rPr>
                <w:lang w:val="en-AU"/>
              </w:rPr>
              <w:t>(follow-up ongoing)</w:t>
            </w:r>
          </w:p>
        </w:tc>
        <w:tc>
          <w:tcPr>
            <w:tcW w:w="393" w:type="pct"/>
            <w:tcBorders>
              <w:top w:val="nil"/>
            </w:tcBorders>
            <w:shd w:val="clear" w:color="auto" w:fill="auto"/>
            <w:vAlign w:val="center"/>
          </w:tcPr>
          <w:p w:rsidR="002224BA" w:rsidRPr="00C927B9" w:rsidRDefault="002224BA" w:rsidP="005A5E60">
            <w:pPr>
              <w:pStyle w:val="Tabletext0"/>
              <w:keepNext/>
              <w:jc w:val="center"/>
              <w:rPr>
                <w:iCs/>
                <w:lang w:val="en-AU"/>
              </w:rPr>
            </w:pPr>
            <w:r w:rsidRPr="00C927B9">
              <w:rPr>
                <w:iCs/>
                <w:lang w:val="en-AU"/>
              </w:rPr>
              <w:t>Low</w:t>
            </w:r>
          </w:p>
        </w:tc>
        <w:tc>
          <w:tcPr>
            <w:tcW w:w="1100" w:type="pct"/>
            <w:tcBorders>
              <w:top w:val="nil"/>
            </w:tcBorders>
            <w:shd w:val="clear" w:color="auto" w:fill="auto"/>
            <w:vAlign w:val="center"/>
          </w:tcPr>
          <w:p w:rsidR="002224BA" w:rsidRPr="00C927B9" w:rsidRDefault="002224BA" w:rsidP="005A5E60">
            <w:pPr>
              <w:pStyle w:val="Tabletext0"/>
              <w:keepNext/>
              <w:jc w:val="center"/>
              <w:rPr>
                <w:lang w:val="en-AU"/>
              </w:rPr>
            </w:pPr>
            <w:r w:rsidRPr="00C927B9">
              <w:rPr>
                <w:lang w:val="en-AU"/>
              </w:rPr>
              <w:t>Adults ≥ 18 years,</w:t>
            </w:r>
          </w:p>
          <w:p w:rsidR="002224BA" w:rsidRPr="00C927B9" w:rsidRDefault="002224BA" w:rsidP="005A5E60">
            <w:pPr>
              <w:pStyle w:val="Tabletext0"/>
              <w:keepNext/>
              <w:jc w:val="center"/>
              <w:rPr>
                <w:lang w:val="en-AU"/>
              </w:rPr>
            </w:pPr>
            <w:r w:rsidRPr="00C927B9">
              <w:rPr>
                <w:lang w:val="en-AU"/>
              </w:rPr>
              <w:t>Treatment naïve AML,</w:t>
            </w:r>
          </w:p>
          <w:p w:rsidR="002224BA" w:rsidRPr="00C927B9" w:rsidRDefault="002224BA" w:rsidP="005A5E60">
            <w:pPr>
              <w:pStyle w:val="Tabletext0"/>
              <w:keepNext/>
              <w:jc w:val="center"/>
              <w:rPr>
                <w:lang w:val="en-AU"/>
              </w:rPr>
            </w:pPr>
            <w:proofErr w:type="gramStart"/>
            <w:r w:rsidRPr="00C927B9">
              <w:rPr>
                <w:lang w:val="en-AU"/>
              </w:rPr>
              <w:t>not</w:t>
            </w:r>
            <w:proofErr w:type="gramEnd"/>
            <w:r w:rsidRPr="00C927B9">
              <w:rPr>
                <w:lang w:val="en-AU"/>
              </w:rPr>
              <w:t xml:space="preserve"> eligible for standard induction therapy due to age or comorbidities.</w:t>
            </w:r>
          </w:p>
        </w:tc>
        <w:tc>
          <w:tcPr>
            <w:tcW w:w="896" w:type="pct"/>
            <w:tcBorders>
              <w:top w:val="nil"/>
            </w:tcBorders>
            <w:shd w:val="clear" w:color="auto" w:fill="auto"/>
            <w:vAlign w:val="center"/>
          </w:tcPr>
          <w:p w:rsidR="002224BA" w:rsidRPr="00C927B9" w:rsidRDefault="002224BA" w:rsidP="005A5E60">
            <w:pPr>
              <w:pStyle w:val="Tabletext0"/>
              <w:keepNext/>
              <w:jc w:val="center"/>
              <w:rPr>
                <w:lang w:val="en-AU"/>
              </w:rPr>
            </w:pPr>
            <w:r w:rsidRPr="00C927B9">
              <w:rPr>
                <w:lang w:val="en-AU"/>
              </w:rPr>
              <w:t>Primary: OS</w:t>
            </w:r>
          </w:p>
          <w:p w:rsidR="002224BA" w:rsidRPr="00C927B9" w:rsidRDefault="002224BA" w:rsidP="005A5E60">
            <w:pPr>
              <w:pStyle w:val="Tabletext0"/>
              <w:keepNext/>
              <w:jc w:val="center"/>
              <w:rPr>
                <w:lang w:val="en-AU"/>
              </w:rPr>
            </w:pPr>
            <w:r w:rsidRPr="00C927B9">
              <w:rPr>
                <w:lang w:val="en-AU"/>
              </w:rPr>
              <w:t xml:space="preserve">Secondary: OS at 1 year, EFS, CR, </w:t>
            </w:r>
            <w:proofErr w:type="spellStart"/>
            <w:r w:rsidRPr="00C927B9">
              <w:rPr>
                <w:lang w:val="en-AU"/>
              </w:rPr>
              <w:t>CRi</w:t>
            </w:r>
            <w:proofErr w:type="spellEnd"/>
            <w:r w:rsidRPr="00C927B9">
              <w:rPr>
                <w:lang w:val="en-AU"/>
              </w:rPr>
              <w:t>, PR, TIR, QoL</w:t>
            </w:r>
            <w:r w:rsidR="00C84140" w:rsidRPr="00C927B9">
              <w:rPr>
                <w:lang w:val="en-AU"/>
              </w:rPr>
              <w:t>,</w:t>
            </w:r>
          </w:p>
          <w:p w:rsidR="002224BA" w:rsidRPr="00C927B9" w:rsidRDefault="002224BA" w:rsidP="005A5E60">
            <w:pPr>
              <w:pStyle w:val="Tabletext0"/>
              <w:keepNext/>
              <w:jc w:val="center"/>
              <w:rPr>
                <w:lang w:val="en-AU"/>
              </w:rPr>
            </w:pPr>
            <w:r w:rsidRPr="00C927B9">
              <w:rPr>
                <w:lang w:val="en-AU"/>
              </w:rPr>
              <w:t>Safety.</w:t>
            </w:r>
          </w:p>
        </w:tc>
        <w:tc>
          <w:tcPr>
            <w:tcW w:w="649" w:type="pct"/>
            <w:tcBorders>
              <w:top w:val="nil"/>
            </w:tcBorders>
            <w:shd w:val="clear" w:color="auto" w:fill="auto"/>
            <w:vAlign w:val="center"/>
          </w:tcPr>
          <w:p w:rsidR="002224BA" w:rsidRPr="00C927B9" w:rsidRDefault="002224BA" w:rsidP="005A5E60">
            <w:pPr>
              <w:pStyle w:val="Tabletext0"/>
              <w:keepNext/>
              <w:jc w:val="center"/>
              <w:rPr>
                <w:lang w:val="en-AU"/>
              </w:rPr>
            </w:pPr>
            <w:r w:rsidRPr="00C927B9">
              <w:rPr>
                <w:lang w:val="en-AU"/>
              </w:rPr>
              <w:t>EFS, CR/</w:t>
            </w:r>
            <w:proofErr w:type="spellStart"/>
            <w:r w:rsidRPr="00C927B9">
              <w:rPr>
                <w:lang w:val="en-AU"/>
              </w:rPr>
              <w:t>CRi</w:t>
            </w:r>
            <w:proofErr w:type="spellEnd"/>
            <w:r w:rsidRPr="00C927B9">
              <w:rPr>
                <w:lang w:val="en-AU"/>
              </w:rPr>
              <w:t>, TTD for LoDAC arm</w:t>
            </w:r>
          </w:p>
        </w:tc>
      </w:tr>
      <w:tr w:rsidR="002224BA" w:rsidRPr="00C927B9" w:rsidTr="00574791">
        <w:tc>
          <w:tcPr>
            <w:tcW w:w="5000" w:type="pct"/>
            <w:gridSpan w:val="7"/>
            <w:tcBorders>
              <w:bottom w:val="single" w:sz="4" w:space="0" w:color="auto"/>
            </w:tcBorders>
            <w:shd w:val="clear" w:color="auto" w:fill="auto"/>
            <w:vAlign w:val="center"/>
          </w:tcPr>
          <w:p w:rsidR="002224BA" w:rsidRPr="00C927B9" w:rsidRDefault="002224BA" w:rsidP="005A5E60">
            <w:pPr>
              <w:pStyle w:val="Tabletext0"/>
              <w:keepNext/>
              <w:rPr>
                <w:b/>
                <w:lang w:val="en-AU"/>
              </w:rPr>
            </w:pPr>
            <w:r w:rsidRPr="00C927B9">
              <w:rPr>
                <w:b/>
                <w:lang w:val="en-AU"/>
              </w:rPr>
              <w:t xml:space="preserve">Azacitidine versus LoDAC </w:t>
            </w:r>
          </w:p>
        </w:tc>
      </w:tr>
      <w:tr w:rsidR="002224BA" w:rsidRPr="00C927B9" w:rsidTr="00460EAB">
        <w:tc>
          <w:tcPr>
            <w:tcW w:w="626" w:type="pct"/>
            <w:shd w:val="clear" w:color="auto" w:fill="auto"/>
            <w:vAlign w:val="center"/>
          </w:tcPr>
          <w:p w:rsidR="002224BA" w:rsidRPr="00C927B9" w:rsidRDefault="002224BA" w:rsidP="005A5E60">
            <w:pPr>
              <w:pStyle w:val="Tabletext0"/>
              <w:keepNext/>
              <w:rPr>
                <w:lang w:val="en-AU"/>
              </w:rPr>
            </w:pPr>
            <w:r w:rsidRPr="00C927B9">
              <w:rPr>
                <w:lang w:val="en-AU"/>
              </w:rPr>
              <w:t>AZA-AML-001</w:t>
            </w:r>
          </w:p>
        </w:tc>
        <w:tc>
          <w:tcPr>
            <w:tcW w:w="299" w:type="pct"/>
            <w:shd w:val="clear" w:color="auto" w:fill="auto"/>
            <w:vAlign w:val="center"/>
          </w:tcPr>
          <w:p w:rsidR="002224BA" w:rsidRPr="00C927B9" w:rsidRDefault="002224BA" w:rsidP="005A5E60">
            <w:pPr>
              <w:pStyle w:val="Tabletext0"/>
              <w:keepNext/>
              <w:jc w:val="center"/>
              <w:rPr>
                <w:lang w:val="en-AU"/>
              </w:rPr>
            </w:pPr>
            <w:r w:rsidRPr="00C927B9">
              <w:rPr>
                <w:lang w:val="en-AU"/>
              </w:rPr>
              <w:t>488</w:t>
            </w:r>
          </w:p>
        </w:tc>
        <w:tc>
          <w:tcPr>
            <w:tcW w:w="1037" w:type="pct"/>
            <w:shd w:val="clear" w:color="auto" w:fill="auto"/>
            <w:vAlign w:val="center"/>
          </w:tcPr>
          <w:p w:rsidR="002224BA" w:rsidRPr="00C927B9" w:rsidRDefault="002224BA" w:rsidP="005A5E60">
            <w:pPr>
              <w:pStyle w:val="Tabletext0"/>
              <w:keepNext/>
              <w:jc w:val="center"/>
              <w:rPr>
                <w:lang w:val="en-AU"/>
              </w:rPr>
            </w:pPr>
            <w:r w:rsidRPr="00C927B9">
              <w:rPr>
                <w:lang w:val="en-AU"/>
              </w:rPr>
              <w:t xml:space="preserve">Phase III, </w:t>
            </w:r>
            <w:r w:rsidRPr="00C927B9">
              <w:rPr>
                <w:lang w:val="en-AU"/>
              </w:rPr>
              <w:br/>
              <w:t xml:space="preserve">R, OL, MC </w:t>
            </w:r>
          </w:p>
          <w:p w:rsidR="002224BA" w:rsidRPr="00C927B9" w:rsidRDefault="002224BA" w:rsidP="005A5E60">
            <w:pPr>
              <w:pStyle w:val="Tabletext0"/>
              <w:keepNext/>
              <w:jc w:val="center"/>
              <w:rPr>
                <w:vertAlign w:val="superscript"/>
                <w:lang w:val="en-AU"/>
              </w:rPr>
            </w:pPr>
            <w:r w:rsidRPr="00C927B9">
              <w:rPr>
                <w:lang w:val="en-AU"/>
              </w:rPr>
              <w:t>Treatment to disease progression or discontinuation</w:t>
            </w:r>
          </w:p>
        </w:tc>
        <w:tc>
          <w:tcPr>
            <w:tcW w:w="393" w:type="pct"/>
            <w:shd w:val="clear" w:color="auto" w:fill="auto"/>
            <w:vAlign w:val="center"/>
          </w:tcPr>
          <w:p w:rsidR="002224BA" w:rsidRPr="00C927B9" w:rsidRDefault="002224BA" w:rsidP="005A5E60">
            <w:pPr>
              <w:pStyle w:val="Tabletext0"/>
              <w:keepNext/>
              <w:jc w:val="center"/>
              <w:rPr>
                <w:iCs/>
                <w:lang w:val="en-AU"/>
              </w:rPr>
            </w:pPr>
            <w:r w:rsidRPr="00C927B9">
              <w:rPr>
                <w:iCs/>
                <w:lang w:val="en-AU"/>
              </w:rPr>
              <w:t>High</w:t>
            </w:r>
          </w:p>
        </w:tc>
        <w:tc>
          <w:tcPr>
            <w:tcW w:w="1100" w:type="pct"/>
            <w:shd w:val="clear" w:color="auto" w:fill="auto"/>
            <w:vAlign w:val="center"/>
          </w:tcPr>
          <w:p w:rsidR="002224BA" w:rsidRPr="00C927B9" w:rsidRDefault="002224BA" w:rsidP="005A5E60">
            <w:pPr>
              <w:pStyle w:val="Tabletext0"/>
              <w:keepNext/>
              <w:jc w:val="center"/>
              <w:rPr>
                <w:lang w:val="en-AU"/>
              </w:rPr>
            </w:pPr>
            <w:r w:rsidRPr="00C927B9">
              <w:rPr>
                <w:lang w:val="en-AU"/>
              </w:rPr>
              <w:t>Adults ≥ 65 years,</w:t>
            </w:r>
          </w:p>
          <w:p w:rsidR="002224BA" w:rsidRPr="00C927B9" w:rsidRDefault="002224BA" w:rsidP="005A5E60">
            <w:pPr>
              <w:pStyle w:val="Tabletext0"/>
              <w:keepNext/>
              <w:jc w:val="center"/>
              <w:rPr>
                <w:lang w:val="en-AU"/>
              </w:rPr>
            </w:pPr>
            <w:r w:rsidRPr="00C927B9">
              <w:rPr>
                <w:lang w:val="en-AU"/>
              </w:rPr>
              <w:t>Treatment naïve AML,</w:t>
            </w:r>
          </w:p>
          <w:p w:rsidR="002224BA" w:rsidRPr="00C927B9" w:rsidRDefault="002224BA" w:rsidP="005A5E60">
            <w:pPr>
              <w:pStyle w:val="Tabletext0"/>
              <w:keepNext/>
              <w:jc w:val="center"/>
              <w:rPr>
                <w:lang w:val="en-AU"/>
              </w:rPr>
            </w:pPr>
            <w:r w:rsidRPr="00C927B9">
              <w:rPr>
                <w:lang w:val="en-AU"/>
              </w:rPr>
              <w:t>&gt; 30% bone marrow blasts.</w:t>
            </w:r>
          </w:p>
        </w:tc>
        <w:tc>
          <w:tcPr>
            <w:tcW w:w="896" w:type="pct"/>
            <w:shd w:val="clear" w:color="auto" w:fill="auto"/>
            <w:vAlign w:val="center"/>
          </w:tcPr>
          <w:p w:rsidR="002224BA" w:rsidRPr="00C927B9" w:rsidRDefault="002224BA" w:rsidP="005A5E60">
            <w:pPr>
              <w:pStyle w:val="Tabletext0"/>
              <w:keepNext/>
              <w:jc w:val="center"/>
              <w:rPr>
                <w:lang w:val="en-AU"/>
              </w:rPr>
            </w:pPr>
            <w:r w:rsidRPr="00C927B9">
              <w:rPr>
                <w:lang w:val="en-AU"/>
              </w:rPr>
              <w:t>Primary: OS</w:t>
            </w:r>
          </w:p>
          <w:p w:rsidR="002224BA" w:rsidRPr="00C927B9" w:rsidRDefault="002224BA" w:rsidP="005A5E60">
            <w:pPr>
              <w:pStyle w:val="Tabletext0"/>
              <w:keepNext/>
              <w:jc w:val="center"/>
              <w:rPr>
                <w:lang w:val="en-AU"/>
              </w:rPr>
            </w:pPr>
            <w:r w:rsidRPr="00C927B9">
              <w:rPr>
                <w:lang w:val="en-AU"/>
              </w:rPr>
              <w:t xml:space="preserve">Secondary: OS at 1 year, EFS, CR, </w:t>
            </w:r>
            <w:proofErr w:type="spellStart"/>
            <w:r w:rsidRPr="00C927B9">
              <w:rPr>
                <w:lang w:val="en-AU"/>
              </w:rPr>
              <w:t>CRi</w:t>
            </w:r>
            <w:proofErr w:type="spellEnd"/>
            <w:r w:rsidRPr="00C927B9">
              <w:rPr>
                <w:lang w:val="en-AU"/>
              </w:rPr>
              <w:t xml:space="preserve">, PR, TIR, </w:t>
            </w:r>
          </w:p>
          <w:p w:rsidR="002224BA" w:rsidRPr="00C927B9" w:rsidRDefault="002224BA" w:rsidP="005A5E60">
            <w:pPr>
              <w:pStyle w:val="Tabletext0"/>
              <w:keepNext/>
              <w:jc w:val="center"/>
              <w:rPr>
                <w:lang w:val="en-AU"/>
              </w:rPr>
            </w:pPr>
            <w:r w:rsidRPr="00C927B9">
              <w:rPr>
                <w:lang w:val="en-AU"/>
              </w:rPr>
              <w:t>Safety.</w:t>
            </w:r>
          </w:p>
        </w:tc>
        <w:tc>
          <w:tcPr>
            <w:tcW w:w="649" w:type="pct"/>
            <w:shd w:val="clear" w:color="auto" w:fill="auto"/>
            <w:vAlign w:val="center"/>
          </w:tcPr>
          <w:p w:rsidR="002224BA" w:rsidRPr="00C927B9" w:rsidRDefault="002224BA" w:rsidP="005A5E60">
            <w:pPr>
              <w:pStyle w:val="Tabletext0"/>
              <w:keepNext/>
              <w:jc w:val="center"/>
              <w:rPr>
                <w:lang w:val="en-AU"/>
              </w:rPr>
            </w:pPr>
            <w:r w:rsidRPr="00C927B9">
              <w:rPr>
                <w:lang w:val="en-AU"/>
              </w:rPr>
              <w:t>OS for LoDAC arm</w:t>
            </w:r>
          </w:p>
        </w:tc>
      </w:tr>
      <w:tr w:rsidR="002224BA" w:rsidRPr="00C927B9" w:rsidTr="00460EAB">
        <w:trPr>
          <w:trHeight w:val="1165"/>
        </w:trPr>
        <w:tc>
          <w:tcPr>
            <w:tcW w:w="626" w:type="pct"/>
            <w:shd w:val="clear" w:color="auto" w:fill="auto"/>
            <w:vAlign w:val="center"/>
          </w:tcPr>
          <w:p w:rsidR="002224BA" w:rsidRPr="00C927B9" w:rsidRDefault="002224BA" w:rsidP="005A5E60">
            <w:pPr>
              <w:pStyle w:val="TableText"/>
              <w:widowControl w:val="0"/>
            </w:pPr>
            <w:r w:rsidRPr="00C927B9">
              <w:t>AZA-001</w:t>
            </w:r>
          </w:p>
        </w:tc>
        <w:tc>
          <w:tcPr>
            <w:tcW w:w="299" w:type="pct"/>
            <w:shd w:val="clear" w:color="auto" w:fill="auto"/>
            <w:vAlign w:val="center"/>
          </w:tcPr>
          <w:p w:rsidR="002224BA" w:rsidRPr="00C927B9" w:rsidRDefault="002224BA" w:rsidP="005A5E60">
            <w:pPr>
              <w:pStyle w:val="Tabletext0"/>
              <w:keepNext/>
              <w:jc w:val="center"/>
              <w:rPr>
                <w:lang w:val="en-AU"/>
              </w:rPr>
            </w:pPr>
            <w:r w:rsidRPr="00C927B9">
              <w:rPr>
                <w:lang w:val="en-AU"/>
              </w:rPr>
              <w:t>358</w:t>
            </w:r>
          </w:p>
        </w:tc>
        <w:tc>
          <w:tcPr>
            <w:tcW w:w="1037" w:type="pct"/>
            <w:shd w:val="clear" w:color="auto" w:fill="auto"/>
            <w:vAlign w:val="center"/>
          </w:tcPr>
          <w:p w:rsidR="002224BA" w:rsidRPr="00C927B9" w:rsidRDefault="002224BA" w:rsidP="005A5E60">
            <w:pPr>
              <w:pStyle w:val="Tabletext0"/>
              <w:keepNext/>
              <w:jc w:val="center"/>
              <w:rPr>
                <w:lang w:val="en-AU"/>
              </w:rPr>
            </w:pPr>
            <w:r w:rsidRPr="00C927B9">
              <w:rPr>
                <w:lang w:val="en-AU"/>
              </w:rPr>
              <w:t>Phase III,</w:t>
            </w:r>
          </w:p>
          <w:p w:rsidR="002224BA" w:rsidRPr="00C927B9" w:rsidRDefault="002224BA" w:rsidP="005A5E60">
            <w:pPr>
              <w:pStyle w:val="Tabletext0"/>
              <w:keepNext/>
              <w:jc w:val="center"/>
              <w:rPr>
                <w:lang w:val="en-AU"/>
              </w:rPr>
            </w:pPr>
            <w:r w:rsidRPr="00C927B9">
              <w:rPr>
                <w:lang w:val="en-AU"/>
              </w:rPr>
              <w:t>R, OL, MC</w:t>
            </w:r>
          </w:p>
          <w:p w:rsidR="002224BA" w:rsidRPr="00C927B9" w:rsidRDefault="002224BA" w:rsidP="005A5E60">
            <w:pPr>
              <w:pStyle w:val="Tabletext0"/>
              <w:keepNext/>
              <w:jc w:val="center"/>
              <w:rPr>
                <w:vertAlign w:val="superscript"/>
                <w:lang w:val="en-AU"/>
              </w:rPr>
            </w:pPr>
            <w:r w:rsidRPr="00C927B9">
              <w:rPr>
                <w:lang w:val="en-AU"/>
              </w:rPr>
              <w:t>Treatment to disease progression or discontinuation</w:t>
            </w:r>
          </w:p>
        </w:tc>
        <w:tc>
          <w:tcPr>
            <w:tcW w:w="393" w:type="pct"/>
            <w:shd w:val="clear" w:color="auto" w:fill="auto"/>
            <w:vAlign w:val="center"/>
          </w:tcPr>
          <w:p w:rsidR="002224BA" w:rsidRPr="00C927B9" w:rsidRDefault="002224BA" w:rsidP="005A5E60">
            <w:pPr>
              <w:pStyle w:val="Tabletext0"/>
              <w:keepNext/>
              <w:jc w:val="center"/>
              <w:rPr>
                <w:iCs/>
                <w:lang w:val="en-AU"/>
              </w:rPr>
            </w:pPr>
            <w:r w:rsidRPr="00C927B9">
              <w:rPr>
                <w:iCs/>
                <w:lang w:val="en-AU"/>
              </w:rPr>
              <w:t>High</w:t>
            </w:r>
          </w:p>
        </w:tc>
        <w:tc>
          <w:tcPr>
            <w:tcW w:w="1100" w:type="pct"/>
            <w:shd w:val="clear" w:color="auto" w:fill="auto"/>
            <w:vAlign w:val="center"/>
          </w:tcPr>
          <w:p w:rsidR="002224BA" w:rsidRPr="00C927B9" w:rsidRDefault="002224BA" w:rsidP="005A5E60">
            <w:pPr>
              <w:pStyle w:val="Tabletext0"/>
              <w:keepNext/>
              <w:jc w:val="center"/>
              <w:rPr>
                <w:lang w:val="en-AU"/>
              </w:rPr>
            </w:pPr>
            <w:r w:rsidRPr="00C927B9">
              <w:rPr>
                <w:lang w:val="en-AU"/>
              </w:rPr>
              <w:t>Adults ≥ 18 years,</w:t>
            </w:r>
          </w:p>
          <w:p w:rsidR="002224BA" w:rsidRPr="00C927B9" w:rsidRDefault="002224BA" w:rsidP="005A5E60">
            <w:pPr>
              <w:pStyle w:val="TableText"/>
              <w:widowControl w:val="0"/>
              <w:jc w:val="center"/>
            </w:pPr>
            <w:r w:rsidRPr="00C927B9">
              <w:t xml:space="preserve">High risk MDS, </w:t>
            </w:r>
          </w:p>
          <w:p w:rsidR="002224BA" w:rsidRPr="00C927B9" w:rsidRDefault="002224BA" w:rsidP="005A5E60">
            <w:pPr>
              <w:pStyle w:val="TableText"/>
              <w:widowControl w:val="0"/>
              <w:jc w:val="center"/>
            </w:pPr>
            <w:r w:rsidRPr="00C927B9">
              <w:t>≥ 10% bone marrow blasts WBC count &lt; 13 × 10</w:t>
            </w:r>
            <w:r w:rsidRPr="00C927B9">
              <w:rPr>
                <w:vertAlign w:val="superscript"/>
              </w:rPr>
              <w:t>9</w:t>
            </w:r>
            <w:r w:rsidRPr="00C927B9">
              <w:t>/L</w:t>
            </w:r>
          </w:p>
          <w:p w:rsidR="002224BA" w:rsidRPr="00C927B9" w:rsidRDefault="002224BA" w:rsidP="005A5E60">
            <w:pPr>
              <w:pStyle w:val="Tabletext0"/>
              <w:keepNext/>
              <w:jc w:val="center"/>
              <w:rPr>
                <w:lang w:val="en-AU"/>
              </w:rPr>
            </w:pPr>
            <w:r w:rsidRPr="00C927B9">
              <w:rPr>
                <w:lang w:val="en-AU"/>
              </w:rPr>
              <w:t xml:space="preserve"> (N=358); of which, 113 patients met WHO AML criteria.</w:t>
            </w:r>
          </w:p>
        </w:tc>
        <w:tc>
          <w:tcPr>
            <w:tcW w:w="896" w:type="pct"/>
            <w:shd w:val="clear" w:color="auto" w:fill="auto"/>
            <w:vAlign w:val="center"/>
          </w:tcPr>
          <w:p w:rsidR="002224BA" w:rsidRPr="00C927B9" w:rsidRDefault="002224BA" w:rsidP="005A5E60">
            <w:pPr>
              <w:pStyle w:val="Tabletext0"/>
              <w:keepNext/>
              <w:jc w:val="center"/>
              <w:rPr>
                <w:lang w:val="en-AU"/>
              </w:rPr>
            </w:pPr>
            <w:r w:rsidRPr="00C927B9">
              <w:rPr>
                <w:lang w:val="en-AU"/>
              </w:rPr>
              <w:t>Primary: OS</w:t>
            </w:r>
          </w:p>
          <w:p w:rsidR="002224BA" w:rsidRPr="00C927B9" w:rsidRDefault="002224BA" w:rsidP="005A5E60">
            <w:pPr>
              <w:pStyle w:val="Tabletext0"/>
              <w:keepNext/>
              <w:jc w:val="center"/>
              <w:rPr>
                <w:lang w:val="en-AU"/>
              </w:rPr>
            </w:pPr>
            <w:r w:rsidRPr="00C927B9">
              <w:rPr>
                <w:lang w:val="en-AU"/>
              </w:rPr>
              <w:t xml:space="preserve">Secondary: Time to transform to AML, TIR, haematological response, </w:t>
            </w:r>
          </w:p>
          <w:p w:rsidR="002224BA" w:rsidRPr="00C927B9" w:rsidRDefault="002224BA" w:rsidP="005A5E60">
            <w:pPr>
              <w:pStyle w:val="Tabletext0"/>
              <w:keepNext/>
              <w:jc w:val="center"/>
              <w:rPr>
                <w:lang w:val="en-AU"/>
              </w:rPr>
            </w:pPr>
            <w:r w:rsidRPr="00C927B9">
              <w:rPr>
                <w:lang w:val="en-AU"/>
              </w:rPr>
              <w:t>Safety.</w:t>
            </w:r>
          </w:p>
        </w:tc>
        <w:tc>
          <w:tcPr>
            <w:tcW w:w="649" w:type="pct"/>
            <w:shd w:val="clear" w:color="auto" w:fill="auto"/>
            <w:vAlign w:val="center"/>
          </w:tcPr>
          <w:p w:rsidR="002224BA" w:rsidRPr="00C927B9" w:rsidRDefault="002224BA" w:rsidP="005A5E60">
            <w:pPr>
              <w:pStyle w:val="Tabletext0"/>
              <w:keepNext/>
              <w:jc w:val="center"/>
              <w:rPr>
                <w:lang w:val="en-AU"/>
              </w:rPr>
            </w:pPr>
            <w:r w:rsidRPr="00C927B9">
              <w:rPr>
                <w:lang w:val="en-AU"/>
              </w:rPr>
              <w:t>Not used</w:t>
            </w:r>
          </w:p>
        </w:tc>
      </w:tr>
    </w:tbl>
    <w:p w:rsidR="00460EAB" w:rsidRPr="00C927B9" w:rsidRDefault="00460EAB" w:rsidP="00460EAB">
      <w:pPr>
        <w:pStyle w:val="TableFigureFooter"/>
        <w:rPr>
          <w:lang w:val="en-AU"/>
        </w:rPr>
      </w:pPr>
      <w:r w:rsidRPr="00C927B9">
        <w:rPr>
          <w:lang w:val="en-AU"/>
        </w:rPr>
        <w:t>Source: Table 2-7, pp.54-56 of the submission.</w:t>
      </w:r>
    </w:p>
    <w:p w:rsidR="00460EAB" w:rsidRPr="00C927B9" w:rsidRDefault="00460EAB" w:rsidP="00460EAB">
      <w:pPr>
        <w:pStyle w:val="TableFigureFooter"/>
        <w:rPr>
          <w:lang w:val="en-AU"/>
        </w:rPr>
      </w:pPr>
      <w:r w:rsidRPr="00C927B9">
        <w:rPr>
          <w:lang w:val="en-AU"/>
        </w:rPr>
        <w:t xml:space="preserve">Abbreviations; AML, acute myeloid leukaemia; </w:t>
      </w:r>
      <w:r w:rsidR="002224BA" w:rsidRPr="00C927B9">
        <w:rPr>
          <w:lang w:val="en-AU"/>
        </w:rPr>
        <w:t xml:space="preserve">AZA, azacitidine; </w:t>
      </w:r>
      <w:r w:rsidRPr="00C927B9">
        <w:rPr>
          <w:lang w:val="en-AU"/>
        </w:rPr>
        <w:t xml:space="preserve">CR, complete remission; </w:t>
      </w:r>
      <w:proofErr w:type="spellStart"/>
      <w:r w:rsidRPr="00C927B9">
        <w:rPr>
          <w:lang w:val="en-AU"/>
        </w:rPr>
        <w:t>CRi</w:t>
      </w:r>
      <w:proofErr w:type="spellEnd"/>
      <w:r w:rsidRPr="00C927B9">
        <w:rPr>
          <w:lang w:val="en-AU"/>
        </w:rPr>
        <w:t xml:space="preserve">, complete remission with incomplete blood count recovery; </w:t>
      </w:r>
      <w:proofErr w:type="spellStart"/>
      <w:r w:rsidRPr="00C927B9">
        <w:rPr>
          <w:lang w:val="en-AU"/>
        </w:rPr>
        <w:t>CRh</w:t>
      </w:r>
      <w:proofErr w:type="spellEnd"/>
      <w:r w:rsidRPr="00C927B9">
        <w:rPr>
          <w:lang w:val="en-AU"/>
        </w:rPr>
        <w:t xml:space="preserve">, complete remission with partial </w:t>
      </w:r>
      <w:proofErr w:type="spellStart"/>
      <w:r w:rsidRPr="00C927B9">
        <w:rPr>
          <w:lang w:val="en-AU"/>
        </w:rPr>
        <w:t>haematologic</w:t>
      </w:r>
      <w:proofErr w:type="spellEnd"/>
      <w:r w:rsidRPr="00C927B9">
        <w:rPr>
          <w:lang w:val="en-AU"/>
        </w:rPr>
        <w:t xml:space="preserve"> recovery; DB, double blind; EFS, event free survival; LoDAC, </w:t>
      </w:r>
      <w:r w:rsidR="00364681" w:rsidRPr="00C927B9">
        <w:rPr>
          <w:lang w:val="en-AU"/>
        </w:rPr>
        <w:t>low-dose cytarabine</w:t>
      </w:r>
      <w:r w:rsidRPr="00C927B9">
        <w:rPr>
          <w:lang w:val="en-AU"/>
        </w:rPr>
        <w:t xml:space="preserve">; MC, multi-centre; MRD, minimal residual disease; OL, open label; OS, overall survival; PR, partial response QoL, quality of life; R, randomised; TIR, transfusion independence rate; </w:t>
      </w:r>
      <w:r w:rsidR="002224BA" w:rsidRPr="00C927B9">
        <w:rPr>
          <w:lang w:val="en-AU"/>
        </w:rPr>
        <w:t xml:space="preserve">TTD, time to treatment discontinuation; VTX, venetoclax; </w:t>
      </w:r>
      <w:r w:rsidRPr="00C927B9">
        <w:rPr>
          <w:lang w:val="en-AU"/>
        </w:rPr>
        <w:t xml:space="preserve">WHO, World Health Organization. </w:t>
      </w:r>
    </w:p>
    <w:p w:rsidR="00641D44" w:rsidRPr="00C927B9" w:rsidRDefault="00641D44" w:rsidP="00641D44">
      <w:pPr>
        <w:pStyle w:val="ExecSumBodyText"/>
        <w:rPr>
          <w:lang w:val="en-AU"/>
        </w:rPr>
      </w:pPr>
      <w:r w:rsidRPr="00C927B9">
        <w:rPr>
          <w:lang w:val="en-AU"/>
        </w:rPr>
        <w:t xml:space="preserve">The M15-656 and M16-043 trials were randomised controlled trials with low risk of bias, which enrolled adult patients with treatment naïve AML unfit for intensive induction chemotherapy. Inclusion criteria were very similar between trials and included extensive criteria for the identification of patients unfit for intensive induction chemotherapy based on age </w:t>
      </w:r>
      <w:r w:rsidRPr="00C927B9">
        <w:rPr>
          <w:rFonts w:cstheme="minorHAnsi"/>
          <w:lang w:val="en-AU"/>
        </w:rPr>
        <w:t>≥</w:t>
      </w:r>
      <w:r w:rsidRPr="00C927B9">
        <w:rPr>
          <w:lang w:val="en-AU"/>
        </w:rPr>
        <w:t xml:space="preserve">75 years, or age 18-74 years with comorbidities likely to impact fitness for intensive induction chemotherapy (assessed by treating physicians), ECOG status, renal function and hepatic function. The most prevalent reason for </w:t>
      </w:r>
      <w:r w:rsidR="00FE2702" w:rsidRPr="00C927B9">
        <w:rPr>
          <w:lang w:val="en-AU"/>
        </w:rPr>
        <w:t xml:space="preserve">patients being </w:t>
      </w:r>
      <w:r w:rsidRPr="00C927B9">
        <w:rPr>
          <w:lang w:val="en-AU"/>
        </w:rPr>
        <w:t>unfit for intensive induction chemotherapy in both trials was ECOG status 2-3.</w:t>
      </w:r>
    </w:p>
    <w:p w:rsidR="00641D44" w:rsidRPr="00C927B9" w:rsidRDefault="00DD2EDB" w:rsidP="0085174A">
      <w:pPr>
        <w:pStyle w:val="ExecSumBodyText"/>
        <w:rPr>
          <w:lang w:val="en-AU"/>
        </w:rPr>
      </w:pPr>
      <w:r w:rsidRPr="00C927B9">
        <w:rPr>
          <w:lang w:val="en-AU"/>
        </w:rPr>
        <w:t>T</w:t>
      </w:r>
      <w:r w:rsidR="00641D44" w:rsidRPr="00C927B9">
        <w:rPr>
          <w:lang w:val="en-AU"/>
        </w:rPr>
        <w:t xml:space="preserve">here were differences between the two trials in terms of the proportions of de novo (M15-656 75.2% vs M16-043 61.6%) versus secondary AML (24.8% vs 38.4%), </w:t>
      </w:r>
      <w:r w:rsidR="0049766B" w:rsidRPr="00C927B9">
        <w:rPr>
          <w:lang w:val="en-AU"/>
        </w:rPr>
        <w:t xml:space="preserve">and </w:t>
      </w:r>
      <w:r w:rsidR="00641D44" w:rsidRPr="00C927B9">
        <w:rPr>
          <w:lang w:val="en-AU"/>
        </w:rPr>
        <w:t xml:space="preserve">prior use of HMA medicines (0 vs 19.9%). </w:t>
      </w:r>
      <w:r w:rsidR="0085174A" w:rsidRPr="00C927B9">
        <w:rPr>
          <w:lang w:val="en-AU"/>
        </w:rPr>
        <w:t xml:space="preserve">The ESC noted that prior treatment of MDS </w:t>
      </w:r>
      <w:r w:rsidR="00D94913" w:rsidRPr="00C927B9">
        <w:rPr>
          <w:lang w:val="en-AU"/>
        </w:rPr>
        <w:t xml:space="preserve">was allowed </w:t>
      </w:r>
      <w:r w:rsidR="0085174A" w:rsidRPr="00C927B9">
        <w:rPr>
          <w:lang w:val="en-AU"/>
        </w:rPr>
        <w:t>in M16-043</w:t>
      </w:r>
      <w:r w:rsidR="00D94913" w:rsidRPr="00C927B9">
        <w:rPr>
          <w:lang w:val="en-AU"/>
        </w:rPr>
        <w:t>, except for cytarabine</w:t>
      </w:r>
      <w:r w:rsidR="0085174A" w:rsidRPr="00C927B9">
        <w:rPr>
          <w:lang w:val="en-AU"/>
        </w:rPr>
        <w:t xml:space="preserve">, and no prior therapy </w:t>
      </w:r>
      <w:r w:rsidR="0036461B" w:rsidRPr="00C927B9">
        <w:rPr>
          <w:lang w:val="en-AU"/>
        </w:rPr>
        <w:t xml:space="preserve">was </w:t>
      </w:r>
      <w:r w:rsidR="0085174A" w:rsidRPr="00C927B9">
        <w:rPr>
          <w:lang w:val="en-AU"/>
        </w:rPr>
        <w:t>permitted in M15-656</w:t>
      </w:r>
      <w:r w:rsidR="0036461B" w:rsidRPr="00C927B9">
        <w:rPr>
          <w:lang w:val="en-AU"/>
        </w:rPr>
        <w:t>. Both trials were</w:t>
      </w:r>
      <w:r w:rsidR="00FB096C" w:rsidRPr="00C927B9">
        <w:rPr>
          <w:lang w:val="en-AU"/>
        </w:rPr>
        <w:t xml:space="preserve"> inconsistent with the proposed PBS population since </w:t>
      </w:r>
      <w:r w:rsidR="00E3408F" w:rsidRPr="00C927B9">
        <w:rPr>
          <w:lang w:val="en-AU"/>
        </w:rPr>
        <w:t xml:space="preserve">a </w:t>
      </w:r>
      <w:r w:rsidR="00E3408F" w:rsidRPr="00C927B9">
        <w:rPr>
          <w:lang w:val="en-AU"/>
        </w:rPr>
        <w:lastRenderedPageBreak/>
        <w:t xml:space="preserve">proportion of </w:t>
      </w:r>
      <w:r w:rsidR="00FB096C" w:rsidRPr="00C927B9">
        <w:rPr>
          <w:lang w:val="en-AU"/>
        </w:rPr>
        <w:t xml:space="preserve">AML patients in Australia have </w:t>
      </w:r>
      <w:r w:rsidR="00CD4B0E" w:rsidRPr="00C927B9">
        <w:rPr>
          <w:lang w:val="en-AU"/>
        </w:rPr>
        <w:t xml:space="preserve">had </w:t>
      </w:r>
      <w:r w:rsidR="00FB096C" w:rsidRPr="00C927B9">
        <w:rPr>
          <w:lang w:val="en-AU"/>
        </w:rPr>
        <w:t>prior MDS and may have accessed azacitidine</w:t>
      </w:r>
      <w:r w:rsidR="00D94913" w:rsidRPr="00C927B9">
        <w:rPr>
          <w:lang w:val="en-AU"/>
        </w:rPr>
        <w:t xml:space="preserve"> or cytarabine</w:t>
      </w:r>
      <w:r w:rsidR="00FB096C" w:rsidRPr="00C927B9">
        <w:rPr>
          <w:lang w:val="en-AU"/>
        </w:rPr>
        <w:t xml:space="preserve"> treatment</w:t>
      </w:r>
      <w:r w:rsidR="00E3408F" w:rsidRPr="00C927B9">
        <w:rPr>
          <w:lang w:val="en-AU"/>
        </w:rPr>
        <w:t xml:space="preserve"> (in the CURRENT study, 25.7% of patients had prior HMA therapy)</w:t>
      </w:r>
      <w:r w:rsidR="00FB096C" w:rsidRPr="00C927B9">
        <w:rPr>
          <w:lang w:val="en-AU"/>
        </w:rPr>
        <w:t>.</w:t>
      </w:r>
      <w:r w:rsidR="0085174A" w:rsidRPr="00C927B9">
        <w:rPr>
          <w:lang w:val="en-AU"/>
        </w:rPr>
        <w:t xml:space="preserve"> </w:t>
      </w:r>
      <w:r w:rsidR="00641D44" w:rsidRPr="00C927B9">
        <w:rPr>
          <w:lang w:val="en-AU"/>
        </w:rPr>
        <w:t xml:space="preserve">In addition, patients with favourable risk cytogenetics such as t(8;21), </w:t>
      </w:r>
      <w:proofErr w:type="spellStart"/>
      <w:r w:rsidR="00641D44" w:rsidRPr="00C927B9">
        <w:rPr>
          <w:lang w:val="en-AU"/>
        </w:rPr>
        <w:t>inv</w:t>
      </w:r>
      <w:proofErr w:type="spellEnd"/>
      <w:r w:rsidR="00641D44" w:rsidRPr="00C927B9">
        <w:rPr>
          <w:lang w:val="en-AU"/>
        </w:rPr>
        <w:t xml:space="preserve">(16), t(16;16) or t(15;17) were excluded from </w:t>
      </w:r>
      <w:r w:rsidR="00574791" w:rsidRPr="00C927B9">
        <w:rPr>
          <w:lang w:val="en-AU"/>
        </w:rPr>
        <w:t>Trial M15</w:t>
      </w:r>
      <w:r w:rsidR="00641D44" w:rsidRPr="00C927B9">
        <w:rPr>
          <w:lang w:val="en-AU"/>
        </w:rPr>
        <w:t xml:space="preserve">-656, but included in </w:t>
      </w:r>
      <w:r w:rsidR="00574791" w:rsidRPr="00C927B9">
        <w:rPr>
          <w:lang w:val="en-AU"/>
        </w:rPr>
        <w:t>Trial M16</w:t>
      </w:r>
      <w:r w:rsidR="00641D44" w:rsidRPr="00C927B9">
        <w:rPr>
          <w:lang w:val="en-AU"/>
        </w:rPr>
        <w:t>-043</w:t>
      </w:r>
      <w:r w:rsidR="00C1305E" w:rsidRPr="00C927B9">
        <w:rPr>
          <w:lang w:val="en-AU"/>
        </w:rPr>
        <w:t xml:space="preserve">, however the </w:t>
      </w:r>
      <w:r w:rsidR="00641D44" w:rsidRPr="00C927B9">
        <w:rPr>
          <w:lang w:val="en-AU"/>
        </w:rPr>
        <w:t xml:space="preserve">proportions of patients with favourable risk cytogenetics enrolled in </w:t>
      </w:r>
      <w:r w:rsidR="00574791" w:rsidRPr="00C927B9">
        <w:rPr>
          <w:lang w:val="en-AU"/>
        </w:rPr>
        <w:t>Trial M16</w:t>
      </w:r>
      <w:r w:rsidR="00641D44" w:rsidRPr="00C927B9">
        <w:rPr>
          <w:lang w:val="en-AU"/>
        </w:rPr>
        <w:t>-043 were very small.</w:t>
      </w:r>
      <w:r w:rsidR="0085174A" w:rsidRPr="00C927B9">
        <w:rPr>
          <w:lang w:val="en-AU"/>
        </w:rPr>
        <w:t xml:space="preserve"> </w:t>
      </w:r>
      <w:r w:rsidR="00FB096C" w:rsidRPr="00C927B9">
        <w:rPr>
          <w:lang w:val="en-AU"/>
        </w:rPr>
        <w:t xml:space="preserve">The ESC advised that the trials were skewed towards </w:t>
      </w:r>
      <w:r w:rsidR="0036461B" w:rsidRPr="00C927B9">
        <w:rPr>
          <w:lang w:val="en-AU"/>
        </w:rPr>
        <w:t xml:space="preserve">patients with </w:t>
      </w:r>
      <w:r w:rsidR="00FB096C" w:rsidRPr="00C927B9">
        <w:rPr>
          <w:lang w:val="en-AU"/>
        </w:rPr>
        <w:t xml:space="preserve">poorer prognosis AML. </w:t>
      </w:r>
    </w:p>
    <w:p w:rsidR="00641D44" w:rsidRPr="00C927B9" w:rsidRDefault="00641D44" w:rsidP="00641D44">
      <w:pPr>
        <w:pStyle w:val="ExecSumBodyText"/>
        <w:rPr>
          <w:color w:val="0066FF"/>
          <w:lang w:val="en-AU"/>
        </w:rPr>
      </w:pPr>
      <w:r w:rsidRPr="00C927B9">
        <w:rPr>
          <w:lang w:val="en-AU"/>
        </w:rPr>
        <w:t xml:space="preserve">The AZA-AML-001 trial included a broader range of patients aged </w:t>
      </w:r>
      <w:r w:rsidRPr="00C927B9">
        <w:rPr>
          <w:rFonts w:cstheme="minorHAnsi"/>
          <w:lang w:val="en-AU"/>
        </w:rPr>
        <w:t>≥</w:t>
      </w:r>
      <w:r w:rsidRPr="00C927B9">
        <w:rPr>
          <w:lang w:val="en-AU"/>
        </w:rPr>
        <w:t xml:space="preserve">65 years with treatment naïve AML and &gt;30% bone marrow blasts, stratified by fitness for intensive induction chemotherapy with the subgroup of patients pre-selected for low intensity therapies randomised to azacitidine (N=154) or LoDAC (N=158). Similarly the AZA-001 </w:t>
      </w:r>
      <w:r w:rsidR="00D57707" w:rsidRPr="00C927B9">
        <w:rPr>
          <w:lang w:val="en-AU"/>
        </w:rPr>
        <w:t xml:space="preserve">trial </w:t>
      </w:r>
      <w:r w:rsidRPr="00C927B9">
        <w:rPr>
          <w:lang w:val="en-AU"/>
        </w:rPr>
        <w:t>include</w:t>
      </w:r>
      <w:r w:rsidR="00D57707" w:rsidRPr="00C927B9">
        <w:rPr>
          <w:lang w:val="en-AU"/>
        </w:rPr>
        <w:t>d</w:t>
      </w:r>
      <w:r w:rsidRPr="00C927B9">
        <w:rPr>
          <w:lang w:val="en-AU"/>
        </w:rPr>
        <w:t xml:space="preserve"> patients aged ≥18 years with higher risk </w:t>
      </w:r>
      <w:r w:rsidR="00D75032" w:rsidRPr="00C927B9">
        <w:rPr>
          <w:lang w:val="en-AU"/>
        </w:rPr>
        <w:t>myelodysplastic syndrome or chronic myelomonocytic leukaemia,</w:t>
      </w:r>
      <w:r w:rsidRPr="00C927B9">
        <w:rPr>
          <w:lang w:val="en-AU"/>
        </w:rPr>
        <w:t xml:space="preserve"> with small subgroups classified as treatment naïve AML randomised to azacitidine (N=14) or LoDAC (N=20). </w:t>
      </w:r>
    </w:p>
    <w:p w:rsidR="00035818" w:rsidRPr="00C927B9" w:rsidRDefault="00641D44" w:rsidP="00641D44">
      <w:pPr>
        <w:pStyle w:val="ExecSumBodyText"/>
        <w:rPr>
          <w:color w:val="0066FF"/>
          <w:lang w:val="en-AU"/>
        </w:rPr>
      </w:pPr>
      <w:r w:rsidRPr="00C927B9">
        <w:rPr>
          <w:lang w:val="en-AU"/>
        </w:rPr>
        <w:t>The risk of bias in the AZA-AML-001 and AZA-001 studies was considered high, given the open label design, initial allocation to intensive induction therapy, low intensity chemotherapy or best supportive care prior to randomisation, and knowledge of the treatment allocation. There were substantial differences between the AZA-AML-001 and AZA-001 trials in terms of age, gender and ECOG status,</w:t>
      </w:r>
      <w:r w:rsidR="00380942" w:rsidRPr="00C927B9">
        <w:rPr>
          <w:lang w:val="en-AU"/>
        </w:rPr>
        <w:t xml:space="preserve"> and the fact that AZA-001 excluded patients with secondary </w:t>
      </w:r>
      <w:r w:rsidR="0036461B" w:rsidRPr="00C927B9">
        <w:rPr>
          <w:lang w:val="en-AU"/>
        </w:rPr>
        <w:t>MDS or therapy related disease</w:t>
      </w:r>
      <w:r w:rsidR="00380942" w:rsidRPr="00C927B9">
        <w:rPr>
          <w:lang w:val="en-AU"/>
        </w:rPr>
        <w:t>. T</w:t>
      </w:r>
      <w:r w:rsidRPr="00C927B9">
        <w:rPr>
          <w:lang w:val="en-AU"/>
        </w:rPr>
        <w:t xml:space="preserve">he applicability of both trials to the requested population </w:t>
      </w:r>
      <w:r w:rsidR="00B44EAB" w:rsidRPr="00C927B9">
        <w:rPr>
          <w:lang w:val="en-AU"/>
        </w:rPr>
        <w:t>was</w:t>
      </w:r>
      <w:r w:rsidRPr="00C927B9">
        <w:rPr>
          <w:lang w:val="en-AU"/>
        </w:rPr>
        <w:t xml:space="preserve"> uncertain (see indirect comparison below).</w:t>
      </w:r>
    </w:p>
    <w:p w:rsidR="00B60939" w:rsidRPr="00C927B9" w:rsidRDefault="00B60939" w:rsidP="00EC5836">
      <w:pPr>
        <w:pStyle w:val="3-SubsectionHeading"/>
        <w:rPr>
          <w:lang w:val="en-AU"/>
        </w:rPr>
      </w:pPr>
      <w:bookmarkStart w:id="13" w:name="_Toc22897641"/>
      <w:bookmarkStart w:id="14" w:name="_Toc62040065"/>
      <w:r w:rsidRPr="00C927B9">
        <w:rPr>
          <w:lang w:val="en-AU"/>
        </w:rPr>
        <w:t>Comparative effectiveness</w:t>
      </w:r>
      <w:bookmarkEnd w:id="13"/>
      <w:bookmarkEnd w:id="14"/>
    </w:p>
    <w:p w:rsidR="00747B10" w:rsidRPr="00C927B9" w:rsidRDefault="00747B10" w:rsidP="00747B10">
      <w:pPr>
        <w:pStyle w:val="ExecSumBodyText"/>
        <w:rPr>
          <w:color w:val="0066FF"/>
          <w:lang w:val="en-AU"/>
        </w:rPr>
      </w:pPr>
      <w:r w:rsidRPr="00C927B9">
        <w:rPr>
          <w:lang w:val="en-AU"/>
        </w:rPr>
        <w:t xml:space="preserve">The results of the venetoclax with azacitidine versus azacitidine (direct comparison), and the venetoclax with azacitidine versus LoDAC (indirect treatment comparison and propensity score weighted analysis) are presented below. The venetoclax with LoDAC versus LoDAC direct comparison </w:t>
      </w:r>
      <w:r w:rsidR="00380942" w:rsidRPr="00C927B9">
        <w:rPr>
          <w:lang w:val="en-AU"/>
        </w:rPr>
        <w:t xml:space="preserve">was </w:t>
      </w:r>
      <w:r w:rsidRPr="00C927B9">
        <w:rPr>
          <w:lang w:val="en-AU"/>
        </w:rPr>
        <w:t>presented in the commentary.</w:t>
      </w:r>
    </w:p>
    <w:p w:rsidR="00747B10" w:rsidRPr="00C927B9" w:rsidRDefault="00747B10" w:rsidP="00747B10">
      <w:pPr>
        <w:pStyle w:val="4-SubsectSubhead"/>
        <w:rPr>
          <w:sz w:val="24"/>
          <w:lang w:val="en-AU"/>
        </w:rPr>
      </w:pPr>
      <w:r w:rsidRPr="00C927B9">
        <w:rPr>
          <w:sz w:val="24"/>
          <w:lang w:val="en-AU"/>
        </w:rPr>
        <w:t xml:space="preserve">Venetoclax with azacitidine </w:t>
      </w:r>
      <w:r w:rsidR="00F1338F" w:rsidRPr="00C927B9">
        <w:rPr>
          <w:sz w:val="24"/>
          <w:lang w:val="en-AU"/>
        </w:rPr>
        <w:t>vs</w:t>
      </w:r>
      <w:r w:rsidRPr="00C927B9">
        <w:rPr>
          <w:sz w:val="24"/>
          <w:lang w:val="en-AU"/>
        </w:rPr>
        <w:t xml:space="preserve"> azacitidine (direct comparison)</w:t>
      </w:r>
    </w:p>
    <w:p w:rsidR="00FF4C16" w:rsidRPr="00C927B9" w:rsidRDefault="00FF4C16" w:rsidP="00FF4C16">
      <w:pPr>
        <w:pStyle w:val="ExecSumBodyText"/>
        <w:rPr>
          <w:color w:val="0066FF"/>
          <w:lang w:val="en-AU"/>
        </w:rPr>
      </w:pPr>
      <w:r w:rsidRPr="00C927B9">
        <w:rPr>
          <w:lang w:val="en-AU"/>
        </w:rPr>
        <w:t xml:space="preserve">Table 4 summarises the results for overall survival for </w:t>
      </w:r>
      <w:r w:rsidR="00574791" w:rsidRPr="00C927B9">
        <w:rPr>
          <w:lang w:val="en-AU"/>
        </w:rPr>
        <w:t>Trial M15</w:t>
      </w:r>
      <w:r w:rsidRPr="00C927B9">
        <w:rPr>
          <w:lang w:val="en-AU"/>
        </w:rPr>
        <w:t>-656 in the full analysis set at the data cut-off of 4 January 2020, with the associated Kaplan Meier plot in Figure 1.</w:t>
      </w:r>
    </w:p>
    <w:p w:rsidR="00FF4C16" w:rsidRPr="00C927B9" w:rsidRDefault="0060344B" w:rsidP="0060344B">
      <w:pPr>
        <w:pStyle w:val="Caption"/>
        <w:jc w:val="both"/>
        <w:rPr>
          <w:lang w:val="en-AU"/>
        </w:rPr>
      </w:pPr>
      <w:r w:rsidRPr="00C927B9">
        <w:rPr>
          <w:lang w:val="en-AU"/>
        </w:rPr>
        <w:lastRenderedPageBreak/>
        <w:t xml:space="preserve">Table </w:t>
      </w:r>
      <w:r w:rsidR="00DB3600" w:rsidRPr="00C927B9">
        <w:rPr>
          <w:lang w:val="en-AU"/>
        </w:rPr>
        <w:t>4</w:t>
      </w:r>
      <w:r w:rsidRPr="00C927B9">
        <w:rPr>
          <w:lang w:val="en-AU"/>
        </w:rPr>
        <w:t>:</w:t>
      </w:r>
      <w:r w:rsidR="00FF4C16" w:rsidRPr="00C927B9">
        <w:rPr>
          <w:lang w:val="en-AU"/>
        </w:rPr>
        <w:t xml:space="preserve"> Results of overall survival from M15-656 (FAS Group 2; 4 Jan 2020 cut-off; median duration of follow up 20.4 months) </w:t>
      </w:r>
    </w:p>
    <w:tbl>
      <w:tblPr>
        <w:tblStyle w:val="newstyle2"/>
        <w:tblW w:w="5000" w:type="pct"/>
        <w:tblLook w:val="04A0" w:firstRow="1" w:lastRow="0" w:firstColumn="1" w:lastColumn="0" w:noHBand="0" w:noVBand="1"/>
        <w:tblCaption w:val="Table 4: Results of overall survival from M15-656 (FAS Group 2; 4 Jan 2020 cut-off; median duration of follow up 20.4 months) "/>
      </w:tblPr>
      <w:tblGrid>
        <w:gridCol w:w="3681"/>
        <w:gridCol w:w="2667"/>
        <w:gridCol w:w="2669"/>
      </w:tblGrid>
      <w:tr w:rsidR="00FF4C16" w:rsidRPr="00C927B9" w:rsidTr="00574791">
        <w:trPr>
          <w:tblHeader/>
        </w:trPr>
        <w:tc>
          <w:tcPr>
            <w:tcW w:w="2041" w:type="pct"/>
            <w:tcBorders>
              <w:bottom w:val="single" w:sz="4" w:space="0" w:color="auto"/>
            </w:tcBorders>
            <w:shd w:val="clear" w:color="auto" w:fill="auto"/>
          </w:tcPr>
          <w:p w:rsidR="00FF4C16" w:rsidRPr="00C927B9" w:rsidRDefault="00FF4C16" w:rsidP="00380942">
            <w:pPr>
              <w:pStyle w:val="TableText"/>
              <w:rPr>
                <w:b/>
                <w:bCs w:val="0"/>
                <w:sz w:val="20"/>
                <w:szCs w:val="20"/>
              </w:rPr>
            </w:pPr>
          </w:p>
        </w:tc>
        <w:tc>
          <w:tcPr>
            <w:tcW w:w="1479" w:type="pct"/>
            <w:tcBorders>
              <w:bottom w:val="single" w:sz="4" w:space="0" w:color="auto"/>
            </w:tcBorders>
            <w:shd w:val="clear" w:color="auto" w:fill="auto"/>
          </w:tcPr>
          <w:p w:rsidR="00FF4C16" w:rsidRPr="00C927B9" w:rsidRDefault="00FF4C16" w:rsidP="00380942">
            <w:pPr>
              <w:pStyle w:val="TableText"/>
              <w:jc w:val="center"/>
              <w:rPr>
                <w:b/>
                <w:bCs w:val="0"/>
                <w:sz w:val="20"/>
                <w:szCs w:val="20"/>
              </w:rPr>
            </w:pPr>
            <w:r w:rsidRPr="00C927B9">
              <w:rPr>
                <w:b/>
                <w:bCs w:val="0"/>
                <w:sz w:val="20"/>
                <w:szCs w:val="20"/>
              </w:rPr>
              <w:t>VTX + AZA</w:t>
            </w:r>
            <w:r w:rsidRPr="00C927B9">
              <w:rPr>
                <w:b/>
                <w:bCs w:val="0"/>
                <w:sz w:val="20"/>
                <w:szCs w:val="20"/>
              </w:rPr>
              <w:br/>
              <w:t>(N=286)</w:t>
            </w:r>
          </w:p>
        </w:tc>
        <w:tc>
          <w:tcPr>
            <w:tcW w:w="1480" w:type="pct"/>
            <w:tcBorders>
              <w:bottom w:val="single" w:sz="4" w:space="0" w:color="auto"/>
            </w:tcBorders>
            <w:shd w:val="clear" w:color="auto" w:fill="auto"/>
          </w:tcPr>
          <w:p w:rsidR="00FF4C16" w:rsidRPr="00C927B9" w:rsidRDefault="00FF4C16" w:rsidP="00380942">
            <w:pPr>
              <w:pStyle w:val="TableText"/>
              <w:jc w:val="center"/>
              <w:rPr>
                <w:b/>
                <w:bCs w:val="0"/>
                <w:sz w:val="20"/>
                <w:szCs w:val="20"/>
              </w:rPr>
            </w:pPr>
            <w:proofErr w:type="spellStart"/>
            <w:r w:rsidRPr="00C927B9">
              <w:rPr>
                <w:b/>
                <w:bCs w:val="0"/>
                <w:sz w:val="20"/>
                <w:szCs w:val="20"/>
              </w:rPr>
              <w:t>Pbo</w:t>
            </w:r>
            <w:proofErr w:type="spellEnd"/>
            <w:r w:rsidRPr="00C927B9">
              <w:rPr>
                <w:b/>
                <w:bCs w:val="0"/>
                <w:sz w:val="20"/>
                <w:szCs w:val="20"/>
              </w:rPr>
              <w:t xml:space="preserve"> + AZA</w:t>
            </w:r>
            <w:r w:rsidRPr="00C927B9">
              <w:rPr>
                <w:b/>
                <w:bCs w:val="0"/>
                <w:sz w:val="20"/>
                <w:szCs w:val="20"/>
              </w:rPr>
              <w:br/>
              <w:t>(N=145)</w:t>
            </w:r>
          </w:p>
        </w:tc>
      </w:tr>
      <w:tr w:rsidR="00FF4C16" w:rsidRPr="00C927B9" w:rsidTr="00574791">
        <w:tc>
          <w:tcPr>
            <w:tcW w:w="5000" w:type="pct"/>
            <w:gridSpan w:val="3"/>
            <w:shd w:val="clear" w:color="auto" w:fill="auto"/>
          </w:tcPr>
          <w:p w:rsidR="00FF4C16" w:rsidRPr="00C927B9" w:rsidRDefault="00FF4C16" w:rsidP="00380942">
            <w:pPr>
              <w:pStyle w:val="TableText"/>
              <w:rPr>
                <w:b/>
                <w:sz w:val="20"/>
                <w:szCs w:val="20"/>
              </w:rPr>
            </w:pPr>
            <w:r w:rsidRPr="00C927B9">
              <w:rPr>
                <w:b/>
                <w:sz w:val="20"/>
                <w:szCs w:val="20"/>
              </w:rPr>
              <w:t>Overall survival</w:t>
            </w:r>
          </w:p>
        </w:tc>
      </w:tr>
      <w:tr w:rsidR="00FF4C16" w:rsidRPr="00C927B9" w:rsidTr="00574791">
        <w:tc>
          <w:tcPr>
            <w:tcW w:w="2041" w:type="pct"/>
            <w:shd w:val="clear" w:color="auto" w:fill="auto"/>
          </w:tcPr>
          <w:p w:rsidR="00FF4C16" w:rsidRPr="00C927B9" w:rsidRDefault="00FF4C16" w:rsidP="00380942">
            <w:pPr>
              <w:pStyle w:val="TableText"/>
              <w:rPr>
                <w:bCs w:val="0"/>
                <w:sz w:val="20"/>
                <w:szCs w:val="20"/>
              </w:rPr>
            </w:pPr>
            <w:r w:rsidRPr="00C927B9">
              <w:rPr>
                <w:bCs w:val="0"/>
                <w:sz w:val="20"/>
                <w:szCs w:val="20"/>
              </w:rPr>
              <w:t>Patients with event (death), n (%)</w:t>
            </w:r>
          </w:p>
        </w:tc>
        <w:tc>
          <w:tcPr>
            <w:tcW w:w="1479" w:type="pct"/>
            <w:shd w:val="clear" w:color="auto" w:fill="auto"/>
          </w:tcPr>
          <w:p w:rsidR="00FF4C16" w:rsidRPr="00C927B9" w:rsidRDefault="00FF4C16" w:rsidP="00380942">
            <w:pPr>
              <w:pStyle w:val="TableText"/>
              <w:jc w:val="center"/>
              <w:rPr>
                <w:sz w:val="20"/>
                <w:szCs w:val="20"/>
              </w:rPr>
            </w:pPr>
            <w:r w:rsidRPr="00C927B9">
              <w:rPr>
                <w:sz w:val="20"/>
                <w:szCs w:val="20"/>
              </w:rPr>
              <w:t>161 (56.3%)</w:t>
            </w:r>
          </w:p>
        </w:tc>
        <w:tc>
          <w:tcPr>
            <w:tcW w:w="1480" w:type="pct"/>
            <w:shd w:val="clear" w:color="auto" w:fill="auto"/>
          </w:tcPr>
          <w:p w:rsidR="00FF4C16" w:rsidRPr="00C927B9" w:rsidRDefault="00FF4C16" w:rsidP="00380942">
            <w:pPr>
              <w:pStyle w:val="TableText"/>
              <w:jc w:val="center"/>
              <w:rPr>
                <w:sz w:val="20"/>
                <w:szCs w:val="20"/>
              </w:rPr>
            </w:pPr>
            <w:r w:rsidRPr="00C927B9">
              <w:rPr>
                <w:sz w:val="20"/>
                <w:szCs w:val="20"/>
              </w:rPr>
              <w:t>109 (75.2%)</w:t>
            </w:r>
          </w:p>
        </w:tc>
      </w:tr>
      <w:tr w:rsidR="00FF4C16" w:rsidRPr="00C927B9" w:rsidTr="00574791">
        <w:trPr>
          <w:trHeight w:val="164"/>
        </w:trPr>
        <w:tc>
          <w:tcPr>
            <w:tcW w:w="2041" w:type="pct"/>
            <w:tcBorders>
              <w:bottom w:val="single" w:sz="4" w:space="0" w:color="auto"/>
            </w:tcBorders>
            <w:shd w:val="clear" w:color="auto" w:fill="auto"/>
          </w:tcPr>
          <w:p w:rsidR="00FF4C16" w:rsidRPr="00C927B9" w:rsidRDefault="00FF4C16" w:rsidP="00380942">
            <w:pPr>
              <w:pStyle w:val="TableText"/>
              <w:rPr>
                <w:bCs w:val="0"/>
                <w:sz w:val="20"/>
                <w:szCs w:val="20"/>
              </w:rPr>
            </w:pPr>
            <w:r w:rsidRPr="00C927B9">
              <w:rPr>
                <w:bCs w:val="0"/>
                <w:sz w:val="20"/>
                <w:szCs w:val="20"/>
              </w:rPr>
              <w:t>Median time to event, months (95%</w:t>
            </w:r>
            <w:r w:rsidR="004862EF" w:rsidRPr="00C927B9">
              <w:rPr>
                <w:bCs w:val="0"/>
                <w:sz w:val="20"/>
                <w:szCs w:val="20"/>
              </w:rPr>
              <w:t xml:space="preserve"> </w:t>
            </w:r>
            <w:r w:rsidRPr="00C927B9">
              <w:rPr>
                <w:bCs w:val="0"/>
                <w:sz w:val="20"/>
                <w:szCs w:val="20"/>
              </w:rPr>
              <w:t>CI)</w:t>
            </w:r>
          </w:p>
        </w:tc>
        <w:tc>
          <w:tcPr>
            <w:tcW w:w="1479" w:type="pct"/>
            <w:tcBorders>
              <w:bottom w:val="single" w:sz="4" w:space="0" w:color="auto"/>
            </w:tcBorders>
            <w:shd w:val="clear" w:color="auto" w:fill="auto"/>
          </w:tcPr>
          <w:p w:rsidR="00FF4C16" w:rsidRPr="00C927B9" w:rsidRDefault="00FF4C16" w:rsidP="00380942">
            <w:pPr>
              <w:pStyle w:val="TableText"/>
              <w:jc w:val="center"/>
              <w:rPr>
                <w:sz w:val="20"/>
                <w:szCs w:val="20"/>
              </w:rPr>
            </w:pPr>
            <w:r w:rsidRPr="00C927B9">
              <w:rPr>
                <w:sz w:val="20"/>
                <w:szCs w:val="20"/>
              </w:rPr>
              <w:t>14.7 (11.9, 18.7)</w:t>
            </w:r>
          </w:p>
        </w:tc>
        <w:tc>
          <w:tcPr>
            <w:tcW w:w="1480" w:type="pct"/>
            <w:tcBorders>
              <w:bottom w:val="single" w:sz="4" w:space="0" w:color="auto"/>
            </w:tcBorders>
            <w:shd w:val="clear" w:color="auto" w:fill="auto"/>
          </w:tcPr>
          <w:p w:rsidR="00FF4C16" w:rsidRPr="00C927B9" w:rsidRDefault="00FF4C16" w:rsidP="00380942">
            <w:pPr>
              <w:pStyle w:val="TableText"/>
              <w:jc w:val="center"/>
              <w:rPr>
                <w:sz w:val="20"/>
                <w:szCs w:val="20"/>
              </w:rPr>
            </w:pPr>
            <w:r w:rsidRPr="00C927B9">
              <w:rPr>
                <w:sz w:val="20"/>
                <w:szCs w:val="20"/>
              </w:rPr>
              <w:t>9.6 (7.4, 12.7)</w:t>
            </w:r>
          </w:p>
        </w:tc>
      </w:tr>
      <w:tr w:rsidR="00FF4C16" w:rsidRPr="00C927B9" w:rsidTr="00574791">
        <w:trPr>
          <w:trHeight w:val="139"/>
        </w:trPr>
        <w:tc>
          <w:tcPr>
            <w:tcW w:w="2041" w:type="pct"/>
            <w:tcBorders>
              <w:bottom w:val="double" w:sz="4" w:space="0" w:color="auto"/>
            </w:tcBorders>
            <w:shd w:val="clear" w:color="auto" w:fill="auto"/>
          </w:tcPr>
          <w:p w:rsidR="00FF4C16" w:rsidRPr="00C927B9" w:rsidRDefault="00FF4C16" w:rsidP="00380942">
            <w:pPr>
              <w:pStyle w:val="TableText"/>
              <w:rPr>
                <w:bCs w:val="0"/>
                <w:sz w:val="20"/>
                <w:szCs w:val="20"/>
              </w:rPr>
            </w:pPr>
            <w:r w:rsidRPr="00C927B9">
              <w:rPr>
                <w:bCs w:val="0"/>
                <w:sz w:val="20"/>
                <w:szCs w:val="20"/>
              </w:rPr>
              <w:t>Stratified HR (95% CI)</w:t>
            </w:r>
            <w:r w:rsidRPr="00C927B9">
              <w:rPr>
                <w:bCs w:val="0"/>
                <w:sz w:val="20"/>
                <w:szCs w:val="20"/>
                <w:vertAlign w:val="superscript"/>
              </w:rPr>
              <w:t>a</w:t>
            </w:r>
          </w:p>
        </w:tc>
        <w:tc>
          <w:tcPr>
            <w:tcW w:w="2959" w:type="pct"/>
            <w:gridSpan w:val="2"/>
            <w:tcBorders>
              <w:bottom w:val="double" w:sz="4" w:space="0" w:color="auto"/>
            </w:tcBorders>
            <w:shd w:val="clear" w:color="auto" w:fill="auto"/>
          </w:tcPr>
          <w:p w:rsidR="00FF4C16" w:rsidRPr="00C927B9" w:rsidRDefault="00FF4C16" w:rsidP="00380942">
            <w:pPr>
              <w:pStyle w:val="TableText"/>
              <w:jc w:val="center"/>
              <w:rPr>
                <w:b/>
                <w:sz w:val="20"/>
                <w:szCs w:val="20"/>
              </w:rPr>
            </w:pPr>
            <w:r w:rsidRPr="00C927B9">
              <w:rPr>
                <w:b/>
                <w:sz w:val="20"/>
                <w:szCs w:val="20"/>
              </w:rPr>
              <w:t>0.662 (0.518, 0.845)</w:t>
            </w:r>
          </w:p>
        </w:tc>
      </w:tr>
      <w:tr w:rsidR="00FF4C16" w:rsidRPr="00C927B9" w:rsidTr="00574791">
        <w:trPr>
          <w:trHeight w:val="231"/>
        </w:trPr>
        <w:tc>
          <w:tcPr>
            <w:tcW w:w="2041" w:type="pct"/>
            <w:tcBorders>
              <w:top w:val="double" w:sz="4" w:space="0" w:color="auto"/>
            </w:tcBorders>
            <w:shd w:val="clear" w:color="auto" w:fill="auto"/>
          </w:tcPr>
          <w:p w:rsidR="00FF4C16" w:rsidRPr="00C927B9" w:rsidRDefault="00FF4C16" w:rsidP="00380942">
            <w:pPr>
              <w:pStyle w:val="TableText"/>
              <w:rPr>
                <w:bCs w:val="0"/>
                <w:sz w:val="20"/>
                <w:szCs w:val="20"/>
              </w:rPr>
            </w:pPr>
            <w:r w:rsidRPr="00C927B9">
              <w:rPr>
                <w:bCs w:val="0"/>
                <w:sz w:val="20"/>
                <w:szCs w:val="20"/>
              </w:rPr>
              <w:t>Overall survival at 6 month, % (95%</w:t>
            </w:r>
            <w:r w:rsidR="004862EF" w:rsidRPr="00C927B9">
              <w:rPr>
                <w:bCs w:val="0"/>
                <w:sz w:val="20"/>
                <w:szCs w:val="20"/>
              </w:rPr>
              <w:t xml:space="preserve"> </w:t>
            </w:r>
            <w:r w:rsidRPr="00C927B9">
              <w:rPr>
                <w:bCs w:val="0"/>
                <w:sz w:val="20"/>
                <w:szCs w:val="20"/>
              </w:rPr>
              <w:t>CI)</w:t>
            </w:r>
          </w:p>
        </w:tc>
        <w:tc>
          <w:tcPr>
            <w:tcW w:w="1479" w:type="pct"/>
            <w:tcBorders>
              <w:top w:val="double" w:sz="4" w:space="0" w:color="auto"/>
            </w:tcBorders>
            <w:shd w:val="clear" w:color="auto" w:fill="auto"/>
          </w:tcPr>
          <w:p w:rsidR="00FF4C16" w:rsidRPr="00C927B9" w:rsidRDefault="00FF4C16" w:rsidP="00380942">
            <w:pPr>
              <w:pStyle w:val="TableText"/>
              <w:jc w:val="center"/>
              <w:rPr>
                <w:sz w:val="20"/>
                <w:szCs w:val="20"/>
              </w:rPr>
            </w:pPr>
            <w:r w:rsidRPr="00C927B9">
              <w:rPr>
                <w:sz w:val="20"/>
                <w:szCs w:val="20"/>
              </w:rPr>
              <w:t>71.9 (66.3, 76.8)</w:t>
            </w:r>
          </w:p>
        </w:tc>
        <w:tc>
          <w:tcPr>
            <w:tcW w:w="1480" w:type="pct"/>
            <w:tcBorders>
              <w:top w:val="double" w:sz="4" w:space="0" w:color="auto"/>
            </w:tcBorders>
            <w:shd w:val="clear" w:color="auto" w:fill="auto"/>
          </w:tcPr>
          <w:p w:rsidR="00FF4C16" w:rsidRPr="00C927B9" w:rsidRDefault="00FF4C16" w:rsidP="00380942">
            <w:pPr>
              <w:pStyle w:val="TableText"/>
              <w:jc w:val="center"/>
              <w:rPr>
                <w:sz w:val="20"/>
                <w:szCs w:val="20"/>
              </w:rPr>
            </w:pPr>
            <w:r w:rsidRPr="00C927B9">
              <w:rPr>
                <w:sz w:val="20"/>
                <w:szCs w:val="20"/>
              </w:rPr>
              <w:t>63.9 (55.5, 71.2)</w:t>
            </w:r>
          </w:p>
        </w:tc>
      </w:tr>
      <w:tr w:rsidR="00FF4C16" w:rsidRPr="00C927B9" w:rsidTr="00574791">
        <w:trPr>
          <w:trHeight w:val="231"/>
        </w:trPr>
        <w:tc>
          <w:tcPr>
            <w:tcW w:w="2041" w:type="pct"/>
            <w:shd w:val="clear" w:color="auto" w:fill="auto"/>
          </w:tcPr>
          <w:p w:rsidR="00FF4C16" w:rsidRPr="00C927B9" w:rsidRDefault="00FF4C16" w:rsidP="00380942">
            <w:pPr>
              <w:pStyle w:val="TableText"/>
              <w:rPr>
                <w:bCs w:val="0"/>
                <w:sz w:val="20"/>
                <w:szCs w:val="20"/>
              </w:rPr>
            </w:pPr>
            <w:r w:rsidRPr="00C927B9">
              <w:rPr>
                <w:bCs w:val="0"/>
                <w:sz w:val="20"/>
                <w:szCs w:val="20"/>
              </w:rPr>
              <w:t>Overall survival at 12 month, % (95%</w:t>
            </w:r>
            <w:r w:rsidR="004862EF" w:rsidRPr="00C927B9">
              <w:rPr>
                <w:bCs w:val="0"/>
                <w:sz w:val="20"/>
                <w:szCs w:val="20"/>
              </w:rPr>
              <w:t xml:space="preserve"> </w:t>
            </w:r>
            <w:r w:rsidRPr="00C927B9">
              <w:rPr>
                <w:bCs w:val="0"/>
                <w:sz w:val="20"/>
                <w:szCs w:val="20"/>
              </w:rPr>
              <w:t>CI)</w:t>
            </w:r>
          </w:p>
        </w:tc>
        <w:tc>
          <w:tcPr>
            <w:tcW w:w="1479" w:type="pct"/>
            <w:shd w:val="clear" w:color="auto" w:fill="auto"/>
          </w:tcPr>
          <w:p w:rsidR="00FF4C16" w:rsidRPr="00C927B9" w:rsidRDefault="00FF4C16" w:rsidP="00380942">
            <w:pPr>
              <w:pStyle w:val="TableText"/>
              <w:jc w:val="center"/>
              <w:rPr>
                <w:sz w:val="20"/>
                <w:szCs w:val="20"/>
              </w:rPr>
            </w:pPr>
            <w:r w:rsidRPr="00C927B9">
              <w:rPr>
                <w:sz w:val="20"/>
                <w:szCs w:val="20"/>
              </w:rPr>
              <w:t>55.8 (49.7, 61.5)</w:t>
            </w:r>
          </w:p>
        </w:tc>
        <w:tc>
          <w:tcPr>
            <w:tcW w:w="1480" w:type="pct"/>
            <w:shd w:val="clear" w:color="auto" w:fill="auto"/>
          </w:tcPr>
          <w:p w:rsidR="00FF4C16" w:rsidRPr="00C927B9" w:rsidRDefault="00FF4C16" w:rsidP="00380942">
            <w:pPr>
              <w:pStyle w:val="TableText"/>
              <w:jc w:val="center"/>
              <w:rPr>
                <w:sz w:val="20"/>
                <w:szCs w:val="20"/>
              </w:rPr>
            </w:pPr>
            <w:r w:rsidRPr="00C927B9">
              <w:rPr>
                <w:sz w:val="20"/>
                <w:szCs w:val="20"/>
              </w:rPr>
              <w:t>43.8 (35.5, 51.8)</w:t>
            </w:r>
          </w:p>
        </w:tc>
      </w:tr>
      <w:tr w:rsidR="00FF4C16" w:rsidRPr="00C927B9" w:rsidTr="00574791">
        <w:trPr>
          <w:trHeight w:val="231"/>
        </w:trPr>
        <w:tc>
          <w:tcPr>
            <w:tcW w:w="2041" w:type="pct"/>
            <w:shd w:val="clear" w:color="auto" w:fill="auto"/>
          </w:tcPr>
          <w:p w:rsidR="00FF4C16" w:rsidRPr="00C927B9" w:rsidRDefault="00FF4C16" w:rsidP="00380942">
            <w:pPr>
              <w:pStyle w:val="TableText"/>
              <w:rPr>
                <w:bCs w:val="0"/>
                <w:sz w:val="20"/>
                <w:szCs w:val="20"/>
              </w:rPr>
            </w:pPr>
            <w:r w:rsidRPr="00C927B9">
              <w:rPr>
                <w:bCs w:val="0"/>
                <w:sz w:val="20"/>
                <w:szCs w:val="20"/>
              </w:rPr>
              <w:t>Overall survival at 24 month, % (95%</w:t>
            </w:r>
            <w:r w:rsidR="004862EF" w:rsidRPr="00C927B9">
              <w:rPr>
                <w:bCs w:val="0"/>
                <w:sz w:val="20"/>
                <w:szCs w:val="20"/>
              </w:rPr>
              <w:t xml:space="preserve"> </w:t>
            </w:r>
            <w:r w:rsidRPr="00C927B9">
              <w:rPr>
                <w:bCs w:val="0"/>
                <w:sz w:val="20"/>
                <w:szCs w:val="20"/>
              </w:rPr>
              <w:t>CI)</w:t>
            </w:r>
          </w:p>
        </w:tc>
        <w:tc>
          <w:tcPr>
            <w:tcW w:w="1479" w:type="pct"/>
            <w:shd w:val="clear" w:color="auto" w:fill="auto"/>
          </w:tcPr>
          <w:p w:rsidR="00FF4C16" w:rsidRPr="00C927B9" w:rsidRDefault="00FF4C16" w:rsidP="00380942">
            <w:pPr>
              <w:pStyle w:val="TableText"/>
              <w:jc w:val="center"/>
              <w:rPr>
                <w:sz w:val="20"/>
                <w:szCs w:val="20"/>
              </w:rPr>
            </w:pPr>
            <w:r w:rsidRPr="00C927B9">
              <w:rPr>
                <w:sz w:val="20"/>
                <w:szCs w:val="20"/>
              </w:rPr>
              <w:t>36.5 (29.7, 43.4)</w:t>
            </w:r>
          </w:p>
        </w:tc>
        <w:tc>
          <w:tcPr>
            <w:tcW w:w="1480" w:type="pct"/>
            <w:shd w:val="clear" w:color="auto" w:fill="auto"/>
          </w:tcPr>
          <w:p w:rsidR="00FF4C16" w:rsidRPr="00C927B9" w:rsidRDefault="00FF4C16" w:rsidP="00380942">
            <w:pPr>
              <w:pStyle w:val="TableText"/>
              <w:jc w:val="center"/>
              <w:rPr>
                <w:sz w:val="20"/>
                <w:szCs w:val="20"/>
              </w:rPr>
            </w:pPr>
            <w:r w:rsidRPr="00C927B9">
              <w:rPr>
                <w:sz w:val="20"/>
                <w:szCs w:val="20"/>
              </w:rPr>
              <w:t>18.3 (11.1, 27.0)</w:t>
            </w:r>
          </w:p>
        </w:tc>
      </w:tr>
    </w:tbl>
    <w:p w:rsidR="00FF4C16" w:rsidRPr="00C927B9" w:rsidRDefault="00FF4C16" w:rsidP="00380942">
      <w:pPr>
        <w:pStyle w:val="TableFigureFooter"/>
        <w:keepNext/>
        <w:rPr>
          <w:lang w:val="en-AU"/>
        </w:rPr>
      </w:pPr>
      <w:r w:rsidRPr="00C927B9">
        <w:rPr>
          <w:lang w:val="en-AU"/>
        </w:rPr>
        <w:t>Source: Table 2-31, p.123 of the submission. Statistically significant results in bold.</w:t>
      </w:r>
    </w:p>
    <w:p w:rsidR="00FF4C16" w:rsidRPr="00C927B9" w:rsidRDefault="00FF4C16" w:rsidP="00380942">
      <w:pPr>
        <w:pStyle w:val="TableFigureFooter"/>
        <w:keepNext/>
        <w:rPr>
          <w:bCs/>
          <w:lang w:val="en-AU"/>
        </w:rPr>
      </w:pPr>
      <w:r w:rsidRPr="00C927B9">
        <w:rPr>
          <w:lang w:val="en-AU"/>
        </w:rPr>
        <w:t xml:space="preserve">Abbreviations: AZA, azacitidine; CI, confidence interval; FAS, full analysis set; HR, hazard ratio; </w:t>
      </w:r>
      <w:proofErr w:type="spellStart"/>
      <w:r w:rsidRPr="00C927B9">
        <w:rPr>
          <w:lang w:val="en-AU"/>
        </w:rPr>
        <w:t>Pbo</w:t>
      </w:r>
      <w:proofErr w:type="spellEnd"/>
      <w:r w:rsidRPr="00C927B9">
        <w:rPr>
          <w:lang w:val="en-AU"/>
        </w:rPr>
        <w:t xml:space="preserve">, placebo; OS, overall survival; </w:t>
      </w:r>
      <w:r w:rsidRPr="00C927B9">
        <w:rPr>
          <w:bCs/>
          <w:lang w:val="en-AU"/>
        </w:rPr>
        <w:t>VTX, venetoclax.</w:t>
      </w:r>
    </w:p>
    <w:p w:rsidR="00FF4C16" w:rsidRPr="00C927B9" w:rsidRDefault="00FF4C16" w:rsidP="00FF4C16">
      <w:pPr>
        <w:pStyle w:val="TableFigureFooter"/>
        <w:rPr>
          <w:bCs/>
          <w:lang w:val="en-AU"/>
        </w:rPr>
      </w:pPr>
      <w:proofErr w:type="gramStart"/>
      <w:r w:rsidRPr="00C927B9">
        <w:rPr>
          <w:bCs/>
          <w:vertAlign w:val="superscript"/>
          <w:lang w:val="en-AU"/>
        </w:rPr>
        <w:t>a</w:t>
      </w:r>
      <w:proofErr w:type="gramEnd"/>
      <w:r w:rsidRPr="00C927B9">
        <w:rPr>
          <w:bCs/>
          <w:lang w:val="en-AU"/>
        </w:rPr>
        <w:t xml:space="preserve"> Stratified by age (18 - &lt; 75, ≥ 75) and cryptogenic risk (intermediate, poor).</w:t>
      </w:r>
    </w:p>
    <w:p w:rsidR="00DD454E" w:rsidRDefault="00DD454E" w:rsidP="00FF4C16">
      <w:pPr>
        <w:pStyle w:val="TableFigureCaption"/>
      </w:pPr>
    </w:p>
    <w:p w:rsidR="00FF4C16" w:rsidRPr="00C927B9" w:rsidRDefault="00FF4C16" w:rsidP="00FF4C16">
      <w:pPr>
        <w:pStyle w:val="TableFigureCaption"/>
      </w:pPr>
      <w:r w:rsidRPr="00C927B9">
        <w:t xml:space="preserve">Figure 1: Kaplan Meier plot of overall survival from M15-656 (FAS Group 2; 4 Jan 2020 </w:t>
      </w:r>
      <w:proofErr w:type="spellStart"/>
      <w:r w:rsidRPr="00C927B9">
        <w:t>cutoff</w:t>
      </w:r>
      <w:proofErr w:type="spellEnd"/>
      <w:r w:rsidRPr="00C927B9">
        <w:t>)</w:t>
      </w:r>
    </w:p>
    <w:p w:rsidR="00FF4C16" w:rsidRPr="00C927B9" w:rsidRDefault="00FF4C16" w:rsidP="00FF4C16">
      <w:pPr>
        <w:pStyle w:val="Tableheadingrow"/>
        <w:rPr>
          <w:lang w:val="en-AU"/>
        </w:rPr>
      </w:pPr>
      <w:r w:rsidRPr="00C927B9">
        <w:rPr>
          <w:noProof/>
          <w:lang w:val="en-AU"/>
        </w:rPr>
        <w:drawing>
          <wp:inline distT="0" distB="0" distL="0" distR="0" wp14:anchorId="0AAE6EB9" wp14:editId="60DA7018">
            <wp:extent cx="6018991" cy="2372264"/>
            <wp:effectExtent l="0" t="0" r="1270" b="9525"/>
            <wp:docPr id="3" name="Picture 3" title="Figure 1: Kaplan Meier plot of overall survival from M15-656 (FAS Group 2; 4 Jan 2020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485" b="31504"/>
                    <a:stretch/>
                  </pic:blipFill>
                  <pic:spPr bwMode="auto">
                    <a:xfrm>
                      <a:off x="0" y="0"/>
                      <a:ext cx="6061030" cy="2388833"/>
                    </a:xfrm>
                    <a:prstGeom prst="rect">
                      <a:avLst/>
                    </a:prstGeom>
                    <a:ln>
                      <a:noFill/>
                    </a:ln>
                    <a:extLst>
                      <a:ext uri="{53640926-AAD7-44D8-BBD7-CCE9431645EC}">
                        <a14:shadowObscured xmlns:a14="http://schemas.microsoft.com/office/drawing/2010/main"/>
                      </a:ext>
                    </a:extLst>
                  </pic:spPr>
                </pic:pic>
              </a:graphicData>
            </a:graphic>
          </wp:inline>
        </w:drawing>
      </w:r>
    </w:p>
    <w:p w:rsidR="00FF4C16" w:rsidRPr="00C927B9" w:rsidRDefault="00FF4C16" w:rsidP="00FF4C16">
      <w:pPr>
        <w:pStyle w:val="TableFigureFooter"/>
        <w:rPr>
          <w:lang w:val="en-AU"/>
        </w:rPr>
      </w:pPr>
      <w:r w:rsidRPr="00C927B9">
        <w:rPr>
          <w:lang w:val="en-AU"/>
        </w:rPr>
        <w:t>Source: Figure 2-12, p.124 of the submission.</w:t>
      </w:r>
    </w:p>
    <w:p w:rsidR="00FF4C16" w:rsidRPr="00C927B9" w:rsidRDefault="00FF4C16" w:rsidP="00FF4C16">
      <w:pPr>
        <w:pStyle w:val="TableFigureFooter"/>
        <w:rPr>
          <w:bCs/>
          <w:lang w:val="en-AU"/>
        </w:rPr>
      </w:pPr>
      <w:r w:rsidRPr="00C927B9">
        <w:rPr>
          <w:lang w:val="en-AU"/>
        </w:rPr>
        <w:t xml:space="preserve">Abbreviations: AZA, azacitidine; CI, confidence interval; FAS, full analysis set; HR, hazard ratio; PBO, placebo; </w:t>
      </w:r>
      <w:r w:rsidRPr="00C927B9">
        <w:rPr>
          <w:bCs/>
          <w:lang w:val="en-AU"/>
        </w:rPr>
        <w:t>VEN, venetoclax.</w:t>
      </w:r>
    </w:p>
    <w:p w:rsidR="00FF4C16" w:rsidRPr="00C927B9" w:rsidRDefault="00FF4C16" w:rsidP="00FF4C16">
      <w:pPr>
        <w:pStyle w:val="TableFigureFooter"/>
        <w:rPr>
          <w:lang w:val="en-AU"/>
        </w:rPr>
      </w:pPr>
      <w:r w:rsidRPr="00C927B9">
        <w:rPr>
          <w:bCs/>
          <w:lang w:val="en-AU"/>
        </w:rPr>
        <w:t xml:space="preserve">Note: Stratified by age (18 - &lt; 75, ≥ 75) and cryptogenic risk (intermediate, poor). </w:t>
      </w:r>
      <w:r w:rsidRPr="00C927B9">
        <w:rPr>
          <w:lang w:val="en-AU"/>
        </w:rPr>
        <w:t xml:space="preserve">Censored at last known alive date prior to cut-off. </w:t>
      </w:r>
    </w:p>
    <w:p w:rsidR="00FF4C16" w:rsidRPr="00C927B9" w:rsidRDefault="00FF4C16" w:rsidP="00FF4C16">
      <w:pPr>
        <w:pStyle w:val="ExecSumBodyText"/>
        <w:rPr>
          <w:color w:val="0066FF"/>
          <w:lang w:val="en-AU"/>
        </w:rPr>
      </w:pPr>
      <w:r w:rsidRPr="00C927B9">
        <w:rPr>
          <w:lang w:val="en-AU"/>
        </w:rPr>
        <w:t>Patients treated with venetoclax with azacitidine experienced a statistically significant improvement in overall survival compared to patients treated with azacitidine (HR</w:t>
      </w:r>
      <w:r w:rsidR="004862EF" w:rsidRPr="00C927B9">
        <w:rPr>
          <w:lang w:val="en-AU"/>
        </w:rPr>
        <w:t> </w:t>
      </w:r>
      <w:r w:rsidRPr="00C927B9">
        <w:rPr>
          <w:lang w:val="en-AU"/>
        </w:rPr>
        <w:t>0.66, 95% CI: 0.5</w:t>
      </w:r>
      <w:r w:rsidR="009A01FF" w:rsidRPr="00C927B9">
        <w:rPr>
          <w:lang w:val="en-AU"/>
        </w:rPr>
        <w:t>2</w:t>
      </w:r>
      <w:r w:rsidRPr="00C927B9">
        <w:rPr>
          <w:lang w:val="en-AU"/>
        </w:rPr>
        <w:t xml:space="preserve">, 0.85), with an increase in median </w:t>
      </w:r>
      <w:r w:rsidR="001B66F1" w:rsidRPr="00C927B9">
        <w:rPr>
          <w:lang w:val="en-AU"/>
        </w:rPr>
        <w:t xml:space="preserve">overall </w:t>
      </w:r>
      <w:r w:rsidRPr="00C927B9">
        <w:rPr>
          <w:lang w:val="en-AU"/>
        </w:rPr>
        <w:t>survival of 5.1 months over a median follow up of 20.4 months.</w:t>
      </w:r>
    </w:p>
    <w:p w:rsidR="00FF4C16" w:rsidRPr="00C927B9" w:rsidRDefault="00FF4C16" w:rsidP="00FF4C16">
      <w:pPr>
        <w:pStyle w:val="ExecSumBodyText"/>
        <w:rPr>
          <w:color w:val="0066FF"/>
          <w:lang w:val="en-AU"/>
        </w:rPr>
      </w:pPr>
      <w:r w:rsidRPr="00C927B9">
        <w:rPr>
          <w:lang w:val="en-AU"/>
        </w:rPr>
        <w:t xml:space="preserve">Table 5 summarises the results for investigator and IRC assessed event free survival for </w:t>
      </w:r>
      <w:r w:rsidR="00574791" w:rsidRPr="00C927B9">
        <w:rPr>
          <w:lang w:val="en-AU"/>
        </w:rPr>
        <w:t>Trial M15</w:t>
      </w:r>
      <w:r w:rsidRPr="00C927B9">
        <w:rPr>
          <w:lang w:val="en-AU"/>
        </w:rPr>
        <w:t>-656 in the full analysis set at the data cut-off of 4 January 2020, with the associated Kaplan Meier plot for investigator assessed event free survival in Figure 2.</w:t>
      </w:r>
      <w:r w:rsidRPr="00C927B9">
        <w:rPr>
          <w:snapToGrid/>
          <w:color w:val="0066FF"/>
          <w:lang w:val="en-AU"/>
        </w:rPr>
        <w:t xml:space="preserve"> </w:t>
      </w:r>
    </w:p>
    <w:p w:rsidR="00DD454E" w:rsidRDefault="00DD454E">
      <w:pPr>
        <w:jc w:val="left"/>
        <w:rPr>
          <w:rFonts w:ascii="Arial Narrow" w:eastAsiaTheme="majorEastAsia" w:hAnsi="Arial Narrow" w:cs="Times New Roman"/>
          <w:b/>
          <w:sz w:val="20"/>
          <w:lang w:val="en-AU"/>
        </w:rPr>
      </w:pPr>
      <w:r>
        <w:rPr>
          <w:lang w:val="en-AU"/>
        </w:rPr>
        <w:br w:type="page"/>
      </w:r>
    </w:p>
    <w:p w:rsidR="00FF4C16" w:rsidRPr="00C927B9" w:rsidRDefault="0060344B" w:rsidP="0060344B">
      <w:pPr>
        <w:pStyle w:val="Caption"/>
        <w:rPr>
          <w:lang w:val="en-AU"/>
        </w:rPr>
      </w:pPr>
      <w:r w:rsidRPr="00C927B9">
        <w:rPr>
          <w:lang w:val="en-AU"/>
        </w:rPr>
        <w:lastRenderedPageBreak/>
        <w:t xml:space="preserve">Table </w:t>
      </w:r>
      <w:r w:rsidR="00DB3600" w:rsidRPr="00C927B9">
        <w:rPr>
          <w:lang w:val="en-AU"/>
        </w:rPr>
        <w:t>5</w:t>
      </w:r>
      <w:r w:rsidRPr="00C927B9">
        <w:rPr>
          <w:lang w:val="en-AU"/>
        </w:rPr>
        <w:t xml:space="preserve">: </w:t>
      </w:r>
      <w:r w:rsidR="00FF4C16" w:rsidRPr="00C927B9">
        <w:rPr>
          <w:lang w:val="en-AU"/>
        </w:rPr>
        <w:t xml:space="preserve">Event free survival from M15-656 (FAS Group 2; 4 Jan 2020 cut-off) </w:t>
      </w:r>
    </w:p>
    <w:tbl>
      <w:tblPr>
        <w:tblStyle w:val="newstyle1"/>
        <w:tblW w:w="5000" w:type="pct"/>
        <w:tblLook w:val="04A0" w:firstRow="1" w:lastRow="0" w:firstColumn="1" w:lastColumn="0" w:noHBand="0" w:noVBand="1"/>
        <w:tblCaption w:val="Table 5: Event free survival from M15-656 (FAS Group 2; 4 Jan 2020 cut-off) "/>
      </w:tblPr>
      <w:tblGrid>
        <w:gridCol w:w="2487"/>
        <w:gridCol w:w="1632"/>
        <w:gridCol w:w="1634"/>
        <w:gridCol w:w="1634"/>
        <w:gridCol w:w="1630"/>
      </w:tblGrid>
      <w:tr w:rsidR="00FF4C16" w:rsidRPr="00C927B9" w:rsidTr="00FD1B45">
        <w:trPr>
          <w:tblHeader/>
        </w:trPr>
        <w:tc>
          <w:tcPr>
            <w:tcW w:w="1379" w:type="pct"/>
            <w:vMerge w:val="restart"/>
            <w:shd w:val="clear" w:color="auto" w:fill="auto"/>
          </w:tcPr>
          <w:p w:rsidR="00FF4C16" w:rsidRPr="00C927B9" w:rsidRDefault="00FF4C16" w:rsidP="001841A1">
            <w:pPr>
              <w:pStyle w:val="TableText"/>
              <w:ind w:right="-56"/>
              <w:rPr>
                <w:sz w:val="20"/>
                <w:szCs w:val="20"/>
              </w:rPr>
            </w:pPr>
          </w:p>
        </w:tc>
        <w:tc>
          <w:tcPr>
            <w:tcW w:w="1811" w:type="pct"/>
            <w:gridSpan w:val="2"/>
            <w:tcBorders>
              <w:bottom w:val="single" w:sz="4" w:space="0" w:color="auto"/>
            </w:tcBorders>
            <w:shd w:val="clear" w:color="auto" w:fill="auto"/>
          </w:tcPr>
          <w:p w:rsidR="00FF4C16" w:rsidRPr="00C927B9" w:rsidRDefault="00FF4C16" w:rsidP="001841A1">
            <w:pPr>
              <w:pStyle w:val="TableText"/>
              <w:jc w:val="center"/>
              <w:rPr>
                <w:b/>
                <w:bCs w:val="0"/>
                <w:sz w:val="20"/>
                <w:szCs w:val="20"/>
              </w:rPr>
            </w:pPr>
            <w:r w:rsidRPr="00C927B9">
              <w:rPr>
                <w:b/>
                <w:sz w:val="20"/>
                <w:szCs w:val="20"/>
              </w:rPr>
              <w:t>Investigator assessed</w:t>
            </w:r>
          </w:p>
        </w:tc>
        <w:tc>
          <w:tcPr>
            <w:tcW w:w="1810" w:type="pct"/>
            <w:gridSpan w:val="2"/>
            <w:tcBorders>
              <w:bottom w:val="single" w:sz="4" w:space="0" w:color="auto"/>
            </w:tcBorders>
            <w:shd w:val="clear" w:color="auto" w:fill="auto"/>
          </w:tcPr>
          <w:p w:rsidR="00FF4C16" w:rsidRPr="00C927B9" w:rsidRDefault="00FF4C16" w:rsidP="001841A1">
            <w:pPr>
              <w:pStyle w:val="TableText"/>
              <w:jc w:val="center"/>
              <w:rPr>
                <w:b/>
                <w:bCs w:val="0"/>
                <w:sz w:val="20"/>
                <w:szCs w:val="20"/>
              </w:rPr>
            </w:pPr>
            <w:r w:rsidRPr="00C927B9">
              <w:rPr>
                <w:b/>
                <w:bCs w:val="0"/>
                <w:sz w:val="20"/>
                <w:szCs w:val="20"/>
              </w:rPr>
              <w:t>IRC assessed</w:t>
            </w:r>
          </w:p>
        </w:tc>
      </w:tr>
      <w:tr w:rsidR="00FF4C16" w:rsidRPr="00C927B9" w:rsidTr="00FD1B45">
        <w:trPr>
          <w:tblHeader/>
        </w:trPr>
        <w:tc>
          <w:tcPr>
            <w:tcW w:w="1379" w:type="pct"/>
            <w:vMerge/>
            <w:tcBorders>
              <w:bottom w:val="single" w:sz="4" w:space="0" w:color="auto"/>
            </w:tcBorders>
            <w:shd w:val="clear" w:color="auto" w:fill="auto"/>
          </w:tcPr>
          <w:p w:rsidR="00FF4C16" w:rsidRPr="00C927B9" w:rsidRDefault="00FF4C16" w:rsidP="001841A1">
            <w:pPr>
              <w:pStyle w:val="TableText"/>
              <w:ind w:right="-56"/>
              <w:rPr>
                <w:sz w:val="20"/>
                <w:szCs w:val="20"/>
              </w:rPr>
            </w:pPr>
          </w:p>
        </w:tc>
        <w:tc>
          <w:tcPr>
            <w:tcW w:w="905" w:type="pct"/>
            <w:tcBorders>
              <w:bottom w:val="single" w:sz="4" w:space="0" w:color="auto"/>
            </w:tcBorders>
            <w:shd w:val="clear" w:color="auto" w:fill="auto"/>
          </w:tcPr>
          <w:p w:rsidR="00FF4C16" w:rsidRPr="00C927B9" w:rsidRDefault="00FF4C16" w:rsidP="001841A1">
            <w:pPr>
              <w:pStyle w:val="TableText"/>
              <w:jc w:val="center"/>
              <w:rPr>
                <w:b/>
                <w:bCs w:val="0"/>
                <w:sz w:val="20"/>
                <w:szCs w:val="20"/>
              </w:rPr>
            </w:pPr>
            <w:r w:rsidRPr="00C927B9">
              <w:rPr>
                <w:b/>
                <w:bCs w:val="0"/>
                <w:sz w:val="20"/>
                <w:szCs w:val="20"/>
              </w:rPr>
              <w:t>VTX + AZA</w:t>
            </w:r>
            <w:r w:rsidRPr="00C927B9">
              <w:rPr>
                <w:b/>
                <w:bCs w:val="0"/>
                <w:sz w:val="20"/>
                <w:szCs w:val="20"/>
              </w:rPr>
              <w:br/>
              <w:t>(N=286)</w:t>
            </w:r>
          </w:p>
        </w:tc>
        <w:tc>
          <w:tcPr>
            <w:tcW w:w="906" w:type="pct"/>
            <w:tcBorders>
              <w:bottom w:val="single" w:sz="4" w:space="0" w:color="auto"/>
            </w:tcBorders>
            <w:shd w:val="clear" w:color="auto" w:fill="auto"/>
          </w:tcPr>
          <w:p w:rsidR="00FF4C16" w:rsidRPr="00C927B9" w:rsidRDefault="00FF4C16" w:rsidP="001841A1">
            <w:pPr>
              <w:pStyle w:val="TableText"/>
              <w:jc w:val="center"/>
              <w:rPr>
                <w:b/>
                <w:bCs w:val="0"/>
                <w:sz w:val="20"/>
                <w:szCs w:val="20"/>
              </w:rPr>
            </w:pPr>
            <w:proofErr w:type="spellStart"/>
            <w:r w:rsidRPr="00C927B9">
              <w:rPr>
                <w:b/>
                <w:bCs w:val="0"/>
                <w:sz w:val="20"/>
                <w:szCs w:val="20"/>
              </w:rPr>
              <w:t>Pbo</w:t>
            </w:r>
            <w:proofErr w:type="spellEnd"/>
            <w:r w:rsidRPr="00C927B9">
              <w:rPr>
                <w:b/>
                <w:bCs w:val="0"/>
                <w:sz w:val="20"/>
                <w:szCs w:val="20"/>
              </w:rPr>
              <w:t xml:space="preserve"> + AZA</w:t>
            </w:r>
            <w:r w:rsidRPr="00C927B9">
              <w:rPr>
                <w:b/>
                <w:bCs w:val="0"/>
                <w:sz w:val="20"/>
                <w:szCs w:val="20"/>
              </w:rPr>
              <w:br/>
              <w:t>(N=145)</w:t>
            </w:r>
          </w:p>
        </w:tc>
        <w:tc>
          <w:tcPr>
            <w:tcW w:w="906" w:type="pct"/>
            <w:tcBorders>
              <w:bottom w:val="single" w:sz="4" w:space="0" w:color="auto"/>
            </w:tcBorders>
            <w:shd w:val="clear" w:color="auto" w:fill="auto"/>
          </w:tcPr>
          <w:p w:rsidR="00FF4C16" w:rsidRPr="00C927B9" w:rsidRDefault="00FF4C16" w:rsidP="001841A1">
            <w:pPr>
              <w:pStyle w:val="TableText"/>
              <w:jc w:val="center"/>
              <w:rPr>
                <w:b/>
                <w:bCs w:val="0"/>
                <w:sz w:val="20"/>
                <w:szCs w:val="20"/>
              </w:rPr>
            </w:pPr>
            <w:r w:rsidRPr="00C927B9">
              <w:rPr>
                <w:b/>
                <w:bCs w:val="0"/>
                <w:sz w:val="20"/>
                <w:szCs w:val="20"/>
              </w:rPr>
              <w:t>VTX + AZA</w:t>
            </w:r>
            <w:r w:rsidRPr="00C927B9">
              <w:rPr>
                <w:b/>
                <w:bCs w:val="0"/>
                <w:sz w:val="20"/>
                <w:szCs w:val="20"/>
              </w:rPr>
              <w:br/>
              <w:t>(N=286)</w:t>
            </w:r>
          </w:p>
        </w:tc>
        <w:tc>
          <w:tcPr>
            <w:tcW w:w="904" w:type="pct"/>
            <w:tcBorders>
              <w:bottom w:val="single" w:sz="4" w:space="0" w:color="auto"/>
            </w:tcBorders>
            <w:shd w:val="clear" w:color="auto" w:fill="auto"/>
          </w:tcPr>
          <w:p w:rsidR="00FF4C16" w:rsidRPr="00C927B9" w:rsidRDefault="00FF4C16" w:rsidP="001841A1">
            <w:pPr>
              <w:pStyle w:val="TableText"/>
              <w:jc w:val="center"/>
              <w:rPr>
                <w:b/>
                <w:bCs w:val="0"/>
                <w:sz w:val="20"/>
                <w:szCs w:val="20"/>
              </w:rPr>
            </w:pPr>
            <w:proofErr w:type="spellStart"/>
            <w:r w:rsidRPr="00C927B9">
              <w:rPr>
                <w:b/>
                <w:bCs w:val="0"/>
                <w:sz w:val="20"/>
                <w:szCs w:val="20"/>
              </w:rPr>
              <w:t>Pbo</w:t>
            </w:r>
            <w:proofErr w:type="spellEnd"/>
            <w:r w:rsidRPr="00C927B9">
              <w:rPr>
                <w:b/>
                <w:bCs w:val="0"/>
                <w:sz w:val="20"/>
                <w:szCs w:val="20"/>
              </w:rPr>
              <w:t xml:space="preserve"> + AZA</w:t>
            </w:r>
            <w:r w:rsidRPr="00C927B9">
              <w:rPr>
                <w:b/>
                <w:bCs w:val="0"/>
                <w:sz w:val="20"/>
                <w:szCs w:val="20"/>
              </w:rPr>
              <w:br/>
              <w:t>(N=145)</w:t>
            </w:r>
          </w:p>
        </w:tc>
      </w:tr>
      <w:tr w:rsidR="00FF4C16" w:rsidRPr="00C927B9" w:rsidTr="00FD1B45">
        <w:tc>
          <w:tcPr>
            <w:tcW w:w="5000" w:type="pct"/>
            <w:gridSpan w:val="5"/>
            <w:tcBorders>
              <w:bottom w:val="single" w:sz="4" w:space="0" w:color="auto"/>
            </w:tcBorders>
            <w:shd w:val="clear" w:color="auto" w:fill="auto"/>
          </w:tcPr>
          <w:p w:rsidR="00FF4C16" w:rsidRPr="00C927B9" w:rsidRDefault="00FF4C16" w:rsidP="001841A1">
            <w:pPr>
              <w:pStyle w:val="TableText"/>
              <w:ind w:right="-56"/>
              <w:rPr>
                <w:b/>
                <w:bCs w:val="0"/>
                <w:sz w:val="20"/>
                <w:szCs w:val="20"/>
              </w:rPr>
            </w:pPr>
            <w:r w:rsidRPr="00C927B9">
              <w:rPr>
                <w:b/>
                <w:sz w:val="20"/>
                <w:szCs w:val="20"/>
              </w:rPr>
              <w:t>Event free survival</w:t>
            </w:r>
          </w:p>
        </w:tc>
      </w:tr>
      <w:tr w:rsidR="00FF4C16" w:rsidRPr="00C927B9" w:rsidTr="00FD1B45">
        <w:tc>
          <w:tcPr>
            <w:tcW w:w="1379" w:type="pct"/>
            <w:tcBorders>
              <w:bottom w:val="dotted" w:sz="4" w:space="0" w:color="auto"/>
            </w:tcBorders>
            <w:shd w:val="clear" w:color="auto" w:fill="auto"/>
          </w:tcPr>
          <w:p w:rsidR="00FF4C16" w:rsidRPr="00C927B9" w:rsidRDefault="00FF4C16" w:rsidP="001841A1">
            <w:pPr>
              <w:pStyle w:val="TableText"/>
              <w:ind w:right="-56"/>
              <w:rPr>
                <w:bCs w:val="0"/>
                <w:sz w:val="20"/>
                <w:szCs w:val="20"/>
              </w:rPr>
            </w:pPr>
            <w:r w:rsidRPr="00C927B9">
              <w:rPr>
                <w:bCs w:val="0"/>
                <w:sz w:val="20"/>
                <w:szCs w:val="20"/>
              </w:rPr>
              <w:t>Patients with event, n (%)</w:t>
            </w:r>
          </w:p>
        </w:tc>
        <w:tc>
          <w:tcPr>
            <w:tcW w:w="905" w:type="pct"/>
            <w:tcBorders>
              <w:bottom w:val="dotted" w:sz="4" w:space="0" w:color="auto"/>
            </w:tcBorders>
            <w:shd w:val="clear" w:color="auto" w:fill="auto"/>
            <w:vAlign w:val="center"/>
          </w:tcPr>
          <w:p w:rsidR="00FF4C16" w:rsidRPr="00C927B9" w:rsidRDefault="00FF4C16" w:rsidP="001841A1">
            <w:pPr>
              <w:pStyle w:val="TableText"/>
              <w:jc w:val="center"/>
              <w:rPr>
                <w:sz w:val="20"/>
                <w:szCs w:val="20"/>
              </w:rPr>
            </w:pPr>
            <w:r w:rsidRPr="00C927B9">
              <w:rPr>
                <w:sz w:val="20"/>
                <w:szCs w:val="20"/>
              </w:rPr>
              <w:t>191 (66.8%)</w:t>
            </w:r>
          </w:p>
        </w:tc>
        <w:tc>
          <w:tcPr>
            <w:tcW w:w="906" w:type="pct"/>
            <w:tcBorders>
              <w:bottom w:val="dotted" w:sz="4" w:space="0" w:color="auto"/>
            </w:tcBorders>
            <w:shd w:val="clear" w:color="auto" w:fill="auto"/>
            <w:vAlign w:val="center"/>
          </w:tcPr>
          <w:p w:rsidR="00FF4C16" w:rsidRPr="00C927B9" w:rsidRDefault="00FF4C16" w:rsidP="001841A1">
            <w:pPr>
              <w:pStyle w:val="TableText"/>
              <w:jc w:val="center"/>
              <w:rPr>
                <w:sz w:val="20"/>
                <w:szCs w:val="20"/>
              </w:rPr>
            </w:pPr>
            <w:r w:rsidRPr="00C927B9">
              <w:rPr>
                <w:sz w:val="20"/>
                <w:szCs w:val="20"/>
              </w:rPr>
              <w:t>122 (84.1%)</w:t>
            </w:r>
          </w:p>
        </w:tc>
        <w:tc>
          <w:tcPr>
            <w:tcW w:w="906" w:type="pct"/>
            <w:tcBorders>
              <w:bottom w:val="dotted" w:sz="4" w:space="0" w:color="auto"/>
            </w:tcBorders>
            <w:shd w:val="clear" w:color="auto" w:fill="auto"/>
            <w:vAlign w:val="center"/>
          </w:tcPr>
          <w:p w:rsidR="00FF4C16" w:rsidRPr="00C927B9" w:rsidRDefault="00FF4C16" w:rsidP="001841A1">
            <w:pPr>
              <w:pStyle w:val="TableText"/>
              <w:jc w:val="center"/>
              <w:rPr>
                <w:sz w:val="20"/>
                <w:szCs w:val="20"/>
              </w:rPr>
            </w:pPr>
            <w:r w:rsidRPr="00C927B9">
              <w:rPr>
                <w:sz w:val="20"/>
                <w:szCs w:val="20"/>
              </w:rPr>
              <w:t>190 (66.4%)</w:t>
            </w:r>
          </w:p>
        </w:tc>
        <w:tc>
          <w:tcPr>
            <w:tcW w:w="904" w:type="pct"/>
            <w:tcBorders>
              <w:bottom w:val="dotted" w:sz="4" w:space="0" w:color="auto"/>
            </w:tcBorders>
            <w:shd w:val="clear" w:color="auto" w:fill="auto"/>
            <w:vAlign w:val="center"/>
          </w:tcPr>
          <w:p w:rsidR="00FF4C16" w:rsidRPr="00C927B9" w:rsidRDefault="00FF4C16" w:rsidP="001841A1">
            <w:pPr>
              <w:pStyle w:val="TableText"/>
              <w:jc w:val="center"/>
              <w:rPr>
                <w:sz w:val="20"/>
                <w:szCs w:val="20"/>
              </w:rPr>
            </w:pPr>
            <w:r w:rsidRPr="00C927B9">
              <w:rPr>
                <w:sz w:val="20"/>
                <w:szCs w:val="20"/>
              </w:rPr>
              <w:t>120 (82.8%)</w:t>
            </w:r>
          </w:p>
        </w:tc>
      </w:tr>
      <w:tr w:rsidR="00FF4C16" w:rsidRPr="00C927B9" w:rsidTr="00FD1B45">
        <w:tc>
          <w:tcPr>
            <w:tcW w:w="1379" w:type="pct"/>
            <w:tcBorders>
              <w:bottom w:val="single" w:sz="4" w:space="0" w:color="auto"/>
            </w:tcBorders>
            <w:shd w:val="clear" w:color="auto" w:fill="auto"/>
          </w:tcPr>
          <w:p w:rsidR="00FF4C16" w:rsidRPr="00C927B9" w:rsidRDefault="00FF4C16" w:rsidP="001841A1">
            <w:pPr>
              <w:pStyle w:val="TableText"/>
              <w:ind w:right="-56"/>
              <w:rPr>
                <w:bCs w:val="0"/>
                <w:sz w:val="20"/>
                <w:szCs w:val="20"/>
              </w:rPr>
            </w:pPr>
            <w:r w:rsidRPr="00C927B9">
              <w:rPr>
                <w:bCs w:val="0"/>
                <w:sz w:val="20"/>
                <w:szCs w:val="20"/>
              </w:rPr>
              <w:t xml:space="preserve">    Confirmed MR/PD, n/N (%)</w:t>
            </w:r>
          </w:p>
        </w:tc>
        <w:tc>
          <w:tcPr>
            <w:tcW w:w="905" w:type="pct"/>
            <w:tcBorders>
              <w:bottom w:val="single" w:sz="4" w:space="0" w:color="auto"/>
            </w:tcBorders>
            <w:shd w:val="clear" w:color="auto" w:fill="auto"/>
            <w:vAlign w:val="center"/>
          </w:tcPr>
          <w:p w:rsidR="00FF4C16" w:rsidRPr="00C927B9" w:rsidRDefault="00FF4C16" w:rsidP="001841A1">
            <w:pPr>
              <w:pStyle w:val="TableText"/>
              <w:jc w:val="center"/>
              <w:rPr>
                <w:sz w:val="20"/>
                <w:szCs w:val="20"/>
              </w:rPr>
            </w:pPr>
            <w:r w:rsidRPr="00C927B9">
              <w:rPr>
                <w:sz w:val="20"/>
                <w:szCs w:val="20"/>
              </w:rPr>
              <w:t>83/191 (43.5%)</w:t>
            </w:r>
          </w:p>
        </w:tc>
        <w:tc>
          <w:tcPr>
            <w:tcW w:w="906" w:type="pct"/>
            <w:tcBorders>
              <w:bottom w:val="single" w:sz="4" w:space="0" w:color="auto"/>
            </w:tcBorders>
            <w:shd w:val="clear" w:color="auto" w:fill="auto"/>
            <w:vAlign w:val="center"/>
          </w:tcPr>
          <w:p w:rsidR="00FF4C16" w:rsidRPr="00C927B9" w:rsidRDefault="00FF4C16" w:rsidP="001841A1">
            <w:pPr>
              <w:pStyle w:val="TableText"/>
              <w:jc w:val="center"/>
              <w:rPr>
                <w:sz w:val="20"/>
                <w:szCs w:val="20"/>
              </w:rPr>
            </w:pPr>
            <w:r w:rsidRPr="00C927B9">
              <w:rPr>
                <w:sz w:val="20"/>
                <w:szCs w:val="20"/>
              </w:rPr>
              <w:t>35/122 (28.7%)</w:t>
            </w:r>
          </w:p>
        </w:tc>
        <w:tc>
          <w:tcPr>
            <w:tcW w:w="906" w:type="pct"/>
            <w:tcBorders>
              <w:bottom w:val="single" w:sz="4" w:space="0" w:color="auto"/>
            </w:tcBorders>
            <w:shd w:val="clear" w:color="auto" w:fill="auto"/>
            <w:vAlign w:val="center"/>
          </w:tcPr>
          <w:p w:rsidR="00FF4C16" w:rsidRPr="00C927B9" w:rsidRDefault="00FF4C16" w:rsidP="001841A1">
            <w:pPr>
              <w:pStyle w:val="TableText"/>
              <w:jc w:val="center"/>
              <w:rPr>
                <w:sz w:val="20"/>
                <w:szCs w:val="20"/>
              </w:rPr>
            </w:pPr>
            <w:r w:rsidRPr="00C927B9">
              <w:rPr>
                <w:sz w:val="20"/>
                <w:szCs w:val="20"/>
              </w:rPr>
              <w:t>79/190 (41.6%)</w:t>
            </w:r>
          </w:p>
        </w:tc>
        <w:tc>
          <w:tcPr>
            <w:tcW w:w="904" w:type="pct"/>
            <w:tcBorders>
              <w:bottom w:val="single" w:sz="4" w:space="0" w:color="auto"/>
            </w:tcBorders>
            <w:shd w:val="clear" w:color="auto" w:fill="auto"/>
            <w:vAlign w:val="center"/>
          </w:tcPr>
          <w:p w:rsidR="00FF4C16" w:rsidRPr="00C927B9" w:rsidRDefault="00FF4C16" w:rsidP="001841A1">
            <w:pPr>
              <w:pStyle w:val="TableText"/>
              <w:jc w:val="center"/>
              <w:rPr>
                <w:sz w:val="20"/>
                <w:szCs w:val="20"/>
              </w:rPr>
            </w:pPr>
            <w:r w:rsidRPr="00C927B9">
              <w:rPr>
                <w:sz w:val="20"/>
                <w:szCs w:val="20"/>
              </w:rPr>
              <w:t>30/120 (25.0%)</w:t>
            </w:r>
          </w:p>
        </w:tc>
      </w:tr>
      <w:tr w:rsidR="00FF4C16" w:rsidRPr="00C927B9" w:rsidTr="00FD1B45">
        <w:tc>
          <w:tcPr>
            <w:tcW w:w="1379" w:type="pct"/>
            <w:tcBorders>
              <w:bottom w:val="single" w:sz="4" w:space="0" w:color="auto"/>
            </w:tcBorders>
            <w:shd w:val="clear" w:color="auto" w:fill="auto"/>
          </w:tcPr>
          <w:p w:rsidR="00FF4C16" w:rsidRPr="00C927B9" w:rsidRDefault="00FF4C16" w:rsidP="00574791">
            <w:pPr>
              <w:pStyle w:val="TableText"/>
              <w:keepNext w:val="0"/>
              <w:ind w:right="-56"/>
              <w:rPr>
                <w:bCs w:val="0"/>
                <w:sz w:val="20"/>
                <w:szCs w:val="20"/>
              </w:rPr>
            </w:pPr>
            <w:r w:rsidRPr="00C927B9">
              <w:rPr>
                <w:bCs w:val="0"/>
                <w:sz w:val="20"/>
                <w:szCs w:val="20"/>
              </w:rPr>
              <w:t xml:space="preserve">    Treatment failure, n/N (%)</w:t>
            </w:r>
          </w:p>
        </w:tc>
        <w:tc>
          <w:tcPr>
            <w:tcW w:w="905" w:type="pct"/>
            <w:tcBorders>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4/191 (2.1%)</w:t>
            </w:r>
          </w:p>
        </w:tc>
        <w:tc>
          <w:tcPr>
            <w:tcW w:w="906" w:type="pct"/>
            <w:tcBorders>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12/122 (9.8%)</w:t>
            </w:r>
          </w:p>
        </w:tc>
        <w:tc>
          <w:tcPr>
            <w:tcW w:w="906" w:type="pct"/>
            <w:tcBorders>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3/190 (1.6%)</w:t>
            </w:r>
          </w:p>
        </w:tc>
        <w:tc>
          <w:tcPr>
            <w:tcW w:w="904" w:type="pct"/>
            <w:tcBorders>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11/120 (9.2%)</w:t>
            </w:r>
          </w:p>
        </w:tc>
      </w:tr>
      <w:tr w:rsidR="00FF4C16" w:rsidRPr="00C927B9" w:rsidTr="00FD1B45">
        <w:tc>
          <w:tcPr>
            <w:tcW w:w="1379" w:type="pct"/>
            <w:tcBorders>
              <w:bottom w:val="single" w:sz="4" w:space="0" w:color="auto"/>
            </w:tcBorders>
            <w:shd w:val="clear" w:color="auto" w:fill="auto"/>
          </w:tcPr>
          <w:p w:rsidR="00FF4C16" w:rsidRPr="00C927B9" w:rsidRDefault="00FF4C16" w:rsidP="00B012DB">
            <w:pPr>
              <w:pStyle w:val="TableText"/>
              <w:keepNext w:val="0"/>
              <w:ind w:right="-56"/>
              <w:rPr>
                <w:bCs w:val="0"/>
                <w:sz w:val="20"/>
                <w:szCs w:val="20"/>
              </w:rPr>
            </w:pPr>
            <w:r w:rsidRPr="00C927B9">
              <w:rPr>
                <w:bCs w:val="0"/>
                <w:sz w:val="20"/>
                <w:szCs w:val="20"/>
              </w:rPr>
              <w:t xml:space="preserve">    Death (any cause), n/N (%)</w:t>
            </w:r>
          </w:p>
        </w:tc>
        <w:tc>
          <w:tcPr>
            <w:tcW w:w="905" w:type="pct"/>
            <w:tcBorders>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104/191 (54.5%)</w:t>
            </w:r>
          </w:p>
        </w:tc>
        <w:tc>
          <w:tcPr>
            <w:tcW w:w="906" w:type="pct"/>
            <w:tcBorders>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75/122 (61.5%)</w:t>
            </w:r>
          </w:p>
        </w:tc>
        <w:tc>
          <w:tcPr>
            <w:tcW w:w="906" w:type="pct"/>
            <w:tcBorders>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108/190 (56.8%)</w:t>
            </w:r>
          </w:p>
        </w:tc>
        <w:tc>
          <w:tcPr>
            <w:tcW w:w="904" w:type="pct"/>
            <w:tcBorders>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79/120 (65.8%)</w:t>
            </w:r>
          </w:p>
        </w:tc>
      </w:tr>
      <w:tr w:rsidR="00FF4C16" w:rsidRPr="00C927B9" w:rsidTr="00FD1B45">
        <w:tc>
          <w:tcPr>
            <w:tcW w:w="1379" w:type="pct"/>
            <w:tcBorders>
              <w:bottom w:val="single" w:sz="4" w:space="0" w:color="auto"/>
            </w:tcBorders>
            <w:shd w:val="clear" w:color="auto" w:fill="auto"/>
          </w:tcPr>
          <w:p w:rsidR="00FF4C16" w:rsidRPr="00C927B9" w:rsidRDefault="00FF4C16" w:rsidP="00574791">
            <w:pPr>
              <w:pStyle w:val="TableText"/>
              <w:keepNext w:val="0"/>
              <w:ind w:right="-56"/>
              <w:rPr>
                <w:bCs w:val="0"/>
                <w:sz w:val="20"/>
                <w:szCs w:val="20"/>
              </w:rPr>
            </w:pPr>
            <w:r w:rsidRPr="00C927B9">
              <w:rPr>
                <w:bCs w:val="0"/>
                <w:sz w:val="20"/>
                <w:szCs w:val="20"/>
              </w:rPr>
              <w:t xml:space="preserve">Median time to event, </w:t>
            </w:r>
          </w:p>
          <w:p w:rsidR="00FF4C16" w:rsidRPr="00C927B9" w:rsidRDefault="00FF4C16" w:rsidP="00574791">
            <w:pPr>
              <w:pStyle w:val="TableText"/>
              <w:keepNext w:val="0"/>
              <w:ind w:right="-56"/>
              <w:rPr>
                <w:bCs w:val="0"/>
                <w:sz w:val="20"/>
                <w:szCs w:val="20"/>
              </w:rPr>
            </w:pPr>
            <w:r w:rsidRPr="00C927B9">
              <w:rPr>
                <w:bCs w:val="0"/>
                <w:sz w:val="20"/>
                <w:szCs w:val="20"/>
              </w:rPr>
              <w:t>months (95% CI)</w:t>
            </w:r>
          </w:p>
        </w:tc>
        <w:tc>
          <w:tcPr>
            <w:tcW w:w="905" w:type="pct"/>
            <w:tcBorders>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9.8 (8.4, 11.8)</w:t>
            </w:r>
          </w:p>
        </w:tc>
        <w:tc>
          <w:tcPr>
            <w:tcW w:w="906" w:type="pct"/>
            <w:tcBorders>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7.0 (5.6, 9.5)</w:t>
            </w:r>
          </w:p>
        </w:tc>
        <w:tc>
          <w:tcPr>
            <w:tcW w:w="906" w:type="pct"/>
            <w:tcBorders>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9.8 (8.5, 12.0)</w:t>
            </w:r>
          </w:p>
        </w:tc>
        <w:tc>
          <w:tcPr>
            <w:tcW w:w="904" w:type="pct"/>
            <w:tcBorders>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7.9 (5.9, 9.5)</w:t>
            </w:r>
          </w:p>
        </w:tc>
      </w:tr>
      <w:tr w:rsidR="00FF4C16" w:rsidRPr="00C927B9" w:rsidTr="00FD1B45">
        <w:tc>
          <w:tcPr>
            <w:tcW w:w="1379" w:type="pct"/>
            <w:tcBorders>
              <w:bottom w:val="double" w:sz="4" w:space="0" w:color="auto"/>
            </w:tcBorders>
            <w:shd w:val="clear" w:color="auto" w:fill="auto"/>
          </w:tcPr>
          <w:p w:rsidR="00FF4C16" w:rsidRPr="00C927B9" w:rsidRDefault="00FF4C16" w:rsidP="00574791">
            <w:pPr>
              <w:pStyle w:val="TableText"/>
              <w:keepNext w:val="0"/>
              <w:ind w:right="-56"/>
              <w:rPr>
                <w:bCs w:val="0"/>
                <w:sz w:val="20"/>
                <w:szCs w:val="20"/>
              </w:rPr>
            </w:pPr>
            <w:r w:rsidRPr="00C927B9">
              <w:rPr>
                <w:bCs w:val="0"/>
                <w:sz w:val="20"/>
                <w:szCs w:val="20"/>
              </w:rPr>
              <w:t>Stratified HR (95% CI)</w:t>
            </w:r>
            <w:r w:rsidRPr="00C927B9">
              <w:rPr>
                <w:bCs w:val="0"/>
                <w:sz w:val="20"/>
                <w:szCs w:val="20"/>
                <w:vertAlign w:val="superscript"/>
              </w:rPr>
              <w:t>a</w:t>
            </w:r>
          </w:p>
        </w:tc>
        <w:tc>
          <w:tcPr>
            <w:tcW w:w="1811" w:type="pct"/>
            <w:gridSpan w:val="2"/>
            <w:tcBorders>
              <w:bottom w:val="double" w:sz="4" w:space="0" w:color="auto"/>
            </w:tcBorders>
            <w:shd w:val="clear" w:color="auto" w:fill="auto"/>
            <w:vAlign w:val="center"/>
          </w:tcPr>
          <w:p w:rsidR="00FF4C16" w:rsidRPr="00C927B9" w:rsidRDefault="00FF4C16" w:rsidP="00574791">
            <w:pPr>
              <w:pStyle w:val="TableText"/>
              <w:keepNext w:val="0"/>
              <w:jc w:val="center"/>
              <w:rPr>
                <w:b/>
                <w:sz w:val="20"/>
                <w:szCs w:val="20"/>
              </w:rPr>
            </w:pPr>
            <w:r w:rsidRPr="00C927B9">
              <w:rPr>
                <w:b/>
                <w:sz w:val="20"/>
                <w:szCs w:val="20"/>
              </w:rPr>
              <w:t>0.632 (0.502, 0.796)</w:t>
            </w:r>
          </w:p>
        </w:tc>
        <w:tc>
          <w:tcPr>
            <w:tcW w:w="1810" w:type="pct"/>
            <w:gridSpan w:val="2"/>
            <w:tcBorders>
              <w:bottom w:val="double" w:sz="4" w:space="0" w:color="auto"/>
            </w:tcBorders>
            <w:shd w:val="clear" w:color="auto" w:fill="auto"/>
            <w:vAlign w:val="center"/>
          </w:tcPr>
          <w:p w:rsidR="00FF4C16" w:rsidRPr="00C927B9" w:rsidRDefault="00FF4C16" w:rsidP="00574791">
            <w:pPr>
              <w:pStyle w:val="TableText"/>
              <w:keepNext w:val="0"/>
              <w:jc w:val="center"/>
              <w:rPr>
                <w:b/>
                <w:sz w:val="20"/>
                <w:szCs w:val="20"/>
              </w:rPr>
            </w:pPr>
            <w:r w:rsidRPr="00C927B9">
              <w:rPr>
                <w:b/>
                <w:sz w:val="20"/>
                <w:szCs w:val="20"/>
              </w:rPr>
              <w:t>0.643 (0.510, 0.811)</w:t>
            </w:r>
          </w:p>
        </w:tc>
      </w:tr>
      <w:tr w:rsidR="00FF4C16" w:rsidRPr="00C927B9" w:rsidTr="00FD1B45">
        <w:tc>
          <w:tcPr>
            <w:tcW w:w="1379" w:type="pct"/>
            <w:tcBorders>
              <w:top w:val="double" w:sz="4" w:space="0" w:color="auto"/>
              <w:bottom w:val="single" w:sz="4" w:space="0" w:color="auto"/>
            </w:tcBorders>
            <w:shd w:val="clear" w:color="auto" w:fill="auto"/>
          </w:tcPr>
          <w:p w:rsidR="00FF4C16" w:rsidRPr="00C927B9" w:rsidRDefault="00FF4C16" w:rsidP="00574791">
            <w:pPr>
              <w:pStyle w:val="TableText"/>
              <w:keepNext w:val="0"/>
              <w:ind w:right="-56"/>
              <w:rPr>
                <w:bCs w:val="0"/>
                <w:sz w:val="20"/>
                <w:szCs w:val="20"/>
              </w:rPr>
            </w:pPr>
            <w:r w:rsidRPr="00C927B9">
              <w:rPr>
                <w:bCs w:val="0"/>
                <w:sz w:val="20"/>
                <w:szCs w:val="20"/>
              </w:rPr>
              <w:t>EFS at 6 months, % (95% CI)</w:t>
            </w:r>
          </w:p>
        </w:tc>
        <w:tc>
          <w:tcPr>
            <w:tcW w:w="905" w:type="pct"/>
            <w:tcBorders>
              <w:top w:val="double" w:sz="4" w:space="0" w:color="auto"/>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67.7 (61.8, 72.8)</w:t>
            </w:r>
          </w:p>
        </w:tc>
        <w:tc>
          <w:tcPr>
            <w:tcW w:w="906" w:type="pct"/>
            <w:tcBorders>
              <w:top w:val="double" w:sz="4" w:space="0" w:color="auto"/>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56.2 (47.6, 63.9)</w:t>
            </w:r>
          </w:p>
        </w:tc>
        <w:tc>
          <w:tcPr>
            <w:tcW w:w="906" w:type="pct"/>
            <w:tcBorders>
              <w:top w:val="double" w:sz="4" w:space="0" w:color="auto"/>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68.8 (63.0, 73.9)</w:t>
            </w:r>
          </w:p>
        </w:tc>
        <w:tc>
          <w:tcPr>
            <w:tcW w:w="904" w:type="pct"/>
            <w:tcBorders>
              <w:top w:val="double" w:sz="4" w:space="0" w:color="auto"/>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58.1 (49.5, 65.8)</w:t>
            </w:r>
          </w:p>
        </w:tc>
      </w:tr>
      <w:tr w:rsidR="00FF4C16" w:rsidRPr="00C927B9" w:rsidTr="00FD1B45">
        <w:tc>
          <w:tcPr>
            <w:tcW w:w="1379" w:type="pct"/>
            <w:tcBorders>
              <w:bottom w:val="single" w:sz="4" w:space="0" w:color="auto"/>
            </w:tcBorders>
            <w:shd w:val="clear" w:color="auto" w:fill="auto"/>
          </w:tcPr>
          <w:p w:rsidR="00FF4C16" w:rsidRPr="00C927B9" w:rsidRDefault="00FF4C16" w:rsidP="00574791">
            <w:pPr>
              <w:pStyle w:val="TableText"/>
              <w:keepNext w:val="0"/>
              <w:ind w:right="-56"/>
              <w:rPr>
                <w:bCs w:val="0"/>
                <w:sz w:val="20"/>
                <w:szCs w:val="20"/>
              </w:rPr>
            </w:pPr>
            <w:r w:rsidRPr="00C927B9">
              <w:rPr>
                <w:bCs w:val="0"/>
                <w:sz w:val="20"/>
                <w:szCs w:val="20"/>
              </w:rPr>
              <w:t>EFS at 12 months, % (95% CI)</w:t>
            </w:r>
          </w:p>
        </w:tc>
        <w:tc>
          <w:tcPr>
            <w:tcW w:w="905" w:type="pct"/>
            <w:tcBorders>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43.5 (37.4, 49.3)</w:t>
            </w:r>
          </w:p>
        </w:tc>
        <w:tc>
          <w:tcPr>
            <w:tcW w:w="906" w:type="pct"/>
            <w:tcBorders>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31.3 (23.6, 39.2)</w:t>
            </w:r>
          </w:p>
        </w:tc>
        <w:tc>
          <w:tcPr>
            <w:tcW w:w="906" w:type="pct"/>
            <w:tcBorders>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44.1 (38.0, 49.9)</w:t>
            </w:r>
          </w:p>
        </w:tc>
        <w:tc>
          <w:tcPr>
            <w:tcW w:w="904" w:type="pct"/>
            <w:tcBorders>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32.2 (24.5, 40.2)</w:t>
            </w:r>
          </w:p>
        </w:tc>
      </w:tr>
      <w:tr w:rsidR="00FF4C16" w:rsidRPr="00C927B9" w:rsidTr="00FD1B45">
        <w:tc>
          <w:tcPr>
            <w:tcW w:w="1379" w:type="pct"/>
            <w:tcBorders>
              <w:bottom w:val="single" w:sz="4" w:space="0" w:color="auto"/>
            </w:tcBorders>
            <w:shd w:val="clear" w:color="auto" w:fill="auto"/>
          </w:tcPr>
          <w:p w:rsidR="00FF4C16" w:rsidRPr="00C927B9" w:rsidRDefault="00FF4C16" w:rsidP="00574791">
            <w:pPr>
              <w:pStyle w:val="TableText"/>
              <w:keepNext w:val="0"/>
              <w:ind w:right="-56"/>
              <w:rPr>
                <w:bCs w:val="0"/>
                <w:sz w:val="20"/>
                <w:szCs w:val="20"/>
              </w:rPr>
            </w:pPr>
            <w:r w:rsidRPr="00C927B9">
              <w:rPr>
                <w:bCs w:val="0"/>
                <w:sz w:val="20"/>
                <w:szCs w:val="20"/>
              </w:rPr>
              <w:t>EFS at 24 months, % (95% CI)</w:t>
            </w:r>
          </w:p>
        </w:tc>
        <w:tc>
          <w:tcPr>
            <w:tcW w:w="905" w:type="pct"/>
            <w:tcBorders>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23.8 (17.9, 30.2)</w:t>
            </w:r>
          </w:p>
        </w:tc>
        <w:tc>
          <w:tcPr>
            <w:tcW w:w="906" w:type="pct"/>
            <w:tcBorders>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 xml:space="preserve">NA </w:t>
            </w:r>
          </w:p>
        </w:tc>
        <w:tc>
          <w:tcPr>
            <w:tcW w:w="906" w:type="pct"/>
            <w:tcBorders>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23.8 (17.9, 30.2)</w:t>
            </w:r>
          </w:p>
        </w:tc>
        <w:tc>
          <w:tcPr>
            <w:tcW w:w="904" w:type="pct"/>
            <w:tcBorders>
              <w:bottom w:val="single" w:sz="4" w:space="0" w:color="auto"/>
            </w:tcBorders>
            <w:shd w:val="clear" w:color="auto" w:fill="auto"/>
            <w:vAlign w:val="center"/>
          </w:tcPr>
          <w:p w:rsidR="00FF4C16" w:rsidRPr="00C927B9" w:rsidRDefault="00FF4C16" w:rsidP="00574791">
            <w:pPr>
              <w:pStyle w:val="TableText"/>
              <w:keepNext w:val="0"/>
              <w:jc w:val="center"/>
              <w:rPr>
                <w:sz w:val="20"/>
                <w:szCs w:val="20"/>
              </w:rPr>
            </w:pPr>
            <w:r w:rsidRPr="00C927B9">
              <w:rPr>
                <w:sz w:val="20"/>
                <w:szCs w:val="20"/>
              </w:rPr>
              <w:t xml:space="preserve">NA </w:t>
            </w:r>
          </w:p>
        </w:tc>
      </w:tr>
    </w:tbl>
    <w:p w:rsidR="00FF4C16" w:rsidRPr="00C927B9" w:rsidRDefault="00FF4C16" w:rsidP="004A2226">
      <w:pPr>
        <w:pStyle w:val="TableFigureFooter"/>
        <w:rPr>
          <w:lang w:val="en-AU"/>
        </w:rPr>
      </w:pPr>
      <w:r w:rsidRPr="00C927B9">
        <w:rPr>
          <w:lang w:val="en-AU"/>
        </w:rPr>
        <w:t>Source: Tables 2-39 and 2-40 of the submission. Statistically significant results in bold.</w:t>
      </w:r>
    </w:p>
    <w:p w:rsidR="00FF4C16" w:rsidRPr="00C927B9" w:rsidRDefault="00FF4C16" w:rsidP="004A2226">
      <w:pPr>
        <w:pStyle w:val="TableFigureFooter"/>
        <w:rPr>
          <w:lang w:val="en-AU"/>
        </w:rPr>
      </w:pPr>
      <w:r w:rsidRPr="00C927B9">
        <w:rPr>
          <w:lang w:val="en-AU"/>
        </w:rPr>
        <w:t xml:space="preserve">Abbreviations: AZA, azacitidine; CI, confidence interval; EFS, event free survival; FAS, full analysis set; HR, hazard ratio; </w:t>
      </w:r>
      <w:r w:rsidR="00B012DB" w:rsidRPr="00C927B9">
        <w:rPr>
          <w:lang w:val="en-AU"/>
        </w:rPr>
        <w:t xml:space="preserve">IRC, independent review committee; </w:t>
      </w:r>
      <w:r w:rsidRPr="00C927B9">
        <w:rPr>
          <w:lang w:val="en-AU"/>
        </w:rPr>
        <w:t>MR, morphological relapse; NA, not available; PBO, placebo; PD, progressive disease; VTX, venetoclax</w:t>
      </w:r>
    </w:p>
    <w:p w:rsidR="00FF4C16" w:rsidRPr="00C927B9" w:rsidRDefault="00FF4C16" w:rsidP="004A2226">
      <w:pPr>
        <w:pStyle w:val="TableFigureFooter"/>
        <w:rPr>
          <w:lang w:val="en-AU"/>
        </w:rPr>
      </w:pPr>
      <w:proofErr w:type="gramStart"/>
      <w:r w:rsidRPr="00C927B9">
        <w:rPr>
          <w:vertAlign w:val="superscript"/>
          <w:lang w:val="en-AU"/>
        </w:rPr>
        <w:t>a</w:t>
      </w:r>
      <w:proofErr w:type="gramEnd"/>
      <w:r w:rsidRPr="00C927B9">
        <w:rPr>
          <w:vertAlign w:val="superscript"/>
          <w:lang w:val="en-AU"/>
        </w:rPr>
        <w:t xml:space="preserve"> </w:t>
      </w:r>
      <w:r w:rsidRPr="00C927B9">
        <w:rPr>
          <w:lang w:val="en-AU"/>
        </w:rPr>
        <w:t xml:space="preserve">Stratified by age (18 - &lt; 75, ≥ 75) and cytogenetics (intermediate risk, poor risk) from </w:t>
      </w:r>
      <w:r w:rsidR="00B012DB" w:rsidRPr="00C927B9">
        <w:rPr>
          <w:lang w:val="en-AU"/>
        </w:rPr>
        <w:t>Interactive Voice Response System (IVRS)/Interactive Web Response System (IWRS).</w:t>
      </w:r>
    </w:p>
    <w:p w:rsidR="00DD454E" w:rsidRDefault="00DD454E" w:rsidP="00FF4C16">
      <w:pPr>
        <w:pStyle w:val="TableFigureCaption"/>
      </w:pPr>
    </w:p>
    <w:p w:rsidR="00FF4C16" w:rsidRPr="00C927B9" w:rsidRDefault="00FF4C16" w:rsidP="00FF4C16">
      <w:pPr>
        <w:pStyle w:val="TableFigureCaption"/>
      </w:pPr>
      <w:r w:rsidRPr="00C927B9">
        <w:t xml:space="preserve">Figure 2: Kaplan Meier EFS by investigator assessment from M15-656 (FAS Group 2; 4 Jan 2020 </w:t>
      </w:r>
      <w:proofErr w:type="spellStart"/>
      <w:r w:rsidRPr="00C927B9">
        <w:t>cutoff</w:t>
      </w:r>
      <w:proofErr w:type="spellEnd"/>
      <w:r w:rsidRPr="00C927B9">
        <w:t>)</w:t>
      </w:r>
    </w:p>
    <w:p w:rsidR="00FF4C16" w:rsidRPr="00C927B9" w:rsidRDefault="00FF4C16" w:rsidP="00FF4C16">
      <w:pPr>
        <w:rPr>
          <w:lang w:val="en-AU"/>
        </w:rPr>
      </w:pPr>
      <w:r w:rsidRPr="00C927B9">
        <w:rPr>
          <w:noProof/>
          <w:lang w:val="en-AU"/>
        </w:rPr>
        <w:drawing>
          <wp:inline distT="0" distB="0" distL="0" distR="0" wp14:anchorId="370B2E19" wp14:editId="42F445B4">
            <wp:extent cx="5829300" cy="2465194"/>
            <wp:effectExtent l="0" t="0" r="0" b="0"/>
            <wp:docPr id="21" name="Picture 21" title="Figure 2: Kaplan Meier EFS by investigator assessment from M15-656 (FAS Group 2; 4 Jan 2020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8041" r="8359" b="30795"/>
                    <a:stretch/>
                  </pic:blipFill>
                  <pic:spPr bwMode="auto">
                    <a:xfrm>
                      <a:off x="0" y="0"/>
                      <a:ext cx="5829300" cy="2465194"/>
                    </a:xfrm>
                    <a:prstGeom prst="rect">
                      <a:avLst/>
                    </a:prstGeom>
                    <a:ln>
                      <a:noFill/>
                    </a:ln>
                    <a:extLst>
                      <a:ext uri="{53640926-AAD7-44D8-BBD7-CCE9431645EC}">
                        <a14:shadowObscured xmlns:a14="http://schemas.microsoft.com/office/drawing/2010/main"/>
                      </a:ext>
                    </a:extLst>
                  </pic:spPr>
                </pic:pic>
              </a:graphicData>
            </a:graphic>
          </wp:inline>
        </w:drawing>
      </w:r>
    </w:p>
    <w:p w:rsidR="00FF4C16" w:rsidRPr="00C927B9" w:rsidRDefault="00FF4C16" w:rsidP="00FF4C16">
      <w:pPr>
        <w:pStyle w:val="TableFigureFooter"/>
        <w:rPr>
          <w:lang w:val="en-AU"/>
        </w:rPr>
      </w:pPr>
      <w:r w:rsidRPr="00C927B9">
        <w:rPr>
          <w:lang w:val="en-AU"/>
        </w:rPr>
        <w:t>Source: Figure 2-15, p.134 of the submission.</w:t>
      </w:r>
    </w:p>
    <w:p w:rsidR="00FF4C16" w:rsidRPr="00C927B9" w:rsidRDefault="00FF4C16" w:rsidP="00FF4C16">
      <w:pPr>
        <w:pStyle w:val="TableFigureFooter"/>
        <w:rPr>
          <w:bCs/>
          <w:lang w:val="en-AU"/>
        </w:rPr>
      </w:pPr>
      <w:r w:rsidRPr="00C927B9">
        <w:rPr>
          <w:lang w:val="en-AU"/>
        </w:rPr>
        <w:t xml:space="preserve">Abbreviations: AZA, azacitidine; CI, confidence interval; EFS, event free survival; FAS, full analysis set; HR, hazard ratio; PBO, placebo; </w:t>
      </w:r>
      <w:r w:rsidRPr="00C927B9">
        <w:rPr>
          <w:bCs/>
          <w:lang w:val="en-AU"/>
        </w:rPr>
        <w:t>VEN, venetoclax.</w:t>
      </w:r>
    </w:p>
    <w:p w:rsidR="00FF4C16" w:rsidRPr="00C927B9" w:rsidRDefault="00FF4C16" w:rsidP="00FF4C16">
      <w:pPr>
        <w:pStyle w:val="TableFigureFooter"/>
        <w:rPr>
          <w:lang w:val="en-AU"/>
        </w:rPr>
      </w:pPr>
      <w:r w:rsidRPr="00C927B9">
        <w:rPr>
          <w:bCs/>
          <w:lang w:val="en-AU"/>
        </w:rPr>
        <w:t xml:space="preserve">Note: Stratified by AML status (de novo, secondary), and age (18 - &lt; 75, ≥ 75). </w:t>
      </w:r>
      <w:r w:rsidRPr="00C927B9">
        <w:rPr>
          <w:lang w:val="en-AU"/>
        </w:rPr>
        <w:t>Participants without events (i.e. morphological relapse, disease progression, treatment failure, or death) censored at date last known to be event free.</w:t>
      </w:r>
    </w:p>
    <w:p w:rsidR="00FF4C16" w:rsidRPr="00C927B9" w:rsidRDefault="00FF4C16" w:rsidP="00FF4C16">
      <w:pPr>
        <w:pStyle w:val="ExecSumBodyText"/>
        <w:rPr>
          <w:color w:val="0066FF"/>
          <w:lang w:val="en-AU"/>
        </w:rPr>
      </w:pPr>
      <w:r w:rsidRPr="00C927B9">
        <w:rPr>
          <w:lang w:val="en-AU"/>
        </w:rPr>
        <w:t>Patients treated with venetoclax with azacitidine experienced a statistically significant improvement in investigator assessed event free survival compared to patients treated with azacitidine (HR 0.63, 95% CI: 0.50, 0.</w:t>
      </w:r>
      <w:r w:rsidR="009A01FF" w:rsidRPr="00C927B9">
        <w:rPr>
          <w:lang w:val="en-AU"/>
        </w:rPr>
        <w:t>80</w:t>
      </w:r>
      <w:r w:rsidRPr="00C927B9">
        <w:rPr>
          <w:lang w:val="en-AU"/>
        </w:rPr>
        <w:t xml:space="preserve">), with an increase in median </w:t>
      </w:r>
      <w:r w:rsidR="001B66F1" w:rsidRPr="00C927B9">
        <w:rPr>
          <w:lang w:val="en-AU"/>
        </w:rPr>
        <w:t xml:space="preserve">event-free survival </w:t>
      </w:r>
      <w:r w:rsidR="002F7158" w:rsidRPr="00C927B9">
        <w:rPr>
          <w:lang w:val="en-AU"/>
        </w:rPr>
        <w:t>of 2.8 </w:t>
      </w:r>
      <w:r w:rsidRPr="00C927B9">
        <w:rPr>
          <w:lang w:val="en-AU"/>
        </w:rPr>
        <w:t>months over a median follow up of 20.4 months. Results for IRC assessed event free survival also statistically significantly favoured venetoclax with azacitidine (HR 0.64, 95% CI: 0.51, 0.81).</w:t>
      </w:r>
    </w:p>
    <w:p w:rsidR="00FF4C16" w:rsidRPr="00C927B9" w:rsidRDefault="00FF4C16" w:rsidP="00FF4C16">
      <w:pPr>
        <w:pStyle w:val="ExecSumBodyText"/>
        <w:rPr>
          <w:color w:val="0066FF"/>
          <w:lang w:val="en-AU"/>
        </w:rPr>
      </w:pPr>
      <w:r w:rsidRPr="00C927B9">
        <w:rPr>
          <w:lang w:val="en-AU"/>
        </w:rPr>
        <w:t>The distribution of events contributing to event free survival differed between treatment arms</w:t>
      </w:r>
      <w:r w:rsidR="00C927B9" w:rsidRPr="00C927B9">
        <w:rPr>
          <w:lang w:val="en-AU"/>
        </w:rPr>
        <w:t>. A</w:t>
      </w:r>
      <w:r w:rsidRPr="00C927B9">
        <w:rPr>
          <w:lang w:val="en-AU"/>
        </w:rPr>
        <w:t xml:space="preserve"> lower proportions of patients experiencing death (VTX+AZA 54.5% </w:t>
      </w:r>
      <w:r w:rsidRPr="00C927B9">
        <w:rPr>
          <w:lang w:val="en-AU"/>
        </w:rPr>
        <w:lastRenderedPageBreak/>
        <w:t>vs AZA 61.5%) or treatment failure (VTX+AZA 2.1% vs AZA 9.8%), but a higher proportion of morphological relapse or disease progression (VTX+AZA 43.5% vs AZA 28.7%) in the venetoclax with azacitidine arm compared to the azacitidine arm in investigator assessed results.</w:t>
      </w:r>
    </w:p>
    <w:p w:rsidR="00FF4C16" w:rsidRPr="00C927B9" w:rsidRDefault="00FF4C16" w:rsidP="00FF4C16">
      <w:pPr>
        <w:pStyle w:val="ExecSumBodyText"/>
        <w:rPr>
          <w:color w:val="0066FF"/>
          <w:lang w:val="en-AU"/>
        </w:rPr>
      </w:pPr>
      <w:r w:rsidRPr="00C927B9">
        <w:rPr>
          <w:lang w:val="en-AU"/>
        </w:rPr>
        <w:t>Table 6 summarises the results for investigator and IRC assessed best response, for complete remission, and the composite outcome of complete remission and complete remission with incomplete blood count recovery.</w:t>
      </w:r>
    </w:p>
    <w:p w:rsidR="00FF4C16" w:rsidRPr="00C927B9" w:rsidRDefault="0060344B" w:rsidP="0060344B">
      <w:pPr>
        <w:pStyle w:val="Caption"/>
        <w:rPr>
          <w:lang w:val="en-AU"/>
        </w:rPr>
      </w:pPr>
      <w:r w:rsidRPr="00C927B9">
        <w:rPr>
          <w:lang w:val="en-AU"/>
        </w:rPr>
        <w:t xml:space="preserve">Table </w:t>
      </w:r>
      <w:r w:rsidR="00DB3600" w:rsidRPr="00C927B9">
        <w:rPr>
          <w:lang w:val="en-AU"/>
        </w:rPr>
        <w:t>6</w:t>
      </w:r>
      <w:r w:rsidRPr="00C927B9">
        <w:rPr>
          <w:lang w:val="en-AU"/>
        </w:rPr>
        <w:t xml:space="preserve">: </w:t>
      </w:r>
      <w:r w:rsidR="00FF4C16" w:rsidRPr="00C927B9">
        <w:rPr>
          <w:lang w:val="en-AU"/>
        </w:rPr>
        <w:t xml:space="preserve">Best response of CR and CR + </w:t>
      </w:r>
      <w:proofErr w:type="spellStart"/>
      <w:r w:rsidR="00FF4C16" w:rsidRPr="00C927B9">
        <w:rPr>
          <w:lang w:val="en-AU"/>
        </w:rPr>
        <w:t>CRi</w:t>
      </w:r>
      <w:proofErr w:type="spellEnd"/>
      <w:r w:rsidR="00FF4C16" w:rsidRPr="00C927B9">
        <w:rPr>
          <w:lang w:val="en-AU"/>
        </w:rPr>
        <w:t xml:space="preserve"> from M15-656 (FAS Group 2; 4 Jan 2020 cut-off) </w:t>
      </w:r>
    </w:p>
    <w:tbl>
      <w:tblPr>
        <w:tblStyle w:val="newstyle1"/>
        <w:tblW w:w="5000" w:type="pct"/>
        <w:tblLook w:val="04A0" w:firstRow="1" w:lastRow="0" w:firstColumn="1" w:lastColumn="0" w:noHBand="0" w:noVBand="1"/>
        <w:tblCaption w:val="Table 6: Best response of CR and CR + CRi from M15-656 (FAS Group 2; 4 Jan 2020 cut-off) "/>
      </w:tblPr>
      <w:tblGrid>
        <w:gridCol w:w="2487"/>
        <w:gridCol w:w="1632"/>
        <w:gridCol w:w="1634"/>
        <w:gridCol w:w="1634"/>
        <w:gridCol w:w="1630"/>
      </w:tblGrid>
      <w:tr w:rsidR="00FF4C16" w:rsidRPr="00C927B9" w:rsidTr="00FD1B45">
        <w:trPr>
          <w:tblHeader/>
        </w:trPr>
        <w:tc>
          <w:tcPr>
            <w:tcW w:w="1379" w:type="pct"/>
            <w:vMerge w:val="restart"/>
            <w:shd w:val="clear" w:color="auto" w:fill="auto"/>
          </w:tcPr>
          <w:p w:rsidR="00FF4C16" w:rsidRPr="00C927B9" w:rsidRDefault="00FF4C16" w:rsidP="005A5E60">
            <w:pPr>
              <w:pStyle w:val="TableText"/>
              <w:ind w:right="-56"/>
              <w:rPr>
                <w:sz w:val="20"/>
                <w:szCs w:val="20"/>
              </w:rPr>
            </w:pPr>
          </w:p>
        </w:tc>
        <w:tc>
          <w:tcPr>
            <w:tcW w:w="1811" w:type="pct"/>
            <w:gridSpan w:val="2"/>
            <w:tcBorders>
              <w:bottom w:val="single" w:sz="4" w:space="0" w:color="auto"/>
            </w:tcBorders>
            <w:shd w:val="clear" w:color="auto" w:fill="auto"/>
          </w:tcPr>
          <w:p w:rsidR="00FF4C16" w:rsidRPr="00C927B9" w:rsidRDefault="00FF4C16" w:rsidP="005A5E60">
            <w:pPr>
              <w:pStyle w:val="TableText"/>
              <w:jc w:val="center"/>
              <w:rPr>
                <w:b/>
                <w:bCs w:val="0"/>
                <w:sz w:val="20"/>
                <w:szCs w:val="20"/>
              </w:rPr>
            </w:pPr>
            <w:r w:rsidRPr="00C927B9">
              <w:rPr>
                <w:b/>
                <w:sz w:val="20"/>
                <w:szCs w:val="20"/>
              </w:rPr>
              <w:t>Investigator assessed</w:t>
            </w:r>
          </w:p>
        </w:tc>
        <w:tc>
          <w:tcPr>
            <w:tcW w:w="1810" w:type="pct"/>
            <w:gridSpan w:val="2"/>
            <w:tcBorders>
              <w:bottom w:val="single" w:sz="4" w:space="0" w:color="auto"/>
            </w:tcBorders>
            <w:shd w:val="clear" w:color="auto" w:fill="auto"/>
          </w:tcPr>
          <w:p w:rsidR="00FF4C16" w:rsidRPr="00C927B9" w:rsidRDefault="00FF4C16" w:rsidP="005A5E60">
            <w:pPr>
              <w:pStyle w:val="TableText"/>
              <w:jc w:val="center"/>
              <w:rPr>
                <w:b/>
                <w:bCs w:val="0"/>
                <w:sz w:val="20"/>
                <w:szCs w:val="20"/>
              </w:rPr>
            </w:pPr>
            <w:r w:rsidRPr="00C927B9">
              <w:rPr>
                <w:b/>
                <w:bCs w:val="0"/>
                <w:sz w:val="20"/>
                <w:szCs w:val="20"/>
              </w:rPr>
              <w:t>IRC assessed</w:t>
            </w:r>
          </w:p>
        </w:tc>
      </w:tr>
      <w:tr w:rsidR="00FF4C16" w:rsidRPr="00C927B9" w:rsidTr="00FD1B45">
        <w:trPr>
          <w:tblHeader/>
        </w:trPr>
        <w:tc>
          <w:tcPr>
            <w:tcW w:w="1379" w:type="pct"/>
            <w:vMerge/>
            <w:tcBorders>
              <w:bottom w:val="single" w:sz="4" w:space="0" w:color="auto"/>
            </w:tcBorders>
            <w:shd w:val="clear" w:color="auto" w:fill="auto"/>
          </w:tcPr>
          <w:p w:rsidR="00FF4C16" w:rsidRPr="00C927B9" w:rsidRDefault="00FF4C16" w:rsidP="005A5E60">
            <w:pPr>
              <w:pStyle w:val="TableText"/>
              <w:ind w:right="-56"/>
              <w:rPr>
                <w:sz w:val="20"/>
                <w:szCs w:val="20"/>
              </w:rPr>
            </w:pPr>
          </w:p>
        </w:tc>
        <w:tc>
          <w:tcPr>
            <w:tcW w:w="905" w:type="pct"/>
            <w:tcBorders>
              <w:bottom w:val="single" w:sz="4" w:space="0" w:color="auto"/>
            </w:tcBorders>
            <w:shd w:val="clear" w:color="auto" w:fill="auto"/>
          </w:tcPr>
          <w:p w:rsidR="00FF4C16" w:rsidRPr="00C927B9" w:rsidRDefault="00FF4C16" w:rsidP="005A5E60">
            <w:pPr>
              <w:pStyle w:val="TableText"/>
              <w:jc w:val="center"/>
              <w:rPr>
                <w:b/>
                <w:bCs w:val="0"/>
                <w:sz w:val="20"/>
                <w:szCs w:val="20"/>
              </w:rPr>
            </w:pPr>
            <w:r w:rsidRPr="00C927B9">
              <w:rPr>
                <w:b/>
                <w:bCs w:val="0"/>
                <w:sz w:val="20"/>
                <w:szCs w:val="20"/>
              </w:rPr>
              <w:t>VTX + AZA</w:t>
            </w:r>
            <w:r w:rsidRPr="00C927B9">
              <w:rPr>
                <w:b/>
                <w:bCs w:val="0"/>
                <w:sz w:val="20"/>
                <w:szCs w:val="20"/>
              </w:rPr>
              <w:br/>
              <w:t>(N=286)</w:t>
            </w:r>
          </w:p>
        </w:tc>
        <w:tc>
          <w:tcPr>
            <w:tcW w:w="906" w:type="pct"/>
            <w:tcBorders>
              <w:bottom w:val="single" w:sz="4" w:space="0" w:color="auto"/>
            </w:tcBorders>
            <w:shd w:val="clear" w:color="auto" w:fill="auto"/>
          </w:tcPr>
          <w:p w:rsidR="00FF4C16" w:rsidRPr="00C927B9" w:rsidRDefault="00FF4C16" w:rsidP="005A5E60">
            <w:pPr>
              <w:pStyle w:val="TableText"/>
              <w:jc w:val="center"/>
              <w:rPr>
                <w:b/>
                <w:bCs w:val="0"/>
                <w:sz w:val="20"/>
                <w:szCs w:val="20"/>
              </w:rPr>
            </w:pPr>
            <w:proofErr w:type="spellStart"/>
            <w:r w:rsidRPr="00C927B9">
              <w:rPr>
                <w:b/>
                <w:bCs w:val="0"/>
                <w:sz w:val="20"/>
                <w:szCs w:val="20"/>
              </w:rPr>
              <w:t>Pbo</w:t>
            </w:r>
            <w:proofErr w:type="spellEnd"/>
            <w:r w:rsidRPr="00C927B9">
              <w:rPr>
                <w:b/>
                <w:bCs w:val="0"/>
                <w:sz w:val="20"/>
                <w:szCs w:val="20"/>
              </w:rPr>
              <w:t xml:space="preserve"> + AZA</w:t>
            </w:r>
            <w:r w:rsidRPr="00C927B9">
              <w:rPr>
                <w:b/>
                <w:bCs w:val="0"/>
                <w:sz w:val="20"/>
                <w:szCs w:val="20"/>
              </w:rPr>
              <w:br/>
              <w:t>(N=145)</w:t>
            </w:r>
          </w:p>
        </w:tc>
        <w:tc>
          <w:tcPr>
            <w:tcW w:w="906" w:type="pct"/>
            <w:tcBorders>
              <w:bottom w:val="single" w:sz="4" w:space="0" w:color="auto"/>
            </w:tcBorders>
            <w:shd w:val="clear" w:color="auto" w:fill="auto"/>
          </w:tcPr>
          <w:p w:rsidR="00FF4C16" w:rsidRPr="00C927B9" w:rsidRDefault="00FF4C16" w:rsidP="005A5E60">
            <w:pPr>
              <w:pStyle w:val="TableText"/>
              <w:jc w:val="center"/>
              <w:rPr>
                <w:b/>
                <w:bCs w:val="0"/>
                <w:sz w:val="20"/>
                <w:szCs w:val="20"/>
              </w:rPr>
            </w:pPr>
            <w:r w:rsidRPr="00C927B9">
              <w:rPr>
                <w:b/>
                <w:bCs w:val="0"/>
                <w:sz w:val="20"/>
                <w:szCs w:val="20"/>
              </w:rPr>
              <w:t>VTX + AZA</w:t>
            </w:r>
            <w:r w:rsidRPr="00C927B9">
              <w:rPr>
                <w:b/>
                <w:bCs w:val="0"/>
                <w:sz w:val="20"/>
                <w:szCs w:val="20"/>
              </w:rPr>
              <w:br/>
              <w:t>(N=286)</w:t>
            </w:r>
          </w:p>
        </w:tc>
        <w:tc>
          <w:tcPr>
            <w:tcW w:w="904" w:type="pct"/>
            <w:tcBorders>
              <w:bottom w:val="single" w:sz="4" w:space="0" w:color="auto"/>
            </w:tcBorders>
            <w:shd w:val="clear" w:color="auto" w:fill="auto"/>
          </w:tcPr>
          <w:p w:rsidR="00FF4C16" w:rsidRPr="00C927B9" w:rsidRDefault="00FF4C16" w:rsidP="005A5E60">
            <w:pPr>
              <w:pStyle w:val="TableText"/>
              <w:jc w:val="center"/>
              <w:rPr>
                <w:b/>
                <w:bCs w:val="0"/>
                <w:sz w:val="20"/>
                <w:szCs w:val="20"/>
              </w:rPr>
            </w:pPr>
            <w:proofErr w:type="spellStart"/>
            <w:r w:rsidRPr="00C927B9">
              <w:rPr>
                <w:b/>
                <w:bCs w:val="0"/>
                <w:sz w:val="20"/>
                <w:szCs w:val="20"/>
              </w:rPr>
              <w:t>Pbo</w:t>
            </w:r>
            <w:proofErr w:type="spellEnd"/>
            <w:r w:rsidRPr="00C927B9">
              <w:rPr>
                <w:b/>
                <w:bCs w:val="0"/>
                <w:sz w:val="20"/>
                <w:szCs w:val="20"/>
              </w:rPr>
              <w:t xml:space="preserve"> + AZA</w:t>
            </w:r>
            <w:r w:rsidRPr="00C927B9">
              <w:rPr>
                <w:b/>
                <w:bCs w:val="0"/>
                <w:sz w:val="20"/>
                <w:szCs w:val="20"/>
              </w:rPr>
              <w:br/>
              <w:t>(N=145)</w:t>
            </w:r>
          </w:p>
        </w:tc>
      </w:tr>
      <w:tr w:rsidR="00FF4C16" w:rsidRPr="00C927B9" w:rsidTr="00FD1B45">
        <w:tc>
          <w:tcPr>
            <w:tcW w:w="5000" w:type="pct"/>
            <w:gridSpan w:val="5"/>
            <w:tcBorders>
              <w:bottom w:val="single" w:sz="4" w:space="0" w:color="auto"/>
            </w:tcBorders>
            <w:shd w:val="clear" w:color="auto" w:fill="auto"/>
          </w:tcPr>
          <w:p w:rsidR="00FF4C16" w:rsidRPr="00C927B9" w:rsidRDefault="00FF4C16" w:rsidP="005A5E60">
            <w:pPr>
              <w:pStyle w:val="TableText"/>
              <w:ind w:right="-56"/>
              <w:rPr>
                <w:b/>
                <w:bCs w:val="0"/>
                <w:sz w:val="20"/>
                <w:szCs w:val="20"/>
              </w:rPr>
            </w:pPr>
            <w:r w:rsidRPr="00C927B9">
              <w:rPr>
                <w:b/>
                <w:sz w:val="20"/>
                <w:szCs w:val="20"/>
              </w:rPr>
              <w:t xml:space="preserve">Best response of CR + </w:t>
            </w:r>
            <w:proofErr w:type="spellStart"/>
            <w:r w:rsidRPr="00C927B9">
              <w:rPr>
                <w:b/>
                <w:sz w:val="20"/>
                <w:szCs w:val="20"/>
              </w:rPr>
              <w:t>CRi</w:t>
            </w:r>
            <w:proofErr w:type="spellEnd"/>
            <w:r w:rsidRPr="00C927B9">
              <w:rPr>
                <w:b/>
                <w:sz w:val="20"/>
                <w:szCs w:val="20"/>
              </w:rPr>
              <w:t xml:space="preserve"> (IWG criteria)</w:t>
            </w:r>
          </w:p>
        </w:tc>
      </w:tr>
      <w:tr w:rsidR="00FF4C16" w:rsidRPr="00C927B9" w:rsidTr="00FD1B45">
        <w:tc>
          <w:tcPr>
            <w:tcW w:w="1379" w:type="pct"/>
            <w:tcBorders>
              <w:bottom w:val="single" w:sz="4" w:space="0" w:color="auto"/>
            </w:tcBorders>
            <w:shd w:val="clear" w:color="auto" w:fill="auto"/>
          </w:tcPr>
          <w:p w:rsidR="00FF4C16" w:rsidRPr="00C927B9" w:rsidRDefault="00FF4C16" w:rsidP="005A5E60">
            <w:pPr>
              <w:pStyle w:val="TableText"/>
              <w:ind w:right="-56"/>
              <w:rPr>
                <w:bCs w:val="0"/>
                <w:sz w:val="20"/>
                <w:szCs w:val="20"/>
              </w:rPr>
            </w:pPr>
            <w:r w:rsidRPr="00C927B9">
              <w:rPr>
                <w:bCs w:val="0"/>
                <w:sz w:val="20"/>
                <w:szCs w:val="20"/>
              </w:rPr>
              <w:t xml:space="preserve">CR + </w:t>
            </w:r>
            <w:proofErr w:type="spellStart"/>
            <w:r w:rsidRPr="00C927B9">
              <w:rPr>
                <w:bCs w:val="0"/>
                <w:sz w:val="20"/>
                <w:szCs w:val="20"/>
              </w:rPr>
              <w:t>CRi</w:t>
            </w:r>
            <w:proofErr w:type="spellEnd"/>
            <w:r w:rsidRPr="00C927B9">
              <w:rPr>
                <w:bCs w:val="0"/>
                <w:sz w:val="20"/>
                <w:szCs w:val="20"/>
              </w:rPr>
              <w:t xml:space="preserve"> rate, n (%)</w:t>
            </w:r>
          </w:p>
        </w:tc>
        <w:tc>
          <w:tcPr>
            <w:tcW w:w="905" w:type="pct"/>
            <w:tcBorders>
              <w:bottom w:val="single" w:sz="4" w:space="0" w:color="auto"/>
            </w:tcBorders>
            <w:shd w:val="clear" w:color="auto" w:fill="auto"/>
          </w:tcPr>
          <w:p w:rsidR="00FF4C16" w:rsidRPr="00C927B9" w:rsidRDefault="00FF4C16" w:rsidP="005A5E60">
            <w:pPr>
              <w:pStyle w:val="TableText"/>
              <w:jc w:val="center"/>
              <w:rPr>
                <w:sz w:val="20"/>
                <w:szCs w:val="20"/>
              </w:rPr>
            </w:pPr>
            <w:r w:rsidRPr="00C927B9">
              <w:rPr>
                <w:sz w:val="20"/>
                <w:szCs w:val="20"/>
              </w:rPr>
              <w:t>190 (66.4%)</w:t>
            </w:r>
          </w:p>
        </w:tc>
        <w:tc>
          <w:tcPr>
            <w:tcW w:w="906" w:type="pct"/>
            <w:tcBorders>
              <w:bottom w:val="single" w:sz="4" w:space="0" w:color="auto"/>
            </w:tcBorders>
            <w:shd w:val="clear" w:color="auto" w:fill="auto"/>
          </w:tcPr>
          <w:p w:rsidR="00FF4C16" w:rsidRPr="00C927B9" w:rsidRDefault="00FF4C16" w:rsidP="005A5E60">
            <w:pPr>
              <w:pStyle w:val="TableText"/>
              <w:jc w:val="center"/>
              <w:rPr>
                <w:sz w:val="20"/>
                <w:szCs w:val="20"/>
              </w:rPr>
            </w:pPr>
            <w:r w:rsidRPr="00C927B9">
              <w:rPr>
                <w:sz w:val="20"/>
                <w:szCs w:val="20"/>
              </w:rPr>
              <w:t>41 (28.3%)</w:t>
            </w:r>
          </w:p>
        </w:tc>
        <w:tc>
          <w:tcPr>
            <w:tcW w:w="906" w:type="pct"/>
            <w:tcBorders>
              <w:bottom w:val="single" w:sz="4" w:space="0" w:color="auto"/>
            </w:tcBorders>
            <w:shd w:val="clear" w:color="auto" w:fill="auto"/>
          </w:tcPr>
          <w:p w:rsidR="00FF4C16" w:rsidRPr="00C927B9" w:rsidRDefault="00FF4C16" w:rsidP="005A5E60">
            <w:pPr>
              <w:pStyle w:val="TableText"/>
              <w:jc w:val="center"/>
              <w:rPr>
                <w:sz w:val="20"/>
                <w:szCs w:val="20"/>
              </w:rPr>
            </w:pPr>
            <w:r w:rsidRPr="00C927B9">
              <w:rPr>
                <w:sz w:val="20"/>
                <w:szCs w:val="20"/>
              </w:rPr>
              <w:t>178 (62.2%)</w:t>
            </w:r>
          </w:p>
        </w:tc>
        <w:tc>
          <w:tcPr>
            <w:tcW w:w="904" w:type="pct"/>
            <w:tcBorders>
              <w:bottom w:val="single" w:sz="4" w:space="0" w:color="auto"/>
            </w:tcBorders>
            <w:shd w:val="clear" w:color="auto" w:fill="auto"/>
          </w:tcPr>
          <w:p w:rsidR="00FF4C16" w:rsidRPr="00C927B9" w:rsidRDefault="00FF4C16" w:rsidP="005A5E60">
            <w:pPr>
              <w:pStyle w:val="TableText"/>
              <w:jc w:val="center"/>
              <w:rPr>
                <w:sz w:val="20"/>
                <w:szCs w:val="20"/>
              </w:rPr>
            </w:pPr>
            <w:r w:rsidRPr="00C927B9">
              <w:rPr>
                <w:sz w:val="20"/>
                <w:szCs w:val="20"/>
              </w:rPr>
              <w:t>39 (26.9%)</w:t>
            </w:r>
          </w:p>
        </w:tc>
      </w:tr>
      <w:tr w:rsidR="00FF4C16" w:rsidRPr="00C927B9" w:rsidTr="00FD1B45">
        <w:tc>
          <w:tcPr>
            <w:tcW w:w="1379" w:type="pct"/>
            <w:tcBorders>
              <w:top w:val="single" w:sz="4" w:space="0" w:color="auto"/>
              <w:bottom w:val="single" w:sz="4" w:space="0" w:color="auto"/>
            </w:tcBorders>
            <w:shd w:val="clear" w:color="auto" w:fill="auto"/>
          </w:tcPr>
          <w:p w:rsidR="00FF4C16" w:rsidRPr="00C927B9" w:rsidRDefault="00FF4C16" w:rsidP="005A5E60">
            <w:pPr>
              <w:pStyle w:val="TableText"/>
              <w:ind w:right="-56"/>
              <w:rPr>
                <w:bCs w:val="0"/>
                <w:sz w:val="20"/>
                <w:szCs w:val="20"/>
              </w:rPr>
            </w:pPr>
            <w:r w:rsidRPr="00C927B9">
              <w:rPr>
                <w:bCs w:val="0"/>
                <w:sz w:val="20"/>
                <w:szCs w:val="20"/>
              </w:rPr>
              <w:t xml:space="preserve">    Odds ratio (95% CI)</w:t>
            </w:r>
            <w:r w:rsidRPr="00C927B9">
              <w:rPr>
                <w:bCs w:val="0"/>
                <w:sz w:val="20"/>
                <w:szCs w:val="20"/>
                <w:vertAlign w:val="superscript"/>
              </w:rPr>
              <w:t>a</w:t>
            </w:r>
          </w:p>
        </w:tc>
        <w:tc>
          <w:tcPr>
            <w:tcW w:w="1811" w:type="pct"/>
            <w:gridSpan w:val="2"/>
            <w:tcBorders>
              <w:top w:val="single" w:sz="4" w:space="0" w:color="auto"/>
              <w:bottom w:val="single" w:sz="4" w:space="0" w:color="auto"/>
            </w:tcBorders>
            <w:shd w:val="clear" w:color="auto" w:fill="auto"/>
          </w:tcPr>
          <w:p w:rsidR="00FF4C16" w:rsidRPr="00C927B9" w:rsidRDefault="00FF4C16" w:rsidP="005A5E60">
            <w:pPr>
              <w:pStyle w:val="TableText"/>
              <w:jc w:val="center"/>
              <w:rPr>
                <w:b/>
                <w:sz w:val="20"/>
                <w:szCs w:val="20"/>
                <w:vertAlign w:val="superscript"/>
              </w:rPr>
            </w:pPr>
            <w:r w:rsidRPr="00C927B9">
              <w:rPr>
                <w:b/>
                <w:sz w:val="20"/>
                <w:szCs w:val="20"/>
              </w:rPr>
              <w:t>5.02 (3.24, 7.77)</w:t>
            </w:r>
            <w:r w:rsidRPr="00C927B9">
              <w:rPr>
                <w:b/>
                <w:sz w:val="20"/>
                <w:szCs w:val="20"/>
                <w:vertAlign w:val="superscript"/>
              </w:rPr>
              <w:t>a</w:t>
            </w:r>
          </w:p>
        </w:tc>
        <w:tc>
          <w:tcPr>
            <w:tcW w:w="1810" w:type="pct"/>
            <w:gridSpan w:val="2"/>
            <w:tcBorders>
              <w:top w:val="single" w:sz="4" w:space="0" w:color="auto"/>
              <w:bottom w:val="single" w:sz="4" w:space="0" w:color="auto"/>
            </w:tcBorders>
            <w:shd w:val="clear" w:color="auto" w:fill="auto"/>
          </w:tcPr>
          <w:p w:rsidR="00FF4C16" w:rsidRPr="00C927B9" w:rsidRDefault="00FF4C16" w:rsidP="005A5E60">
            <w:pPr>
              <w:pStyle w:val="TableText"/>
              <w:jc w:val="center"/>
              <w:rPr>
                <w:b/>
                <w:sz w:val="20"/>
                <w:szCs w:val="20"/>
                <w:vertAlign w:val="superscript"/>
              </w:rPr>
            </w:pPr>
            <w:r w:rsidRPr="00C927B9">
              <w:rPr>
                <w:b/>
                <w:sz w:val="20"/>
                <w:szCs w:val="20"/>
              </w:rPr>
              <w:t>4.48 (2.89, 6.94)</w:t>
            </w:r>
            <w:r w:rsidRPr="00C927B9">
              <w:rPr>
                <w:b/>
                <w:sz w:val="20"/>
                <w:szCs w:val="20"/>
                <w:vertAlign w:val="superscript"/>
              </w:rPr>
              <w:t>a</w:t>
            </w:r>
          </w:p>
        </w:tc>
      </w:tr>
      <w:tr w:rsidR="00FF4C16" w:rsidRPr="00C927B9" w:rsidTr="00FD1B45">
        <w:tc>
          <w:tcPr>
            <w:tcW w:w="1379" w:type="pct"/>
            <w:tcBorders>
              <w:bottom w:val="dotted" w:sz="4" w:space="0" w:color="auto"/>
            </w:tcBorders>
            <w:shd w:val="clear" w:color="auto" w:fill="auto"/>
          </w:tcPr>
          <w:p w:rsidR="00FF4C16" w:rsidRPr="00C927B9" w:rsidRDefault="00FF4C16" w:rsidP="005A5E60">
            <w:pPr>
              <w:pStyle w:val="TableText"/>
              <w:ind w:right="-56"/>
              <w:rPr>
                <w:bCs w:val="0"/>
                <w:sz w:val="20"/>
                <w:szCs w:val="20"/>
              </w:rPr>
            </w:pPr>
            <w:r w:rsidRPr="00C927B9">
              <w:rPr>
                <w:bCs w:val="0"/>
                <w:sz w:val="20"/>
                <w:szCs w:val="20"/>
              </w:rPr>
              <w:t>CR rate, n (%)</w:t>
            </w:r>
          </w:p>
        </w:tc>
        <w:tc>
          <w:tcPr>
            <w:tcW w:w="905" w:type="pct"/>
            <w:tcBorders>
              <w:bottom w:val="dotted" w:sz="4" w:space="0" w:color="auto"/>
            </w:tcBorders>
            <w:shd w:val="clear" w:color="auto" w:fill="auto"/>
          </w:tcPr>
          <w:p w:rsidR="00FF4C16" w:rsidRPr="00C927B9" w:rsidRDefault="00FF4C16" w:rsidP="005A5E60">
            <w:pPr>
              <w:pStyle w:val="TableText"/>
              <w:jc w:val="center"/>
              <w:rPr>
                <w:sz w:val="20"/>
                <w:szCs w:val="20"/>
              </w:rPr>
            </w:pPr>
            <w:r w:rsidRPr="00C927B9">
              <w:rPr>
                <w:sz w:val="20"/>
                <w:szCs w:val="20"/>
              </w:rPr>
              <w:t>105 (36.7%)</w:t>
            </w:r>
          </w:p>
        </w:tc>
        <w:tc>
          <w:tcPr>
            <w:tcW w:w="906" w:type="pct"/>
            <w:tcBorders>
              <w:bottom w:val="dotted" w:sz="4" w:space="0" w:color="auto"/>
            </w:tcBorders>
            <w:shd w:val="clear" w:color="auto" w:fill="auto"/>
          </w:tcPr>
          <w:p w:rsidR="00FF4C16" w:rsidRPr="00C927B9" w:rsidRDefault="00FF4C16" w:rsidP="005A5E60">
            <w:pPr>
              <w:pStyle w:val="TableText"/>
              <w:jc w:val="center"/>
              <w:rPr>
                <w:sz w:val="20"/>
                <w:szCs w:val="20"/>
              </w:rPr>
            </w:pPr>
            <w:r w:rsidRPr="00C927B9">
              <w:rPr>
                <w:sz w:val="20"/>
                <w:szCs w:val="20"/>
              </w:rPr>
              <w:t>26 (17.9%)</w:t>
            </w:r>
          </w:p>
        </w:tc>
        <w:tc>
          <w:tcPr>
            <w:tcW w:w="906" w:type="pct"/>
            <w:tcBorders>
              <w:bottom w:val="dotted" w:sz="4" w:space="0" w:color="auto"/>
            </w:tcBorders>
            <w:shd w:val="clear" w:color="auto" w:fill="auto"/>
          </w:tcPr>
          <w:p w:rsidR="00FF4C16" w:rsidRPr="00C927B9" w:rsidRDefault="00FF4C16" w:rsidP="005A5E60">
            <w:pPr>
              <w:pStyle w:val="TableText"/>
              <w:jc w:val="center"/>
              <w:rPr>
                <w:sz w:val="20"/>
                <w:szCs w:val="20"/>
              </w:rPr>
            </w:pPr>
            <w:r w:rsidRPr="00C927B9">
              <w:rPr>
                <w:sz w:val="20"/>
                <w:szCs w:val="20"/>
              </w:rPr>
              <w:t>72 (25.2%)</w:t>
            </w:r>
          </w:p>
        </w:tc>
        <w:tc>
          <w:tcPr>
            <w:tcW w:w="904" w:type="pct"/>
            <w:tcBorders>
              <w:bottom w:val="dotted" w:sz="4" w:space="0" w:color="auto"/>
            </w:tcBorders>
            <w:shd w:val="clear" w:color="auto" w:fill="auto"/>
          </w:tcPr>
          <w:p w:rsidR="00FF4C16" w:rsidRPr="00C927B9" w:rsidRDefault="00FF4C16" w:rsidP="005A5E60">
            <w:pPr>
              <w:pStyle w:val="TableText"/>
              <w:jc w:val="center"/>
              <w:rPr>
                <w:sz w:val="20"/>
                <w:szCs w:val="20"/>
              </w:rPr>
            </w:pPr>
            <w:r w:rsidRPr="00C927B9">
              <w:rPr>
                <w:sz w:val="20"/>
                <w:szCs w:val="20"/>
              </w:rPr>
              <w:t>25 (17.2%)</w:t>
            </w:r>
          </w:p>
        </w:tc>
      </w:tr>
      <w:tr w:rsidR="00FF4C16" w:rsidRPr="00C927B9" w:rsidTr="00FD1B45">
        <w:tc>
          <w:tcPr>
            <w:tcW w:w="1379" w:type="pct"/>
            <w:tcBorders>
              <w:bottom w:val="single" w:sz="4" w:space="0" w:color="auto"/>
            </w:tcBorders>
            <w:shd w:val="clear" w:color="auto" w:fill="auto"/>
          </w:tcPr>
          <w:p w:rsidR="00FF4C16" w:rsidRPr="00C927B9" w:rsidRDefault="00FF4C16" w:rsidP="005A5E60">
            <w:pPr>
              <w:pStyle w:val="TableText"/>
              <w:ind w:right="-56"/>
              <w:rPr>
                <w:bCs w:val="0"/>
                <w:sz w:val="20"/>
                <w:szCs w:val="20"/>
              </w:rPr>
            </w:pPr>
            <w:r w:rsidRPr="00C927B9">
              <w:rPr>
                <w:bCs w:val="0"/>
                <w:sz w:val="20"/>
                <w:szCs w:val="20"/>
              </w:rPr>
              <w:t xml:space="preserve">    Odds ratio (95% CI)</w:t>
            </w:r>
            <w:r w:rsidRPr="00C927B9">
              <w:rPr>
                <w:bCs w:val="0"/>
                <w:sz w:val="20"/>
                <w:szCs w:val="20"/>
                <w:vertAlign w:val="superscript"/>
              </w:rPr>
              <w:t>a</w:t>
            </w:r>
          </w:p>
        </w:tc>
        <w:tc>
          <w:tcPr>
            <w:tcW w:w="1811" w:type="pct"/>
            <w:gridSpan w:val="2"/>
            <w:tcBorders>
              <w:bottom w:val="single" w:sz="4" w:space="0" w:color="auto"/>
            </w:tcBorders>
            <w:shd w:val="clear" w:color="auto" w:fill="auto"/>
            <w:vAlign w:val="center"/>
          </w:tcPr>
          <w:p w:rsidR="00FF4C16" w:rsidRPr="00C927B9" w:rsidRDefault="00FF4C16" w:rsidP="005A5E60">
            <w:pPr>
              <w:pStyle w:val="TableText"/>
              <w:jc w:val="center"/>
              <w:rPr>
                <w:b/>
                <w:sz w:val="20"/>
                <w:szCs w:val="20"/>
                <w:vertAlign w:val="superscript"/>
              </w:rPr>
            </w:pPr>
            <w:r w:rsidRPr="00C927B9">
              <w:rPr>
                <w:b/>
                <w:sz w:val="20"/>
                <w:szCs w:val="20"/>
              </w:rPr>
              <w:t>2.66 (1.63, 4.32)</w:t>
            </w:r>
            <w:r w:rsidRPr="00C927B9">
              <w:rPr>
                <w:b/>
                <w:sz w:val="20"/>
                <w:szCs w:val="20"/>
                <w:vertAlign w:val="superscript"/>
              </w:rPr>
              <w:t>a</w:t>
            </w:r>
          </w:p>
        </w:tc>
        <w:tc>
          <w:tcPr>
            <w:tcW w:w="1810" w:type="pct"/>
            <w:gridSpan w:val="2"/>
            <w:tcBorders>
              <w:bottom w:val="single" w:sz="4" w:space="0" w:color="auto"/>
            </w:tcBorders>
            <w:shd w:val="clear" w:color="auto" w:fill="auto"/>
            <w:vAlign w:val="center"/>
          </w:tcPr>
          <w:p w:rsidR="00FF4C16" w:rsidRPr="00C927B9" w:rsidRDefault="00FF4C16" w:rsidP="005A5E60">
            <w:pPr>
              <w:pStyle w:val="TableText"/>
              <w:jc w:val="center"/>
              <w:rPr>
                <w:sz w:val="20"/>
                <w:szCs w:val="20"/>
                <w:vertAlign w:val="superscript"/>
              </w:rPr>
            </w:pPr>
            <w:r w:rsidRPr="00C927B9">
              <w:rPr>
                <w:sz w:val="20"/>
                <w:szCs w:val="20"/>
              </w:rPr>
              <w:t>1.61 (0.97, 2.68)</w:t>
            </w:r>
            <w:r w:rsidRPr="00C927B9">
              <w:rPr>
                <w:sz w:val="20"/>
                <w:szCs w:val="20"/>
                <w:vertAlign w:val="superscript"/>
              </w:rPr>
              <w:t>a</w:t>
            </w:r>
          </w:p>
        </w:tc>
      </w:tr>
      <w:tr w:rsidR="00FF4C16" w:rsidRPr="00C927B9" w:rsidTr="00FD1B45">
        <w:tc>
          <w:tcPr>
            <w:tcW w:w="1379" w:type="pct"/>
            <w:tcBorders>
              <w:bottom w:val="single" w:sz="4" w:space="0" w:color="auto"/>
            </w:tcBorders>
            <w:shd w:val="clear" w:color="auto" w:fill="auto"/>
          </w:tcPr>
          <w:p w:rsidR="00FF4C16" w:rsidRPr="00C927B9" w:rsidRDefault="00FF4C16" w:rsidP="005A5E60">
            <w:pPr>
              <w:pStyle w:val="TableText"/>
              <w:ind w:right="-56"/>
              <w:rPr>
                <w:bCs w:val="0"/>
                <w:sz w:val="20"/>
                <w:szCs w:val="20"/>
              </w:rPr>
            </w:pPr>
            <w:proofErr w:type="spellStart"/>
            <w:r w:rsidRPr="00C927B9">
              <w:rPr>
                <w:bCs w:val="0"/>
                <w:sz w:val="20"/>
                <w:szCs w:val="20"/>
              </w:rPr>
              <w:t>CRi</w:t>
            </w:r>
            <w:proofErr w:type="spellEnd"/>
            <w:r w:rsidRPr="00C927B9">
              <w:rPr>
                <w:bCs w:val="0"/>
                <w:sz w:val="20"/>
                <w:szCs w:val="20"/>
              </w:rPr>
              <w:t xml:space="preserve"> rate, n (%)</w:t>
            </w:r>
          </w:p>
        </w:tc>
        <w:tc>
          <w:tcPr>
            <w:tcW w:w="905" w:type="pct"/>
            <w:tcBorders>
              <w:bottom w:val="single" w:sz="4" w:space="0" w:color="auto"/>
            </w:tcBorders>
            <w:shd w:val="clear" w:color="auto" w:fill="auto"/>
          </w:tcPr>
          <w:p w:rsidR="00FF4C16" w:rsidRPr="00C927B9" w:rsidRDefault="00FF4C16" w:rsidP="005A5E60">
            <w:pPr>
              <w:pStyle w:val="TableText"/>
              <w:jc w:val="center"/>
              <w:rPr>
                <w:sz w:val="20"/>
                <w:szCs w:val="20"/>
              </w:rPr>
            </w:pPr>
            <w:r w:rsidRPr="00C927B9">
              <w:rPr>
                <w:sz w:val="20"/>
                <w:szCs w:val="20"/>
              </w:rPr>
              <w:t>85 (29.7%)</w:t>
            </w:r>
          </w:p>
        </w:tc>
        <w:tc>
          <w:tcPr>
            <w:tcW w:w="906" w:type="pct"/>
            <w:tcBorders>
              <w:bottom w:val="single" w:sz="4" w:space="0" w:color="auto"/>
            </w:tcBorders>
            <w:shd w:val="clear" w:color="auto" w:fill="auto"/>
          </w:tcPr>
          <w:p w:rsidR="00FF4C16" w:rsidRPr="00C927B9" w:rsidRDefault="00FF4C16" w:rsidP="005A5E60">
            <w:pPr>
              <w:pStyle w:val="TableText"/>
              <w:jc w:val="center"/>
              <w:rPr>
                <w:sz w:val="20"/>
                <w:szCs w:val="20"/>
              </w:rPr>
            </w:pPr>
            <w:r w:rsidRPr="00C927B9">
              <w:rPr>
                <w:sz w:val="20"/>
                <w:szCs w:val="20"/>
              </w:rPr>
              <w:t>15 (10.3%)</w:t>
            </w:r>
          </w:p>
        </w:tc>
        <w:tc>
          <w:tcPr>
            <w:tcW w:w="906" w:type="pct"/>
            <w:tcBorders>
              <w:bottom w:val="single" w:sz="4" w:space="0" w:color="auto"/>
            </w:tcBorders>
            <w:shd w:val="clear" w:color="auto" w:fill="auto"/>
          </w:tcPr>
          <w:p w:rsidR="00FF4C16" w:rsidRPr="00C927B9" w:rsidRDefault="00FF4C16" w:rsidP="005A5E60">
            <w:pPr>
              <w:pStyle w:val="TableText"/>
              <w:jc w:val="center"/>
              <w:rPr>
                <w:sz w:val="20"/>
                <w:szCs w:val="20"/>
              </w:rPr>
            </w:pPr>
            <w:r w:rsidRPr="00C927B9">
              <w:rPr>
                <w:sz w:val="20"/>
                <w:szCs w:val="20"/>
              </w:rPr>
              <w:t>106 (37.1%)</w:t>
            </w:r>
          </w:p>
        </w:tc>
        <w:tc>
          <w:tcPr>
            <w:tcW w:w="904" w:type="pct"/>
            <w:tcBorders>
              <w:bottom w:val="single" w:sz="4" w:space="0" w:color="auto"/>
            </w:tcBorders>
            <w:shd w:val="clear" w:color="auto" w:fill="auto"/>
          </w:tcPr>
          <w:p w:rsidR="00FF4C16" w:rsidRPr="00C927B9" w:rsidRDefault="00FF4C16" w:rsidP="005A5E60">
            <w:pPr>
              <w:pStyle w:val="TableText"/>
              <w:jc w:val="center"/>
              <w:rPr>
                <w:sz w:val="20"/>
                <w:szCs w:val="20"/>
              </w:rPr>
            </w:pPr>
            <w:r w:rsidRPr="00C927B9">
              <w:rPr>
                <w:sz w:val="20"/>
                <w:szCs w:val="20"/>
              </w:rPr>
              <w:t>14 (9.7%)</w:t>
            </w:r>
          </w:p>
        </w:tc>
      </w:tr>
      <w:tr w:rsidR="00FF4C16" w:rsidRPr="00C927B9" w:rsidTr="00FD1B45">
        <w:trPr>
          <w:tblHeader/>
        </w:trPr>
        <w:tc>
          <w:tcPr>
            <w:tcW w:w="5000" w:type="pct"/>
            <w:gridSpan w:val="5"/>
            <w:tcBorders>
              <w:bottom w:val="single" w:sz="4" w:space="0" w:color="auto"/>
            </w:tcBorders>
            <w:shd w:val="clear" w:color="auto" w:fill="auto"/>
          </w:tcPr>
          <w:p w:rsidR="00FF4C16" w:rsidRPr="00C927B9" w:rsidRDefault="00FF4C16" w:rsidP="005A5E60">
            <w:pPr>
              <w:pStyle w:val="TableText"/>
              <w:ind w:right="-56"/>
              <w:rPr>
                <w:b/>
                <w:bCs w:val="0"/>
                <w:sz w:val="20"/>
                <w:szCs w:val="20"/>
              </w:rPr>
            </w:pPr>
            <w:r w:rsidRPr="00C927B9">
              <w:rPr>
                <w:b/>
                <w:bCs w:val="0"/>
                <w:sz w:val="20"/>
                <w:szCs w:val="20"/>
              </w:rPr>
              <w:t>Other response outcomes (IWG criteria)</w:t>
            </w:r>
          </w:p>
        </w:tc>
      </w:tr>
      <w:tr w:rsidR="00FF4C16" w:rsidRPr="00C927B9" w:rsidTr="00FD1B45">
        <w:tc>
          <w:tcPr>
            <w:tcW w:w="1379" w:type="pct"/>
            <w:shd w:val="clear" w:color="auto" w:fill="auto"/>
          </w:tcPr>
          <w:p w:rsidR="00FF4C16" w:rsidRPr="00C927B9" w:rsidRDefault="00FF4C16" w:rsidP="005A5E60">
            <w:pPr>
              <w:pStyle w:val="TableText"/>
              <w:ind w:right="-56"/>
              <w:rPr>
                <w:bCs w:val="0"/>
                <w:sz w:val="20"/>
                <w:szCs w:val="20"/>
              </w:rPr>
            </w:pPr>
            <w:r w:rsidRPr="00C927B9">
              <w:rPr>
                <w:bCs w:val="0"/>
                <w:sz w:val="20"/>
                <w:szCs w:val="20"/>
              </w:rPr>
              <w:t>Partial remission, n (%)</w:t>
            </w:r>
          </w:p>
        </w:tc>
        <w:tc>
          <w:tcPr>
            <w:tcW w:w="905" w:type="pct"/>
            <w:shd w:val="clear" w:color="auto" w:fill="auto"/>
            <w:vAlign w:val="center"/>
          </w:tcPr>
          <w:p w:rsidR="00FF4C16" w:rsidRPr="00C927B9" w:rsidRDefault="00FF4C16" w:rsidP="005A5E60">
            <w:pPr>
              <w:pStyle w:val="TableText"/>
              <w:jc w:val="center"/>
              <w:rPr>
                <w:sz w:val="20"/>
                <w:szCs w:val="20"/>
              </w:rPr>
            </w:pPr>
            <w:r w:rsidRPr="00C927B9">
              <w:rPr>
                <w:sz w:val="20"/>
                <w:szCs w:val="20"/>
              </w:rPr>
              <w:t>3 (1.0%)</w:t>
            </w:r>
          </w:p>
        </w:tc>
        <w:tc>
          <w:tcPr>
            <w:tcW w:w="906" w:type="pct"/>
            <w:shd w:val="clear" w:color="auto" w:fill="auto"/>
            <w:vAlign w:val="center"/>
          </w:tcPr>
          <w:p w:rsidR="00FF4C16" w:rsidRPr="00C927B9" w:rsidRDefault="00FF4C16" w:rsidP="005A5E60">
            <w:pPr>
              <w:pStyle w:val="TableText"/>
              <w:jc w:val="center"/>
              <w:rPr>
                <w:sz w:val="20"/>
                <w:szCs w:val="20"/>
              </w:rPr>
            </w:pPr>
            <w:r w:rsidRPr="00C927B9">
              <w:rPr>
                <w:sz w:val="20"/>
                <w:szCs w:val="20"/>
              </w:rPr>
              <w:t>3 (2.1%)</w:t>
            </w:r>
          </w:p>
        </w:tc>
        <w:tc>
          <w:tcPr>
            <w:tcW w:w="906" w:type="pct"/>
            <w:shd w:val="clear" w:color="auto" w:fill="auto"/>
          </w:tcPr>
          <w:p w:rsidR="00FF4C16" w:rsidRPr="00C927B9" w:rsidRDefault="00FF4C16" w:rsidP="005A5E60">
            <w:pPr>
              <w:pStyle w:val="TableText"/>
              <w:jc w:val="center"/>
              <w:rPr>
                <w:sz w:val="20"/>
                <w:szCs w:val="20"/>
              </w:rPr>
            </w:pPr>
            <w:r w:rsidRPr="00C927B9">
              <w:rPr>
                <w:sz w:val="20"/>
                <w:szCs w:val="20"/>
              </w:rPr>
              <w:t>3 (1.0%)</w:t>
            </w:r>
          </w:p>
        </w:tc>
        <w:tc>
          <w:tcPr>
            <w:tcW w:w="904" w:type="pct"/>
            <w:shd w:val="clear" w:color="auto" w:fill="auto"/>
          </w:tcPr>
          <w:p w:rsidR="00FF4C16" w:rsidRPr="00C927B9" w:rsidRDefault="00FF4C16" w:rsidP="005A5E60">
            <w:pPr>
              <w:pStyle w:val="TableText"/>
              <w:jc w:val="center"/>
              <w:rPr>
                <w:sz w:val="20"/>
                <w:szCs w:val="20"/>
              </w:rPr>
            </w:pPr>
            <w:r w:rsidRPr="00C927B9">
              <w:rPr>
                <w:sz w:val="20"/>
                <w:szCs w:val="20"/>
              </w:rPr>
              <w:t>5 (3.4%)</w:t>
            </w:r>
          </w:p>
        </w:tc>
      </w:tr>
      <w:tr w:rsidR="00FF4C16" w:rsidRPr="00C927B9" w:rsidTr="00FD1B45">
        <w:tc>
          <w:tcPr>
            <w:tcW w:w="1379" w:type="pct"/>
            <w:shd w:val="clear" w:color="auto" w:fill="auto"/>
          </w:tcPr>
          <w:p w:rsidR="00FF4C16" w:rsidRPr="00C927B9" w:rsidRDefault="00FF4C16" w:rsidP="005A5E60">
            <w:pPr>
              <w:pStyle w:val="TableText"/>
              <w:ind w:right="-56"/>
              <w:rPr>
                <w:bCs w:val="0"/>
                <w:sz w:val="20"/>
                <w:szCs w:val="20"/>
              </w:rPr>
            </w:pPr>
            <w:r w:rsidRPr="00C927B9">
              <w:rPr>
                <w:bCs w:val="0"/>
                <w:sz w:val="20"/>
                <w:szCs w:val="20"/>
              </w:rPr>
              <w:t>MLFS, n (%)</w:t>
            </w:r>
          </w:p>
        </w:tc>
        <w:tc>
          <w:tcPr>
            <w:tcW w:w="905" w:type="pct"/>
            <w:shd w:val="clear" w:color="auto" w:fill="auto"/>
            <w:vAlign w:val="center"/>
          </w:tcPr>
          <w:p w:rsidR="00FF4C16" w:rsidRPr="00C927B9" w:rsidRDefault="00FF4C16" w:rsidP="005A5E60">
            <w:pPr>
              <w:pStyle w:val="TableText"/>
              <w:jc w:val="center"/>
              <w:rPr>
                <w:sz w:val="20"/>
                <w:szCs w:val="20"/>
              </w:rPr>
            </w:pPr>
            <w:r w:rsidRPr="00C927B9">
              <w:rPr>
                <w:sz w:val="20"/>
                <w:szCs w:val="20"/>
              </w:rPr>
              <w:t>24 (8.4%)</w:t>
            </w:r>
          </w:p>
        </w:tc>
        <w:tc>
          <w:tcPr>
            <w:tcW w:w="906" w:type="pct"/>
            <w:shd w:val="clear" w:color="auto" w:fill="auto"/>
            <w:vAlign w:val="center"/>
          </w:tcPr>
          <w:p w:rsidR="00FF4C16" w:rsidRPr="00C927B9" w:rsidRDefault="00FF4C16" w:rsidP="005A5E60">
            <w:pPr>
              <w:pStyle w:val="TableText"/>
              <w:jc w:val="center"/>
              <w:rPr>
                <w:sz w:val="20"/>
                <w:szCs w:val="20"/>
              </w:rPr>
            </w:pPr>
            <w:r w:rsidRPr="00C927B9">
              <w:rPr>
                <w:sz w:val="20"/>
                <w:szCs w:val="20"/>
              </w:rPr>
              <w:t>6 (4.1%)</w:t>
            </w:r>
          </w:p>
        </w:tc>
        <w:tc>
          <w:tcPr>
            <w:tcW w:w="906" w:type="pct"/>
            <w:shd w:val="clear" w:color="auto" w:fill="auto"/>
          </w:tcPr>
          <w:p w:rsidR="00FF4C16" w:rsidRPr="00C927B9" w:rsidRDefault="00FF4C16" w:rsidP="005A5E60">
            <w:pPr>
              <w:pStyle w:val="TableText"/>
              <w:jc w:val="center"/>
              <w:rPr>
                <w:sz w:val="20"/>
                <w:szCs w:val="20"/>
              </w:rPr>
            </w:pPr>
            <w:r w:rsidRPr="00C927B9">
              <w:rPr>
                <w:sz w:val="20"/>
                <w:szCs w:val="20"/>
              </w:rPr>
              <w:t>29 (10.1%)</w:t>
            </w:r>
          </w:p>
        </w:tc>
        <w:tc>
          <w:tcPr>
            <w:tcW w:w="904" w:type="pct"/>
            <w:shd w:val="clear" w:color="auto" w:fill="auto"/>
          </w:tcPr>
          <w:p w:rsidR="00FF4C16" w:rsidRPr="00C927B9" w:rsidRDefault="00FF4C16" w:rsidP="005A5E60">
            <w:pPr>
              <w:pStyle w:val="TableText"/>
              <w:jc w:val="center"/>
              <w:rPr>
                <w:sz w:val="20"/>
                <w:szCs w:val="20"/>
              </w:rPr>
            </w:pPr>
            <w:r w:rsidRPr="00C927B9">
              <w:rPr>
                <w:sz w:val="20"/>
                <w:szCs w:val="20"/>
              </w:rPr>
              <w:t>5 (3.4%)</w:t>
            </w:r>
          </w:p>
        </w:tc>
      </w:tr>
      <w:tr w:rsidR="00FF4C16" w:rsidRPr="00C927B9" w:rsidTr="00FD1B45">
        <w:tc>
          <w:tcPr>
            <w:tcW w:w="1379" w:type="pct"/>
            <w:shd w:val="clear" w:color="auto" w:fill="auto"/>
          </w:tcPr>
          <w:p w:rsidR="00FF4C16" w:rsidRPr="00C927B9" w:rsidRDefault="00FF4C16" w:rsidP="005A5E60">
            <w:pPr>
              <w:pStyle w:val="TableText"/>
              <w:ind w:right="-56"/>
              <w:rPr>
                <w:bCs w:val="0"/>
                <w:sz w:val="20"/>
                <w:szCs w:val="20"/>
              </w:rPr>
            </w:pPr>
            <w:r w:rsidRPr="00C927B9">
              <w:rPr>
                <w:bCs w:val="0"/>
                <w:sz w:val="20"/>
                <w:szCs w:val="20"/>
              </w:rPr>
              <w:t>Resistant disease, n (%)</w:t>
            </w:r>
          </w:p>
        </w:tc>
        <w:tc>
          <w:tcPr>
            <w:tcW w:w="905" w:type="pct"/>
            <w:shd w:val="clear" w:color="auto" w:fill="auto"/>
            <w:vAlign w:val="center"/>
          </w:tcPr>
          <w:p w:rsidR="00FF4C16" w:rsidRPr="00C927B9" w:rsidRDefault="00FF4C16" w:rsidP="005A5E60">
            <w:pPr>
              <w:pStyle w:val="TableText"/>
              <w:jc w:val="center"/>
              <w:rPr>
                <w:sz w:val="20"/>
                <w:szCs w:val="20"/>
              </w:rPr>
            </w:pPr>
            <w:r w:rsidRPr="00C927B9">
              <w:rPr>
                <w:sz w:val="20"/>
                <w:szCs w:val="20"/>
              </w:rPr>
              <w:t>36 (12.6%)</w:t>
            </w:r>
          </w:p>
        </w:tc>
        <w:tc>
          <w:tcPr>
            <w:tcW w:w="906" w:type="pct"/>
            <w:shd w:val="clear" w:color="auto" w:fill="auto"/>
            <w:vAlign w:val="center"/>
          </w:tcPr>
          <w:p w:rsidR="00FF4C16" w:rsidRPr="00C927B9" w:rsidRDefault="00FF4C16" w:rsidP="005A5E60">
            <w:pPr>
              <w:pStyle w:val="TableText"/>
              <w:jc w:val="center"/>
              <w:rPr>
                <w:sz w:val="20"/>
                <w:szCs w:val="20"/>
              </w:rPr>
            </w:pPr>
            <w:r w:rsidRPr="00C927B9">
              <w:rPr>
                <w:sz w:val="20"/>
                <w:szCs w:val="20"/>
              </w:rPr>
              <w:t>69 (47.6%)</w:t>
            </w:r>
          </w:p>
        </w:tc>
        <w:tc>
          <w:tcPr>
            <w:tcW w:w="906" w:type="pct"/>
            <w:shd w:val="clear" w:color="auto" w:fill="auto"/>
          </w:tcPr>
          <w:p w:rsidR="00FF4C16" w:rsidRPr="00C927B9" w:rsidRDefault="00FF4C16" w:rsidP="005A5E60">
            <w:pPr>
              <w:pStyle w:val="TableText"/>
              <w:jc w:val="center"/>
              <w:rPr>
                <w:sz w:val="20"/>
                <w:szCs w:val="20"/>
              </w:rPr>
            </w:pPr>
            <w:r w:rsidRPr="00C927B9">
              <w:rPr>
                <w:sz w:val="20"/>
                <w:szCs w:val="20"/>
              </w:rPr>
              <w:t>40 (14.0%)</w:t>
            </w:r>
          </w:p>
        </w:tc>
        <w:tc>
          <w:tcPr>
            <w:tcW w:w="904" w:type="pct"/>
            <w:shd w:val="clear" w:color="auto" w:fill="auto"/>
          </w:tcPr>
          <w:p w:rsidR="00FF4C16" w:rsidRPr="00C927B9" w:rsidRDefault="00FF4C16" w:rsidP="005A5E60">
            <w:pPr>
              <w:pStyle w:val="TableText"/>
              <w:jc w:val="center"/>
              <w:rPr>
                <w:sz w:val="20"/>
                <w:szCs w:val="20"/>
              </w:rPr>
            </w:pPr>
            <w:r w:rsidRPr="00C927B9">
              <w:rPr>
                <w:sz w:val="20"/>
                <w:szCs w:val="20"/>
              </w:rPr>
              <w:t>70 (48.3%)</w:t>
            </w:r>
          </w:p>
        </w:tc>
      </w:tr>
      <w:tr w:rsidR="00FF4C16" w:rsidRPr="00C927B9" w:rsidTr="00FD1B45">
        <w:tc>
          <w:tcPr>
            <w:tcW w:w="1379" w:type="pct"/>
            <w:shd w:val="clear" w:color="auto" w:fill="auto"/>
          </w:tcPr>
          <w:p w:rsidR="00FF4C16" w:rsidRPr="00C927B9" w:rsidRDefault="00FF4C16" w:rsidP="005A5E60">
            <w:pPr>
              <w:pStyle w:val="TableText"/>
              <w:ind w:right="-56"/>
              <w:rPr>
                <w:bCs w:val="0"/>
                <w:sz w:val="20"/>
                <w:szCs w:val="20"/>
              </w:rPr>
            </w:pPr>
            <w:r w:rsidRPr="00C927B9">
              <w:rPr>
                <w:bCs w:val="0"/>
                <w:sz w:val="20"/>
                <w:szCs w:val="20"/>
              </w:rPr>
              <w:t>Progressed disease, n (%)</w:t>
            </w:r>
          </w:p>
        </w:tc>
        <w:tc>
          <w:tcPr>
            <w:tcW w:w="905" w:type="pct"/>
            <w:shd w:val="clear" w:color="auto" w:fill="auto"/>
            <w:vAlign w:val="center"/>
          </w:tcPr>
          <w:p w:rsidR="00FF4C16" w:rsidRPr="00C927B9" w:rsidRDefault="00FF4C16" w:rsidP="005A5E60">
            <w:pPr>
              <w:pStyle w:val="TableText"/>
              <w:jc w:val="center"/>
              <w:rPr>
                <w:sz w:val="20"/>
                <w:szCs w:val="20"/>
              </w:rPr>
            </w:pPr>
            <w:r w:rsidRPr="00C927B9">
              <w:rPr>
                <w:sz w:val="20"/>
                <w:szCs w:val="20"/>
              </w:rPr>
              <w:t>3 (1.0%)</w:t>
            </w:r>
          </w:p>
        </w:tc>
        <w:tc>
          <w:tcPr>
            <w:tcW w:w="906" w:type="pct"/>
            <w:shd w:val="clear" w:color="auto" w:fill="auto"/>
            <w:vAlign w:val="center"/>
          </w:tcPr>
          <w:p w:rsidR="00FF4C16" w:rsidRPr="00C927B9" w:rsidRDefault="00FF4C16" w:rsidP="005A5E60">
            <w:pPr>
              <w:pStyle w:val="TableText"/>
              <w:jc w:val="center"/>
              <w:rPr>
                <w:sz w:val="20"/>
                <w:szCs w:val="20"/>
              </w:rPr>
            </w:pPr>
            <w:r w:rsidRPr="00C927B9">
              <w:rPr>
                <w:sz w:val="20"/>
                <w:szCs w:val="20"/>
              </w:rPr>
              <w:t>6 (4.1%)</w:t>
            </w:r>
          </w:p>
        </w:tc>
        <w:tc>
          <w:tcPr>
            <w:tcW w:w="906" w:type="pct"/>
            <w:shd w:val="clear" w:color="auto" w:fill="auto"/>
          </w:tcPr>
          <w:p w:rsidR="00FF4C16" w:rsidRPr="00C927B9" w:rsidRDefault="00FF4C16" w:rsidP="005A5E60">
            <w:pPr>
              <w:pStyle w:val="TableText"/>
              <w:jc w:val="center"/>
              <w:rPr>
                <w:sz w:val="20"/>
                <w:szCs w:val="20"/>
              </w:rPr>
            </w:pPr>
            <w:r w:rsidRPr="00C927B9">
              <w:rPr>
                <w:sz w:val="20"/>
                <w:szCs w:val="20"/>
              </w:rPr>
              <w:t>2 (0.7%)</w:t>
            </w:r>
          </w:p>
        </w:tc>
        <w:tc>
          <w:tcPr>
            <w:tcW w:w="904" w:type="pct"/>
            <w:shd w:val="clear" w:color="auto" w:fill="auto"/>
          </w:tcPr>
          <w:p w:rsidR="00FF4C16" w:rsidRPr="00C927B9" w:rsidRDefault="00FF4C16" w:rsidP="005A5E60">
            <w:pPr>
              <w:pStyle w:val="TableText"/>
              <w:jc w:val="center"/>
              <w:rPr>
                <w:sz w:val="20"/>
                <w:szCs w:val="20"/>
              </w:rPr>
            </w:pPr>
            <w:r w:rsidRPr="00C927B9">
              <w:rPr>
                <w:sz w:val="20"/>
                <w:szCs w:val="20"/>
              </w:rPr>
              <w:t>5 (3.4%)</w:t>
            </w:r>
          </w:p>
        </w:tc>
      </w:tr>
      <w:tr w:rsidR="00FF4C16" w:rsidRPr="00C927B9" w:rsidTr="00FD1B45">
        <w:tc>
          <w:tcPr>
            <w:tcW w:w="1379" w:type="pct"/>
            <w:shd w:val="clear" w:color="auto" w:fill="auto"/>
          </w:tcPr>
          <w:p w:rsidR="00FF4C16" w:rsidRPr="00C927B9" w:rsidRDefault="00FF4C16" w:rsidP="005A5E60">
            <w:pPr>
              <w:pStyle w:val="TableText"/>
              <w:ind w:right="-56"/>
              <w:rPr>
                <w:bCs w:val="0"/>
                <w:sz w:val="20"/>
                <w:szCs w:val="20"/>
              </w:rPr>
            </w:pPr>
            <w:r w:rsidRPr="00C927B9">
              <w:rPr>
                <w:bCs w:val="0"/>
                <w:sz w:val="20"/>
                <w:szCs w:val="20"/>
              </w:rPr>
              <w:t>Discontinued, no data, n (%)</w:t>
            </w:r>
          </w:p>
        </w:tc>
        <w:tc>
          <w:tcPr>
            <w:tcW w:w="905" w:type="pct"/>
            <w:shd w:val="clear" w:color="auto" w:fill="auto"/>
            <w:vAlign w:val="center"/>
          </w:tcPr>
          <w:p w:rsidR="00FF4C16" w:rsidRPr="00C927B9" w:rsidRDefault="00FF4C16" w:rsidP="005A5E60">
            <w:pPr>
              <w:pStyle w:val="TableText"/>
              <w:jc w:val="center"/>
              <w:rPr>
                <w:sz w:val="20"/>
                <w:szCs w:val="20"/>
              </w:rPr>
            </w:pPr>
            <w:r w:rsidRPr="00C927B9">
              <w:rPr>
                <w:sz w:val="20"/>
                <w:szCs w:val="20"/>
              </w:rPr>
              <w:t>30 (10.5%)</w:t>
            </w:r>
          </w:p>
        </w:tc>
        <w:tc>
          <w:tcPr>
            <w:tcW w:w="906" w:type="pct"/>
            <w:shd w:val="clear" w:color="auto" w:fill="auto"/>
            <w:vAlign w:val="center"/>
          </w:tcPr>
          <w:p w:rsidR="00FF4C16" w:rsidRPr="00C927B9" w:rsidRDefault="00FF4C16" w:rsidP="005A5E60">
            <w:pPr>
              <w:pStyle w:val="TableText"/>
              <w:jc w:val="center"/>
              <w:rPr>
                <w:sz w:val="20"/>
                <w:szCs w:val="20"/>
              </w:rPr>
            </w:pPr>
            <w:r w:rsidRPr="00C927B9">
              <w:rPr>
                <w:sz w:val="20"/>
                <w:szCs w:val="20"/>
              </w:rPr>
              <w:t>20 (13.8%)</w:t>
            </w:r>
          </w:p>
        </w:tc>
        <w:tc>
          <w:tcPr>
            <w:tcW w:w="906" w:type="pct"/>
            <w:shd w:val="clear" w:color="auto" w:fill="auto"/>
          </w:tcPr>
          <w:p w:rsidR="00FF4C16" w:rsidRPr="00C927B9" w:rsidRDefault="00FF4C16" w:rsidP="005A5E60">
            <w:pPr>
              <w:pStyle w:val="TableText"/>
              <w:jc w:val="center"/>
              <w:rPr>
                <w:sz w:val="20"/>
                <w:szCs w:val="20"/>
              </w:rPr>
            </w:pPr>
            <w:r w:rsidRPr="00C927B9">
              <w:rPr>
                <w:sz w:val="20"/>
                <w:szCs w:val="20"/>
              </w:rPr>
              <w:t>34 (11.9%)</w:t>
            </w:r>
          </w:p>
        </w:tc>
        <w:tc>
          <w:tcPr>
            <w:tcW w:w="904" w:type="pct"/>
            <w:shd w:val="clear" w:color="auto" w:fill="auto"/>
          </w:tcPr>
          <w:p w:rsidR="00FF4C16" w:rsidRPr="00C927B9" w:rsidRDefault="00FF4C16" w:rsidP="005A5E60">
            <w:pPr>
              <w:pStyle w:val="TableText"/>
              <w:jc w:val="center"/>
              <w:rPr>
                <w:sz w:val="20"/>
                <w:szCs w:val="20"/>
              </w:rPr>
            </w:pPr>
            <w:r w:rsidRPr="00C927B9">
              <w:rPr>
                <w:sz w:val="20"/>
                <w:szCs w:val="20"/>
              </w:rPr>
              <w:t>21 (14.5%)</w:t>
            </w:r>
          </w:p>
        </w:tc>
      </w:tr>
    </w:tbl>
    <w:p w:rsidR="00FF4C16" w:rsidRPr="00C927B9" w:rsidRDefault="00FF4C16" w:rsidP="005A5E60">
      <w:pPr>
        <w:pStyle w:val="TableFigureFooter"/>
        <w:keepNext/>
        <w:rPr>
          <w:lang w:val="en-AU"/>
        </w:rPr>
      </w:pPr>
      <w:r w:rsidRPr="00C927B9">
        <w:rPr>
          <w:lang w:val="en-AU"/>
        </w:rPr>
        <w:t>Source: Tables 2-33 and 2-34, pp.126-127 of the submission.</w:t>
      </w:r>
    </w:p>
    <w:p w:rsidR="00FF4C16" w:rsidRPr="00C927B9" w:rsidRDefault="00FF4C16" w:rsidP="005A5E60">
      <w:pPr>
        <w:pStyle w:val="TableFigureFooter"/>
        <w:keepNext/>
        <w:rPr>
          <w:lang w:val="en-AU"/>
        </w:rPr>
      </w:pPr>
      <w:r w:rsidRPr="00C927B9">
        <w:rPr>
          <w:lang w:val="en-AU"/>
        </w:rPr>
        <w:t xml:space="preserve">Abbreviations: AZA, azacitidine; CI, confidence interval; CR, complete remission; </w:t>
      </w:r>
      <w:proofErr w:type="spellStart"/>
      <w:r w:rsidRPr="00C927B9">
        <w:rPr>
          <w:lang w:val="en-AU"/>
        </w:rPr>
        <w:t>CRi</w:t>
      </w:r>
      <w:proofErr w:type="spellEnd"/>
      <w:r w:rsidRPr="00C927B9">
        <w:rPr>
          <w:lang w:val="en-AU"/>
        </w:rPr>
        <w:t xml:space="preserve">, complete remission with incomplete blood count recovery; FAS, full analysis set; </w:t>
      </w:r>
      <w:r w:rsidR="00377818" w:rsidRPr="00C927B9">
        <w:rPr>
          <w:lang w:val="en-AU"/>
        </w:rPr>
        <w:t xml:space="preserve">IRC, independent review committee; </w:t>
      </w:r>
      <w:r w:rsidRPr="00C927B9">
        <w:rPr>
          <w:lang w:val="en-AU"/>
        </w:rPr>
        <w:t xml:space="preserve">IWG, International Working Group; MLFS, morphologically leukaemia free state; PBO, placebo; </w:t>
      </w:r>
      <w:r w:rsidRPr="00C927B9">
        <w:rPr>
          <w:bCs/>
          <w:lang w:val="en-AU"/>
        </w:rPr>
        <w:t xml:space="preserve">VTX, </w:t>
      </w:r>
      <w:r w:rsidRPr="00C927B9">
        <w:rPr>
          <w:lang w:val="en-AU"/>
        </w:rPr>
        <w:t>venetoclax.</w:t>
      </w:r>
    </w:p>
    <w:p w:rsidR="00FF4C16" w:rsidRPr="00C927B9" w:rsidRDefault="00FF4C16" w:rsidP="00FF4C16">
      <w:pPr>
        <w:pStyle w:val="TableFigureFooter"/>
        <w:rPr>
          <w:lang w:val="en-AU"/>
        </w:rPr>
      </w:pPr>
      <w:proofErr w:type="gramStart"/>
      <w:r w:rsidRPr="00C927B9">
        <w:rPr>
          <w:vertAlign w:val="superscript"/>
          <w:lang w:val="en-AU"/>
        </w:rPr>
        <w:t>a</w:t>
      </w:r>
      <w:proofErr w:type="gramEnd"/>
      <w:r w:rsidRPr="00C927B9">
        <w:rPr>
          <w:lang w:val="en-AU"/>
        </w:rPr>
        <w:t xml:space="preserve"> Calculated for the submission post-hoc using Review Manager 5.4 (Attachment 5 of the submission).</w:t>
      </w:r>
    </w:p>
    <w:p w:rsidR="00FF4C16" w:rsidRPr="00C927B9" w:rsidRDefault="00FF4C16" w:rsidP="00FF4C16">
      <w:pPr>
        <w:pStyle w:val="TableFigureFooter"/>
        <w:rPr>
          <w:lang w:val="en-AU"/>
        </w:rPr>
      </w:pPr>
      <w:r w:rsidRPr="00C927B9">
        <w:rPr>
          <w:lang w:val="en-AU"/>
        </w:rPr>
        <w:t>Note: Patients randomised but with no disease assessment were treated as non-responders.</w:t>
      </w:r>
    </w:p>
    <w:p w:rsidR="00FF4C16" w:rsidRPr="00C927B9" w:rsidRDefault="00FF4C16" w:rsidP="00FF4C16">
      <w:pPr>
        <w:pStyle w:val="ExecSumBodyText"/>
        <w:rPr>
          <w:lang w:val="en-AU"/>
        </w:rPr>
      </w:pPr>
      <w:r w:rsidRPr="00C927B9">
        <w:rPr>
          <w:lang w:val="en-AU"/>
        </w:rPr>
        <w:t xml:space="preserve">Statistically significantly larger proportions of patients treated with venetoclax with azacitidine assessed by investigators, achieved complete remission (CR; odds ratio 2.66, 95% CI: 1.63, 4.32), and the composite of complete remission or complete remission with incomplete blood count recovery (CR + </w:t>
      </w:r>
      <w:proofErr w:type="spellStart"/>
      <w:r w:rsidRPr="00C927B9">
        <w:rPr>
          <w:lang w:val="en-AU"/>
        </w:rPr>
        <w:t>CRi</w:t>
      </w:r>
      <w:proofErr w:type="spellEnd"/>
      <w:r w:rsidRPr="00C927B9">
        <w:rPr>
          <w:lang w:val="en-AU"/>
        </w:rPr>
        <w:t xml:space="preserve">; odds ratio 5.02, 95% CI: 3.24, 7.77) compared to azacitidine alone. Similar results were reported for the IRC assessed composite of CR + </w:t>
      </w:r>
      <w:proofErr w:type="spellStart"/>
      <w:r w:rsidRPr="00C927B9">
        <w:rPr>
          <w:lang w:val="en-AU"/>
        </w:rPr>
        <w:t>CRi</w:t>
      </w:r>
      <w:proofErr w:type="spellEnd"/>
      <w:r w:rsidRPr="00C927B9">
        <w:rPr>
          <w:lang w:val="en-AU"/>
        </w:rPr>
        <w:t xml:space="preserve">. However, results of the IRC assessed CR favoured venetoclax + azacitidine, but were not statistically significant. Other outcomes of response to treatment consistently favoured venetoclax </w:t>
      </w:r>
      <w:r w:rsidR="00995548" w:rsidRPr="00C927B9">
        <w:rPr>
          <w:lang w:val="en-AU"/>
        </w:rPr>
        <w:t>with</w:t>
      </w:r>
      <w:r w:rsidRPr="00C927B9">
        <w:rPr>
          <w:lang w:val="en-AU"/>
        </w:rPr>
        <w:t xml:space="preserve"> azacitidine.</w:t>
      </w:r>
    </w:p>
    <w:p w:rsidR="00FF4C16" w:rsidRPr="00C927B9" w:rsidRDefault="00FF4C16" w:rsidP="00FF4C16">
      <w:pPr>
        <w:pStyle w:val="ExecSumBodyText"/>
        <w:rPr>
          <w:lang w:val="en-AU"/>
        </w:rPr>
      </w:pPr>
      <w:r w:rsidRPr="00C927B9">
        <w:rPr>
          <w:lang w:val="en-AU"/>
        </w:rPr>
        <w:t xml:space="preserve">Statistically significantly larger proportions of patients treated with venetoclax with azacitidine achieved red blood cell </w:t>
      </w:r>
      <w:r w:rsidR="00583CCA" w:rsidRPr="00C927B9">
        <w:rPr>
          <w:lang w:val="en-AU"/>
        </w:rPr>
        <w:t xml:space="preserve">(RBC) </w:t>
      </w:r>
      <w:r w:rsidRPr="00C927B9">
        <w:rPr>
          <w:lang w:val="en-AU"/>
        </w:rPr>
        <w:t xml:space="preserve">and/or platelet transfusion independence, experiencing 56 days without a RBC and/or platelet transfusion, compared to azacitidine alone (odds ratio 2.71, 95% CI: 1.79, 4.11). </w:t>
      </w:r>
    </w:p>
    <w:p w:rsidR="00FF4C16" w:rsidRPr="00C927B9" w:rsidRDefault="00FF4C16" w:rsidP="00FF4C16">
      <w:pPr>
        <w:pStyle w:val="ExecSumBodyText"/>
        <w:rPr>
          <w:lang w:val="en-AU"/>
        </w:rPr>
      </w:pPr>
      <w:r w:rsidRPr="00C927B9">
        <w:rPr>
          <w:lang w:val="en-AU"/>
        </w:rPr>
        <w:t xml:space="preserve">Baseline EQ-5D index scores were similar </w:t>
      </w:r>
      <w:r w:rsidR="0007792B" w:rsidRPr="00C927B9">
        <w:rPr>
          <w:lang w:val="en-AU"/>
        </w:rPr>
        <w:t>for</w:t>
      </w:r>
      <w:r w:rsidRPr="00C927B9">
        <w:rPr>
          <w:lang w:val="en-AU"/>
        </w:rPr>
        <w:t xml:space="preserve"> patients treated with venetoclax with azacitidine (0.76) compared to azacitidine alone (0.70), remained similar at each reference point up to Cycle 21, and showed no statistically significant difference between treatment arms in change from baseline at any reference point. </w:t>
      </w:r>
    </w:p>
    <w:p w:rsidR="00FF4C16" w:rsidRPr="00C927B9" w:rsidRDefault="00FF4C16" w:rsidP="00FF4C16">
      <w:pPr>
        <w:pStyle w:val="ExecSumBodyText"/>
        <w:rPr>
          <w:lang w:val="en-AU"/>
        </w:rPr>
      </w:pPr>
      <w:r w:rsidRPr="00C927B9">
        <w:rPr>
          <w:lang w:val="en-AU"/>
        </w:rPr>
        <w:lastRenderedPageBreak/>
        <w:t>Similarly, there was no statistically significant difference between treatment arms in change from baseline in EORTC QLQ-C30 scores between patients treated with venetoclax with azacitidine compared to azacitidine alone at any reference point.</w:t>
      </w:r>
    </w:p>
    <w:p w:rsidR="009A3D20" w:rsidRPr="00C927B9" w:rsidRDefault="009A3D20" w:rsidP="009A3D20">
      <w:pPr>
        <w:pStyle w:val="4-SubsectSubhead"/>
        <w:rPr>
          <w:sz w:val="24"/>
          <w:lang w:val="en-AU"/>
        </w:rPr>
      </w:pPr>
      <w:r w:rsidRPr="00C927B9">
        <w:rPr>
          <w:sz w:val="24"/>
          <w:lang w:val="en-AU"/>
        </w:rPr>
        <w:t>Venetoclax with azacitidine vs LoDAC (indirect treatment comparison, ITC)</w:t>
      </w:r>
    </w:p>
    <w:p w:rsidR="005C7C6F" w:rsidRPr="00C927B9" w:rsidRDefault="005C7C6F" w:rsidP="005C7C6F">
      <w:pPr>
        <w:pStyle w:val="ExecSumBodyText"/>
        <w:rPr>
          <w:lang w:val="en-AU"/>
        </w:rPr>
      </w:pPr>
      <w:r w:rsidRPr="00C927B9">
        <w:rPr>
          <w:lang w:val="en-AU"/>
        </w:rPr>
        <w:t>The Bucher method was used for the analysis of the indirect treatment comparison of venetoclax with azacitidine compared to LoDAC, based on the results for overall survival (hazard ratios) and remission rates (odds ratio) from the M15-656 and AZA-AML-001 trials. The transitivity and comparability between trials was not adequately addressed in the submission.</w:t>
      </w:r>
      <w:r w:rsidR="008D478A" w:rsidRPr="00C927B9">
        <w:rPr>
          <w:lang w:val="en-AU"/>
        </w:rPr>
        <w:t xml:space="preserve"> </w:t>
      </w:r>
    </w:p>
    <w:p w:rsidR="005C7C6F" w:rsidRPr="00C927B9" w:rsidRDefault="005C7C6F" w:rsidP="005C7C6F">
      <w:pPr>
        <w:pStyle w:val="ExecSumBodyText"/>
        <w:rPr>
          <w:lang w:val="en-AU"/>
        </w:rPr>
      </w:pPr>
      <w:r w:rsidRPr="00C927B9">
        <w:rPr>
          <w:lang w:val="en-AU"/>
        </w:rPr>
        <w:t xml:space="preserve">There were substantial differences between the AZA-AML-001 and AZA-001 trials in terms of age, gender and ECOG status. The AZA-AML-001 study included subjects aged ≥ 65 years with newly diagnosed de novo or secondary AML, while the AZA-001 trial included patients aged ≥18 years with </w:t>
      </w:r>
      <w:r w:rsidR="00625D4D" w:rsidRPr="00C927B9">
        <w:rPr>
          <w:lang w:val="en-AU"/>
        </w:rPr>
        <w:t>myelodysplastic syndrome or chronic myelomonocytic leukaemia,</w:t>
      </w:r>
      <w:r w:rsidRPr="00C927B9">
        <w:rPr>
          <w:lang w:val="en-AU"/>
        </w:rPr>
        <w:t xml:space="preserve"> and excluded patients with secondary or treatment related AML. Meta-analysis of the AZA-AML-001 and AZA-001 trials may not be appropriate. The applicability of the AZA-AML-001 and AZA-001 low intensity therapy subgroups was not adequately explained and may not be reasonable.</w:t>
      </w:r>
    </w:p>
    <w:p w:rsidR="005C7C6F" w:rsidRPr="00C927B9" w:rsidRDefault="005C7C6F" w:rsidP="005C7C6F">
      <w:pPr>
        <w:pStyle w:val="ExecSumBodyText"/>
        <w:rPr>
          <w:lang w:val="en-AU"/>
        </w:rPr>
      </w:pPr>
      <w:r w:rsidRPr="00C927B9">
        <w:rPr>
          <w:lang w:val="en-AU"/>
        </w:rPr>
        <w:t xml:space="preserve">There were substantial differences between the M15-656 </w:t>
      </w:r>
      <w:proofErr w:type="gramStart"/>
      <w:r w:rsidRPr="00C927B9">
        <w:rPr>
          <w:lang w:val="en-AU"/>
        </w:rPr>
        <w:t>trial</w:t>
      </w:r>
      <w:proofErr w:type="gramEnd"/>
      <w:r w:rsidRPr="00C927B9">
        <w:rPr>
          <w:lang w:val="en-AU"/>
        </w:rPr>
        <w:t xml:space="preserve"> and the AZA-AML-001 and AZA-001 studies in terms of inclusion criteria, history of prior </w:t>
      </w:r>
      <w:r w:rsidR="00625D4D" w:rsidRPr="00C927B9">
        <w:rPr>
          <w:lang w:val="en-AU"/>
        </w:rPr>
        <w:t xml:space="preserve">myelodysplastic syndrome </w:t>
      </w:r>
      <w:r w:rsidRPr="00C927B9">
        <w:rPr>
          <w:lang w:val="en-AU"/>
        </w:rPr>
        <w:t>and baseline ECOG status. Insufficient data were provided for the criteria used to select patients for low intensity therapies, as well as patient demographic and baseline disease characteristics of the AZA-AML-001 and AZA-001 low intensity azacitidine subgroups, and therefore, appropriate evaluation of the studies and the ITC was limited.</w:t>
      </w:r>
    </w:p>
    <w:p w:rsidR="005C7C6F" w:rsidRPr="00C927B9" w:rsidRDefault="005C7C6F" w:rsidP="005C7C6F">
      <w:pPr>
        <w:pStyle w:val="ExecSumBodyText"/>
        <w:rPr>
          <w:lang w:val="en-AU"/>
        </w:rPr>
      </w:pPr>
      <w:r w:rsidRPr="00C927B9">
        <w:rPr>
          <w:lang w:val="en-AU"/>
        </w:rPr>
        <w:t xml:space="preserve">Table 7 summarises the results for overall survival in the indirect treatment comparison between venetoclax with azacitidine versus LoDAC, and sensitivity analysis including a meta-analysis of the AZA-AML-001 and AZA-001 studies. </w:t>
      </w:r>
    </w:p>
    <w:p w:rsidR="005C7C6F" w:rsidRPr="00C927B9" w:rsidRDefault="0060344B" w:rsidP="0060344B">
      <w:pPr>
        <w:pStyle w:val="Caption"/>
        <w:rPr>
          <w:lang w:val="en-AU"/>
        </w:rPr>
      </w:pPr>
      <w:r w:rsidRPr="00C927B9">
        <w:rPr>
          <w:lang w:val="en-AU"/>
        </w:rPr>
        <w:lastRenderedPageBreak/>
        <w:t xml:space="preserve">Table </w:t>
      </w:r>
      <w:r w:rsidR="00DB3600" w:rsidRPr="00C927B9">
        <w:rPr>
          <w:lang w:val="en-AU"/>
        </w:rPr>
        <w:t>7</w:t>
      </w:r>
      <w:r w:rsidRPr="00C927B9">
        <w:rPr>
          <w:lang w:val="en-AU"/>
        </w:rPr>
        <w:t xml:space="preserve">: </w:t>
      </w:r>
      <w:r w:rsidR="005C7C6F" w:rsidRPr="00C927B9">
        <w:rPr>
          <w:lang w:val="en-AU"/>
        </w:rPr>
        <w:t>Results of overall survival in the indirect comparison of venetoclax + azacitidine versus LoDAC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71"/>
        <w:gridCol w:w="1772"/>
        <w:gridCol w:w="1772"/>
        <w:gridCol w:w="1894"/>
      </w:tblGrid>
      <w:tr w:rsidR="005C7C6F" w:rsidRPr="00C927B9" w:rsidTr="00A23DAB">
        <w:trPr>
          <w:trHeight w:val="152"/>
          <w:tblHeader/>
          <w:jc w:val="center"/>
        </w:trPr>
        <w:tc>
          <w:tcPr>
            <w:tcW w:w="1813" w:type="dxa"/>
            <w:vMerge w:val="restart"/>
            <w:shd w:val="clear" w:color="auto" w:fill="auto"/>
            <w:vAlign w:val="center"/>
          </w:tcPr>
          <w:p w:rsidR="005C7C6F" w:rsidRPr="00C927B9" w:rsidRDefault="005C7C6F" w:rsidP="00574791">
            <w:pPr>
              <w:pStyle w:val="Tableheadingrow"/>
              <w:rPr>
                <w:szCs w:val="20"/>
                <w:lang w:val="en-AU"/>
              </w:rPr>
            </w:pPr>
            <w:r w:rsidRPr="00C927B9">
              <w:rPr>
                <w:szCs w:val="20"/>
                <w:lang w:val="en-AU"/>
              </w:rPr>
              <w:t>Trial</w:t>
            </w:r>
          </w:p>
        </w:tc>
        <w:tc>
          <w:tcPr>
            <w:tcW w:w="5327" w:type="dxa"/>
            <w:gridSpan w:val="3"/>
            <w:shd w:val="clear" w:color="auto" w:fill="auto"/>
          </w:tcPr>
          <w:p w:rsidR="005C7C6F" w:rsidRPr="00C927B9" w:rsidRDefault="005C7C6F" w:rsidP="00574791">
            <w:pPr>
              <w:pStyle w:val="Tableheadingrow"/>
              <w:jc w:val="center"/>
              <w:rPr>
                <w:szCs w:val="20"/>
                <w:lang w:val="en-AU"/>
              </w:rPr>
            </w:pPr>
            <w:r w:rsidRPr="00C927B9">
              <w:rPr>
                <w:bCs/>
                <w:szCs w:val="20"/>
                <w:lang w:val="en-AU"/>
              </w:rPr>
              <w:t>Median time to event, months (95% CI)</w:t>
            </w:r>
          </w:p>
        </w:tc>
        <w:tc>
          <w:tcPr>
            <w:tcW w:w="1898" w:type="dxa"/>
            <w:vMerge w:val="restart"/>
            <w:shd w:val="clear" w:color="auto" w:fill="auto"/>
            <w:vAlign w:val="center"/>
          </w:tcPr>
          <w:p w:rsidR="005C7C6F" w:rsidRPr="00C927B9" w:rsidRDefault="005C7C6F" w:rsidP="00574791">
            <w:pPr>
              <w:pStyle w:val="Tableheadingrow"/>
              <w:jc w:val="center"/>
              <w:rPr>
                <w:szCs w:val="20"/>
                <w:lang w:val="en-AU"/>
              </w:rPr>
            </w:pPr>
            <w:r w:rsidRPr="00C927B9">
              <w:rPr>
                <w:szCs w:val="20"/>
                <w:lang w:val="en-AU"/>
              </w:rPr>
              <w:t>Hazard ratio</w:t>
            </w:r>
          </w:p>
          <w:p w:rsidR="005C7C6F" w:rsidRPr="00C927B9" w:rsidRDefault="005C7C6F" w:rsidP="00574791">
            <w:pPr>
              <w:pStyle w:val="Tableheadingrow"/>
              <w:jc w:val="center"/>
              <w:rPr>
                <w:szCs w:val="20"/>
                <w:lang w:val="en-AU"/>
              </w:rPr>
            </w:pPr>
            <w:r w:rsidRPr="00C927B9">
              <w:rPr>
                <w:szCs w:val="20"/>
                <w:lang w:val="en-AU"/>
              </w:rPr>
              <w:t xml:space="preserve"> (95% CI)</w:t>
            </w:r>
          </w:p>
        </w:tc>
      </w:tr>
      <w:tr w:rsidR="005C7C6F" w:rsidRPr="00C927B9" w:rsidTr="00A23DAB">
        <w:trPr>
          <w:trHeight w:val="152"/>
          <w:tblHeader/>
          <w:jc w:val="center"/>
        </w:trPr>
        <w:tc>
          <w:tcPr>
            <w:tcW w:w="1813" w:type="dxa"/>
            <w:vMerge/>
            <w:tcBorders>
              <w:bottom w:val="single" w:sz="4" w:space="0" w:color="auto"/>
            </w:tcBorders>
            <w:shd w:val="clear" w:color="auto" w:fill="auto"/>
            <w:vAlign w:val="center"/>
          </w:tcPr>
          <w:p w:rsidR="005C7C6F" w:rsidRPr="00C927B9" w:rsidRDefault="005C7C6F" w:rsidP="00574791">
            <w:pPr>
              <w:pStyle w:val="Tableheadingrow"/>
              <w:rPr>
                <w:szCs w:val="20"/>
                <w:lang w:val="en-AU"/>
              </w:rPr>
            </w:pPr>
          </w:p>
        </w:tc>
        <w:tc>
          <w:tcPr>
            <w:tcW w:w="1775" w:type="dxa"/>
            <w:shd w:val="clear" w:color="auto" w:fill="auto"/>
            <w:vAlign w:val="center"/>
          </w:tcPr>
          <w:p w:rsidR="005C7C6F" w:rsidRPr="00C927B9" w:rsidRDefault="005C7C6F" w:rsidP="00574791">
            <w:pPr>
              <w:pStyle w:val="Tableheadingrow"/>
              <w:jc w:val="center"/>
              <w:rPr>
                <w:szCs w:val="20"/>
                <w:lang w:val="en-AU"/>
              </w:rPr>
            </w:pPr>
            <w:r w:rsidRPr="00C927B9">
              <w:rPr>
                <w:szCs w:val="20"/>
                <w:lang w:val="en-AU"/>
              </w:rPr>
              <w:t>VTX + AZA</w:t>
            </w:r>
          </w:p>
        </w:tc>
        <w:tc>
          <w:tcPr>
            <w:tcW w:w="1776" w:type="dxa"/>
            <w:shd w:val="clear" w:color="auto" w:fill="auto"/>
            <w:vAlign w:val="center"/>
          </w:tcPr>
          <w:p w:rsidR="005C7C6F" w:rsidRPr="00C927B9" w:rsidRDefault="005C7C6F" w:rsidP="00574791">
            <w:pPr>
              <w:pStyle w:val="Tableheadingrow"/>
              <w:jc w:val="center"/>
              <w:rPr>
                <w:szCs w:val="20"/>
                <w:lang w:val="en-AU"/>
              </w:rPr>
            </w:pPr>
            <w:r w:rsidRPr="00C927B9">
              <w:rPr>
                <w:szCs w:val="20"/>
                <w:lang w:val="en-AU"/>
              </w:rPr>
              <w:t>AZA</w:t>
            </w:r>
          </w:p>
        </w:tc>
        <w:tc>
          <w:tcPr>
            <w:tcW w:w="1776" w:type="dxa"/>
            <w:shd w:val="clear" w:color="auto" w:fill="auto"/>
            <w:vAlign w:val="center"/>
          </w:tcPr>
          <w:p w:rsidR="005C7C6F" w:rsidRPr="00C927B9" w:rsidRDefault="005C7C6F" w:rsidP="00574791">
            <w:pPr>
              <w:pStyle w:val="Tableheadingrow"/>
              <w:jc w:val="center"/>
              <w:rPr>
                <w:szCs w:val="20"/>
                <w:lang w:val="en-AU"/>
              </w:rPr>
            </w:pPr>
            <w:r w:rsidRPr="00C927B9">
              <w:rPr>
                <w:szCs w:val="20"/>
                <w:lang w:val="en-AU"/>
              </w:rPr>
              <w:t>LoDAC</w:t>
            </w:r>
          </w:p>
        </w:tc>
        <w:tc>
          <w:tcPr>
            <w:tcW w:w="1898" w:type="dxa"/>
            <w:vMerge/>
            <w:shd w:val="clear" w:color="auto" w:fill="auto"/>
            <w:vAlign w:val="center"/>
          </w:tcPr>
          <w:p w:rsidR="005C7C6F" w:rsidRPr="00C927B9" w:rsidRDefault="005C7C6F" w:rsidP="00574791">
            <w:pPr>
              <w:pStyle w:val="Tableheadingrow"/>
              <w:jc w:val="center"/>
              <w:rPr>
                <w:szCs w:val="20"/>
                <w:lang w:val="en-AU"/>
              </w:rPr>
            </w:pPr>
          </w:p>
        </w:tc>
      </w:tr>
      <w:tr w:rsidR="005C7C6F" w:rsidRPr="00C927B9" w:rsidTr="00A23DAB">
        <w:trPr>
          <w:jc w:val="center"/>
        </w:trPr>
        <w:tc>
          <w:tcPr>
            <w:tcW w:w="1813" w:type="dxa"/>
            <w:tcBorders>
              <w:bottom w:val="nil"/>
            </w:tcBorders>
            <w:shd w:val="clear" w:color="auto" w:fill="auto"/>
            <w:vAlign w:val="center"/>
          </w:tcPr>
          <w:p w:rsidR="005C7C6F" w:rsidRPr="00C927B9" w:rsidRDefault="005C7C6F" w:rsidP="00574791">
            <w:pPr>
              <w:pStyle w:val="TableText"/>
              <w:rPr>
                <w:szCs w:val="20"/>
              </w:rPr>
            </w:pPr>
            <w:r w:rsidRPr="00C927B9">
              <w:rPr>
                <w:szCs w:val="20"/>
              </w:rPr>
              <w:t>M15-656</w:t>
            </w:r>
          </w:p>
        </w:tc>
        <w:tc>
          <w:tcPr>
            <w:tcW w:w="1775" w:type="dxa"/>
            <w:shd w:val="clear" w:color="auto" w:fill="auto"/>
          </w:tcPr>
          <w:p w:rsidR="005C7C6F" w:rsidRPr="00C927B9" w:rsidRDefault="005C7C6F" w:rsidP="00574791">
            <w:pPr>
              <w:pStyle w:val="TableText"/>
              <w:jc w:val="center"/>
              <w:rPr>
                <w:szCs w:val="20"/>
              </w:rPr>
            </w:pPr>
            <w:r w:rsidRPr="00C927B9">
              <w:rPr>
                <w:szCs w:val="20"/>
              </w:rPr>
              <w:t>N=286</w:t>
            </w:r>
          </w:p>
        </w:tc>
        <w:tc>
          <w:tcPr>
            <w:tcW w:w="1776" w:type="dxa"/>
            <w:shd w:val="clear" w:color="auto" w:fill="auto"/>
          </w:tcPr>
          <w:p w:rsidR="005C7C6F" w:rsidRPr="00C927B9" w:rsidRDefault="005C7C6F" w:rsidP="00574791">
            <w:pPr>
              <w:pStyle w:val="TableText"/>
              <w:jc w:val="center"/>
              <w:rPr>
                <w:szCs w:val="20"/>
              </w:rPr>
            </w:pPr>
            <w:r w:rsidRPr="00C927B9">
              <w:rPr>
                <w:szCs w:val="20"/>
              </w:rPr>
              <w:t>N=145</w:t>
            </w:r>
          </w:p>
        </w:tc>
        <w:tc>
          <w:tcPr>
            <w:tcW w:w="1776" w:type="dxa"/>
            <w:vMerge w:val="restart"/>
            <w:shd w:val="clear" w:color="auto" w:fill="auto"/>
            <w:vAlign w:val="center"/>
          </w:tcPr>
          <w:p w:rsidR="005C7C6F" w:rsidRPr="00C927B9" w:rsidRDefault="00A44754" w:rsidP="00574791">
            <w:pPr>
              <w:pStyle w:val="TableText"/>
              <w:jc w:val="center"/>
              <w:rPr>
                <w:szCs w:val="20"/>
              </w:rPr>
            </w:pPr>
            <w:r w:rsidRPr="00C927B9">
              <w:rPr>
                <w:szCs w:val="20"/>
              </w:rPr>
              <w:t>-</w:t>
            </w:r>
          </w:p>
        </w:tc>
        <w:tc>
          <w:tcPr>
            <w:tcW w:w="1898" w:type="dxa"/>
            <w:vMerge w:val="restart"/>
            <w:shd w:val="clear" w:color="auto" w:fill="auto"/>
            <w:vAlign w:val="center"/>
          </w:tcPr>
          <w:p w:rsidR="005C7C6F" w:rsidRPr="00C927B9" w:rsidRDefault="005C7C6F" w:rsidP="00574791">
            <w:pPr>
              <w:pStyle w:val="TableText"/>
              <w:jc w:val="center"/>
              <w:rPr>
                <w:b/>
                <w:szCs w:val="20"/>
              </w:rPr>
            </w:pPr>
            <w:r w:rsidRPr="00C927B9">
              <w:rPr>
                <w:b/>
                <w:szCs w:val="20"/>
              </w:rPr>
              <w:t>0.66 (0.52, 0.85)</w:t>
            </w:r>
          </w:p>
        </w:tc>
      </w:tr>
      <w:tr w:rsidR="005C7C6F" w:rsidRPr="00C927B9" w:rsidTr="00A23DAB">
        <w:trPr>
          <w:jc w:val="center"/>
        </w:trPr>
        <w:tc>
          <w:tcPr>
            <w:tcW w:w="1813" w:type="dxa"/>
            <w:tcBorders>
              <w:top w:val="nil"/>
              <w:bottom w:val="single" w:sz="4" w:space="0" w:color="auto"/>
            </w:tcBorders>
            <w:shd w:val="clear" w:color="auto" w:fill="auto"/>
            <w:vAlign w:val="center"/>
          </w:tcPr>
          <w:p w:rsidR="005C7C6F" w:rsidRPr="00C927B9" w:rsidRDefault="005C7C6F" w:rsidP="00574791">
            <w:pPr>
              <w:pStyle w:val="TableText"/>
              <w:rPr>
                <w:szCs w:val="20"/>
              </w:rPr>
            </w:pPr>
          </w:p>
        </w:tc>
        <w:tc>
          <w:tcPr>
            <w:tcW w:w="1775" w:type="dxa"/>
            <w:shd w:val="clear" w:color="auto" w:fill="auto"/>
          </w:tcPr>
          <w:p w:rsidR="005C7C6F" w:rsidRPr="00C927B9" w:rsidRDefault="005C7C6F" w:rsidP="00574791">
            <w:pPr>
              <w:pStyle w:val="TableText"/>
              <w:jc w:val="center"/>
              <w:rPr>
                <w:szCs w:val="20"/>
              </w:rPr>
            </w:pPr>
            <w:r w:rsidRPr="00C927B9">
              <w:rPr>
                <w:szCs w:val="20"/>
              </w:rPr>
              <w:t>14.7 (11.9, 18.7)</w:t>
            </w:r>
          </w:p>
        </w:tc>
        <w:tc>
          <w:tcPr>
            <w:tcW w:w="1776" w:type="dxa"/>
            <w:shd w:val="clear" w:color="auto" w:fill="auto"/>
          </w:tcPr>
          <w:p w:rsidR="005C7C6F" w:rsidRPr="00C927B9" w:rsidRDefault="005C7C6F" w:rsidP="00574791">
            <w:pPr>
              <w:pStyle w:val="TableText"/>
              <w:jc w:val="center"/>
              <w:rPr>
                <w:szCs w:val="20"/>
              </w:rPr>
            </w:pPr>
            <w:r w:rsidRPr="00C927B9">
              <w:rPr>
                <w:szCs w:val="20"/>
              </w:rPr>
              <w:t>9.6 (7.4, 12.7)</w:t>
            </w:r>
          </w:p>
        </w:tc>
        <w:tc>
          <w:tcPr>
            <w:tcW w:w="1776" w:type="dxa"/>
            <w:vMerge/>
            <w:shd w:val="clear" w:color="auto" w:fill="auto"/>
            <w:vAlign w:val="center"/>
          </w:tcPr>
          <w:p w:rsidR="005C7C6F" w:rsidRPr="00C927B9" w:rsidRDefault="005C7C6F" w:rsidP="00574791">
            <w:pPr>
              <w:pStyle w:val="TableText"/>
              <w:jc w:val="center"/>
              <w:rPr>
                <w:szCs w:val="20"/>
              </w:rPr>
            </w:pPr>
          </w:p>
        </w:tc>
        <w:tc>
          <w:tcPr>
            <w:tcW w:w="1898" w:type="dxa"/>
            <w:vMerge/>
            <w:shd w:val="clear" w:color="auto" w:fill="auto"/>
            <w:vAlign w:val="center"/>
          </w:tcPr>
          <w:p w:rsidR="005C7C6F" w:rsidRPr="00C927B9" w:rsidRDefault="005C7C6F" w:rsidP="00574791">
            <w:pPr>
              <w:pStyle w:val="TableText"/>
              <w:jc w:val="center"/>
              <w:rPr>
                <w:b/>
                <w:szCs w:val="20"/>
              </w:rPr>
            </w:pPr>
          </w:p>
        </w:tc>
      </w:tr>
      <w:tr w:rsidR="005C7C6F" w:rsidRPr="00C927B9" w:rsidTr="00A23DAB">
        <w:trPr>
          <w:jc w:val="center"/>
        </w:trPr>
        <w:tc>
          <w:tcPr>
            <w:tcW w:w="1813" w:type="dxa"/>
            <w:tcBorders>
              <w:bottom w:val="nil"/>
            </w:tcBorders>
            <w:shd w:val="clear" w:color="auto" w:fill="auto"/>
            <w:vAlign w:val="center"/>
          </w:tcPr>
          <w:p w:rsidR="005C7C6F" w:rsidRPr="00C927B9" w:rsidRDefault="005C7C6F" w:rsidP="00574791">
            <w:pPr>
              <w:pStyle w:val="TableText"/>
              <w:rPr>
                <w:szCs w:val="20"/>
              </w:rPr>
            </w:pPr>
            <w:r w:rsidRPr="00C927B9">
              <w:rPr>
                <w:szCs w:val="20"/>
              </w:rPr>
              <w:t>AZA-AML-001</w:t>
            </w:r>
          </w:p>
        </w:tc>
        <w:tc>
          <w:tcPr>
            <w:tcW w:w="1775" w:type="dxa"/>
            <w:vMerge w:val="restart"/>
            <w:shd w:val="clear" w:color="auto" w:fill="auto"/>
            <w:vAlign w:val="center"/>
          </w:tcPr>
          <w:p w:rsidR="005C7C6F" w:rsidRPr="00C927B9" w:rsidRDefault="005C7C6F" w:rsidP="00574791">
            <w:pPr>
              <w:pStyle w:val="TableText"/>
              <w:jc w:val="center"/>
              <w:rPr>
                <w:szCs w:val="20"/>
              </w:rPr>
            </w:pPr>
            <w:r w:rsidRPr="00C927B9">
              <w:rPr>
                <w:szCs w:val="20"/>
              </w:rPr>
              <w:t>-</w:t>
            </w:r>
          </w:p>
        </w:tc>
        <w:tc>
          <w:tcPr>
            <w:tcW w:w="1776" w:type="dxa"/>
            <w:shd w:val="clear" w:color="auto" w:fill="auto"/>
            <w:vAlign w:val="center"/>
          </w:tcPr>
          <w:p w:rsidR="005C7C6F" w:rsidRPr="00C927B9" w:rsidRDefault="005C7C6F" w:rsidP="00574791">
            <w:pPr>
              <w:pStyle w:val="TableText"/>
              <w:jc w:val="center"/>
              <w:rPr>
                <w:szCs w:val="20"/>
              </w:rPr>
            </w:pPr>
            <w:r w:rsidRPr="00C927B9">
              <w:rPr>
                <w:szCs w:val="20"/>
              </w:rPr>
              <w:t>N=154</w:t>
            </w:r>
          </w:p>
        </w:tc>
        <w:tc>
          <w:tcPr>
            <w:tcW w:w="1776" w:type="dxa"/>
            <w:shd w:val="clear" w:color="auto" w:fill="auto"/>
            <w:vAlign w:val="center"/>
          </w:tcPr>
          <w:p w:rsidR="005C7C6F" w:rsidRPr="00C927B9" w:rsidRDefault="005C7C6F" w:rsidP="00574791">
            <w:pPr>
              <w:pStyle w:val="TableText"/>
              <w:jc w:val="center"/>
              <w:rPr>
                <w:szCs w:val="20"/>
              </w:rPr>
            </w:pPr>
            <w:r w:rsidRPr="00C927B9">
              <w:rPr>
                <w:szCs w:val="20"/>
              </w:rPr>
              <w:t>N=158</w:t>
            </w:r>
          </w:p>
        </w:tc>
        <w:tc>
          <w:tcPr>
            <w:tcW w:w="1898" w:type="dxa"/>
            <w:vMerge w:val="restart"/>
            <w:shd w:val="clear" w:color="auto" w:fill="auto"/>
            <w:vAlign w:val="center"/>
          </w:tcPr>
          <w:p w:rsidR="005C7C6F" w:rsidRPr="00C927B9" w:rsidRDefault="005C7C6F" w:rsidP="00574791">
            <w:pPr>
              <w:pStyle w:val="TableText"/>
              <w:jc w:val="center"/>
              <w:rPr>
                <w:szCs w:val="20"/>
              </w:rPr>
            </w:pPr>
            <w:r w:rsidRPr="00C927B9">
              <w:rPr>
                <w:szCs w:val="20"/>
              </w:rPr>
              <w:t>0.90 (0.70, 1.16)</w:t>
            </w:r>
          </w:p>
        </w:tc>
      </w:tr>
      <w:tr w:rsidR="005C7C6F" w:rsidRPr="00C927B9" w:rsidTr="00A23DAB">
        <w:trPr>
          <w:jc w:val="center"/>
        </w:trPr>
        <w:tc>
          <w:tcPr>
            <w:tcW w:w="1813" w:type="dxa"/>
            <w:tcBorders>
              <w:top w:val="nil"/>
              <w:bottom w:val="single" w:sz="4" w:space="0" w:color="auto"/>
            </w:tcBorders>
            <w:shd w:val="clear" w:color="auto" w:fill="auto"/>
            <w:vAlign w:val="center"/>
          </w:tcPr>
          <w:p w:rsidR="005C7C6F" w:rsidRPr="00C927B9" w:rsidRDefault="005C7C6F" w:rsidP="00574791">
            <w:pPr>
              <w:pStyle w:val="TableText"/>
              <w:rPr>
                <w:szCs w:val="20"/>
              </w:rPr>
            </w:pPr>
          </w:p>
        </w:tc>
        <w:tc>
          <w:tcPr>
            <w:tcW w:w="1775" w:type="dxa"/>
            <w:vMerge/>
            <w:tcBorders>
              <w:bottom w:val="single" w:sz="4" w:space="0" w:color="auto"/>
            </w:tcBorders>
            <w:shd w:val="clear" w:color="auto" w:fill="auto"/>
            <w:vAlign w:val="center"/>
          </w:tcPr>
          <w:p w:rsidR="005C7C6F" w:rsidRPr="00C927B9" w:rsidRDefault="005C7C6F" w:rsidP="00574791">
            <w:pPr>
              <w:pStyle w:val="TableText"/>
              <w:jc w:val="center"/>
              <w:rPr>
                <w:szCs w:val="20"/>
              </w:rPr>
            </w:pPr>
          </w:p>
        </w:tc>
        <w:tc>
          <w:tcPr>
            <w:tcW w:w="1776" w:type="dxa"/>
            <w:tcBorders>
              <w:bottom w:val="single" w:sz="4" w:space="0" w:color="auto"/>
            </w:tcBorders>
            <w:shd w:val="clear" w:color="auto" w:fill="auto"/>
            <w:vAlign w:val="center"/>
          </w:tcPr>
          <w:p w:rsidR="005C7C6F" w:rsidRPr="00C927B9" w:rsidRDefault="005C7C6F" w:rsidP="00574791">
            <w:pPr>
              <w:pStyle w:val="TableText"/>
              <w:jc w:val="center"/>
              <w:rPr>
                <w:szCs w:val="20"/>
              </w:rPr>
            </w:pPr>
            <w:r w:rsidRPr="00C927B9">
              <w:rPr>
                <w:szCs w:val="20"/>
              </w:rPr>
              <w:t>11.2 (8.8, 13.4)</w:t>
            </w:r>
          </w:p>
        </w:tc>
        <w:tc>
          <w:tcPr>
            <w:tcW w:w="1776" w:type="dxa"/>
            <w:tcBorders>
              <w:bottom w:val="single" w:sz="4" w:space="0" w:color="auto"/>
            </w:tcBorders>
            <w:shd w:val="clear" w:color="auto" w:fill="auto"/>
            <w:vAlign w:val="center"/>
          </w:tcPr>
          <w:p w:rsidR="005C7C6F" w:rsidRPr="00C927B9" w:rsidRDefault="005C7C6F" w:rsidP="00574791">
            <w:pPr>
              <w:pStyle w:val="TableText"/>
              <w:jc w:val="center"/>
              <w:rPr>
                <w:szCs w:val="20"/>
              </w:rPr>
            </w:pPr>
            <w:r w:rsidRPr="00C927B9">
              <w:rPr>
                <w:szCs w:val="20"/>
              </w:rPr>
              <w:t>6.4 (4.8, 9.1)</w:t>
            </w:r>
          </w:p>
        </w:tc>
        <w:tc>
          <w:tcPr>
            <w:tcW w:w="1898" w:type="dxa"/>
            <w:vMerge/>
            <w:tcBorders>
              <w:bottom w:val="single" w:sz="4" w:space="0" w:color="auto"/>
            </w:tcBorders>
            <w:shd w:val="clear" w:color="auto" w:fill="auto"/>
            <w:vAlign w:val="center"/>
          </w:tcPr>
          <w:p w:rsidR="005C7C6F" w:rsidRPr="00C927B9" w:rsidRDefault="005C7C6F" w:rsidP="00574791">
            <w:pPr>
              <w:pStyle w:val="TableText"/>
              <w:jc w:val="center"/>
              <w:rPr>
                <w:szCs w:val="20"/>
              </w:rPr>
            </w:pPr>
          </w:p>
        </w:tc>
      </w:tr>
      <w:tr w:rsidR="005C7C6F" w:rsidRPr="00C927B9" w:rsidTr="00A23DAB">
        <w:trPr>
          <w:jc w:val="center"/>
        </w:trPr>
        <w:tc>
          <w:tcPr>
            <w:tcW w:w="7140" w:type="dxa"/>
            <w:gridSpan w:val="4"/>
            <w:tcBorders>
              <w:bottom w:val="double" w:sz="4" w:space="0" w:color="auto"/>
            </w:tcBorders>
            <w:shd w:val="clear" w:color="auto" w:fill="auto"/>
            <w:vAlign w:val="center"/>
          </w:tcPr>
          <w:p w:rsidR="005C7C6F" w:rsidRPr="00C927B9" w:rsidRDefault="005C7C6F" w:rsidP="00574791">
            <w:pPr>
              <w:pStyle w:val="TableText"/>
              <w:jc w:val="right"/>
              <w:rPr>
                <w:b/>
                <w:szCs w:val="20"/>
              </w:rPr>
            </w:pPr>
            <w:r w:rsidRPr="00C927B9">
              <w:rPr>
                <w:b/>
                <w:szCs w:val="20"/>
              </w:rPr>
              <w:t>Indirect treatment comparison VTX + AZA versus LoDAC; HR (95% CI)</w:t>
            </w:r>
          </w:p>
        </w:tc>
        <w:tc>
          <w:tcPr>
            <w:tcW w:w="1898" w:type="dxa"/>
            <w:tcBorders>
              <w:bottom w:val="double" w:sz="4" w:space="0" w:color="auto"/>
            </w:tcBorders>
            <w:shd w:val="clear" w:color="auto" w:fill="auto"/>
            <w:vAlign w:val="center"/>
          </w:tcPr>
          <w:p w:rsidR="005C7C6F" w:rsidRPr="00C927B9" w:rsidRDefault="005C7C6F" w:rsidP="00574791">
            <w:pPr>
              <w:pStyle w:val="TableText"/>
              <w:jc w:val="center"/>
              <w:rPr>
                <w:b/>
                <w:szCs w:val="20"/>
              </w:rPr>
            </w:pPr>
            <w:r w:rsidRPr="00C927B9">
              <w:rPr>
                <w:b/>
                <w:szCs w:val="20"/>
              </w:rPr>
              <w:t>0.596 (0.419, 0.847)</w:t>
            </w:r>
          </w:p>
        </w:tc>
      </w:tr>
      <w:tr w:rsidR="005C7C6F" w:rsidRPr="00C927B9" w:rsidTr="00A23DAB">
        <w:trPr>
          <w:trHeight w:val="152"/>
          <w:tblHeader/>
          <w:jc w:val="center"/>
        </w:trPr>
        <w:tc>
          <w:tcPr>
            <w:tcW w:w="9038" w:type="dxa"/>
            <w:gridSpan w:val="5"/>
            <w:tcBorders>
              <w:top w:val="double" w:sz="4" w:space="0" w:color="auto"/>
            </w:tcBorders>
            <w:shd w:val="clear" w:color="auto" w:fill="auto"/>
            <w:vAlign w:val="center"/>
          </w:tcPr>
          <w:p w:rsidR="005C7C6F" w:rsidRPr="00C927B9" w:rsidRDefault="005C7C6F" w:rsidP="00574791">
            <w:pPr>
              <w:pStyle w:val="Tableheadingrow"/>
              <w:rPr>
                <w:szCs w:val="20"/>
                <w:lang w:val="en-AU"/>
              </w:rPr>
            </w:pPr>
            <w:r w:rsidRPr="00C927B9">
              <w:rPr>
                <w:szCs w:val="20"/>
                <w:lang w:val="en-AU"/>
              </w:rPr>
              <w:t>Sensitivity analysis (meta-analysis of AZA-AML-001 and AZA-001)</w:t>
            </w:r>
          </w:p>
        </w:tc>
      </w:tr>
      <w:tr w:rsidR="005C7C6F" w:rsidRPr="00C927B9" w:rsidTr="00A23DAB">
        <w:trPr>
          <w:jc w:val="center"/>
        </w:trPr>
        <w:tc>
          <w:tcPr>
            <w:tcW w:w="1813" w:type="dxa"/>
            <w:tcBorders>
              <w:bottom w:val="nil"/>
            </w:tcBorders>
            <w:shd w:val="clear" w:color="auto" w:fill="auto"/>
            <w:vAlign w:val="center"/>
          </w:tcPr>
          <w:p w:rsidR="005C7C6F" w:rsidRPr="00C927B9" w:rsidRDefault="005C7C6F" w:rsidP="00574791">
            <w:pPr>
              <w:pStyle w:val="TableText"/>
              <w:rPr>
                <w:szCs w:val="20"/>
              </w:rPr>
            </w:pPr>
            <w:r w:rsidRPr="00C927B9">
              <w:rPr>
                <w:szCs w:val="20"/>
              </w:rPr>
              <w:t>M15-656</w:t>
            </w:r>
          </w:p>
        </w:tc>
        <w:tc>
          <w:tcPr>
            <w:tcW w:w="1775" w:type="dxa"/>
            <w:shd w:val="clear" w:color="auto" w:fill="auto"/>
          </w:tcPr>
          <w:p w:rsidR="005C7C6F" w:rsidRPr="00C927B9" w:rsidRDefault="005C7C6F" w:rsidP="00574791">
            <w:pPr>
              <w:pStyle w:val="TableText"/>
              <w:jc w:val="center"/>
              <w:rPr>
                <w:szCs w:val="20"/>
              </w:rPr>
            </w:pPr>
            <w:r w:rsidRPr="00C927B9">
              <w:rPr>
                <w:szCs w:val="20"/>
              </w:rPr>
              <w:t>N=286</w:t>
            </w:r>
          </w:p>
        </w:tc>
        <w:tc>
          <w:tcPr>
            <w:tcW w:w="1776" w:type="dxa"/>
            <w:shd w:val="clear" w:color="auto" w:fill="auto"/>
          </w:tcPr>
          <w:p w:rsidR="005C7C6F" w:rsidRPr="00C927B9" w:rsidRDefault="005C7C6F" w:rsidP="00574791">
            <w:pPr>
              <w:pStyle w:val="TableText"/>
              <w:jc w:val="center"/>
              <w:rPr>
                <w:szCs w:val="20"/>
              </w:rPr>
            </w:pPr>
            <w:r w:rsidRPr="00C927B9">
              <w:rPr>
                <w:szCs w:val="20"/>
              </w:rPr>
              <w:t>N=145</w:t>
            </w:r>
          </w:p>
        </w:tc>
        <w:tc>
          <w:tcPr>
            <w:tcW w:w="1776" w:type="dxa"/>
            <w:vMerge w:val="restart"/>
            <w:shd w:val="clear" w:color="auto" w:fill="auto"/>
            <w:vAlign w:val="center"/>
          </w:tcPr>
          <w:p w:rsidR="005C7C6F" w:rsidRPr="00C927B9" w:rsidRDefault="005C7C6F" w:rsidP="00574791">
            <w:pPr>
              <w:pStyle w:val="TableText"/>
              <w:jc w:val="center"/>
              <w:rPr>
                <w:szCs w:val="20"/>
              </w:rPr>
            </w:pPr>
            <w:r w:rsidRPr="00C927B9">
              <w:rPr>
                <w:szCs w:val="20"/>
              </w:rPr>
              <w:t>-</w:t>
            </w:r>
          </w:p>
        </w:tc>
        <w:tc>
          <w:tcPr>
            <w:tcW w:w="1898" w:type="dxa"/>
            <w:vMerge w:val="restart"/>
            <w:shd w:val="clear" w:color="auto" w:fill="auto"/>
            <w:vAlign w:val="center"/>
          </w:tcPr>
          <w:p w:rsidR="005C7C6F" w:rsidRPr="00C927B9" w:rsidRDefault="005C7C6F" w:rsidP="00574791">
            <w:pPr>
              <w:pStyle w:val="TableText"/>
              <w:jc w:val="center"/>
              <w:rPr>
                <w:b/>
                <w:szCs w:val="20"/>
              </w:rPr>
            </w:pPr>
            <w:r w:rsidRPr="00C927B9">
              <w:rPr>
                <w:b/>
                <w:szCs w:val="20"/>
              </w:rPr>
              <w:t>0.66 (0.52, 0.85)</w:t>
            </w:r>
          </w:p>
        </w:tc>
      </w:tr>
      <w:tr w:rsidR="005C7C6F" w:rsidRPr="00C927B9" w:rsidTr="00A23DAB">
        <w:trPr>
          <w:jc w:val="center"/>
        </w:trPr>
        <w:tc>
          <w:tcPr>
            <w:tcW w:w="1813" w:type="dxa"/>
            <w:tcBorders>
              <w:top w:val="nil"/>
              <w:bottom w:val="single" w:sz="4" w:space="0" w:color="auto"/>
            </w:tcBorders>
            <w:shd w:val="clear" w:color="auto" w:fill="auto"/>
            <w:vAlign w:val="center"/>
          </w:tcPr>
          <w:p w:rsidR="005C7C6F" w:rsidRPr="00C927B9" w:rsidRDefault="005C7C6F" w:rsidP="00574791">
            <w:pPr>
              <w:pStyle w:val="TableText"/>
              <w:rPr>
                <w:szCs w:val="20"/>
              </w:rPr>
            </w:pPr>
          </w:p>
        </w:tc>
        <w:tc>
          <w:tcPr>
            <w:tcW w:w="1775" w:type="dxa"/>
            <w:shd w:val="clear" w:color="auto" w:fill="auto"/>
          </w:tcPr>
          <w:p w:rsidR="005C7C6F" w:rsidRPr="00C927B9" w:rsidRDefault="005C7C6F" w:rsidP="00574791">
            <w:pPr>
              <w:pStyle w:val="TableText"/>
              <w:jc w:val="center"/>
              <w:rPr>
                <w:szCs w:val="20"/>
              </w:rPr>
            </w:pPr>
            <w:r w:rsidRPr="00C927B9">
              <w:rPr>
                <w:szCs w:val="20"/>
              </w:rPr>
              <w:t>14.7 (11.9, 18.7)</w:t>
            </w:r>
          </w:p>
        </w:tc>
        <w:tc>
          <w:tcPr>
            <w:tcW w:w="1776" w:type="dxa"/>
            <w:shd w:val="clear" w:color="auto" w:fill="auto"/>
          </w:tcPr>
          <w:p w:rsidR="005C7C6F" w:rsidRPr="00C927B9" w:rsidRDefault="005C7C6F" w:rsidP="00574791">
            <w:pPr>
              <w:pStyle w:val="TableText"/>
              <w:jc w:val="center"/>
              <w:rPr>
                <w:szCs w:val="20"/>
              </w:rPr>
            </w:pPr>
            <w:r w:rsidRPr="00C927B9">
              <w:rPr>
                <w:szCs w:val="20"/>
              </w:rPr>
              <w:t>9.6 (7.4, 12.7)</w:t>
            </w:r>
          </w:p>
        </w:tc>
        <w:tc>
          <w:tcPr>
            <w:tcW w:w="1776" w:type="dxa"/>
            <w:vMerge/>
            <w:shd w:val="clear" w:color="auto" w:fill="auto"/>
            <w:vAlign w:val="center"/>
          </w:tcPr>
          <w:p w:rsidR="005C7C6F" w:rsidRPr="00C927B9" w:rsidRDefault="005C7C6F" w:rsidP="00574791">
            <w:pPr>
              <w:pStyle w:val="TableText"/>
              <w:jc w:val="center"/>
              <w:rPr>
                <w:szCs w:val="20"/>
              </w:rPr>
            </w:pPr>
          </w:p>
        </w:tc>
        <w:tc>
          <w:tcPr>
            <w:tcW w:w="1898" w:type="dxa"/>
            <w:vMerge/>
            <w:shd w:val="clear" w:color="auto" w:fill="auto"/>
            <w:vAlign w:val="center"/>
          </w:tcPr>
          <w:p w:rsidR="005C7C6F" w:rsidRPr="00C927B9" w:rsidRDefault="005C7C6F" w:rsidP="00574791">
            <w:pPr>
              <w:pStyle w:val="TableText"/>
              <w:jc w:val="center"/>
              <w:rPr>
                <w:b/>
                <w:szCs w:val="20"/>
              </w:rPr>
            </w:pPr>
          </w:p>
        </w:tc>
      </w:tr>
      <w:tr w:rsidR="005C7C6F" w:rsidRPr="00C927B9" w:rsidTr="00A23DAB">
        <w:trPr>
          <w:jc w:val="center"/>
        </w:trPr>
        <w:tc>
          <w:tcPr>
            <w:tcW w:w="1813" w:type="dxa"/>
            <w:tcBorders>
              <w:bottom w:val="nil"/>
            </w:tcBorders>
            <w:shd w:val="clear" w:color="auto" w:fill="auto"/>
            <w:vAlign w:val="center"/>
          </w:tcPr>
          <w:p w:rsidR="005C7C6F" w:rsidRPr="00C927B9" w:rsidRDefault="005C7C6F" w:rsidP="00574791">
            <w:pPr>
              <w:pStyle w:val="TableText"/>
              <w:rPr>
                <w:szCs w:val="20"/>
              </w:rPr>
            </w:pPr>
            <w:r w:rsidRPr="00C927B9">
              <w:rPr>
                <w:szCs w:val="20"/>
              </w:rPr>
              <w:t>AZA-AML-001</w:t>
            </w:r>
          </w:p>
        </w:tc>
        <w:tc>
          <w:tcPr>
            <w:tcW w:w="1775" w:type="dxa"/>
            <w:vMerge w:val="restart"/>
            <w:shd w:val="clear" w:color="auto" w:fill="auto"/>
            <w:vAlign w:val="center"/>
          </w:tcPr>
          <w:p w:rsidR="005C7C6F" w:rsidRPr="00C927B9" w:rsidRDefault="005C7C6F" w:rsidP="00574791">
            <w:pPr>
              <w:pStyle w:val="TableText"/>
              <w:jc w:val="center"/>
              <w:rPr>
                <w:szCs w:val="20"/>
              </w:rPr>
            </w:pPr>
            <w:r w:rsidRPr="00C927B9">
              <w:rPr>
                <w:szCs w:val="20"/>
              </w:rPr>
              <w:t>-</w:t>
            </w:r>
          </w:p>
        </w:tc>
        <w:tc>
          <w:tcPr>
            <w:tcW w:w="1776" w:type="dxa"/>
            <w:shd w:val="clear" w:color="auto" w:fill="auto"/>
            <w:vAlign w:val="center"/>
          </w:tcPr>
          <w:p w:rsidR="005C7C6F" w:rsidRPr="00C927B9" w:rsidRDefault="005C7C6F" w:rsidP="00574791">
            <w:pPr>
              <w:pStyle w:val="TableText"/>
              <w:jc w:val="center"/>
              <w:rPr>
                <w:szCs w:val="20"/>
              </w:rPr>
            </w:pPr>
            <w:r w:rsidRPr="00C927B9">
              <w:rPr>
                <w:szCs w:val="20"/>
              </w:rPr>
              <w:t>N=154</w:t>
            </w:r>
          </w:p>
        </w:tc>
        <w:tc>
          <w:tcPr>
            <w:tcW w:w="1776" w:type="dxa"/>
            <w:shd w:val="clear" w:color="auto" w:fill="auto"/>
            <w:vAlign w:val="center"/>
          </w:tcPr>
          <w:p w:rsidR="005C7C6F" w:rsidRPr="00C927B9" w:rsidRDefault="005C7C6F" w:rsidP="00574791">
            <w:pPr>
              <w:pStyle w:val="TableText"/>
              <w:jc w:val="center"/>
              <w:rPr>
                <w:szCs w:val="20"/>
              </w:rPr>
            </w:pPr>
            <w:r w:rsidRPr="00C927B9">
              <w:rPr>
                <w:szCs w:val="20"/>
              </w:rPr>
              <w:t>N=158</w:t>
            </w:r>
          </w:p>
        </w:tc>
        <w:tc>
          <w:tcPr>
            <w:tcW w:w="1898" w:type="dxa"/>
            <w:vMerge w:val="restart"/>
            <w:shd w:val="clear" w:color="auto" w:fill="auto"/>
            <w:vAlign w:val="center"/>
          </w:tcPr>
          <w:p w:rsidR="005C7C6F" w:rsidRPr="00C927B9" w:rsidRDefault="005C7C6F" w:rsidP="00574791">
            <w:pPr>
              <w:pStyle w:val="TableText"/>
              <w:jc w:val="center"/>
              <w:rPr>
                <w:szCs w:val="20"/>
              </w:rPr>
            </w:pPr>
            <w:r w:rsidRPr="00C927B9">
              <w:rPr>
                <w:szCs w:val="20"/>
              </w:rPr>
              <w:t>0.90 (0.70, 1.16)</w:t>
            </w:r>
          </w:p>
        </w:tc>
      </w:tr>
      <w:tr w:rsidR="005C7C6F" w:rsidRPr="00C927B9" w:rsidTr="00A23DAB">
        <w:trPr>
          <w:jc w:val="center"/>
        </w:trPr>
        <w:tc>
          <w:tcPr>
            <w:tcW w:w="1813" w:type="dxa"/>
            <w:tcBorders>
              <w:top w:val="nil"/>
              <w:bottom w:val="single" w:sz="4" w:space="0" w:color="auto"/>
            </w:tcBorders>
            <w:shd w:val="clear" w:color="auto" w:fill="auto"/>
            <w:vAlign w:val="center"/>
          </w:tcPr>
          <w:p w:rsidR="005C7C6F" w:rsidRPr="00C927B9" w:rsidRDefault="005C7C6F" w:rsidP="00574791">
            <w:pPr>
              <w:pStyle w:val="TableText"/>
              <w:rPr>
                <w:szCs w:val="20"/>
              </w:rPr>
            </w:pPr>
          </w:p>
        </w:tc>
        <w:tc>
          <w:tcPr>
            <w:tcW w:w="1775" w:type="dxa"/>
            <w:vMerge/>
            <w:shd w:val="clear" w:color="auto" w:fill="auto"/>
            <w:vAlign w:val="center"/>
          </w:tcPr>
          <w:p w:rsidR="005C7C6F" w:rsidRPr="00C927B9" w:rsidRDefault="005C7C6F" w:rsidP="00574791">
            <w:pPr>
              <w:pStyle w:val="TableText"/>
              <w:jc w:val="center"/>
              <w:rPr>
                <w:szCs w:val="20"/>
              </w:rPr>
            </w:pPr>
          </w:p>
        </w:tc>
        <w:tc>
          <w:tcPr>
            <w:tcW w:w="1776" w:type="dxa"/>
            <w:shd w:val="clear" w:color="auto" w:fill="auto"/>
            <w:vAlign w:val="center"/>
          </w:tcPr>
          <w:p w:rsidR="005C7C6F" w:rsidRPr="00C927B9" w:rsidRDefault="005C7C6F" w:rsidP="00574791">
            <w:pPr>
              <w:pStyle w:val="TableText"/>
              <w:jc w:val="center"/>
              <w:rPr>
                <w:szCs w:val="20"/>
              </w:rPr>
            </w:pPr>
            <w:r w:rsidRPr="00C927B9">
              <w:rPr>
                <w:szCs w:val="20"/>
              </w:rPr>
              <w:t>11.2 (8.8, 13.4)</w:t>
            </w:r>
          </w:p>
        </w:tc>
        <w:tc>
          <w:tcPr>
            <w:tcW w:w="1776" w:type="dxa"/>
            <w:shd w:val="clear" w:color="auto" w:fill="auto"/>
            <w:vAlign w:val="center"/>
          </w:tcPr>
          <w:p w:rsidR="005C7C6F" w:rsidRPr="00C927B9" w:rsidRDefault="005C7C6F" w:rsidP="00574791">
            <w:pPr>
              <w:pStyle w:val="TableText"/>
              <w:jc w:val="center"/>
              <w:rPr>
                <w:szCs w:val="20"/>
              </w:rPr>
            </w:pPr>
            <w:r w:rsidRPr="00C927B9">
              <w:rPr>
                <w:szCs w:val="20"/>
              </w:rPr>
              <w:t>6.4 (4.8, 9.1)</w:t>
            </w:r>
          </w:p>
        </w:tc>
        <w:tc>
          <w:tcPr>
            <w:tcW w:w="1898" w:type="dxa"/>
            <w:vMerge/>
            <w:shd w:val="clear" w:color="auto" w:fill="auto"/>
            <w:vAlign w:val="center"/>
          </w:tcPr>
          <w:p w:rsidR="005C7C6F" w:rsidRPr="00C927B9" w:rsidRDefault="005C7C6F" w:rsidP="00574791">
            <w:pPr>
              <w:pStyle w:val="TableText"/>
              <w:jc w:val="center"/>
              <w:rPr>
                <w:szCs w:val="20"/>
              </w:rPr>
            </w:pPr>
          </w:p>
        </w:tc>
      </w:tr>
      <w:tr w:rsidR="005C7C6F" w:rsidRPr="00C927B9" w:rsidTr="00A23DAB">
        <w:trPr>
          <w:jc w:val="center"/>
        </w:trPr>
        <w:tc>
          <w:tcPr>
            <w:tcW w:w="1813" w:type="dxa"/>
            <w:tcBorders>
              <w:bottom w:val="nil"/>
            </w:tcBorders>
            <w:shd w:val="clear" w:color="auto" w:fill="auto"/>
            <w:vAlign w:val="center"/>
          </w:tcPr>
          <w:p w:rsidR="005C7C6F" w:rsidRPr="00C927B9" w:rsidRDefault="005C7C6F" w:rsidP="00574791">
            <w:pPr>
              <w:pStyle w:val="TableText"/>
              <w:rPr>
                <w:szCs w:val="20"/>
              </w:rPr>
            </w:pPr>
            <w:r w:rsidRPr="00C927B9">
              <w:rPr>
                <w:szCs w:val="20"/>
              </w:rPr>
              <w:t>AZA-001</w:t>
            </w:r>
          </w:p>
        </w:tc>
        <w:tc>
          <w:tcPr>
            <w:tcW w:w="1775" w:type="dxa"/>
            <w:vMerge w:val="restart"/>
            <w:shd w:val="clear" w:color="auto" w:fill="auto"/>
            <w:vAlign w:val="center"/>
          </w:tcPr>
          <w:p w:rsidR="005C7C6F" w:rsidRPr="00C927B9" w:rsidRDefault="005C7C6F" w:rsidP="00574791">
            <w:pPr>
              <w:pStyle w:val="TableText"/>
              <w:jc w:val="center"/>
              <w:rPr>
                <w:szCs w:val="20"/>
              </w:rPr>
            </w:pPr>
            <w:r w:rsidRPr="00C927B9">
              <w:rPr>
                <w:szCs w:val="20"/>
              </w:rPr>
              <w:t>-</w:t>
            </w:r>
          </w:p>
        </w:tc>
        <w:tc>
          <w:tcPr>
            <w:tcW w:w="1776" w:type="dxa"/>
            <w:shd w:val="clear" w:color="auto" w:fill="auto"/>
            <w:vAlign w:val="center"/>
          </w:tcPr>
          <w:p w:rsidR="005C7C6F" w:rsidRPr="00C927B9" w:rsidRDefault="005C7C6F" w:rsidP="00574791">
            <w:pPr>
              <w:pStyle w:val="TableText"/>
              <w:jc w:val="center"/>
              <w:rPr>
                <w:szCs w:val="20"/>
              </w:rPr>
            </w:pPr>
            <w:r w:rsidRPr="00C927B9">
              <w:rPr>
                <w:szCs w:val="20"/>
              </w:rPr>
              <w:t>N=14</w:t>
            </w:r>
          </w:p>
        </w:tc>
        <w:tc>
          <w:tcPr>
            <w:tcW w:w="1776" w:type="dxa"/>
            <w:shd w:val="clear" w:color="auto" w:fill="auto"/>
            <w:vAlign w:val="center"/>
          </w:tcPr>
          <w:p w:rsidR="005C7C6F" w:rsidRPr="00C927B9" w:rsidRDefault="005C7C6F" w:rsidP="00574791">
            <w:pPr>
              <w:pStyle w:val="TableText"/>
              <w:jc w:val="center"/>
              <w:rPr>
                <w:szCs w:val="20"/>
              </w:rPr>
            </w:pPr>
            <w:r w:rsidRPr="00C927B9">
              <w:rPr>
                <w:szCs w:val="20"/>
              </w:rPr>
              <w:t>N=18</w:t>
            </w:r>
          </w:p>
        </w:tc>
        <w:tc>
          <w:tcPr>
            <w:tcW w:w="1898" w:type="dxa"/>
            <w:vMerge w:val="restart"/>
            <w:shd w:val="clear" w:color="auto" w:fill="auto"/>
            <w:vAlign w:val="center"/>
          </w:tcPr>
          <w:p w:rsidR="005C7C6F" w:rsidRPr="00C927B9" w:rsidRDefault="005C7C6F" w:rsidP="00574791">
            <w:pPr>
              <w:pStyle w:val="TableText"/>
              <w:jc w:val="center"/>
              <w:rPr>
                <w:szCs w:val="20"/>
              </w:rPr>
            </w:pPr>
            <w:r w:rsidRPr="00C927B9">
              <w:rPr>
                <w:szCs w:val="20"/>
              </w:rPr>
              <w:t>0.37 (0.12, 1.14)</w:t>
            </w:r>
          </w:p>
        </w:tc>
      </w:tr>
      <w:tr w:rsidR="005C7C6F" w:rsidRPr="00C927B9" w:rsidTr="00A23DAB">
        <w:trPr>
          <w:jc w:val="center"/>
        </w:trPr>
        <w:tc>
          <w:tcPr>
            <w:tcW w:w="1813" w:type="dxa"/>
            <w:tcBorders>
              <w:top w:val="nil"/>
            </w:tcBorders>
            <w:shd w:val="clear" w:color="auto" w:fill="auto"/>
            <w:vAlign w:val="center"/>
          </w:tcPr>
          <w:p w:rsidR="005C7C6F" w:rsidRPr="00C927B9" w:rsidRDefault="005C7C6F" w:rsidP="00574791">
            <w:pPr>
              <w:pStyle w:val="TableText"/>
              <w:rPr>
                <w:szCs w:val="20"/>
              </w:rPr>
            </w:pPr>
          </w:p>
        </w:tc>
        <w:tc>
          <w:tcPr>
            <w:tcW w:w="1775" w:type="dxa"/>
            <w:vMerge/>
            <w:shd w:val="clear" w:color="auto" w:fill="auto"/>
            <w:vAlign w:val="center"/>
          </w:tcPr>
          <w:p w:rsidR="005C7C6F" w:rsidRPr="00C927B9" w:rsidRDefault="005C7C6F" w:rsidP="00574791">
            <w:pPr>
              <w:pStyle w:val="TableText"/>
              <w:jc w:val="center"/>
              <w:rPr>
                <w:szCs w:val="20"/>
              </w:rPr>
            </w:pPr>
          </w:p>
        </w:tc>
        <w:tc>
          <w:tcPr>
            <w:tcW w:w="1776" w:type="dxa"/>
            <w:shd w:val="clear" w:color="auto" w:fill="auto"/>
          </w:tcPr>
          <w:p w:rsidR="005C7C6F" w:rsidRPr="00C927B9" w:rsidRDefault="005C7C6F" w:rsidP="00574791">
            <w:pPr>
              <w:pStyle w:val="TableText"/>
              <w:jc w:val="center"/>
              <w:rPr>
                <w:szCs w:val="20"/>
              </w:rPr>
            </w:pPr>
            <w:r w:rsidRPr="00C927B9">
              <w:rPr>
                <w:szCs w:val="20"/>
              </w:rPr>
              <w:t>24.5 (18.4, NR)</w:t>
            </w:r>
          </w:p>
        </w:tc>
        <w:tc>
          <w:tcPr>
            <w:tcW w:w="1776" w:type="dxa"/>
            <w:shd w:val="clear" w:color="auto" w:fill="auto"/>
          </w:tcPr>
          <w:p w:rsidR="005C7C6F" w:rsidRPr="00C927B9" w:rsidRDefault="005C7C6F" w:rsidP="00574791">
            <w:pPr>
              <w:pStyle w:val="TableText"/>
              <w:jc w:val="center"/>
              <w:rPr>
                <w:szCs w:val="20"/>
              </w:rPr>
            </w:pPr>
            <w:r w:rsidRPr="00C927B9">
              <w:rPr>
                <w:szCs w:val="20"/>
              </w:rPr>
              <w:t>17.0 (14.5, 25.8)</w:t>
            </w:r>
          </w:p>
        </w:tc>
        <w:tc>
          <w:tcPr>
            <w:tcW w:w="1898" w:type="dxa"/>
            <w:vMerge/>
            <w:shd w:val="clear" w:color="auto" w:fill="auto"/>
            <w:vAlign w:val="center"/>
          </w:tcPr>
          <w:p w:rsidR="005C7C6F" w:rsidRPr="00C927B9" w:rsidRDefault="005C7C6F" w:rsidP="00574791">
            <w:pPr>
              <w:pStyle w:val="TableText"/>
              <w:jc w:val="center"/>
              <w:rPr>
                <w:szCs w:val="20"/>
              </w:rPr>
            </w:pPr>
          </w:p>
        </w:tc>
      </w:tr>
      <w:tr w:rsidR="005C7C6F" w:rsidRPr="00C927B9" w:rsidTr="00A23DAB">
        <w:trPr>
          <w:jc w:val="center"/>
        </w:trPr>
        <w:tc>
          <w:tcPr>
            <w:tcW w:w="7140" w:type="dxa"/>
            <w:gridSpan w:val="4"/>
            <w:shd w:val="clear" w:color="auto" w:fill="auto"/>
            <w:vAlign w:val="center"/>
          </w:tcPr>
          <w:p w:rsidR="005C7C6F" w:rsidRPr="00C927B9" w:rsidRDefault="005C7C6F" w:rsidP="00574791">
            <w:pPr>
              <w:pStyle w:val="TableText"/>
              <w:jc w:val="right"/>
              <w:rPr>
                <w:szCs w:val="20"/>
              </w:rPr>
            </w:pPr>
            <w:r w:rsidRPr="00C927B9">
              <w:rPr>
                <w:szCs w:val="20"/>
              </w:rPr>
              <w:t>Pooled treatment comparison LoDAC; HR (95% CI)</w:t>
            </w:r>
          </w:p>
        </w:tc>
        <w:tc>
          <w:tcPr>
            <w:tcW w:w="1898" w:type="dxa"/>
            <w:shd w:val="clear" w:color="auto" w:fill="auto"/>
            <w:vAlign w:val="center"/>
          </w:tcPr>
          <w:p w:rsidR="005C7C6F" w:rsidRPr="00C927B9" w:rsidRDefault="005C7C6F" w:rsidP="00574791">
            <w:pPr>
              <w:pStyle w:val="TableText"/>
              <w:jc w:val="center"/>
              <w:rPr>
                <w:b/>
                <w:szCs w:val="20"/>
              </w:rPr>
            </w:pPr>
            <w:r w:rsidRPr="00C927B9">
              <w:rPr>
                <w:szCs w:val="20"/>
              </w:rPr>
              <w:t>0.69 (0.31, 1.53)</w:t>
            </w:r>
          </w:p>
        </w:tc>
      </w:tr>
      <w:tr w:rsidR="005C7C6F" w:rsidRPr="00C927B9" w:rsidTr="00A23DAB">
        <w:trPr>
          <w:jc w:val="center"/>
        </w:trPr>
        <w:tc>
          <w:tcPr>
            <w:tcW w:w="7140" w:type="dxa"/>
            <w:gridSpan w:val="4"/>
            <w:shd w:val="clear" w:color="auto" w:fill="auto"/>
            <w:vAlign w:val="center"/>
          </w:tcPr>
          <w:p w:rsidR="005C7C6F" w:rsidRPr="00C927B9" w:rsidRDefault="005C7C6F" w:rsidP="00574791">
            <w:pPr>
              <w:pStyle w:val="TableText"/>
              <w:jc w:val="right"/>
              <w:rPr>
                <w:b/>
                <w:szCs w:val="20"/>
              </w:rPr>
            </w:pPr>
            <w:r w:rsidRPr="00C927B9">
              <w:rPr>
                <w:b/>
                <w:szCs w:val="20"/>
              </w:rPr>
              <w:t>Indirect treatment comparison VTX + AZA versus LoDAC; HR (95% CI)</w:t>
            </w:r>
          </w:p>
        </w:tc>
        <w:tc>
          <w:tcPr>
            <w:tcW w:w="1898" w:type="dxa"/>
            <w:shd w:val="clear" w:color="auto" w:fill="auto"/>
            <w:vAlign w:val="center"/>
          </w:tcPr>
          <w:p w:rsidR="005C7C6F" w:rsidRPr="00C927B9" w:rsidRDefault="005C7C6F" w:rsidP="00574791">
            <w:pPr>
              <w:pStyle w:val="TableText"/>
              <w:jc w:val="center"/>
              <w:rPr>
                <w:b/>
                <w:szCs w:val="20"/>
              </w:rPr>
            </w:pPr>
            <w:r w:rsidRPr="00C927B9">
              <w:rPr>
                <w:szCs w:val="20"/>
              </w:rPr>
              <w:t>0.457 (0.198, 1.053)</w:t>
            </w:r>
          </w:p>
        </w:tc>
      </w:tr>
    </w:tbl>
    <w:p w:rsidR="005C7C6F" w:rsidRPr="00C927B9" w:rsidRDefault="005C7C6F" w:rsidP="005C7C6F">
      <w:pPr>
        <w:pStyle w:val="TableFigureFooter"/>
        <w:rPr>
          <w:lang w:val="en-AU"/>
        </w:rPr>
      </w:pPr>
      <w:r w:rsidRPr="00C927B9">
        <w:rPr>
          <w:lang w:val="en-AU"/>
        </w:rPr>
        <w:t>Source: Tables 2-72 and 2</w:t>
      </w:r>
      <w:r w:rsidR="00EE594D" w:rsidRPr="00C927B9">
        <w:rPr>
          <w:lang w:val="en-AU"/>
        </w:rPr>
        <w:t>-</w:t>
      </w:r>
      <w:r w:rsidRPr="00C927B9">
        <w:rPr>
          <w:lang w:val="en-AU"/>
        </w:rPr>
        <w:t>73, p.188 of the submission. Statistically significant results in bold.</w:t>
      </w:r>
    </w:p>
    <w:p w:rsidR="005C7C6F" w:rsidRPr="00C927B9" w:rsidRDefault="005C7C6F" w:rsidP="005C7C6F">
      <w:pPr>
        <w:pStyle w:val="TableFigureFooter"/>
        <w:rPr>
          <w:lang w:val="en-AU"/>
        </w:rPr>
      </w:pPr>
      <w:r w:rsidRPr="00C927B9">
        <w:rPr>
          <w:lang w:val="en-AU"/>
        </w:rPr>
        <w:t xml:space="preserve">Abbreviations: AZA, azacitidine; CI, confidence interval; HR, hazard ratio; LoDAC, </w:t>
      </w:r>
      <w:r w:rsidR="00364681" w:rsidRPr="00C927B9">
        <w:rPr>
          <w:lang w:val="en-AU"/>
        </w:rPr>
        <w:t>low-dose cytarabine</w:t>
      </w:r>
      <w:r w:rsidRPr="00C927B9">
        <w:rPr>
          <w:lang w:val="en-AU"/>
        </w:rPr>
        <w:t>; VTX, venetoclax.</w:t>
      </w:r>
    </w:p>
    <w:p w:rsidR="005C7C6F" w:rsidRPr="00C927B9" w:rsidRDefault="005C7C6F" w:rsidP="005C7C6F">
      <w:pPr>
        <w:pStyle w:val="ExecSumBodyText"/>
        <w:rPr>
          <w:lang w:val="en-AU"/>
        </w:rPr>
      </w:pPr>
      <w:r w:rsidRPr="00C927B9">
        <w:rPr>
          <w:lang w:val="en-AU"/>
        </w:rPr>
        <w:t>Patients treated with venetoclax with azacitidine experienced a statistically significant improvement in overall survival compared to patients treated with LoDAC (HR 0.</w:t>
      </w:r>
      <w:r w:rsidR="00A95840" w:rsidRPr="00C927B9">
        <w:rPr>
          <w:lang w:val="en-AU"/>
        </w:rPr>
        <w:t>60</w:t>
      </w:r>
      <w:r w:rsidRPr="00C927B9">
        <w:rPr>
          <w:lang w:val="en-AU"/>
        </w:rPr>
        <w:t>, 95% CI: 0.4</w:t>
      </w:r>
      <w:r w:rsidR="00A95840" w:rsidRPr="00C927B9">
        <w:rPr>
          <w:lang w:val="en-AU"/>
        </w:rPr>
        <w:t>2</w:t>
      </w:r>
      <w:r w:rsidRPr="00C927B9">
        <w:rPr>
          <w:lang w:val="en-AU"/>
        </w:rPr>
        <w:t>, 0.8</w:t>
      </w:r>
      <w:r w:rsidR="00A95840" w:rsidRPr="00C927B9">
        <w:rPr>
          <w:lang w:val="en-AU"/>
        </w:rPr>
        <w:t>5</w:t>
      </w:r>
      <w:r w:rsidRPr="00C927B9">
        <w:rPr>
          <w:lang w:val="en-AU"/>
        </w:rPr>
        <w:t>). Sensitivity analysis using a meta-analysis of the AZA-AML-001 and AZA-001 studies in the indirect analysis provided a hazard ratio favouring venetoclax with azacitidine over LoDAC (HR 0.4</w:t>
      </w:r>
      <w:r w:rsidR="00A95840" w:rsidRPr="00C927B9">
        <w:rPr>
          <w:lang w:val="en-AU"/>
        </w:rPr>
        <w:t>6</w:t>
      </w:r>
      <w:r w:rsidRPr="00C927B9">
        <w:rPr>
          <w:lang w:val="en-AU"/>
        </w:rPr>
        <w:t>, 95% CI: 0.</w:t>
      </w:r>
      <w:r w:rsidR="00A95840" w:rsidRPr="00C927B9">
        <w:rPr>
          <w:lang w:val="en-AU"/>
        </w:rPr>
        <w:t>20</w:t>
      </w:r>
      <w:r w:rsidRPr="00C927B9">
        <w:rPr>
          <w:lang w:val="en-AU"/>
        </w:rPr>
        <w:t>, 1.05), but the result was not statistically significant.</w:t>
      </w:r>
    </w:p>
    <w:p w:rsidR="005C7C6F" w:rsidRPr="00C927B9" w:rsidRDefault="005C7C6F" w:rsidP="005C7C6F">
      <w:pPr>
        <w:pStyle w:val="ExecSumBodyText"/>
        <w:rPr>
          <w:lang w:val="en-AU"/>
        </w:rPr>
      </w:pPr>
      <w:r w:rsidRPr="00C927B9">
        <w:rPr>
          <w:lang w:val="en-AU"/>
        </w:rPr>
        <w:t>The results for remission rates (</w:t>
      </w:r>
      <w:proofErr w:type="spellStart"/>
      <w:r w:rsidRPr="00C927B9">
        <w:rPr>
          <w:lang w:val="en-AU"/>
        </w:rPr>
        <w:t>CR+CRi</w:t>
      </w:r>
      <w:proofErr w:type="spellEnd"/>
      <w:r w:rsidRPr="00C927B9">
        <w:rPr>
          <w:lang w:val="en-AU"/>
        </w:rPr>
        <w:t>) in the indirect treatment comparison between venetoclax with azacitidine versus LoDAC, statistically significantly favoured venetoclax with azacitidine (OR 5.9</w:t>
      </w:r>
      <w:r w:rsidR="00A95840" w:rsidRPr="00C927B9">
        <w:rPr>
          <w:lang w:val="en-AU"/>
        </w:rPr>
        <w:t>4</w:t>
      </w:r>
      <w:r w:rsidRPr="00C927B9">
        <w:rPr>
          <w:lang w:val="en-AU"/>
        </w:rPr>
        <w:t>, 95% CI: 2.</w:t>
      </w:r>
      <w:r w:rsidR="00A95840" w:rsidRPr="00C927B9">
        <w:rPr>
          <w:lang w:val="en-AU"/>
        </w:rPr>
        <w:t>70</w:t>
      </w:r>
      <w:r w:rsidRPr="00C927B9">
        <w:rPr>
          <w:lang w:val="en-AU"/>
        </w:rPr>
        <w:t>, 13.07).</w:t>
      </w:r>
    </w:p>
    <w:p w:rsidR="005C7C6F" w:rsidRPr="00C927B9" w:rsidRDefault="005C7C6F" w:rsidP="005C7C6F">
      <w:pPr>
        <w:pStyle w:val="ExecSumBodyText"/>
        <w:rPr>
          <w:iCs/>
          <w:lang w:val="en-AU"/>
        </w:rPr>
      </w:pPr>
      <w:r w:rsidRPr="00C927B9">
        <w:rPr>
          <w:iCs/>
          <w:lang w:val="en-AU"/>
        </w:rPr>
        <w:t xml:space="preserve">Given the substantial differences between the M15-656 trial and AZA-AML-001 study, the poor transitivity and comparability between studies, and high risk of bias in the open label AZA-AML-001 study, the results of the indirect treatment comparison </w:t>
      </w:r>
      <w:r w:rsidR="00C06DE0" w:rsidRPr="00C927B9">
        <w:rPr>
          <w:iCs/>
          <w:lang w:val="en-AU"/>
        </w:rPr>
        <w:t xml:space="preserve">were </w:t>
      </w:r>
      <w:r w:rsidRPr="00C927B9">
        <w:rPr>
          <w:iCs/>
          <w:lang w:val="en-AU"/>
        </w:rPr>
        <w:t>highly uncertain, and should be interpreted with caution. The small size of the relevant AZA-001 study subgroups and the high risk of bias in the study add</w:t>
      </w:r>
      <w:r w:rsidR="00C06DE0" w:rsidRPr="00C927B9">
        <w:rPr>
          <w:iCs/>
          <w:lang w:val="en-AU"/>
        </w:rPr>
        <w:t>ed</w:t>
      </w:r>
      <w:r w:rsidRPr="00C927B9">
        <w:rPr>
          <w:iCs/>
          <w:lang w:val="en-AU"/>
        </w:rPr>
        <w:t xml:space="preserve"> further uncertainty to the indirect treatment comparison, and therefore, the sensitivity analysis including the meta-analysis of AZA-AML-001 and AZA-001 studies </w:t>
      </w:r>
      <w:r w:rsidR="000C396D" w:rsidRPr="00C927B9">
        <w:rPr>
          <w:iCs/>
          <w:lang w:val="en-AU"/>
        </w:rPr>
        <w:t>was</w:t>
      </w:r>
      <w:r w:rsidRPr="00C927B9">
        <w:rPr>
          <w:iCs/>
          <w:lang w:val="en-AU"/>
        </w:rPr>
        <w:t xml:space="preserve"> not informative.</w:t>
      </w:r>
    </w:p>
    <w:p w:rsidR="005C7C6F" w:rsidRPr="00C927B9" w:rsidRDefault="005C7C6F" w:rsidP="005C7C6F">
      <w:pPr>
        <w:pStyle w:val="4-SubsectSubhead"/>
        <w:rPr>
          <w:sz w:val="24"/>
          <w:lang w:val="en-AU"/>
        </w:rPr>
      </w:pPr>
      <w:r w:rsidRPr="00C927B9">
        <w:rPr>
          <w:sz w:val="24"/>
          <w:lang w:val="en-AU"/>
        </w:rPr>
        <w:t>Venetoclax with azacitidine vs LoDAC (propensity score weighted analysis)</w:t>
      </w:r>
    </w:p>
    <w:p w:rsidR="005C7C6F" w:rsidRPr="00C927B9" w:rsidRDefault="005C7C6F" w:rsidP="005C7C6F">
      <w:pPr>
        <w:pStyle w:val="ExecSumBodyText"/>
        <w:rPr>
          <w:lang w:val="en-AU"/>
        </w:rPr>
      </w:pPr>
      <w:r w:rsidRPr="00C927B9">
        <w:rPr>
          <w:lang w:val="en-AU"/>
        </w:rPr>
        <w:t xml:space="preserve">The propensity score weighted analysis was based on a logistic regression model of individual patient data (IPD) from the M15-656 (VTX+AZA arm) and M16-043 (LoDAC arm) trials. Baseline covariates were selected based on prognostic factors and potential confounders identified in prior research; i.e. age (&lt; 75, ≥ 75 years), race, gender, geographic region, AML status (de novo, secondary), myelodysplasia related changes, history of MDS, ECOG score, cytogenetic risk category, bone marrow blasts, and prior systemic therapy use. </w:t>
      </w:r>
      <w:r w:rsidR="00271804" w:rsidRPr="00C927B9">
        <w:rPr>
          <w:lang w:val="en-AU"/>
        </w:rPr>
        <w:t xml:space="preserve">These were appropriate. </w:t>
      </w:r>
      <w:r w:rsidRPr="00C927B9">
        <w:rPr>
          <w:lang w:val="en-AU"/>
        </w:rPr>
        <w:t xml:space="preserve">Region (rest-of-world), </w:t>
      </w:r>
      <w:r w:rsidRPr="00C927B9">
        <w:rPr>
          <w:lang w:val="en-AU"/>
        </w:rPr>
        <w:lastRenderedPageBreak/>
        <w:t>secondary AML and prior systemic therapies were also identified as potential treatment effect modifiers.</w:t>
      </w:r>
    </w:p>
    <w:p w:rsidR="005C7C6F" w:rsidRPr="00C927B9" w:rsidRDefault="005C7C6F" w:rsidP="005C7C6F">
      <w:pPr>
        <w:pStyle w:val="ExecSumBodyText"/>
        <w:rPr>
          <w:lang w:val="en-AU"/>
        </w:rPr>
      </w:pPr>
      <w:r w:rsidRPr="00C927B9">
        <w:rPr>
          <w:lang w:val="en-AU"/>
        </w:rPr>
        <w:t xml:space="preserve">The analysis used a fitted Cox proportional hazards model for estimates of overall survival and event free survival, and generalised linear models to estimate remission rates, adjusting for treatment arm. </w:t>
      </w:r>
      <w:r w:rsidR="000537FE" w:rsidRPr="00C927B9">
        <w:rPr>
          <w:lang w:val="en-AU"/>
        </w:rPr>
        <w:t>A comparison of patient demographic and disease covariates before and after weighting demonstrated good matching of potential treatment effect modifiers between trials with minimal weighting.</w:t>
      </w:r>
    </w:p>
    <w:p w:rsidR="00AC6750" w:rsidRPr="00C927B9" w:rsidRDefault="00AC6750" w:rsidP="005C7C6F">
      <w:pPr>
        <w:pStyle w:val="ExecSumBodyText"/>
        <w:rPr>
          <w:lang w:val="en-AU"/>
        </w:rPr>
      </w:pPr>
      <w:r w:rsidRPr="00C927B9">
        <w:rPr>
          <w:lang w:val="en-AU"/>
        </w:rPr>
        <w:t>The methodology used in the propensity score weighted analysis was not adequately described. The adjustment of the relative contributions of individual patients across the two cohorts did not affect the effective sample size of the analysis. Although the cohorts were adjusted for prior systemic therapy (yes/no)</w:t>
      </w:r>
      <w:r w:rsidR="00EA2F7F" w:rsidRPr="00C927B9">
        <w:rPr>
          <w:lang w:val="en-AU"/>
        </w:rPr>
        <w:t>,</w:t>
      </w:r>
      <w:r w:rsidRPr="00C927B9">
        <w:rPr>
          <w:lang w:val="en-AU"/>
        </w:rPr>
        <w:t xml:space="preserve"> it is unclear whether this adequately accounted for differences in trial eligibility criteria regarding prior use of HMAs (20.6% in LoDAC arm of Trial M16-043; 0% in venetoclax with azacitidine arm in Trial M15-656 due to exclusion of patients with prior HMA use).</w:t>
      </w:r>
    </w:p>
    <w:p w:rsidR="005C7C6F" w:rsidRPr="00C927B9" w:rsidRDefault="005C7C6F" w:rsidP="005C7C6F">
      <w:pPr>
        <w:pStyle w:val="ExecSumBodyText"/>
        <w:rPr>
          <w:lang w:val="en-AU"/>
        </w:rPr>
      </w:pPr>
      <w:r w:rsidRPr="00C927B9">
        <w:rPr>
          <w:lang w:val="en-AU"/>
        </w:rPr>
        <w:t>Table 8 show</w:t>
      </w:r>
      <w:r w:rsidR="00CF6F27" w:rsidRPr="00C927B9">
        <w:rPr>
          <w:lang w:val="en-AU"/>
        </w:rPr>
        <w:t>s</w:t>
      </w:r>
      <w:r w:rsidRPr="00C927B9">
        <w:rPr>
          <w:lang w:val="en-AU"/>
        </w:rPr>
        <w:t xml:space="preserve"> the results of the propensity score weighted analysis for the outcomes of overall survival</w:t>
      </w:r>
      <w:r w:rsidR="00CF6F27" w:rsidRPr="00C927B9">
        <w:rPr>
          <w:lang w:val="en-AU"/>
        </w:rPr>
        <w:t xml:space="preserve"> and</w:t>
      </w:r>
      <w:r w:rsidRPr="00C927B9">
        <w:rPr>
          <w:lang w:val="en-AU"/>
        </w:rPr>
        <w:t xml:space="preserve"> event free survival.</w:t>
      </w:r>
    </w:p>
    <w:p w:rsidR="005C7C6F" w:rsidRPr="00C927B9" w:rsidRDefault="0060344B" w:rsidP="0060344B">
      <w:pPr>
        <w:pStyle w:val="Caption"/>
        <w:rPr>
          <w:lang w:val="en-AU"/>
        </w:rPr>
      </w:pPr>
      <w:r w:rsidRPr="00C927B9">
        <w:rPr>
          <w:lang w:val="en-AU"/>
        </w:rPr>
        <w:t xml:space="preserve">Table </w:t>
      </w:r>
      <w:r w:rsidR="00DB3600" w:rsidRPr="00C927B9">
        <w:rPr>
          <w:lang w:val="en-AU"/>
        </w:rPr>
        <w:t>8</w:t>
      </w:r>
      <w:r w:rsidR="005C7C6F" w:rsidRPr="00C927B9">
        <w:rPr>
          <w:lang w:val="en-AU"/>
        </w:rPr>
        <w:t>: Results for overall survival and event free survival of the propensity score weighted analysis of venetoclax + azacitidine versus LoDAC</w:t>
      </w:r>
    </w:p>
    <w:tbl>
      <w:tblPr>
        <w:tblStyle w:val="newstyle2"/>
        <w:tblW w:w="5000" w:type="pct"/>
        <w:tblLook w:val="04A0" w:firstRow="1" w:lastRow="0" w:firstColumn="1" w:lastColumn="0" w:noHBand="0" w:noVBand="1"/>
        <w:tblCaption w:val="Table 8: Results for overall survival and event free survival of the propensity score weighted analysis of venetoclax + azacitidine versus LoDAC"/>
      </w:tblPr>
      <w:tblGrid>
        <w:gridCol w:w="4255"/>
        <w:gridCol w:w="2380"/>
        <w:gridCol w:w="2382"/>
      </w:tblGrid>
      <w:tr w:rsidR="005C7C6F" w:rsidRPr="00C927B9" w:rsidTr="003F487D">
        <w:trPr>
          <w:tblHeader/>
        </w:trPr>
        <w:tc>
          <w:tcPr>
            <w:tcW w:w="2359" w:type="pct"/>
            <w:vMerge w:val="restart"/>
            <w:shd w:val="clear" w:color="auto" w:fill="auto"/>
          </w:tcPr>
          <w:p w:rsidR="005C7C6F" w:rsidRPr="00C927B9" w:rsidRDefault="005C7C6F" w:rsidP="00574791">
            <w:pPr>
              <w:pStyle w:val="TableText"/>
              <w:rPr>
                <w:b/>
                <w:bCs w:val="0"/>
                <w:sz w:val="20"/>
                <w:szCs w:val="20"/>
              </w:rPr>
            </w:pPr>
          </w:p>
        </w:tc>
        <w:tc>
          <w:tcPr>
            <w:tcW w:w="2641" w:type="pct"/>
            <w:gridSpan w:val="2"/>
            <w:shd w:val="clear" w:color="auto" w:fill="auto"/>
          </w:tcPr>
          <w:p w:rsidR="005C7C6F" w:rsidRPr="00C927B9" w:rsidRDefault="005C7C6F" w:rsidP="00574791">
            <w:pPr>
              <w:pStyle w:val="TableText"/>
              <w:jc w:val="center"/>
              <w:rPr>
                <w:rFonts w:eastAsia="Times New Roman"/>
                <w:b/>
                <w:bCs w:val="0"/>
                <w:sz w:val="20"/>
                <w:szCs w:val="20"/>
              </w:rPr>
            </w:pPr>
            <w:r w:rsidRPr="00C927B9">
              <w:rPr>
                <w:rFonts w:eastAsia="Times New Roman"/>
                <w:b/>
                <w:sz w:val="20"/>
                <w:szCs w:val="20"/>
              </w:rPr>
              <w:t>Propensity score analysis</w:t>
            </w:r>
          </w:p>
        </w:tc>
      </w:tr>
      <w:tr w:rsidR="005C7C6F" w:rsidRPr="00C927B9" w:rsidTr="003F487D">
        <w:trPr>
          <w:tblHeader/>
        </w:trPr>
        <w:tc>
          <w:tcPr>
            <w:tcW w:w="2359" w:type="pct"/>
            <w:vMerge/>
            <w:tcBorders>
              <w:bottom w:val="single" w:sz="4" w:space="0" w:color="auto"/>
            </w:tcBorders>
            <w:shd w:val="clear" w:color="auto" w:fill="auto"/>
          </w:tcPr>
          <w:p w:rsidR="005C7C6F" w:rsidRPr="00C927B9" w:rsidRDefault="005C7C6F" w:rsidP="00574791">
            <w:pPr>
              <w:pStyle w:val="TableText"/>
              <w:rPr>
                <w:b/>
                <w:bCs w:val="0"/>
                <w:sz w:val="20"/>
                <w:szCs w:val="20"/>
              </w:rPr>
            </w:pPr>
          </w:p>
        </w:tc>
        <w:tc>
          <w:tcPr>
            <w:tcW w:w="1320" w:type="pct"/>
            <w:tcBorders>
              <w:bottom w:val="single" w:sz="4" w:space="0" w:color="auto"/>
            </w:tcBorders>
            <w:shd w:val="clear" w:color="auto" w:fill="auto"/>
          </w:tcPr>
          <w:p w:rsidR="005C7C6F" w:rsidRPr="00C927B9" w:rsidRDefault="005C7C6F" w:rsidP="00574791">
            <w:pPr>
              <w:pStyle w:val="TableText"/>
              <w:jc w:val="center"/>
              <w:rPr>
                <w:b/>
                <w:bCs w:val="0"/>
                <w:sz w:val="20"/>
                <w:szCs w:val="20"/>
              </w:rPr>
            </w:pPr>
            <w:r w:rsidRPr="00C927B9">
              <w:rPr>
                <w:b/>
                <w:sz w:val="20"/>
                <w:szCs w:val="20"/>
              </w:rPr>
              <w:t>VTX + AZA</w:t>
            </w:r>
            <w:r w:rsidRPr="00C927B9">
              <w:rPr>
                <w:b/>
                <w:sz w:val="20"/>
                <w:szCs w:val="20"/>
              </w:rPr>
              <w:br/>
              <w:t>(N=285)</w:t>
            </w:r>
          </w:p>
        </w:tc>
        <w:tc>
          <w:tcPr>
            <w:tcW w:w="1321" w:type="pct"/>
            <w:tcBorders>
              <w:bottom w:val="single" w:sz="4" w:space="0" w:color="auto"/>
            </w:tcBorders>
            <w:shd w:val="clear" w:color="auto" w:fill="auto"/>
          </w:tcPr>
          <w:p w:rsidR="005C7C6F" w:rsidRPr="00C927B9" w:rsidRDefault="005C7C6F" w:rsidP="00574791">
            <w:pPr>
              <w:pStyle w:val="TableText"/>
              <w:jc w:val="center"/>
              <w:rPr>
                <w:b/>
                <w:bCs w:val="0"/>
                <w:sz w:val="20"/>
                <w:szCs w:val="20"/>
              </w:rPr>
            </w:pPr>
            <w:proofErr w:type="spellStart"/>
            <w:r w:rsidRPr="00C927B9">
              <w:rPr>
                <w:b/>
                <w:sz w:val="20"/>
                <w:szCs w:val="20"/>
              </w:rPr>
              <w:t>Pbo</w:t>
            </w:r>
            <w:proofErr w:type="spellEnd"/>
            <w:r w:rsidRPr="00C927B9">
              <w:rPr>
                <w:b/>
                <w:sz w:val="20"/>
                <w:szCs w:val="20"/>
              </w:rPr>
              <w:t xml:space="preserve"> + LoDAC</w:t>
            </w:r>
            <w:r w:rsidRPr="00C927B9">
              <w:rPr>
                <w:b/>
                <w:sz w:val="20"/>
                <w:szCs w:val="20"/>
              </w:rPr>
              <w:br/>
              <w:t>(N=66)</w:t>
            </w:r>
          </w:p>
        </w:tc>
      </w:tr>
      <w:tr w:rsidR="005C7C6F" w:rsidRPr="00C927B9" w:rsidTr="003F487D">
        <w:trPr>
          <w:tblHeader/>
        </w:trPr>
        <w:tc>
          <w:tcPr>
            <w:tcW w:w="2359" w:type="pct"/>
            <w:tcBorders>
              <w:right w:val="nil"/>
            </w:tcBorders>
            <w:shd w:val="clear" w:color="auto" w:fill="auto"/>
          </w:tcPr>
          <w:p w:rsidR="005C7C6F" w:rsidRPr="00C927B9" w:rsidRDefault="005C7C6F" w:rsidP="00574791">
            <w:pPr>
              <w:pStyle w:val="TableText"/>
              <w:rPr>
                <w:b/>
                <w:bCs w:val="0"/>
                <w:sz w:val="20"/>
                <w:szCs w:val="20"/>
              </w:rPr>
            </w:pPr>
            <w:r w:rsidRPr="00C927B9">
              <w:rPr>
                <w:b/>
                <w:sz w:val="20"/>
                <w:szCs w:val="20"/>
              </w:rPr>
              <w:t>Overall survival</w:t>
            </w:r>
          </w:p>
        </w:tc>
        <w:tc>
          <w:tcPr>
            <w:tcW w:w="1320" w:type="pct"/>
            <w:tcBorders>
              <w:left w:val="nil"/>
              <w:right w:val="nil"/>
            </w:tcBorders>
            <w:shd w:val="clear" w:color="auto" w:fill="auto"/>
          </w:tcPr>
          <w:p w:rsidR="005C7C6F" w:rsidRPr="00C927B9" w:rsidRDefault="005C7C6F" w:rsidP="00574791">
            <w:pPr>
              <w:pStyle w:val="TableText"/>
              <w:jc w:val="center"/>
              <w:rPr>
                <w:b/>
                <w:bCs w:val="0"/>
                <w:sz w:val="20"/>
                <w:szCs w:val="20"/>
              </w:rPr>
            </w:pPr>
          </w:p>
        </w:tc>
        <w:tc>
          <w:tcPr>
            <w:tcW w:w="1321" w:type="pct"/>
            <w:tcBorders>
              <w:left w:val="nil"/>
            </w:tcBorders>
            <w:shd w:val="clear" w:color="auto" w:fill="auto"/>
          </w:tcPr>
          <w:p w:rsidR="005C7C6F" w:rsidRPr="00C927B9" w:rsidRDefault="005C7C6F" w:rsidP="00574791">
            <w:pPr>
              <w:pStyle w:val="TableText"/>
              <w:jc w:val="center"/>
              <w:rPr>
                <w:b/>
                <w:bCs w:val="0"/>
                <w:sz w:val="20"/>
                <w:szCs w:val="20"/>
              </w:rPr>
            </w:pPr>
          </w:p>
        </w:tc>
      </w:tr>
      <w:tr w:rsidR="005C7C6F" w:rsidRPr="00C927B9" w:rsidTr="003F487D">
        <w:tc>
          <w:tcPr>
            <w:tcW w:w="2359" w:type="pct"/>
            <w:shd w:val="clear" w:color="auto" w:fill="auto"/>
          </w:tcPr>
          <w:p w:rsidR="005C7C6F" w:rsidRPr="00C927B9" w:rsidRDefault="005C7C6F" w:rsidP="00574791">
            <w:pPr>
              <w:pStyle w:val="TableText"/>
              <w:rPr>
                <w:bCs w:val="0"/>
                <w:sz w:val="20"/>
                <w:szCs w:val="20"/>
              </w:rPr>
            </w:pPr>
            <w:r w:rsidRPr="00C927B9">
              <w:rPr>
                <w:sz w:val="20"/>
                <w:szCs w:val="20"/>
              </w:rPr>
              <w:t>Mean follow-up (months)</w:t>
            </w:r>
          </w:p>
        </w:tc>
        <w:tc>
          <w:tcPr>
            <w:tcW w:w="1320" w:type="pct"/>
            <w:shd w:val="clear" w:color="auto" w:fill="auto"/>
          </w:tcPr>
          <w:p w:rsidR="005C7C6F" w:rsidRPr="00C927B9" w:rsidRDefault="005C7C6F" w:rsidP="00574791">
            <w:pPr>
              <w:pStyle w:val="TableText"/>
              <w:jc w:val="center"/>
              <w:rPr>
                <w:sz w:val="20"/>
                <w:szCs w:val="20"/>
              </w:rPr>
            </w:pPr>
            <w:r w:rsidRPr="00C927B9">
              <w:rPr>
                <w:sz w:val="20"/>
                <w:szCs w:val="20"/>
              </w:rPr>
              <w:t>12.23</w:t>
            </w:r>
          </w:p>
        </w:tc>
        <w:tc>
          <w:tcPr>
            <w:tcW w:w="1321" w:type="pct"/>
            <w:shd w:val="clear" w:color="auto" w:fill="auto"/>
          </w:tcPr>
          <w:p w:rsidR="005C7C6F" w:rsidRPr="00C927B9" w:rsidRDefault="005C7C6F" w:rsidP="00574791">
            <w:pPr>
              <w:pStyle w:val="TableText"/>
              <w:jc w:val="center"/>
              <w:rPr>
                <w:sz w:val="20"/>
                <w:szCs w:val="20"/>
              </w:rPr>
            </w:pPr>
            <w:r w:rsidRPr="00C927B9">
              <w:rPr>
                <w:sz w:val="20"/>
                <w:szCs w:val="20"/>
              </w:rPr>
              <w:t>6.76</w:t>
            </w:r>
          </w:p>
        </w:tc>
      </w:tr>
      <w:tr w:rsidR="005C7C6F" w:rsidRPr="00C927B9" w:rsidTr="003F487D">
        <w:tc>
          <w:tcPr>
            <w:tcW w:w="2359" w:type="pct"/>
            <w:shd w:val="clear" w:color="auto" w:fill="auto"/>
          </w:tcPr>
          <w:p w:rsidR="005C7C6F" w:rsidRPr="00C927B9" w:rsidRDefault="005C7C6F" w:rsidP="00574791">
            <w:pPr>
              <w:pStyle w:val="TableText"/>
              <w:rPr>
                <w:bCs w:val="0"/>
                <w:sz w:val="20"/>
                <w:szCs w:val="20"/>
              </w:rPr>
            </w:pPr>
            <w:r w:rsidRPr="00C927B9">
              <w:rPr>
                <w:sz w:val="20"/>
                <w:szCs w:val="20"/>
              </w:rPr>
              <w:t>Patients with event (death), n (%)</w:t>
            </w:r>
          </w:p>
        </w:tc>
        <w:tc>
          <w:tcPr>
            <w:tcW w:w="1320" w:type="pct"/>
            <w:shd w:val="clear" w:color="auto" w:fill="auto"/>
          </w:tcPr>
          <w:p w:rsidR="005C7C6F" w:rsidRPr="00C927B9" w:rsidRDefault="005C7C6F" w:rsidP="00574791">
            <w:pPr>
              <w:pStyle w:val="TableText"/>
              <w:jc w:val="center"/>
              <w:rPr>
                <w:sz w:val="20"/>
                <w:szCs w:val="20"/>
              </w:rPr>
            </w:pPr>
            <w:r w:rsidRPr="00C927B9">
              <w:rPr>
                <w:sz w:val="20"/>
                <w:szCs w:val="20"/>
              </w:rPr>
              <w:t>161/285 (56.5%)</w:t>
            </w:r>
          </w:p>
        </w:tc>
        <w:tc>
          <w:tcPr>
            <w:tcW w:w="1321" w:type="pct"/>
            <w:shd w:val="clear" w:color="auto" w:fill="auto"/>
          </w:tcPr>
          <w:p w:rsidR="005C7C6F" w:rsidRPr="00C927B9" w:rsidRDefault="005C7C6F" w:rsidP="00574791">
            <w:pPr>
              <w:pStyle w:val="TableText"/>
              <w:jc w:val="center"/>
              <w:rPr>
                <w:sz w:val="20"/>
                <w:szCs w:val="20"/>
              </w:rPr>
            </w:pPr>
            <w:r w:rsidRPr="00C927B9">
              <w:rPr>
                <w:sz w:val="20"/>
                <w:szCs w:val="20"/>
              </w:rPr>
              <w:t>53/66 (80.3%)</w:t>
            </w:r>
          </w:p>
        </w:tc>
      </w:tr>
      <w:tr w:rsidR="005C7C6F" w:rsidRPr="00C927B9" w:rsidTr="003F487D">
        <w:trPr>
          <w:trHeight w:val="164"/>
        </w:trPr>
        <w:tc>
          <w:tcPr>
            <w:tcW w:w="2359" w:type="pct"/>
            <w:tcBorders>
              <w:bottom w:val="single" w:sz="4" w:space="0" w:color="auto"/>
            </w:tcBorders>
            <w:shd w:val="clear" w:color="auto" w:fill="auto"/>
          </w:tcPr>
          <w:p w:rsidR="005C7C6F" w:rsidRPr="00C927B9" w:rsidRDefault="005C7C6F" w:rsidP="00574791">
            <w:pPr>
              <w:pStyle w:val="TableText"/>
              <w:rPr>
                <w:bCs w:val="0"/>
                <w:sz w:val="20"/>
                <w:szCs w:val="20"/>
              </w:rPr>
            </w:pPr>
            <w:r w:rsidRPr="00C927B9">
              <w:rPr>
                <w:sz w:val="20"/>
                <w:szCs w:val="20"/>
              </w:rPr>
              <w:t>Weighted median time to event, months (95% CI)</w:t>
            </w:r>
          </w:p>
        </w:tc>
        <w:tc>
          <w:tcPr>
            <w:tcW w:w="1320" w:type="pct"/>
            <w:tcBorders>
              <w:bottom w:val="single" w:sz="4" w:space="0" w:color="auto"/>
            </w:tcBorders>
            <w:shd w:val="clear" w:color="auto" w:fill="auto"/>
          </w:tcPr>
          <w:p w:rsidR="005C7C6F" w:rsidRPr="00C927B9" w:rsidRDefault="005C7C6F" w:rsidP="00574791">
            <w:pPr>
              <w:pStyle w:val="TableText"/>
              <w:jc w:val="center"/>
              <w:rPr>
                <w:sz w:val="20"/>
                <w:szCs w:val="20"/>
              </w:rPr>
            </w:pPr>
            <w:r w:rsidRPr="00C927B9">
              <w:rPr>
                <w:sz w:val="20"/>
                <w:szCs w:val="20"/>
              </w:rPr>
              <w:t>14.69 (12.12, 19.45)</w:t>
            </w:r>
          </w:p>
        </w:tc>
        <w:tc>
          <w:tcPr>
            <w:tcW w:w="1321" w:type="pct"/>
            <w:tcBorders>
              <w:bottom w:val="single" w:sz="4" w:space="0" w:color="auto"/>
            </w:tcBorders>
            <w:shd w:val="clear" w:color="auto" w:fill="auto"/>
          </w:tcPr>
          <w:p w:rsidR="005C7C6F" w:rsidRPr="00C927B9" w:rsidRDefault="005C7C6F" w:rsidP="00574791">
            <w:pPr>
              <w:pStyle w:val="TableText"/>
              <w:jc w:val="center"/>
              <w:rPr>
                <w:sz w:val="20"/>
                <w:szCs w:val="20"/>
              </w:rPr>
            </w:pPr>
            <w:r w:rsidRPr="00C927B9">
              <w:rPr>
                <w:sz w:val="20"/>
                <w:szCs w:val="20"/>
              </w:rPr>
              <w:t>7.85 (3.61, 10.18)</w:t>
            </w:r>
          </w:p>
        </w:tc>
      </w:tr>
      <w:tr w:rsidR="005C7C6F" w:rsidRPr="00C927B9" w:rsidTr="003F487D">
        <w:trPr>
          <w:trHeight w:val="139"/>
        </w:trPr>
        <w:tc>
          <w:tcPr>
            <w:tcW w:w="2359" w:type="pct"/>
            <w:tcBorders>
              <w:bottom w:val="double" w:sz="4" w:space="0" w:color="auto"/>
            </w:tcBorders>
            <w:shd w:val="clear" w:color="auto" w:fill="auto"/>
          </w:tcPr>
          <w:p w:rsidR="005C7C6F" w:rsidRPr="00C927B9" w:rsidRDefault="005C7C6F" w:rsidP="00574791">
            <w:pPr>
              <w:pStyle w:val="TableText"/>
              <w:rPr>
                <w:bCs w:val="0"/>
                <w:sz w:val="20"/>
                <w:szCs w:val="20"/>
              </w:rPr>
            </w:pPr>
            <w:r w:rsidRPr="00C927B9">
              <w:rPr>
                <w:sz w:val="20"/>
                <w:szCs w:val="20"/>
              </w:rPr>
              <w:t>Hazard ratio (95% CI)</w:t>
            </w:r>
          </w:p>
        </w:tc>
        <w:tc>
          <w:tcPr>
            <w:tcW w:w="2641" w:type="pct"/>
            <w:gridSpan w:val="2"/>
            <w:tcBorders>
              <w:bottom w:val="double" w:sz="4" w:space="0" w:color="auto"/>
            </w:tcBorders>
            <w:shd w:val="clear" w:color="auto" w:fill="auto"/>
          </w:tcPr>
          <w:p w:rsidR="005C7C6F" w:rsidRPr="00C927B9" w:rsidRDefault="005C7C6F" w:rsidP="00574791">
            <w:pPr>
              <w:pStyle w:val="TableText"/>
              <w:jc w:val="center"/>
              <w:rPr>
                <w:b/>
                <w:sz w:val="20"/>
                <w:szCs w:val="20"/>
              </w:rPr>
            </w:pPr>
            <w:r w:rsidRPr="00C927B9">
              <w:rPr>
                <w:b/>
                <w:sz w:val="20"/>
                <w:szCs w:val="20"/>
              </w:rPr>
              <w:t>0.51 (0.36, 0.72)</w:t>
            </w:r>
          </w:p>
        </w:tc>
      </w:tr>
      <w:tr w:rsidR="005C7C6F" w:rsidRPr="00C927B9" w:rsidTr="003F487D">
        <w:trPr>
          <w:trHeight w:val="231"/>
        </w:trPr>
        <w:tc>
          <w:tcPr>
            <w:tcW w:w="2359" w:type="pct"/>
            <w:tcBorders>
              <w:top w:val="double" w:sz="4" w:space="0" w:color="auto"/>
            </w:tcBorders>
            <w:shd w:val="clear" w:color="auto" w:fill="auto"/>
          </w:tcPr>
          <w:p w:rsidR="005C7C6F" w:rsidRPr="00C927B9" w:rsidRDefault="005C7C6F" w:rsidP="00574791">
            <w:pPr>
              <w:pStyle w:val="TableText"/>
              <w:rPr>
                <w:bCs w:val="0"/>
                <w:sz w:val="20"/>
                <w:szCs w:val="20"/>
              </w:rPr>
            </w:pPr>
            <w:r w:rsidRPr="00C927B9">
              <w:rPr>
                <w:bCs w:val="0"/>
                <w:sz w:val="20"/>
                <w:szCs w:val="20"/>
              </w:rPr>
              <w:t xml:space="preserve">Overall survival at 6 month, % </w:t>
            </w:r>
          </w:p>
        </w:tc>
        <w:tc>
          <w:tcPr>
            <w:tcW w:w="1320" w:type="pct"/>
            <w:tcBorders>
              <w:top w:val="double" w:sz="4" w:space="0" w:color="auto"/>
            </w:tcBorders>
            <w:shd w:val="clear" w:color="auto" w:fill="auto"/>
          </w:tcPr>
          <w:p w:rsidR="005C7C6F" w:rsidRPr="00C927B9" w:rsidRDefault="005C7C6F" w:rsidP="00574791">
            <w:pPr>
              <w:pStyle w:val="TableText"/>
              <w:jc w:val="center"/>
              <w:rPr>
                <w:sz w:val="20"/>
                <w:szCs w:val="20"/>
              </w:rPr>
            </w:pPr>
            <w:r w:rsidRPr="00C927B9">
              <w:rPr>
                <w:sz w:val="20"/>
                <w:szCs w:val="20"/>
              </w:rPr>
              <w:t>71.93%</w:t>
            </w:r>
          </w:p>
        </w:tc>
        <w:tc>
          <w:tcPr>
            <w:tcW w:w="1321" w:type="pct"/>
            <w:tcBorders>
              <w:top w:val="double" w:sz="4" w:space="0" w:color="auto"/>
            </w:tcBorders>
            <w:shd w:val="clear" w:color="auto" w:fill="auto"/>
          </w:tcPr>
          <w:p w:rsidR="005C7C6F" w:rsidRPr="00C927B9" w:rsidRDefault="005C7C6F" w:rsidP="00574791">
            <w:pPr>
              <w:pStyle w:val="TableText"/>
              <w:jc w:val="center"/>
              <w:rPr>
                <w:sz w:val="20"/>
                <w:szCs w:val="20"/>
              </w:rPr>
            </w:pPr>
            <w:r w:rsidRPr="00C927B9">
              <w:rPr>
                <w:sz w:val="20"/>
                <w:szCs w:val="20"/>
              </w:rPr>
              <w:t>55.60%</w:t>
            </w:r>
          </w:p>
        </w:tc>
      </w:tr>
      <w:tr w:rsidR="005C7C6F" w:rsidRPr="00C927B9" w:rsidTr="003F487D">
        <w:trPr>
          <w:trHeight w:val="231"/>
        </w:trPr>
        <w:tc>
          <w:tcPr>
            <w:tcW w:w="2359" w:type="pct"/>
            <w:tcBorders>
              <w:bottom w:val="single" w:sz="4" w:space="0" w:color="auto"/>
            </w:tcBorders>
            <w:shd w:val="clear" w:color="auto" w:fill="auto"/>
          </w:tcPr>
          <w:p w:rsidR="005C7C6F" w:rsidRPr="00C927B9" w:rsidRDefault="005C7C6F" w:rsidP="00574791">
            <w:pPr>
              <w:pStyle w:val="TableText"/>
              <w:rPr>
                <w:bCs w:val="0"/>
                <w:sz w:val="20"/>
                <w:szCs w:val="20"/>
              </w:rPr>
            </w:pPr>
            <w:r w:rsidRPr="00C927B9">
              <w:rPr>
                <w:bCs w:val="0"/>
                <w:sz w:val="20"/>
                <w:szCs w:val="20"/>
              </w:rPr>
              <w:t xml:space="preserve">Overall survival at 12 month, % </w:t>
            </w:r>
          </w:p>
        </w:tc>
        <w:tc>
          <w:tcPr>
            <w:tcW w:w="1320" w:type="pct"/>
            <w:tcBorders>
              <w:bottom w:val="single" w:sz="4" w:space="0" w:color="auto"/>
            </w:tcBorders>
            <w:shd w:val="clear" w:color="auto" w:fill="auto"/>
          </w:tcPr>
          <w:p w:rsidR="005C7C6F" w:rsidRPr="00C927B9" w:rsidRDefault="005C7C6F" w:rsidP="00574791">
            <w:pPr>
              <w:pStyle w:val="TableText"/>
              <w:jc w:val="center"/>
              <w:rPr>
                <w:sz w:val="20"/>
                <w:szCs w:val="20"/>
              </w:rPr>
            </w:pPr>
            <w:r w:rsidRPr="00C927B9">
              <w:rPr>
                <w:sz w:val="20"/>
                <w:szCs w:val="20"/>
              </w:rPr>
              <w:t>56.08%</w:t>
            </w:r>
          </w:p>
        </w:tc>
        <w:tc>
          <w:tcPr>
            <w:tcW w:w="1321" w:type="pct"/>
            <w:tcBorders>
              <w:bottom w:val="single" w:sz="4" w:space="0" w:color="auto"/>
            </w:tcBorders>
            <w:shd w:val="clear" w:color="auto" w:fill="auto"/>
          </w:tcPr>
          <w:p w:rsidR="005C7C6F" w:rsidRPr="00C927B9" w:rsidRDefault="005C7C6F" w:rsidP="00574791">
            <w:pPr>
              <w:pStyle w:val="TableText"/>
              <w:jc w:val="center"/>
              <w:rPr>
                <w:sz w:val="20"/>
                <w:szCs w:val="20"/>
              </w:rPr>
            </w:pPr>
            <w:r w:rsidRPr="00C927B9">
              <w:rPr>
                <w:sz w:val="20"/>
                <w:szCs w:val="20"/>
              </w:rPr>
              <w:t>29.92%</w:t>
            </w:r>
          </w:p>
        </w:tc>
      </w:tr>
      <w:tr w:rsidR="005C7C6F" w:rsidRPr="00C927B9" w:rsidTr="003F487D">
        <w:trPr>
          <w:trHeight w:val="231"/>
        </w:trPr>
        <w:tc>
          <w:tcPr>
            <w:tcW w:w="2359" w:type="pct"/>
            <w:tcBorders>
              <w:bottom w:val="double" w:sz="4" w:space="0" w:color="auto"/>
            </w:tcBorders>
            <w:shd w:val="clear" w:color="auto" w:fill="auto"/>
          </w:tcPr>
          <w:p w:rsidR="005C7C6F" w:rsidRPr="00C927B9" w:rsidRDefault="005C7C6F" w:rsidP="00574791">
            <w:pPr>
              <w:pStyle w:val="TableText"/>
              <w:rPr>
                <w:bCs w:val="0"/>
                <w:sz w:val="20"/>
                <w:szCs w:val="20"/>
              </w:rPr>
            </w:pPr>
            <w:r w:rsidRPr="00C927B9">
              <w:rPr>
                <w:bCs w:val="0"/>
                <w:sz w:val="20"/>
                <w:szCs w:val="20"/>
              </w:rPr>
              <w:t xml:space="preserve">Overall survival at 24 month, % </w:t>
            </w:r>
          </w:p>
        </w:tc>
        <w:tc>
          <w:tcPr>
            <w:tcW w:w="1320" w:type="pct"/>
            <w:tcBorders>
              <w:bottom w:val="double" w:sz="4" w:space="0" w:color="auto"/>
            </w:tcBorders>
            <w:shd w:val="clear" w:color="auto" w:fill="auto"/>
          </w:tcPr>
          <w:p w:rsidR="005C7C6F" w:rsidRPr="00C927B9" w:rsidRDefault="005C7C6F" w:rsidP="00574791">
            <w:pPr>
              <w:pStyle w:val="TableText"/>
              <w:jc w:val="center"/>
              <w:rPr>
                <w:sz w:val="20"/>
                <w:szCs w:val="20"/>
              </w:rPr>
            </w:pPr>
            <w:r w:rsidRPr="00C927B9">
              <w:rPr>
                <w:sz w:val="20"/>
                <w:szCs w:val="20"/>
              </w:rPr>
              <w:t>44.86%</w:t>
            </w:r>
          </w:p>
        </w:tc>
        <w:tc>
          <w:tcPr>
            <w:tcW w:w="1321" w:type="pct"/>
            <w:tcBorders>
              <w:bottom w:val="double" w:sz="4" w:space="0" w:color="auto"/>
            </w:tcBorders>
            <w:shd w:val="clear" w:color="auto" w:fill="auto"/>
          </w:tcPr>
          <w:p w:rsidR="005C7C6F" w:rsidRPr="00C927B9" w:rsidRDefault="005C7C6F" w:rsidP="00574791">
            <w:pPr>
              <w:pStyle w:val="TableText"/>
              <w:jc w:val="center"/>
              <w:rPr>
                <w:sz w:val="20"/>
                <w:szCs w:val="20"/>
              </w:rPr>
            </w:pPr>
            <w:r w:rsidRPr="00C927B9">
              <w:rPr>
                <w:sz w:val="20"/>
                <w:szCs w:val="20"/>
              </w:rPr>
              <w:t>21.58%</w:t>
            </w:r>
          </w:p>
        </w:tc>
      </w:tr>
      <w:tr w:rsidR="005C7C6F" w:rsidRPr="00C927B9" w:rsidTr="003F487D">
        <w:trPr>
          <w:tblHeader/>
        </w:trPr>
        <w:tc>
          <w:tcPr>
            <w:tcW w:w="5000" w:type="pct"/>
            <w:gridSpan w:val="3"/>
            <w:tcBorders>
              <w:top w:val="double" w:sz="4" w:space="0" w:color="auto"/>
            </w:tcBorders>
            <w:shd w:val="clear" w:color="auto" w:fill="auto"/>
          </w:tcPr>
          <w:p w:rsidR="005C7C6F" w:rsidRPr="00C927B9" w:rsidRDefault="005C7C6F" w:rsidP="00574791">
            <w:pPr>
              <w:pStyle w:val="TableText"/>
              <w:rPr>
                <w:b/>
                <w:bCs w:val="0"/>
                <w:sz w:val="20"/>
                <w:szCs w:val="20"/>
              </w:rPr>
            </w:pPr>
            <w:r w:rsidRPr="00C927B9">
              <w:rPr>
                <w:b/>
                <w:sz w:val="20"/>
                <w:szCs w:val="20"/>
              </w:rPr>
              <w:t>Event free survival</w:t>
            </w:r>
          </w:p>
        </w:tc>
      </w:tr>
      <w:tr w:rsidR="005C7C6F" w:rsidRPr="00C927B9" w:rsidTr="003F487D">
        <w:tc>
          <w:tcPr>
            <w:tcW w:w="2359" w:type="pct"/>
            <w:shd w:val="clear" w:color="auto" w:fill="auto"/>
          </w:tcPr>
          <w:p w:rsidR="005C7C6F" w:rsidRPr="00C927B9" w:rsidRDefault="005C7C6F" w:rsidP="00574791">
            <w:pPr>
              <w:pStyle w:val="TableText"/>
              <w:rPr>
                <w:bCs w:val="0"/>
                <w:sz w:val="20"/>
                <w:szCs w:val="20"/>
              </w:rPr>
            </w:pPr>
            <w:r w:rsidRPr="00C927B9">
              <w:rPr>
                <w:sz w:val="20"/>
                <w:szCs w:val="20"/>
              </w:rPr>
              <w:t>Mean follow-up (months)</w:t>
            </w:r>
          </w:p>
        </w:tc>
        <w:tc>
          <w:tcPr>
            <w:tcW w:w="1320" w:type="pct"/>
            <w:shd w:val="clear" w:color="auto" w:fill="auto"/>
          </w:tcPr>
          <w:p w:rsidR="005C7C6F" w:rsidRPr="00C927B9" w:rsidRDefault="005C7C6F" w:rsidP="00574791">
            <w:pPr>
              <w:pStyle w:val="TableText"/>
              <w:jc w:val="center"/>
              <w:rPr>
                <w:sz w:val="20"/>
                <w:szCs w:val="20"/>
              </w:rPr>
            </w:pPr>
            <w:r w:rsidRPr="00C927B9">
              <w:rPr>
                <w:sz w:val="20"/>
                <w:szCs w:val="20"/>
              </w:rPr>
              <w:t>10.44</w:t>
            </w:r>
          </w:p>
        </w:tc>
        <w:tc>
          <w:tcPr>
            <w:tcW w:w="1321" w:type="pct"/>
            <w:shd w:val="clear" w:color="auto" w:fill="auto"/>
          </w:tcPr>
          <w:p w:rsidR="005C7C6F" w:rsidRPr="00C927B9" w:rsidRDefault="005C7C6F" w:rsidP="00574791">
            <w:pPr>
              <w:pStyle w:val="TableText"/>
              <w:jc w:val="center"/>
              <w:rPr>
                <w:sz w:val="20"/>
                <w:szCs w:val="20"/>
              </w:rPr>
            </w:pPr>
            <w:r w:rsidRPr="00C927B9">
              <w:rPr>
                <w:sz w:val="20"/>
                <w:szCs w:val="20"/>
              </w:rPr>
              <w:t>4.56</w:t>
            </w:r>
          </w:p>
        </w:tc>
      </w:tr>
      <w:tr w:rsidR="005C7C6F" w:rsidRPr="00C927B9" w:rsidTr="003F487D">
        <w:tc>
          <w:tcPr>
            <w:tcW w:w="2359" w:type="pct"/>
            <w:shd w:val="clear" w:color="auto" w:fill="auto"/>
          </w:tcPr>
          <w:p w:rsidR="005C7C6F" w:rsidRPr="00C927B9" w:rsidRDefault="005C7C6F" w:rsidP="00574791">
            <w:pPr>
              <w:pStyle w:val="TableText"/>
              <w:rPr>
                <w:bCs w:val="0"/>
                <w:sz w:val="20"/>
                <w:szCs w:val="20"/>
              </w:rPr>
            </w:pPr>
            <w:r w:rsidRPr="00C927B9">
              <w:rPr>
                <w:sz w:val="20"/>
                <w:szCs w:val="20"/>
              </w:rPr>
              <w:t>Patients with event, n (%)</w:t>
            </w:r>
          </w:p>
        </w:tc>
        <w:tc>
          <w:tcPr>
            <w:tcW w:w="1320" w:type="pct"/>
            <w:shd w:val="clear" w:color="auto" w:fill="auto"/>
          </w:tcPr>
          <w:p w:rsidR="005C7C6F" w:rsidRPr="00C927B9" w:rsidRDefault="005C7C6F" w:rsidP="00574791">
            <w:pPr>
              <w:pStyle w:val="TableText"/>
              <w:jc w:val="center"/>
              <w:rPr>
                <w:sz w:val="20"/>
                <w:szCs w:val="20"/>
              </w:rPr>
            </w:pPr>
            <w:r w:rsidRPr="00C927B9">
              <w:rPr>
                <w:sz w:val="20"/>
                <w:szCs w:val="20"/>
              </w:rPr>
              <w:t>190/285 (66.7%)</w:t>
            </w:r>
          </w:p>
        </w:tc>
        <w:tc>
          <w:tcPr>
            <w:tcW w:w="1321" w:type="pct"/>
            <w:shd w:val="clear" w:color="auto" w:fill="auto"/>
          </w:tcPr>
          <w:p w:rsidR="005C7C6F" w:rsidRPr="00C927B9" w:rsidRDefault="005C7C6F" w:rsidP="00574791">
            <w:pPr>
              <w:pStyle w:val="TableText"/>
              <w:jc w:val="center"/>
              <w:rPr>
                <w:sz w:val="20"/>
                <w:szCs w:val="20"/>
              </w:rPr>
            </w:pPr>
            <w:r w:rsidRPr="00C927B9">
              <w:rPr>
                <w:sz w:val="20"/>
                <w:szCs w:val="20"/>
              </w:rPr>
              <w:t>58/66 (87.9%)</w:t>
            </w:r>
          </w:p>
        </w:tc>
      </w:tr>
      <w:tr w:rsidR="005C7C6F" w:rsidRPr="00C927B9" w:rsidTr="003F487D">
        <w:trPr>
          <w:trHeight w:val="164"/>
        </w:trPr>
        <w:tc>
          <w:tcPr>
            <w:tcW w:w="2359" w:type="pct"/>
            <w:tcBorders>
              <w:bottom w:val="single" w:sz="4" w:space="0" w:color="auto"/>
            </w:tcBorders>
            <w:shd w:val="clear" w:color="auto" w:fill="auto"/>
          </w:tcPr>
          <w:p w:rsidR="005C7C6F" w:rsidRPr="00C927B9" w:rsidRDefault="005C7C6F" w:rsidP="00574791">
            <w:pPr>
              <w:pStyle w:val="TableText"/>
              <w:rPr>
                <w:bCs w:val="0"/>
                <w:sz w:val="20"/>
                <w:szCs w:val="20"/>
              </w:rPr>
            </w:pPr>
            <w:r w:rsidRPr="00C927B9">
              <w:rPr>
                <w:sz w:val="20"/>
                <w:szCs w:val="20"/>
              </w:rPr>
              <w:t>Weighted median time to event, months (95%</w:t>
            </w:r>
            <w:r w:rsidR="00EA2F7F" w:rsidRPr="00C927B9">
              <w:rPr>
                <w:sz w:val="20"/>
                <w:szCs w:val="20"/>
              </w:rPr>
              <w:t xml:space="preserve"> </w:t>
            </w:r>
            <w:r w:rsidRPr="00C927B9">
              <w:rPr>
                <w:sz w:val="20"/>
                <w:szCs w:val="20"/>
              </w:rPr>
              <w:t>CI)</w:t>
            </w:r>
          </w:p>
        </w:tc>
        <w:tc>
          <w:tcPr>
            <w:tcW w:w="1320" w:type="pct"/>
            <w:tcBorders>
              <w:bottom w:val="single" w:sz="4" w:space="0" w:color="auto"/>
            </w:tcBorders>
            <w:shd w:val="clear" w:color="auto" w:fill="auto"/>
          </w:tcPr>
          <w:p w:rsidR="005C7C6F" w:rsidRPr="00C927B9" w:rsidRDefault="005C7C6F" w:rsidP="00574791">
            <w:pPr>
              <w:pStyle w:val="TableText"/>
              <w:jc w:val="center"/>
              <w:rPr>
                <w:sz w:val="20"/>
                <w:szCs w:val="20"/>
              </w:rPr>
            </w:pPr>
            <w:r w:rsidRPr="00C927B9">
              <w:rPr>
                <w:sz w:val="20"/>
                <w:szCs w:val="20"/>
              </w:rPr>
              <w:t>9.89 (8.61, 12.12)</w:t>
            </w:r>
          </w:p>
        </w:tc>
        <w:tc>
          <w:tcPr>
            <w:tcW w:w="1321" w:type="pct"/>
            <w:tcBorders>
              <w:bottom w:val="single" w:sz="4" w:space="0" w:color="auto"/>
            </w:tcBorders>
            <w:shd w:val="clear" w:color="auto" w:fill="auto"/>
          </w:tcPr>
          <w:p w:rsidR="005C7C6F" w:rsidRPr="00C927B9" w:rsidRDefault="005C7C6F" w:rsidP="00574791">
            <w:pPr>
              <w:pStyle w:val="TableText"/>
              <w:jc w:val="center"/>
              <w:rPr>
                <w:sz w:val="20"/>
                <w:szCs w:val="20"/>
              </w:rPr>
            </w:pPr>
            <w:r w:rsidRPr="00C927B9">
              <w:rPr>
                <w:sz w:val="20"/>
                <w:szCs w:val="20"/>
              </w:rPr>
              <w:t>3.12 (1.71, 5.82)</w:t>
            </w:r>
          </w:p>
        </w:tc>
      </w:tr>
      <w:tr w:rsidR="005C7C6F" w:rsidRPr="00C927B9" w:rsidTr="003F487D">
        <w:trPr>
          <w:trHeight w:val="139"/>
        </w:trPr>
        <w:tc>
          <w:tcPr>
            <w:tcW w:w="2359" w:type="pct"/>
            <w:tcBorders>
              <w:bottom w:val="double" w:sz="4" w:space="0" w:color="auto"/>
            </w:tcBorders>
            <w:shd w:val="clear" w:color="auto" w:fill="auto"/>
          </w:tcPr>
          <w:p w:rsidR="005C7C6F" w:rsidRPr="00C927B9" w:rsidRDefault="005C7C6F" w:rsidP="00574791">
            <w:pPr>
              <w:pStyle w:val="TableText"/>
              <w:rPr>
                <w:bCs w:val="0"/>
                <w:sz w:val="20"/>
                <w:szCs w:val="20"/>
              </w:rPr>
            </w:pPr>
            <w:r w:rsidRPr="00C927B9">
              <w:rPr>
                <w:sz w:val="20"/>
                <w:szCs w:val="20"/>
              </w:rPr>
              <w:t>HR (95% CI)</w:t>
            </w:r>
          </w:p>
        </w:tc>
        <w:tc>
          <w:tcPr>
            <w:tcW w:w="2641" w:type="pct"/>
            <w:gridSpan w:val="2"/>
            <w:tcBorders>
              <w:bottom w:val="double" w:sz="4" w:space="0" w:color="auto"/>
            </w:tcBorders>
            <w:shd w:val="clear" w:color="auto" w:fill="auto"/>
          </w:tcPr>
          <w:p w:rsidR="005C7C6F" w:rsidRPr="00C927B9" w:rsidRDefault="005C7C6F" w:rsidP="00574791">
            <w:pPr>
              <w:pStyle w:val="TableText"/>
              <w:jc w:val="center"/>
              <w:rPr>
                <w:b/>
                <w:sz w:val="20"/>
                <w:szCs w:val="20"/>
              </w:rPr>
            </w:pPr>
            <w:r w:rsidRPr="00C927B9">
              <w:rPr>
                <w:b/>
                <w:sz w:val="20"/>
                <w:szCs w:val="20"/>
              </w:rPr>
              <w:t>0.39 (0.28, 0.54)</w:t>
            </w:r>
          </w:p>
        </w:tc>
      </w:tr>
      <w:tr w:rsidR="005C7C6F" w:rsidRPr="00C927B9" w:rsidTr="003F487D">
        <w:trPr>
          <w:trHeight w:val="231"/>
        </w:trPr>
        <w:tc>
          <w:tcPr>
            <w:tcW w:w="2359" w:type="pct"/>
            <w:tcBorders>
              <w:top w:val="double" w:sz="4" w:space="0" w:color="auto"/>
            </w:tcBorders>
            <w:shd w:val="clear" w:color="auto" w:fill="auto"/>
          </w:tcPr>
          <w:p w:rsidR="005C7C6F" w:rsidRPr="00C927B9" w:rsidRDefault="005C7C6F" w:rsidP="00574791">
            <w:pPr>
              <w:pStyle w:val="TableText"/>
              <w:rPr>
                <w:bCs w:val="0"/>
                <w:sz w:val="20"/>
                <w:szCs w:val="20"/>
              </w:rPr>
            </w:pPr>
            <w:r w:rsidRPr="00C927B9">
              <w:rPr>
                <w:bCs w:val="0"/>
                <w:sz w:val="20"/>
                <w:szCs w:val="20"/>
              </w:rPr>
              <w:t xml:space="preserve">Event free survival at 6 month, % </w:t>
            </w:r>
          </w:p>
        </w:tc>
        <w:tc>
          <w:tcPr>
            <w:tcW w:w="1320" w:type="pct"/>
            <w:tcBorders>
              <w:top w:val="double" w:sz="4" w:space="0" w:color="auto"/>
            </w:tcBorders>
            <w:shd w:val="clear" w:color="auto" w:fill="auto"/>
          </w:tcPr>
          <w:p w:rsidR="005C7C6F" w:rsidRPr="00C927B9" w:rsidRDefault="005C7C6F" w:rsidP="00574791">
            <w:pPr>
              <w:pStyle w:val="TableText"/>
              <w:jc w:val="center"/>
              <w:rPr>
                <w:sz w:val="20"/>
                <w:szCs w:val="20"/>
              </w:rPr>
            </w:pPr>
            <w:r w:rsidRPr="00C927B9">
              <w:rPr>
                <w:sz w:val="20"/>
                <w:szCs w:val="20"/>
              </w:rPr>
              <w:t>68.27%</w:t>
            </w:r>
          </w:p>
        </w:tc>
        <w:tc>
          <w:tcPr>
            <w:tcW w:w="1321" w:type="pct"/>
            <w:tcBorders>
              <w:top w:val="double" w:sz="4" w:space="0" w:color="auto"/>
            </w:tcBorders>
            <w:shd w:val="clear" w:color="auto" w:fill="auto"/>
          </w:tcPr>
          <w:p w:rsidR="005C7C6F" w:rsidRPr="00C927B9" w:rsidRDefault="005C7C6F" w:rsidP="00574791">
            <w:pPr>
              <w:pStyle w:val="TableText"/>
              <w:jc w:val="center"/>
              <w:rPr>
                <w:sz w:val="20"/>
                <w:szCs w:val="20"/>
              </w:rPr>
            </w:pPr>
            <w:r w:rsidRPr="00C927B9">
              <w:rPr>
                <w:sz w:val="20"/>
                <w:szCs w:val="20"/>
              </w:rPr>
              <w:t>31.04%</w:t>
            </w:r>
          </w:p>
        </w:tc>
      </w:tr>
      <w:tr w:rsidR="005C7C6F" w:rsidRPr="00C927B9" w:rsidTr="003F487D">
        <w:trPr>
          <w:trHeight w:val="231"/>
        </w:trPr>
        <w:tc>
          <w:tcPr>
            <w:tcW w:w="2359" w:type="pct"/>
            <w:shd w:val="clear" w:color="auto" w:fill="auto"/>
          </w:tcPr>
          <w:p w:rsidR="005C7C6F" w:rsidRPr="00C927B9" w:rsidRDefault="005C7C6F" w:rsidP="00574791">
            <w:pPr>
              <w:pStyle w:val="TableText"/>
              <w:rPr>
                <w:bCs w:val="0"/>
                <w:sz w:val="20"/>
                <w:szCs w:val="20"/>
              </w:rPr>
            </w:pPr>
            <w:r w:rsidRPr="00C927B9">
              <w:rPr>
                <w:bCs w:val="0"/>
                <w:sz w:val="20"/>
                <w:szCs w:val="20"/>
              </w:rPr>
              <w:t xml:space="preserve">Event free survival at 12 month, % </w:t>
            </w:r>
          </w:p>
        </w:tc>
        <w:tc>
          <w:tcPr>
            <w:tcW w:w="1320" w:type="pct"/>
            <w:shd w:val="clear" w:color="auto" w:fill="auto"/>
          </w:tcPr>
          <w:p w:rsidR="005C7C6F" w:rsidRPr="00C927B9" w:rsidRDefault="005C7C6F" w:rsidP="00574791">
            <w:pPr>
              <w:pStyle w:val="TableText"/>
              <w:jc w:val="center"/>
              <w:rPr>
                <w:sz w:val="20"/>
                <w:szCs w:val="20"/>
              </w:rPr>
            </w:pPr>
            <w:r w:rsidRPr="00C927B9">
              <w:rPr>
                <w:sz w:val="20"/>
                <w:szCs w:val="20"/>
              </w:rPr>
              <w:t>43.79%</w:t>
            </w:r>
          </w:p>
        </w:tc>
        <w:tc>
          <w:tcPr>
            <w:tcW w:w="1321" w:type="pct"/>
            <w:shd w:val="clear" w:color="auto" w:fill="auto"/>
          </w:tcPr>
          <w:p w:rsidR="005C7C6F" w:rsidRPr="00C927B9" w:rsidRDefault="005C7C6F" w:rsidP="00574791">
            <w:pPr>
              <w:pStyle w:val="TableText"/>
              <w:jc w:val="center"/>
              <w:rPr>
                <w:sz w:val="20"/>
                <w:szCs w:val="20"/>
              </w:rPr>
            </w:pPr>
            <w:r w:rsidRPr="00C927B9">
              <w:rPr>
                <w:sz w:val="20"/>
                <w:szCs w:val="20"/>
              </w:rPr>
              <w:t>16.29%</w:t>
            </w:r>
          </w:p>
        </w:tc>
      </w:tr>
      <w:tr w:rsidR="005C7C6F" w:rsidRPr="00C927B9" w:rsidTr="003F487D">
        <w:trPr>
          <w:trHeight w:val="231"/>
        </w:trPr>
        <w:tc>
          <w:tcPr>
            <w:tcW w:w="2359" w:type="pct"/>
            <w:shd w:val="clear" w:color="auto" w:fill="auto"/>
          </w:tcPr>
          <w:p w:rsidR="005C7C6F" w:rsidRPr="00C927B9" w:rsidRDefault="005C7C6F" w:rsidP="00574791">
            <w:pPr>
              <w:pStyle w:val="TableText"/>
              <w:rPr>
                <w:bCs w:val="0"/>
                <w:sz w:val="20"/>
                <w:szCs w:val="20"/>
              </w:rPr>
            </w:pPr>
            <w:r w:rsidRPr="00C927B9">
              <w:rPr>
                <w:bCs w:val="0"/>
                <w:sz w:val="20"/>
                <w:szCs w:val="20"/>
              </w:rPr>
              <w:t xml:space="preserve">Event free survival at 24 month, % </w:t>
            </w:r>
          </w:p>
        </w:tc>
        <w:tc>
          <w:tcPr>
            <w:tcW w:w="1320" w:type="pct"/>
            <w:shd w:val="clear" w:color="auto" w:fill="auto"/>
          </w:tcPr>
          <w:p w:rsidR="005C7C6F" w:rsidRPr="00C927B9" w:rsidRDefault="005C7C6F" w:rsidP="00574791">
            <w:pPr>
              <w:pStyle w:val="TableText"/>
              <w:jc w:val="center"/>
              <w:rPr>
                <w:sz w:val="20"/>
                <w:szCs w:val="20"/>
              </w:rPr>
            </w:pPr>
            <w:r w:rsidRPr="00C927B9">
              <w:rPr>
                <w:sz w:val="20"/>
                <w:szCs w:val="20"/>
              </w:rPr>
              <w:t>34.95%</w:t>
            </w:r>
          </w:p>
        </w:tc>
        <w:tc>
          <w:tcPr>
            <w:tcW w:w="1321" w:type="pct"/>
            <w:shd w:val="clear" w:color="auto" w:fill="auto"/>
          </w:tcPr>
          <w:p w:rsidR="005C7C6F" w:rsidRPr="00C927B9" w:rsidRDefault="005C7C6F" w:rsidP="00574791">
            <w:pPr>
              <w:pStyle w:val="TableText"/>
              <w:jc w:val="center"/>
              <w:rPr>
                <w:sz w:val="20"/>
                <w:szCs w:val="20"/>
              </w:rPr>
            </w:pPr>
            <w:r w:rsidRPr="00C927B9">
              <w:rPr>
                <w:sz w:val="20"/>
                <w:szCs w:val="20"/>
              </w:rPr>
              <w:t>9.22%</w:t>
            </w:r>
          </w:p>
        </w:tc>
      </w:tr>
    </w:tbl>
    <w:p w:rsidR="005C7C6F" w:rsidRPr="00C927B9" w:rsidRDefault="005C7C6F" w:rsidP="005C7C6F">
      <w:pPr>
        <w:pStyle w:val="TableFigureFooter"/>
        <w:rPr>
          <w:lang w:val="en-AU"/>
        </w:rPr>
      </w:pPr>
      <w:r w:rsidRPr="00C927B9">
        <w:rPr>
          <w:lang w:val="en-AU"/>
        </w:rPr>
        <w:t>Source: Table 2-74, p.189 and Table 2-76, p.191 of the submission. Statistically significant results in bold.</w:t>
      </w:r>
    </w:p>
    <w:p w:rsidR="005C7C6F" w:rsidRPr="00C927B9" w:rsidRDefault="005C7C6F" w:rsidP="005C7C6F">
      <w:pPr>
        <w:pStyle w:val="TableFigureFooter"/>
        <w:rPr>
          <w:lang w:val="en-AU"/>
        </w:rPr>
      </w:pPr>
      <w:r w:rsidRPr="00C927B9">
        <w:rPr>
          <w:lang w:val="en-AU"/>
        </w:rPr>
        <w:t xml:space="preserve">Abbreviations: AZA, azacitidine; CI, confidence interval; HR, hazard ratio; LoDAC, </w:t>
      </w:r>
      <w:r w:rsidR="00364681" w:rsidRPr="00C927B9">
        <w:rPr>
          <w:lang w:val="en-AU"/>
        </w:rPr>
        <w:t>low-dose cytarabine</w:t>
      </w:r>
      <w:r w:rsidRPr="00C927B9">
        <w:rPr>
          <w:lang w:val="en-AU"/>
        </w:rPr>
        <w:t xml:space="preserve">; </w:t>
      </w:r>
      <w:proofErr w:type="spellStart"/>
      <w:r w:rsidRPr="00C927B9">
        <w:rPr>
          <w:lang w:val="en-AU"/>
        </w:rPr>
        <w:t>Pbo</w:t>
      </w:r>
      <w:proofErr w:type="spellEnd"/>
      <w:r w:rsidRPr="00C927B9">
        <w:rPr>
          <w:lang w:val="en-AU"/>
        </w:rPr>
        <w:t>, placebo; VTX, venetoclax.</w:t>
      </w:r>
    </w:p>
    <w:p w:rsidR="005C7C6F" w:rsidRPr="00C927B9" w:rsidRDefault="005C7C6F" w:rsidP="005C7C6F">
      <w:pPr>
        <w:pStyle w:val="ExecSumBodyText"/>
        <w:rPr>
          <w:lang w:val="en-AU"/>
        </w:rPr>
      </w:pPr>
      <w:r w:rsidRPr="00C927B9">
        <w:rPr>
          <w:lang w:val="en-AU"/>
        </w:rPr>
        <w:t xml:space="preserve">In the propensity score weighted analysis, patients treated with venetoclax with azacitidine experienced a statistically significant improvement in overall survival compared to patients treated with LoDAC (HR 0.51, 95% CI: 0.36, 0.72), with an increase in median </w:t>
      </w:r>
      <w:r w:rsidR="001B66F1" w:rsidRPr="00C927B9">
        <w:rPr>
          <w:lang w:val="en-AU"/>
        </w:rPr>
        <w:t xml:space="preserve">overall </w:t>
      </w:r>
      <w:r w:rsidRPr="00C927B9">
        <w:rPr>
          <w:lang w:val="en-AU"/>
        </w:rPr>
        <w:t>survival of 6.8 months.</w:t>
      </w:r>
    </w:p>
    <w:p w:rsidR="005C7C6F" w:rsidRPr="00C927B9" w:rsidRDefault="003D6E3F" w:rsidP="005C7C6F">
      <w:pPr>
        <w:pStyle w:val="ExecSumBodyText"/>
        <w:rPr>
          <w:lang w:val="en-AU"/>
        </w:rPr>
      </w:pPr>
      <w:r w:rsidRPr="00C927B9">
        <w:rPr>
          <w:lang w:val="en-AU"/>
        </w:rPr>
        <w:lastRenderedPageBreak/>
        <w:t>P</w:t>
      </w:r>
      <w:r w:rsidR="005C7C6F" w:rsidRPr="00C927B9">
        <w:rPr>
          <w:lang w:val="en-AU"/>
        </w:rPr>
        <w:t xml:space="preserve">atients treated with venetoclax with azacitidine experienced a statistically significant improvement in event free </w:t>
      </w:r>
      <w:r w:rsidR="00E52BAE" w:rsidRPr="00C927B9">
        <w:rPr>
          <w:lang w:val="en-AU"/>
        </w:rPr>
        <w:t xml:space="preserve">survival </w:t>
      </w:r>
      <w:r w:rsidR="005C7C6F" w:rsidRPr="00C927B9">
        <w:rPr>
          <w:lang w:val="en-AU"/>
        </w:rPr>
        <w:t xml:space="preserve">compared to patients treated with LoDAC (HR 0.39, 95% CI: 0.28, 0.54), with an increase in median </w:t>
      </w:r>
      <w:r w:rsidR="00B34441" w:rsidRPr="00C927B9">
        <w:rPr>
          <w:lang w:val="en-AU"/>
        </w:rPr>
        <w:t>event-free</w:t>
      </w:r>
      <w:r w:rsidR="00E52BAE" w:rsidRPr="00C927B9">
        <w:rPr>
          <w:lang w:val="en-AU"/>
        </w:rPr>
        <w:t xml:space="preserve"> survival</w:t>
      </w:r>
      <w:r w:rsidR="005C7C6F" w:rsidRPr="00C927B9">
        <w:rPr>
          <w:lang w:val="en-AU"/>
        </w:rPr>
        <w:t xml:space="preserve"> of 6.8 months.</w:t>
      </w:r>
    </w:p>
    <w:p w:rsidR="00CF6F27" w:rsidRPr="00C927B9" w:rsidRDefault="000F74FD" w:rsidP="005C7C6F">
      <w:pPr>
        <w:pStyle w:val="ExecSumBodyText"/>
        <w:rPr>
          <w:lang w:val="en-AU"/>
        </w:rPr>
      </w:pPr>
      <w:r w:rsidRPr="00C927B9">
        <w:rPr>
          <w:lang w:val="en-AU"/>
        </w:rPr>
        <w:t>S</w:t>
      </w:r>
      <w:r w:rsidR="00CF6F27" w:rsidRPr="00C927B9">
        <w:rPr>
          <w:lang w:val="en-AU"/>
        </w:rPr>
        <w:t xml:space="preserve">tatistically significantly larger proportions of patients treated with venetoclax with azacitidine achieved complete remission, complete remission with incomplete blood count recovery, and the composite outcome of CR plus </w:t>
      </w:r>
      <w:proofErr w:type="spellStart"/>
      <w:r w:rsidR="00CF6F27" w:rsidRPr="00C927B9">
        <w:rPr>
          <w:lang w:val="en-AU"/>
        </w:rPr>
        <w:t>CRi</w:t>
      </w:r>
      <w:proofErr w:type="spellEnd"/>
      <w:r w:rsidR="00CF6F27" w:rsidRPr="00C927B9">
        <w:rPr>
          <w:lang w:val="en-AU"/>
        </w:rPr>
        <w:t>.</w:t>
      </w:r>
    </w:p>
    <w:p w:rsidR="000F74FD" w:rsidRPr="00C927B9" w:rsidRDefault="000F74FD" w:rsidP="005C7C6F">
      <w:pPr>
        <w:pStyle w:val="ExecSumBodyText"/>
        <w:rPr>
          <w:lang w:val="en-AU"/>
        </w:rPr>
      </w:pPr>
      <w:r w:rsidRPr="00C927B9">
        <w:rPr>
          <w:lang w:val="en-AU"/>
        </w:rPr>
        <w:t xml:space="preserve">Given the differences between the inclusion criteria of the M15-656 and M16-043 trials in terms of prior treatment with a HMA (including azacitidine), and the poor documentation of the methodology used in the analysis, the results of the propensity score weighted analysis </w:t>
      </w:r>
      <w:r w:rsidR="00D1217D" w:rsidRPr="00C927B9">
        <w:rPr>
          <w:lang w:val="en-AU"/>
        </w:rPr>
        <w:t xml:space="preserve">were </w:t>
      </w:r>
      <w:r w:rsidRPr="00C927B9">
        <w:rPr>
          <w:lang w:val="en-AU"/>
        </w:rPr>
        <w:t>uncertain, and should be interpreted with caution.</w:t>
      </w:r>
    </w:p>
    <w:p w:rsidR="00B60939" w:rsidRPr="00C927B9" w:rsidRDefault="00B60939" w:rsidP="00D86231">
      <w:pPr>
        <w:pStyle w:val="3-SubsectionHeading"/>
        <w:rPr>
          <w:lang w:val="en-AU"/>
        </w:rPr>
      </w:pPr>
      <w:bookmarkStart w:id="15" w:name="_Toc22897642"/>
      <w:bookmarkStart w:id="16" w:name="_Toc62040066"/>
      <w:r w:rsidRPr="00C927B9">
        <w:rPr>
          <w:lang w:val="en-AU"/>
        </w:rPr>
        <w:t>Comparative harms</w:t>
      </w:r>
      <w:bookmarkEnd w:id="15"/>
      <w:bookmarkEnd w:id="16"/>
    </w:p>
    <w:p w:rsidR="003D7DFA" w:rsidRPr="00C927B9" w:rsidRDefault="003D7DFA" w:rsidP="003D7DFA">
      <w:pPr>
        <w:pStyle w:val="ExecSumBodyText"/>
        <w:rPr>
          <w:lang w:val="en-AU"/>
        </w:rPr>
      </w:pPr>
      <w:r w:rsidRPr="00C927B9">
        <w:rPr>
          <w:lang w:val="en-AU"/>
        </w:rPr>
        <w:t xml:space="preserve">Table </w:t>
      </w:r>
      <w:r w:rsidR="00902F3D" w:rsidRPr="00C927B9">
        <w:rPr>
          <w:lang w:val="en-AU"/>
        </w:rPr>
        <w:t>9</w:t>
      </w:r>
      <w:r w:rsidRPr="00C927B9">
        <w:rPr>
          <w:lang w:val="en-AU"/>
        </w:rPr>
        <w:t xml:space="preserve"> summarises the proportions of patients reporting key adverse events in the M15-656 and M16-043 trials.</w:t>
      </w:r>
    </w:p>
    <w:p w:rsidR="003D7DFA" w:rsidRPr="00C927B9" w:rsidRDefault="0060344B" w:rsidP="0060344B">
      <w:pPr>
        <w:pStyle w:val="Caption"/>
        <w:rPr>
          <w:lang w:val="en-AU"/>
        </w:rPr>
      </w:pPr>
      <w:bookmarkStart w:id="17" w:name="_Ref64037810"/>
      <w:r w:rsidRPr="00C927B9">
        <w:rPr>
          <w:lang w:val="en-AU"/>
        </w:rPr>
        <w:t xml:space="preserve">Table </w:t>
      </w:r>
      <w:r w:rsidR="00DB3600" w:rsidRPr="00C927B9">
        <w:rPr>
          <w:lang w:val="en-AU"/>
        </w:rPr>
        <w:t>9</w:t>
      </w:r>
      <w:bookmarkEnd w:id="17"/>
      <w:r w:rsidR="003D7DFA" w:rsidRPr="00C927B9">
        <w:rPr>
          <w:lang w:val="en-AU"/>
        </w:rPr>
        <w:t>: Summary of treatment emergent adverse events from M15-656 (SAS; Groups 1 &amp; 2) and M16-043 (SAS)</w:t>
      </w:r>
    </w:p>
    <w:tbl>
      <w:tblPr>
        <w:tblStyle w:val="newstyle1"/>
        <w:tblW w:w="5000" w:type="pct"/>
        <w:tblLook w:val="04A0" w:firstRow="1" w:lastRow="0" w:firstColumn="1" w:lastColumn="0" w:noHBand="0" w:noVBand="1"/>
        <w:tblCaption w:val="Table 9: Summary of treatment emergent adverse events from M15-656 (SAS; Groups 1 &amp; 2) and M16-043 (SAS)"/>
      </w:tblPr>
      <w:tblGrid>
        <w:gridCol w:w="3680"/>
        <w:gridCol w:w="1335"/>
        <w:gridCol w:w="1336"/>
        <w:gridCol w:w="1335"/>
        <w:gridCol w:w="1331"/>
      </w:tblGrid>
      <w:tr w:rsidR="003D7DFA" w:rsidRPr="00C927B9" w:rsidTr="00812FFB">
        <w:trPr>
          <w:tblHeader/>
        </w:trPr>
        <w:tc>
          <w:tcPr>
            <w:tcW w:w="2041" w:type="pct"/>
            <w:vMerge w:val="restart"/>
            <w:shd w:val="clear" w:color="auto" w:fill="auto"/>
          </w:tcPr>
          <w:p w:rsidR="003D7DFA" w:rsidRPr="00C927B9" w:rsidRDefault="003D7DFA" w:rsidP="00574791">
            <w:pPr>
              <w:pStyle w:val="TableText"/>
              <w:ind w:right="-65"/>
              <w:rPr>
                <w:b/>
                <w:bCs w:val="0"/>
                <w:sz w:val="20"/>
                <w:szCs w:val="20"/>
              </w:rPr>
            </w:pPr>
          </w:p>
        </w:tc>
        <w:tc>
          <w:tcPr>
            <w:tcW w:w="1481" w:type="pct"/>
            <w:gridSpan w:val="2"/>
            <w:shd w:val="clear" w:color="auto" w:fill="auto"/>
          </w:tcPr>
          <w:p w:rsidR="003D7DFA" w:rsidRPr="00C927B9" w:rsidRDefault="003D7DFA" w:rsidP="00574791">
            <w:pPr>
              <w:pStyle w:val="TableText"/>
              <w:ind w:left="-76" w:right="-63"/>
              <w:jc w:val="center"/>
              <w:rPr>
                <w:b/>
                <w:bCs w:val="0"/>
                <w:sz w:val="20"/>
                <w:szCs w:val="20"/>
              </w:rPr>
            </w:pPr>
            <w:r w:rsidRPr="00C927B9">
              <w:rPr>
                <w:b/>
                <w:bCs w:val="0"/>
                <w:sz w:val="20"/>
                <w:szCs w:val="20"/>
              </w:rPr>
              <w:t xml:space="preserve">M15-656 </w:t>
            </w:r>
          </w:p>
        </w:tc>
        <w:tc>
          <w:tcPr>
            <w:tcW w:w="1478" w:type="pct"/>
            <w:gridSpan w:val="2"/>
            <w:shd w:val="clear" w:color="auto" w:fill="auto"/>
          </w:tcPr>
          <w:p w:rsidR="003D7DFA" w:rsidRPr="00C927B9" w:rsidRDefault="003D7DFA" w:rsidP="00574791">
            <w:pPr>
              <w:pStyle w:val="TableText"/>
              <w:ind w:left="-76" w:right="-63"/>
              <w:jc w:val="center"/>
              <w:rPr>
                <w:b/>
                <w:bCs w:val="0"/>
                <w:sz w:val="20"/>
                <w:szCs w:val="20"/>
              </w:rPr>
            </w:pPr>
            <w:r w:rsidRPr="00C927B9">
              <w:rPr>
                <w:b/>
                <w:bCs w:val="0"/>
                <w:sz w:val="20"/>
                <w:szCs w:val="20"/>
              </w:rPr>
              <w:t>M16-043</w:t>
            </w:r>
          </w:p>
        </w:tc>
      </w:tr>
      <w:tr w:rsidR="003D7DFA" w:rsidRPr="00C927B9" w:rsidTr="00812FFB">
        <w:trPr>
          <w:tblHeader/>
        </w:trPr>
        <w:tc>
          <w:tcPr>
            <w:tcW w:w="2041" w:type="pct"/>
            <w:vMerge/>
            <w:tcBorders>
              <w:bottom w:val="single" w:sz="4" w:space="0" w:color="auto"/>
            </w:tcBorders>
            <w:shd w:val="clear" w:color="auto" w:fill="auto"/>
          </w:tcPr>
          <w:p w:rsidR="003D7DFA" w:rsidRPr="00C927B9" w:rsidRDefault="003D7DFA" w:rsidP="00574791">
            <w:pPr>
              <w:pStyle w:val="TableText"/>
              <w:ind w:right="-65"/>
              <w:rPr>
                <w:b/>
                <w:bCs w:val="0"/>
                <w:sz w:val="20"/>
                <w:szCs w:val="20"/>
              </w:rPr>
            </w:pPr>
          </w:p>
        </w:tc>
        <w:tc>
          <w:tcPr>
            <w:tcW w:w="740" w:type="pct"/>
            <w:tcBorders>
              <w:bottom w:val="single" w:sz="4" w:space="0" w:color="auto"/>
            </w:tcBorders>
            <w:shd w:val="clear" w:color="auto" w:fill="auto"/>
          </w:tcPr>
          <w:p w:rsidR="003D7DFA" w:rsidRPr="00C927B9" w:rsidRDefault="003D7DFA" w:rsidP="00574791">
            <w:pPr>
              <w:pStyle w:val="TableText"/>
              <w:ind w:left="-76" w:right="-63"/>
              <w:jc w:val="center"/>
              <w:rPr>
                <w:b/>
                <w:bCs w:val="0"/>
                <w:sz w:val="20"/>
                <w:szCs w:val="20"/>
              </w:rPr>
            </w:pPr>
            <w:r w:rsidRPr="00C927B9">
              <w:rPr>
                <w:b/>
                <w:bCs w:val="0"/>
                <w:sz w:val="20"/>
                <w:szCs w:val="20"/>
              </w:rPr>
              <w:t>VTX + AZA</w:t>
            </w:r>
            <w:r w:rsidRPr="00C927B9">
              <w:rPr>
                <w:b/>
                <w:bCs w:val="0"/>
                <w:sz w:val="20"/>
                <w:szCs w:val="20"/>
              </w:rPr>
              <w:br/>
              <w:t>(N=283)</w:t>
            </w:r>
          </w:p>
        </w:tc>
        <w:tc>
          <w:tcPr>
            <w:tcW w:w="741" w:type="pct"/>
            <w:tcBorders>
              <w:bottom w:val="single" w:sz="4" w:space="0" w:color="auto"/>
            </w:tcBorders>
            <w:shd w:val="clear" w:color="auto" w:fill="auto"/>
          </w:tcPr>
          <w:p w:rsidR="003D7DFA" w:rsidRPr="00C927B9" w:rsidRDefault="003D7DFA" w:rsidP="00574791">
            <w:pPr>
              <w:pStyle w:val="TableText"/>
              <w:ind w:left="-76" w:right="-63"/>
              <w:jc w:val="center"/>
              <w:rPr>
                <w:b/>
                <w:bCs w:val="0"/>
                <w:sz w:val="20"/>
                <w:szCs w:val="20"/>
              </w:rPr>
            </w:pPr>
            <w:proofErr w:type="spellStart"/>
            <w:r w:rsidRPr="00C927B9">
              <w:rPr>
                <w:b/>
                <w:bCs w:val="0"/>
                <w:sz w:val="20"/>
                <w:szCs w:val="20"/>
              </w:rPr>
              <w:t>Pbo</w:t>
            </w:r>
            <w:proofErr w:type="spellEnd"/>
            <w:r w:rsidRPr="00C927B9">
              <w:rPr>
                <w:b/>
                <w:bCs w:val="0"/>
                <w:sz w:val="20"/>
                <w:szCs w:val="20"/>
              </w:rPr>
              <w:t xml:space="preserve"> + AZA</w:t>
            </w:r>
            <w:r w:rsidRPr="00C927B9">
              <w:rPr>
                <w:b/>
                <w:bCs w:val="0"/>
                <w:sz w:val="20"/>
                <w:szCs w:val="20"/>
              </w:rPr>
              <w:br/>
              <w:t>(N=144)</w:t>
            </w:r>
          </w:p>
        </w:tc>
        <w:tc>
          <w:tcPr>
            <w:tcW w:w="740" w:type="pct"/>
            <w:tcBorders>
              <w:bottom w:val="single" w:sz="4" w:space="0" w:color="auto"/>
            </w:tcBorders>
            <w:shd w:val="clear" w:color="auto" w:fill="auto"/>
          </w:tcPr>
          <w:p w:rsidR="003D7DFA" w:rsidRPr="00C927B9" w:rsidRDefault="003D7DFA" w:rsidP="00574791">
            <w:pPr>
              <w:pStyle w:val="TableText"/>
              <w:ind w:left="-76" w:right="-63"/>
              <w:jc w:val="center"/>
              <w:rPr>
                <w:b/>
                <w:bCs w:val="0"/>
                <w:sz w:val="20"/>
                <w:szCs w:val="20"/>
              </w:rPr>
            </w:pPr>
            <w:r w:rsidRPr="00C927B9">
              <w:rPr>
                <w:b/>
                <w:bCs w:val="0"/>
                <w:sz w:val="20"/>
                <w:szCs w:val="20"/>
              </w:rPr>
              <w:t>VTX + LoDAC</w:t>
            </w:r>
            <w:r w:rsidRPr="00C927B9">
              <w:rPr>
                <w:b/>
                <w:bCs w:val="0"/>
                <w:sz w:val="20"/>
                <w:szCs w:val="20"/>
              </w:rPr>
              <w:br/>
              <w:t>(N=142)</w:t>
            </w:r>
          </w:p>
        </w:tc>
        <w:tc>
          <w:tcPr>
            <w:tcW w:w="738" w:type="pct"/>
            <w:tcBorders>
              <w:bottom w:val="single" w:sz="4" w:space="0" w:color="auto"/>
            </w:tcBorders>
            <w:shd w:val="clear" w:color="auto" w:fill="auto"/>
          </w:tcPr>
          <w:p w:rsidR="003D7DFA" w:rsidRPr="00C927B9" w:rsidRDefault="003D7DFA" w:rsidP="00574791">
            <w:pPr>
              <w:pStyle w:val="TableText"/>
              <w:ind w:left="-76" w:right="-63"/>
              <w:jc w:val="center"/>
              <w:rPr>
                <w:b/>
                <w:bCs w:val="0"/>
                <w:sz w:val="20"/>
                <w:szCs w:val="20"/>
              </w:rPr>
            </w:pPr>
            <w:proofErr w:type="spellStart"/>
            <w:r w:rsidRPr="00C927B9">
              <w:rPr>
                <w:b/>
                <w:bCs w:val="0"/>
                <w:sz w:val="20"/>
                <w:szCs w:val="20"/>
              </w:rPr>
              <w:t>Pbo</w:t>
            </w:r>
            <w:proofErr w:type="spellEnd"/>
            <w:r w:rsidRPr="00C927B9">
              <w:rPr>
                <w:b/>
                <w:bCs w:val="0"/>
                <w:sz w:val="20"/>
                <w:szCs w:val="20"/>
              </w:rPr>
              <w:t xml:space="preserve"> + LoDAC</w:t>
            </w:r>
            <w:r w:rsidRPr="00C927B9">
              <w:rPr>
                <w:b/>
                <w:bCs w:val="0"/>
                <w:sz w:val="20"/>
                <w:szCs w:val="20"/>
              </w:rPr>
              <w:br/>
              <w:t>(N=68)</w:t>
            </w:r>
          </w:p>
        </w:tc>
      </w:tr>
      <w:tr w:rsidR="003D7DFA" w:rsidRPr="00C927B9" w:rsidTr="00812FFB">
        <w:tc>
          <w:tcPr>
            <w:tcW w:w="2041" w:type="pct"/>
            <w:tcBorders>
              <w:bottom w:val="single" w:sz="4" w:space="0" w:color="auto"/>
              <w:right w:val="nil"/>
            </w:tcBorders>
            <w:shd w:val="clear" w:color="auto" w:fill="auto"/>
            <w:vAlign w:val="center"/>
          </w:tcPr>
          <w:p w:rsidR="003D7DFA" w:rsidRPr="00C927B9" w:rsidRDefault="003D7DFA" w:rsidP="00574791">
            <w:pPr>
              <w:pStyle w:val="TableText"/>
              <w:ind w:right="-65"/>
              <w:rPr>
                <w:b/>
                <w:bCs w:val="0"/>
                <w:sz w:val="20"/>
                <w:szCs w:val="20"/>
              </w:rPr>
            </w:pPr>
            <w:r w:rsidRPr="00C927B9">
              <w:rPr>
                <w:b/>
                <w:bCs w:val="0"/>
                <w:sz w:val="20"/>
                <w:szCs w:val="20"/>
              </w:rPr>
              <w:t>Treatment emergent AEs</w:t>
            </w:r>
          </w:p>
        </w:tc>
        <w:tc>
          <w:tcPr>
            <w:tcW w:w="740" w:type="pct"/>
            <w:tcBorders>
              <w:left w:val="nil"/>
              <w:bottom w:val="single" w:sz="4" w:space="0" w:color="auto"/>
              <w:right w:val="nil"/>
            </w:tcBorders>
            <w:shd w:val="clear" w:color="auto" w:fill="auto"/>
            <w:vAlign w:val="center"/>
          </w:tcPr>
          <w:p w:rsidR="003D7DFA" w:rsidRPr="00C927B9" w:rsidRDefault="003D7DFA" w:rsidP="00574791">
            <w:pPr>
              <w:pStyle w:val="TableText"/>
              <w:ind w:left="-76" w:right="-63"/>
              <w:rPr>
                <w:sz w:val="20"/>
                <w:szCs w:val="20"/>
              </w:rPr>
            </w:pPr>
          </w:p>
        </w:tc>
        <w:tc>
          <w:tcPr>
            <w:tcW w:w="741" w:type="pct"/>
            <w:tcBorders>
              <w:left w:val="nil"/>
              <w:bottom w:val="single" w:sz="4" w:space="0" w:color="auto"/>
              <w:right w:val="nil"/>
            </w:tcBorders>
            <w:shd w:val="clear" w:color="auto" w:fill="auto"/>
            <w:vAlign w:val="center"/>
          </w:tcPr>
          <w:p w:rsidR="003D7DFA" w:rsidRPr="00C927B9" w:rsidRDefault="003D7DFA" w:rsidP="00574791">
            <w:pPr>
              <w:pStyle w:val="TableText"/>
              <w:ind w:left="-76" w:right="-63"/>
              <w:rPr>
                <w:sz w:val="20"/>
                <w:szCs w:val="20"/>
              </w:rPr>
            </w:pPr>
          </w:p>
        </w:tc>
        <w:tc>
          <w:tcPr>
            <w:tcW w:w="740" w:type="pct"/>
            <w:tcBorders>
              <w:left w:val="nil"/>
              <w:bottom w:val="single" w:sz="4" w:space="0" w:color="auto"/>
              <w:right w:val="nil"/>
            </w:tcBorders>
            <w:shd w:val="clear" w:color="auto" w:fill="auto"/>
          </w:tcPr>
          <w:p w:rsidR="003D7DFA" w:rsidRPr="00C927B9" w:rsidRDefault="003D7DFA" w:rsidP="00574791">
            <w:pPr>
              <w:pStyle w:val="TableText"/>
              <w:ind w:left="-76" w:right="-63"/>
              <w:rPr>
                <w:sz w:val="20"/>
                <w:szCs w:val="20"/>
              </w:rPr>
            </w:pPr>
          </w:p>
        </w:tc>
        <w:tc>
          <w:tcPr>
            <w:tcW w:w="738" w:type="pct"/>
            <w:tcBorders>
              <w:left w:val="nil"/>
              <w:bottom w:val="single" w:sz="4" w:space="0" w:color="auto"/>
            </w:tcBorders>
            <w:shd w:val="clear" w:color="auto" w:fill="auto"/>
          </w:tcPr>
          <w:p w:rsidR="003D7DFA" w:rsidRPr="00C927B9" w:rsidRDefault="003D7DFA" w:rsidP="00574791">
            <w:pPr>
              <w:pStyle w:val="TableText"/>
              <w:ind w:left="-76" w:right="-63"/>
              <w:rPr>
                <w:sz w:val="20"/>
                <w:szCs w:val="20"/>
              </w:rPr>
            </w:pPr>
          </w:p>
        </w:tc>
      </w:tr>
      <w:tr w:rsidR="003D7DFA" w:rsidRPr="00C927B9" w:rsidTr="00812FFB">
        <w:tc>
          <w:tcPr>
            <w:tcW w:w="2041" w:type="pct"/>
            <w:tcBorders>
              <w:bottom w:val="single" w:sz="4" w:space="0" w:color="auto"/>
            </w:tcBorders>
            <w:shd w:val="clear" w:color="auto" w:fill="auto"/>
          </w:tcPr>
          <w:p w:rsidR="003D7DFA" w:rsidRPr="00C927B9" w:rsidRDefault="003D7DFA" w:rsidP="00574791">
            <w:pPr>
              <w:pStyle w:val="TableText"/>
              <w:ind w:right="-65"/>
              <w:rPr>
                <w:bCs w:val="0"/>
                <w:sz w:val="20"/>
                <w:szCs w:val="20"/>
              </w:rPr>
            </w:pPr>
            <w:r w:rsidRPr="00C927B9">
              <w:rPr>
                <w:bCs w:val="0"/>
                <w:sz w:val="20"/>
                <w:szCs w:val="20"/>
              </w:rPr>
              <w:t>Any adverse event, n (%)</w:t>
            </w:r>
          </w:p>
        </w:tc>
        <w:tc>
          <w:tcPr>
            <w:tcW w:w="740" w:type="pct"/>
            <w:tcBorders>
              <w:bottom w:val="single" w:sz="4" w:space="0" w:color="auto"/>
            </w:tcBorders>
            <w:shd w:val="clear" w:color="auto" w:fill="auto"/>
            <w:vAlign w:val="center"/>
          </w:tcPr>
          <w:p w:rsidR="003D7DFA" w:rsidRPr="00C927B9" w:rsidRDefault="003D7DFA" w:rsidP="00574791">
            <w:pPr>
              <w:pStyle w:val="TableText"/>
              <w:ind w:left="-76" w:right="-63"/>
              <w:jc w:val="center"/>
              <w:rPr>
                <w:sz w:val="20"/>
                <w:szCs w:val="20"/>
              </w:rPr>
            </w:pPr>
            <w:r w:rsidRPr="00C927B9">
              <w:rPr>
                <w:sz w:val="20"/>
                <w:szCs w:val="20"/>
              </w:rPr>
              <w:t>283 (100%)</w:t>
            </w:r>
          </w:p>
        </w:tc>
        <w:tc>
          <w:tcPr>
            <w:tcW w:w="741" w:type="pct"/>
            <w:tcBorders>
              <w:bottom w:val="single" w:sz="4" w:space="0" w:color="auto"/>
            </w:tcBorders>
            <w:shd w:val="clear" w:color="auto" w:fill="auto"/>
            <w:vAlign w:val="center"/>
          </w:tcPr>
          <w:p w:rsidR="003D7DFA" w:rsidRPr="00C927B9" w:rsidRDefault="003D7DFA" w:rsidP="00574791">
            <w:pPr>
              <w:pStyle w:val="TableText"/>
              <w:ind w:left="-76" w:right="-63"/>
              <w:jc w:val="center"/>
              <w:rPr>
                <w:sz w:val="20"/>
                <w:szCs w:val="20"/>
              </w:rPr>
            </w:pPr>
            <w:r w:rsidRPr="00C927B9">
              <w:rPr>
                <w:sz w:val="20"/>
                <w:szCs w:val="20"/>
              </w:rPr>
              <w:t>144 (100%)</w:t>
            </w:r>
          </w:p>
        </w:tc>
        <w:tc>
          <w:tcPr>
            <w:tcW w:w="740" w:type="pct"/>
            <w:tcBorders>
              <w:bottom w:val="single" w:sz="4" w:space="0" w:color="auto"/>
            </w:tcBorders>
            <w:shd w:val="clear" w:color="auto" w:fill="auto"/>
            <w:vAlign w:val="center"/>
          </w:tcPr>
          <w:p w:rsidR="003D7DFA" w:rsidRPr="00C927B9" w:rsidRDefault="003D7DFA" w:rsidP="00574791">
            <w:pPr>
              <w:pStyle w:val="TableText"/>
              <w:ind w:left="-76" w:right="-63"/>
              <w:jc w:val="center"/>
              <w:rPr>
                <w:sz w:val="20"/>
                <w:szCs w:val="20"/>
              </w:rPr>
            </w:pPr>
            <w:r w:rsidRPr="00C927B9">
              <w:rPr>
                <w:sz w:val="20"/>
                <w:szCs w:val="20"/>
              </w:rPr>
              <w:t>141 (99.3%)</w:t>
            </w:r>
          </w:p>
        </w:tc>
        <w:tc>
          <w:tcPr>
            <w:tcW w:w="738" w:type="pct"/>
            <w:tcBorders>
              <w:bottom w:val="single" w:sz="4" w:space="0" w:color="auto"/>
            </w:tcBorders>
            <w:shd w:val="clear" w:color="auto" w:fill="auto"/>
            <w:vAlign w:val="center"/>
          </w:tcPr>
          <w:p w:rsidR="003D7DFA" w:rsidRPr="00C927B9" w:rsidRDefault="003D7DFA" w:rsidP="00574791">
            <w:pPr>
              <w:pStyle w:val="TableText"/>
              <w:ind w:left="-76" w:right="-63"/>
              <w:jc w:val="center"/>
              <w:rPr>
                <w:bCs w:val="0"/>
                <w:sz w:val="20"/>
                <w:szCs w:val="20"/>
              </w:rPr>
            </w:pPr>
            <w:r w:rsidRPr="00C927B9">
              <w:rPr>
                <w:sz w:val="20"/>
                <w:szCs w:val="20"/>
              </w:rPr>
              <w:t>67 (98.5%)</w:t>
            </w:r>
          </w:p>
        </w:tc>
      </w:tr>
      <w:tr w:rsidR="003D7DFA" w:rsidRPr="00C927B9" w:rsidTr="00812FFB">
        <w:tc>
          <w:tcPr>
            <w:tcW w:w="2041" w:type="pct"/>
            <w:tcBorders>
              <w:top w:val="single" w:sz="4" w:space="0" w:color="auto"/>
              <w:bottom w:val="single" w:sz="4" w:space="0" w:color="auto"/>
            </w:tcBorders>
            <w:shd w:val="clear" w:color="auto" w:fill="auto"/>
          </w:tcPr>
          <w:p w:rsidR="003D7DFA" w:rsidRPr="00C927B9" w:rsidRDefault="003D7DFA" w:rsidP="00574791">
            <w:pPr>
              <w:pStyle w:val="TableText"/>
              <w:ind w:right="-65"/>
              <w:rPr>
                <w:bCs w:val="0"/>
                <w:sz w:val="20"/>
                <w:szCs w:val="20"/>
              </w:rPr>
            </w:pPr>
            <w:r w:rsidRPr="00C927B9">
              <w:rPr>
                <w:bCs w:val="0"/>
                <w:sz w:val="20"/>
                <w:szCs w:val="20"/>
              </w:rPr>
              <w:t>Grade ≥3 adverse event, n (%)</w:t>
            </w:r>
          </w:p>
        </w:tc>
        <w:tc>
          <w:tcPr>
            <w:tcW w:w="740" w:type="pct"/>
            <w:tcBorders>
              <w:top w:val="single" w:sz="4" w:space="0" w:color="auto"/>
              <w:bottom w:val="single" w:sz="4" w:space="0" w:color="auto"/>
            </w:tcBorders>
            <w:shd w:val="clear" w:color="auto" w:fill="auto"/>
            <w:vAlign w:val="center"/>
          </w:tcPr>
          <w:p w:rsidR="003D7DFA" w:rsidRPr="00C927B9" w:rsidRDefault="003D7DFA" w:rsidP="00574791">
            <w:pPr>
              <w:pStyle w:val="TableText"/>
              <w:ind w:left="-76" w:right="-63"/>
              <w:jc w:val="center"/>
              <w:rPr>
                <w:sz w:val="20"/>
                <w:szCs w:val="20"/>
              </w:rPr>
            </w:pPr>
            <w:r w:rsidRPr="00C927B9">
              <w:rPr>
                <w:sz w:val="20"/>
                <w:szCs w:val="20"/>
              </w:rPr>
              <w:t>279 (98.6%)</w:t>
            </w:r>
          </w:p>
        </w:tc>
        <w:tc>
          <w:tcPr>
            <w:tcW w:w="741" w:type="pct"/>
            <w:tcBorders>
              <w:top w:val="single" w:sz="4" w:space="0" w:color="auto"/>
              <w:bottom w:val="single" w:sz="4" w:space="0" w:color="auto"/>
            </w:tcBorders>
            <w:shd w:val="clear" w:color="auto" w:fill="auto"/>
            <w:vAlign w:val="center"/>
          </w:tcPr>
          <w:p w:rsidR="003D7DFA" w:rsidRPr="00C927B9" w:rsidRDefault="003D7DFA" w:rsidP="00574791">
            <w:pPr>
              <w:pStyle w:val="TableText"/>
              <w:ind w:left="-76" w:right="-63"/>
              <w:jc w:val="center"/>
              <w:rPr>
                <w:sz w:val="20"/>
                <w:szCs w:val="20"/>
              </w:rPr>
            </w:pPr>
            <w:r w:rsidRPr="00C927B9">
              <w:rPr>
                <w:sz w:val="20"/>
                <w:szCs w:val="20"/>
              </w:rPr>
              <w:t>139 (96.5%)</w:t>
            </w:r>
          </w:p>
        </w:tc>
        <w:tc>
          <w:tcPr>
            <w:tcW w:w="740" w:type="pct"/>
            <w:tcBorders>
              <w:top w:val="single" w:sz="4" w:space="0" w:color="auto"/>
              <w:bottom w:val="single" w:sz="4" w:space="0" w:color="auto"/>
            </w:tcBorders>
            <w:shd w:val="clear" w:color="auto" w:fill="auto"/>
            <w:vAlign w:val="center"/>
          </w:tcPr>
          <w:p w:rsidR="003D7DFA" w:rsidRPr="00C927B9" w:rsidRDefault="003D7DFA" w:rsidP="00574791">
            <w:pPr>
              <w:pStyle w:val="TableText"/>
              <w:ind w:left="-76" w:right="-63"/>
              <w:jc w:val="center"/>
              <w:rPr>
                <w:sz w:val="20"/>
                <w:szCs w:val="20"/>
              </w:rPr>
            </w:pPr>
            <w:r w:rsidRPr="00C927B9">
              <w:rPr>
                <w:sz w:val="20"/>
                <w:szCs w:val="20"/>
              </w:rPr>
              <w:t>138 (97.2%)</w:t>
            </w:r>
          </w:p>
        </w:tc>
        <w:tc>
          <w:tcPr>
            <w:tcW w:w="738" w:type="pct"/>
            <w:tcBorders>
              <w:top w:val="single" w:sz="4" w:space="0" w:color="auto"/>
              <w:bottom w:val="single" w:sz="4" w:space="0" w:color="auto"/>
            </w:tcBorders>
            <w:shd w:val="clear" w:color="auto" w:fill="auto"/>
            <w:vAlign w:val="center"/>
          </w:tcPr>
          <w:p w:rsidR="003D7DFA" w:rsidRPr="00C927B9" w:rsidRDefault="003D7DFA" w:rsidP="00574791">
            <w:pPr>
              <w:pStyle w:val="TableText"/>
              <w:ind w:left="-76" w:right="-63"/>
              <w:jc w:val="center"/>
              <w:rPr>
                <w:bCs w:val="0"/>
                <w:sz w:val="20"/>
                <w:szCs w:val="20"/>
              </w:rPr>
            </w:pPr>
            <w:r w:rsidRPr="00C927B9">
              <w:rPr>
                <w:sz w:val="20"/>
                <w:szCs w:val="20"/>
              </w:rPr>
              <w:t>65 (95.6%)</w:t>
            </w:r>
          </w:p>
        </w:tc>
      </w:tr>
      <w:tr w:rsidR="003D7DFA" w:rsidRPr="00C927B9" w:rsidTr="00812FFB">
        <w:tc>
          <w:tcPr>
            <w:tcW w:w="2041" w:type="pct"/>
            <w:tcBorders>
              <w:top w:val="single" w:sz="4" w:space="0" w:color="auto"/>
              <w:bottom w:val="single" w:sz="4" w:space="0" w:color="auto"/>
            </w:tcBorders>
            <w:shd w:val="clear" w:color="auto" w:fill="auto"/>
          </w:tcPr>
          <w:p w:rsidR="003D7DFA" w:rsidRPr="00C927B9" w:rsidRDefault="003D7DFA" w:rsidP="00574791">
            <w:pPr>
              <w:pStyle w:val="TableText"/>
              <w:ind w:right="-65"/>
              <w:rPr>
                <w:bCs w:val="0"/>
                <w:sz w:val="20"/>
                <w:szCs w:val="20"/>
              </w:rPr>
            </w:pPr>
            <w:r w:rsidRPr="00C927B9">
              <w:rPr>
                <w:bCs w:val="0"/>
                <w:sz w:val="20"/>
                <w:szCs w:val="20"/>
              </w:rPr>
              <w:t>Serious adverse event</w:t>
            </w:r>
          </w:p>
        </w:tc>
        <w:tc>
          <w:tcPr>
            <w:tcW w:w="740" w:type="pct"/>
            <w:tcBorders>
              <w:top w:val="single" w:sz="4" w:space="0" w:color="auto"/>
              <w:bottom w:val="single" w:sz="4" w:space="0" w:color="auto"/>
            </w:tcBorders>
            <w:shd w:val="clear" w:color="auto" w:fill="auto"/>
            <w:vAlign w:val="center"/>
          </w:tcPr>
          <w:p w:rsidR="003D7DFA" w:rsidRPr="00C927B9" w:rsidRDefault="003D7DFA" w:rsidP="00574791">
            <w:pPr>
              <w:pStyle w:val="TableText"/>
              <w:ind w:left="-76" w:right="-63"/>
              <w:jc w:val="center"/>
              <w:rPr>
                <w:sz w:val="20"/>
                <w:szCs w:val="20"/>
              </w:rPr>
            </w:pPr>
            <w:r w:rsidRPr="00C927B9">
              <w:rPr>
                <w:sz w:val="20"/>
                <w:szCs w:val="20"/>
              </w:rPr>
              <w:t>235 (83.0%)</w:t>
            </w:r>
          </w:p>
        </w:tc>
        <w:tc>
          <w:tcPr>
            <w:tcW w:w="741" w:type="pct"/>
            <w:tcBorders>
              <w:top w:val="single" w:sz="4" w:space="0" w:color="auto"/>
              <w:bottom w:val="single" w:sz="4" w:space="0" w:color="auto"/>
            </w:tcBorders>
            <w:shd w:val="clear" w:color="auto" w:fill="auto"/>
            <w:vAlign w:val="center"/>
          </w:tcPr>
          <w:p w:rsidR="003D7DFA" w:rsidRPr="00C927B9" w:rsidRDefault="003D7DFA" w:rsidP="00574791">
            <w:pPr>
              <w:pStyle w:val="TableText"/>
              <w:ind w:left="-76" w:right="-63"/>
              <w:jc w:val="center"/>
              <w:rPr>
                <w:sz w:val="20"/>
                <w:szCs w:val="20"/>
              </w:rPr>
            </w:pPr>
            <w:r w:rsidRPr="00C927B9">
              <w:rPr>
                <w:sz w:val="20"/>
                <w:szCs w:val="20"/>
              </w:rPr>
              <w:t>105 (72.9%)</w:t>
            </w:r>
          </w:p>
        </w:tc>
        <w:tc>
          <w:tcPr>
            <w:tcW w:w="740" w:type="pct"/>
            <w:tcBorders>
              <w:top w:val="single" w:sz="4" w:space="0" w:color="auto"/>
              <w:bottom w:val="single" w:sz="4" w:space="0" w:color="auto"/>
            </w:tcBorders>
            <w:shd w:val="clear" w:color="auto" w:fill="auto"/>
            <w:vAlign w:val="center"/>
          </w:tcPr>
          <w:p w:rsidR="003D7DFA" w:rsidRPr="00C927B9" w:rsidRDefault="003D7DFA" w:rsidP="00574791">
            <w:pPr>
              <w:pStyle w:val="TableText"/>
              <w:ind w:left="-76" w:right="-63"/>
              <w:jc w:val="center"/>
              <w:rPr>
                <w:sz w:val="20"/>
                <w:szCs w:val="20"/>
              </w:rPr>
            </w:pPr>
            <w:r w:rsidRPr="00C927B9">
              <w:rPr>
                <w:sz w:val="20"/>
                <w:szCs w:val="20"/>
              </w:rPr>
              <w:t>95 (66.9%)</w:t>
            </w:r>
          </w:p>
        </w:tc>
        <w:tc>
          <w:tcPr>
            <w:tcW w:w="738" w:type="pct"/>
            <w:tcBorders>
              <w:top w:val="single" w:sz="4" w:space="0" w:color="auto"/>
              <w:bottom w:val="single" w:sz="4" w:space="0" w:color="auto"/>
            </w:tcBorders>
            <w:shd w:val="clear" w:color="auto" w:fill="auto"/>
            <w:vAlign w:val="center"/>
          </w:tcPr>
          <w:p w:rsidR="003D7DFA" w:rsidRPr="00C927B9" w:rsidRDefault="003D7DFA" w:rsidP="00574791">
            <w:pPr>
              <w:pStyle w:val="TableText"/>
              <w:ind w:left="-76" w:right="-63"/>
              <w:jc w:val="center"/>
              <w:rPr>
                <w:bCs w:val="0"/>
                <w:sz w:val="20"/>
                <w:szCs w:val="20"/>
              </w:rPr>
            </w:pPr>
            <w:r w:rsidRPr="00C927B9">
              <w:rPr>
                <w:sz w:val="20"/>
                <w:szCs w:val="20"/>
              </w:rPr>
              <w:t>42 (61.8%)</w:t>
            </w:r>
          </w:p>
        </w:tc>
      </w:tr>
      <w:tr w:rsidR="003D7DFA" w:rsidRPr="00C927B9" w:rsidTr="00812FFB">
        <w:tc>
          <w:tcPr>
            <w:tcW w:w="2041" w:type="pct"/>
            <w:tcBorders>
              <w:top w:val="single" w:sz="4" w:space="0" w:color="auto"/>
              <w:bottom w:val="single" w:sz="4" w:space="0" w:color="auto"/>
            </w:tcBorders>
            <w:shd w:val="clear" w:color="auto" w:fill="auto"/>
          </w:tcPr>
          <w:p w:rsidR="003D7DFA" w:rsidRPr="00C927B9" w:rsidRDefault="003D7DFA" w:rsidP="00574791">
            <w:pPr>
              <w:pStyle w:val="TableText"/>
              <w:ind w:right="-65"/>
              <w:rPr>
                <w:bCs w:val="0"/>
                <w:sz w:val="20"/>
                <w:szCs w:val="20"/>
              </w:rPr>
            </w:pPr>
            <w:r w:rsidRPr="00C927B9">
              <w:rPr>
                <w:bCs w:val="0"/>
                <w:sz w:val="20"/>
                <w:szCs w:val="20"/>
              </w:rPr>
              <w:t>Adverse event leading to death, n (%)</w:t>
            </w:r>
          </w:p>
        </w:tc>
        <w:tc>
          <w:tcPr>
            <w:tcW w:w="740" w:type="pct"/>
            <w:tcBorders>
              <w:top w:val="single" w:sz="4" w:space="0" w:color="auto"/>
              <w:bottom w:val="single" w:sz="4" w:space="0" w:color="auto"/>
            </w:tcBorders>
            <w:shd w:val="clear" w:color="auto" w:fill="auto"/>
            <w:vAlign w:val="center"/>
          </w:tcPr>
          <w:p w:rsidR="003D7DFA" w:rsidRPr="00C927B9" w:rsidRDefault="003D7DFA" w:rsidP="00574791">
            <w:pPr>
              <w:pStyle w:val="TableText"/>
              <w:ind w:left="-76" w:right="-63"/>
              <w:jc w:val="center"/>
              <w:rPr>
                <w:sz w:val="20"/>
                <w:szCs w:val="20"/>
              </w:rPr>
            </w:pPr>
            <w:r w:rsidRPr="00C927B9">
              <w:rPr>
                <w:sz w:val="20"/>
                <w:szCs w:val="20"/>
              </w:rPr>
              <w:t>64 (22.6%)</w:t>
            </w:r>
          </w:p>
        </w:tc>
        <w:tc>
          <w:tcPr>
            <w:tcW w:w="741" w:type="pct"/>
            <w:tcBorders>
              <w:top w:val="single" w:sz="4" w:space="0" w:color="auto"/>
              <w:bottom w:val="single" w:sz="4" w:space="0" w:color="auto"/>
            </w:tcBorders>
            <w:shd w:val="clear" w:color="auto" w:fill="auto"/>
            <w:vAlign w:val="center"/>
          </w:tcPr>
          <w:p w:rsidR="003D7DFA" w:rsidRPr="00C927B9" w:rsidRDefault="003D7DFA" w:rsidP="00574791">
            <w:pPr>
              <w:pStyle w:val="TableText"/>
              <w:ind w:left="-76" w:right="-63"/>
              <w:jc w:val="center"/>
              <w:rPr>
                <w:sz w:val="20"/>
                <w:szCs w:val="20"/>
              </w:rPr>
            </w:pPr>
            <w:r w:rsidRPr="00C927B9">
              <w:rPr>
                <w:sz w:val="20"/>
                <w:szCs w:val="20"/>
              </w:rPr>
              <w:t>29 (20.1%)</w:t>
            </w:r>
          </w:p>
        </w:tc>
        <w:tc>
          <w:tcPr>
            <w:tcW w:w="740" w:type="pct"/>
            <w:tcBorders>
              <w:top w:val="single" w:sz="4" w:space="0" w:color="auto"/>
              <w:bottom w:val="single" w:sz="4" w:space="0" w:color="auto"/>
            </w:tcBorders>
            <w:shd w:val="clear" w:color="auto" w:fill="auto"/>
            <w:vAlign w:val="center"/>
          </w:tcPr>
          <w:p w:rsidR="003D7DFA" w:rsidRPr="00C927B9" w:rsidRDefault="003D7DFA" w:rsidP="00574791">
            <w:pPr>
              <w:pStyle w:val="TableText"/>
              <w:ind w:left="-76" w:right="-63"/>
              <w:jc w:val="center"/>
              <w:rPr>
                <w:sz w:val="20"/>
                <w:szCs w:val="20"/>
              </w:rPr>
            </w:pPr>
            <w:r w:rsidRPr="00C927B9">
              <w:rPr>
                <w:sz w:val="20"/>
                <w:szCs w:val="20"/>
              </w:rPr>
              <w:t>33 (23.2%)</w:t>
            </w:r>
          </w:p>
        </w:tc>
        <w:tc>
          <w:tcPr>
            <w:tcW w:w="738" w:type="pct"/>
            <w:tcBorders>
              <w:top w:val="single" w:sz="4" w:space="0" w:color="auto"/>
              <w:bottom w:val="single" w:sz="4" w:space="0" w:color="auto"/>
            </w:tcBorders>
            <w:shd w:val="clear" w:color="auto" w:fill="auto"/>
            <w:vAlign w:val="center"/>
          </w:tcPr>
          <w:p w:rsidR="003D7DFA" w:rsidRPr="00C927B9" w:rsidRDefault="003D7DFA" w:rsidP="00574791">
            <w:pPr>
              <w:pStyle w:val="TableText"/>
              <w:ind w:left="-76" w:right="-63"/>
              <w:jc w:val="center"/>
              <w:rPr>
                <w:bCs w:val="0"/>
                <w:sz w:val="20"/>
                <w:szCs w:val="20"/>
              </w:rPr>
            </w:pPr>
            <w:r w:rsidRPr="00C927B9">
              <w:rPr>
                <w:sz w:val="20"/>
                <w:szCs w:val="20"/>
              </w:rPr>
              <w:t>14 (20.6%)</w:t>
            </w:r>
          </w:p>
        </w:tc>
      </w:tr>
      <w:tr w:rsidR="003D7DFA" w:rsidRPr="00C927B9" w:rsidTr="00812FFB">
        <w:tc>
          <w:tcPr>
            <w:tcW w:w="2041" w:type="pct"/>
            <w:tcBorders>
              <w:top w:val="single" w:sz="4" w:space="0" w:color="auto"/>
              <w:bottom w:val="single" w:sz="4" w:space="0" w:color="auto"/>
            </w:tcBorders>
            <w:shd w:val="clear" w:color="auto" w:fill="auto"/>
          </w:tcPr>
          <w:p w:rsidR="003D7DFA" w:rsidRPr="00C927B9" w:rsidRDefault="003D7DFA" w:rsidP="00574791">
            <w:pPr>
              <w:pStyle w:val="TableText"/>
              <w:ind w:right="-65"/>
              <w:rPr>
                <w:bCs w:val="0"/>
                <w:sz w:val="20"/>
                <w:szCs w:val="20"/>
              </w:rPr>
            </w:pPr>
            <w:r w:rsidRPr="00C927B9">
              <w:rPr>
                <w:bCs w:val="0"/>
                <w:sz w:val="20"/>
                <w:szCs w:val="20"/>
              </w:rPr>
              <w:t>AE related VTX/</w:t>
            </w:r>
            <w:proofErr w:type="spellStart"/>
            <w:r w:rsidRPr="00C927B9">
              <w:rPr>
                <w:bCs w:val="0"/>
                <w:sz w:val="20"/>
                <w:szCs w:val="20"/>
              </w:rPr>
              <w:t>Pbo</w:t>
            </w:r>
            <w:proofErr w:type="spellEnd"/>
            <w:r w:rsidRPr="00C927B9">
              <w:rPr>
                <w:bCs w:val="0"/>
                <w:sz w:val="20"/>
                <w:szCs w:val="20"/>
              </w:rPr>
              <w:t xml:space="preserve"> </w:t>
            </w:r>
            <w:proofErr w:type="spellStart"/>
            <w:r w:rsidRPr="00C927B9">
              <w:rPr>
                <w:bCs w:val="0"/>
                <w:sz w:val="20"/>
                <w:szCs w:val="20"/>
              </w:rPr>
              <w:t>discont</w:t>
            </w:r>
            <w:proofErr w:type="spellEnd"/>
            <w:r w:rsidRPr="00C927B9">
              <w:rPr>
                <w:bCs w:val="0"/>
                <w:sz w:val="20"/>
                <w:szCs w:val="20"/>
              </w:rPr>
              <w:t>, n (%)</w:t>
            </w:r>
          </w:p>
        </w:tc>
        <w:tc>
          <w:tcPr>
            <w:tcW w:w="740" w:type="pct"/>
            <w:tcBorders>
              <w:top w:val="single" w:sz="4" w:space="0" w:color="auto"/>
              <w:bottom w:val="single" w:sz="4" w:space="0" w:color="auto"/>
            </w:tcBorders>
            <w:shd w:val="clear" w:color="auto" w:fill="auto"/>
            <w:vAlign w:val="center"/>
          </w:tcPr>
          <w:p w:rsidR="003D7DFA" w:rsidRPr="00C927B9" w:rsidRDefault="003D7DFA" w:rsidP="00574791">
            <w:pPr>
              <w:pStyle w:val="TableText"/>
              <w:ind w:left="-76" w:right="-63"/>
              <w:jc w:val="center"/>
              <w:rPr>
                <w:sz w:val="20"/>
                <w:szCs w:val="20"/>
              </w:rPr>
            </w:pPr>
            <w:r w:rsidRPr="00C927B9">
              <w:rPr>
                <w:sz w:val="20"/>
                <w:szCs w:val="20"/>
              </w:rPr>
              <w:t>69 (24.4%)</w:t>
            </w:r>
          </w:p>
        </w:tc>
        <w:tc>
          <w:tcPr>
            <w:tcW w:w="741" w:type="pct"/>
            <w:tcBorders>
              <w:top w:val="single" w:sz="4" w:space="0" w:color="auto"/>
              <w:bottom w:val="single" w:sz="4" w:space="0" w:color="auto"/>
            </w:tcBorders>
            <w:shd w:val="clear" w:color="auto" w:fill="auto"/>
            <w:vAlign w:val="center"/>
          </w:tcPr>
          <w:p w:rsidR="003D7DFA" w:rsidRPr="00C927B9" w:rsidRDefault="003D7DFA" w:rsidP="00574791">
            <w:pPr>
              <w:pStyle w:val="TableText"/>
              <w:ind w:left="-76" w:right="-63"/>
              <w:jc w:val="center"/>
              <w:rPr>
                <w:sz w:val="20"/>
                <w:szCs w:val="20"/>
              </w:rPr>
            </w:pPr>
            <w:r w:rsidRPr="00C927B9">
              <w:rPr>
                <w:sz w:val="20"/>
                <w:szCs w:val="20"/>
              </w:rPr>
              <w:t>29 (20.1%)</w:t>
            </w:r>
          </w:p>
        </w:tc>
        <w:tc>
          <w:tcPr>
            <w:tcW w:w="740" w:type="pct"/>
            <w:tcBorders>
              <w:top w:val="single" w:sz="4" w:space="0" w:color="auto"/>
              <w:bottom w:val="single" w:sz="4" w:space="0" w:color="auto"/>
            </w:tcBorders>
            <w:shd w:val="clear" w:color="auto" w:fill="auto"/>
            <w:vAlign w:val="center"/>
          </w:tcPr>
          <w:p w:rsidR="003D7DFA" w:rsidRPr="00C927B9" w:rsidRDefault="003D7DFA" w:rsidP="00574791">
            <w:pPr>
              <w:pStyle w:val="TableText"/>
              <w:ind w:left="-76" w:right="-63"/>
              <w:jc w:val="center"/>
              <w:rPr>
                <w:sz w:val="20"/>
                <w:szCs w:val="20"/>
              </w:rPr>
            </w:pPr>
            <w:r w:rsidRPr="00C927B9">
              <w:rPr>
                <w:sz w:val="20"/>
                <w:szCs w:val="20"/>
              </w:rPr>
              <w:t>37 (26.1%)</w:t>
            </w:r>
          </w:p>
        </w:tc>
        <w:tc>
          <w:tcPr>
            <w:tcW w:w="738" w:type="pct"/>
            <w:tcBorders>
              <w:top w:val="single" w:sz="4" w:space="0" w:color="auto"/>
              <w:bottom w:val="single" w:sz="4" w:space="0" w:color="auto"/>
            </w:tcBorders>
            <w:shd w:val="clear" w:color="auto" w:fill="auto"/>
            <w:vAlign w:val="center"/>
          </w:tcPr>
          <w:p w:rsidR="003D7DFA" w:rsidRPr="00C927B9" w:rsidRDefault="003D7DFA" w:rsidP="00574791">
            <w:pPr>
              <w:pStyle w:val="TableText"/>
              <w:ind w:left="-76" w:right="-63"/>
              <w:jc w:val="center"/>
              <w:rPr>
                <w:bCs w:val="0"/>
                <w:sz w:val="20"/>
                <w:szCs w:val="20"/>
              </w:rPr>
            </w:pPr>
            <w:r w:rsidRPr="00C927B9">
              <w:rPr>
                <w:sz w:val="20"/>
                <w:szCs w:val="20"/>
              </w:rPr>
              <w:t>16 (23.5%)</w:t>
            </w:r>
          </w:p>
        </w:tc>
      </w:tr>
      <w:tr w:rsidR="003D7DFA" w:rsidRPr="00C927B9" w:rsidTr="00812FFB">
        <w:tc>
          <w:tcPr>
            <w:tcW w:w="2041" w:type="pct"/>
            <w:tcBorders>
              <w:top w:val="single" w:sz="4" w:space="0" w:color="auto"/>
              <w:bottom w:val="single" w:sz="4" w:space="0" w:color="auto"/>
            </w:tcBorders>
            <w:shd w:val="clear" w:color="auto" w:fill="auto"/>
          </w:tcPr>
          <w:p w:rsidR="003D7DFA" w:rsidRPr="00C927B9" w:rsidRDefault="003D7DFA" w:rsidP="00574791">
            <w:pPr>
              <w:pStyle w:val="TableText"/>
              <w:ind w:right="-65"/>
              <w:rPr>
                <w:bCs w:val="0"/>
                <w:sz w:val="20"/>
                <w:szCs w:val="20"/>
              </w:rPr>
            </w:pPr>
            <w:r w:rsidRPr="00C927B9">
              <w:rPr>
                <w:bCs w:val="0"/>
                <w:sz w:val="20"/>
                <w:szCs w:val="20"/>
              </w:rPr>
              <w:t xml:space="preserve">AE related AZA/LoDAC </w:t>
            </w:r>
            <w:proofErr w:type="spellStart"/>
            <w:r w:rsidRPr="00C927B9">
              <w:rPr>
                <w:bCs w:val="0"/>
                <w:sz w:val="20"/>
                <w:szCs w:val="20"/>
              </w:rPr>
              <w:t>discont</w:t>
            </w:r>
            <w:proofErr w:type="spellEnd"/>
            <w:r w:rsidRPr="00C927B9">
              <w:rPr>
                <w:bCs w:val="0"/>
                <w:sz w:val="20"/>
                <w:szCs w:val="20"/>
              </w:rPr>
              <w:t>, n (%)</w:t>
            </w:r>
          </w:p>
        </w:tc>
        <w:tc>
          <w:tcPr>
            <w:tcW w:w="740" w:type="pct"/>
            <w:tcBorders>
              <w:top w:val="single" w:sz="4" w:space="0" w:color="auto"/>
              <w:bottom w:val="single" w:sz="4" w:space="0" w:color="auto"/>
            </w:tcBorders>
            <w:shd w:val="clear" w:color="auto" w:fill="auto"/>
            <w:vAlign w:val="center"/>
          </w:tcPr>
          <w:p w:rsidR="003D7DFA" w:rsidRPr="00C927B9" w:rsidRDefault="003D7DFA" w:rsidP="00574791">
            <w:pPr>
              <w:pStyle w:val="TableText"/>
              <w:ind w:left="-76" w:right="-63"/>
              <w:jc w:val="center"/>
              <w:rPr>
                <w:sz w:val="20"/>
                <w:szCs w:val="20"/>
              </w:rPr>
            </w:pPr>
            <w:r w:rsidRPr="00C927B9">
              <w:rPr>
                <w:sz w:val="20"/>
                <w:szCs w:val="20"/>
              </w:rPr>
              <w:t>68 (24.0%)</w:t>
            </w:r>
          </w:p>
        </w:tc>
        <w:tc>
          <w:tcPr>
            <w:tcW w:w="741" w:type="pct"/>
            <w:tcBorders>
              <w:top w:val="single" w:sz="4" w:space="0" w:color="auto"/>
              <w:bottom w:val="single" w:sz="4" w:space="0" w:color="auto"/>
            </w:tcBorders>
            <w:shd w:val="clear" w:color="auto" w:fill="auto"/>
            <w:vAlign w:val="center"/>
          </w:tcPr>
          <w:p w:rsidR="003D7DFA" w:rsidRPr="00C927B9" w:rsidRDefault="003D7DFA" w:rsidP="00574791">
            <w:pPr>
              <w:pStyle w:val="TableText"/>
              <w:ind w:left="-76" w:right="-63"/>
              <w:jc w:val="center"/>
              <w:rPr>
                <w:sz w:val="20"/>
                <w:szCs w:val="20"/>
              </w:rPr>
            </w:pPr>
            <w:r w:rsidRPr="00C927B9">
              <w:rPr>
                <w:sz w:val="20"/>
                <w:szCs w:val="20"/>
              </w:rPr>
              <w:t>29 (20.1%)</w:t>
            </w:r>
          </w:p>
        </w:tc>
        <w:tc>
          <w:tcPr>
            <w:tcW w:w="740" w:type="pct"/>
            <w:tcBorders>
              <w:top w:val="single" w:sz="4" w:space="0" w:color="auto"/>
              <w:bottom w:val="single" w:sz="4" w:space="0" w:color="auto"/>
            </w:tcBorders>
            <w:shd w:val="clear" w:color="auto" w:fill="auto"/>
            <w:vAlign w:val="center"/>
          </w:tcPr>
          <w:p w:rsidR="003D7DFA" w:rsidRPr="00C927B9" w:rsidRDefault="003D7DFA" w:rsidP="00574791">
            <w:pPr>
              <w:pStyle w:val="TableText"/>
              <w:ind w:left="-76" w:right="-63"/>
              <w:jc w:val="center"/>
              <w:rPr>
                <w:sz w:val="20"/>
                <w:szCs w:val="20"/>
              </w:rPr>
            </w:pPr>
            <w:r w:rsidRPr="00C927B9">
              <w:rPr>
                <w:sz w:val="20"/>
                <w:szCs w:val="20"/>
              </w:rPr>
              <w:t>37 (26.1%)</w:t>
            </w:r>
          </w:p>
        </w:tc>
        <w:tc>
          <w:tcPr>
            <w:tcW w:w="738" w:type="pct"/>
            <w:tcBorders>
              <w:top w:val="single" w:sz="4" w:space="0" w:color="auto"/>
              <w:bottom w:val="single" w:sz="4" w:space="0" w:color="auto"/>
            </w:tcBorders>
            <w:shd w:val="clear" w:color="auto" w:fill="auto"/>
            <w:vAlign w:val="center"/>
          </w:tcPr>
          <w:p w:rsidR="003D7DFA" w:rsidRPr="00C927B9" w:rsidRDefault="003D7DFA" w:rsidP="00574791">
            <w:pPr>
              <w:pStyle w:val="TableText"/>
              <w:ind w:left="-76" w:right="-63"/>
              <w:jc w:val="center"/>
              <w:rPr>
                <w:bCs w:val="0"/>
                <w:sz w:val="20"/>
                <w:szCs w:val="20"/>
              </w:rPr>
            </w:pPr>
            <w:r w:rsidRPr="00C927B9">
              <w:rPr>
                <w:sz w:val="20"/>
                <w:szCs w:val="20"/>
              </w:rPr>
              <w:t>16 (23.5%)</w:t>
            </w:r>
          </w:p>
        </w:tc>
      </w:tr>
      <w:tr w:rsidR="003D7DFA" w:rsidRPr="00C927B9" w:rsidTr="00574791">
        <w:tc>
          <w:tcPr>
            <w:tcW w:w="5000" w:type="pct"/>
            <w:gridSpan w:val="5"/>
            <w:tcBorders>
              <w:bottom w:val="single" w:sz="4" w:space="0" w:color="auto"/>
            </w:tcBorders>
            <w:shd w:val="clear" w:color="auto" w:fill="auto"/>
          </w:tcPr>
          <w:p w:rsidR="003D7DFA" w:rsidRPr="00C927B9" w:rsidRDefault="003D7DFA" w:rsidP="00574791">
            <w:pPr>
              <w:pStyle w:val="TableText"/>
              <w:keepNext w:val="0"/>
              <w:widowControl w:val="0"/>
              <w:ind w:left="-59" w:right="-63"/>
              <w:rPr>
                <w:b/>
                <w:bCs w:val="0"/>
                <w:sz w:val="20"/>
                <w:szCs w:val="20"/>
              </w:rPr>
            </w:pPr>
            <w:r w:rsidRPr="00C927B9">
              <w:rPr>
                <w:b/>
                <w:bCs w:val="0"/>
                <w:sz w:val="20"/>
                <w:szCs w:val="20"/>
              </w:rPr>
              <w:t>Adverse events of interest</w:t>
            </w:r>
          </w:p>
        </w:tc>
      </w:tr>
      <w:tr w:rsidR="003D7DFA" w:rsidRPr="00C927B9" w:rsidTr="00812FFB">
        <w:tc>
          <w:tcPr>
            <w:tcW w:w="2041" w:type="pct"/>
            <w:tcBorders>
              <w:bottom w:val="single" w:sz="4" w:space="0" w:color="auto"/>
            </w:tcBorders>
            <w:shd w:val="clear" w:color="auto" w:fill="auto"/>
            <w:vAlign w:val="center"/>
          </w:tcPr>
          <w:p w:rsidR="003D7DFA" w:rsidRPr="00C927B9" w:rsidRDefault="003D7DFA" w:rsidP="00574791">
            <w:pPr>
              <w:pStyle w:val="TableText"/>
              <w:keepNext w:val="0"/>
              <w:widowControl w:val="0"/>
              <w:tabs>
                <w:tab w:val="left" w:pos="167"/>
              </w:tabs>
              <w:rPr>
                <w:bCs w:val="0"/>
                <w:sz w:val="20"/>
                <w:szCs w:val="20"/>
              </w:rPr>
            </w:pPr>
            <w:r w:rsidRPr="00C927B9">
              <w:rPr>
                <w:bCs w:val="0"/>
                <w:sz w:val="20"/>
                <w:szCs w:val="20"/>
              </w:rPr>
              <w:t xml:space="preserve">Tumour lysis syndrome </w:t>
            </w:r>
          </w:p>
        </w:tc>
        <w:tc>
          <w:tcPr>
            <w:tcW w:w="740" w:type="pct"/>
            <w:tcBorders>
              <w:bottom w:val="single" w:sz="4" w:space="0" w:color="auto"/>
            </w:tcBorders>
            <w:shd w:val="clear" w:color="auto" w:fill="auto"/>
            <w:vAlign w:val="center"/>
          </w:tcPr>
          <w:p w:rsidR="003D7DFA" w:rsidRPr="00C927B9" w:rsidRDefault="003D7DFA" w:rsidP="00574791">
            <w:pPr>
              <w:pStyle w:val="TableText"/>
              <w:keepNext w:val="0"/>
              <w:widowControl w:val="0"/>
              <w:ind w:left="-59" w:right="-63"/>
              <w:jc w:val="center"/>
              <w:rPr>
                <w:bCs w:val="0"/>
                <w:sz w:val="20"/>
                <w:szCs w:val="20"/>
              </w:rPr>
            </w:pPr>
            <w:r w:rsidRPr="00C927B9">
              <w:rPr>
                <w:bCs w:val="0"/>
                <w:sz w:val="20"/>
                <w:szCs w:val="20"/>
              </w:rPr>
              <w:t>3 (1.1%)</w:t>
            </w:r>
          </w:p>
        </w:tc>
        <w:tc>
          <w:tcPr>
            <w:tcW w:w="741" w:type="pct"/>
            <w:tcBorders>
              <w:bottom w:val="single" w:sz="4" w:space="0" w:color="auto"/>
            </w:tcBorders>
            <w:shd w:val="clear" w:color="auto" w:fill="auto"/>
            <w:vAlign w:val="center"/>
          </w:tcPr>
          <w:p w:rsidR="003D7DFA" w:rsidRPr="00C927B9" w:rsidRDefault="003D7DFA" w:rsidP="00574791">
            <w:pPr>
              <w:pStyle w:val="TableText"/>
              <w:keepNext w:val="0"/>
              <w:widowControl w:val="0"/>
              <w:ind w:left="-59" w:right="-63"/>
              <w:jc w:val="center"/>
              <w:rPr>
                <w:bCs w:val="0"/>
                <w:sz w:val="20"/>
                <w:szCs w:val="20"/>
              </w:rPr>
            </w:pPr>
            <w:r w:rsidRPr="00C927B9">
              <w:rPr>
                <w:bCs w:val="0"/>
                <w:sz w:val="20"/>
                <w:szCs w:val="20"/>
              </w:rPr>
              <w:t>0 (0%)</w:t>
            </w:r>
          </w:p>
        </w:tc>
        <w:tc>
          <w:tcPr>
            <w:tcW w:w="740" w:type="pct"/>
            <w:tcBorders>
              <w:bottom w:val="single" w:sz="4" w:space="0" w:color="auto"/>
            </w:tcBorders>
            <w:shd w:val="clear" w:color="auto" w:fill="auto"/>
          </w:tcPr>
          <w:p w:rsidR="003D7DFA" w:rsidRPr="00C927B9" w:rsidRDefault="003D7DFA" w:rsidP="00574791">
            <w:pPr>
              <w:pStyle w:val="TableText"/>
              <w:keepNext w:val="0"/>
              <w:widowControl w:val="0"/>
              <w:ind w:left="-59" w:right="-63"/>
              <w:jc w:val="center"/>
              <w:rPr>
                <w:bCs w:val="0"/>
                <w:sz w:val="20"/>
                <w:szCs w:val="20"/>
              </w:rPr>
            </w:pPr>
            <w:r w:rsidRPr="00C927B9">
              <w:rPr>
                <w:bCs w:val="0"/>
                <w:sz w:val="20"/>
                <w:szCs w:val="20"/>
              </w:rPr>
              <w:t>8 (5.6%)</w:t>
            </w:r>
          </w:p>
        </w:tc>
        <w:tc>
          <w:tcPr>
            <w:tcW w:w="738" w:type="pct"/>
            <w:tcBorders>
              <w:bottom w:val="single" w:sz="4" w:space="0" w:color="auto"/>
            </w:tcBorders>
            <w:shd w:val="clear" w:color="auto" w:fill="auto"/>
          </w:tcPr>
          <w:p w:rsidR="003D7DFA" w:rsidRPr="00C927B9" w:rsidRDefault="003D7DFA" w:rsidP="00574791">
            <w:pPr>
              <w:pStyle w:val="TableText"/>
              <w:keepNext w:val="0"/>
              <w:widowControl w:val="0"/>
              <w:ind w:left="-59" w:right="-63"/>
              <w:jc w:val="center"/>
              <w:rPr>
                <w:bCs w:val="0"/>
                <w:sz w:val="20"/>
                <w:szCs w:val="20"/>
              </w:rPr>
            </w:pPr>
            <w:r w:rsidRPr="00C927B9">
              <w:rPr>
                <w:bCs w:val="0"/>
                <w:sz w:val="20"/>
                <w:szCs w:val="20"/>
              </w:rPr>
              <w:t>0 (0.0%)</w:t>
            </w:r>
          </w:p>
        </w:tc>
      </w:tr>
      <w:tr w:rsidR="003D7DFA" w:rsidRPr="00C927B9" w:rsidTr="00812FFB">
        <w:tc>
          <w:tcPr>
            <w:tcW w:w="2041" w:type="pct"/>
            <w:tcBorders>
              <w:bottom w:val="single" w:sz="4" w:space="0" w:color="auto"/>
            </w:tcBorders>
            <w:shd w:val="clear" w:color="auto" w:fill="auto"/>
            <w:vAlign w:val="center"/>
          </w:tcPr>
          <w:p w:rsidR="003D7DFA" w:rsidRPr="00C927B9" w:rsidRDefault="003D7DFA" w:rsidP="00574791">
            <w:pPr>
              <w:pStyle w:val="TableText"/>
              <w:keepNext w:val="0"/>
              <w:widowControl w:val="0"/>
              <w:tabs>
                <w:tab w:val="left" w:pos="167"/>
              </w:tabs>
              <w:rPr>
                <w:bCs w:val="0"/>
                <w:sz w:val="20"/>
                <w:szCs w:val="20"/>
              </w:rPr>
            </w:pPr>
            <w:r w:rsidRPr="00C927B9">
              <w:rPr>
                <w:bCs w:val="0"/>
                <w:sz w:val="20"/>
                <w:szCs w:val="20"/>
              </w:rPr>
              <w:tab/>
              <w:t>Tumour lysis syndrome Grade ≥3</w:t>
            </w:r>
          </w:p>
        </w:tc>
        <w:tc>
          <w:tcPr>
            <w:tcW w:w="740" w:type="pct"/>
            <w:tcBorders>
              <w:bottom w:val="single" w:sz="4" w:space="0" w:color="auto"/>
            </w:tcBorders>
            <w:shd w:val="clear" w:color="auto" w:fill="auto"/>
            <w:vAlign w:val="center"/>
          </w:tcPr>
          <w:p w:rsidR="003D7DFA" w:rsidRPr="00C927B9" w:rsidRDefault="003D7DFA" w:rsidP="00574791">
            <w:pPr>
              <w:pStyle w:val="TableText"/>
              <w:keepNext w:val="0"/>
              <w:widowControl w:val="0"/>
              <w:ind w:left="-59" w:right="-63"/>
              <w:jc w:val="center"/>
              <w:rPr>
                <w:bCs w:val="0"/>
                <w:sz w:val="20"/>
                <w:szCs w:val="20"/>
              </w:rPr>
            </w:pPr>
            <w:r w:rsidRPr="00C927B9">
              <w:rPr>
                <w:bCs w:val="0"/>
                <w:sz w:val="20"/>
                <w:szCs w:val="20"/>
              </w:rPr>
              <w:t>2 (0.7%)</w:t>
            </w:r>
          </w:p>
        </w:tc>
        <w:tc>
          <w:tcPr>
            <w:tcW w:w="741" w:type="pct"/>
            <w:tcBorders>
              <w:bottom w:val="single" w:sz="4" w:space="0" w:color="auto"/>
            </w:tcBorders>
            <w:shd w:val="clear" w:color="auto" w:fill="auto"/>
            <w:vAlign w:val="center"/>
          </w:tcPr>
          <w:p w:rsidR="003D7DFA" w:rsidRPr="00C927B9" w:rsidRDefault="003D7DFA" w:rsidP="00574791">
            <w:pPr>
              <w:pStyle w:val="TableText"/>
              <w:keepNext w:val="0"/>
              <w:widowControl w:val="0"/>
              <w:ind w:left="-59" w:right="-63"/>
              <w:jc w:val="center"/>
              <w:rPr>
                <w:bCs w:val="0"/>
                <w:sz w:val="20"/>
                <w:szCs w:val="20"/>
              </w:rPr>
            </w:pPr>
            <w:r w:rsidRPr="00C927B9">
              <w:rPr>
                <w:bCs w:val="0"/>
                <w:sz w:val="20"/>
                <w:szCs w:val="20"/>
              </w:rPr>
              <w:t>0 (0%)</w:t>
            </w:r>
          </w:p>
        </w:tc>
        <w:tc>
          <w:tcPr>
            <w:tcW w:w="740" w:type="pct"/>
            <w:tcBorders>
              <w:bottom w:val="single" w:sz="4" w:space="0" w:color="auto"/>
            </w:tcBorders>
            <w:shd w:val="clear" w:color="auto" w:fill="auto"/>
          </w:tcPr>
          <w:p w:rsidR="003D7DFA" w:rsidRPr="00C927B9" w:rsidRDefault="003D7DFA" w:rsidP="00574791">
            <w:pPr>
              <w:pStyle w:val="TableText"/>
              <w:keepNext w:val="0"/>
              <w:widowControl w:val="0"/>
              <w:ind w:left="-59" w:right="-63"/>
              <w:jc w:val="center"/>
              <w:rPr>
                <w:bCs w:val="0"/>
                <w:sz w:val="20"/>
                <w:szCs w:val="20"/>
              </w:rPr>
            </w:pPr>
            <w:r w:rsidRPr="00C927B9">
              <w:rPr>
                <w:bCs w:val="0"/>
                <w:sz w:val="20"/>
                <w:szCs w:val="20"/>
              </w:rPr>
              <w:t>7 (4.9%)</w:t>
            </w:r>
          </w:p>
        </w:tc>
        <w:tc>
          <w:tcPr>
            <w:tcW w:w="738" w:type="pct"/>
            <w:tcBorders>
              <w:bottom w:val="single" w:sz="4" w:space="0" w:color="auto"/>
            </w:tcBorders>
            <w:shd w:val="clear" w:color="auto" w:fill="auto"/>
          </w:tcPr>
          <w:p w:rsidR="003D7DFA" w:rsidRPr="00C927B9" w:rsidRDefault="003D7DFA" w:rsidP="00574791">
            <w:pPr>
              <w:pStyle w:val="TableText"/>
              <w:keepNext w:val="0"/>
              <w:widowControl w:val="0"/>
              <w:ind w:left="-59" w:right="-63"/>
              <w:jc w:val="center"/>
              <w:rPr>
                <w:bCs w:val="0"/>
                <w:sz w:val="20"/>
                <w:szCs w:val="20"/>
              </w:rPr>
            </w:pPr>
            <w:r w:rsidRPr="00C927B9">
              <w:rPr>
                <w:bCs w:val="0"/>
                <w:sz w:val="20"/>
                <w:szCs w:val="20"/>
              </w:rPr>
              <w:t>0 (0.0%)</w:t>
            </w:r>
          </w:p>
        </w:tc>
      </w:tr>
      <w:tr w:rsidR="003D7DFA" w:rsidRPr="00C927B9" w:rsidTr="00812FFB">
        <w:tc>
          <w:tcPr>
            <w:tcW w:w="2041" w:type="pct"/>
            <w:tcBorders>
              <w:bottom w:val="single" w:sz="4" w:space="0" w:color="auto"/>
            </w:tcBorders>
            <w:shd w:val="clear" w:color="auto" w:fill="auto"/>
            <w:vAlign w:val="center"/>
          </w:tcPr>
          <w:p w:rsidR="003D7DFA" w:rsidRPr="00C927B9" w:rsidRDefault="003D7DFA" w:rsidP="00574791">
            <w:pPr>
              <w:pStyle w:val="TableText"/>
              <w:keepNext w:val="0"/>
              <w:widowControl w:val="0"/>
              <w:tabs>
                <w:tab w:val="left" w:pos="167"/>
              </w:tabs>
              <w:rPr>
                <w:bCs w:val="0"/>
                <w:sz w:val="20"/>
                <w:szCs w:val="20"/>
              </w:rPr>
            </w:pPr>
            <w:r w:rsidRPr="00C927B9">
              <w:rPr>
                <w:bCs w:val="0"/>
                <w:sz w:val="20"/>
                <w:szCs w:val="20"/>
              </w:rPr>
              <w:tab/>
              <w:t>Serious tumour lysis syndrome</w:t>
            </w:r>
          </w:p>
        </w:tc>
        <w:tc>
          <w:tcPr>
            <w:tcW w:w="740" w:type="pct"/>
            <w:tcBorders>
              <w:bottom w:val="single" w:sz="4" w:space="0" w:color="auto"/>
            </w:tcBorders>
            <w:shd w:val="clear" w:color="auto" w:fill="auto"/>
            <w:vAlign w:val="center"/>
          </w:tcPr>
          <w:p w:rsidR="003D7DFA" w:rsidRPr="00C927B9" w:rsidRDefault="003D7DFA" w:rsidP="00574791">
            <w:pPr>
              <w:pStyle w:val="TableText"/>
              <w:keepNext w:val="0"/>
              <w:widowControl w:val="0"/>
              <w:ind w:left="-59" w:right="-63"/>
              <w:jc w:val="center"/>
              <w:rPr>
                <w:bCs w:val="0"/>
                <w:sz w:val="20"/>
                <w:szCs w:val="20"/>
              </w:rPr>
            </w:pPr>
            <w:r w:rsidRPr="00C927B9">
              <w:rPr>
                <w:bCs w:val="0"/>
                <w:sz w:val="20"/>
                <w:szCs w:val="20"/>
              </w:rPr>
              <w:t>2 (0.7%)</w:t>
            </w:r>
          </w:p>
        </w:tc>
        <w:tc>
          <w:tcPr>
            <w:tcW w:w="741" w:type="pct"/>
            <w:tcBorders>
              <w:bottom w:val="single" w:sz="4" w:space="0" w:color="auto"/>
            </w:tcBorders>
            <w:shd w:val="clear" w:color="auto" w:fill="auto"/>
            <w:vAlign w:val="center"/>
          </w:tcPr>
          <w:p w:rsidR="003D7DFA" w:rsidRPr="00C927B9" w:rsidRDefault="003D7DFA" w:rsidP="00574791">
            <w:pPr>
              <w:pStyle w:val="TableText"/>
              <w:keepNext w:val="0"/>
              <w:widowControl w:val="0"/>
              <w:ind w:left="-59" w:right="-63"/>
              <w:jc w:val="center"/>
              <w:rPr>
                <w:bCs w:val="0"/>
                <w:sz w:val="20"/>
                <w:szCs w:val="20"/>
              </w:rPr>
            </w:pPr>
            <w:r w:rsidRPr="00C927B9">
              <w:rPr>
                <w:bCs w:val="0"/>
                <w:sz w:val="20"/>
                <w:szCs w:val="20"/>
              </w:rPr>
              <w:t>0 (0%)</w:t>
            </w:r>
          </w:p>
        </w:tc>
        <w:tc>
          <w:tcPr>
            <w:tcW w:w="740" w:type="pct"/>
            <w:tcBorders>
              <w:bottom w:val="single" w:sz="4" w:space="0" w:color="auto"/>
            </w:tcBorders>
            <w:shd w:val="clear" w:color="auto" w:fill="auto"/>
          </w:tcPr>
          <w:p w:rsidR="003D7DFA" w:rsidRPr="00C927B9" w:rsidRDefault="003D7DFA" w:rsidP="00574791">
            <w:pPr>
              <w:pStyle w:val="TableText"/>
              <w:keepNext w:val="0"/>
              <w:widowControl w:val="0"/>
              <w:ind w:left="-59" w:right="-63"/>
              <w:jc w:val="center"/>
              <w:rPr>
                <w:bCs w:val="0"/>
                <w:sz w:val="20"/>
                <w:szCs w:val="20"/>
              </w:rPr>
            </w:pPr>
            <w:r w:rsidRPr="00C927B9">
              <w:rPr>
                <w:bCs w:val="0"/>
                <w:sz w:val="20"/>
                <w:szCs w:val="20"/>
              </w:rPr>
              <w:t>2 (1.4%)</w:t>
            </w:r>
          </w:p>
        </w:tc>
        <w:tc>
          <w:tcPr>
            <w:tcW w:w="738" w:type="pct"/>
            <w:tcBorders>
              <w:bottom w:val="single" w:sz="4" w:space="0" w:color="auto"/>
            </w:tcBorders>
            <w:shd w:val="clear" w:color="auto" w:fill="auto"/>
          </w:tcPr>
          <w:p w:rsidR="003D7DFA" w:rsidRPr="00C927B9" w:rsidRDefault="003D7DFA" w:rsidP="00574791">
            <w:pPr>
              <w:pStyle w:val="TableText"/>
              <w:keepNext w:val="0"/>
              <w:widowControl w:val="0"/>
              <w:ind w:left="-59" w:right="-63"/>
              <w:jc w:val="center"/>
              <w:rPr>
                <w:bCs w:val="0"/>
                <w:sz w:val="20"/>
                <w:szCs w:val="20"/>
              </w:rPr>
            </w:pPr>
            <w:r w:rsidRPr="00C927B9">
              <w:rPr>
                <w:bCs w:val="0"/>
                <w:sz w:val="20"/>
                <w:szCs w:val="20"/>
              </w:rPr>
              <w:t>0 (0.0%)</w:t>
            </w:r>
          </w:p>
        </w:tc>
      </w:tr>
    </w:tbl>
    <w:p w:rsidR="003D7DFA" w:rsidRPr="00C927B9" w:rsidRDefault="003D7DFA" w:rsidP="003D7DFA">
      <w:pPr>
        <w:pStyle w:val="TableFigureFooter"/>
        <w:rPr>
          <w:lang w:val="en-AU"/>
        </w:rPr>
      </w:pPr>
      <w:r w:rsidRPr="00C927B9">
        <w:rPr>
          <w:lang w:val="en-AU"/>
        </w:rPr>
        <w:t xml:space="preserve">Source: Table 2-60, p.165 of the submission. </w:t>
      </w:r>
    </w:p>
    <w:p w:rsidR="003D7DFA" w:rsidRPr="00C927B9" w:rsidRDefault="003D7DFA" w:rsidP="003D7DFA">
      <w:pPr>
        <w:pStyle w:val="TableFigureFooter"/>
        <w:rPr>
          <w:lang w:val="en-AU"/>
        </w:rPr>
      </w:pPr>
      <w:r w:rsidRPr="00C927B9">
        <w:rPr>
          <w:lang w:val="en-AU"/>
        </w:rPr>
        <w:t xml:space="preserve">Abbreviations: AE, adverse event; AZA, azacitidine; </w:t>
      </w:r>
      <w:proofErr w:type="spellStart"/>
      <w:r w:rsidRPr="00C927B9">
        <w:rPr>
          <w:lang w:val="en-AU"/>
        </w:rPr>
        <w:t>Discont</w:t>
      </w:r>
      <w:proofErr w:type="spellEnd"/>
      <w:r w:rsidRPr="00C927B9">
        <w:rPr>
          <w:lang w:val="en-AU"/>
        </w:rPr>
        <w:t xml:space="preserve">, discontinued; LoDAC, low intensity cytarabine; </w:t>
      </w:r>
      <w:proofErr w:type="spellStart"/>
      <w:r w:rsidRPr="00C927B9">
        <w:rPr>
          <w:lang w:val="en-AU"/>
        </w:rPr>
        <w:t>Pbo</w:t>
      </w:r>
      <w:proofErr w:type="spellEnd"/>
      <w:r w:rsidRPr="00C927B9">
        <w:rPr>
          <w:lang w:val="en-AU"/>
        </w:rPr>
        <w:t>, placebo; SAS, safety analysis set; VTX, venetoclax.</w:t>
      </w:r>
    </w:p>
    <w:p w:rsidR="003D7DFA" w:rsidRPr="00C927B9" w:rsidRDefault="003D7DFA" w:rsidP="003D7DFA">
      <w:pPr>
        <w:pStyle w:val="ExecSumBodyText"/>
        <w:rPr>
          <w:lang w:val="en-AU"/>
        </w:rPr>
      </w:pPr>
      <w:bookmarkStart w:id="18" w:name="_Ref68881403"/>
      <w:r w:rsidRPr="00C927B9">
        <w:rPr>
          <w:lang w:val="en-AU"/>
        </w:rPr>
        <w:t xml:space="preserve">In </w:t>
      </w:r>
      <w:r w:rsidR="00812FFB" w:rsidRPr="00C927B9">
        <w:rPr>
          <w:lang w:val="en-AU"/>
        </w:rPr>
        <w:t>T</w:t>
      </w:r>
      <w:r w:rsidRPr="00C927B9">
        <w:rPr>
          <w:lang w:val="en-AU"/>
        </w:rPr>
        <w:t>rial</w:t>
      </w:r>
      <w:r w:rsidR="00225CAF" w:rsidRPr="00C927B9">
        <w:rPr>
          <w:lang w:val="en-AU"/>
        </w:rPr>
        <w:t>s</w:t>
      </w:r>
      <w:r w:rsidRPr="00C927B9">
        <w:rPr>
          <w:lang w:val="en-AU"/>
        </w:rPr>
        <w:t xml:space="preserve"> M15-656</w:t>
      </w:r>
      <w:r w:rsidR="00225CAF" w:rsidRPr="00C927B9">
        <w:rPr>
          <w:lang w:val="en-AU"/>
        </w:rPr>
        <w:t xml:space="preserve"> and M16-043</w:t>
      </w:r>
      <w:r w:rsidRPr="00C927B9">
        <w:rPr>
          <w:lang w:val="en-AU"/>
        </w:rPr>
        <w:t xml:space="preserve">, larger proportions of patients treated with venetoclax with azacitidine </w:t>
      </w:r>
      <w:r w:rsidR="00146E09" w:rsidRPr="00C927B9">
        <w:rPr>
          <w:lang w:val="en-AU"/>
        </w:rPr>
        <w:t>or</w:t>
      </w:r>
      <w:r w:rsidR="00250C9B" w:rsidRPr="00C927B9">
        <w:rPr>
          <w:lang w:val="en-AU"/>
        </w:rPr>
        <w:t xml:space="preserve"> venetoclax with</w:t>
      </w:r>
      <w:r w:rsidR="00146E09" w:rsidRPr="00C927B9">
        <w:rPr>
          <w:lang w:val="en-AU"/>
        </w:rPr>
        <w:t xml:space="preserve"> LoDAC </w:t>
      </w:r>
      <w:r w:rsidRPr="00C927B9">
        <w:rPr>
          <w:lang w:val="en-AU"/>
        </w:rPr>
        <w:t xml:space="preserve">reported Grade </w:t>
      </w:r>
      <w:r w:rsidR="0044190F" w:rsidRPr="00C927B9">
        <w:rPr>
          <w:lang w:val="en-AU"/>
        </w:rPr>
        <w:t>≥</w:t>
      </w:r>
      <w:r w:rsidRPr="00C927B9">
        <w:rPr>
          <w:lang w:val="en-AU"/>
        </w:rPr>
        <w:t xml:space="preserve">3 adverse events, serious adverse events, adverse events leading to discontinuation and deaths compared to azacitidine </w:t>
      </w:r>
      <w:r w:rsidR="00225CAF" w:rsidRPr="00C927B9">
        <w:rPr>
          <w:lang w:val="en-AU"/>
        </w:rPr>
        <w:t>or LoDAC monotherapies</w:t>
      </w:r>
      <w:r w:rsidRPr="00C927B9">
        <w:rPr>
          <w:lang w:val="en-AU"/>
        </w:rPr>
        <w:t>.</w:t>
      </w:r>
      <w:bookmarkEnd w:id="18"/>
    </w:p>
    <w:p w:rsidR="007471AB" w:rsidRPr="00C927B9" w:rsidRDefault="00284D8C" w:rsidP="00225CAF">
      <w:pPr>
        <w:pStyle w:val="ExecSumBodyText"/>
        <w:rPr>
          <w:lang w:val="en-AU"/>
        </w:rPr>
      </w:pPr>
      <w:r w:rsidRPr="00C927B9">
        <w:rPr>
          <w:lang w:val="en-AU"/>
        </w:rPr>
        <w:t>In Trial M15-656, t</w:t>
      </w:r>
      <w:r w:rsidR="007471AB" w:rsidRPr="00C927B9">
        <w:rPr>
          <w:lang w:val="en-AU"/>
        </w:rPr>
        <w:t xml:space="preserve">he most frequently reported adverse events of any grade reported by ≥10% of patients were thrombocytopenia (VTX+AZA 51% vs AZA 41%), neutropenia (45% vs 30%), nausea (44% vs 35%), febrile neutropenia (42% vs 19%), diarrhoea (41% vs 33%), </w:t>
      </w:r>
      <w:r w:rsidR="00FD2694" w:rsidRPr="00C927B9">
        <w:rPr>
          <w:lang w:val="en-AU"/>
        </w:rPr>
        <w:t>and haemorrhage</w:t>
      </w:r>
      <w:r w:rsidR="007471AB" w:rsidRPr="00C927B9">
        <w:rPr>
          <w:lang w:val="en-AU"/>
        </w:rPr>
        <w:t xml:space="preserve"> (38% vs 37%</w:t>
      </w:r>
      <w:r w:rsidRPr="00C927B9">
        <w:rPr>
          <w:lang w:val="en-AU"/>
        </w:rPr>
        <w:t>).</w:t>
      </w:r>
    </w:p>
    <w:p w:rsidR="007471AB" w:rsidRPr="00C927B9" w:rsidRDefault="00D80DE4" w:rsidP="00D80DE4">
      <w:pPr>
        <w:pStyle w:val="ExecSumBodyText"/>
        <w:rPr>
          <w:lang w:val="en-AU"/>
        </w:rPr>
      </w:pPr>
      <w:r w:rsidRPr="00C927B9">
        <w:rPr>
          <w:lang w:val="en-AU"/>
        </w:rPr>
        <w:t>In Trial M16-043, t</w:t>
      </w:r>
      <w:r w:rsidR="007471AB" w:rsidRPr="00C927B9">
        <w:rPr>
          <w:lang w:val="en-AU"/>
        </w:rPr>
        <w:t>he most frequently reported adverse events of any grade reported by ≥10% of patients were neutropenia (</w:t>
      </w:r>
      <w:proofErr w:type="spellStart"/>
      <w:r w:rsidR="007471AB" w:rsidRPr="00C927B9">
        <w:rPr>
          <w:lang w:val="en-AU"/>
        </w:rPr>
        <w:t>VTX+LoDAC</w:t>
      </w:r>
      <w:proofErr w:type="spellEnd"/>
      <w:r w:rsidR="007471AB" w:rsidRPr="00C927B9">
        <w:rPr>
          <w:lang w:val="en-AU"/>
        </w:rPr>
        <w:t xml:space="preserve"> 53% vs LoDAC 22%), thrombocytopenia (50% vs 46%), nausea (43% vs 31%), haemorrhage (42% vs 31%), diarrhoea (33% vs 18%), </w:t>
      </w:r>
      <w:r w:rsidR="00FD2694" w:rsidRPr="00C927B9">
        <w:rPr>
          <w:lang w:val="en-AU"/>
        </w:rPr>
        <w:t>and febrile</w:t>
      </w:r>
      <w:r w:rsidR="007471AB" w:rsidRPr="00C927B9">
        <w:rPr>
          <w:lang w:val="en-AU"/>
        </w:rPr>
        <w:t xml:space="preserve"> neutropenia (32% vs 29%).</w:t>
      </w:r>
    </w:p>
    <w:p w:rsidR="003D7DFA" w:rsidRPr="00C927B9" w:rsidRDefault="003D7DFA" w:rsidP="003D7DFA">
      <w:pPr>
        <w:pStyle w:val="ExecSumBodyText"/>
        <w:rPr>
          <w:lang w:val="en-AU"/>
        </w:rPr>
      </w:pPr>
      <w:r w:rsidRPr="00C927B9">
        <w:rPr>
          <w:lang w:val="en-AU"/>
        </w:rPr>
        <w:lastRenderedPageBreak/>
        <w:t xml:space="preserve">In </w:t>
      </w:r>
      <w:r w:rsidR="001B057E" w:rsidRPr="00C927B9">
        <w:rPr>
          <w:lang w:val="en-AU"/>
        </w:rPr>
        <w:t>T</w:t>
      </w:r>
      <w:r w:rsidRPr="00C927B9">
        <w:rPr>
          <w:lang w:val="en-AU"/>
        </w:rPr>
        <w:t>rial M15-656</w:t>
      </w:r>
      <w:r w:rsidR="00146E09" w:rsidRPr="00C927B9">
        <w:rPr>
          <w:lang w:val="en-AU"/>
        </w:rPr>
        <w:t>,</w:t>
      </w:r>
      <w:r w:rsidRPr="00C927B9">
        <w:rPr>
          <w:lang w:val="en-AU"/>
        </w:rPr>
        <w:t xml:space="preserve"> three patients treated with venetoclax with azacitidine experienced TLS (1.1%). In Trial M16-043</w:t>
      </w:r>
      <w:r w:rsidR="00146E09" w:rsidRPr="00C927B9">
        <w:rPr>
          <w:lang w:val="en-AU"/>
        </w:rPr>
        <w:t>,</w:t>
      </w:r>
      <w:r w:rsidRPr="00C927B9">
        <w:rPr>
          <w:lang w:val="en-AU"/>
        </w:rPr>
        <w:t xml:space="preserve"> eight patients treated with venetoclax with LoDAC experienced TLS (5.6%), with two TLS</w:t>
      </w:r>
      <w:r w:rsidR="00284D8C" w:rsidRPr="00C927B9">
        <w:rPr>
          <w:lang w:val="en-AU"/>
        </w:rPr>
        <w:t>-</w:t>
      </w:r>
      <w:r w:rsidRPr="00C927B9">
        <w:rPr>
          <w:lang w:val="en-AU"/>
        </w:rPr>
        <w:t>related deaths.</w:t>
      </w:r>
    </w:p>
    <w:p w:rsidR="003D7DFA" w:rsidRPr="00C927B9" w:rsidRDefault="00582B87" w:rsidP="003D7DFA">
      <w:pPr>
        <w:pStyle w:val="ExecSumBodyText"/>
        <w:rPr>
          <w:lang w:val="en-AU"/>
        </w:rPr>
      </w:pPr>
      <w:r w:rsidRPr="00C927B9">
        <w:rPr>
          <w:lang w:val="en-AU"/>
        </w:rPr>
        <w:t>Table 10</w:t>
      </w:r>
      <w:r w:rsidR="003D7DFA" w:rsidRPr="00C927B9">
        <w:rPr>
          <w:lang w:val="en-AU"/>
        </w:rPr>
        <w:t xml:space="preserve"> summarises the most frequently reported adverse events Grade ≥3 experienced by ≥5% of patients in </w:t>
      </w:r>
      <w:r w:rsidR="00574791" w:rsidRPr="00C927B9">
        <w:rPr>
          <w:lang w:val="en-AU"/>
        </w:rPr>
        <w:t>T</w:t>
      </w:r>
      <w:r w:rsidR="003D7DFA" w:rsidRPr="00C927B9">
        <w:rPr>
          <w:lang w:val="en-AU"/>
        </w:rPr>
        <w:t>rials M15-656 and M16-043.</w:t>
      </w:r>
    </w:p>
    <w:p w:rsidR="003D7DFA" w:rsidRPr="00C927B9" w:rsidRDefault="0060344B" w:rsidP="0060344B">
      <w:pPr>
        <w:pStyle w:val="Caption"/>
        <w:rPr>
          <w:lang w:val="en-AU"/>
        </w:rPr>
      </w:pPr>
      <w:bookmarkStart w:id="19" w:name="_Ref64037814"/>
      <w:r w:rsidRPr="00C927B9">
        <w:rPr>
          <w:lang w:val="en-AU"/>
        </w:rPr>
        <w:t xml:space="preserve">Table </w:t>
      </w:r>
      <w:r w:rsidR="00DB3600" w:rsidRPr="00C927B9">
        <w:rPr>
          <w:lang w:val="en-AU"/>
        </w:rPr>
        <w:t>10</w:t>
      </w:r>
      <w:bookmarkEnd w:id="19"/>
      <w:r w:rsidR="003D7DFA" w:rsidRPr="00C927B9">
        <w:rPr>
          <w:lang w:val="en-AU"/>
        </w:rPr>
        <w:t>: Treatment emergent adverse events of interest and summarised Grade ≥ 3 adverse events reported in M15-656 (SAS Group 1 &amp; 2; 4 Jan 2020 cut-off) and M16-043 (SAS; 6 months follow up)</w:t>
      </w:r>
    </w:p>
    <w:tbl>
      <w:tblPr>
        <w:tblStyle w:val="newstyle1"/>
        <w:tblW w:w="5000" w:type="pct"/>
        <w:tblLook w:val="04A0" w:firstRow="1" w:lastRow="0" w:firstColumn="1" w:lastColumn="0" w:noHBand="0" w:noVBand="1"/>
        <w:tblCaption w:val="Table 10: Treatment emergent adverse events of interest and summarised Grade ≥ 3 adverse events reported in M15-656 (SAS Group 1 &amp; 2; 4 Jan 2020 cut-off) and M16-043 (SAS; 6 months follow up)"/>
      </w:tblPr>
      <w:tblGrid>
        <w:gridCol w:w="3675"/>
        <w:gridCol w:w="1335"/>
        <w:gridCol w:w="1336"/>
        <w:gridCol w:w="1335"/>
        <w:gridCol w:w="1336"/>
      </w:tblGrid>
      <w:tr w:rsidR="003D7DFA" w:rsidRPr="00C927B9" w:rsidTr="00284D8C">
        <w:trPr>
          <w:tblHeader/>
        </w:trPr>
        <w:tc>
          <w:tcPr>
            <w:tcW w:w="2038" w:type="pct"/>
            <w:tcBorders>
              <w:bottom w:val="nil"/>
            </w:tcBorders>
            <w:shd w:val="clear" w:color="auto" w:fill="auto"/>
          </w:tcPr>
          <w:p w:rsidR="003D7DFA" w:rsidRPr="00C927B9" w:rsidRDefault="003D7DFA" w:rsidP="005A5E60">
            <w:pPr>
              <w:pStyle w:val="TableText"/>
              <w:widowControl w:val="0"/>
              <w:tabs>
                <w:tab w:val="left" w:pos="167"/>
              </w:tabs>
              <w:rPr>
                <w:sz w:val="20"/>
                <w:szCs w:val="20"/>
              </w:rPr>
            </w:pPr>
          </w:p>
        </w:tc>
        <w:tc>
          <w:tcPr>
            <w:tcW w:w="1481" w:type="pct"/>
            <w:gridSpan w:val="2"/>
            <w:shd w:val="clear" w:color="auto" w:fill="auto"/>
          </w:tcPr>
          <w:p w:rsidR="003D7DFA" w:rsidRPr="00C927B9" w:rsidRDefault="003D7DFA" w:rsidP="005A5E60">
            <w:pPr>
              <w:pStyle w:val="TableText"/>
              <w:widowControl w:val="0"/>
              <w:ind w:left="-59" w:right="-63"/>
              <w:jc w:val="center"/>
              <w:rPr>
                <w:b/>
                <w:bCs w:val="0"/>
                <w:szCs w:val="20"/>
              </w:rPr>
            </w:pPr>
            <w:r w:rsidRPr="00C927B9">
              <w:rPr>
                <w:b/>
                <w:bCs w:val="0"/>
                <w:sz w:val="20"/>
                <w:szCs w:val="20"/>
              </w:rPr>
              <w:t xml:space="preserve">M15-656 </w:t>
            </w:r>
          </w:p>
        </w:tc>
        <w:tc>
          <w:tcPr>
            <w:tcW w:w="1481" w:type="pct"/>
            <w:gridSpan w:val="2"/>
            <w:shd w:val="clear" w:color="auto" w:fill="auto"/>
          </w:tcPr>
          <w:p w:rsidR="003D7DFA" w:rsidRPr="00C927B9" w:rsidRDefault="003D7DFA" w:rsidP="005A5E60">
            <w:pPr>
              <w:pStyle w:val="TableText"/>
              <w:widowControl w:val="0"/>
              <w:ind w:left="-59" w:right="-63"/>
              <w:jc w:val="center"/>
              <w:rPr>
                <w:b/>
                <w:bCs w:val="0"/>
                <w:sz w:val="20"/>
                <w:szCs w:val="20"/>
              </w:rPr>
            </w:pPr>
            <w:r w:rsidRPr="00C927B9">
              <w:rPr>
                <w:b/>
                <w:bCs w:val="0"/>
                <w:sz w:val="20"/>
                <w:szCs w:val="20"/>
              </w:rPr>
              <w:t>M16-043</w:t>
            </w:r>
          </w:p>
        </w:tc>
      </w:tr>
      <w:tr w:rsidR="003D7DFA" w:rsidRPr="00C927B9" w:rsidTr="00284D8C">
        <w:trPr>
          <w:tblHeader/>
        </w:trPr>
        <w:tc>
          <w:tcPr>
            <w:tcW w:w="2038" w:type="pct"/>
            <w:tcBorders>
              <w:top w:val="nil"/>
              <w:bottom w:val="single" w:sz="4" w:space="0" w:color="auto"/>
            </w:tcBorders>
            <w:shd w:val="clear" w:color="auto" w:fill="auto"/>
          </w:tcPr>
          <w:p w:rsidR="003D7DFA" w:rsidRPr="00C927B9" w:rsidRDefault="003D7DFA" w:rsidP="005A5E60">
            <w:pPr>
              <w:pStyle w:val="TableText"/>
              <w:widowControl w:val="0"/>
              <w:tabs>
                <w:tab w:val="left" w:pos="167"/>
              </w:tabs>
              <w:rPr>
                <w:sz w:val="20"/>
                <w:szCs w:val="20"/>
              </w:rPr>
            </w:pPr>
          </w:p>
        </w:tc>
        <w:tc>
          <w:tcPr>
            <w:tcW w:w="740" w:type="pct"/>
            <w:tcBorders>
              <w:bottom w:val="single" w:sz="4" w:space="0" w:color="auto"/>
            </w:tcBorders>
            <w:shd w:val="clear" w:color="auto" w:fill="auto"/>
          </w:tcPr>
          <w:p w:rsidR="003D7DFA" w:rsidRPr="00C927B9" w:rsidRDefault="003D7DFA" w:rsidP="005A5E60">
            <w:pPr>
              <w:pStyle w:val="TableText"/>
              <w:widowControl w:val="0"/>
              <w:ind w:left="-59" w:right="-63"/>
              <w:jc w:val="center"/>
              <w:rPr>
                <w:b/>
                <w:bCs w:val="0"/>
                <w:sz w:val="20"/>
                <w:szCs w:val="20"/>
              </w:rPr>
            </w:pPr>
            <w:r w:rsidRPr="00C927B9">
              <w:rPr>
                <w:b/>
                <w:bCs w:val="0"/>
                <w:sz w:val="20"/>
                <w:szCs w:val="20"/>
              </w:rPr>
              <w:t>VTX + AZA</w:t>
            </w:r>
            <w:r w:rsidRPr="00C927B9">
              <w:rPr>
                <w:b/>
                <w:bCs w:val="0"/>
                <w:sz w:val="20"/>
                <w:szCs w:val="20"/>
              </w:rPr>
              <w:br/>
              <w:t>(N=283)</w:t>
            </w:r>
          </w:p>
        </w:tc>
        <w:tc>
          <w:tcPr>
            <w:tcW w:w="741" w:type="pct"/>
            <w:tcBorders>
              <w:bottom w:val="single" w:sz="4" w:space="0" w:color="auto"/>
            </w:tcBorders>
            <w:shd w:val="clear" w:color="auto" w:fill="auto"/>
          </w:tcPr>
          <w:p w:rsidR="003D7DFA" w:rsidRPr="00C927B9" w:rsidRDefault="003D7DFA" w:rsidP="005A5E60">
            <w:pPr>
              <w:pStyle w:val="TableText"/>
              <w:widowControl w:val="0"/>
              <w:ind w:left="-59" w:right="-63"/>
              <w:jc w:val="center"/>
              <w:rPr>
                <w:b/>
                <w:bCs w:val="0"/>
                <w:sz w:val="20"/>
                <w:szCs w:val="20"/>
              </w:rPr>
            </w:pPr>
            <w:proofErr w:type="spellStart"/>
            <w:r w:rsidRPr="00C927B9">
              <w:rPr>
                <w:b/>
                <w:bCs w:val="0"/>
                <w:sz w:val="20"/>
                <w:szCs w:val="20"/>
              </w:rPr>
              <w:t>Pbo</w:t>
            </w:r>
            <w:proofErr w:type="spellEnd"/>
            <w:r w:rsidRPr="00C927B9">
              <w:rPr>
                <w:b/>
                <w:bCs w:val="0"/>
                <w:sz w:val="20"/>
                <w:szCs w:val="20"/>
              </w:rPr>
              <w:t xml:space="preserve"> + AZA</w:t>
            </w:r>
            <w:r w:rsidRPr="00C927B9">
              <w:rPr>
                <w:b/>
                <w:bCs w:val="0"/>
                <w:sz w:val="20"/>
                <w:szCs w:val="20"/>
              </w:rPr>
              <w:br/>
              <w:t>(N=144)</w:t>
            </w:r>
          </w:p>
        </w:tc>
        <w:tc>
          <w:tcPr>
            <w:tcW w:w="740" w:type="pct"/>
            <w:tcBorders>
              <w:bottom w:val="single" w:sz="4" w:space="0" w:color="auto"/>
            </w:tcBorders>
            <w:shd w:val="clear" w:color="auto" w:fill="auto"/>
          </w:tcPr>
          <w:p w:rsidR="003D7DFA" w:rsidRPr="00C927B9" w:rsidRDefault="003D7DFA" w:rsidP="005A5E60">
            <w:pPr>
              <w:pStyle w:val="TableText"/>
              <w:widowControl w:val="0"/>
              <w:ind w:left="-59" w:right="-63"/>
              <w:jc w:val="center"/>
              <w:rPr>
                <w:b/>
                <w:bCs w:val="0"/>
                <w:sz w:val="20"/>
                <w:szCs w:val="20"/>
              </w:rPr>
            </w:pPr>
            <w:r w:rsidRPr="00C927B9">
              <w:rPr>
                <w:b/>
                <w:bCs w:val="0"/>
                <w:sz w:val="20"/>
                <w:szCs w:val="20"/>
              </w:rPr>
              <w:t>VTX + LoDAC</w:t>
            </w:r>
            <w:r w:rsidRPr="00C927B9">
              <w:rPr>
                <w:b/>
                <w:bCs w:val="0"/>
                <w:sz w:val="20"/>
                <w:szCs w:val="20"/>
              </w:rPr>
              <w:br/>
              <w:t>(N=142)</w:t>
            </w:r>
          </w:p>
        </w:tc>
        <w:tc>
          <w:tcPr>
            <w:tcW w:w="741" w:type="pct"/>
            <w:tcBorders>
              <w:bottom w:val="single" w:sz="4" w:space="0" w:color="auto"/>
            </w:tcBorders>
            <w:shd w:val="clear" w:color="auto" w:fill="auto"/>
          </w:tcPr>
          <w:p w:rsidR="003D7DFA" w:rsidRPr="00C927B9" w:rsidRDefault="003D7DFA" w:rsidP="005A5E60">
            <w:pPr>
              <w:pStyle w:val="TableText"/>
              <w:widowControl w:val="0"/>
              <w:ind w:left="-59" w:right="-63"/>
              <w:jc w:val="center"/>
              <w:rPr>
                <w:b/>
                <w:bCs w:val="0"/>
                <w:sz w:val="20"/>
                <w:szCs w:val="20"/>
              </w:rPr>
            </w:pPr>
            <w:proofErr w:type="spellStart"/>
            <w:r w:rsidRPr="00C927B9">
              <w:rPr>
                <w:b/>
                <w:bCs w:val="0"/>
                <w:sz w:val="20"/>
                <w:szCs w:val="20"/>
              </w:rPr>
              <w:t>Pbo</w:t>
            </w:r>
            <w:proofErr w:type="spellEnd"/>
            <w:r w:rsidRPr="00C927B9">
              <w:rPr>
                <w:b/>
                <w:bCs w:val="0"/>
                <w:sz w:val="20"/>
                <w:szCs w:val="20"/>
              </w:rPr>
              <w:t xml:space="preserve"> + LoDAC</w:t>
            </w:r>
            <w:r w:rsidRPr="00C927B9">
              <w:rPr>
                <w:b/>
                <w:bCs w:val="0"/>
                <w:sz w:val="20"/>
                <w:szCs w:val="20"/>
              </w:rPr>
              <w:br/>
              <w:t>(N=68)</w:t>
            </w:r>
          </w:p>
        </w:tc>
      </w:tr>
      <w:tr w:rsidR="003D7DFA" w:rsidRPr="00C927B9" w:rsidTr="00284D8C">
        <w:tc>
          <w:tcPr>
            <w:tcW w:w="2038" w:type="pct"/>
            <w:tcBorders>
              <w:bottom w:val="single" w:sz="4" w:space="0" w:color="auto"/>
            </w:tcBorders>
            <w:shd w:val="clear" w:color="auto" w:fill="auto"/>
          </w:tcPr>
          <w:p w:rsidR="003D7DFA" w:rsidRPr="00C927B9" w:rsidRDefault="003D7DFA" w:rsidP="005A5E60">
            <w:pPr>
              <w:pStyle w:val="TableText"/>
              <w:widowControl w:val="0"/>
              <w:tabs>
                <w:tab w:val="left" w:pos="167"/>
              </w:tabs>
              <w:rPr>
                <w:bCs w:val="0"/>
                <w:szCs w:val="20"/>
              </w:rPr>
            </w:pPr>
            <w:r w:rsidRPr="00C927B9">
              <w:rPr>
                <w:bCs w:val="0"/>
                <w:sz w:val="20"/>
                <w:szCs w:val="20"/>
              </w:rPr>
              <w:t xml:space="preserve">Blood and lymphatic system disorders </w:t>
            </w:r>
          </w:p>
        </w:tc>
        <w:tc>
          <w:tcPr>
            <w:tcW w:w="740" w:type="pct"/>
            <w:tcBorders>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233 (82.3%)</w:t>
            </w:r>
          </w:p>
        </w:tc>
        <w:tc>
          <w:tcPr>
            <w:tcW w:w="741" w:type="pct"/>
            <w:tcBorders>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98 (68.1%)</w:t>
            </w:r>
          </w:p>
        </w:tc>
        <w:tc>
          <w:tcPr>
            <w:tcW w:w="740" w:type="pct"/>
            <w:tcBorders>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111 (78.2%)</w:t>
            </w:r>
          </w:p>
        </w:tc>
        <w:tc>
          <w:tcPr>
            <w:tcW w:w="741" w:type="pct"/>
            <w:tcBorders>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50 (73.5%)</w:t>
            </w:r>
          </w:p>
        </w:tc>
      </w:tr>
      <w:tr w:rsidR="003D7DFA" w:rsidRPr="00C927B9" w:rsidTr="00284D8C">
        <w:tc>
          <w:tcPr>
            <w:tcW w:w="2038" w:type="pct"/>
            <w:tcBorders>
              <w:bottom w:val="single" w:sz="4" w:space="0" w:color="auto"/>
            </w:tcBorders>
            <w:shd w:val="clear" w:color="auto" w:fill="auto"/>
          </w:tcPr>
          <w:p w:rsidR="003D7DFA" w:rsidRPr="00C927B9" w:rsidRDefault="003D7DFA" w:rsidP="005A5E60">
            <w:pPr>
              <w:pStyle w:val="TableText"/>
              <w:widowControl w:val="0"/>
              <w:tabs>
                <w:tab w:val="left" w:pos="167"/>
              </w:tabs>
              <w:rPr>
                <w:bCs w:val="0"/>
                <w:sz w:val="20"/>
                <w:szCs w:val="20"/>
              </w:rPr>
            </w:pPr>
            <w:r w:rsidRPr="00C927B9">
              <w:rPr>
                <w:bCs w:val="0"/>
                <w:sz w:val="20"/>
                <w:szCs w:val="20"/>
              </w:rPr>
              <w:tab/>
              <w:t>Thrombocytopenia</w:t>
            </w:r>
          </w:p>
        </w:tc>
        <w:tc>
          <w:tcPr>
            <w:tcW w:w="740" w:type="pct"/>
            <w:tcBorders>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126 (44.5%)</w:t>
            </w:r>
          </w:p>
        </w:tc>
        <w:tc>
          <w:tcPr>
            <w:tcW w:w="741" w:type="pct"/>
            <w:tcBorders>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55 (38.2%)</w:t>
            </w:r>
          </w:p>
        </w:tc>
        <w:tc>
          <w:tcPr>
            <w:tcW w:w="740" w:type="pct"/>
            <w:tcBorders>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65 (45.8%)</w:t>
            </w:r>
          </w:p>
        </w:tc>
        <w:tc>
          <w:tcPr>
            <w:tcW w:w="741" w:type="pct"/>
            <w:tcBorders>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26 (38.2%)</w:t>
            </w:r>
          </w:p>
        </w:tc>
      </w:tr>
      <w:tr w:rsidR="003D7DFA" w:rsidRPr="00C927B9" w:rsidTr="00284D8C">
        <w:tc>
          <w:tcPr>
            <w:tcW w:w="2038" w:type="pct"/>
            <w:tcBorders>
              <w:bottom w:val="single" w:sz="4" w:space="0" w:color="auto"/>
            </w:tcBorders>
            <w:shd w:val="clear" w:color="auto" w:fill="auto"/>
          </w:tcPr>
          <w:p w:rsidR="003D7DFA" w:rsidRPr="00C927B9" w:rsidRDefault="003D7DFA" w:rsidP="005A5E60">
            <w:pPr>
              <w:pStyle w:val="TableText"/>
              <w:widowControl w:val="0"/>
              <w:tabs>
                <w:tab w:val="left" w:pos="167"/>
              </w:tabs>
              <w:rPr>
                <w:bCs w:val="0"/>
                <w:sz w:val="20"/>
                <w:szCs w:val="20"/>
              </w:rPr>
            </w:pPr>
            <w:r w:rsidRPr="00C927B9">
              <w:rPr>
                <w:bCs w:val="0"/>
                <w:sz w:val="20"/>
                <w:szCs w:val="20"/>
              </w:rPr>
              <w:tab/>
              <w:t>Neutropenia</w:t>
            </w:r>
          </w:p>
        </w:tc>
        <w:tc>
          <w:tcPr>
            <w:tcW w:w="740" w:type="pct"/>
            <w:tcBorders>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119 (42.0%)</w:t>
            </w:r>
          </w:p>
        </w:tc>
        <w:tc>
          <w:tcPr>
            <w:tcW w:w="741" w:type="pct"/>
            <w:tcBorders>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41 (28.5%)</w:t>
            </w:r>
          </w:p>
        </w:tc>
        <w:tc>
          <w:tcPr>
            <w:tcW w:w="740" w:type="pct"/>
            <w:tcBorders>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69 (48.6%)</w:t>
            </w:r>
          </w:p>
        </w:tc>
        <w:tc>
          <w:tcPr>
            <w:tcW w:w="741" w:type="pct"/>
            <w:tcBorders>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12 (17.6%)</w:t>
            </w:r>
          </w:p>
        </w:tc>
      </w:tr>
      <w:tr w:rsidR="003D7DFA" w:rsidRPr="00C927B9" w:rsidTr="00284D8C">
        <w:tc>
          <w:tcPr>
            <w:tcW w:w="2038" w:type="pct"/>
            <w:tcBorders>
              <w:top w:val="single" w:sz="4" w:space="0" w:color="auto"/>
              <w:bottom w:val="single" w:sz="4" w:space="0" w:color="auto"/>
            </w:tcBorders>
            <w:shd w:val="clear" w:color="auto" w:fill="auto"/>
          </w:tcPr>
          <w:p w:rsidR="003D7DFA" w:rsidRPr="00C927B9" w:rsidRDefault="003D7DFA" w:rsidP="005A5E60">
            <w:pPr>
              <w:pStyle w:val="TableText"/>
              <w:widowControl w:val="0"/>
              <w:tabs>
                <w:tab w:val="left" w:pos="167"/>
              </w:tabs>
              <w:rPr>
                <w:bCs w:val="0"/>
                <w:sz w:val="20"/>
                <w:szCs w:val="20"/>
              </w:rPr>
            </w:pPr>
            <w:r w:rsidRPr="00C927B9">
              <w:rPr>
                <w:bCs w:val="0"/>
                <w:sz w:val="20"/>
                <w:szCs w:val="20"/>
              </w:rPr>
              <w:tab/>
              <w:t>Febrile neutropenia</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118 (41.7%)</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27 (18.8%)</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46 (32.4%)</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20 (29.4%)</w:t>
            </w:r>
          </w:p>
        </w:tc>
      </w:tr>
      <w:tr w:rsidR="003D7DFA" w:rsidRPr="00C927B9" w:rsidTr="00284D8C">
        <w:tc>
          <w:tcPr>
            <w:tcW w:w="2038" w:type="pct"/>
            <w:tcBorders>
              <w:top w:val="single" w:sz="4" w:space="0" w:color="auto"/>
              <w:bottom w:val="single" w:sz="4" w:space="0" w:color="auto"/>
            </w:tcBorders>
            <w:shd w:val="clear" w:color="auto" w:fill="auto"/>
          </w:tcPr>
          <w:p w:rsidR="003D7DFA" w:rsidRPr="00C927B9" w:rsidRDefault="003D7DFA" w:rsidP="005A5E60">
            <w:pPr>
              <w:pStyle w:val="TableText"/>
              <w:widowControl w:val="0"/>
              <w:tabs>
                <w:tab w:val="left" w:pos="167"/>
              </w:tabs>
              <w:rPr>
                <w:bCs w:val="0"/>
                <w:sz w:val="20"/>
                <w:szCs w:val="20"/>
              </w:rPr>
            </w:pPr>
            <w:r w:rsidRPr="00C927B9">
              <w:rPr>
                <w:bCs w:val="0"/>
                <w:sz w:val="20"/>
                <w:szCs w:val="20"/>
              </w:rPr>
              <w:tab/>
              <w:t>Anaemia</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74 (26.1%)</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29 (20.1%)</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38 (26.8%)</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15 (22.1%)</w:t>
            </w:r>
          </w:p>
        </w:tc>
      </w:tr>
      <w:tr w:rsidR="003D7DFA" w:rsidRPr="00C927B9" w:rsidTr="00284D8C">
        <w:tc>
          <w:tcPr>
            <w:tcW w:w="2038" w:type="pct"/>
            <w:tcBorders>
              <w:top w:val="single" w:sz="4" w:space="0" w:color="auto"/>
              <w:bottom w:val="single" w:sz="4" w:space="0" w:color="auto"/>
            </w:tcBorders>
            <w:shd w:val="clear" w:color="auto" w:fill="auto"/>
          </w:tcPr>
          <w:p w:rsidR="003D7DFA" w:rsidRPr="00C927B9" w:rsidRDefault="003D7DFA" w:rsidP="005A5E60">
            <w:pPr>
              <w:pStyle w:val="TableText"/>
              <w:widowControl w:val="0"/>
              <w:tabs>
                <w:tab w:val="left" w:pos="167"/>
              </w:tabs>
              <w:rPr>
                <w:bCs w:val="0"/>
                <w:sz w:val="20"/>
                <w:szCs w:val="20"/>
              </w:rPr>
            </w:pPr>
            <w:r w:rsidRPr="00C927B9">
              <w:rPr>
                <w:bCs w:val="0"/>
                <w:sz w:val="20"/>
                <w:szCs w:val="20"/>
              </w:rPr>
              <w:t>Infections and infestations</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180 (63.6%)</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74 (51.4%)</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61 (43.0%)</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34 (50.0%)</w:t>
            </w:r>
          </w:p>
        </w:tc>
      </w:tr>
      <w:tr w:rsidR="003D7DFA" w:rsidRPr="00C927B9" w:rsidTr="00284D8C">
        <w:tc>
          <w:tcPr>
            <w:tcW w:w="2038" w:type="pct"/>
            <w:tcBorders>
              <w:top w:val="single" w:sz="4" w:space="0" w:color="auto"/>
              <w:bottom w:val="single" w:sz="4" w:space="0" w:color="auto"/>
            </w:tcBorders>
            <w:shd w:val="clear" w:color="auto" w:fill="auto"/>
          </w:tcPr>
          <w:p w:rsidR="003D7DFA" w:rsidRPr="00C927B9" w:rsidRDefault="003D7DFA" w:rsidP="005A5E60">
            <w:pPr>
              <w:pStyle w:val="TableText"/>
              <w:widowControl w:val="0"/>
              <w:tabs>
                <w:tab w:val="left" w:pos="167"/>
              </w:tabs>
              <w:rPr>
                <w:bCs w:val="0"/>
                <w:sz w:val="20"/>
                <w:szCs w:val="20"/>
              </w:rPr>
            </w:pPr>
            <w:r w:rsidRPr="00C927B9">
              <w:rPr>
                <w:bCs w:val="0"/>
                <w:sz w:val="20"/>
                <w:szCs w:val="20"/>
              </w:rPr>
              <w:tab/>
              <w:t>Pneumonia</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56 (19.8%)</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36 (25.0%)</w:t>
            </w:r>
          </w:p>
        </w:tc>
        <w:tc>
          <w:tcPr>
            <w:tcW w:w="740" w:type="pct"/>
            <w:tcBorders>
              <w:top w:val="single" w:sz="4" w:space="0" w:color="auto"/>
              <w:bottom w:val="single" w:sz="4" w:space="0" w:color="auto"/>
            </w:tcBorders>
            <w:shd w:val="clear" w:color="auto" w:fill="auto"/>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31 (21.8%)</w:t>
            </w:r>
          </w:p>
        </w:tc>
        <w:tc>
          <w:tcPr>
            <w:tcW w:w="741" w:type="pct"/>
            <w:tcBorders>
              <w:top w:val="single" w:sz="4" w:space="0" w:color="auto"/>
              <w:bottom w:val="single" w:sz="4" w:space="0" w:color="auto"/>
            </w:tcBorders>
            <w:shd w:val="clear" w:color="auto" w:fill="auto"/>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11 (16.2%)</w:t>
            </w:r>
          </w:p>
        </w:tc>
      </w:tr>
      <w:tr w:rsidR="003D7DFA" w:rsidRPr="00C927B9" w:rsidTr="00284D8C">
        <w:tc>
          <w:tcPr>
            <w:tcW w:w="2038" w:type="pct"/>
            <w:tcBorders>
              <w:top w:val="single" w:sz="4" w:space="0" w:color="auto"/>
              <w:bottom w:val="single" w:sz="4" w:space="0" w:color="auto"/>
            </w:tcBorders>
            <w:shd w:val="clear" w:color="auto" w:fill="auto"/>
          </w:tcPr>
          <w:p w:rsidR="003D7DFA" w:rsidRPr="00C927B9" w:rsidRDefault="003D7DFA" w:rsidP="005A5E60">
            <w:pPr>
              <w:pStyle w:val="TableText"/>
              <w:widowControl w:val="0"/>
              <w:tabs>
                <w:tab w:val="left" w:pos="167"/>
              </w:tabs>
              <w:rPr>
                <w:bCs w:val="0"/>
                <w:sz w:val="20"/>
                <w:szCs w:val="20"/>
              </w:rPr>
            </w:pPr>
            <w:r w:rsidRPr="00C927B9">
              <w:rPr>
                <w:bCs w:val="0"/>
                <w:sz w:val="20"/>
                <w:szCs w:val="20"/>
              </w:rPr>
              <w:tab/>
              <w:t>Sepsis</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17 (6.0%)</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13 (9.0%)</w:t>
            </w:r>
          </w:p>
        </w:tc>
        <w:tc>
          <w:tcPr>
            <w:tcW w:w="740" w:type="pct"/>
            <w:tcBorders>
              <w:top w:val="single" w:sz="4" w:space="0" w:color="auto"/>
              <w:bottom w:val="single" w:sz="4" w:space="0" w:color="auto"/>
            </w:tcBorders>
            <w:shd w:val="clear" w:color="auto" w:fill="auto"/>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8 (5.6%)</w:t>
            </w:r>
          </w:p>
        </w:tc>
        <w:tc>
          <w:tcPr>
            <w:tcW w:w="741" w:type="pct"/>
            <w:tcBorders>
              <w:top w:val="single" w:sz="4" w:space="0" w:color="auto"/>
              <w:bottom w:val="single" w:sz="4" w:space="0" w:color="auto"/>
            </w:tcBorders>
            <w:shd w:val="clear" w:color="auto" w:fill="auto"/>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4 (5.9%)</w:t>
            </w:r>
          </w:p>
        </w:tc>
      </w:tr>
      <w:tr w:rsidR="003D7DFA" w:rsidRPr="00C927B9" w:rsidTr="00284D8C">
        <w:tc>
          <w:tcPr>
            <w:tcW w:w="2038" w:type="pct"/>
            <w:tcBorders>
              <w:top w:val="single" w:sz="4" w:space="0" w:color="auto"/>
              <w:bottom w:val="single" w:sz="4" w:space="0" w:color="auto"/>
            </w:tcBorders>
            <w:shd w:val="clear" w:color="auto" w:fill="auto"/>
          </w:tcPr>
          <w:p w:rsidR="003D7DFA" w:rsidRPr="00C927B9" w:rsidRDefault="003D7DFA" w:rsidP="005A5E60">
            <w:pPr>
              <w:pStyle w:val="TableText"/>
              <w:widowControl w:val="0"/>
              <w:tabs>
                <w:tab w:val="left" w:pos="167"/>
              </w:tabs>
              <w:rPr>
                <w:bCs w:val="0"/>
                <w:sz w:val="20"/>
                <w:szCs w:val="20"/>
              </w:rPr>
            </w:pPr>
            <w:r w:rsidRPr="00C927B9">
              <w:rPr>
                <w:bCs w:val="0"/>
                <w:sz w:val="20"/>
                <w:szCs w:val="20"/>
              </w:rPr>
              <w:tab/>
              <w:t>Urinary tract infection</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11 (3.9%)</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8 (5.6%)</w:t>
            </w:r>
          </w:p>
        </w:tc>
        <w:tc>
          <w:tcPr>
            <w:tcW w:w="740" w:type="pct"/>
            <w:tcBorders>
              <w:top w:val="single" w:sz="4" w:space="0" w:color="auto"/>
              <w:bottom w:val="single" w:sz="4" w:space="0" w:color="auto"/>
            </w:tcBorders>
            <w:shd w:val="clear" w:color="auto" w:fill="auto"/>
          </w:tcPr>
          <w:p w:rsidR="003D7DFA" w:rsidRPr="00C927B9" w:rsidRDefault="003D7DFA" w:rsidP="005A5E60">
            <w:pPr>
              <w:pStyle w:val="TableText"/>
              <w:widowControl w:val="0"/>
              <w:ind w:left="-59" w:right="-63"/>
              <w:jc w:val="center"/>
              <w:rPr>
                <w:bCs w:val="0"/>
                <w:sz w:val="20"/>
                <w:szCs w:val="20"/>
              </w:rPr>
            </w:pPr>
            <w:r w:rsidRPr="00C927B9">
              <w:rPr>
                <w:sz w:val="20"/>
                <w:szCs w:val="20"/>
              </w:rPr>
              <w:t>10 (7.0%)</w:t>
            </w:r>
          </w:p>
        </w:tc>
        <w:tc>
          <w:tcPr>
            <w:tcW w:w="741" w:type="pct"/>
            <w:tcBorders>
              <w:top w:val="single" w:sz="4" w:space="0" w:color="auto"/>
              <w:bottom w:val="single" w:sz="4" w:space="0" w:color="auto"/>
            </w:tcBorders>
            <w:shd w:val="clear" w:color="auto" w:fill="auto"/>
          </w:tcPr>
          <w:p w:rsidR="003D7DFA" w:rsidRPr="00C927B9" w:rsidRDefault="003D7DFA" w:rsidP="005A5E60">
            <w:pPr>
              <w:pStyle w:val="TableText"/>
              <w:widowControl w:val="0"/>
              <w:ind w:left="-59" w:right="-63"/>
              <w:jc w:val="center"/>
              <w:rPr>
                <w:bCs w:val="0"/>
                <w:sz w:val="20"/>
                <w:szCs w:val="20"/>
              </w:rPr>
            </w:pPr>
            <w:r w:rsidRPr="00C927B9">
              <w:rPr>
                <w:sz w:val="20"/>
                <w:szCs w:val="20"/>
              </w:rPr>
              <w:t>1 (1.5%)</w:t>
            </w:r>
          </w:p>
        </w:tc>
      </w:tr>
      <w:tr w:rsidR="003D7DFA" w:rsidRPr="00C927B9" w:rsidTr="00284D8C">
        <w:tc>
          <w:tcPr>
            <w:tcW w:w="2038" w:type="pct"/>
            <w:tcBorders>
              <w:top w:val="single" w:sz="4" w:space="0" w:color="auto"/>
              <w:bottom w:val="single" w:sz="4" w:space="0" w:color="auto"/>
            </w:tcBorders>
            <w:shd w:val="clear" w:color="auto" w:fill="auto"/>
          </w:tcPr>
          <w:p w:rsidR="003D7DFA" w:rsidRPr="00C927B9" w:rsidRDefault="003D7DFA" w:rsidP="005A5E60">
            <w:pPr>
              <w:pStyle w:val="TableText"/>
              <w:widowControl w:val="0"/>
              <w:tabs>
                <w:tab w:val="left" w:pos="167"/>
              </w:tabs>
              <w:rPr>
                <w:bCs w:val="0"/>
                <w:sz w:val="20"/>
                <w:szCs w:val="20"/>
              </w:rPr>
            </w:pPr>
            <w:r w:rsidRPr="00C927B9">
              <w:rPr>
                <w:bCs w:val="0"/>
                <w:sz w:val="20"/>
                <w:szCs w:val="20"/>
              </w:rPr>
              <w:t>Cardiac disorders</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44 (15.5%)</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20 (13.9%)</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13 (9.2%)</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11 (16.2%)</w:t>
            </w:r>
          </w:p>
        </w:tc>
      </w:tr>
      <w:tr w:rsidR="003D7DFA" w:rsidRPr="00C927B9" w:rsidTr="00284D8C">
        <w:tc>
          <w:tcPr>
            <w:tcW w:w="2038" w:type="pct"/>
            <w:tcBorders>
              <w:top w:val="single" w:sz="4" w:space="0" w:color="auto"/>
              <w:bottom w:val="single" w:sz="4" w:space="0" w:color="auto"/>
            </w:tcBorders>
            <w:shd w:val="clear" w:color="auto" w:fill="auto"/>
          </w:tcPr>
          <w:p w:rsidR="003D7DFA" w:rsidRPr="00C927B9" w:rsidRDefault="003D7DFA" w:rsidP="005A5E60">
            <w:pPr>
              <w:pStyle w:val="TableText"/>
              <w:widowControl w:val="0"/>
              <w:tabs>
                <w:tab w:val="left" w:pos="167"/>
              </w:tabs>
              <w:rPr>
                <w:bCs w:val="0"/>
                <w:sz w:val="20"/>
                <w:szCs w:val="20"/>
              </w:rPr>
            </w:pPr>
            <w:r w:rsidRPr="00C927B9">
              <w:rPr>
                <w:bCs w:val="0"/>
                <w:sz w:val="20"/>
                <w:szCs w:val="20"/>
              </w:rPr>
              <w:tab/>
              <w:t>Atrial fibrillation</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17 (6.0%)</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3 (2.1%)</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w:t>
            </w:r>
          </w:p>
        </w:tc>
      </w:tr>
      <w:tr w:rsidR="003D7DFA" w:rsidRPr="00C927B9" w:rsidTr="00284D8C">
        <w:tc>
          <w:tcPr>
            <w:tcW w:w="2038" w:type="pct"/>
            <w:tcBorders>
              <w:top w:val="single" w:sz="4" w:space="0" w:color="auto"/>
              <w:bottom w:val="single" w:sz="4" w:space="0" w:color="auto"/>
            </w:tcBorders>
            <w:shd w:val="clear" w:color="auto" w:fill="auto"/>
          </w:tcPr>
          <w:p w:rsidR="003D7DFA" w:rsidRPr="00C927B9" w:rsidRDefault="003D7DFA" w:rsidP="005A5E60">
            <w:pPr>
              <w:pStyle w:val="TableText"/>
              <w:widowControl w:val="0"/>
              <w:tabs>
                <w:tab w:val="left" w:pos="167"/>
              </w:tabs>
              <w:rPr>
                <w:bCs w:val="0"/>
                <w:sz w:val="20"/>
                <w:szCs w:val="20"/>
              </w:rPr>
            </w:pPr>
            <w:r w:rsidRPr="00C927B9">
              <w:rPr>
                <w:bCs w:val="0"/>
                <w:sz w:val="20"/>
                <w:szCs w:val="20"/>
              </w:rPr>
              <w:t>Gastrointestinal disorders</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42 (14.8%)</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17 (11.8%)</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19 (13.4%)</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6 (8.8%)</w:t>
            </w:r>
          </w:p>
        </w:tc>
      </w:tr>
      <w:tr w:rsidR="003D7DFA" w:rsidRPr="00C927B9" w:rsidTr="00284D8C">
        <w:tc>
          <w:tcPr>
            <w:tcW w:w="2038" w:type="pct"/>
            <w:tcBorders>
              <w:top w:val="single" w:sz="4" w:space="0" w:color="auto"/>
              <w:bottom w:val="single" w:sz="4" w:space="0" w:color="auto"/>
            </w:tcBorders>
            <w:shd w:val="clear" w:color="auto" w:fill="auto"/>
          </w:tcPr>
          <w:p w:rsidR="003D7DFA" w:rsidRPr="00C927B9" w:rsidRDefault="003D7DFA" w:rsidP="005A5E60">
            <w:pPr>
              <w:pStyle w:val="TableText"/>
              <w:widowControl w:val="0"/>
              <w:tabs>
                <w:tab w:val="left" w:pos="167"/>
              </w:tabs>
              <w:rPr>
                <w:bCs w:val="0"/>
                <w:sz w:val="20"/>
                <w:szCs w:val="20"/>
              </w:rPr>
            </w:pPr>
            <w:r w:rsidRPr="00C927B9">
              <w:rPr>
                <w:bCs w:val="0"/>
                <w:sz w:val="20"/>
                <w:szCs w:val="20"/>
              </w:rPr>
              <w:t xml:space="preserve">General disorders, administration site </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38 (13.4%)</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22 (15.3%)</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12 (8.5%)</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7 (10.3%)</w:t>
            </w:r>
          </w:p>
        </w:tc>
      </w:tr>
      <w:tr w:rsidR="003D7DFA" w:rsidRPr="00C927B9" w:rsidTr="00284D8C">
        <w:tc>
          <w:tcPr>
            <w:tcW w:w="2038" w:type="pct"/>
            <w:tcBorders>
              <w:top w:val="single" w:sz="4" w:space="0" w:color="auto"/>
              <w:bottom w:val="single" w:sz="4" w:space="0" w:color="auto"/>
            </w:tcBorders>
            <w:shd w:val="clear" w:color="auto" w:fill="auto"/>
          </w:tcPr>
          <w:p w:rsidR="003D7DFA" w:rsidRPr="00C927B9" w:rsidRDefault="003D7DFA" w:rsidP="005A5E60">
            <w:pPr>
              <w:pStyle w:val="TableText"/>
              <w:widowControl w:val="0"/>
              <w:tabs>
                <w:tab w:val="left" w:pos="167"/>
              </w:tabs>
              <w:rPr>
                <w:bCs w:val="0"/>
                <w:sz w:val="20"/>
                <w:szCs w:val="20"/>
              </w:rPr>
            </w:pPr>
            <w:r w:rsidRPr="00C927B9">
              <w:rPr>
                <w:bCs w:val="0"/>
                <w:sz w:val="20"/>
                <w:szCs w:val="20"/>
              </w:rPr>
              <w:t>Injury, poisoning and procedural complications</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15 (5.3%)</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9 (6.3%)</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w:t>
            </w:r>
          </w:p>
        </w:tc>
      </w:tr>
      <w:tr w:rsidR="003D7DFA" w:rsidRPr="00C927B9" w:rsidTr="00284D8C">
        <w:tc>
          <w:tcPr>
            <w:tcW w:w="2038" w:type="pct"/>
            <w:tcBorders>
              <w:top w:val="single" w:sz="4" w:space="0" w:color="auto"/>
              <w:bottom w:val="single" w:sz="4" w:space="0" w:color="auto"/>
            </w:tcBorders>
            <w:shd w:val="clear" w:color="auto" w:fill="auto"/>
          </w:tcPr>
          <w:p w:rsidR="003D7DFA" w:rsidRPr="00C927B9" w:rsidRDefault="003D7DFA" w:rsidP="005A5E60">
            <w:pPr>
              <w:pStyle w:val="TableText"/>
              <w:widowControl w:val="0"/>
              <w:tabs>
                <w:tab w:val="left" w:pos="167"/>
              </w:tabs>
              <w:rPr>
                <w:bCs w:val="0"/>
                <w:sz w:val="20"/>
                <w:szCs w:val="20"/>
              </w:rPr>
            </w:pPr>
            <w:r w:rsidRPr="00C927B9">
              <w:rPr>
                <w:bCs w:val="0"/>
                <w:sz w:val="20"/>
                <w:szCs w:val="20"/>
              </w:rPr>
              <w:t>Investigations</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58 (20.5%)</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13 (9.0%)</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27 (19.0%)</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10 (14.7%)</w:t>
            </w:r>
          </w:p>
        </w:tc>
      </w:tr>
      <w:tr w:rsidR="003D7DFA" w:rsidRPr="00C927B9" w:rsidTr="00284D8C">
        <w:tc>
          <w:tcPr>
            <w:tcW w:w="2038" w:type="pct"/>
            <w:tcBorders>
              <w:top w:val="single" w:sz="4" w:space="0" w:color="auto"/>
              <w:bottom w:val="single" w:sz="4" w:space="0" w:color="auto"/>
            </w:tcBorders>
            <w:shd w:val="clear" w:color="auto" w:fill="auto"/>
          </w:tcPr>
          <w:p w:rsidR="003D7DFA" w:rsidRPr="00C927B9" w:rsidRDefault="003D7DFA" w:rsidP="005A5E60">
            <w:pPr>
              <w:pStyle w:val="TableText"/>
              <w:widowControl w:val="0"/>
              <w:tabs>
                <w:tab w:val="left" w:pos="167"/>
              </w:tabs>
              <w:rPr>
                <w:bCs w:val="0"/>
                <w:sz w:val="20"/>
                <w:szCs w:val="20"/>
              </w:rPr>
            </w:pPr>
            <w:r w:rsidRPr="00C927B9">
              <w:rPr>
                <w:bCs w:val="0"/>
                <w:sz w:val="20"/>
                <w:szCs w:val="20"/>
              </w:rPr>
              <w:t>Metabolism and nutrition disorders</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78 (27.6%)</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39 (27.1%)</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40 (28.2%)</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22 (32.4%)</w:t>
            </w:r>
          </w:p>
        </w:tc>
      </w:tr>
      <w:tr w:rsidR="003D7DFA" w:rsidRPr="00C927B9" w:rsidTr="00284D8C">
        <w:tc>
          <w:tcPr>
            <w:tcW w:w="2038" w:type="pct"/>
            <w:tcBorders>
              <w:top w:val="single" w:sz="4" w:space="0" w:color="auto"/>
              <w:bottom w:val="single" w:sz="4" w:space="0" w:color="auto"/>
            </w:tcBorders>
            <w:shd w:val="clear" w:color="auto" w:fill="auto"/>
          </w:tcPr>
          <w:p w:rsidR="003D7DFA" w:rsidRPr="00C927B9" w:rsidRDefault="003D7DFA" w:rsidP="005A5E60">
            <w:pPr>
              <w:pStyle w:val="TableText"/>
              <w:widowControl w:val="0"/>
              <w:tabs>
                <w:tab w:val="left" w:pos="167"/>
              </w:tabs>
              <w:rPr>
                <w:bCs w:val="0"/>
                <w:sz w:val="20"/>
                <w:szCs w:val="20"/>
              </w:rPr>
            </w:pPr>
            <w:r w:rsidRPr="00C927B9">
              <w:rPr>
                <w:bCs w:val="0"/>
                <w:sz w:val="20"/>
                <w:szCs w:val="20"/>
              </w:rPr>
              <w:t>Neoplasms benign, malignant and unspecified</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8 (2.8%)</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8 (5.6%)</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w:t>
            </w:r>
          </w:p>
        </w:tc>
      </w:tr>
      <w:tr w:rsidR="003D7DFA" w:rsidRPr="00C927B9" w:rsidTr="00284D8C">
        <w:tc>
          <w:tcPr>
            <w:tcW w:w="2038" w:type="pct"/>
            <w:tcBorders>
              <w:top w:val="single" w:sz="4" w:space="0" w:color="auto"/>
              <w:bottom w:val="single" w:sz="4" w:space="0" w:color="auto"/>
            </w:tcBorders>
            <w:shd w:val="clear" w:color="auto" w:fill="auto"/>
          </w:tcPr>
          <w:p w:rsidR="003D7DFA" w:rsidRPr="00C927B9" w:rsidRDefault="003D7DFA" w:rsidP="005A5E60">
            <w:pPr>
              <w:pStyle w:val="TableText"/>
              <w:widowControl w:val="0"/>
              <w:tabs>
                <w:tab w:val="left" w:pos="167"/>
              </w:tabs>
              <w:rPr>
                <w:bCs w:val="0"/>
                <w:sz w:val="20"/>
                <w:szCs w:val="20"/>
              </w:rPr>
            </w:pPr>
            <w:r w:rsidRPr="00C927B9">
              <w:rPr>
                <w:bCs w:val="0"/>
                <w:sz w:val="20"/>
                <w:szCs w:val="20"/>
              </w:rPr>
              <w:t>Nervous system disorders</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31 (11.0%)</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8 (5.6%)</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8 (5.6%)</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3 (4.4%)</w:t>
            </w:r>
          </w:p>
        </w:tc>
      </w:tr>
      <w:tr w:rsidR="003D7DFA" w:rsidRPr="00C927B9" w:rsidTr="00284D8C">
        <w:tc>
          <w:tcPr>
            <w:tcW w:w="2038" w:type="pct"/>
            <w:tcBorders>
              <w:top w:val="single" w:sz="4" w:space="0" w:color="auto"/>
              <w:bottom w:val="single" w:sz="4" w:space="0" w:color="auto"/>
            </w:tcBorders>
            <w:shd w:val="clear" w:color="auto" w:fill="auto"/>
          </w:tcPr>
          <w:p w:rsidR="003D7DFA" w:rsidRPr="00C927B9" w:rsidRDefault="003D7DFA" w:rsidP="005A5E60">
            <w:pPr>
              <w:pStyle w:val="TableText"/>
              <w:widowControl w:val="0"/>
              <w:tabs>
                <w:tab w:val="left" w:pos="167"/>
              </w:tabs>
              <w:rPr>
                <w:bCs w:val="0"/>
                <w:sz w:val="20"/>
                <w:szCs w:val="20"/>
              </w:rPr>
            </w:pPr>
            <w:r w:rsidRPr="00C927B9">
              <w:rPr>
                <w:bCs w:val="0"/>
                <w:sz w:val="20"/>
                <w:szCs w:val="20"/>
              </w:rPr>
              <w:t>Renal and urinary disorders</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15 (5.3%)</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11 (7.6%)</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w:t>
            </w:r>
          </w:p>
        </w:tc>
      </w:tr>
      <w:tr w:rsidR="003D7DFA" w:rsidRPr="00C927B9" w:rsidTr="00284D8C">
        <w:tc>
          <w:tcPr>
            <w:tcW w:w="2038" w:type="pct"/>
            <w:tcBorders>
              <w:top w:val="single" w:sz="4" w:space="0" w:color="auto"/>
              <w:bottom w:val="single" w:sz="4" w:space="0" w:color="auto"/>
            </w:tcBorders>
            <w:shd w:val="clear" w:color="auto" w:fill="auto"/>
          </w:tcPr>
          <w:p w:rsidR="003D7DFA" w:rsidRPr="00C927B9" w:rsidRDefault="003D7DFA" w:rsidP="005A5E60">
            <w:pPr>
              <w:pStyle w:val="TableText"/>
              <w:widowControl w:val="0"/>
              <w:tabs>
                <w:tab w:val="left" w:pos="167"/>
              </w:tabs>
              <w:rPr>
                <w:bCs w:val="0"/>
                <w:sz w:val="20"/>
                <w:szCs w:val="20"/>
              </w:rPr>
            </w:pPr>
            <w:r w:rsidRPr="00C927B9">
              <w:rPr>
                <w:bCs w:val="0"/>
                <w:sz w:val="20"/>
                <w:szCs w:val="20"/>
              </w:rPr>
              <w:t>Respiratory, thoracic and mediastinal disorders</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44 (15.5%)</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15 (10.4%)</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12 (8.5%)</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11 (16.2%)</w:t>
            </w:r>
          </w:p>
        </w:tc>
      </w:tr>
      <w:tr w:rsidR="003D7DFA" w:rsidRPr="00C927B9" w:rsidTr="00284D8C">
        <w:tc>
          <w:tcPr>
            <w:tcW w:w="2038" w:type="pct"/>
            <w:tcBorders>
              <w:top w:val="single" w:sz="4" w:space="0" w:color="auto"/>
              <w:bottom w:val="single" w:sz="4" w:space="0" w:color="auto"/>
            </w:tcBorders>
            <w:shd w:val="clear" w:color="auto" w:fill="auto"/>
          </w:tcPr>
          <w:p w:rsidR="003D7DFA" w:rsidRPr="00C927B9" w:rsidRDefault="003D7DFA" w:rsidP="005A5E60">
            <w:pPr>
              <w:pStyle w:val="TableText"/>
              <w:widowControl w:val="0"/>
              <w:tabs>
                <w:tab w:val="left" w:pos="167"/>
              </w:tabs>
              <w:rPr>
                <w:bCs w:val="0"/>
                <w:sz w:val="20"/>
                <w:szCs w:val="20"/>
              </w:rPr>
            </w:pPr>
            <w:r w:rsidRPr="00C927B9">
              <w:rPr>
                <w:bCs w:val="0"/>
                <w:sz w:val="20"/>
                <w:szCs w:val="20"/>
              </w:rPr>
              <w:t>Vascular disorders</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36 (12.7%)</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sz w:val="20"/>
                <w:szCs w:val="20"/>
              </w:rPr>
            </w:pPr>
            <w:r w:rsidRPr="00C927B9">
              <w:rPr>
                <w:bCs w:val="0"/>
                <w:sz w:val="20"/>
                <w:szCs w:val="20"/>
              </w:rPr>
              <w:t>12 (8.3%)</w:t>
            </w:r>
          </w:p>
        </w:tc>
        <w:tc>
          <w:tcPr>
            <w:tcW w:w="740"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17 (12.0%)</w:t>
            </w:r>
          </w:p>
        </w:tc>
        <w:tc>
          <w:tcPr>
            <w:tcW w:w="741" w:type="pct"/>
            <w:tcBorders>
              <w:top w:val="single" w:sz="4" w:space="0" w:color="auto"/>
              <w:bottom w:val="single" w:sz="4" w:space="0" w:color="auto"/>
            </w:tcBorders>
            <w:shd w:val="clear" w:color="auto" w:fill="auto"/>
            <w:vAlign w:val="center"/>
          </w:tcPr>
          <w:p w:rsidR="003D7DFA" w:rsidRPr="00C927B9" w:rsidRDefault="003D7DFA" w:rsidP="005A5E60">
            <w:pPr>
              <w:pStyle w:val="TableText"/>
              <w:widowControl w:val="0"/>
              <w:ind w:left="-59" w:right="-63"/>
              <w:jc w:val="center"/>
              <w:rPr>
                <w:bCs w:val="0"/>
                <w:sz w:val="20"/>
                <w:szCs w:val="20"/>
              </w:rPr>
            </w:pPr>
            <w:r w:rsidRPr="00C927B9">
              <w:rPr>
                <w:bCs w:val="0"/>
                <w:sz w:val="20"/>
                <w:szCs w:val="20"/>
              </w:rPr>
              <w:t>7 (10.3%)</w:t>
            </w:r>
          </w:p>
        </w:tc>
      </w:tr>
    </w:tbl>
    <w:p w:rsidR="003D7DFA" w:rsidRPr="00C927B9" w:rsidRDefault="003D7DFA" w:rsidP="005A5E60">
      <w:pPr>
        <w:pStyle w:val="TableFigureFooter"/>
        <w:keepNext/>
        <w:rPr>
          <w:lang w:val="en-AU"/>
        </w:rPr>
      </w:pPr>
      <w:r w:rsidRPr="00C927B9">
        <w:rPr>
          <w:lang w:val="en-AU"/>
        </w:rPr>
        <w:t>Source: Table 2-54, p.156 and Table 2-62, pp.167, Table 2-67, p.174 of the submission.</w:t>
      </w:r>
    </w:p>
    <w:p w:rsidR="003D7DFA" w:rsidRPr="00C927B9" w:rsidRDefault="003D7DFA" w:rsidP="005A5E60">
      <w:pPr>
        <w:pStyle w:val="TableFigureFooter"/>
        <w:keepNext/>
        <w:rPr>
          <w:lang w:val="en-AU"/>
        </w:rPr>
      </w:pPr>
      <w:r w:rsidRPr="00C927B9">
        <w:rPr>
          <w:lang w:val="en-AU"/>
        </w:rPr>
        <w:t xml:space="preserve">Abbreviations: AE, adverse event; AZA, azacitidine; CI, confidence interval; </w:t>
      </w:r>
      <w:proofErr w:type="spellStart"/>
      <w:r w:rsidRPr="00C927B9">
        <w:rPr>
          <w:lang w:val="en-AU"/>
        </w:rPr>
        <w:t>MedDRA</w:t>
      </w:r>
      <w:proofErr w:type="spellEnd"/>
      <w:r w:rsidRPr="00C927B9">
        <w:rPr>
          <w:lang w:val="en-AU"/>
        </w:rPr>
        <w:t xml:space="preserve">, Medical Dictionary for Regulatory Activities; PBO, placebo; SAS, safety analysis set; SOC, system organ class; </w:t>
      </w:r>
      <w:r w:rsidRPr="00C927B9">
        <w:rPr>
          <w:bCs/>
          <w:lang w:val="en-AU"/>
        </w:rPr>
        <w:t>VTX, venetoclax</w:t>
      </w:r>
      <w:r w:rsidR="00284D8C" w:rsidRPr="00C927B9">
        <w:rPr>
          <w:bCs/>
          <w:lang w:val="en-AU"/>
        </w:rPr>
        <w:t>.</w:t>
      </w:r>
    </w:p>
    <w:p w:rsidR="003D7DFA" w:rsidRPr="00C927B9" w:rsidRDefault="003D7DFA" w:rsidP="003D7DFA">
      <w:pPr>
        <w:pStyle w:val="TableFigureFooter"/>
        <w:rPr>
          <w:lang w:val="en-AU"/>
        </w:rPr>
      </w:pPr>
      <w:r w:rsidRPr="00C927B9">
        <w:rPr>
          <w:lang w:val="en-AU"/>
        </w:rPr>
        <w:t xml:space="preserve">Note: </w:t>
      </w:r>
      <w:proofErr w:type="spellStart"/>
      <w:r w:rsidRPr="00C927B9">
        <w:rPr>
          <w:lang w:val="en-AU"/>
        </w:rPr>
        <w:t>MedDRA</w:t>
      </w:r>
      <w:proofErr w:type="spellEnd"/>
      <w:r w:rsidRPr="00C927B9">
        <w:rPr>
          <w:lang w:val="en-AU"/>
        </w:rPr>
        <w:t xml:space="preserve"> 21.0 SOC Preferred term.</w:t>
      </w:r>
    </w:p>
    <w:p w:rsidR="003D7DFA" w:rsidRPr="00C927B9" w:rsidRDefault="003D7DFA" w:rsidP="003D7DFA">
      <w:pPr>
        <w:pStyle w:val="ExecSumBodyText"/>
        <w:rPr>
          <w:snapToGrid/>
          <w:lang w:val="en-AU"/>
        </w:rPr>
      </w:pPr>
      <w:r w:rsidRPr="00C927B9">
        <w:rPr>
          <w:snapToGrid/>
          <w:lang w:val="en-AU"/>
        </w:rPr>
        <w:t xml:space="preserve">Adverse events for </w:t>
      </w:r>
      <w:r w:rsidR="00574791" w:rsidRPr="00C927B9">
        <w:rPr>
          <w:snapToGrid/>
          <w:lang w:val="en-AU"/>
        </w:rPr>
        <w:t>T</w:t>
      </w:r>
      <w:r w:rsidRPr="00C927B9">
        <w:rPr>
          <w:snapToGrid/>
          <w:lang w:val="en-AU"/>
        </w:rPr>
        <w:t>rials AZA-AML-001 and AZA-001 were poorly reported. In the AZA-AML-001 trial</w:t>
      </w:r>
      <w:r w:rsidR="00EB7FA7" w:rsidRPr="00C927B9">
        <w:rPr>
          <w:snapToGrid/>
          <w:lang w:val="en-AU"/>
        </w:rPr>
        <w:t>,</w:t>
      </w:r>
      <w:r w:rsidRPr="00C927B9">
        <w:rPr>
          <w:snapToGrid/>
          <w:lang w:val="en-AU"/>
        </w:rPr>
        <w:t xml:space="preserve"> 94.3-99.5% of patients experienced one or more adverse events and the most commonly reported adverse events reported by patients with AML unfit for intensive induction chemotherapy were febrile neutropenia (AZA 26.5% vs LoDAC</w:t>
      </w:r>
      <w:r w:rsidR="00EB7FA7" w:rsidRPr="00C927B9">
        <w:rPr>
          <w:snapToGrid/>
          <w:lang w:val="en-AU"/>
        </w:rPr>
        <w:t> </w:t>
      </w:r>
      <w:r w:rsidRPr="00C927B9">
        <w:rPr>
          <w:snapToGrid/>
          <w:lang w:val="en-AU"/>
        </w:rPr>
        <w:t xml:space="preserve">30.1%), neutropenia (24.5% vs 24.8%), thrombocytopenia (25.2% vs 27.5%), pneumonia (16.6% vs 19.0%) and anaemia (19.2% vs 22.9%). The most commonly reported adverse events in </w:t>
      </w:r>
      <w:r w:rsidR="00574791" w:rsidRPr="00C927B9">
        <w:rPr>
          <w:snapToGrid/>
          <w:lang w:val="en-AU"/>
        </w:rPr>
        <w:t>Trial AZA-001</w:t>
      </w:r>
      <w:r w:rsidRPr="00C927B9">
        <w:rPr>
          <w:snapToGrid/>
          <w:lang w:val="en-AU"/>
        </w:rPr>
        <w:t xml:space="preserve"> by patients with AML unfit for intensive induction chemotherapy were neutropenia (AZA 85.7% vs LoDAC 88.9%), thrombocytopenia (92.9% vs 100%) and anaemia (71.4% vs 77.8%).</w:t>
      </w:r>
    </w:p>
    <w:p w:rsidR="00C441CF" w:rsidRPr="00C927B9" w:rsidRDefault="00284D8C" w:rsidP="003D7DFA">
      <w:pPr>
        <w:pStyle w:val="ExecSumBodyText"/>
        <w:rPr>
          <w:lang w:val="en-AU"/>
        </w:rPr>
      </w:pPr>
      <w:bookmarkStart w:id="20" w:name="_Ref68881407"/>
      <w:r w:rsidRPr="00C927B9">
        <w:rPr>
          <w:snapToGrid/>
          <w:lang w:val="en-AU"/>
        </w:rPr>
        <w:t>Post marketing reports and a</w:t>
      </w:r>
      <w:r w:rsidR="003D7DFA" w:rsidRPr="00C927B9">
        <w:rPr>
          <w:snapToGrid/>
          <w:lang w:val="en-AU"/>
        </w:rPr>
        <w:t xml:space="preserve">dverse events reported in clinical trials </w:t>
      </w:r>
      <w:r w:rsidR="00537657" w:rsidRPr="00C927B9">
        <w:rPr>
          <w:snapToGrid/>
          <w:lang w:val="en-AU"/>
        </w:rPr>
        <w:t xml:space="preserve">not included in the submission were </w:t>
      </w:r>
      <w:r w:rsidR="003D7DFA" w:rsidRPr="00C927B9">
        <w:rPr>
          <w:snapToGrid/>
          <w:lang w:val="en-AU"/>
        </w:rPr>
        <w:t xml:space="preserve">consistent with the safety results of the M15-656 and M16-043 trials. The </w:t>
      </w:r>
      <w:r w:rsidRPr="00C927B9">
        <w:rPr>
          <w:snapToGrid/>
          <w:lang w:val="en-AU"/>
        </w:rPr>
        <w:t>s</w:t>
      </w:r>
      <w:r w:rsidR="003D7DFA" w:rsidRPr="00C927B9">
        <w:rPr>
          <w:snapToGrid/>
          <w:lang w:val="en-AU"/>
        </w:rPr>
        <w:t xml:space="preserve">ponsor’s current </w:t>
      </w:r>
      <w:r w:rsidR="003D7DFA" w:rsidRPr="00C927B9">
        <w:rPr>
          <w:lang w:val="en-AU"/>
        </w:rPr>
        <w:t xml:space="preserve">Core Risk Management Plan and the most recent Periodic Safety Update (PSUR) for the reporting period 5 June 2019 – 4 December 2019 </w:t>
      </w:r>
      <w:r w:rsidR="003D7DFA" w:rsidRPr="00C927B9">
        <w:rPr>
          <w:lang w:val="en-AU"/>
        </w:rPr>
        <w:lastRenderedPageBreak/>
        <w:t xml:space="preserve">identified TLS, neutropenia, and serious infections as important identified risks associated with venetoclax, and </w:t>
      </w:r>
      <w:proofErr w:type="spellStart"/>
      <w:r w:rsidR="003D7DFA" w:rsidRPr="00C927B9">
        <w:rPr>
          <w:lang w:val="en-AU"/>
        </w:rPr>
        <w:t>embryofetal</w:t>
      </w:r>
      <w:proofErr w:type="spellEnd"/>
      <w:r w:rsidR="003D7DFA" w:rsidRPr="00C927B9">
        <w:rPr>
          <w:lang w:val="en-AU"/>
        </w:rPr>
        <w:t xml:space="preserve"> toxicity, second primary malignancy and toxicity in patients with severe hepatic impairment as important potential risks.</w:t>
      </w:r>
      <w:bookmarkEnd w:id="20"/>
    </w:p>
    <w:p w:rsidR="007F1017" w:rsidRPr="00C927B9" w:rsidRDefault="007F1017" w:rsidP="00D86231">
      <w:pPr>
        <w:pStyle w:val="3-SubsectionHeading"/>
        <w:rPr>
          <w:lang w:val="en-AU"/>
        </w:rPr>
      </w:pPr>
      <w:bookmarkStart w:id="21" w:name="_Toc22897643"/>
      <w:bookmarkStart w:id="22" w:name="_Toc62040067"/>
      <w:r w:rsidRPr="00C927B9">
        <w:rPr>
          <w:lang w:val="en-AU"/>
        </w:rPr>
        <w:t>Benefits/harms</w:t>
      </w:r>
      <w:bookmarkEnd w:id="21"/>
      <w:bookmarkEnd w:id="22"/>
    </w:p>
    <w:p w:rsidR="00C66717" w:rsidRPr="00C927B9" w:rsidRDefault="00C66717" w:rsidP="00C66717">
      <w:pPr>
        <w:pStyle w:val="ExecSumBodyText"/>
        <w:numPr>
          <w:ilvl w:val="1"/>
          <w:numId w:val="1"/>
        </w:numPr>
        <w:rPr>
          <w:lang w:val="en-AU"/>
        </w:rPr>
      </w:pPr>
      <w:r w:rsidRPr="00C927B9">
        <w:rPr>
          <w:lang w:val="en-AU"/>
        </w:rPr>
        <w:t xml:space="preserve">On the basis of direct evidence presented in the submission, </w:t>
      </w:r>
      <w:r w:rsidR="00032E45" w:rsidRPr="00C927B9">
        <w:rPr>
          <w:lang w:val="en-AU"/>
        </w:rPr>
        <w:t>over a median follow-up of 20.4 months</w:t>
      </w:r>
      <w:r w:rsidR="00351F60" w:rsidRPr="00C927B9">
        <w:rPr>
          <w:lang w:val="en-AU"/>
        </w:rPr>
        <w:t xml:space="preserve">, for every 100 patients treated with venetoclax with </w:t>
      </w:r>
      <w:r w:rsidR="00FD2694" w:rsidRPr="00C927B9">
        <w:rPr>
          <w:lang w:val="en-AU"/>
        </w:rPr>
        <w:t>azacitidine</w:t>
      </w:r>
      <w:r w:rsidR="00351F60" w:rsidRPr="00C927B9">
        <w:rPr>
          <w:lang w:val="en-AU"/>
        </w:rPr>
        <w:t xml:space="preserve"> versus azacitidine</w:t>
      </w:r>
      <w:r w:rsidR="00032E45" w:rsidRPr="00C927B9">
        <w:rPr>
          <w:lang w:val="en-AU"/>
        </w:rPr>
        <w:t>:</w:t>
      </w:r>
    </w:p>
    <w:p w:rsidR="00032E45" w:rsidRPr="00C927B9" w:rsidRDefault="00DC4392" w:rsidP="00D622F5">
      <w:pPr>
        <w:pStyle w:val="ExecSumBodyText"/>
        <w:numPr>
          <w:ilvl w:val="1"/>
          <w:numId w:val="9"/>
        </w:numPr>
        <w:ind w:left="993" w:hanging="295"/>
        <w:rPr>
          <w:snapToGrid/>
          <w:lang w:val="en-AU"/>
        </w:rPr>
      </w:pPr>
      <w:r w:rsidRPr="00C927B9">
        <w:rPr>
          <w:snapToGrid/>
          <w:lang w:val="en-AU"/>
        </w:rPr>
        <w:t>Approximately 1</w:t>
      </w:r>
      <w:r w:rsidR="00E05C30" w:rsidRPr="00C927B9">
        <w:rPr>
          <w:snapToGrid/>
          <w:lang w:val="en-AU"/>
        </w:rPr>
        <w:t>8</w:t>
      </w:r>
      <w:r w:rsidRPr="00C927B9">
        <w:rPr>
          <w:snapToGrid/>
          <w:lang w:val="en-AU"/>
        </w:rPr>
        <w:t xml:space="preserve"> additional patients </w:t>
      </w:r>
      <w:r w:rsidR="00E05C30" w:rsidRPr="00C927B9">
        <w:rPr>
          <w:snapToGrid/>
          <w:lang w:val="en-AU"/>
        </w:rPr>
        <w:t>will be alive at 2 years.</w:t>
      </w:r>
    </w:p>
    <w:p w:rsidR="00E05C30" w:rsidRPr="00C927B9" w:rsidRDefault="00E05C30" w:rsidP="00D622F5">
      <w:pPr>
        <w:pStyle w:val="ExecSumBodyText"/>
        <w:numPr>
          <w:ilvl w:val="1"/>
          <w:numId w:val="9"/>
        </w:numPr>
        <w:ind w:left="993" w:hanging="295"/>
        <w:rPr>
          <w:snapToGrid/>
          <w:lang w:val="en-AU"/>
        </w:rPr>
      </w:pPr>
      <w:r w:rsidRPr="00C927B9">
        <w:rPr>
          <w:snapToGrid/>
          <w:lang w:val="en-AU"/>
        </w:rPr>
        <w:t>Approximately 38 additional patients will experience remission.</w:t>
      </w:r>
    </w:p>
    <w:p w:rsidR="00BC31BF" w:rsidRPr="00C927B9" w:rsidRDefault="00BC31BF" w:rsidP="00D622F5">
      <w:pPr>
        <w:pStyle w:val="ExecSumBodyText"/>
        <w:numPr>
          <w:ilvl w:val="1"/>
          <w:numId w:val="9"/>
        </w:numPr>
        <w:ind w:left="993" w:hanging="295"/>
        <w:rPr>
          <w:snapToGrid/>
          <w:lang w:val="en-AU"/>
        </w:rPr>
      </w:pPr>
      <w:r w:rsidRPr="00C927B9">
        <w:rPr>
          <w:snapToGrid/>
          <w:lang w:val="en-AU"/>
        </w:rPr>
        <w:t>Approximately 2 additional patients will experience an adverse event leading to death</w:t>
      </w:r>
      <w:r w:rsidR="00625467" w:rsidRPr="00C927B9">
        <w:rPr>
          <w:snapToGrid/>
          <w:lang w:val="en-AU"/>
        </w:rPr>
        <w:t>.</w:t>
      </w:r>
    </w:p>
    <w:p w:rsidR="00BC31BF" w:rsidRPr="00C927B9" w:rsidRDefault="00BC31BF" w:rsidP="00D622F5">
      <w:pPr>
        <w:pStyle w:val="ExecSumBodyText"/>
        <w:numPr>
          <w:ilvl w:val="1"/>
          <w:numId w:val="9"/>
        </w:numPr>
        <w:ind w:left="993" w:hanging="295"/>
        <w:rPr>
          <w:snapToGrid/>
          <w:lang w:val="en-AU"/>
        </w:rPr>
      </w:pPr>
      <w:r w:rsidRPr="00C927B9">
        <w:rPr>
          <w:snapToGrid/>
          <w:lang w:val="en-AU"/>
        </w:rPr>
        <w:t>Approximately 2 additional patients will experience a grade ≥3 adverse event.</w:t>
      </w:r>
    </w:p>
    <w:p w:rsidR="00FC1884" w:rsidRPr="00C927B9" w:rsidRDefault="00C66717" w:rsidP="00D622F5">
      <w:pPr>
        <w:pStyle w:val="ExecSumBodyText"/>
        <w:numPr>
          <w:ilvl w:val="1"/>
          <w:numId w:val="9"/>
        </w:numPr>
        <w:ind w:left="993" w:hanging="295"/>
        <w:rPr>
          <w:snapToGrid/>
          <w:lang w:val="en-AU"/>
        </w:rPr>
      </w:pPr>
      <w:r w:rsidRPr="00C927B9">
        <w:rPr>
          <w:snapToGrid/>
          <w:lang w:val="en-AU"/>
        </w:rPr>
        <w:t>Approximately 1 additional patient will experience tumour lysis syndrome</w:t>
      </w:r>
      <w:r w:rsidR="00625467" w:rsidRPr="00C927B9">
        <w:rPr>
          <w:snapToGrid/>
          <w:lang w:val="en-AU"/>
        </w:rPr>
        <w:t>.</w:t>
      </w:r>
      <w:r w:rsidR="003270E4" w:rsidRPr="00C927B9">
        <w:rPr>
          <w:snapToGrid/>
          <w:lang w:val="en-AU"/>
        </w:rPr>
        <w:t> </w:t>
      </w:r>
    </w:p>
    <w:p w:rsidR="00F20BA2" w:rsidRPr="00C927B9" w:rsidRDefault="00F20BA2" w:rsidP="00532D94">
      <w:pPr>
        <w:pStyle w:val="ExecSumBodyText"/>
        <w:rPr>
          <w:iCs/>
          <w:lang w:val="en-AU"/>
        </w:rPr>
      </w:pPr>
      <w:r w:rsidRPr="00C927B9">
        <w:rPr>
          <w:iCs/>
          <w:lang w:val="en-AU"/>
        </w:rPr>
        <w:t>A benefits/harms summary was not presented for the comparison of venetoclax with azacitidine versus LoDAC</w:t>
      </w:r>
      <w:r w:rsidR="00096902" w:rsidRPr="00C927B9">
        <w:rPr>
          <w:iCs/>
          <w:lang w:val="en-AU"/>
        </w:rPr>
        <w:t xml:space="preserve"> given the uncertainty associated with the indirect analysis and the lack of appropriate incremental</w:t>
      </w:r>
      <w:r w:rsidR="00517C37" w:rsidRPr="00C927B9">
        <w:rPr>
          <w:iCs/>
          <w:lang w:val="en-AU"/>
        </w:rPr>
        <w:t xml:space="preserve"> outcomes</w:t>
      </w:r>
      <w:r w:rsidR="00532D94" w:rsidRPr="00C927B9">
        <w:rPr>
          <w:iCs/>
          <w:lang w:val="en-AU"/>
        </w:rPr>
        <w:t xml:space="preserve"> over comparable durations of follow-up</w:t>
      </w:r>
      <w:r w:rsidR="00BD7BB8" w:rsidRPr="00C927B9">
        <w:rPr>
          <w:iCs/>
          <w:lang w:val="en-AU"/>
        </w:rPr>
        <w:t>.</w:t>
      </w:r>
    </w:p>
    <w:p w:rsidR="00B60939" w:rsidRPr="00C927B9" w:rsidRDefault="00B60939" w:rsidP="00E9094A">
      <w:pPr>
        <w:pStyle w:val="3-SubsectionHeading"/>
        <w:rPr>
          <w:lang w:val="en-AU"/>
        </w:rPr>
      </w:pPr>
      <w:bookmarkStart w:id="23" w:name="_Toc22897644"/>
      <w:bookmarkStart w:id="24" w:name="_Toc62040068"/>
      <w:r w:rsidRPr="00C927B9">
        <w:rPr>
          <w:lang w:val="en-AU"/>
        </w:rPr>
        <w:t>Clinical claim</w:t>
      </w:r>
      <w:bookmarkEnd w:id="23"/>
      <w:bookmarkEnd w:id="24"/>
    </w:p>
    <w:p w:rsidR="00BC31BF" w:rsidRPr="00C927B9" w:rsidRDefault="00BC31BF" w:rsidP="00032E45">
      <w:pPr>
        <w:pStyle w:val="ExecSumBodyText"/>
        <w:rPr>
          <w:iCs/>
          <w:lang w:val="en-AU"/>
        </w:rPr>
      </w:pPr>
      <w:r w:rsidRPr="00C927B9">
        <w:rPr>
          <w:lang w:val="en-AU"/>
        </w:rPr>
        <w:t xml:space="preserve">The submission described venetoclax in combination with azacitidine as superior in terms of effectiveness and inferior in terms of safety compared to with azacitidine or LoDAC monotherapies (all in combination with best supportive care). </w:t>
      </w:r>
    </w:p>
    <w:p w:rsidR="00BC31BF" w:rsidRPr="00C927B9" w:rsidRDefault="00BC31BF" w:rsidP="00032E45">
      <w:pPr>
        <w:pStyle w:val="ExecSumBodyText"/>
        <w:rPr>
          <w:iCs/>
          <w:lang w:val="en-AU"/>
        </w:rPr>
      </w:pPr>
      <w:r w:rsidRPr="00C927B9">
        <w:rPr>
          <w:iCs/>
          <w:lang w:val="en-AU"/>
        </w:rPr>
        <w:t xml:space="preserve">The therapeutic conclusions presented in the submission </w:t>
      </w:r>
      <w:r w:rsidR="000C396D" w:rsidRPr="00C927B9">
        <w:rPr>
          <w:iCs/>
          <w:lang w:val="en-AU"/>
        </w:rPr>
        <w:t>were</w:t>
      </w:r>
      <w:r w:rsidRPr="00C927B9">
        <w:rPr>
          <w:iCs/>
          <w:lang w:val="en-AU"/>
        </w:rPr>
        <w:t xml:space="preserve"> adequately supported by the </w:t>
      </w:r>
      <w:r w:rsidR="00284D8C" w:rsidRPr="00C927B9">
        <w:rPr>
          <w:iCs/>
          <w:lang w:val="en-AU"/>
        </w:rPr>
        <w:t xml:space="preserve">clinical </w:t>
      </w:r>
      <w:r w:rsidRPr="00C927B9">
        <w:rPr>
          <w:iCs/>
          <w:lang w:val="en-AU"/>
        </w:rPr>
        <w:t xml:space="preserve">evidence presented </w:t>
      </w:r>
      <w:r w:rsidR="00284D8C" w:rsidRPr="00C927B9">
        <w:rPr>
          <w:iCs/>
          <w:lang w:val="en-AU"/>
        </w:rPr>
        <w:t>above</w:t>
      </w:r>
      <w:r w:rsidR="008367DE" w:rsidRPr="00C927B9">
        <w:rPr>
          <w:iCs/>
          <w:lang w:val="en-AU"/>
        </w:rPr>
        <w:t xml:space="preserve">. However, </w:t>
      </w:r>
      <w:r w:rsidR="002A2DF3" w:rsidRPr="00C927B9">
        <w:rPr>
          <w:iCs/>
          <w:lang w:val="en-AU"/>
        </w:rPr>
        <w:t>the ESC noted the following uncertainties</w:t>
      </w:r>
      <w:r w:rsidRPr="00C927B9">
        <w:rPr>
          <w:iCs/>
          <w:lang w:val="en-AU"/>
        </w:rPr>
        <w:t>:</w:t>
      </w:r>
    </w:p>
    <w:p w:rsidR="00BC31BF" w:rsidRPr="00C927B9" w:rsidRDefault="00BC31BF" w:rsidP="00D622F5">
      <w:pPr>
        <w:pStyle w:val="ExecSumBodyText"/>
        <w:numPr>
          <w:ilvl w:val="1"/>
          <w:numId w:val="5"/>
        </w:numPr>
        <w:ind w:left="1100" w:hanging="380"/>
        <w:rPr>
          <w:iCs/>
          <w:lang w:val="en-AU"/>
        </w:rPr>
      </w:pPr>
      <w:r w:rsidRPr="00C927B9">
        <w:rPr>
          <w:iCs/>
          <w:lang w:val="en-AU"/>
        </w:rPr>
        <w:t>The inclusion criteria of the M15-656 and M16-043 trials presented in the submission may not be applicable to the Australian setting, given differences between the trials and Australian setting in terms of identifying patients unfit for intensive induction chemotherapy, gender, ECOG status, de novo versus secondary AML status</w:t>
      </w:r>
      <w:r w:rsidR="002A2DF3" w:rsidRPr="00C927B9">
        <w:rPr>
          <w:iCs/>
          <w:lang w:val="en-AU"/>
        </w:rPr>
        <w:t xml:space="preserve">, prior </w:t>
      </w:r>
      <w:r w:rsidR="006804AD" w:rsidRPr="00C927B9">
        <w:rPr>
          <w:iCs/>
          <w:lang w:val="en-AU"/>
        </w:rPr>
        <w:t>therapies for MDS</w:t>
      </w:r>
      <w:r w:rsidR="002A2DF3" w:rsidRPr="00C927B9">
        <w:rPr>
          <w:iCs/>
          <w:lang w:val="en-AU"/>
        </w:rPr>
        <w:t>,</w:t>
      </w:r>
      <w:r w:rsidRPr="00C927B9">
        <w:rPr>
          <w:iCs/>
          <w:lang w:val="en-AU"/>
        </w:rPr>
        <w:t xml:space="preserve"> and baseline cytogenetic risk. </w:t>
      </w:r>
      <w:r w:rsidR="00925A2E" w:rsidRPr="00C927B9">
        <w:rPr>
          <w:iCs/>
          <w:lang w:val="en-AU"/>
        </w:rPr>
        <w:t xml:space="preserve">The PSCR argued that </w:t>
      </w:r>
      <w:r w:rsidR="000E0F4A" w:rsidRPr="00C927B9">
        <w:rPr>
          <w:iCs/>
          <w:lang w:val="en-AU"/>
        </w:rPr>
        <w:t xml:space="preserve">complementary subgroup analyses presented in the submission did not show any consistent treatment effect modification with respect to OS and EFS, and the treatment effect in each subgroup analysis was consistent with the overall ITT population in both trials. </w:t>
      </w:r>
      <w:r w:rsidR="00C43356" w:rsidRPr="00C927B9">
        <w:rPr>
          <w:iCs/>
          <w:lang w:val="en-AU"/>
        </w:rPr>
        <w:t xml:space="preserve">Thus, it considered it unlikely that potential differences between trial participants and patients in Australian clinical practice would impact the relative treatment effect of venetoclax combination therapy. </w:t>
      </w:r>
    </w:p>
    <w:p w:rsidR="00BC31BF" w:rsidRPr="00C927B9" w:rsidRDefault="00BC31BF" w:rsidP="00D622F5">
      <w:pPr>
        <w:pStyle w:val="ExecSumBodyText"/>
        <w:numPr>
          <w:ilvl w:val="1"/>
          <w:numId w:val="5"/>
        </w:numPr>
        <w:ind w:left="1100" w:hanging="380"/>
        <w:rPr>
          <w:iCs/>
          <w:lang w:val="en-AU"/>
        </w:rPr>
      </w:pPr>
      <w:r w:rsidRPr="00C927B9">
        <w:rPr>
          <w:iCs/>
          <w:lang w:val="en-AU"/>
        </w:rPr>
        <w:t xml:space="preserve">The magnitude of benefit associated with venetoclax with azacitidine compared to LoDAC monotherapy </w:t>
      </w:r>
      <w:r w:rsidR="000C396D" w:rsidRPr="00C927B9">
        <w:rPr>
          <w:iCs/>
          <w:lang w:val="en-AU"/>
        </w:rPr>
        <w:t>was</w:t>
      </w:r>
      <w:r w:rsidRPr="00C927B9">
        <w:rPr>
          <w:iCs/>
          <w:lang w:val="en-AU"/>
        </w:rPr>
        <w:t xml:space="preserve"> uncertain given that neither the Bucher indirect </w:t>
      </w:r>
      <w:r w:rsidRPr="00C927B9">
        <w:rPr>
          <w:iCs/>
          <w:lang w:val="en-AU"/>
        </w:rPr>
        <w:lastRenderedPageBreak/>
        <w:t>comparison (with substantial differences between M15-656 and AZA-AML-001 trials and poor transitivity) nor the propensity weighted indirect comparison (with poor documentation resulting in uncertainty in whether differences in characteristics were adequately adjusted for) provides a strong basis for assessing relative treatment effects. In the absence of more reliable estimates</w:t>
      </w:r>
      <w:r w:rsidR="009F01AC" w:rsidRPr="00C927B9">
        <w:rPr>
          <w:iCs/>
          <w:lang w:val="en-AU"/>
        </w:rPr>
        <w:t>,</w:t>
      </w:r>
      <w:r w:rsidRPr="00C927B9">
        <w:rPr>
          <w:iCs/>
          <w:lang w:val="en-AU"/>
        </w:rPr>
        <w:t xml:space="preserve"> it may be reasonable to assume the </w:t>
      </w:r>
      <w:r w:rsidR="00D275AE" w:rsidRPr="00C927B9">
        <w:rPr>
          <w:iCs/>
          <w:lang w:val="en-AU"/>
        </w:rPr>
        <w:t xml:space="preserve">incremental </w:t>
      </w:r>
      <w:r w:rsidRPr="00C927B9">
        <w:rPr>
          <w:iCs/>
          <w:lang w:val="en-AU"/>
        </w:rPr>
        <w:t xml:space="preserve">benefit of venetoclax with azacitidine </w:t>
      </w:r>
      <w:r w:rsidR="00D275AE" w:rsidRPr="00C927B9">
        <w:rPr>
          <w:iCs/>
          <w:lang w:val="en-AU"/>
        </w:rPr>
        <w:t>versus</w:t>
      </w:r>
      <w:r w:rsidRPr="00C927B9">
        <w:rPr>
          <w:iCs/>
          <w:lang w:val="en-AU"/>
        </w:rPr>
        <w:t xml:space="preserve"> LoDAC monotherapy </w:t>
      </w:r>
      <w:r w:rsidR="009B60D3" w:rsidRPr="00C927B9">
        <w:rPr>
          <w:iCs/>
          <w:lang w:val="en-AU"/>
        </w:rPr>
        <w:t xml:space="preserve">is </w:t>
      </w:r>
      <w:r w:rsidRPr="00C927B9">
        <w:rPr>
          <w:iCs/>
          <w:lang w:val="en-AU"/>
        </w:rPr>
        <w:t xml:space="preserve">similar </w:t>
      </w:r>
      <w:r w:rsidR="009B60D3" w:rsidRPr="00C927B9">
        <w:rPr>
          <w:iCs/>
          <w:lang w:val="en-AU"/>
        </w:rPr>
        <w:t>to the incremental benefit versus</w:t>
      </w:r>
      <w:r w:rsidRPr="00C927B9">
        <w:rPr>
          <w:iCs/>
          <w:lang w:val="en-AU"/>
        </w:rPr>
        <w:t xml:space="preserve"> azacitidine monotherapy. </w:t>
      </w:r>
      <w:r w:rsidR="00C43356" w:rsidRPr="00C927B9">
        <w:rPr>
          <w:iCs/>
          <w:lang w:val="en-AU"/>
        </w:rPr>
        <w:t xml:space="preserve">The PSCR </w:t>
      </w:r>
      <w:r w:rsidR="00D94913" w:rsidRPr="00C927B9">
        <w:rPr>
          <w:iCs/>
          <w:lang w:val="en-AU"/>
        </w:rPr>
        <w:t>disputed this, stating that the indirect estimate from the B</w:t>
      </w:r>
      <w:r w:rsidR="006804AD" w:rsidRPr="00C927B9">
        <w:rPr>
          <w:iCs/>
          <w:lang w:val="en-AU"/>
        </w:rPr>
        <w:t>u</w:t>
      </w:r>
      <w:r w:rsidR="00D94913" w:rsidRPr="00C927B9">
        <w:rPr>
          <w:iCs/>
          <w:lang w:val="en-AU"/>
        </w:rPr>
        <w:t xml:space="preserve">cher ITC was the most conservative of the indirect analyses and demonstrated a slightly greater incremental OS advantage for venetoclax with </w:t>
      </w:r>
      <w:r w:rsidR="000C396D" w:rsidRPr="00C927B9">
        <w:rPr>
          <w:iCs/>
          <w:lang w:val="en-AU"/>
        </w:rPr>
        <w:t>azacitidine</w:t>
      </w:r>
      <w:r w:rsidR="00D94913" w:rsidRPr="00C927B9">
        <w:rPr>
          <w:iCs/>
          <w:lang w:val="en-AU"/>
        </w:rPr>
        <w:t xml:space="preserve"> against LoDAC compared with azacitidine monotherapy. </w:t>
      </w:r>
    </w:p>
    <w:p w:rsidR="00D1217D" w:rsidRPr="00C927B9" w:rsidRDefault="00D1217D" w:rsidP="00D1217D">
      <w:pPr>
        <w:pStyle w:val="ExecSumBodyText"/>
        <w:rPr>
          <w:lang w:val="en-AU" w:eastAsia="en-US"/>
        </w:rPr>
      </w:pPr>
      <w:bookmarkStart w:id="25" w:name="_Toc22897645"/>
      <w:bookmarkStart w:id="26" w:name="_Toc62040069"/>
      <w:r w:rsidRPr="00C927B9">
        <w:rPr>
          <w:lang w:val="en-AU"/>
        </w:rPr>
        <w:t>The</w:t>
      </w:r>
      <w:r w:rsidRPr="00C927B9">
        <w:rPr>
          <w:lang w:val="en-AU" w:eastAsia="en-US"/>
        </w:rPr>
        <w:t xml:space="preserve"> </w:t>
      </w:r>
      <w:r w:rsidRPr="00C927B9">
        <w:rPr>
          <w:lang w:val="en-AU"/>
        </w:rPr>
        <w:t>PBAC</w:t>
      </w:r>
      <w:r w:rsidRPr="00C927B9">
        <w:rPr>
          <w:lang w:val="en-AU" w:eastAsia="en-US"/>
        </w:rPr>
        <w:t xml:space="preserve"> considered that the claim of superior comparative effectiveness was adequately supported by the data, noting that the magnitude of the benefit was uncertain due to the issues described above.</w:t>
      </w:r>
    </w:p>
    <w:p w:rsidR="00D1217D" w:rsidRPr="00C927B9" w:rsidRDefault="00D1217D" w:rsidP="00D1217D">
      <w:pPr>
        <w:pStyle w:val="ExecSumBodyText"/>
        <w:rPr>
          <w:lang w:val="en-AU" w:eastAsia="en-US"/>
        </w:rPr>
      </w:pPr>
      <w:r w:rsidRPr="00C927B9">
        <w:rPr>
          <w:lang w:val="en-AU" w:eastAsia="en-US"/>
        </w:rPr>
        <w:t>The PBAC considered that the claim of inferior comparative safety was reasonable.</w:t>
      </w:r>
    </w:p>
    <w:p w:rsidR="00B60939" w:rsidRPr="00C927B9" w:rsidRDefault="00B60939" w:rsidP="00E9094A">
      <w:pPr>
        <w:pStyle w:val="3-SubsectionHeading"/>
        <w:rPr>
          <w:lang w:val="en-AU"/>
        </w:rPr>
      </w:pPr>
      <w:r w:rsidRPr="00C927B9">
        <w:rPr>
          <w:lang w:val="en-AU"/>
        </w:rPr>
        <w:t>Economic analysis</w:t>
      </w:r>
      <w:bookmarkEnd w:id="25"/>
      <w:bookmarkEnd w:id="26"/>
      <w:r w:rsidR="00491B3A" w:rsidRPr="00C927B9">
        <w:rPr>
          <w:lang w:val="en-AU"/>
        </w:rPr>
        <w:t xml:space="preserve"> </w:t>
      </w:r>
    </w:p>
    <w:p w:rsidR="00E86920" w:rsidRPr="00C927B9" w:rsidRDefault="00E86920" w:rsidP="00E86920">
      <w:pPr>
        <w:pStyle w:val="ExecSumBodyText"/>
        <w:rPr>
          <w:lang w:val="en-AU"/>
        </w:rPr>
      </w:pPr>
      <w:r w:rsidRPr="00C927B9">
        <w:rPr>
          <w:lang w:val="en-AU"/>
        </w:rPr>
        <w:t>The submission presented two economic evaluations:</w:t>
      </w:r>
    </w:p>
    <w:p w:rsidR="00E86920" w:rsidRPr="00C927B9" w:rsidRDefault="00E86920" w:rsidP="00D622F5">
      <w:pPr>
        <w:pStyle w:val="ExecSumBodyText"/>
        <w:numPr>
          <w:ilvl w:val="1"/>
          <w:numId w:val="5"/>
        </w:numPr>
        <w:ind w:left="1100" w:hanging="380"/>
        <w:rPr>
          <w:lang w:val="en-AU"/>
        </w:rPr>
      </w:pPr>
      <w:r w:rsidRPr="00C927B9">
        <w:rPr>
          <w:lang w:val="en-AU"/>
        </w:rPr>
        <w:t>a modelled economic evaluation of venetoclax with azacitidine compared to azacitidine, based on extrapolated survival curves from Trial M15-656 and other modelled variables; and</w:t>
      </w:r>
    </w:p>
    <w:p w:rsidR="00E86920" w:rsidRPr="00C927B9" w:rsidRDefault="00E86920" w:rsidP="00D622F5">
      <w:pPr>
        <w:pStyle w:val="ExecSumBodyText"/>
        <w:numPr>
          <w:ilvl w:val="1"/>
          <w:numId w:val="5"/>
        </w:numPr>
        <w:ind w:left="1100" w:hanging="380"/>
        <w:rPr>
          <w:lang w:val="en-AU"/>
        </w:rPr>
      </w:pPr>
      <w:r w:rsidRPr="00C927B9">
        <w:rPr>
          <w:lang w:val="en-AU"/>
        </w:rPr>
        <w:t xml:space="preserve">a modelled economic evaluation of venetoclax with azacitidine and </w:t>
      </w:r>
      <w:r w:rsidR="00D94913" w:rsidRPr="00C927B9">
        <w:rPr>
          <w:lang w:val="en-AU"/>
        </w:rPr>
        <w:t>LoDAC</w:t>
      </w:r>
      <w:r w:rsidRPr="00C927B9">
        <w:rPr>
          <w:lang w:val="en-AU"/>
        </w:rPr>
        <w:t xml:space="preserve">, based on an indirect comparison of overall survival (based on M15-656 and AZA-AML-001) and a naïve comparison of event-free survival (based on M15-656 and M16-043) and other modelled variables. </w:t>
      </w:r>
    </w:p>
    <w:p w:rsidR="00567656" w:rsidRPr="00C927B9" w:rsidRDefault="000D4707" w:rsidP="00641FB3">
      <w:pPr>
        <w:pStyle w:val="ExecSumBodyText"/>
        <w:rPr>
          <w:b/>
          <w:bCs/>
          <w:lang w:val="en-AU"/>
        </w:rPr>
      </w:pPr>
      <w:r w:rsidRPr="00C927B9">
        <w:rPr>
          <w:lang w:val="en-AU"/>
        </w:rPr>
        <w:t xml:space="preserve">Azacitidine is currently PBS listed only for patients with myelodysplastic syndrome, chronic myelomonocytic leukaemia, and AML with 20% to 30% marrow blasts who have multi-lineage dysplasia. </w:t>
      </w:r>
      <w:r w:rsidRPr="00C927B9">
        <w:rPr>
          <w:iCs/>
          <w:lang w:val="en-AU"/>
        </w:rPr>
        <w:t>Azacitidine is a high cost therapy with a similar cost to venetoclax on a monthly basis. The cost-effectiveness of azacitidine as a comparator regimen in the broader proposed PBS population has not been established.</w:t>
      </w:r>
    </w:p>
    <w:p w:rsidR="00C47361" w:rsidRPr="00C927B9" w:rsidRDefault="00C47361" w:rsidP="00641FB3">
      <w:pPr>
        <w:pStyle w:val="ExecSumBodyText"/>
        <w:rPr>
          <w:b/>
          <w:bCs/>
          <w:lang w:val="en-AU"/>
        </w:rPr>
      </w:pPr>
      <w:r w:rsidRPr="00C927B9">
        <w:rPr>
          <w:lang w:val="en-AU"/>
        </w:rPr>
        <w:t>The submission presented a weighted incremental cost effectiveness ratio</w:t>
      </w:r>
      <w:r w:rsidR="0004760C" w:rsidRPr="00C927B9">
        <w:rPr>
          <w:lang w:val="en-AU"/>
        </w:rPr>
        <w:t xml:space="preserve"> (ICER)</w:t>
      </w:r>
      <w:r w:rsidRPr="00C927B9">
        <w:rPr>
          <w:lang w:val="en-AU"/>
        </w:rPr>
        <w:t xml:space="preserve">, based on expected substitution of venetoclax with azacitidine for azacitidine and </w:t>
      </w:r>
      <w:r w:rsidR="00D94913" w:rsidRPr="00C927B9">
        <w:rPr>
          <w:lang w:val="en-AU"/>
        </w:rPr>
        <w:t>LoDAC</w:t>
      </w:r>
      <w:r w:rsidRPr="00C927B9">
        <w:rPr>
          <w:lang w:val="en-AU"/>
        </w:rPr>
        <w:t xml:space="preserve"> in Australian clinical practice. </w:t>
      </w:r>
      <w:r w:rsidR="00211DCB" w:rsidRPr="00C927B9">
        <w:rPr>
          <w:lang w:val="en-AU"/>
        </w:rPr>
        <w:t>The economic evaluation was presented as a cost utility analysis.</w:t>
      </w:r>
    </w:p>
    <w:p w:rsidR="00275C5A" w:rsidRPr="00C927B9" w:rsidRDefault="0060344B" w:rsidP="0060344B">
      <w:pPr>
        <w:pStyle w:val="Caption"/>
        <w:rPr>
          <w:lang w:val="en-AU"/>
        </w:rPr>
      </w:pPr>
      <w:r w:rsidRPr="00C927B9">
        <w:rPr>
          <w:lang w:val="en-AU"/>
        </w:rPr>
        <w:lastRenderedPageBreak/>
        <w:t xml:space="preserve">Table </w:t>
      </w:r>
      <w:r w:rsidR="00DB3600" w:rsidRPr="00C927B9">
        <w:rPr>
          <w:lang w:val="en-AU"/>
        </w:rPr>
        <w:t>11</w:t>
      </w:r>
      <w:r w:rsidRPr="00C927B9">
        <w:rPr>
          <w:lang w:val="en-AU"/>
        </w:rPr>
        <w:t>:</w:t>
      </w:r>
      <w:r w:rsidR="00275C5A" w:rsidRPr="00C927B9">
        <w:rPr>
          <w:lang w:val="en-AU"/>
        </w:rPr>
        <w:t xml:space="preserve"> Summary of model structure</w:t>
      </w:r>
      <w:r w:rsidR="00184B0E" w:rsidRPr="00C927B9">
        <w:rPr>
          <w:lang w:val="en-AU"/>
        </w:rPr>
        <w:t>, key inputs</w:t>
      </w:r>
      <w:r w:rsidR="00275C5A" w:rsidRPr="00C927B9">
        <w:rPr>
          <w:lang w:val="en-AU"/>
        </w:rPr>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29"/>
        <w:gridCol w:w="7888"/>
      </w:tblGrid>
      <w:tr w:rsidR="00275C5A" w:rsidRPr="00C927B9" w:rsidTr="00B718E2">
        <w:trPr>
          <w:tblHeader/>
        </w:trPr>
        <w:tc>
          <w:tcPr>
            <w:tcW w:w="626" w:type="pct"/>
            <w:shd w:val="clear" w:color="auto" w:fill="auto"/>
            <w:vAlign w:val="center"/>
          </w:tcPr>
          <w:p w:rsidR="00275C5A" w:rsidRPr="00C927B9" w:rsidRDefault="00275C5A" w:rsidP="00641FB3">
            <w:pPr>
              <w:pStyle w:val="Tableheadingrow"/>
              <w:rPr>
                <w:lang w:val="en-AU"/>
              </w:rPr>
            </w:pPr>
            <w:r w:rsidRPr="00C927B9">
              <w:rPr>
                <w:lang w:val="en-AU"/>
              </w:rPr>
              <w:t>Component</w:t>
            </w:r>
          </w:p>
        </w:tc>
        <w:tc>
          <w:tcPr>
            <w:tcW w:w="4374" w:type="pct"/>
            <w:shd w:val="clear" w:color="auto" w:fill="auto"/>
            <w:vAlign w:val="center"/>
          </w:tcPr>
          <w:p w:rsidR="00275C5A" w:rsidRPr="00C927B9" w:rsidRDefault="00275C5A" w:rsidP="00641FB3">
            <w:pPr>
              <w:pStyle w:val="Tableheadingrow"/>
              <w:rPr>
                <w:lang w:val="en-AU"/>
              </w:rPr>
            </w:pPr>
            <w:r w:rsidRPr="00C927B9">
              <w:rPr>
                <w:lang w:val="en-AU"/>
              </w:rPr>
              <w:t>Summary</w:t>
            </w:r>
          </w:p>
        </w:tc>
      </w:tr>
      <w:tr w:rsidR="000A6039" w:rsidRPr="00C927B9" w:rsidTr="00B718E2">
        <w:tc>
          <w:tcPr>
            <w:tcW w:w="626" w:type="pct"/>
            <w:shd w:val="clear" w:color="auto" w:fill="auto"/>
            <w:vAlign w:val="center"/>
          </w:tcPr>
          <w:p w:rsidR="000A6039" w:rsidRPr="00C927B9" w:rsidRDefault="000A6039" w:rsidP="00BB00B3">
            <w:pPr>
              <w:pStyle w:val="TableText"/>
            </w:pPr>
            <w:r w:rsidRPr="00C927B9">
              <w:t>Treatments</w:t>
            </w:r>
          </w:p>
        </w:tc>
        <w:tc>
          <w:tcPr>
            <w:tcW w:w="4374" w:type="pct"/>
            <w:shd w:val="clear" w:color="auto" w:fill="auto"/>
            <w:vAlign w:val="center"/>
          </w:tcPr>
          <w:p w:rsidR="000A6039" w:rsidRPr="00C927B9" w:rsidRDefault="007E4326" w:rsidP="00BB00B3">
            <w:pPr>
              <w:pStyle w:val="TableText"/>
            </w:pPr>
            <w:r w:rsidRPr="00C927B9">
              <w:t>Venetoclax with azacitidine, azacitidine monotherapy, low-dose cytarabine monotherapy</w:t>
            </w:r>
            <w:r w:rsidR="000D4241" w:rsidRPr="00C927B9">
              <w:t xml:space="preserve"> (LoDAC)</w:t>
            </w:r>
          </w:p>
        </w:tc>
      </w:tr>
      <w:tr w:rsidR="00307C9F" w:rsidRPr="00C927B9" w:rsidTr="00B718E2">
        <w:tc>
          <w:tcPr>
            <w:tcW w:w="626" w:type="pct"/>
            <w:shd w:val="clear" w:color="auto" w:fill="auto"/>
            <w:vAlign w:val="center"/>
          </w:tcPr>
          <w:p w:rsidR="00307C9F" w:rsidRPr="00C927B9" w:rsidRDefault="00307C9F" w:rsidP="00307C9F">
            <w:pPr>
              <w:pStyle w:val="TableText"/>
            </w:pPr>
            <w:r w:rsidRPr="00C927B9">
              <w:t>Time horizon</w:t>
            </w:r>
          </w:p>
        </w:tc>
        <w:tc>
          <w:tcPr>
            <w:tcW w:w="4374" w:type="pct"/>
            <w:shd w:val="clear" w:color="auto" w:fill="auto"/>
          </w:tcPr>
          <w:p w:rsidR="00307C9F" w:rsidRPr="00C927B9" w:rsidRDefault="00307C9F" w:rsidP="00B718E2">
            <w:pPr>
              <w:pStyle w:val="TableText"/>
            </w:pPr>
            <w:r w:rsidRPr="00C927B9">
              <w:t>20 years in the model base case versus median duration of follow-up of 20.5 months in M15-656 and 17.5</w:t>
            </w:r>
            <w:r w:rsidR="00B718E2" w:rsidRPr="00C927B9">
              <w:t> </w:t>
            </w:r>
            <w:r w:rsidRPr="00C927B9">
              <w:t>months in M16-043</w:t>
            </w:r>
          </w:p>
        </w:tc>
      </w:tr>
      <w:tr w:rsidR="00514DF5" w:rsidRPr="00C927B9" w:rsidTr="00B718E2">
        <w:tc>
          <w:tcPr>
            <w:tcW w:w="626" w:type="pct"/>
            <w:shd w:val="clear" w:color="auto" w:fill="auto"/>
            <w:vAlign w:val="center"/>
          </w:tcPr>
          <w:p w:rsidR="00514DF5" w:rsidRPr="00C927B9" w:rsidRDefault="00514DF5" w:rsidP="00514DF5">
            <w:pPr>
              <w:pStyle w:val="TableText"/>
            </w:pPr>
            <w:r w:rsidRPr="00C927B9">
              <w:t>Outcomes</w:t>
            </w:r>
          </w:p>
        </w:tc>
        <w:tc>
          <w:tcPr>
            <w:tcW w:w="4374" w:type="pct"/>
            <w:shd w:val="clear" w:color="auto" w:fill="auto"/>
          </w:tcPr>
          <w:p w:rsidR="00514DF5" w:rsidRPr="00C927B9" w:rsidRDefault="00514DF5" w:rsidP="00514DF5">
            <w:pPr>
              <w:pStyle w:val="TableText"/>
            </w:pPr>
            <w:r w:rsidRPr="00C927B9">
              <w:t>Event-free life years; life years, quality adjusted life years (QALYs)</w:t>
            </w:r>
          </w:p>
        </w:tc>
      </w:tr>
      <w:tr w:rsidR="000C2D25" w:rsidRPr="00C927B9" w:rsidTr="00B718E2">
        <w:tc>
          <w:tcPr>
            <w:tcW w:w="626" w:type="pct"/>
            <w:shd w:val="clear" w:color="auto" w:fill="auto"/>
            <w:vAlign w:val="center"/>
          </w:tcPr>
          <w:p w:rsidR="000C2D25" w:rsidRPr="00C927B9" w:rsidRDefault="000C2D25" w:rsidP="000C2D25">
            <w:pPr>
              <w:pStyle w:val="TableText"/>
            </w:pPr>
            <w:r w:rsidRPr="00C927B9">
              <w:t>Methods used to generate results</w:t>
            </w:r>
          </w:p>
        </w:tc>
        <w:tc>
          <w:tcPr>
            <w:tcW w:w="4374" w:type="pct"/>
            <w:shd w:val="clear" w:color="auto" w:fill="auto"/>
          </w:tcPr>
          <w:p w:rsidR="000C2D25" w:rsidRPr="00C927B9" w:rsidRDefault="000C2D25" w:rsidP="000C2D25">
            <w:pPr>
              <w:pStyle w:val="TableText"/>
            </w:pPr>
            <w:r w:rsidRPr="00C927B9">
              <w:t>Partitioned survival analysis</w:t>
            </w:r>
          </w:p>
        </w:tc>
      </w:tr>
      <w:tr w:rsidR="004C0C80" w:rsidRPr="00C927B9" w:rsidTr="00B718E2">
        <w:tc>
          <w:tcPr>
            <w:tcW w:w="626" w:type="pct"/>
            <w:shd w:val="clear" w:color="auto" w:fill="auto"/>
            <w:vAlign w:val="center"/>
          </w:tcPr>
          <w:p w:rsidR="004C0C80" w:rsidRPr="00C927B9" w:rsidRDefault="004C0C80" w:rsidP="004C0C80">
            <w:pPr>
              <w:pStyle w:val="TableText"/>
            </w:pPr>
            <w:r w:rsidRPr="00C927B9">
              <w:t>Health states</w:t>
            </w:r>
          </w:p>
        </w:tc>
        <w:tc>
          <w:tcPr>
            <w:tcW w:w="4374" w:type="pct"/>
            <w:shd w:val="clear" w:color="auto" w:fill="auto"/>
          </w:tcPr>
          <w:p w:rsidR="004C0C80" w:rsidRPr="00C927B9" w:rsidRDefault="004C0C80" w:rsidP="004C0C80">
            <w:pPr>
              <w:pStyle w:val="TableText"/>
            </w:pPr>
            <w:r w:rsidRPr="00C927B9">
              <w:t>Event-free; post-event; dead</w:t>
            </w:r>
          </w:p>
        </w:tc>
      </w:tr>
      <w:tr w:rsidR="004C0C80" w:rsidRPr="00C927B9" w:rsidTr="00B718E2">
        <w:tc>
          <w:tcPr>
            <w:tcW w:w="626" w:type="pct"/>
            <w:shd w:val="clear" w:color="auto" w:fill="auto"/>
            <w:vAlign w:val="center"/>
          </w:tcPr>
          <w:p w:rsidR="004C0C80" w:rsidRPr="00C927B9" w:rsidRDefault="004C0C80" w:rsidP="004C0C80">
            <w:pPr>
              <w:pStyle w:val="TableText"/>
            </w:pPr>
            <w:r w:rsidRPr="00C927B9">
              <w:t>Cycle length</w:t>
            </w:r>
          </w:p>
        </w:tc>
        <w:tc>
          <w:tcPr>
            <w:tcW w:w="4374" w:type="pct"/>
            <w:shd w:val="clear" w:color="auto" w:fill="auto"/>
            <w:vAlign w:val="center"/>
          </w:tcPr>
          <w:p w:rsidR="004C0C80" w:rsidRPr="00C927B9" w:rsidRDefault="004C0C80" w:rsidP="004C0C80">
            <w:pPr>
              <w:pStyle w:val="TableText"/>
            </w:pPr>
            <w:r w:rsidRPr="00C927B9">
              <w:t>28 days</w:t>
            </w:r>
          </w:p>
        </w:tc>
      </w:tr>
      <w:tr w:rsidR="004C0C80" w:rsidRPr="00C927B9" w:rsidTr="00B718E2">
        <w:tc>
          <w:tcPr>
            <w:tcW w:w="626" w:type="pct"/>
            <w:shd w:val="clear" w:color="auto" w:fill="auto"/>
            <w:vAlign w:val="center"/>
          </w:tcPr>
          <w:p w:rsidR="004C0C80" w:rsidRPr="00C927B9" w:rsidRDefault="004C0C80" w:rsidP="004C0C80">
            <w:pPr>
              <w:pStyle w:val="TableText"/>
            </w:pPr>
            <w:r w:rsidRPr="00C927B9">
              <w:t>Allocation to health states</w:t>
            </w:r>
          </w:p>
        </w:tc>
        <w:tc>
          <w:tcPr>
            <w:tcW w:w="4374" w:type="pct"/>
            <w:shd w:val="clear" w:color="auto" w:fill="auto"/>
            <w:vAlign w:val="center"/>
          </w:tcPr>
          <w:p w:rsidR="00B33715" w:rsidRPr="00C927B9" w:rsidRDefault="00BB075D" w:rsidP="00132027">
            <w:pPr>
              <w:pStyle w:val="TableText"/>
              <w:rPr>
                <w:u w:val="single"/>
              </w:rPr>
            </w:pPr>
            <w:r w:rsidRPr="00C927B9">
              <w:rPr>
                <w:u w:val="single"/>
              </w:rPr>
              <w:t>VTX+AZA versus AZA</w:t>
            </w:r>
          </w:p>
          <w:p w:rsidR="00BB075D" w:rsidRPr="00C927B9" w:rsidRDefault="00A6360A" w:rsidP="00D622F5">
            <w:pPr>
              <w:pStyle w:val="TableText"/>
              <w:numPr>
                <w:ilvl w:val="0"/>
                <w:numId w:val="10"/>
              </w:numPr>
              <w:ind w:left="170" w:hanging="170"/>
            </w:pPr>
            <w:r w:rsidRPr="00C927B9">
              <w:t>O</w:t>
            </w:r>
            <w:r w:rsidR="00BB075D" w:rsidRPr="00C927B9">
              <w:t>verall survival and event-free survival based on Kaplan-Meier curves from Trial M15-656 for the median duration of follow-up (20×28-day cycles), followed by parametric extrapolation.</w:t>
            </w:r>
          </w:p>
          <w:p w:rsidR="00A6360A" w:rsidRPr="00C927B9" w:rsidRDefault="00A6360A" w:rsidP="00D622F5">
            <w:pPr>
              <w:pStyle w:val="TableText"/>
              <w:numPr>
                <w:ilvl w:val="0"/>
                <w:numId w:val="10"/>
              </w:numPr>
              <w:ind w:left="170" w:hanging="170"/>
            </w:pPr>
            <w:r w:rsidRPr="00C927B9">
              <w:t xml:space="preserve">83% of incremental QALYs and 57% of the incremental costs </w:t>
            </w:r>
            <w:r w:rsidR="0004760C" w:rsidRPr="00C927B9">
              <w:t xml:space="preserve">were </w:t>
            </w:r>
            <w:r w:rsidRPr="00C927B9">
              <w:t>accrued in the extrapolated period.</w:t>
            </w:r>
          </w:p>
          <w:p w:rsidR="00FE4B7A" w:rsidRPr="00C927B9" w:rsidRDefault="00BB075D" w:rsidP="00132027">
            <w:pPr>
              <w:pStyle w:val="TableText"/>
              <w:rPr>
                <w:u w:val="single"/>
              </w:rPr>
            </w:pPr>
            <w:r w:rsidRPr="00C927B9">
              <w:rPr>
                <w:u w:val="single"/>
              </w:rPr>
              <w:t>VTX+AZA versus LoDAC</w:t>
            </w:r>
          </w:p>
          <w:p w:rsidR="004C0C80" w:rsidRPr="00C927B9" w:rsidRDefault="00FE4B7A" w:rsidP="00D622F5">
            <w:pPr>
              <w:pStyle w:val="TableText"/>
              <w:numPr>
                <w:ilvl w:val="0"/>
                <w:numId w:val="10"/>
              </w:numPr>
              <w:ind w:left="170" w:hanging="170"/>
            </w:pPr>
            <w:r w:rsidRPr="00C927B9">
              <w:t>O</w:t>
            </w:r>
            <w:r w:rsidR="00BB075D" w:rsidRPr="00C927B9">
              <w:t>verall survival based on Kaplan-Meier survival curve for VTX+AZA, with LoDAC informed by hazard ratio from indirect comparison between Trials M15-656 and AZA-AML-001; event-free survival based on a naïve comparison of Kaplan Meier curves from Trials M15-656 and M16-043 for median duration of follow-up of Trial M16-043 (18×28-day cycles), followed by parametric extrapolation.</w:t>
            </w:r>
          </w:p>
          <w:p w:rsidR="0040148D" w:rsidRPr="00C927B9" w:rsidRDefault="00FE4B7A" w:rsidP="000D4241">
            <w:pPr>
              <w:pStyle w:val="TableText"/>
              <w:numPr>
                <w:ilvl w:val="0"/>
                <w:numId w:val="10"/>
              </w:numPr>
              <w:ind w:left="170" w:hanging="170"/>
            </w:pPr>
            <w:r w:rsidRPr="00C927B9">
              <w:t xml:space="preserve">74% of incremental QALYs </w:t>
            </w:r>
            <w:r w:rsidR="00B53FAE" w:rsidRPr="00C927B9">
              <w:t xml:space="preserve">and </w:t>
            </w:r>
            <w:r w:rsidR="00F55EAE" w:rsidRPr="00C927B9">
              <w:t xml:space="preserve">45% of the incremental costs </w:t>
            </w:r>
            <w:r w:rsidR="0004760C" w:rsidRPr="00C927B9">
              <w:t xml:space="preserve">were </w:t>
            </w:r>
            <w:r w:rsidR="00F55EAE" w:rsidRPr="00C927B9">
              <w:t xml:space="preserve">accrued in the </w:t>
            </w:r>
            <w:r w:rsidR="00B53FAE" w:rsidRPr="00C927B9">
              <w:t>extrapolated</w:t>
            </w:r>
            <w:r w:rsidR="00F55EAE" w:rsidRPr="00C927B9">
              <w:t xml:space="preserve"> period.</w:t>
            </w:r>
          </w:p>
        </w:tc>
      </w:tr>
      <w:tr w:rsidR="00CD678B" w:rsidRPr="00C927B9" w:rsidTr="00B718E2">
        <w:tc>
          <w:tcPr>
            <w:tcW w:w="626" w:type="pct"/>
            <w:shd w:val="clear" w:color="auto" w:fill="auto"/>
            <w:vAlign w:val="center"/>
          </w:tcPr>
          <w:p w:rsidR="00CD678B" w:rsidRPr="00C927B9" w:rsidRDefault="00CD678B" w:rsidP="00CD678B">
            <w:pPr>
              <w:pStyle w:val="TableText"/>
            </w:pPr>
            <w:r w:rsidRPr="00C927B9">
              <w:t>Health related quality of life</w:t>
            </w:r>
          </w:p>
        </w:tc>
        <w:tc>
          <w:tcPr>
            <w:tcW w:w="4374" w:type="pct"/>
            <w:shd w:val="clear" w:color="auto" w:fill="auto"/>
            <w:vAlign w:val="center"/>
          </w:tcPr>
          <w:p w:rsidR="00CD678B" w:rsidRPr="00C927B9" w:rsidRDefault="00CD678B" w:rsidP="00CD678B">
            <w:pPr>
              <w:pStyle w:val="TableText"/>
            </w:pPr>
            <w:r w:rsidRPr="00C927B9">
              <w:t>Utilities for event-free disease with CR/</w:t>
            </w:r>
            <w:proofErr w:type="spellStart"/>
            <w:r w:rsidRPr="00C927B9">
              <w:t>CRi</w:t>
            </w:r>
            <w:proofErr w:type="spellEnd"/>
            <w:r w:rsidRPr="00C927B9">
              <w:t xml:space="preserve"> </w:t>
            </w:r>
            <w:r w:rsidR="00D72D8D" w:rsidRPr="00C927B9">
              <w:t xml:space="preserve">(0.807) </w:t>
            </w:r>
            <w:r w:rsidRPr="00C927B9">
              <w:t>and event-free disease without CR/</w:t>
            </w:r>
            <w:proofErr w:type="spellStart"/>
            <w:r w:rsidRPr="00C927B9">
              <w:t>CRi</w:t>
            </w:r>
            <w:proofErr w:type="spellEnd"/>
            <w:r w:rsidRPr="00C927B9">
              <w:t xml:space="preserve"> </w:t>
            </w:r>
            <w:r w:rsidR="00D72D8D" w:rsidRPr="00C927B9">
              <w:t xml:space="preserve">(0.740) </w:t>
            </w:r>
            <w:r w:rsidRPr="00C927B9">
              <w:t>based on EQ-5D-5L data from Trial M15-656. Based on a mixed effect model, accounting for clustering of values within each patient.</w:t>
            </w:r>
          </w:p>
          <w:p w:rsidR="006B534A" w:rsidRPr="00C927B9" w:rsidRDefault="00051E95" w:rsidP="00CD678B">
            <w:pPr>
              <w:pStyle w:val="TableText"/>
            </w:pPr>
            <w:r w:rsidRPr="00C927B9">
              <w:t>Utility for post-event health state (0.623) based on the utility for progressive disease used in the 2016 NICE Technology Appraisal Guidance for azacitidine.</w:t>
            </w:r>
          </w:p>
        </w:tc>
      </w:tr>
      <w:tr w:rsidR="00CD678B" w:rsidRPr="00C927B9" w:rsidTr="00B718E2">
        <w:tc>
          <w:tcPr>
            <w:tcW w:w="626" w:type="pct"/>
            <w:shd w:val="clear" w:color="auto" w:fill="auto"/>
            <w:vAlign w:val="center"/>
          </w:tcPr>
          <w:p w:rsidR="00CD678B" w:rsidRPr="00C927B9" w:rsidRDefault="00CD678B" w:rsidP="00CD678B">
            <w:pPr>
              <w:pStyle w:val="TableText"/>
            </w:pPr>
            <w:r w:rsidRPr="00C927B9">
              <w:t>Health resource use and costs</w:t>
            </w:r>
          </w:p>
        </w:tc>
        <w:tc>
          <w:tcPr>
            <w:tcW w:w="4374" w:type="pct"/>
            <w:shd w:val="clear" w:color="auto" w:fill="auto"/>
            <w:vAlign w:val="center"/>
          </w:tcPr>
          <w:p w:rsidR="00505224" w:rsidRPr="00C927B9" w:rsidRDefault="00520A97" w:rsidP="00CD678B">
            <w:pPr>
              <w:pStyle w:val="TableText"/>
            </w:pPr>
            <w:r w:rsidRPr="00C927B9">
              <w:t>Drug costs based on dose regimens and dose intensity in the key trials.</w:t>
            </w:r>
            <w:r w:rsidR="00CF6DAD" w:rsidRPr="00C927B9">
              <w:t xml:space="preserve"> </w:t>
            </w:r>
            <w:r w:rsidR="003A105C" w:rsidRPr="00C927B9">
              <w:t xml:space="preserve">Administration costs </w:t>
            </w:r>
            <w:r w:rsidR="004E1719" w:rsidRPr="00C927B9">
              <w:t xml:space="preserve">based on an assumed split between inpatient </w:t>
            </w:r>
            <w:r w:rsidR="00295F58" w:rsidRPr="00C927B9">
              <w:t xml:space="preserve">(67%) </w:t>
            </w:r>
            <w:r w:rsidR="004E1719" w:rsidRPr="00C927B9">
              <w:t xml:space="preserve">and day stay </w:t>
            </w:r>
            <w:r w:rsidR="00295F58" w:rsidRPr="00C927B9">
              <w:t xml:space="preserve">(33%) </w:t>
            </w:r>
            <w:r w:rsidR="004E1719" w:rsidRPr="00C927B9">
              <w:t>hospitalisation</w:t>
            </w:r>
            <w:r w:rsidR="00295F58" w:rsidRPr="00C927B9">
              <w:t xml:space="preserve"> in cycle 1</w:t>
            </w:r>
            <w:r w:rsidR="004E1719" w:rsidRPr="00C927B9">
              <w:t>;</w:t>
            </w:r>
            <w:r w:rsidR="00820EAC" w:rsidRPr="00C927B9">
              <w:t xml:space="preserve"> </w:t>
            </w:r>
            <w:r w:rsidR="00295F58" w:rsidRPr="00C927B9">
              <w:t>and outpatient administration in subsequent cycles</w:t>
            </w:r>
            <w:r w:rsidRPr="00C927B9">
              <w:t>.</w:t>
            </w:r>
          </w:p>
          <w:p w:rsidR="00505224" w:rsidRPr="00C927B9" w:rsidRDefault="00505224" w:rsidP="00CD678B">
            <w:pPr>
              <w:pStyle w:val="TableText"/>
            </w:pPr>
            <w:r w:rsidRPr="00C927B9">
              <w:t>Adverse event costs based on proportion</w:t>
            </w:r>
            <w:r w:rsidR="00491814" w:rsidRPr="00C927B9">
              <w:t>s</w:t>
            </w:r>
            <w:r w:rsidRPr="00C927B9">
              <w:t xml:space="preserve"> of patients hospitalised with adverse events and proportions of patients with selected treatment emergent adverse events in the key trials.</w:t>
            </w:r>
          </w:p>
          <w:p w:rsidR="00762232" w:rsidRPr="00C927B9" w:rsidRDefault="00114693" w:rsidP="00CD678B">
            <w:pPr>
              <w:pStyle w:val="TableText"/>
            </w:pPr>
            <w:r w:rsidRPr="00C927B9">
              <w:t xml:space="preserve">Costs of TLS prophylaxis and management </w:t>
            </w:r>
            <w:r w:rsidR="003B225A" w:rsidRPr="00C927B9">
              <w:t xml:space="preserve">based on </w:t>
            </w:r>
            <w:r w:rsidR="00505224" w:rsidRPr="00C927B9">
              <w:t>measures recommended in product information.</w:t>
            </w:r>
          </w:p>
          <w:p w:rsidR="00CD678B" w:rsidRPr="00C927B9" w:rsidRDefault="00762232" w:rsidP="00CD678B">
            <w:pPr>
              <w:pStyle w:val="TableText"/>
            </w:pPr>
            <w:r w:rsidRPr="00C927B9">
              <w:t>Subsequent treatment costs not included in the economic evaluation.</w:t>
            </w:r>
          </w:p>
          <w:p w:rsidR="00762232" w:rsidRPr="00C927B9" w:rsidRDefault="00762232" w:rsidP="00CD678B">
            <w:pPr>
              <w:pStyle w:val="TableText"/>
            </w:pPr>
            <w:r w:rsidRPr="00C927B9">
              <w:t>Disease management costs not included in the economic evaluation.</w:t>
            </w:r>
          </w:p>
        </w:tc>
      </w:tr>
    </w:tbl>
    <w:p w:rsidR="003270E4" w:rsidRPr="00C927B9" w:rsidRDefault="003270E4" w:rsidP="00BB00B3">
      <w:pPr>
        <w:pStyle w:val="TableFigureFooter"/>
        <w:rPr>
          <w:lang w:val="en-AU"/>
        </w:rPr>
      </w:pPr>
      <w:r w:rsidRPr="00C927B9">
        <w:rPr>
          <w:lang w:val="en-AU"/>
        </w:rPr>
        <w:t xml:space="preserve">Source: </w:t>
      </w:r>
      <w:r w:rsidR="00762232" w:rsidRPr="00C927B9">
        <w:rPr>
          <w:lang w:val="en-AU"/>
        </w:rPr>
        <w:t>Constructed during the evaluation</w:t>
      </w:r>
    </w:p>
    <w:p w:rsidR="000D4241" w:rsidRPr="00C927B9" w:rsidRDefault="000D4241" w:rsidP="00BB00B3">
      <w:pPr>
        <w:pStyle w:val="TableFigureFooter"/>
        <w:rPr>
          <w:lang w:val="en-AU"/>
        </w:rPr>
      </w:pPr>
      <w:r w:rsidRPr="00C927B9">
        <w:rPr>
          <w:lang w:val="en-AU"/>
        </w:rPr>
        <w:t xml:space="preserve">Abbreviations: CR, complete remission; </w:t>
      </w:r>
      <w:proofErr w:type="spellStart"/>
      <w:r w:rsidRPr="00C927B9">
        <w:rPr>
          <w:lang w:val="en-AU"/>
        </w:rPr>
        <w:t>CRi</w:t>
      </w:r>
      <w:proofErr w:type="spellEnd"/>
      <w:r w:rsidRPr="00C927B9">
        <w:rPr>
          <w:lang w:val="en-AU"/>
        </w:rPr>
        <w:t>, complete remission with incomplete blood count recovery.</w:t>
      </w:r>
    </w:p>
    <w:p w:rsidR="004673D2" w:rsidRPr="00C927B9" w:rsidRDefault="004553DB" w:rsidP="000A2C5C">
      <w:pPr>
        <w:pStyle w:val="ExecSumBodyText"/>
        <w:rPr>
          <w:lang w:val="en-AU"/>
        </w:rPr>
      </w:pPr>
      <w:r w:rsidRPr="00C927B9">
        <w:rPr>
          <w:lang w:val="en-AU"/>
        </w:rPr>
        <w:t>A partitioned survival design was implemented to distribute patients between model health states. The overall survival and event-free survival curves derived from Trials M15-656</w:t>
      </w:r>
      <w:r w:rsidR="004673D2" w:rsidRPr="00C927B9">
        <w:rPr>
          <w:lang w:val="en-AU"/>
        </w:rPr>
        <w:t>,</w:t>
      </w:r>
      <w:r w:rsidRPr="00C927B9">
        <w:rPr>
          <w:lang w:val="en-AU"/>
        </w:rPr>
        <w:t xml:space="preserve"> M16-043 </w:t>
      </w:r>
      <w:r w:rsidR="004673D2" w:rsidRPr="00C927B9">
        <w:rPr>
          <w:lang w:val="en-AU"/>
        </w:rPr>
        <w:t xml:space="preserve">and AZA-AML-001 </w:t>
      </w:r>
      <w:r w:rsidR="00245F49" w:rsidRPr="00C927B9">
        <w:rPr>
          <w:lang w:val="en-AU"/>
        </w:rPr>
        <w:t xml:space="preserve">were </w:t>
      </w:r>
      <w:r w:rsidRPr="00C927B9">
        <w:rPr>
          <w:lang w:val="en-AU"/>
        </w:rPr>
        <w:t>used to distribute patients between the model health states</w:t>
      </w:r>
      <w:r w:rsidR="000A2C5C" w:rsidRPr="00C927B9">
        <w:rPr>
          <w:lang w:val="en-AU"/>
        </w:rPr>
        <w:t>.</w:t>
      </w:r>
    </w:p>
    <w:p w:rsidR="00532FB9" w:rsidRPr="00C927B9" w:rsidRDefault="00532FB9" w:rsidP="00D73A6A">
      <w:pPr>
        <w:pStyle w:val="ExecSumBodyText"/>
        <w:rPr>
          <w:iCs/>
          <w:lang w:val="en-AU"/>
        </w:rPr>
      </w:pPr>
      <w:r w:rsidRPr="00C927B9">
        <w:rPr>
          <w:iCs/>
          <w:lang w:val="en-AU"/>
        </w:rPr>
        <w:t xml:space="preserve">In the included trials, event-free survival events incorporated death, disease progression, and treatment failure. </w:t>
      </w:r>
      <w:r w:rsidR="000D4241" w:rsidRPr="00C927B9">
        <w:rPr>
          <w:iCs/>
          <w:lang w:val="en-AU"/>
        </w:rPr>
        <w:t>Thus</w:t>
      </w:r>
      <w:r w:rsidRPr="00C927B9">
        <w:rPr>
          <w:iCs/>
          <w:lang w:val="en-AU"/>
        </w:rPr>
        <w:t>, the difference between the overall survival and event-free survival curves does not represent disease progression alone, but a mix of disease progression and treatment failure. Therefore</w:t>
      </w:r>
      <w:r w:rsidR="00704ECB" w:rsidRPr="00C927B9">
        <w:rPr>
          <w:iCs/>
          <w:lang w:val="en-AU"/>
        </w:rPr>
        <w:t>,</w:t>
      </w:r>
      <w:r w:rsidRPr="00C927B9">
        <w:rPr>
          <w:iCs/>
          <w:lang w:val="en-AU"/>
        </w:rPr>
        <w:t xml:space="preserve"> the </w:t>
      </w:r>
      <w:r w:rsidR="00D31207" w:rsidRPr="00C927B9">
        <w:rPr>
          <w:iCs/>
          <w:lang w:val="en-AU"/>
        </w:rPr>
        <w:t xml:space="preserve">evaluation and the ESC advice </w:t>
      </w:r>
      <w:r w:rsidRPr="00C927B9">
        <w:rPr>
          <w:iCs/>
          <w:lang w:val="en-AU"/>
        </w:rPr>
        <w:t>refer</w:t>
      </w:r>
      <w:r w:rsidR="000D4241" w:rsidRPr="00C927B9">
        <w:rPr>
          <w:iCs/>
          <w:lang w:val="en-AU"/>
        </w:rPr>
        <w:t>red</w:t>
      </w:r>
      <w:r w:rsidRPr="00C927B9">
        <w:rPr>
          <w:iCs/>
          <w:lang w:val="en-AU"/>
        </w:rPr>
        <w:t xml:space="preserve"> to the progressive disease state as a post-event state.</w:t>
      </w:r>
    </w:p>
    <w:p w:rsidR="00275C5A" w:rsidRPr="00C927B9" w:rsidRDefault="00DA74EB" w:rsidP="00DA74EB">
      <w:pPr>
        <w:pStyle w:val="ExecSumBodyText"/>
        <w:rPr>
          <w:lang w:val="en-AU"/>
        </w:rPr>
      </w:pPr>
      <w:r w:rsidRPr="00C927B9">
        <w:rPr>
          <w:lang w:val="en-AU"/>
        </w:rPr>
        <w:t>Key drivers of the economic model are summarised in the table below.</w:t>
      </w:r>
    </w:p>
    <w:p w:rsidR="00D110BD" w:rsidRPr="00C927B9" w:rsidRDefault="0060344B" w:rsidP="0060344B">
      <w:pPr>
        <w:pStyle w:val="Caption"/>
        <w:rPr>
          <w:lang w:val="en-AU"/>
        </w:rPr>
      </w:pPr>
      <w:bookmarkStart w:id="27" w:name="_Ref64029064"/>
      <w:r w:rsidRPr="00C927B9">
        <w:rPr>
          <w:lang w:val="en-AU"/>
        </w:rPr>
        <w:lastRenderedPageBreak/>
        <w:t xml:space="preserve">Table </w:t>
      </w:r>
      <w:r w:rsidR="00DB3600" w:rsidRPr="00C927B9">
        <w:rPr>
          <w:lang w:val="en-AU"/>
        </w:rPr>
        <w:t>12</w:t>
      </w:r>
      <w:bookmarkEnd w:id="27"/>
      <w:r w:rsidR="00D110BD" w:rsidRPr="00C927B9">
        <w:rPr>
          <w:lang w:val="en-AU"/>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7"/>
        <w:gridCol w:w="6665"/>
        <w:gridCol w:w="1225"/>
      </w:tblGrid>
      <w:tr w:rsidR="00537182" w:rsidRPr="00C927B9" w:rsidTr="003171FB">
        <w:trPr>
          <w:tblHeader/>
        </w:trPr>
        <w:tc>
          <w:tcPr>
            <w:tcW w:w="625" w:type="pct"/>
            <w:shd w:val="clear" w:color="auto" w:fill="auto"/>
            <w:vAlign w:val="center"/>
          </w:tcPr>
          <w:p w:rsidR="00D110BD" w:rsidRPr="00C927B9" w:rsidRDefault="00D110BD" w:rsidP="0083567F">
            <w:pPr>
              <w:pStyle w:val="Tableheadingrow"/>
              <w:keepNext w:val="0"/>
              <w:jc w:val="center"/>
              <w:rPr>
                <w:lang w:val="en-AU"/>
              </w:rPr>
            </w:pPr>
            <w:r w:rsidRPr="00C927B9">
              <w:rPr>
                <w:lang w:val="en-AU"/>
              </w:rPr>
              <w:t>Description</w:t>
            </w:r>
          </w:p>
        </w:tc>
        <w:tc>
          <w:tcPr>
            <w:tcW w:w="3696" w:type="pct"/>
            <w:shd w:val="clear" w:color="auto" w:fill="auto"/>
            <w:vAlign w:val="center"/>
          </w:tcPr>
          <w:p w:rsidR="00D110BD" w:rsidRPr="00C927B9" w:rsidRDefault="00D110BD" w:rsidP="0083567F">
            <w:pPr>
              <w:pStyle w:val="Tableheadingrow"/>
              <w:keepNext w:val="0"/>
              <w:jc w:val="center"/>
              <w:rPr>
                <w:lang w:val="en-AU"/>
              </w:rPr>
            </w:pPr>
            <w:r w:rsidRPr="00C927B9">
              <w:rPr>
                <w:lang w:val="en-AU"/>
              </w:rPr>
              <w:t>Method/Value</w:t>
            </w:r>
          </w:p>
        </w:tc>
        <w:tc>
          <w:tcPr>
            <w:tcW w:w="679" w:type="pct"/>
            <w:shd w:val="clear" w:color="auto" w:fill="auto"/>
            <w:vAlign w:val="center"/>
          </w:tcPr>
          <w:p w:rsidR="00490B17" w:rsidRPr="00C927B9" w:rsidRDefault="00D110BD" w:rsidP="0083567F">
            <w:pPr>
              <w:pStyle w:val="Tableheadingrow"/>
              <w:keepNext w:val="0"/>
              <w:jc w:val="center"/>
              <w:rPr>
                <w:lang w:val="en-AU"/>
              </w:rPr>
            </w:pPr>
            <w:r w:rsidRPr="00C927B9">
              <w:rPr>
                <w:lang w:val="en-AU"/>
              </w:rPr>
              <w:t>Impact</w:t>
            </w:r>
          </w:p>
        </w:tc>
      </w:tr>
      <w:tr w:rsidR="00537182" w:rsidRPr="00C927B9" w:rsidTr="003171FB">
        <w:tc>
          <w:tcPr>
            <w:tcW w:w="625" w:type="pct"/>
            <w:shd w:val="clear" w:color="auto" w:fill="auto"/>
            <w:vAlign w:val="center"/>
          </w:tcPr>
          <w:p w:rsidR="00D110BD" w:rsidRPr="00C927B9" w:rsidRDefault="00661461" w:rsidP="0083567F">
            <w:pPr>
              <w:pStyle w:val="TableText"/>
              <w:keepNext w:val="0"/>
            </w:pPr>
            <w:r w:rsidRPr="00C927B9">
              <w:t>Azacitidine vials per administration</w:t>
            </w:r>
          </w:p>
        </w:tc>
        <w:tc>
          <w:tcPr>
            <w:tcW w:w="3696" w:type="pct"/>
            <w:shd w:val="clear" w:color="auto" w:fill="auto"/>
            <w:vAlign w:val="center"/>
          </w:tcPr>
          <w:p w:rsidR="00964311" w:rsidRPr="00C927B9" w:rsidRDefault="009A668D" w:rsidP="002C54DF">
            <w:pPr>
              <w:jc w:val="left"/>
              <w:rPr>
                <w:rFonts w:ascii="Arial Narrow" w:hAnsi="Arial Narrow"/>
                <w:i/>
                <w:iCs/>
                <w:sz w:val="20"/>
                <w:szCs w:val="20"/>
                <w:lang w:val="en-AU"/>
              </w:rPr>
            </w:pPr>
            <w:r w:rsidRPr="00C927B9">
              <w:rPr>
                <w:rFonts w:ascii="Arial Narrow" w:hAnsi="Arial Narrow"/>
                <w:sz w:val="20"/>
                <w:szCs w:val="20"/>
                <w:lang w:val="en-AU"/>
              </w:rPr>
              <w:t>T</w:t>
            </w:r>
            <w:r w:rsidR="00930ED1" w:rsidRPr="00C927B9">
              <w:rPr>
                <w:rFonts w:ascii="Arial Narrow" w:hAnsi="Arial Narrow"/>
                <w:sz w:val="20"/>
                <w:szCs w:val="20"/>
                <w:lang w:val="en-AU"/>
              </w:rPr>
              <w:t xml:space="preserve">he dose intensity of azacitidine </w:t>
            </w:r>
            <w:r w:rsidRPr="00C927B9">
              <w:rPr>
                <w:rFonts w:ascii="Arial Narrow" w:hAnsi="Arial Narrow"/>
                <w:sz w:val="20"/>
                <w:szCs w:val="20"/>
                <w:lang w:val="en-AU"/>
              </w:rPr>
              <w:t xml:space="preserve">when </w:t>
            </w:r>
            <w:r w:rsidR="00930ED1" w:rsidRPr="00C927B9">
              <w:rPr>
                <w:rFonts w:ascii="Arial Narrow" w:hAnsi="Arial Narrow"/>
                <w:sz w:val="20"/>
                <w:szCs w:val="20"/>
                <w:lang w:val="en-AU"/>
              </w:rPr>
              <w:t xml:space="preserve">used in combination with venetoclax </w:t>
            </w:r>
            <w:r w:rsidRPr="00C927B9">
              <w:rPr>
                <w:rFonts w:ascii="Arial Narrow" w:hAnsi="Arial Narrow"/>
                <w:sz w:val="20"/>
                <w:szCs w:val="20"/>
                <w:lang w:val="en-AU"/>
              </w:rPr>
              <w:t xml:space="preserve">was </w:t>
            </w:r>
            <w:r w:rsidR="00930ED1" w:rsidRPr="00C927B9">
              <w:rPr>
                <w:rFonts w:ascii="Arial Narrow" w:hAnsi="Arial Narrow"/>
                <w:sz w:val="20"/>
                <w:szCs w:val="20"/>
                <w:lang w:val="en-AU"/>
              </w:rPr>
              <w:t>based on the dose intensity of oral venetoclax</w:t>
            </w:r>
            <w:r w:rsidR="00EC0C82" w:rsidRPr="00C927B9">
              <w:rPr>
                <w:rFonts w:ascii="Arial Narrow" w:hAnsi="Arial Narrow"/>
                <w:sz w:val="20"/>
                <w:szCs w:val="20"/>
                <w:lang w:val="en-AU"/>
              </w:rPr>
              <w:t xml:space="preserve"> in Trial M15-656</w:t>
            </w:r>
            <w:r w:rsidR="00930ED1" w:rsidRPr="00C927B9">
              <w:rPr>
                <w:rFonts w:ascii="Arial Narrow" w:hAnsi="Arial Narrow"/>
                <w:sz w:val="20"/>
                <w:szCs w:val="20"/>
                <w:lang w:val="en-AU"/>
              </w:rPr>
              <w:t xml:space="preserve"> (</w:t>
            </w:r>
            <w:r w:rsidR="005751CA" w:rsidRPr="00C927B9">
              <w:rPr>
                <w:rFonts w:ascii="Arial Narrow" w:hAnsi="Arial Narrow"/>
                <w:sz w:val="20"/>
                <w:szCs w:val="20"/>
                <w:lang w:val="en-AU"/>
              </w:rPr>
              <w:t xml:space="preserve">73.2%; </w:t>
            </w:r>
            <w:r w:rsidR="00930ED1" w:rsidRPr="00C927B9">
              <w:rPr>
                <w:rFonts w:ascii="Arial Narrow" w:hAnsi="Arial Narrow"/>
                <w:sz w:val="20"/>
                <w:szCs w:val="20"/>
                <w:lang w:val="en-AU"/>
              </w:rPr>
              <w:t xml:space="preserve">dose intensity for azacitidine was not reported in the M15-656 clinical trial report). </w:t>
            </w:r>
            <w:r w:rsidR="005751CA" w:rsidRPr="00C927B9">
              <w:rPr>
                <w:rFonts w:ascii="Arial Narrow" w:hAnsi="Arial Narrow"/>
                <w:sz w:val="20"/>
                <w:szCs w:val="20"/>
                <w:lang w:val="en-AU"/>
              </w:rPr>
              <w:t xml:space="preserve">This resulted in </w:t>
            </w:r>
            <w:r w:rsidR="00EC0C82" w:rsidRPr="00C927B9">
              <w:rPr>
                <w:rFonts w:ascii="Arial Narrow" w:hAnsi="Arial Narrow"/>
                <w:sz w:val="20"/>
                <w:szCs w:val="20"/>
                <w:lang w:val="en-AU"/>
              </w:rPr>
              <w:t xml:space="preserve">one vial of azacitidine being required per administration. </w:t>
            </w:r>
            <w:r w:rsidR="00BB3BBA" w:rsidRPr="00C927B9">
              <w:rPr>
                <w:rFonts w:ascii="Arial Narrow" w:hAnsi="Arial Narrow"/>
                <w:sz w:val="20"/>
                <w:szCs w:val="20"/>
                <w:lang w:val="en-AU"/>
              </w:rPr>
              <w:t>In contrast, the dose intensity of azacitidine when used as monotherapy was based on the dose intensity of placebo tablets (90.4%) and resulted in two vials of azacitidine being required per administration.</w:t>
            </w:r>
            <w:r w:rsidR="009F7A76" w:rsidRPr="00C927B9">
              <w:rPr>
                <w:rFonts w:ascii="Arial Narrow" w:hAnsi="Arial Narrow"/>
                <w:sz w:val="20"/>
                <w:szCs w:val="20"/>
                <w:lang w:val="en-AU"/>
              </w:rPr>
              <w:t xml:space="preserve"> </w:t>
            </w:r>
            <w:r w:rsidR="00930ED1" w:rsidRPr="00C927B9">
              <w:rPr>
                <w:rFonts w:ascii="Arial Narrow" w:hAnsi="Arial Narrow"/>
                <w:iCs/>
                <w:sz w:val="20"/>
                <w:szCs w:val="20"/>
                <w:lang w:val="en-AU"/>
              </w:rPr>
              <w:t>Overall, it is highly likely that the submission underestimated the dose intensity of azacitidine injections when used in combination with venetoclax</w:t>
            </w:r>
            <w:r w:rsidR="0090199C" w:rsidRPr="00C927B9">
              <w:rPr>
                <w:rFonts w:ascii="Arial Narrow" w:hAnsi="Arial Narrow"/>
                <w:iCs/>
                <w:sz w:val="20"/>
                <w:szCs w:val="20"/>
                <w:lang w:val="en-AU"/>
              </w:rPr>
              <w:t xml:space="preserve">. The PSCR </w:t>
            </w:r>
            <w:r w:rsidR="00A54F24" w:rsidRPr="00C927B9">
              <w:rPr>
                <w:rFonts w:ascii="Arial Narrow" w:hAnsi="Arial Narrow"/>
                <w:iCs/>
                <w:sz w:val="20"/>
                <w:szCs w:val="20"/>
                <w:lang w:val="en-AU"/>
              </w:rPr>
              <w:t>acknowledged</w:t>
            </w:r>
            <w:r w:rsidR="0090199C" w:rsidRPr="00C927B9">
              <w:rPr>
                <w:rFonts w:ascii="Arial Narrow" w:hAnsi="Arial Narrow"/>
                <w:iCs/>
                <w:sz w:val="20"/>
                <w:szCs w:val="20"/>
                <w:lang w:val="en-AU"/>
              </w:rPr>
              <w:t xml:space="preserve"> this, and provided revised ICER </w:t>
            </w:r>
            <w:r w:rsidR="0090199C" w:rsidRPr="00854D67">
              <w:rPr>
                <w:rFonts w:ascii="Arial Narrow" w:hAnsi="Arial Narrow"/>
                <w:iCs/>
                <w:sz w:val="20"/>
                <w:szCs w:val="20"/>
                <w:lang w:val="en-AU"/>
              </w:rPr>
              <w:t>calculations (see para</w:t>
            </w:r>
            <w:r w:rsidR="0090199C" w:rsidRPr="00854D67">
              <w:rPr>
                <w:rFonts w:ascii="Arial Narrow" w:hAnsi="Arial Narrow"/>
                <w:iCs/>
                <w:sz w:val="20"/>
                <w:szCs w:val="20"/>
                <w:lang w:val="en-AU"/>
              </w:rPr>
              <w:softHyphen/>
            </w:r>
            <w:r w:rsidR="0090199C" w:rsidRPr="00854D67">
              <w:rPr>
                <w:rFonts w:ascii="Arial Narrow" w:hAnsi="Arial Narrow"/>
                <w:iCs/>
                <w:sz w:val="20"/>
                <w:szCs w:val="20"/>
                <w:lang w:val="en-AU"/>
              </w:rPr>
              <w:softHyphen/>
              <w:t xml:space="preserve">graph </w:t>
            </w:r>
            <w:r w:rsidR="002C54DF" w:rsidRPr="00854D67">
              <w:rPr>
                <w:rFonts w:ascii="Arial Narrow" w:hAnsi="Arial Narrow"/>
                <w:iCs/>
                <w:sz w:val="20"/>
                <w:szCs w:val="20"/>
                <w:lang w:val="en-AU"/>
              </w:rPr>
              <w:t>6.68</w:t>
            </w:r>
            <w:r w:rsidR="0090199C" w:rsidRPr="00854D67">
              <w:rPr>
                <w:rFonts w:ascii="Arial Narrow" w:hAnsi="Arial Narrow"/>
                <w:iCs/>
                <w:sz w:val="20"/>
                <w:szCs w:val="20"/>
                <w:lang w:val="en-AU"/>
              </w:rPr>
              <w:t>)</w:t>
            </w:r>
            <w:r w:rsidR="001208E7" w:rsidRPr="00854D67">
              <w:rPr>
                <w:rFonts w:ascii="Arial Narrow" w:hAnsi="Arial Narrow"/>
                <w:iCs/>
                <w:sz w:val="20"/>
                <w:szCs w:val="20"/>
                <w:lang w:val="en-AU"/>
              </w:rPr>
              <w:t>, and the pre-PBAC response provided further analyses (see paragraph 6.77)</w:t>
            </w:r>
            <w:r w:rsidR="0090199C" w:rsidRPr="00854D67">
              <w:rPr>
                <w:rFonts w:ascii="Arial Narrow" w:hAnsi="Arial Narrow"/>
                <w:iCs/>
                <w:sz w:val="20"/>
                <w:szCs w:val="20"/>
                <w:lang w:val="en-AU"/>
              </w:rPr>
              <w:t>.</w:t>
            </w:r>
          </w:p>
        </w:tc>
        <w:tc>
          <w:tcPr>
            <w:tcW w:w="679" w:type="pct"/>
            <w:shd w:val="clear" w:color="auto" w:fill="auto"/>
            <w:vAlign w:val="center"/>
          </w:tcPr>
          <w:p w:rsidR="00490B17" w:rsidRPr="00C927B9" w:rsidRDefault="00C41859" w:rsidP="0083567F">
            <w:pPr>
              <w:pStyle w:val="TableText"/>
              <w:keepNext w:val="0"/>
            </w:pPr>
            <w:r w:rsidRPr="00C927B9">
              <w:t>High, favours venetoclax + azacitidine</w:t>
            </w:r>
          </w:p>
        </w:tc>
      </w:tr>
      <w:tr w:rsidR="008F3F01" w:rsidRPr="00C927B9" w:rsidTr="003171FB">
        <w:tc>
          <w:tcPr>
            <w:tcW w:w="625" w:type="pct"/>
            <w:shd w:val="clear" w:color="auto" w:fill="auto"/>
            <w:vAlign w:val="center"/>
          </w:tcPr>
          <w:p w:rsidR="008F3F01" w:rsidRPr="00C927B9" w:rsidRDefault="00661461" w:rsidP="0083567F">
            <w:pPr>
              <w:pStyle w:val="TableText"/>
              <w:keepNext w:val="0"/>
            </w:pPr>
            <w:r w:rsidRPr="00C927B9">
              <w:t>Time horizon</w:t>
            </w:r>
          </w:p>
        </w:tc>
        <w:tc>
          <w:tcPr>
            <w:tcW w:w="3696" w:type="pct"/>
            <w:shd w:val="clear" w:color="auto" w:fill="auto"/>
            <w:vAlign w:val="center"/>
          </w:tcPr>
          <w:p w:rsidR="008F3F01" w:rsidRPr="00C927B9" w:rsidRDefault="00F11F51" w:rsidP="00245F49">
            <w:pPr>
              <w:pStyle w:val="ExecSumBodyText"/>
              <w:numPr>
                <w:ilvl w:val="0"/>
                <w:numId w:val="0"/>
              </w:numPr>
              <w:spacing w:after="0"/>
              <w:jc w:val="left"/>
              <w:rPr>
                <w:rFonts w:ascii="Arial Narrow" w:hAnsi="Arial Narrow"/>
                <w:iCs/>
                <w:snapToGrid/>
                <w:sz w:val="20"/>
                <w:szCs w:val="20"/>
                <w:lang w:val="en-AU"/>
              </w:rPr>
            </w:pPr>
            <w:r w:rsidRPr="00C927B9">
              <w:rPr>
                <w:rFonts w:ascii="Arial Narrow" w:hAnsi="Arial Narrow"/>
                <w:snapToGrid/>
                <w:sz w:val="20"/>
                <w:szCs w:val="20"/>
                <w:lang w:val="en-AU"/>
              </w:rPr>
              <w:t>A 20</w:t>
            </w:r>
            <w:r w:rsidR="00245F49" w:rsidRPr="00C927B9">
              <w:rPr>
                <w:rFonts w:ascii="Arial Narrow" w:hAnsi="Arial Narrow"/>
                <w:snapToGrid/>
                <w:sz w:val="20"/>
                <w:szCs w:val="20"/>
                <w:lang w:val="en-AU"/>
              </w:rPr>
              <w:t>-</w:t>
            </w:r>
            <w:r w:rsidRPr="00C927B9">
              <w:rPr>
                <w:rFonts w:ascii="Arial Narrow" w:hAnsi="Arial Narrow"/>
                <w:snapToGrid/>
                <w:sz w:val="20"/>
                <w:szCs w:val="20"/>
                <w:lang w:val="en-AU"/>
              </w:rPr>
              <w:t xml:space="preserve">year time horizon was nominated on the basis that this was appropriate to capture the majority of costs and benefits in an older AML population (baseline age was 75 years in the model). </w:t>
            </w:r>
            <w:r w:rsidRPr="00C927B9">
              <w:rPr>
                <w:rFonts w:ascii="Arial Narrow" w:hAnsi="Arial Narrow"/>
                <w:iCs/>
                <w:snapToGrid/>
                <w:sz w:val="20"/>
                <w:szCs w:val="20"/>
                <w:lang w:val="en-AU"/>
              </w:rPr>
              <w:t>Current AIHW data indicate that 5-year relative survival in AML patients aged 75-79 years old is 7.7% (relative 5-year survival in persons 2012-2016; AIHW 2020 Cancer data in Australia). This suggests that even with a substantial increase in overall survival with venetoclax with azacitidine, the vast majority of patients will have died before 10 years. Therefore a 10-year time horizon may be more appropriate and would reduce the uncertainty associated with longer-term extrapolation of patient survival.</w:t>
            </w:r>
            <w:r w:rsidR="003171FB" w:rsidRPr="00C927B9">
              <w:rPr>
                <w:rFonts w:ascii="Arial Narrow" w:hAnsi="Arial Narrow"/>
                <w:iCs/>
                <w:snapToGrid/>
                <w:sz w:val="20"/>
                <w:szCs w:val="20"/>
                <w:lang w:val="en-AU"/>
              </w:rPr>
              <w:t xml:space="preserve"> The pre-PBAC response presented a scenario with a 15-year time </w:t>
            </w:r>
            <w:r w:rsidR="003171FB" w:rsidRPr="00854D67">
              <w:rPr>
                <w:rFonts w:ascii="Arial Narrow" w:hAnsi="Arial Narrow"/>
                <w:iCs/>
                <w:snapToGrid/>
                <w:sz w:val="20"/>
                <w:szCs w:val="20"/>
                <w:lang w:val="en-AU"/>
              </w:rPr>
              <w:t xml:space="preserve">horizon (see </w:t>
            </w:r>
            <w:r w:rsidR="003171FB" w:rsidRPr="00854D67">
              <w:rPr>
                <w:rFonts w:ascii="Arial Narrow" w:hAnsi="Arial Narrow"/>
                <w:sz w:val="20"/>
                <w:szCs w:val="20"/>
                <w:lang w:val="en-AU"/>
              </w:rPr>
              <w:t>Table 17</w:t>
            </w:r>
            <w:r w:rsidR="003171FB" w:rsidRPr="00854D67">
              <w:rPr>
                <w:rFonts w:ascii="Arial Narrow" w:hAnsi="Arial Narrow"/>
                <w:iCs/>
                <w:snapToGrid/>
                <w:sz w:val="20"/>
                <w:szCs w:val="20"/>
                <w:lang w:val="en-AU"/>
              </w:rPr>
              <w:t xml:space="preserve"> below</w:t>
            </w:r>
            <w:r w:rsidR="003171FB" w:rsidRPr="00C927B9">
              <w:rPr>
                <w:rFonts w:ascii="Arial Narrow" w:hAnsi="Arial Narrow"/>
                <w:iCs/>
                <w:snapToGrid/>
                <w:sz w:val="20"/>
                <w:szCs w:val="20"/>
                <w:lang w:val="en-AU"/>
              </w:rPr>
              <w:t>).</w:t>
            </w:r>
          </w:p>
        </w:tc>
        <w:tc>
          <w:tcPr>
            <w:tcW w:w="679" w:type="pct"/>
            <w:shd w:val="clear" w:color="auto" w:fill="auto"/>
            <w:vAlign w:val="center"/>
          </w:tcPr>
          <w:p w:rsidR="008F3F01" w:rsidRPr="00C927B9" w:rsidRDefault="00EE49D6" w:rsidP="0083567F">
            <w:pPr>
              <w:pStyle w:val="TableText"/>
              <w:keepNext w:val="0"/>
            </w:pPr>
            <w:r w:rsidRPr="00C927B9">
              <w:t>High, favours venetoclax + azacitidine</w:t>
            </w:r>
          </w:p>
        </w:tc>
      </w:tr>
      <w:tr w:rsidR="004945E0" w:rsidRPr="00C927B9" w:rsidTr="003171FB">
        <w:tc>
          <w:tcPr>
            <w:tcW w:w="625" w:type="pct"/>
            <w:shd w:val="clear" w:color="auto" w:fill="auto"/>
            <w:vAlign w:val="center"/>
          </w:tcPr>
          <w:p w:rsidR="004945E0" w:rsidRPr="00C927B9" w:rsidRDefault="004945E0" w:rsidP="0083567F">
            <w:pPr>
              <w:pStyle w:val="TableText"/>
              <w:keepNext w:val="0"/>
            </w:pPr>
            <w:r w:rsidRPr="00C927B9">
              <w:t>Extrapolation</w:t>
            </w:r>
          </w:p>
        </w:tc>
        <w:tc>
          <w:tcPr>
            <w:tcW w:w="3696" w:type="pct"/>
            <w:shd w:val="clear" w:color="auto" w:fill="auto"/>
            <w:vAlign w:val="center"/>
          </w:tcPr>
          <w:p w:rsidR="004945E0" w:rsidRPr="00C927B9" w:rsidRDefault="004945E0" w:rsidP="0083567F">
            <w:pPr>
              <w:pStyle w:val="TableText"/>
              <w:keepNext w:val="0"/>
              <w:rPr>
                <w:iCs/>
                <w:szCs w:val="20"/>
              </w:rPr>
            </w:pPr>
            <w:r w:rsidRPr="00C927B9">
              <w:rPr>
                <w:szCs w:val="20"/>
              </w:rPr>
              <w:t>The lognormal function selected to extrapolate overall survival beyond the duration of the key trials resulted in per cycle mortality rates that were lower than Australian general population mortality estimates (for a cohort of patients aged 75-79 years). The</w:t>
            </w:r>
            <w:r w:rsidR="003739C0" w:rsidRPr="00C927B9">
              <w:rPr>
                <w:szCs w:val="20"/>
              </w:rPr>
              <w:t>se</w:t>
            </w:r>
            <w:r w:rsidRPr="00C927B9">
              <w:rPr>
                <w:szCs w:val="20"/>
              </w:rPr>
              <w:t xml:space="preserve"> overall survival estimates</w:t>
            </w:r>
            <w:r w:rsidR="003739C0" w:rsidRPr="00C927B9">
              <w:rPr>
                <w:szCs w:val="20"/>
              </w:rPr>
              <w:t xml:space="preserve"> were adjusted</w:t>
            </w:r>
            <w:r w:rsidRPr="00C927B9">
              <w:rPr>
                <w:szCs w:val="20"/>
              </w:rPr>
              <w:t xml:space="preserve"> to account for age- and sex-specific mortality rates from 24 months</w:t>
            </w:r>
            <w:r w:rsidR="003739C0" w:rsidRPr="00C927B9">
              <w:rPr>
                <w:szCs w:val="20"/>
              </w:rPr>
              <w:t>, to ensure that overall survival did not exceed general population estimates</w:t>
            </w:r>
            <w:r w:rsidRPr="00C927B9">
              <w:rPr>
                <w:iCs/>
                <w:szCs w:val="20"/>
              </w:rPr>
              <w:t>. Instead</w:t>
            </w:r>
            <w:r w:rsidR="009D08B3" w:rsidRPr="00C927B9">
              <w:rPr>
                <w:iCs/>
                <w:szCs w:val="20"/>
              </w:rPr>
              <w:t>,</w:t>
            </w:r>
            <w:r w:rsidRPr="00C927B9">
              <w:rPr>
                <w:iCs/>
                <w:szCs w:val="20"/>
              </w:rPr>
              <w:t xml:space="preserve"> it would be more appropriate to choose an extrapolation function </w:t>
            </w:r>
            <w:r w:rsidR="006C571C" w:rsidRPr="00C927B9">
              <w:rPr>
                <w:iCs/>
                <w:szCs w:val="20"/>
              </w:rPr>
              <w:t xml:space="preserve">that generated </w:t>
            </w:r>
            <w:r w:rsidRPr="00C927B9">
              <w:rPr>
                <w:iCs/>
                <w:szCs w:val="20"/>
              </w:rPr>
              <w:t>clinically plausible survival estimates compared to the general population.</w:t>
            </w:r>
            <w:r w:rsidR="003171FB" w:rsidRPr="00C927B9">
              <w:rPr>
                <w:iCs/>
                <w:szCs w:val="20"/>
              </w:rPr>
              <w:t xml:space="preserve"> The pre-PBAC </w:t>
            </w:r>
            <w:proofErr w:type="gramStart"/>
            <w:r w:rsidR="003171FB" w:rsidRPr="00C927B9">
              <w:rPr>
                <w:iCs/>
                <w:szCs w:val="20"/>
              </w:rPr>
              <w:t>response  disagreed</w:t>
            </w:r>
            <w:proofErr w:type="gramEnd"/>
            <w:r w:rsidR="003171FB" w:rsidRPr="00C927B9">
              <w:rPr>
                <w:iCs/>
                <w:szCs w:val="20"/>
              </w:rPr>
              <w:t xml:space="preserve">, but presented a revised scenario with </w:t>
            </w:r>
            <w:r w:rsidR="00DC4606" w:rsidRPr="00C927B9">
              <w:rPr>
                <w:iCs/>
                <w:szCs w:val="20"/>
              </w:rPr>
              <w:t>alternative</w:t>
            </w:r>
            <w:r w:rsidR="003171FB" w:rsidRPr="00C927B9">
              <w:rPr>
                <w:iCs/>
                <w:szCs w:val="20"/>
              </w:rPr>
              <w:t xml:space="preserve"> survival estimates (</w:t>
            </w:r>
            <w:r w:rsidR="003171FB" w:rsidRPr="00854D67">
              <w:rPr>
                <w:iCs/>
                <w:szCs w:val="20"/>
              </w:rPr>
              <w:t xml:space="preserve">see </w:t>
            </w:r>
            <w:r w:rsidR="003171FB" w:rsidRPr="00854D67">
              <w:rPr>
                <w:szCs w:val="20"/>
              </w:rPr>
              <w:t>Table 17</w:t>
            </w:r>
            <w:r w:rsidR="003171FB" w:rsidRPr="00854D67">
              <w:rPr>
                <w:iCs/>
                <w:szCs w:val="20"/>
              </w:rPr>
              <w:t xml:space="preserve"> below).</w:t>
            </w:r>
          </w:p>
          <w:p w:rsidR="00822D73" w:rsidRPr="00C927B9" w:rsidRDefault="00822D73" w:rsidP="0083567F">
            <w:pPr>
              <w:pStyle w:val="COMBody"/>
              <w:rPr>
                <w:rFonts w:ascii="Arial Narrow" w:hAnsi="Arial Narrow"/>
                <w:iCs/>
                <w:sz w:val="20"/>
                <w:lang w:val="en-AU"/>
              </w:rPr>
            </w:pPr>
          </w:p>
          <w:p w:rsidR="004945E0" w:rsidRPr="00C927B9" w:rsidRDefault="004945E0" w:rsidP="00F9007B">
            <w:pPr>
              <w:pStyle w:val="COMBody"/>
              <w:rPr>
                <w:rFonts w:ascii="Arial Narrow" w:hAnsi="Arial Narrow"/>
                <w:iCs/>
                <w:sz w:val="20"/>
                <w:highlight w:val="yellow"/>
                <w:lang w:val="en-AU"/>
              </w:rPr>
            </w:pPr>
            <w:r w:rsidRPr="00C927B9">
              <w:rPr>
                <w:rFonts w:ascii="Arial Narrow" w:hAnsi="Arial Narrow"/>
                <w:iCs/>
                <w:sz w:val="20"/>
                <w:lang w:val="en-AU"/>
              </w:rPr>
              <w:t xml:space="preserve">The extrapolated overall and event-free survival curves suggest a relatively long duration in the post-event state. </w:t>
            </w:r>
            <w:r w:rsidR="00F9007B" w:rsidRPr="00C927B9">
              <w:rPr>
                <w:rFonts w:ascii="Arial Narrow" w:hAnsi="Arial Narrow"/>
                <w:iCs/>
                <w:sz w:val="20"/>
                <w:lang w:val="en-AU"/>
              </w:rPr>
              <w:t>This may not be</w:t>
            </w:r>
            <w:r w:rsidRPr="00C927B9">
              <w:rPr>
                <w:rFonts w:ascii="Arial Narrow" w:hAnsi="Arial Narrow"/>
                <w:iCs/>
                <w:sz w:val="20"/>
                <w:lang w:val="en-AU"/>
              </w:rPr>
              <w:t xml:space="preserve"> reasonable as the time between treatment failure, progression and death is generally very short in AML patients.</w:t>
            </w:r>
          </w:p>
        </w:tc>
        <w:tc>
          <w:tcPr>
            <w:tcW w:w="679" w:type="pct"/>
            <w:shd w:val="clear" w:color="auto" w:fill="auto"/>
            <w:vAlign w:val="center"/>
          </w:tcPr>
          <w:p w:rsidR="004945E0" w:rsidRPr="00C927B9" w:rsidRDefault="004945E0" w:rsidP="0083567F">
            <w:pPr>
              <w:pStyle w:val="TableText"/>
              <w:keepNext w:val="0"/>
            </w:pPr>
            <w:r w:rsidRPr="00C927B9">
              <w:t>High, favours venetoclax + azacitidine</w:t>
            </w:r>
          </w:p>
        </w:tc>
      </w:tr>
    </w:tbl>
    <w:p w:rsidR="00D110BD" w:rsidRPr="00C927B9" w:rsidRDefault="009D792E" w:rsidP="00BB00B3">
      <w:pPr>
        <w:pStyle w:val="TableFigureFooter"/>
        <w:rPr>
          <w:lang w:val="en-AU"/>
        </w:rPr>
      </w:pPr>
      <w:r w:rsidRPr="00C927B9">
        <w:rPr>
          <w:lang w:val="en-AU"/>
        </w:rPr>
        <w:t xml:space="preserve">Source: </w:t>
      </w:r>
      <w:r w:rsidR="00FA5BEA" w:rsidRPr="00C927B9">
        <w:rPr>
          <w:lang w:val="en-AU"/>
        </w:rPr>
        <w:t>Constructed during the evaluation</w:t>
      </w:r>
    </w:p>
    <w:p w:rsidR="00FA5BEA" w:rsidRPr="00C927B9" w:rsidRDefault="00FA5BEA" w:rsidP="00BB00B3">
      <w:pPr>
        <w:pStyle w:val="TableFigureFooter"/>
        <w:rPr>
          <w:lang w:val="en-AU"/>
        </w:rPr>
      </w:pPr>
      <w:r w:rsidRPr="00C927B9">
        <w:rPr>
          <w:lang w:val="en-AU"/>
        </w:rPr>
        <w:t xml:space="preserve">Abbreviations: </w:t>
      </w:r>
      <w:r w:rsidR="00A2275D" w:rsidRPr="00C927B9">
        <w:rPr>
          <w:lang w:val="en-AU"/>
        </w:rPr>
        <w:t>AML, acute myeloid leukaemia</w:t>
      </w:r>
    </w:p>
    <w:p w:rsidR="0083567F" w:rsidRPr="00C927B9" w:rsidRDefault="0083567F" w:rsidP="008F2877">
      <w:pPr>
        <w:pStyle w:val="ExecSumBodyText"/>
        <w:rPr>
          <w:iCs/>
          <w:lang w:val="en-AU"/>
        </w:rPr>
      </w:pPr>
      <w:bookmarkStart w:id="28" w:name="_Ref64039104"/>
      <w:bookmarkStart w:id="29" w:name="_Ref68965967"/>
      <w:r w:rsidRPr="00C927B9">
        <w:rPr>
          <w:snapToGrid/>
          <w:lang w:val="en-AU"/>
        </w:rPr>
        <w:t>Different sources of data inform</w:t>
      </w:r>
      <w:r w:rsidR="008F2877" w:rsidRPr="00C927B9">
        <w:rPr>
          <w:snapToGrid/>
          <w:lang w:val="en-AU"/>
        </w:rPr>
        <w:t>ed</w:t>
      </w:r>
      <w:r w:rsidRPr="00C927B9">
        <w:rPr>
          <w:snapToGrid/>
          <w:lang w:val="en-AU"/>
        </w:rPr>
        <w:t xml:space="preserve"> the LoDAC arm of the economic analysis, with overall survival derived by applying the hazard ratio from the indirect comparison of VTX+AZA (Trial M15-656) versus LoDAC (Trial AZA-AML-001) to the VTX+AZA overall survival curve, and event-free survival informed by a naïve comparison of VTX+AZA (Trial M15-656) and LoDAC (Trial M16-043). </w:t>
      </w:r>
      <w:r w:rsidRPr="00C927B9">
        <w:rPr>
          <w:iCs/>
          <w:snapToGrid/>
          <w:lang w:val="en-AU"/>
        </w:rPr>
        <w:t xml:space="preserve">Partitioned survival analyses rely on the within-trial relationship between non-mutually exclusive survival curves to determine health state membership. </w:t>
      </w:r>
      <w:r w:rsidR="00392484" w:rsidRPr="00C927B9">
        <w:rPr>
          <w:iCs/>
          <w:snapToGrid/>
          <w:lang w:val="en-AU"/>
        </w:rPr>
        <w:t>The ESC advised that t</w:t>
      </w:r>
      <w:r w:rsidRPr="00C927B9">
        <w:rPr>
          <w:iCs/>
          <w:snapToGrid/>
          <w:lang w:val="en-AU"/>
        </w:rPr>
        <w:t>he use of different sources to derive the overall and event-free survival curves mean</w:t>
      </w:r>
      <w:r w:rsidR="00582B87" w:rsidRPr="00C927B9">
        <w:rPr>
          <w:iCs/>
          <w:snapToGrid/>
          <w:lang w:val="en-AU"/>
        </w:rPr>
        <w:t>t</w:t>
      </w:r>
      <w:r w:rsidRPr="00C927B9">
        <w:rPr>
          <w:iCs/>
          <w:snapToGrid/>
          <w:lang w:val="en-AU"/>
        </w:rPr>
        <w:t xml:space="preserve"> that the relationship between overall survival and event-free survival for LoDAC may be due to differences between the different trials informing estimates.</w:t>
      </w:r>
      <w:r w:rsidR="00392484" w:rsidRPr="00C927B9">
        <w:rPr>
          <w:iCs/>
          <w:snapToGrid/>
          <w:lang w:val="en-AU"/>
        </w:rPr>
        <w:t xml:space="preserve"> Thus, the use of this model structure </w:t>
      </w:r>
      <w:r w:rsidR="0011015C" w:rsidRPr="00C927B9">
        <w:rPr>
          <w:iCs/>
          <w:snapToGrid/>
          <w:lang w:val="en-AU"/>
        </w:rPr>
        <w:t>resulted in a cost-effectiveness estimate that was inherently uncertain</w:t>
      </w:r>
      <w:r w:rsidR="00392484" w:rsidRPr="00C927B9">
        <w:rPr>
          <w:iCs/>
          <w:snapToGrid/>
          <w:lang w:val="en-AU"/>
        </w:rPr>
        <w:t>.</w:t>
      </w:r>
      <w:bookmarkEnd w:id="28"/>
      <w:r w:rsidR="001208E7" w:rsidRPr="00C927B9">
        <w:rPr>
          <w:iCs/>
          <w:snapToGrid/>
          <w:lang w:val="en-AU"/>
        </w:rPr>
        <w:t xml:space="preserve"> The pre-PBAC </w:t>
      </w:r>
      <w:proofErr w:type="gramStart"/>
      <w:r w:rsidR="001208E7" w:rsidRPr="00C927B9">
        <w:rPr>
          <w:iCs/>
          <w:snapToGrid/>
          <w:lang w:val="en-AU"/>
        </w:rPr>
        <w:t xml:space="preserve">response  </w:t>
      </w:r>
      <w:r w:rsidR="008F2877" w:rsidRPr="00C927B9">
        <w:rPr>
          <w:iCs/>
          <w:snapToGrid/>
          <w:lang w:val="en-AU"/>
        </w:rPr>
        <w:t>noted</w:t>
      </w:r>
      <w:proofErr w:type="gramEnd"/>
      <w:r w:rsidR="008F2877" w:rsidRPr="00C927B9">
        <w:rPr>
          <w:iCs/>
          <w:snapToGrid/>
          <w:lang w:val="en-AU"/>
        </w:rPr>
        <w:t xml:space="preserve"> that a formal indirect comparison was not possible for event free survival (due to lack of event free survival data in </w:t>
      </w:r>
      <w:proofErr w:type="spellStart"/>
      <w:r w:rsidR="008F2877" w:rsidRPr="00C927B9">
        <w:rPr>
          <w:iCs/>
          <w:snapToGrid/>
          <w:lang w:val="en-AU"/>
        </w:rPr>
        <w:t>Dombret</w:t>
      </w:r>
      <w:proofErr w:type="spellEnd"/>
      <w:r w:rsidR="008F2877" w:rsidRPr="00C927B9">
        <w:rPr>
          <w:iCs/>
          <w:snapToGrid/>
          <w:lang w:val="en-AU"/>
        </w:rPr>
        <w:t>, 2015), and claimed that the impact of different trial populations on the estimation of overall survival in the indirect comparison would be minimal</w:t>
      </w:r>
      <w:r w:rsidR="001208E7" w:rsidRPr="00C927B9">
        <w:rPr>
          <w:iCs/>
          <w:snapToGrid/>
          <w:lang w:val="en-AU"/>
        </w:rPr>
        <w:t>.</w:t>
      </w:r>
      <w:bookmarkEnd w:id="29"/>
      <w:r w:rsidR="001208E7" w:rsidRPr="00C927B9">
        <w:rPr>
          <w:iCs/>
          <w:snapToGrid/>
          <w:lang w:val="en-AU"/>
        </w:rPr>
        <w:t xml:space="preserve"> </w:t>
      </w:r>
    </w:p>
    <w:p w:rsidR="0083567F" w:rsidRPr="00C927B9" w:rsidRDefault="0083567F" w:rsidP="0083567F">
      <w:pPr>
        <w:pStyle w:val="ExecSumBodyText"/>
        <w:rPr>
          <w:lang w:val="en-AU"/>
        </w:rPr>
      </w:pPr>
      <w:bookmarkStart w:id="30" w:name="_Ref64276703"/>
      <w:r w:rsidRPr="00C927B9">
        <w:rPr>
          <w:lang w:val="en-AU"/>
        </w:rPr>
        <w:lastRenderedPageBreak/>
        <w:t>Although the model only ha</w:t>
      </w:r>
      <w:r w:rsidR="008F2877" w:rsidRPr="00C927B9">
        <w:rPr>
          <w:lang w:val="en-AU"/>
        </w:rPr>
        <w:t>d</w:t>
      </w:r>
      <w:r w:rsidRPr="00C927B9">
        <w:rPr>
          <w:lang w:val="en-AU"/>
        </w:rPr>
        <w:t xml:space="preserve"> three health states (event-free, post-event, and dead), event-free utility values were based on a post-hoc, mixed-effects regression of EQ-5D-5L utility scores stratified by response status (complete remission, no complete remission) from Trial M15-656, which were applied to the proportions of patients with or without complete remission from Trials M15-656 and M16-043. </w:t>
      </w:r>
      <w:r w:rsidRPr="00C927B9">
        <w:rPr>
          <w:iCs/>
          <w:lang w:val="en-AU"/>
        </w:rPr>
        <w:t xml:space="preserve">In the analysis, response status was treated as a constant effect, which is not consistent with available </w:t>
      </w:r>
      <w:r w:rsidR="00C927B9" w:rsidRPr="00C927B9">
        <w:rPr>
          <w:iCs/>
          <w:lang w:val="en-AU"/>
        </w:rPr>
        <w:t>data that</w:t>
      </w:r>
      <w:r w:rsidRPr="00C927B9">
        <w:rPr>
          <w:iCs/>
          <w:lang w:val="en-AU"/>
        </w:rPr>
        <w:t xml:space="preserve"> indicate</w:t>
      </w:r>
      <w:r w:rsidR="00F11AE3" w:rsidRPr="00C927B9">
        <w:rPr>
          <w:iCs/>
          <w:lang w:val="en-AU"/>
        </w:rPr>
        <w:t>s</w:t>
      </w:r>
      <w:r w:rsidRPr="00C927B9">
        <w:rPr>
          <w:iCs/>
          <w:lang w:val="en-AU"/>
        </w:rPr>
        <w:t xml:space="preserve"> that response status changes over time. </w:t>
      </w:r>
      <w:r w:rsidRPr="00C927B9">
        <w:rPr>
          <w:lang w:val="en-AU"/>
        </w:rPr>
        <w:t>Based on this analysis, the estimated utility of the event</w:t>
      </w:r>
      <w:r w:rsidR="00FD2694" w:rsidRPr="00C927B9">
        <w:rPr>
          <w:lang w:val="en-AU"/>
        </w:rPr>
        <w:t>-</w:t>
      </w:r>
      <w:r w:rsidRPr="00C927B9">
        <w:rPr>
          <w:lang w:val="en-AU"/>
        </w:rPr>
        <w:t>free state with complete remission was 0.807 and for event free with no complete remission was 0.740.</w:t>
      </w:r>
      <w:r w:rsidRPr="00C927B9">
        <w:rPr>
          <w:iCs/>
          <w:lang w:val="en-AU"/>
        </w:rPr>
        <w:t xml:space="preserve"> The estimated utility for complete remission and non-complete remission result</w:t>
      </w:r>
      <w:r w:rsidR="00F11AE3" w:rsidRPr="00C927B9">
        <w:rPr>
          <w:iCs/>
          <w:lang w:val="en-AU"/>
        </w:rPr>
        <w:t>ed</w:t>
      </w:r>
      <w:r w:rsidRPr="00C927B9">
        <w:rPr>
          <w:iCs/>
          <w:lang w:val="en-AU"/>
        </w:rPr>
        <w:t xml:space="preserve"> in a utility difference between treatment arms (due to the substantial differences in complete remission rates) favouring venetoclax with azacitidine that was not </w:t>
      </w:r>
      <w:r w:rsidR="00FE2702" w:rsidRPr="00C927B9">
        <w:rPr>
          <w:iCs/>
          <w:lang w:val="en-AU"/>
        </w:rPr>
        <w:t xml:space="preserve">actually </w:t>
      </w:r>
      <w:r w:rsidRPr="00C927B9">
        <w:rPr>
          <w:iCs/>
          <w:lang w:val="en-AU"/>
        </w:rPr>
        <w:t xml:space="preserve">observed in Trial M15-656. Therefore, the validity of these estimates </w:t>
      </w:r>
      <w:r w:rsidR="00F11AE3" w:rsidRPr="00C927B9">
        <w:rPr>
          <w:iCs/>
          <w:lang w:val="en-AU"/>
        </w:rPr>
        <w:t>wa</w:t>
      </w:r>
      <w:r w:rsidRPr="00C927B9">
        <w:rPr>
          <w:iCs/>
          <w:lang w:val="en-AU"/>
        </w:rPr>
        <w:t>s highly uncertain.</w:t>
      </w:r>
      <w:r w:rsidR="002D2B0B" w:rsidRPr="00C927B9">
        <w:rPr>
          <w:iCs/>
          <w:lang w:val="en-AU"/>
        </w:rPr>
        <w:t xml:space="preserve"> The PSCR maintained the approach in the submission was appropriate, and</w:t>
      </w:r>
      <w:r w:rsidR="0060344B" w:rsidRPr="00C927B9">
        <w:rPr>
          <w:iCs/>
          <w:lang w:val="en-AU"/>
        </w:rPr>
        <w:t xml:space="preserve"> stated that sensitivity analysi</w:t>
      </w:r>
      <w:r w:rsidR="002D2B0B" w:rsidRPr="00C927B9">
        <w:rPr>
          <w:iCs/>
          <w:lang w:val="en-AU"/>
        </w:rPr>
        <w:t xml:space="preserve">s </w:t>
      </w:r>
      <w:r w:rsidR="0060344B" w:rsidRPr="00C927B9">
        <w:rPr>
          <w:iCs/>
          <w:lang w:val="en-AU"/>
        </w:rPr>
        <w:t>showed</w:t>
      </w:r>
      <w:r w:rsidR="002D2B0B" w:rsidRPr="00C927B9">
        <w:rPr>
          <w:iCs/>
          <w:lang w:val="en-AU"/>
        </w:rPr>
        <w:t xml:space="preserve"> that the use of standard health state utilities (0.788 for event-free state regardless of CR status) had minimal impact on the ICER (see </w:t>
      </w:r>
      <w:r w:rsidR="00582B87" w:rsidRPr="00C927B9">
        <w:rPr>
          <w:lang w:val="en-AU"/>
        </w:rPr>
        <w:t>Table 15</w:t>
      </w:r>
      <w:r w:rsidR="0060344B" w:rsidRPr="00C927B9">
        <w:rPr>
          <w:iCs/>
          <w:lang w:val="en-AU"/>
        </w:rPr>
        <w:t>)</w:t>
      </w:r>
      <w:r w:rsidR="002D2B0B" w:rsidRPr="00C927B9">
        <w:rPr>
          <w:iCs/>
          <w:lang w:val="en-AU"/>
        </w:rPr>
        <w:t>.</w:t>
      </w:r>
      <w:bookmarkEnd w:id="30"/>
      <w:r w:rsidR="002D2B0B" w:rsidRPr="00C927B9">
        <w:rPr>
          <w:iCs/>
          <w:lang w:val="en-AU"/>
        </w:rPr>
        <w:t xml:space="preserve"> </w:t>
      </w:r>
    </w:p>
    <w:p w:rsidR="007C6367" w:rsidRPr="00C927B9" w:rsidRDefault="007C6367" w:rsidP="00FA5BEA">
      <w:pPr>
        <w:pStyle w:val="ExecSumBodyText"/>
        <w:rPr>
          <w:lang w:val="en-AU"/>
        </w:rPr>
      </w:pPr>
      <w:r w:rsidRPr="00C927B9">
        <w:rPr>
          <w:lang w:val="en-AU"/>
        </w:rPr>
        <w:t>The submission included the costs of first line drug therapies and administration, TLS prophylaxis and monitoring, and the costs of treating adverse events, but excluded the costs associated with transfusions, subsequent treatment and disease management.</w:t>
      </w:r>
      <w:r w:rsidR="008E5479" w:rsidRPr="00C927B9">
        <w:rPr>
          <w:lang w:val="en-AU"/>
        </w:rPr>
        <w:t xml:space="preserve"> The pre-PBAC response considered the submission’s approach to be appropriate. </w:t>
      </w:r>
    </w:p>
    <w:p w:rsidR="00047FF3" w:rsidRPr="00C927B9" w:rsidRDefault="00626B3B" w:rsidP="00047FF3">
      <w:pPr>
        <w:pStyle w:val="ExecSumBodyText"/>
        <w:rPr>
          <w:iCs/>
          <w:lang w:val="en-AU"/>
        </w:rPr>
      </w:pPr>
      <w:r w:rsidRPr="00C927B9">
        <w:rPr>
          <w:lang w:val="en-AU"/>
        </w:rPr>
        <w:t>T</w:t>
      </w:r>
      <w:r w:rsidR="00047FF3" w:rsidRPr="00C927B9">
        <w:rPr>
          <w:lang w:val="en-AU"/>
        </w:rPr>
        <w:t>he costs of adverse events</w:t>
      </w:r>
      <w:r w:rsidRPr="00C927B9">
        <w:rPr>
          <w:lang w:val="en-AU"/>
        </w:rPr>
        <w:t xml:space="preserve"> were</w:t>
      </w:r>
      <w:r w:rsidR="00047FF3" w:rsidRPr="00C927B9">
        <w:rPr>
          <w:lang w:val="en-AU"/>
        </w:rPr>
        <w:t xml:space="preserve"> based on the </w:t>
      </w:r>
      <w:r w:rsidR="00582B87" w:rsidRPr="00C927B9">
        <w:rPr>
          <w:lang w:val="en-AU"/>
        </w:rPr>
        <w:t xml:space="preserve">incidence of selected treatment </w:t>
      </w:r>
      <w:r w:rsidR="00047FF3" w:rsidRPr="00C927B9">
        <w:rPr>
          <w:lang w:val="en-AU"/>
        </w:rPr>
        <w:t xml:space="preserve">emergent adverse events, and proportions of patients with adverse events leading to hospitalisation. </w:t>
      </w:r>
      <w:r w:rsidR="00047FF3" w:rsidRPr="00C927B9">
        <w:rPr>
          <w:iCs/>
          <w:lang w:val="en-AU"/>
        </w:rPr>
        <w:t xml:space="preserve">There was no obvious pattern to the selection of treatment emergent events included in the model and the submission did not consider other costs associated with managing adverse events (e.g. use of G-CSF to manage </w:t>
      </w:r>
      <w:proofErr w:type="spellStart"/>
      <w:r w:rsidR="00047FF3" w:rsidRPr="00C927B9">
        <w:rPr>
          <w:iCs/>
          <w:lang w:val="en-AU"/>
        </w:rPr>
        <w:t>cytopenias</w:t>
      </w:r>
      <w:proofErr w:type="spellEnd"/>
      <w:r w:rsidR="00047FF3" w:rsidRPr="00C927B9">
        <w:rPr>
          <w:iCs/>
          <w:lang w:val="en-AU"/>
        </w:rPr>
        <w:t xml:space="preserve">). The submission did not adequately justify the use of incidence estimates rather than event rates given the differences in treatment exposure between arms and the potential for patients to experience multiple events. The unit costs associated with adverse events were inadequately justified. The costs associated with adverse events for venetoclax with azacitidine </w:t>
      </w:r>
      <w:r w:rsidR="00582B87" w:rsidRPr="00C927B9">
        <w:rPr>
          <w:iCs/>
          <w:lang w:val="en-AU"/>
        </w:rPr>
        <w:t>were</w:t>
      </w:r>
      <w:r w:rsidR="00047FF3" w:rsidRPr="00C927B9">
        <w:rPr>
          <w:iCs/>
          <w:lang w:val="en-AU"/>
        </w:rPr>
        <w:t xml:space="preserve"> likely </w:t>
      </w:r>
      <w:r w:rsidR="0009728E" w:rsidRPr="00C927B9">
        <w:rPr>
          <w:iCs/>
          <w:lang w:val="en-AU"/>
        </w:rPr>
        <w:t xml:space="preserve">to be substantially </w:t>
      </w:r>
      <w:r w:rsidR="00047FF3" w:rsidRPr="00C927B9">
        <w:rPr>
          <w:iCs/>
          <w:lang w:val="en-AU"/>
        </w:rPr>
        <w:t>underestimated.</w:t>
      </w:r>
    </w:p>
    <w:p w:rsidR="00047FF3" w:rsidRPr="00C927B9" w:rsidRDefault="00047FF3" w:rsidP="00047FF3">
      <w:pPr>
        <w:pStyle w:val="ExecSumBodyText"/>
        <w:rPr>
          <w:iCs/>
          <w:lang w:val="en-AU"/>
        </w:rPr>
      </w:pPr>
      <w:r w:rsidRPr="00C927B9">
        <w:rPr>
          <w:lang w:val="en-AU"/>
        </w:rPr>
        <w:t xml:space="preserve">The submission </w:t>
      </w:r>
      <w:r w:rsidR="002A1CA2" w:rsidRPr="00C927B9">
        <w:rPr>
          <w:lang w:val="en-AU"/>
        </w:rPr>
        <w:t xml:space="preserve">and PSCR </w:t>
      </w:r>
      <w:r w:rsidRPr="00C927B9">
        <w:rPr>
          <w:lang w:val="en-AU"/>
        </w:rPr>
        <w:t>noted that venetoclax with azacitidine was associated with a statistically significantly higher proportion of patients achieving transfusion independence compared to azacitidine in Trial M15-656 (58.0% vs 33.8%)</w:t>
      </w:r>
      <w:r w:rsidR="00833E79" w:rsidRPr="00C927B9">
        <w:rPr>
          <w:lang w:val="en-AU"/>
        </w:rPr>
        <w:t xml:space="preserve"> and argued that the exclusion of transfusion costs </w:t>
      </w:r>
      <w:r w:rsidR="00582B87" w:rsidRPr="00C927B9">
        <w:rPr>
          <w:lang w:val="en-AU"/>
        </w:rPr>
        <w:t>did</w:t>
      </w:r>
      <w:r w:rsidR="00833E79" w:rsidRPr="00C927B9">
        <w:rPr>
          <w:lang w:val="en-AU"/>
        </w:rPr>
        <w:t xml:space="preserve"> not bias the analysis in favour of venetoclax.</w:t>
      </w:r>
      <w:r w:rsidRPr="00C927B9">
        <w:rPr>
          <w:lang w:val="en-AU"/>
        </w:rPr>
        <w:t xml:space="preserve"> </w:t>
      </w:r>
      <w:r w:rsidR="00F4506F" w:rsidRPr="00C927B9">
        <w:rPr>
          <w:iCs/>
          <w:lang w:val="en-AU"/>
        </w:rPr>
        <w:t>Exposure-adjusted transfusion rates</w:t>
      </w:r>
      <w:r w:rsidRPr="00C927B9">
        <w:rPr>
          <w:iCs/>
          <w:lang w:val="en-AU"/>
        </w:rPr>
        <w:t xml:space="preserve"> indicate</w:t>
      </w:r>
      <w:r w:rsidR="00582B87" w:rsidRPr="00C927B9">
        <w:rPr>
          <w:iCs/>
          <w:lang w:val="en-AU"/>
        </w:rPr>
        <w:t>d</w:t>
      </w:r>
      <w:r w:rsidRPr="00C927B9">
        <w:rPr>
          <w:iCs/>
          <w:lang w:val="en-AU"/>
        </w:rPr>
        <w:t xml:space="preserve"> that while venetoclax with azacitidine was associated with a decreased rate of infusions</w:t>
      </w:r>
      <w:r w:rsidR="00F4506F" w:rsidRPr="00C927B9">
        <w:rPr>
          <w:iCs/>
          <w:lang w:val="en-AU"/>
        </w:rPr>
        <w:t xml:space="preserve"> compared with azacitidine (1.98 versus 2.69 per 100 patient years)</w:t>
      </w:r>
      <w:r w:rsidRPr="00C927B9">
        <w:rPr>
          <w:iCs/>
          <w:lang w:val="en-AU"/>
        </w:rPr>
        <w:t xml:space="preserve">, this would be largely offset by the longer time spent on treatment (average duration of treatment in the venetoclax with azacitidine arm was 1.55 years, compared with 0.69 years in the azacitidine arm). Additionally, patients in the venetoclax with azacitidine arm had a longer duration in the post-event </w:t>
      </w:r>
      <w:r w:rsidRPr="00C927B9">
        <w:rPr>
          <w:iCs/>
          <w:lang w:val="en-AU"/>
        </w:rPr>
        <w:lastRenderedPageBreak/>
        <w:t>state in the model, in which patients are likely to have higher rates of blood transfusions.</w:t>
      </w:r>
    </w:p>
    <w:p w:rsidR="00047FF3" w:rsidRPr="00C927B9" w:rsidRDefault="00047FF3" w:rsidP="00BB111D">
      <w:pPr>
        <w:pStyle w:val="ExecSumBodyText"/>
        <w:rPr>
          <w:lang w:val="en-AU"/>
        </w:rPr>
      </w:pPr>
      <w:r w:rsidRPr="00C927B9">
        <w:rPr>
          <w:lang w:val="en-AU"/>
        </w:rPr>
        <w:t xml:space="preserve">The submission </w:t>
      </w:r>
      <w:r w:rsidR="002A1CA2" w:rsidRPr="00C927B9">
        <w:rPr>
          <w:lang w:val="en-AU"/>
        </w:rPr>
        <w:t xml:space="preserve">and PSCR </w:t>
      </w:r>
      <w:r w:rsidRPr="00C927B9">
        <w:rPr>
          <w:lang w:val="en-AU"/>
        </w:rPr>
        <w:t xml:space="preserve">argued that patients in the venetoclax with azacitidine arm experience disease progression and death at a later date than patients in the comparator arms, and it assumed that </w:t>
      </w:r>
      <w:r w:rsidR="00BB111D" w:rsidRPr="00C927B9">
        <w:rPr>
          <w:lang w:val="en-AU"/>
        </w:rPr>
        <w:t>post-event chemotherapy and terminal care</w:t>
      </w:r>
      <w:r w:rsidRPr="00C927B9">
        <w:rPr>
          <w:lang w:val="en-AU"/>
        </w:rPr>
        <w:t xml:space="preserve"> costs </w:t>
      </w:r>
      <w:r w:rsidR="00582B87" w:rsidRPr="00C927B9">
        <w:rPr>
          <w:lang w:val="en-AU"/>
        </w:rPr>
        <w:t>would</w:t>
      </w:r>
      <w:r w:rsidRPr="00C927B9">
        <w:rPr>
          <w:lang w:val="en-AU"/>
        </w:rPr>
        <w:t xml:space="preserve"> be equivalent between treatment arms. </w:t>
      </w:r>
      <w:r w:rsidRPr="00C927B9">
        <w:rPr>
          <w:iCs/>
          <w:lang w:val="en-AU"/>
        </w:rPr>
        <w:t xml:space="preserve">This claim was not reasonable, as it </w:t>
      </w:r>
      <w:r w:rsidR="00582B87" w:rsidRPr="00C927B9">
        <w:rPr>
          <w:iCs/>
          <w:lang w:val="en-AU"/>
        </w:rPr>
        <w:t>did</w:t>
      </w:r>
      <w:r w:rsidRPr="00C927B9">
        <w:rPr>
          <w:iCs/>
          <w:lang w:val="en-AU"/>
        </w:rPr>
        <w:t xml:space="preserve"> not account for the increased time spent in the post-event state for patients in the venetoclax with azacitidine arm (1.32 years) compared to azacitidine (0.77 years) or LoDAC (0.69 years). Overall, the exclusion of post-event treatment costs </w:t>
      </w:r>
      <w:r w:rsidR="008E5479" w:rsidRPr="00C927B9">
        <w:rPr>
          <w:iCs/>
          <w:lang w:val="en-AU"/>
        </w:rPr>
        <w:t>was</w:t>
      </w:r>
      <w:r w:rsidRPr="00C927B9">
        <w:rPr>
          <w:iCs/>
          <w:lang w:val="en-AU"/>
        </w:rPr>
        <w:t xml:space="preserve"> likely to favour venetoclax with azacitidine treatment.</w:t>
      </w:r>
    </w:p>
    <w:p w:rsidR="007C6367" w:rsidRPr="00C927B9" w:rsidRDefault="00047FF3" w:rsidP="00047FF3">
      <w:pPr>
        <w:pStyle w:val="ExecSumBodyText"/>
        <w:rPr>
          <w:lang w:val="en-AU"/>
        </w:rPr>
      </w:pPr>
      <w:bookmarkStart w:id="31" w:name="_Ref64276711"/>
      <w:r w:rsidRPr="00C927B9">
        <w:rPr>
          <w:lang w:val="en-AU"/>
        </w:rPr>
        <w:t xml:space="preserve">The economic evaluation </w:t>
      </w:r>
      <w:r w:rsidR="00A874BA" w:rsidRPr="00C927B9">
        <w:rPr>
          <w:lang w:val="en-AU"/>
        </w:rPr>
        <w:t xml:space="preserve">did </w:t>
      </w:r>
      <w:r w:rsidRPr="00C927B9">
        <w:rPr>
          <w:lang w:val="en-AU"/>
        </w:rPr>
        <w:t>not include health state costs (</w:t>
      </w:r>
      <w:r w:rsidR="00FD2694" w:rsidRPr="00C927B9">
        <w:rPr>
          <w:lang w:val="en-AU"/>
        </w:rPr>
        <w:t>e.g.</w:t>
      </w:r>
      <w:r w:rsidRPr="00C927B9">
        <w:rPr>
          <w:lang w:val="en-AU"/>
        </w:rPr>
        <w:t xml:space="preserve">, visits to health care providers, hospitalisations, emergency room visits, tests for disease monitoring). </w:t>
      </w:r>
      <w:r w:rsidR="0090199C" w:rsidRPr="00C927B9">
        <w:rPr>
          <w:iCs/>
          <w:lang w:val="en-AU"/>
        </w:rPr>
        <w:t>The ESC advised that this</w:t>
      </w:r>
      <w:r w:rsidR="00A874BA" w:rsidRPr="00C927B9">
        <w:rPr>
          <w:iCs/>
          <w:lang w:val="en-AU"/>
        </w:rPr>
        <w:t xml:space="preserve"> was</w:t>
      </w:r>
      <w:r w:rsidRPr="00C927B9">
        <w:rPr>
          <w:iCs/>
          <w:lang w:val="en-AU"/>
        </w:rPr>
        <w:t xml:space="preserve"> not appropriate, as patients in the venetoclax with azacitidine arm spend more time in the event-free and post-event health states compared to the other treatment arms, and the exclusion of these costs favour</w:t>
      </w:r>
      <w:r w:rsidR="00A874BA" w:rsidRPr="00C927B9">
        <w:rPr>
          <w:iCs/>
          <w:lang w:val="en-AU"/>
        </w:rPr>
        <w:t>ed</w:t>
      </w:r>
      <w:r w:rsidRPr="00C927B9">
        <w:rPr>
          <w:iCs/>
          <w:lang w:val="en-AU"/>
        </w:rPr>
        <w:t xml:space="preserve"> venetoclax with azacitidine.</w:t>
      </w:r>
      <w:r w:rsidR="00A874BA" w:rsidRPr="00C927B9">
        <w:rPr>
          <w:iCs/>
          <w:lang w:val="en-AU"/>
        </w:rPr>
        <w:t xml:space="preserve"> The ESC advised that the </w:t>
      </w:r>
      <w:r w:rsidR="00F15C36" w:rsidRPr="00C927B9">
        <w:rPr>
          <w:iCs/>
          <w:lang w:val="en-AU"/>
        </w:rPr>
        <w:t>exclusion</w:t>
      </w:r>
      <w:r w:rsidR="00A874BA" w:rsidRPr="00C927B9">
        <w:rPr>
          <w:iCs/>
          <w:lang w:val="en-AU"/>
        </w:rPr>
        <w:t xml:space="preserve"> of these costs was inappropriate for a high resource use condition.</w:t>
      </w:r>
      <w:bookmarkEnd w:id="31"/>
    </w:p>
    <w:p w:rsidR="00E96BDB" w:rsidRPr="00C927B9" w:rsidRDefault="00FA5BEA" w:rsidP="00FA5BEA">
      <w:pPr>
        <w:pStyle w:val="ExecSumBodyText"/>
        <w:rPr>
          <w:lang w:val="en-AU"/>
        </w:rPr>
      </w:pPr>
      <w:r w:rsidRPr="00C927B9">
        <w:rPr>
          <w:lang w:val="en-AU"/>
        </w:rPr>
        <w:t>The results of the modelled economic evaluation are summarised below.</w:t>
      </w:r>
    </w:p>
    <w:p w:rsidR="0037692B" w:rsidRPr="00C927B9" w:rsidRDefault="0060344B" w:rsidP="0060344B">
      <w:pPr>
        <w:pStyle w:val="Caption"/>
        <w:rPr>
          <w:lang w:val="en-AU"/>
        </w:rPr>
      </w:pPr>
      <w:r w:rsidRPr="00C927B9">
        <w:rPr>
          <w:lang w:val="en-AU"/>
        </w:rPr>
        <w:t xml:space="preserve">Table </w:t>
      </w:r>
      <w:r w:rsidR="00DB3600" w:rsidRPr="00C927B9">
        <w:rPr>
          <w:lang w:val="en-AU"/>
        </w:rPr>
        <w:t>13</w:t>
      </w:r>
      <w:r w:rsidR="0037692B" w:rsidRPr="00C927B9">
        <w:rPr>
          <w:lang w:val="en-AU"/>
        </w:rPr>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5"/>
        <w:gridCol w:w="2087"/>
        <w:gridCol w:w="2088"/>
        <w:gridCol w:w="2087"/>
      </w:tblGrid>
      <w:tr w:rsidR="0037692B" w:rsidRPr="00C927B9" w:rsidTr="00574791">
        <w:trPr>
          <w:tblHeader/>
        </w:trPr>
        <w:tc>
          <w:tcPr>
            <w:tcW w:w="1528" w:type="pct"/>
            <w:tcBorders>
              <w:bottom w:val="double" w:sz="4" w:space="0" w:color="auto"/>
            </w:tcBorders>
            <w:vAlign w:val="center"/>
          </w:tcPr>
          <w:p w:rsidR="0037692B" w:rsidRPr="00C927B9" w:rsidRDefault="0037692B" w:rsidP="00574791">
            <w:pPr>
              <w:pStyle w:val="Tableheadingrow"/>
              <w:rPr>
                <w:lang w:val="en-AU"/>
              </w:rPr>
            </w:pPr>
            <w:r w:rsidRPr="00C927B9">
              <w:rPr>
                <w:lang w:val="en-AU"/>
              </w:rPr>
              <w:t>Component</w:t>
            </w:r>
          </w:p>
        </w:tc>
        <w:tc>
          <w:tcPr>
            <w:tcW w:w="1157" w:type="pct"/>
            <w:tcBorders>
              <w:bottom w:val="double" w:sz="4" w:space="0" w:color="auto"/>
            </w:tcBorders>
            <w:vAlign w:val="center"/>
          </w:tcPr>
          <w:p w:rsidR="0037692B" w:rsidRPr="00C927B9" w:rsidRDefault="007C2181" w:rsidP="00574791">
            <w:pPr>
              <w:pStyle w:val="Tableheadingrow"/>
              <w:jc w:val="center"/>
              <w:rPr>
                <w:lang w:val="en-AU"/>
              </w:rPr>
            </w:pPr>
            <w:r w:rsidRPr="00C927B9">
              <w:rPr>
                <w:lang w:val="en-AU"/>
              </w:rPr>
              <w:t>Venetoclax + azacitidine</w:t>
            </w:r>
          </w:p>
        </w:tc>
        <w:tc>
          <w:tcPr>
            <w:tcW w:w="1158" w:type="pct"/>
            <w:tcBorders>
              <w:bottom w:val="double" w:sz="4" w:space="0" w:color="auto"/>
            </w:tcBorders>
            <w:vAlign w:val="center"/>
          </w:tcPr>
          <w:p w:rsidR="0037692B" w:rsidRPr="00C927B9" w:rsidRDefault="0037692B" w:rsidP="00574791">
            <w:pPr>
              <w:pStyle w:val="Tableheadingrow"/>
              <w:jc w:val="center"/>
              <w:rPr>
                <w:lang w:val="en-AU"/>
              </w:rPr>
            </w:pPr>
            <w:r w:rsidRPr="00C927B9">
              <w:rPr>
                <w:lang w:val="en-AU"/>
              </w:rPr>
              <w:t>Comparator</w:t>
            </w:r>
          </w:p>
        </w:tc>
        <w:tc>
          <w:tcPr>
            <w:tcW w:w="1157" w:type="pct"/>
            <w:tcBorders>
              <w:bottom w:val="double" w:sz="4" w:space="0" w:color="auto"/>
            </w:tcBorders>
            <w:vAlign w:val="center"/>
          </w:tcPr>
          <w:p w:rsidR="0037692B" w:rsidRPr="00C927B9" w:rsidRDefault="0037692B" w:rsidP="00574791">
            <w:pPr>
              <w:pStyle w:val="Tableheadingrow"/>
              <w:jc w:val="center"/>
              <w:rPr>
                <w:lang w:val="en-AU"/>
              </w:rPr>
            </w:pPr>
            <w:r w:rsidRPr="00C927B9">
              <w:rPr>
                <w:lang w:val="en-AU"/>
              </w:rPr>
              <w:t>Increment</w:t>
            </w:r>
          </w:p>
        </w:tc>
      </w:tr>
      <w:tr w:rsidR="0037692B" w:rsidRPr="00C927B9" w:rsidTr="00574791">
        <w:tc>
          <w:tcPr>
            <w:tcW w:w="5000" w:type="pct"/>
            <w:gridSpan w:val="4"/>
            <w:vAlign w:val="center"/>
          </w:tcPr>
          <w:p w:rsidR="0037692B" w:rsidRPr="00C927B9" w:rsidRDefault="0037692B" w:rsidP="00574791">
            <w:pPr>
              <w:pStyle w:val="TableText"/>
            </w:pPr>
            <w:r w:rsidRPr="00C927B9">
              <w:rPr>
                <w:b/>
                <w:bCs w:val="0"/>
              </w:rPr>
              <w:t>VTX+AZA versus AZA</w:t>
            </w:r>
          </w:p>
        </w:tc>
      </w:tr>
      <w:tr w:rsidR="0037692B" w:rsidRPr="00C927B9" w:rsidTr="00574791">
        <w:tc>
          <w:tcPr>
            <w:tcW w:w="1528" w:type="pct"/>
            <w:vAlign w:val="center"/>
          </w:tcPr>
          <w:p w:rsidR="0037692B" w:rsidRPr="00C927B9" w:rsidRDefault="0037692B" w:rsidP="00574791">
            <w:pPr>
              <w:pStyle w:val="TableText"/>
            </w:pPr>
            <w:r w:rsidRPr="00C927B9">
              <w:t>Costs</w:t>
            </w:r>
          </w:p>
        </w:tc>
        <w:tc>
          <w:tcPr>
            <w:tcW w:w="1157" w:type="pct"/>
            <w:vAlign w:val="center"/>
          </w:tcPr>
          <w:p w:rsidR="0037692B" w:rsidRPr="00E92308" w:rsidRDefault="0037692B" w:rsidP="00574791">
            <w:pPr>
              <w:pStyle w:val="TableText"/>
              <w:jc w:val="center"/>
              <w:rPr>
                <w:vertAlign w:val="superscript"/>
              </w:rPr>
            </w:pPr>
            <w:r w:rsidRPr="00C927B9">
              <w:t>$</w:t>
            </w:r>
            <w:r w:rsidR="004F2A12">
              <w:rPr>
                <w:noProof/>
                <w:color w:val="000000"/>
                <w:highlight w:val="black"/>
              </w:rPr>
              <w:t>''''''''''''''''</w:t>
            </w:r>
          </w:p>
        </w:tc>
        <w:tc>
          <w:tcPr>
            <w:tcW w:w="1158" w:type="pct"/>
            <w:vAlign w:val="center"/>
          </w:tcPr>
          <w:p w:rsidR="0037692B" w:rsidRPr="00E92308" w:rsidRDefault="0037692B" w:rsidP="00574791">
            <w:pPr>
              <w:pStyle w:val="TableText"/>
              <w:jc w:val="center"/>
              <w:rPr>
                <w:vertAlign w:val="superscript"/>
              </w:rPr>
            </w:pPr>
            <w:r w:rsidRPr="00C927B9">
              <w:t>$</w:t>
            </w:r>
            <w:r w:rsidRPr="00F16A03">
              <w:t>34,568</w:t>
            </w:r>
          </w:p>
        </w:tc>
        <w:tc>
          <w:tcPr>
            <w:tcW w:w="1157" w:type="pct"/>
            <w:vAlign w:val="center"/>
          </w:tcPr>
          <w:p w:rsidR="0037692B" w:rsidRPr="00E92308" w:rsidRDefault="0037692B" w:rsidP="00574791">
            <w:pPr>
              <w:pStyle w:val="TableText"/>
              <w:jc w:val="center"/>
              <w:rPr>
                <w:vertAlign w:val="superscript"/>
              </w:rPr>
            </w:pPr>
            <w:r w:rsidRPr="00C927B9">
              <w:t>$</w:t>
            </w:r>
            <w:r w:rsidR="004F2A12">
              <w:rPr>
                <w:noProof/>
                <w:color w:val="000000"/>
                <w:highlight w:val="black"/>
              </w:rPr>
              <w:t>'''''''''''''''''</w:t>
            </w:r>
            <w:r w:rsidR="00FC7D4E">
              <w:rPr>
                <w:vertAlign w:val="superscript"/>
              </w:rPr>
              <w:t>1</w:t>
            </w:r>
          </w:p>
        </w:tc>
      </w:tr>
      <w:tr w:rsidR="0037692B" w:rsidRPr="00C927B9" w:rsidTr="00574791">
        <w:tc>
          <w:tcPr>
            <w:tcW w:w="1528" w:type="pct"/>
            <w:vAlign w:val="center"/>
          </w:tcPr>
          <w:p w:rsidR="0037692B" w:rsidRPr="00C927B9" w:rsidRDefault="0037692B" w:rsidP="00574791">
            <w:pPr>
              <w:pStyle w:val="TableText"/>
            </w:pPr>
            <w:r w:rsidRPr="00C927B9">
              <w:t>QALYs</w:t>
            </w:r>
          </w:p>
        </w:tc>
        <w:tc>
          <w:tcPr>
            <w:tcW w:w="1157" w:type="pct"/>
            <w:vAlign w:val="center"/>
          </w:tcPr>
          <w:p w:rsidR="0037692B" w:rsidRPr="00C927B9" w:rsidRDefault="0037692B" w:rsidP="00574791">
            <w:pPr>
              <w:pStyle w:val="TableText"/>
              <w:jc w:val="center"/>
            </w:pPr>
            <w:r w:rsidRPr="00C927B9">
              <w:t>1.8295</w:t>
            </w:r>
          </w:p>
        </w:tc>
        <w:tc>
          <w:tcPr>
            <w:tcW w:w="1158" w:type="pct"/>
            <w:vAlign w:val="center"/>
          </w:tcPr>
          <w:p w:rsidR="0037692B" w:rsidRPr="00C927B9" w:rsidRDefault="0037692B" w:rsidP="00574791">
            <w:pPr>
              <w:pStyle w:val="TableText"/>
              <w:jc w:val="center"/>
            </w:pPr>
            <w:r w:rsidRPr="00C927B9">
              <w:t>0.9792</w:t>
            </w:r>
          </w:p>
        </w:tc>
        <w:tc>
          <w:tcPr>
            <w:tcW w:w="1157" w:type="pct"/>
            <w:vAlign w:val="center"/>
          </w:tcPr>
          <w:p w:rsidR="0037692B" w:rsidRPr="00C927B9" w:rsidRDefault="0037692B" w:rsidP="00574791">
            <w:pPr>
              <w:pStyle w:val="TableText"/>
              <w:jc w:val="center"/>
            </w:pPr>
            <w:r w:rsidRPr="00C927B9">
              <w:t>0.8503</w:t>
            </w:r>
          </w:p>
        </w:tc>
      </w:tr>
      <w:tr w:rsidR="0037692B" w:rsidRPr="00C927B9" w:rsidTr="00574791">
        <w:tc>
          <w:tcPr>
            <w:tcW w:w="3843" w:type="pct"/>
            <w:gridSpan w:val="3"/>
            <w:tcBorders>
              <w:bottom w:val="double" w:sz="4" w:space="0" w:color="auto"/>
            </w:tcBorders>
            <w:vAlign w:val="center"/>
          </w:tcPr>
          <w:p w:rsidR="0037692B" w:rsidRPr="00C927B9" w:rsidRDefault="0037692B" w:rsidP="00574791">
            <w:pPr>
              <w:pStyle w:val="TableText"/>
              <w:rPr>
                <w:b/>
              </w:rPr>
            </w:pPr>
            <w:r w:rsidRPr="00C927B9">
              <w:rPr>
                <w:b/>
              </w:rPr>
              <w:t>Incremental cost/QALY gained</w:t>
            </w:r>
          </w:p>
        </w:tc>
        <w:tc>
          <w:tcPr>
            <w:tcW w:w="1157" w:type="pct"/>
            <w:tcBorders>
              <w:bottom w:val="double" w:sz="4" w:space="0" w:color="auto"/>
            </w:tcBorders>
            <w:vAlign w:val="center"/>
          </w:tcPr>
          <w:p w:rsidR="0037692B" w:rsidRPr="00E92308" w:rsidRDefault="0037692B" w:rsidP="00574791">
            <w:pPr>
              <w:pStyle w:val="TableText"/>
              <w:jc w:val="center"/>
              <w:rPr>
                <w:b/>
                <w:bCs w:val="0"/>
                <w:vertAlign w:val="superscript"/>
              </w:rPr>
            </w:pPr>
            <w:r w:rsidRPr="00C927B9">
              <w:rPr>
                <w:b/>
                <w:bCs w:val="0"/>
              </w:rPr>
              <w:t>$</w:t>
            </w:r>
            <w:r w:rsidR="004F2A12">
              <w:rPr>
                <w:b/>
                <w:bCs w:val="0"/>
                <w:noProof/>
                <w:color w:val="000000"/>
                <w:highlight w:val="black"/>
              </w:rPr>
              <w:t>''''''''''''</w:t>
            </w:r>
            <w:r w:rsidR="00FC7D4E">
              <w:rPr>
                <w:vertAlign w:val="superscript"/>
              </w:rPr>
              <w:t>2</w:t>
            </w:r>
          </w:p>
        </w:tc>
      </w:tr>
      <w:tr w:rsidR="0037692B" w:rsidRPr="00C927B9" w:rsidTr="00574791">
        <w:tc>
          <w:tcPr>
            <w:tcW w:w="5000" w:type="pct"/>
            <w:gridSpan w:val="4"/>
            <w:vAlign w:val="center"/>
          </w:tcPr>
          <w:p w:rsidR="0037692B" w:rsidRPr="00C927B9" w:rsidRDefault="0037692B" w:rsidP="00574791">
            <w:pPr>
              <w:pStyle w:val="TableText"/>
            </w:pPr>
            <w:r w:rsidRPr="00C927B9">
              <w:rPr>
                <w:b/>
                <w:bCs w:val="0"/>
              </w:rPr>
              <w:t>VTX+AZA versus LoDAC</w:t>
            </w:r>
          </w:p>
        </w:tc>
      </w:tr>
      <w:tr w:rsidR="0037692B" w:rsidRPr="00C927B9" w:rsidTr="00574791">
        <w:tc>
          <w:tcPr>
            <w:tcW w:w="1528" w:type="pct"/>
            <w:vAlign w:val="center"/>
          </w:tcPr>
          <w:p w:rsidR="0037692B" w:rsidRPr="00C927B9" w:rsidRDefault="0037692B" w:rsidP="00574791">
            <w:pPr>
              <w:pStyle w:val="TableText"/>
            </w:pPr>
            <w:r w:rsidRPr="00C927B9">
              <w:t>Costs</w:t>
            </w:r>
          </w:p>
        </w:tc>
        <w:tc>
          <w:tcPr>
            <w:tcW w:w="1157" w:type="pct"/>
            <w:vAlign w:val="center"/>
          </w:tcPr>
          <w:p w:rsidR="0037692B" w:rsidRPr="00E92308" w:rsidRDefault="0037692B" w:rsidP="00574791">
            <w:pPr>
              <w:pStyle w:val="TableText"/>
              <w:jc w:val="center"/>
              <w:rPr>
                <w:vertAlign w:val="superscript"/>
              </w:rPr>
            </w:pPr>
            <w:r w:rsidRPr="00C927B9">
              <w:t>$</w:t>
            </w:r>
            <w:r w:rsidR="004F2A12">
              <w:rPr>
                <w:noProof/>
                <w:color w:val="000000"/>
                <w:highlight w:val="black"/>
              </w:rPr>
              <w:t>''''''''''''''''</w:t>
            </w:r>
          </w:p>
        </w:tc>
        <w:tc>
          <w:tcPr>
            <w:tcW w:w="1158" w:type="pct"/>
            <w:vAlign w:val="center"/>
          </w:tcPr>
          <w:p w:rsidR="0037692B" w:rsidRPr="00E92308" w:rsidRDefault="0037692B" w:rsidP="00574791">
            <w:pPr>
              <w:pStyle w:val="TableText"/>
              <w:jc w:val="center"/>
              <w:rPr>
                <w:vertAlign w:val="superscript"/>
              </w:rPr>
            </w:pPr>
            <w:r w:rsidRPr="00F16A03">
              <w:t>$20,028</w:t>
            </w:r>
          </w:p>
        </w:tc>
        <w:tc>
          <w:tcPr>
            <w:tcW w:w="1157" w:type="pct"/>
            <w:vAlign w:val="center"/>
          </w:tcPr>
          <w:p w:rsidR="0037692B" w:rsidRPr="00E92308" w:rsidRDefault="0037692B" w:rsidP="00574791">
            <w:pPr>
              <w:pStyle w:val="TableText"/>
              <w:jc w:val="center"/>
              <w:rPr>
                <w:vertAlign w:val="superscript"/>
              </w:rPr>
            </w:pPr>
            <w:r w:rsidRPr="00C927B9">
              <w:t>$</w:t>
            </w:r>
            <w:r w:rsidR="004F2A12">
              <w:rPr>
                <w:noProof/>
                <w:color w:val="000000"/>
                <w:highlight w:val="black"/>
              </w:rPr>
              <w:t>''''''''''''''''</w:t>
            </w:r>
            <w:r w:rsidR="007667D4">
              <w:rPr>
                <w:vertAlign w:val="superscript"/>
              </w:rPr>
              <w:t>2</w:t>
            </w:r>
          </w:p>
        </w:tc>
      </w:tr>
      <w:tr w:rsidR="0037692B" w:rsidRPr="00C927B9" w:rsidTr="00574791">
        <w:tc>
          <w:tcPr>
            <w:tcW w:w="1528" w:type="pct"/>
            <w:vAlign w:val="center"/>
          </w:tcPr>
          <w:p w:rsidR="0037692B" w:rsidRPr="00C927B9" w:rsidRDefault="0037692B" w:rsidP="00574791">
            <w:pPr>
              <w:pStyle w:val="TableText"/>
            </w:pPr>
            <w:r w:rsidRPr="00C927B9">
              <w:t>QALYs</w:t>
            </w:r>
          </w:p>
        </w:tc>
        <w:tc>
          <w:tcPr>
            <w:tcW w:w="1157" w:type="pct"/>
            <w:vAlign w:val="center"/>
          </w:tcPr>
          <w:p w:rsidR="0037692B" w:rsidRPr="00C927B9" w:rsidRDefault="0037692B" w:rsidP="00574791">
            <w:pPr>
              <w:pStyle w:val="TableText"/>
              <w:jc w:val="center"/>
            </w:pPr>
            <w:r w:rsidRPr="00C927B9">
              <w:t>1.8267</w:t>
            </w:r>
          </w:p>
        </w:tc>
        <w:tc>
          <w:tcPr>
            <w:tcW w:w="1158" w:type="pct"/>
            <w:vAlign w:val="center"/>
          </w:tcPr>
          <w:p w:rsidR="0037692B" w:rsidRPr="00C927B9" w:rsidRDefault="0037692B" w:rsidP="00574791">
            <w:pPr>
              <w:pStyle w:val="TableText"/>
              <w:jc w:val="center"/>
            </w:pPr>
            <w:r w:rsidRPr="00C927B9">
              <w:t>0.8849</w:t>
            </w:r>
          </w:p>
        </w:tc>
        <w:tc>
          <w:tcPr>
            <w:tcW w:w="1157" w:type="pct"/>
            <w:vAlign w:val="center"/>
          </w:tcPr>
          <w:p w:rsidR="0037692B" w:rsidRPr="00C927B9" w:rsidRDefault="0037692B" w:rsidP="00574791">
            <w:pPr>
              <w:pStyle w:val="TableText"/>
              <w:jc w:val="center"/>
            </w:pPr>
            <w:r w:rsidRPr="00C927B9">
              <w:t>0.9417</w:t>
            </w:r>
          </w:p>
        </w:tc>
      </w:tr>
      <w:tr w:rsidR="0037692B" w:rsidRPr="00C927B9" w:rsidTr="00574791">
        <w:tc>
          <w:tcPr>
            <w:tcW w:w="3843" w:type="pct"/>
            <w:gridSpan w:val="3"/>
            <w:tcBorders>
              <w:bottom w:val="double" w:sz="4" w:space="0" w:color="auto"/>
            </w:tcBorders>
            <w:vAlign w:val="center"/>
          </w:tcPr>
          <w:p w:rsidR="0037692B" w:rsidRPr="00C927B9" w:rsidRDefault="0037692B" w:rsidP="00574791">
            <w:pPr>
              <w:pStyle w:val="TableText"/>
              <w:rPr>
                <w:b/>
              </w:rPr>
            </w:pPr>
            <w:r w:rsidRPr="00C927B9">
              <w:rPr>
                <w:b/>
              </w:rPr>
              <w:t>Incremental cost/QALY gained</w:t>
            </w:r>
          </w:p>
        </w:tc>
        <w:tc>
          <w:tcPr>
            <w:tcW w:w="1157" w:type="pct"/>
            <w:tcBorders>
              <w:bottom w:val="double" w:sz="4" w:space="0" w:color="auto"/>
            </w:tcBorders>
            <w:vAlign w:val="center"/>
          </w:tcPr>
          <w:p w:rsidR="0037692B" w:rsidRPr="00E92308" w:rsidRDefault="0037692B" w:rsidP="00574791">
            <w:pPr>
              <w:pStyle w:val="TableText"/>
              <w:jc w:val="center"/>
              <w:rPr>
                <w:b/>
                <w:vertAlign w:val="superscript"/>
              </w:rPr>
            </w:pPr>
            <w:r w:rsidRPr="00C927B9">
              <w:rPr>
                <w:b/>
              </w:rPr>
              <w:t>$</w:t>
            </w:r>
            <w:r w:rsidR="004F2A12">
              <w:rPr>
                <w:b/>
                <w:noProof/>
                <w:color w:val="000000"/>
                <w:highlight w:val="black"/>
              </w:rPr>
              <w:t>'''''''''''''</w:t>
            </w:r>
            <w:r w:rsidR="00FC7D4E">
              <w:rPr>
                <w:vertAlign w:val="superscript"/>
              </w:rPr>
              <w:t>2</w:t>
            </w:r>
          </w:p>
        </w:tc>
      </w:tr>
      <w:tr w:rsidR="0037692B" w:rsidRPr="00C927B9" w:rsidTr="00574791">
        <w:tc>
          <w:tcPr>
            <w:tcW w:w="5000" w:type="pct"/>
            <w:gridSpan w:val="4"/>
            <w:vAlign w:val="center"/>
          </w:tcPr>
          <w:p w:rsidR="0037692B" w:rsidRPr="00C927B9" w:rsidRDefault="0037692B" w:rsidP="00574791">
            <w:pPr>
              <w:pStyle w:val="TableText"/>
              <w:rPr>
                <w:b/>
                <w:bCs w:val="0"/>
              </w:rPr>
            </w:pPr>
            <w:r w:rsidRPr="00C927B9">
              <w:rPr>
                <w:b/>
                <w:bCs w:val="0"/>
              </w:rPr>
              <w:t>Weighted economic evaluation (55.6% substitution for AZA/44.4% substitution for LoDAC)</w:t>
            </w:r>
            <w:r w:rsidR="00951636" w:rsidRPr="00C927B9">
              <w:rPr>
                <w:b/>
                <w:bCs w:val="0"/>
                <w:vertAlign w:val="superscript"/>
              </w:rPr>
              <w:t>a</w:t>
            </w:r>
          </w:p>
        </w:tc>
      </w:tr>
      <w:tr w:rsidR="0037692B" w:rsidRPr="00C927B9" w:rsidTr="00574791">
        <w:tc>
          <w:tcPr>
            <w:tcW w:w="1528" w:type="pct"/>
            <w:vAlign w:val="center"/>
          </w:tcPr>
          <w:p w:rsidR="0037692B" w:rsidRPr="00C927B9" w:rsidRDefault="0037692B" w:rsidP="00574791">
            <w:pPr>
              <w:pStyle w:val="TableText"/>
            </w:pPr>
            <w:r w:rsidRPr="00C927B9">
              <w:t>Costs</w:t>
            </w:r>
          </w:p>
        </w:tc>
        <w:tc>
          <w:tcPr>
            <w:tcW w:w="1157" w:type="pct"/>
            <w:vAlign w:val="center"/>
          </w:tcPr>
          <w:p w:rsidR="0037692B" w:rsidRPr="00E92308" w:rsidRDefault="0037692B" w:rsidP="00574791">
            <w:pPr>
              <w:pStyle w:val="TableText"/>
              <w:jc w:val="center"/>
              <w:rPr>
                <w:vertAlign w:val="superscript"/>
              </w:rPr>
            </w:pPr>
            <w:r w:rsidRPr="00C927B9">
              <w:t>$</w:t>
            </w:r>
            <w:r w:rsidR="004F2A12">
              <w:rPr>
                <w:noProof/>
                <w:color w:val="000000"/>
                <w:highlight w:val="black"/>
              </w:rPr>
              <w:t>''''''''''''''''</w:t>
            </w:r>
          </w:p>
        </w:tc>
        <w:tc>
          <w:tcPr>
            <w:tcW w:w="1158" w:type="pct"/>
            <w:vAlign w:val="center"/>
          </w:tcPr>
          <w:p w:rsidR="0037692B" w:rsidRPr="00FC7D4E" w:rsidRDefault="0037692B" w:rsidP="00FC7D4E">
            <w:pPr>
              <w:pStyle w:val="TableText"/>
              <w:jc w:val="center"/>
              <w:rPr>
                <w:vertAlign w:val="superscript"/>
              </w:rPr>
            </w:pPr>
            <w:r w:rsidRPr="00C927B9">
              <w:t>$</w:t>
            </w:r>
            <w:r w:rsidRPr="00F16A03">
              <w:t>28,106</w:t>
            </w:r>
          </w:p>
        </w:tc>
        <w:tc>
          <w:tcPr>
            <w:tcW w:w="1157" w:type="pct"/>
            <w:vAlign w:val="center"/>
          </w:tcPr>
          <w:p w:rsidR="0037692B" w:rsidRPr="00E92308" w:rsidRDefault="0037692B" w:rsidP="00574791">
            <w:pPr>
              <w:pStyle w:val="TableText"/>
              <w:jc w:val="center"/>
              <w:rPr>
                <w:vertAlign w:val="superscript"/>
              </w:rPr>
            </w:pPr>
            <w:r w:rsidRPr="00C927B9">
              <w:t>$</w:t>
            </w:r>
            <w:r w:rsidR="004F2A12">
              <w:rPr>
                <w:noProof/>
                <w:color w:val="000000"/>
                <w:highlight w:val="black"/>
              </w:rPr>
              <w:t>''''''''''''''''</w:t>
            </w:r>
            <w:r w:rsidR="00FC7D4E">
              <w:rPr>
                <w:vertAlign w:val="superscript"/>
              </w:rPr>
              <w:t>2</w:t>
            </w:r>
          </w:p>
        </w:tc>
      </w:tr>
      <w:tr w:rsidR="0037692B" w:rsidRPr="00C927B9" w:rsidTr="00574791">
        <w:tc>
          <w:tcPr>
            <w:tcW w:w="1528" w:type="pct"/>
            <w:vAlign w:val="center"/>
          </w:tcPr>
          <w:p w:rsidR="0037692B" w:rsidRPr="00C927B9" w:rsidRDefault="0037692B" w:rsidP="00574791">
            <w:pPr>
              <w:pStyle w:val="TableText"/>
            </w:pPr>
            <w:r w:rsidRPr="00C927B9">
              <w:t>QALYs</w:t>
            </w:r>
          </w:p>
        </w:tc>
        <w:tc>
          <w:tcPr>
            <w:tcW w:w="1157" w:type="pct"/>
            <w:vAlign w:val="center"/>
          </w:tcPr>
          <w:p w:rsidR="0037692B" w:rsidRPr="00C927B9" w:rsidRDefault="0037692B" w:rsidP="00574791">
            <w:pPr>
              <w:pStyle w:val="TableText"/>
              <w:jc w:val="center"/>
            </w:pPr>
            <w:r w:rsidRPr="00C927B9">
              <w:t>1.8282</w:t>
            </w:r>
          </w:p>
        </w:tc>
        <w:tc>
          <w:tcPr>
            <w:tcW w:w="1158" w:type="pct"/>
            <w:vAlign w:val="center"/>
          </w:tcPr>
          <w:p w:rsidR="0037692B" w:rsidRPr="00C927B9" w:rsidRDefault="0037692B" w:rsidP="00574791">
            <w:pPr>
              <w:pStyle w:val="TableText"/>
              <w:jc w:val="center"/>
            </w:pPr>
            <w:r w:rsidRPr="00C927B9">
              <w:t>0.9373</w:t>
            </w:r>
          </w:p>
        </w:tc>
        <w:tc>
          <w:tcPr>
            <w:tcW w:w="1157" w:type="pct"/>
            <w:vAlign w:val="center"/>
          </w:tcPr>
          <w:p w:rsidR="0037692B" w:rsidRPr="00C927B9" w:rsidRDefault="0037692B" w:rsidP="00574791">
            <w:pPr>
              <w:pStyle w:val="TableText"/>
              <w:jc w:val="center"/>
            </w:pPr>
            <w:r w:rsidRPr="00C927B9">
              <w:t>0.8910</w:t>
            </w:r>
          </w:p>
        </w:tc>
      </w:tr>
      <w:tr w:rsidR="0037692B" w:rsidRPr="00C927B9" w:rsidTr="00574791">
        <w:tc>
          <w:tcPr>
            <w:tcW w:w="3843" w:type="pct"/>
            <w:gridSpan w:val="3"/>
            <w:vAlign w:val="center"/>
          </w:tcPr>
          <w:p w:rsidR="0037692B" w:rsidRPr="00C927B9" w:rsidRDefault="0037692B" w:rsidP="00574791">
            <w:pPr>
              <w:pStyle w:val="TableText"/>
              <w:rPr>
                <w:b/>
              </w:rPr>
            </w:pPr>
            <w:r w:rsidRPr="00C927B9">
              <w:rPr>
                <w:b/>
              </w:rPr>
              <w:t>Incremental cost/QALY gained</w:t>
            </w:r>
          </w:p>
        </w:tc>
        <w:tc>
          <w:tcPr>
            <w:tcW w:w="1157" w:type="pct"/>
            <w:vAlign w:val="center"/>
          </w:tcPr>
          <w:p w:rsidR="0037692B" w:rsidRPr="004F2A12" w:rsidRDefault="0037692B" w:rsidP="00574791">
            <w:pPr>
              <w:pStyle w:val="TableText"/>
              <w:jc w:val="center"/>
              <w:rPr>
                <w:b/>
                <w:vertAlign w:val="superscript"/>
              </w:rPr>
            </w:pPr>
            <w:r w:rsidRPr="00C927B9">
              <w:rPr>
                <w:b/>
              </w:rPr>
              <w:t>$</w:t>
            </w:r>
            <w:r w:rsidR="004F2A12">
              <w:rPr>
                <w:b/>
                <w:noProof/>
                <w:color w:val="000000"/>
                <w:highlight w:val="black"/>
              </w:rPr>
              <w:t>''''''''''''</w:t>
            </w:r>
            <w:r w:rsidR="00FC7D4E">
              <w:rPr>
                <w:vertAlign w:val="superscript"/>
              </w:rPr>
              <w:t>2</w:t>
            </w:r>
          </w:p>
        </w:tc>
      </w:tr>
    </w:tbl>
    <w:p w:rsidR="0037692B" w:rsidRPr="00C927B9" w:rsidRDefault="0037692B" w:rsidP="00AB0A5D">
      <w:pPr>
        <w:pStyle w:val="TableFigureFooter"/>
        <w:rPr>
          <w:rFonts w:eastAsia="Calibri"/>
          <w:szCs w:val="20"/>
          <w:lang w:val="en-AU"/>
        </w:rPr>
      </w:pPr>
      <w:r w:rsidRPr="00C927B9">
        <w:rPr>
          <w:rFonts w:eastAsia="Calibri"/>
          <w:szCs w:val="20"/>
          <w:lang w:val="en-AU"/>
        </w:rPr>
        <w:t>Source: Table 3-28, p251 of the submission</w:t>
      </w:r>
    </w:p>
    <w:p w:rsidR="0037692B" w:rsidRPr="00C927B9" w:rsidRDefault="0037692B" w:rsidP="00AB0A5D">
      <w:pPr>
        <w:pStyle w:val="TableFigureFooter"/>
        <w:rPr>
          <w:rFonts w:eastAsia="Calibri"/>
          <w:szCs w:val="20"/>
          <w:lang w:val="en-AU"/>
        </w:rPr>
      </w:pPr>
      <w:r w:rsidRPr="00C927B9">
        <w:rPr>
          <w:rFonts w:eastAsia="Calibri"/>
          <w:szCs w:val="20"/>
          <w:lang w:val="en-AU"/>
        </w:rPr>
        <w:t>Abbreviations: AZA, azacitidine; LoDAC, low-dose cytarabine; QALY, quality adjusted life year; VTX, venetoclax</w:t>
      </w:r>
    </w:p>
    <w:p w:rsidR="00951636" w:rsidRPr="00C927B9" w:rsidRDefault="00951636" w:rsidP="00AB0A5D">
      <w:pPr>
        <w:pStyle w:val="TableFigureFooter"/>
        <w:rPr>
          <w:rFonts w:eastAsia="Calibri"/>
          <w:szCs w:val="20"/>
          <w:lang w:val="en-AU"/>
        </w:rPr>
      </w:pPr>
      <w:r w:rsidRPr="00C927B9">
        <w:rPr>
          <w:rFonts w:eastAsia="Calibri"/>
          <w:szCs w:val="20"/>
          <w:vertAlign w:val="superscript"/>
          <w:lang w:val="en-AU"/>
        </w:rPr>
        <w:t>a</w:t>
      </w:r>
      <w:r w:rsidR="00434437" w:rsidRPr="00C927B9">
        <w:rPr>
          <w:rFonts w:eastAsia="Calibri"/>
          <w:szCs w:val="20"/>
          <w:lang w:val="en-AU"/>
        </w:rPr>
        <w:t xml:space="preserve"> </w:t>
      </w:r>
      <w:r w:rsidRPr="00C927B9">
        <w:rPr>
          <w:rFonts w:eastAsia="Calibri"/>
          <w:szCs w:val="20"/>
          <w:lang w:val="en-AU"/>
        </w:rPr>
        <w:t>Based on a</w:t>
      </w:r>
      <w:r w:rsidR="00434437" w:rsidRPr="00C927B9">
        <w:rPr>
          <w:rFonts w:eastAsia="Calibri"/>
          <w:szCs w:val="20"/>
          <w:lang w:val="en-AU"/>
        </w:rPr>
        <w:t>n</w:t>
      </w:r>
      <w:r w:rsidRPr="00C927B9">
        <w:rPr>
          <w:rFonts w:eastAsia="Calibri"/>
          <w:szCs w:val="20"/>
          <w:lang w:val="en-AU"/>
        </w:rPr>
        <w:t xml:space="preserve"> </w:t>
      </w:r>
      <w:r w:rsidR="00434437" w:rsidRPr="00C927B9">
        <w:rPr>
          <w:rFonts w:eastAsia="Calibri"/>
          <w:szCs w:val="20"/>
          <w:lang w:val="en-AU"/>
        </w:rPr>
        <w:t xml:space="preserve">assumed </w:t>
      </w:r>
      <w:r w:rsidRPr="00C927B9">
        <w:rPr>
          <w:rFonts w:eastAsia="Calibri"/>
          <w:szCs w:val="20"/>
          <w:lang w:val="en-AU"/>
        </w:rPr>
        <w:t xml:space="preserve">50%:50% split between </w:t>
      </w:r>
      <w:r w:rsidR="00434437" w:rsidRPr="00C927B9">
        <w:rPr>
          <w:rFonts w:eastAsia="Calibri"/>
          <w:szCs w:val="20"/>
          <w:lang w:val="en-AU"/>
        </w:rPr>
        <w:t>azacitidine and LoDAC, and assuming 10% of patients would remain on LoDAC</w:t>
      </w:r>
      <w:r w:rsidR="00F55AAE" w:rsidRPr="00C927B9">
        <w:rPr>
          <w:rFonts w:eastAsia="Calibri"/>
          <w:szCs w:val="20"/>
          <w:lang w:val="en-AU"/>
        </w:rPr>
        <w:t xml:space="preserve">, the substitution rates are calculated as </w:t>
      </w:r>
      <w:r w:rsidR="00A95DB0" w:rsidRPr="00C927B9">
        <w:rPr>
          <w:rFonts w:eastAsia="Calibri"/>
          <w:szCs w:val="20"/>
          <w:lang w:val="en-AU"/>
        </w:rPr>
        <w:t>55.6% (=</w:t>
      </w:r>
      <w:r w:rsidR="00F55AAE" w:rsidRPr="00C927B9">
        <w:rPr>
          <w:rFonts w:eastAsia="Calibri"/>
          <w:szCs w:val="20"/>
          <w:lang w:val="en-AU"/>
        </w:rPr>
        <w:t>50/90</w:t>
      </w:r>
      <w:r w:rsidR="00A95DB0" w:rsidRPr="00C927B9">
        <w:rPr>
          <w:rFonts w:eastAsia="Calibri"/>
          <w:szCs w:val="20"/>
          <w:lang w:val="en-AU"/>
        </w:rPr>
        <w:t>)</w:t>
      </w:r>
      <w:r w:rsidR="00F55AAE" w:rsidRPr="00C927B9">
        <w:rPr>
          <w:rFonts w:eastAsia="Calibri"/>
          <w:szCs w:val="20"/>
          <w:lang w:val="en-AU"/>
        </w:rPr>
        <w:t xml:space="preserve"> for azacit</w:t>
      </w:r>
      <w:r w:rsidR="00A95DB0" w:rsidRPr="00C927B9">
        <w:rPr>
          <w:rFonts w:eastAsia="Calibri"/>
          <w:szCs w:val="20"/>
          <w:lang w:val="en-AU"/>
        </w:rPr>
        <w:t>id</w:t>
      </w:r>
      <w:r w:rsidR="00F55AAE" w:rsidRPr="00C927B9">
        <w:rPr>
          <w:rFonts w:eastAsia="Calibri"/>
          <w:szCs w:val="20"/>
          <w:lang w:val="en-AU"/>
        </w:rPr>
        <w:t xml:space="preserve">ine and </w:t>
      </w:r>
      <w:r w:rsidR="00A95DB0" w:rsidRPr="00C927B9">
        <w:rPr>
          <w:rFonts w:eastAsia="Calibri"/>
          <w:szCs w:val="20"/>
          <w:lang w:val="en-AU"/>
        </w:rPr>
        <w:t>44.4% (=</w:t>
      </w:r>
      <w:r w:rsidR="00F55AAE" w:rsidRPr="00C927B9">
        <w:rPr>
          <w:rFonts w:eastAsia="Calibri"/>
          <w:szCs w:val="20"/>
          <w:lang w:val="en-AU"/>
        </w:rPr>
        <w:t>40/90</w:t>
      </w:r>
      <w:r w:rsidR="00A95DB0" w:rsidRPr="00C927B9">
        <w:rPr>
          <w:rFonts w:eastAsia="Calibri"/>
          <w:szCs w:val="20"/>
          <w:lang w:val="en-AU"/>
        </w:rPr>
        <w:t>)</w:t>
      </w:r>
      <w:r w:rsidR="00F55AAE" w:rsidRPr="00C927B9">
        <w:rPr>
          <w:rFonts w:eastAsia="Calibri"/>
          <w:szCs w:val="20"/>
          <w:lang w:val="en-AU"/>
        </w:rPr>
        <w:t xml:space="preserve"> for LoDAC.</w:t>
      </w:r>
    </w:p>
    <w:p w:rsidR="009D08B3" w:rsidRDefault="009D08B3" w:rsidP="00AB0A5D">
      <w:pPr>
        <w:pStyle w:val="TableFigureFooter"/>
        <w:rPr>
          <w:rFonts w:eastAsia="Calibri"/>
          <w:szCs w:val="20"/>
          <w:lang w:val="en-AU"/>
        </w:rPr>
      </w:pPr>
      <w:r w:rsidRPr="00C927B9">
        <w:rPr>
          <w:rFonts w:eastAsia="Calibri"/>
          <w:szCs w:val="20"/>
          <w:lang w:val="en-AU"/>
        </w:rPr>
        <w:t xml:space="preserve">Note: The model applied fees and </w:t>
      </w:r>
      <w:proofErr w:type="spellStart"/>
      <w:r w:rsidRPr="00C927B9">
        <w:rPr>
          <w:rFonts w:eastAsia="Calibri"/>
          <w:szCs w:val="20"/>
          <w:lang w:val="en-AU"/>
        </w:rPr>
        <w:t>markups</w:t>
      </w:r>
      <w:proofErr w:type="spellEnd"/>
      <w:r w:rsidRPr="00C927B9">
        <w:rPr>
          <w:rFonts w:eastAsia="Calibri"/>
          <w:szCs w:val="20"/>
          <w:lang w:val="en-AU"/>
        </w:rPr>
        <w:t xml:space="preserve"> as at the time of submission. These fees were updated on 1 January 2021 (and updated fees and </w:t>
      </w:r>
      <w:proofErr w:type="spellStart"/>
      <w:r w:rsidRPr="00C927B9">
        <w:rPr>
          <w:rFonts w:eastAsia="Calibri"/>
          <w:szCs w:val="20"/>
          <w:lang w:val="en-AU"/>
        </w:rPr>
        <w:t>markups</w:t>
      </w:r>
      <w:proofErr w:type="spellEnd"/>
      <w:r w:rsidRPr="00C927B9">
        <w:rPr>
          <w:rFonts w:eastAsia="Calibri"/>
          <w:szCs w:val="20"/>
          <w:lang w:val="en-AU"/>
        </w:rPr>
        <w:t xml:space="preserve"> as per the 7th Community Pharmacy Agreement were presented as a sensitivity analysis in the submission).</w:t>
      </w:r>
      <w:r w:rsidR="00582B87" w:rsidRPr="00C927B9">
        <w:rPr>
          <w:rFonts w:eastAsia="Calibri"/>
          <w:szCs w:val="20"/>
          <w:lang w:val="en-AU"/>
        </w:rPr>
        <w:t xml:space="preserve"> </w:t>
      </w:r>
    </w:p>
    <w:p w:rsidR="00E92308" w:rsidRPr="009868C4" w:rsidRDefault="00E92308" w:rsidP="00E92308">
      <w:pPr>
        <w:pStyle w:val="TableFigureFooter"/>
        <w:spacing w:after="0"/>
        <w:contextualSpacing w:val="0"/>
      </w:pPr>
      <w:r w:rsidRPr="009868C4">
        <w:rPr>
          <w:i/>
        </w:rPr>
        <w:t>The redacted values correspond to the following ranges</w:t>
      </w:r>
      <w:r>
        <w:rPr>
          <w:i/>
        </w:rPr>
        <w:t xml:space="preserve">: </w:t>
      </w:r>
    </w:p>
    <w:p w:rsidR="00FC7D4E" w:rsidRPr="00FC7D4E" w:rsidRDefault="00FC7D4E" w:rsidP="00FC7D4E">
      <w:pPr>
        <w:pStyle w:val="TableFigureFooter"/>
        <w:rPr>
          <w:rFonts w:eastAsia="Calibri"/>
          <w:i/>
          <w:szCs w:val="20"/>
          <w:lang w:val="en-AU"/>
        </w:rPr>
      </w:pPr>
      <w:r>
        <w:rPr>
          <w:rFonts w:eastAsia="Calibri"/>
          <w:i/>
          <w:szCs w:val="20"/>
          <w:vertAlign w:val="superscript"/>
          <w:lang w:val="en-AU"/>
        </w:rPr>
        <w:t xml:space="preserve">1 </w:t>
      </w:r>
      <w:r w:rsidRPr="00FC7D4E">
        <w:rPr>
          <w:rFonts w:eastAsia="Calibri"/>
          <w:i/>
          <w:szCs w:val="20"/>
          <w:lang w:val="en-AU"/>
        </w:rPr>
        <w:t>$45,000 to &lt; $55,000</w:t>
      </w:r>
    </w:p>
    <w:p w:rsidR="00E92308" w:rsidRPr="00E92308" w:rsidRDefault="00FC7D4E" w:rsidP="00FC7D4E">
      <w:pPr>
        <w:pStyle w:val="TableFigureFooter"/>
        <w:rPr>
          <w:rFonts w:eastAsia="Calibri"/>
          <w:i/>
          <w:szCs w:val="20"/>
          <w:lang w:val="en-AU"/>
        </w:rPr>
      </w:pPr>
      <w:r>
        <w:rPr>
          <w:rFonts w:eastAsia="Calibri"/>
          <w:i/>
          <w:szCs w:val="20"/>
          <w:vertAlign w:val="superscript"/>
          <w:lang w:val="en-AU"/>
        </w:rPr>
        <w:t xml:space="preserve">2 </w:t>
      </w:r>
      <w:r w:rsidRPr="00FC7D4E">
        <w:rPr>
          <w:rFonts w:eastAsia="Calibri"/>
          <w:i/>
          <w:szCs w:val="20"/>
          <w:lang w:val="en-AU"/>
        </w:rPr>
        <w:t>$55,000 to &lt; $75,000</w:t>
      </w:r>
    </w:p>
    <w:p w:rsidR="00863C0E" w:rsidRPr="00C927B9" w:rsidRDefault="00AB0A5D" w:rsidP="00E92308">
      <w:pPr>
        <w:pStyle w:val="ExecSumBodyText"/>
        <w:rPr>
          <w:iCs/>
          <w:lang w:val="en-AU"/>
        </w:rPr>
      </w:pPr>
      <w:r w:rsidRPr="00C927B9">
        <w:rPr>
          <w:lang w:val="en-AU"/>
        </w:rPr>
        <w:t xml:space="preserve">Based on the economic model presented in the submission, treatment with venetoclax with azacitidine was associated with a cost per QALY gained of </w:t>
      </w:r>
      <w:r w:rsidR="00E92308" w:rsidRPr="00E92308">
        <w:rPr>
          <w:lang w:val="en-AU"/>
        </w:rPr>
        <w:t>$55,000 to &lt; $75,000</w:t>
      </w:r>
      <w:r w:rsidR="00E92308">
        <w:rPr>
          <w:lang w:val="en-AU"/>
        </w:rPr>
        <w:t xml:space="preserve"> </w:t>
      </w:r>
      <w:r w:rsidRPr="00C927B9">
        <w:rPr>
          <w:lang w:val="en-AU"/>
        </w:rPr>
        <w:t xml:space="preserve">compared to azacitidine and </w:t>
      </w:r>
      <w:r w:rsidR="00940A4F" w:rsidRPr="00C927B9">
        <w:rPr>
          <w:lang w:val="en-AU"/>
        </w:rPr>
        <w:t>LoDAC</w:t>
      </w:r>
      <w:r w:rsidRPr="00C927B9">
        <w:rPr>
          <w:lang w:val="en-AU"/>
        </w:rPr>
        <w:t xml:space="preserve"> monotherapies for the treatment of AML patients considered unfit for intensive chemotherapy. </w:t>
      </w:r>
    </w:p>
    <w:p w:rsidR="00B22E60" w:rsidRPr="00C927B9" w:rsidRDefault="007F4CE2" w:rsidP="00B22E60">
      <w:pPr>
        <w:pStyle w:val="ExecSumBodyText"/>
        <w:spacing w:before="240"/>
        <w:rPr>
          <w:iCs/>
          <w:lang w:val="en-AU"/>
        </w:rPr>
      </w:pPr>
      <w:bookmarkStart w:id="32" w:name="_Ref64031066"/>
      <w:r w:rsidRPr="00C927B9">
        <w:rPr>
          <w:lang w:val="en-AU"/>
        </w:rPr>
        <w:lastRenderedPageBreak/>
        <w:t>The difference in incremental cost between treatment arms was primarily driven by the cost of the venetoclax component, as well as the higher cost of azacitidine used in combination with venetoclax compared with azacitidine and LoDAC monotherapies.</w:t>
      </w:r>
    </w:p>
    <w:p w:rsidR="007F4CE2" w:rsidRPr="00C927B9" w:rsidRDefault="00B22E60" w:rsidP="00B22E60">
      <w:pPr>
        <w:pStyle w:val="ExecSumBodyText"/>
        <w:spacing w:before="240"/>
        <w:rPr>
          <w:iCs/>
          <w:lang w:val="en-AU"/>
        </w:rPr>
      </w:pPr>
      <w:bookmarkStart w:id="33" w:name="_Ref64039846"/>
      <w:r w:rsidRPr="00C927B9">
        <w:rPr>
          <w:lang w:val="en-AU"/>
        </w:rPr>
        <w:t>A</w:t>
      </w:r>
      <w:r w:rsidR="007F4CE2" w:rsidRPr="00C927B9">
        <w:rPr>
          <w:iCs/>
          <w:lang w:val="en-AU"/>
        </w:rPr>
        <w:t xml:space="preserve">s noted </w:t>
      </w:r>
      <w:r w:rsidR="009D4705" w:rsidRPr="00C927B9">
        <w:rPr>
          <w:iCs/>
          <w:lang w:val="en-AU"/>
        </w:rPr>
        <w:t xml:space="preserve">in </w:t>
      </w:r>
      <w:r w:rsidR="00582B87" w:rsidRPr="00C927B9">
        <w:rPr>
          <w:lang w:val="en-AU"/>
        </w:rPr>
        <w:t>Table 12</w:t>
      </w:r>
      <w:r w:rsidR="007F4CE2" w:rsidRPr="00C927B9">
        <w:rPr>
          <w:iCs/>
          <w:lang w:val="en-AU"/>
        </w:rPr>
        <w:t xml:space="preserve">, the cost of azacitidine when used in combination with venetoclax </w:t>
      </w:r>
      <w:r w:rsidR="008E5479" w:rsidRPr="00C927B9">
        <w:rPr>
          <w:iCs/>
          <w:lang w:val="en-AU"/>
        </w:rPr>
        <w:t>wa</w:t>
      </w:r>
      <w:r w:rsidR="007F4CE2" w:rsidRPr="00C927B9">
        <w:rPr>
          <w:iCs/>
          <w:lang w:val="en-AU"/>
        </w:rPr>
        <w:t>s likely a substantial underestimate</w:t>
      </w:r>
      <w:r w:rsidR="00E01300" w:rsidRPr="00C927B9">
        <w:rPr>
          <w:iCs/>
          <w:lang w:val="en-AU"/>
        </w:rPr>
        <w:t>, due to the inappropriate application of the venetoclax dose intensity to the azacitidine arm</w:t>
      </w:r>
      <w:r w:rsidR="007F4CE2" w:rsidRPr="00C927B9">
        <w:rPr>
          <w:iCs/>
          <w:lang w:val="en-AU"/>
        </w:rPr>
        <w:t>.</w:t>
      </w:r>
      <w:r w:rsidR="00940A4F" w:rsidRPr="00C927B9">
        <w:rPr>
          <w:iCs/>
          <w:lang w:val="en-AU"/>
        </w:rPr>
        <w:t xml:space="preserve"> The PSCR </w:t>
      </w:r>
      <w:r w:rsidR="008E5479" w:rsidRPr="00C927B9">
        <w:rPr>
          <w:iCs/>
          <w:lang w:val="en-AU"/>
        </w:rPr>
        <w:t>acknowledged</w:t>
      </w:r>
      <w:r w:rsidR="00940A4F" w:rsidRPr="00C927B9">
        <w:rPr>
          <w:iCs/>
          <w:lang w:val="en-AU"/>
        </w:rPr>
        <w:t xml:space="preserve"> that applying the </w:t>
      </w:r>
      <w:r w:rsidR="0015682D" w:rsidRPr="00C927B9">
        <w:rPr>
          <w:iCs/>
          <w:lang w:val="en-AU"/>
        </w:rPr>
        <w:t>dose</w:t>
      </w:r>
      <w:r w:rsidR="00940A4F" w:rsidRPr="00C927B9">
        <w:rPr>
          <w:iCs/>
          <w:lang w:val="en-AU"/>
        </w:rPr>
        <w:t xml:space="preserve"> intensity of venetoclax to concomitant azacitidine may have been inappropriate, and </w:t>
      </w:r>
      <w:r w:rsidR="00E30054" w:rsidRPr="00C927B9">
        <w:rPr>
          <w:iCs/>
          <w:lang w:val="en-AU"/>
        </w:rPr>
        <w:t xml:space="preserve">presented </w:t>
      </w:r>
      <w:r w:rsidR="00A65BFD" w:rsidRPr="00C927B9">
        <w:rPr>
          <w:iCs/>
          <w:lang w:val="en-AU"/>
        </w:rPr>
        <w:t xml:space="preserve">a </w:t>
      </w:r>
      <w:r w:rsidR="00E30054" w:rsidRPr="00C927B9">
        <w:rPr>
          <w:iCs/>
          <w:lang w:val="en-AU"/>
        </w:rPr>
        <w:t>new</w:t>
      </w:r>
      <w:r w:rsidR="00940A4F" w:rsidRPr="00C927B9">
        <w:rPr>
          <w:iCs/>
          <w:lang w:val="en-AU"/>
        </w:rPr>
        <w:t xml:space="preserve"> </w:t>
      </w:r>
      <w:r w:rsidR="00E30054" w:rsidRPr="00C927B9">
        <w:rPr>
          <w:iCs/>
          <w:lang w:val="en-AU"/>
        </w:rPr>
        <w:t>post hoc analysis</w:t>
      </w:r>
      <w:r w:rsidR="00940A4F" w:rsidRPr="00C927B9">
        <w:rPr>
          <w:iCs/>
          <w:lang w:val="en-AU"/>
        </w:rPr>
        <w:t xml:space="preserve"> o</w:t>
      </w:r>
      <w:r w:rsidR="00E30054" w:rsidRPr="00C927B9">
        <w:rPr>
          <w:iCs/>
          <w:lang w:val="en-AU"/>
        </w:rPr>
        <w:t>f</w:t>
      </w:r>
      <w:r w:rsidR="00940A4F" w:rsidRPr="00C927B9">
        <w:rPr>
          <w:iCs/>
          <w:lang w:val="en-AU"/>
        </w:rPr>
        <w:t xml:space="preserve"> </w:t>
      </w:r>
      <w:r w:rsidR="00E30054" w:rsidRPr="00C927B9">
        <w:rPr>
          <w:iCs/>
          <w:lang w:val="en-AU"/>
        </w:rPr>
        <w:t xml:space="preserve">mean </w:t>
      </w:r>
      <w:r w:rsidR="00940A4F" w:rsidRPr="00C927B9">
        <w:rPr>
          <w:iCs/>
          <w:lang w:val="en-AU"/>
        </w:rPr>
        <w:t xml:space="preserve">dose intensity in Trial M15-656, which showed that dose intensity of azacitidine in the venetoclax with azacitidine arm (89.8%) was slightly lower than for azacitidine monotherapy (96.2%). </w:t>
      </w:r>
      <w:r w:rsidR="00E30054" w:rsidRPr="00C927B9">
        <w:rPr>
          <w:iCs/>
          <w:lang w:val="en-AU"/>
        </w:rPr>
        <w:t>The PSCR</w:t>
      </w:r>
      <w:r w:rsidR="00940A4F" w:rsidRPr="00C927B9">
        <w:rPr>
          <w:iCs/>
          <w:lang w:val="en-AU"/>
        </w:rPr>
        <w:t xml:space="preserve"> noted that 9% of the model cohort would require only </w:t>
      </w:r>
      <w:r w:rsidRPr="00C927B9">
        <w:rPr>
          <w:iCs/>
          <w:lang w:val="en-AU"/>
        </w:rPr>
        <w:t>one</w:t>
      </w:r>
      <w:r w:rsidR="00940A4F" w:rsidRPr="00C927B9">
        <w:rPr>
          <w:iCs/>
          <w:lang w:val="en-AU"/>
        </w:rPr>
        <w:t xml:space="preserve"> vial of azacitidine per infusion, assuming a normally distributed Body Surface Area</w:t>
      </w:r>
      <w:r w:rsidRPr="00C927B9">
        <w:rPr>
          <w:iCs/>
          <w:lang w:val="en-AU"/>
        </w:rPr>
        <w:t>. The PSCR</w:t>
      </w:r>
      <w:r w:rsidR="004629D0" w:rsidRPr="00C927B9">
        <w:rPr>
          <w:iCs/>
          <w:lang w:val="en-AU"/>
        </w:rPr>
        <w:t xml:space="preserve"> provided revised ICER calculations in the table below</w:t>
      </w:r>
      <w:r w:rsidR="00E30054" w:rsidRPr="00C927B9">
        <w:rPr>
          <w:iCs/>
          <w:lang w:val="en-AU"/>
        </w:rPr>
        <w:t>.</w:t>
      </w:r>
      <w:bookmarkEnd w:id="32"/>
      <w:bookmarkEnd w:id="33"/>
    </w:p>
    <w:p w:rsidR="004629D0" w:rsidRPr="00C927B9" w:rsidRDefault="004629D0" w:rsidP="00061DD3">
      <w:pPr>
        <w:pStyle w:val="Caption"/>
        <w:spacing w:before="240"/>
        <w:rPr>
          <w:lang w:val="en-AU"/>
        </w:rPr>
      </w:pPr>
      <w:r w:rsidRPr="00C927B9">
        <w:rPr>
          <w:lang w:val="en-AU"/>
        </w:rPr>
        <w:t xml:space="preserve">Table </w:t>
      </w:r>
      <w:r w:rsidR="00DB3600" w:rsidRPr="00C927B9">
        <w:rPr>
          <w:lang w:val="en-AU"/>
        </w:rPr>
        <w:t>14</w:t>
      </w:r>
      <w:r w:rsidRPr="00C927B9">
        <w:rPr>
          <w:lang w:val="en-AU"/>
        </w:rPr>
        <w:t>:</w:t>
      </w:r>
      <w:r w:rsidRPr="00C927B9">
        <w:rPr>
          <w:lang w:val="en-AU"/>
        </w:rPr>
        <w:tab/>
        <w:t xml:space="preserve"> ICER if &lt;2 vials of AZA are required per infusion in both arms of the model</w:t>
      </w:r>
    </w:p>
    <w:tbl>
      <w:tblPr>
        <w:tblStyle w:val="TableGrid"/>
        <w:tblW w:w="5000" w:type="pct"/>
        <w:tblLook w:val="04A0" w:firstRow="1" w:lastRow="0" w:firstColumn="1" w:lastColumn="0" w:noHBand="0" w:noVBand="1"/>
        <w:tblCaption w:val="Table 14:  ICER if &lt;2 vials of AZA are required per infusion in both arms of the model"/>
      </w:tblPr>
      <w:tblGrid>
        <w:gridCol w:w="5041"/>
        <w:gridCol w:w="1628"/>
        <w:gridCol w:w="2348"/>
      </w:tblGrid>
      <w:tr w:rsidR="004629D0" w:rsidRPr="00C927B9" w:rsidTr="00FD1B45">
        <w:trPr>
          <w:trHeight w:val="20"/>
          <w:tblHeader/>
        </w:trPr>
        <w:tc>
          <w:tcPr>
            <w:tcW w:w="2795" w:type="pct"/>
          </w:tcPr>
          <w:p w:rsidR="004629D0" w:rsidRPr="00C927B9" w:rsidRDefault="004629D0" w:rsidP="004629D0">
            <w:pPr>
              <w:pStyle w:val="TableText1"/>
              <w:spacing w:before="0" w:after="0"/>
              <w:rPr>
                <w:rFonts w:ascii="Arial Narrow" w:hAnsi="Arial Narrow"/>
                <w:lang w:val="en-AU"/>
              </w:rPr>
            </w:pPr>
          </w:p>
        </w:tc>
        <w:tc>
          <w:tcPr>
            <w:tcW w:w="903" w:type="pct"/>
            <w:vAlign w:val="center"/>
          </w:tcPr>
          <w:p w:rsidR="004629D0" w:rsidRPr="00C927B9" w:rsidRDefault="004629D0" w:rsidP="004629D0">
            <w:pPr>
              <w:pStyle w:val="TableText1"/>
              <w:spacing w:before="0" w:after="0"/>
              <w:jc w:val="center"/>
              <w:rPr>
                <w:rFonts w:ascii="Arial Narrow" w:hAnsi="Arial Narrow"/>
                <w:b/>
                <w:bCs/>
                <w:lang w:val="en-AU"/>
              </w:rPr>
            </w:pPr>
            <w:r w:rsidRPr="00C927B9">
              <w:rPr>
                <w:rFonts w:ascii="Arial Narrow" w:hAnsi="Arial Narrow"/>
                <w:b/>
                <w:bCs/>
                <w:lang w:val="en-AU"/>
              </w:rPr>
              <w:t>VTX+AZA vs AZA</w:t>
            </w:r>
          </w:p>
        </w:tc>
        <w:tc>
          <w:tcPr>
            <w:tcW w:w="1302" w:type="pct"/>
            <w:vAlign w:val="center"/>
          </w:tcPr>
          <w:p w:rsidR="004629D0" w:rsidRPr="00C927B9" w:rsidRDefault="004629D0" w:rsidP="004629D0">
            <w:pPr>
              <w:pStyle w:val="TableText1"/>
              <w:spacing w:before="0" w:after="0"/>
              <w:jc w:val="center"/>
              <w:rPr>
                <w:rFonts w:ascii="Arial Narrow" w:hAnsi="Arial Narrow"/>
                <w:b/>
                <w:bCs/>
                <w:lang w:val="en-AU"/>
              </w:rPr>
            </w:pPr>
            <w:r w:rsidRPr="00C927B9">
              <w:rPr>
                <w:rFonts w:ascii="Arial Narrow" w:hAnsi="Arial Narrow"/>
                <w:b/>
                <w:bCs/>
                <w:lang w:val="en-AU"/>
              </w:rPr>
              <w:t>VTX+AZA vs LoDAC</w:t>
            </w:r>
          </w:p>
        </w:tc>
      </w:tr>
      <w:tr w:rsidR="004629D0" w:rsidRPr="00C927B9" w:rsidTr="00061DD3">
        <w:trPr>
          <w:trHeight w:val="20"/>
        </w:trPr>
        <w:tc>
          <w:tcPr>
            <w:tcW w:w="2795" w:type="pct"/>
          </w:tcPr>
          <w:p w:rsidR="004629D0" w:rsidRPr="00C927B9" w:rsidRDefault="004629D0" w:rsidP="004629D0">
            <w:pPr>
              <w:pStyle w:val="TableText1"/>
              <w:spacing w:before="0" w:after="0"/>
              <w:rPr>
                <w:rFonts w:ascii="Arial Narrow" w:hAnsi="Arial Narrow"/>
                <w:lang w:val="en-AU"/>
              </w:rPr>
            </w:pPr>
            <w:r w:rsidRPr="00C927B9">
              <w:rPr>
                <w:rFonts w:ascii="Arial Narrow" w:hAnsi="Arial Narrow"/>
                <w:lang w:val="en-AU"/>
              </w:rPr>
              <w:t>1.9 AZA vial required per infusion (i.e. 9% have 1 vial and 91% have 2 vials)</w:t>
            </w:r>
          </w:p>
        </w:tc>
        <w:tc>
          <w:tcPr>
            <w:tcW w:w="903" w:type="pct"/>
            <w:vAlign w:val="center"/>
          </w:tcPr>
          <w:p w:rsidR="004629D0" w:rsidRPr="00E92308" w:rsidRDefault="004629D0" w:rsidP="004629D0">
            <w:pPr>
              <w:pStyle w:val="TableText1"/>
              <w:spacing w:before="0" w:after="0"/>
              <w:jc w:val="center"/>
              <w:rPr>
                <w:rFonts w:ascii="Arial Narrow" w:hAnsi="Arial Narrow"/>
                <w:vertAlign w:val="superscript"/>
                <w:lang w:val="en-AU"/>
              </w:rPr>
            </w:pPr>
            <w:r w:rsidRPr="00C927B9">
              <w:rPr>
                <w:rFonts w:ascii="Arial Narrow" w:hAnsi="Arial Narrow"/>
                <w:lang w:val="en-AU"/>
              </w:rPr>
              <w:t>$</w:t>
            </w:r>
            <w:r w:rsidR="004F2A12">
              <w:rPr>
                <w:rFonts w:ascii="Arial Narrow" w:hAnsi="Arial Narrow"/>
                <w:noProof/>
                <w:color w:val="000000"/>
                <w:highlight w:val="black"/>
                <w:lang w:val="en-AU"/>
              </w:rPr>
              <w:t>''''''''''''''''</w:t>
            </w:r>
            <w:r w:rsidR="00E92308">
              <w:rPr>
                <w:rFonts w:ascii="Arial Narrow" w:hAnsi="Arial Narrow"/>
                <w:vertAlign w:val="superscript"/>
                <w:lang w:val="en-AU"/>
              </w:rPr>
              <w:t>1</w:t>
            </w:r>
          </w:p>
        </w:tc>
        <w:tc>
          <w:tcPr>
            <w:tcW w:w="1302" w:type="pct"/>
            <w:vAlign w:val="center"/>
          </w:tcPr>
          <w:p w:rsidR="004629D0" w:rsidRPr="004F2A12" w:rsidRDefault="004629D0" w:rsidP="004629D0">
            <w:pPr>
              <w:pStyle w:val="TableText1"/>
              <w:spacing w:before="0" w:after="0"/>
              <w:jc w:val="center"/>
              <w:rPr>
                <w:rFonts w:ascii="Arial Narrow" w:hAnsi="Arial Narrow"/>
                <w:vertAlign w:val="superscript"/>
                <w:lang w:val="en-AU"/>
              </w:rPr>
            </w:pPr>
            <w:r w:rsidRPr="00C927B9">
              <w:rPr>
                <w:rFonts w:ascii="Arial Narrow" w:hAnsi="Arial Narrow"/>
                <w:lang w:val="en-AU"/>
              </w:rPr>
              <w:t>$</w:t>
            </w:r>
            <w:r w:rsidR="004F2A12">
              <w:rPr>
                <w:rFonts w:ascii="Arial Narrow" w:hAnsi="Arial Narrow"/>
                <w:noProof/>
                <w:color w:val="000000"/>
                <w:highlight w:val="black"/>
                <w:lang w:val="en-AU"/>
              </w:rPr>
              <w:t>''''''''''''''''</w:t>
            </w:r>
            <w:r w:rsidR="00E92308">
              <w:rPr>
                <w:rFonts w:ascii="Arial Narrow" w:hAnsi="Arial Narrow"/>
                <w:vertAlign w:val="superscript"/>
                <w:lang w:val="en-AU"/>
              </w:rPr>
              <w:t>1</w:t>
            </w:r>
          </w:p>
        </w:tc>
      </w:tr>
    </w:tbl>
    <w:p w:rsidR="004629D0" w:rsidRDefault="004629D0" w:rsidP="00C32FF9">
      <w:pPr>
        <w:pStyle w:val="Tablenotes0"/>
        <w:spacing w:after="0"/>
        <w:rPr>
          <w:lang w:val="en-AU"/>
        </w:rPr>
      </w:pPr>
      <w:r w:rsidRPr="00C927B9">
        <w:rPr>
          <w:lang w:val="en-AU"/>
        </w:rPr>
        <w:t>Source: Table 2, PSCR.</w:t>
      </w:r>
    </w:p>
    <w:p w:rsidR="00E92308" w:rsidRDefault="00E92308" w:rsidP="00C32FF9">
      <w:pPr>
        <w:pStyle w:val="Tablenotes0"/>
        <w:spacing w:after="0"/>
        <w:rPr>
          <w:i/>
        </w:rPr>
      </w:pPr>
      <w:r w:rsidRPr="009868C4">
        <w:rPr>
          <w:i/>
        </w:rPr>
        <w:t>The redacted values correspond to the following ranges</w:t>
      </w:r>
      <w:r>
        <w:rPr>
          <w:i/>
        </w:rPr>
        <w:t>:</w:t>
      </w:r>
    </w:p>
    <w:p w:rsidR="00E92308" w:rsidRPr="00E92308" w:rsidRDefault="00E92308" w:rsidP="00C32FF9">
      <w:pPr>
        <w:pStyle w:val="Tablenotes0"/>
        <w:spacing w:after="0"/>
        <w:rPr>
          <w:i/>
          <w:iCs/>
          <w:lang w:val="en-AU"/>
        </w:rPr>
      </w:pPr>
      <w:r>
        <w:rPr>
          <w:i/>
          <w:iCs/>
          <w:vertAlign w:val="superscript"/>
          <w:lang w:val="en-AU"/>
        </w:rPr>
        <w:t xml:space="preserve">1 </w:t>
      </w:r>
      <w:r w:rsidRPr="00E92308">
        <w:rPr>
          <w:i/>
          <w:iCs/>
          <w:lang w:val="en-AU"/>
        </w:rPr>
        <w:t>$75,000 to &lt; $95,000</w:t>
      </w:r>
    </w:p>
    <w:p w:rsidR="007F4CE2" w:rsidRPr="00C927B9" w:rsidRDefault="007F4CE2" w:rsidP="004629D0">
      <w:pPr>
        <w:pStyle w:val="ExecSumBodyText"/>
        <w:spacing w:before="240"/>
        <w:rPr>
          <w:iCs/>
          <w:lang w:val="en-AU"/>
        </w:rPr>
      </w:pPr>
      <w:r w:rsidRPr="00C927B9">
        <w:rPr>
          <w:lang w:val="en-AU"/>
        </w:rPr>
        <w:t xml:space="preserve">The difference in health outcomes was primarily driven by the additional time spent in the event-free health state, associated with better quality of life, for patients treated with venetoclax with azacitidine compared to azacitidine or LoDAC monotherapies. </w:t>
      </w:r>
      <w:r w:rsidRPr="00C927B9">
        <w:rPr>
          <w:iCs/>
          <w:lang w:val="en-AU"/>
        </w:rPr>
        <w:t>However</w:t>
      </w:r>
      <w:r w:rsidR="00E30054" w:rsidRPr="00C927B9">
        <w:rPr>
          <w:iCs/>
          <w:lang w:val="en-AU"/>
        </w:rPr>
        <w:t>,</w:t>
      </w:r>
      <w:r w:rsidRPr="00C927B9">
        <w:rPr>
          <w:iCs/>
          <w:lang w:val="en-AU"/>
        </w:rPr>
        <w:t xml:space="preserve"> the model </w:t>
      </w:r>
      <w:r w:rsidR="00A45E2B" w:rsidRPr="00C927B9">
        <w:rPr>
          <w:iCs/>
          <w:lang w:val="en-AU"/>
        </w:rPr>
        <w:t xml:space="preserve">also </w:t>
      </w:r>
      <w:r w:rsidRPr="00C927B9">
        <w:rPr>
          <w:iCs/>
          <w:lang w:val="en-AU"/>
        </w:rPr>
        <w:t>generates a substantial difference in post-event survival between treatment arms that was not adequately supported by available data.</w:t>
      </w:r>
    </w:p>
    <w:p w:rsidR="00045049" w:rsidRPr="00C927B9" w:rsidRDefault="00045049" w:rsidP="006804AD">
      <w:pPr>
        <w:pStyle w:val="ExecSumBodyText"/>
        <w:rPr>
          <w:lang w:val="en-AU"/>
        </w:rPr>
      </w:pPr>
      <w:r w:rsidRPr="00C927B9">
        <w:rPr>
          <w:lang w:val="en-AU"/>
        </w:rPr>
        <w:t>As noted in</w:t>
      </w:r>
      <w:r w:rsidR="00A65BFD" w:rsidRPr="00C927B9">
        <w:rPr>
          <w:lang w:val="en-AU"/>
        </w:rPr>
        <w:t xml:space="preserve"> Table 12</w:t>
      </w:r>
      <w:r w:rsidRPr="00C927B9">
        <w:rPr>
          <w:lang w:val="en-AU"/>
        </w:rPr>
        <w:t xml:space="preserve">, the 20-year time horizon may not have </w:t>
      </w:r>
      <w:proofErr w:type="spellStart"/>
      <w:r w:rsidRPr="00C927B9">
        <w:rPr>
          <w:lang w:val="en-AU"/>
        </w:rPr>
        <w:t>have</w:t>
      </w:r>
      <w:proofErr w:type="spellEnd"/>
      <w:r w:rsidRPr="00C927B9">
        <w:rPr>
          <w:lang w:val="en-AU"/>
        </w:rPr>
        <w:t xml:space="preserve"> been appropriate in an older AML population with co-morbidities. The PSCR argued that a 20-year horizon was consistent with that for </w:t>
      </w:r>
      <w:proofErr w:type="spellStart"/>
      <w:r w:rsidRPr="00C927B9">
        <w:rPr>
          <w:lang w:val="en-AU"/>
        </w:rPr>
        <w:t>blinatumomab</w:t>
      </w:r>
      <w:proofErr w:type="spellEnd"/>
      <w:r w:rsidRPr="00C927B9">
        <w:rPr>
          <w:lang w:val="en-AU"/>
        </w:rPr>
        <w:t xml:space="preserve"> in </w:t>
      </w:r>
      <w:r w:rsidRPr="00C927B9">
        <w:rPr>
          <w:iCs/>
          <w:lang w:val="en-AU"/>
        </w:rPr>
        <w:t xml:space="preserve">acute lymphoblastic </w:t>
      </w:r>
      <w:proofErr w:type="spellStart"/>
      <w:r w:rsidRPr="00C927B9">
        <w:rPr>
          <w:iCs/>
          <w:lang w:val="en-AU"/>
        </w:rPr>
        <w:t>leukemia</w:t>
      </w:r>
      <w:proofErr w:type="spellEnd"/>
      <w:r w:rsidRPr="00C927B9">
        <w:rPr>
          <w:iCs/>
          <w:lang w:val="en-AU"/>
        </w:rPr>
        <w:t xml:space="preserve"> </w:t>
      </w:r>
      <w:r w:rsidRPr="00C927B9">
        <w:rPr>
          <w:lang w:val="en-AU"/>
        </w:rPr>
        <w:t>(July 2016 P</w:t>
      </w:r>
      <w:r w:rsidR="00A65BFD" w:rsidRPr="00C927B9">
        <w:rPr>
          <w:lang w:val="en-AU"/>
        </w:rPr>
        <w:t xml:space="preserve">ublic </w:t>
      </w:r>
      <w:r w:rsidRPr="00C927B9">
        <w:rPr>
          <w:lang w:val="en-AU"/>
        </w:rPr>
        <w:t>S</w:t>
      </w:r>
      <w:r w:rsidR="00A65BFD" w:rsidRPr="00C927B9">
        <w:rPr>
          <w:lang w:val="en-AU"/>
        </w:rPr>
        <w:t xml:space="preserve">ummary </w:t>
      </w:r>
      <w:r w:rsidRPr="00C927B9">
        <w:rPr>
          <w:lang w:val="en-AU"/>
        </w:rPr>
        <w:t>D</w:t>
      </w:r>
      <w:r w:rsidR="00A65BFD" w:rsidRPr="00C927B9">
        <w:rPr>
          <w:lang w:val="en-AU"/>
        </w:rPr>
        <w:t>ocument (PSD)</w:t>
      </w:r>
      <w:r w:rsidRPr="00C927B9">
        <w:rPr>
          <w:lang w:val="en-AU"/>
        </w:rPr>
        <w:t xml:space="preserve">), and is shorter than the 40 years for </w:t>
      </w:r>
      <w:proofErr w:type="spellStart"/>
      <w:r w:rsidRPr="00C927B9">
        <w:rPr>
          <w:lang w:val="en-AU"/>
        </w:rPr>
        <w:t>midostaurin</w:t>
      </w:r>
      <w:proofErr w:type="spellEnd"/>
      <w:r w:rsidRPr="00C927B9">
        <w:rPr>
          <w:lang w:val="en-AU"/>
        </w:rPr>
        <w:t xml:space="preserve"> in transplant eligible patients [in the cohort aged under 60 years] (July 2018 PSD). The ESC </w:t>
      </w:r>
      <w:r w:rsidR="00C9669F" w:rsidRPr="00C927B9">
        <w:rPr>
          <w:lang w:val="en-AU"/>
        </w:rPr>
        <w:t>noted</w:t>
      </w:r>
      <w:r w:rsidRPr="00C927B9">
        <w:rPr>
          <w:lang w:val="en-AU"/>
        </w:rPr>
        <w:t xml:space="preserve"> that </w:t>
      </w:r>
      <w:proofErr w:type="spellStart"/>
      <w:r w:rsidR="0035044E" w:rsidRPr="00C927B9">
        <w:rPr>
          <w:lang w:val="en-AU"/>
        </w:rPr>
        <w:t>blinatumomab</w:t>
      </w:r>
      <w:proofErr w:type="spellEnd"/>
      <w:r w:rsidR="0035044E" w:rsidRPr="00C927B9">
        <w:rPr>
          <w:lang w:val="en-AU"/>
        </w:rPr>
        <w:t xml:space="preserve"> was for a </w:t>
      </w:r>
      <w:r w:rsidR="008762D8" w:rsidRPr="00C927B9">
        <w:rPr>
          <w:lang w:val="en-AU"/>
        </w:rPr>
        <w:t xml:space="preserve">different disease, and </w:t>
      </w:r>
      <w:r w:rsidR="00C9669F" w:rsidRPr="00C927B9">
        <w:rPr>
          <w:lang w:val="en-AU"/>
        </w:rPr>
        <w:t xml:space="preserve">advised </w:t>
      </w:r>
      <w:r w:rsidR="008762D8" w:rsidRPr="00C927B9">
        <w:rPr>
          <w:lang w:val="en-AU"/>
        </w:rPr>
        <w:t>that p</w:t>
      </w:r>
      <w:r w:rsidR="0035044E" w:rsidRPr="00C927B9">
        <w:rPr>
          <w:lang w:val="en-AU"/>
        </w:rPr>
        <w:t>atients included in the current economic model were substantially older, with multiple comorbidities compared to patients in</w:t>
      </w:r>
      <w:r w:rsidR="00C9669F" w:rsidRPr="00C927B9">
        <w:rPr>
          <w:lang w:val="en-AU"/>
        </w:rPr>
        <w:t xml:space="preserve"> the </w:t>
      </w:r>
      <w:proofErr w:type="spellStart"/>
      <w:r w:rsidR="00C9669F" w:rsidRPr="00C927B9">
        <w:rPr>
          <w:lang w:val="en-AU"/>
        </w:rPr>
        <w:t>midostaurin</w:t>
      </w:r>
      <w:proofErr w:type="spellEnd"/>
      <w:r w:rsidR="00C9669F" w:rsidRPr="00C927B9">
        <w:rPr>
          <w:lang w:val="en-AU"/>
        </w:rPr>
        <w:t xml:space="preserve"> economic model. T</w:t>
      </w:r>
      <w:r w:rsidR="0035044E" w:rsidRPr="00C927B9">
        <w:rPr>
          <w:lang w:val="en-AU"/>
        </w:rPr>
        <w:t>herefore</w:t>
      </w:r>
      <w:r w:rsidR="00C9669F" w:rsidRPr="00C927B9">
        <w:rPr>
          <w:lang w:val="en-AU"/>
        </w:rPr>
        <w:t>,</w:t>
      </w:r>
      <w:r w:rsidR="0035044E" w:rsidRPr="00C927B9">
        <w:rPr>
          <w:lang w:val="en-AU"/>
        </w:rPr>
        <w:t xml:space="preserve"> a shorter time horizon </w:t>
      </w:r>
      <w:r w:rsidR="00A65BFD" w:rsidRPr="00C927B9">
        <w:rPr>
          <w:lang w:val="en-AU"/>
        </w:rPr>
        <w:t>wa</w:t>
      </w:r>
      <w:r w:rsidR="0035044E" w:rsidRPr="00C927B9">
        <w:rPr>
          <w:lang w:val="en-AU"/>
        </w:rPr>
        <w:t>s appropriate</w:t>
      </w:r>
      <w:r w:rsidR="008762D8" w:rsidRPr="00C927B9">
        <w:rPr>
          <w:lang w:val="en-AU"/>
        </w:rPr>
        <w:t>.</w:t>
      </w:r>
      <w:r w:rsidR="008E5479" w:rsidRPr="00C927B9">
        <w:rPr>
          <w:lang w:val="en-AU"/>
        </w:rPr>
        <w:t xml:space="preserve"> The pre-PBAC</w:t>
      </w:r>
      <w:r w:rsidR="002D5D3D" w:rsidRPr="00C927B9">
        <w:rPr>
          <w:lang w:val="en-AU"/>
        </w:rPr>
        <w:t xml:space="preserve"> argued that a 10-year time horizon was inappropriate, but considered that a 15-year time horizon may be a reasonable basis for a revised model (see below).</w:t>
      </w:r>
    </w:p>
    <w:p w:rsidR="008762D8" w:rsidRPr="00C927B9" w:rsidRDefault="008762D8" w:rsidP="002D5D3D">
      <w:pPr>
        <w:pStyle w:val="ExecSumBodyText"/>
        <w:rPr>
          <w:lang w:val="en-AU"/>
        </w:rPr>
      </w:pPr>
      <w:r w:rsidRPr="00C927B9">
        <w:rPr>
          <w:lang w:val="en-AU"/>
        </w:rPr>
        <w:t xml:space="preserve">As also noted in </w:t>
      </w:r>
      <w:r w:rsidR="00582B87" w:rsidRPr="00C927B9">
        <w:rPr>
          <w:lang w:val="en-AU"/>
        </w:rPr>
        <w:t>Table 12</w:t>
      </w:r>
      <w:r w:rsidR="00B82A84" w:rsidRPr="00C927B9">
        <w:rPr>
          <w:lang w:val="en-AU"/>
        </w:rPr>
        <w:t xml:space="preserve">, the lognormal function selected to extrapolate overall survival beyond the duration of the key trials resulted in per cycle mortality rates that were lower than Australian general population mortality estimates (for a cohort of patients aged 75-79 years). These estimates were adjusted by Australian general population estimates to ensure that overall survival did not exceed general population </w:t>
      </w:r>
      <w:r w:rsidR="00B82A84" w:rsidRPr="00C927B9">
        <w:rPr>
          <w:lang w:val="en-AU"/>
        </w:rPr>
        <w:lastRenderedPageBreak/>
        <w:t xml:space="preserve">estimates. </w:t>
      </w:r>
      <w:r w:rsidR="003739C0" w:rsidRPr="00C927B9">
        <w:rPr>
          <w:lang w:val="en-AU"/>
        </w:rPr>
        <w:t>Instead,</w:t>
      </w:r>
      <w:r w:rsidR="00B82A84" w:rsidRPr="00C927B9">
        <w:rPr>
          <w:lang w:val="en-AU"/>
        </w:rPr>
        <w:t xml:space="preserve"> </w:t>
      </w:r>
      <w:r w:rsidR="00EE727A" w:rsidRPr="00C927B9">
        <w:rPr>
          <w:lang w:val="en-AU"/>
        </w:rPr>
        <w:t xml:space="preserve">the ESC advised that it </w:t>
      </w:r>
      <w:r w:rsidR="00B82A84" w:rsidRPr="00C927B9">
        <w:rPr>
          <w:lang w:val="en-AU"/>
        </w:rPr>
        <w:t xml:space="preserve">would be more appropriate to choose an extrapolation function </w:t>
      </w:r>
      <w:r w:rsidR="00FE2702" w:rsidRPr="00C927B9">
        <w:rPr>
          <w:lang w:val="en-AU"/>
        </w:rPr>
        <w:t xml:space="preserve">that generated </w:t>
      </w:r>
      <w:r w:rsidR="00B82A84" w:rsidRPr="00C927B9">
        <w:rPr>
          <w:lang w:val="en-AU"/>
        </w:rPr>
        <w:t>clinically plausible survival estimates compared to the general population.</w:t>
      </w:r>
      <w:r w:rsidR="00EE727A" w:rsidRPr="00C927B9">
        <w:rPr>
          <w:lang w:val="en-AU"/>
        </w:rPr>
        <w:t xml:space="preserve"> </w:t>
      </w:r>
      <w:r w:rsidR="002D5D3D" w:rsidRPr="00C927B9">
        <w:rPr>
          <w:lang w:val="en-AU"/>
        </w:rPr>
        <w:t xml:space="preserve">The pre-PBAC response disagreed, but stated that in the interest of facilitating timely patient access, the sponsor considered the treatment-specific parametric functions </w:t>
      </w:r>
      <w:r w:rsidR="00370EF8" w:rsidRPr="00C927B9">
        <w:rPr>
          <w:lang w:val="en-AU"/>
        </w:rPr>
        <w:t>may be reasonable</w:t>
      </w:r>
      <w:r w:rsidR="00D06EEC" w:rsidRPr="00C927B9">
        <w:rPr>
          <w:lang w:val="en-AU"/>
        </w:rPr>
        <w:t>.</w:t>
      </w:r>
    </w:p>
    <w:p w:rsidR="005A373D" w:rsidRPr="00C927B9" w:rsidRDefault="002D5D3D" w:rsidP="00BB732D">
      <w:pPr>
        <w:pStyle w:val="ExecSumBodyText"/>
        <w:rPr>
          <w:iCs/>
          <w:lang w:val="en-AU"/>
        </w:rPr>
      </w:pPr>
      <w:bookmarkStart w:id="34" w:name="_Ref64039111"/>
      <w:r w:rsidRPr="00C927B9">
        <w:rPr>
          <w:iCs/>
          <w:lang w:val="en-AU"/>
        </w:rPr>
        <w:t>The PBAC noted that t</w:t>
      </w:r>
      <w:r w:rsidR="00AB0A5D" w:rsidRPr="00C927B9">
        <w:rPr>
          <w:iCs/>
          <w:lang w:val="en-AU"/>
        </w:rPr>
        <w:t xml:space="preserve">he </w:t>
      </w:r>
      <w:r w:rsidR="002B5476" w:rsidRPr="00C927B9">
        <w:rPr>
          <w:iCs/>
          <w:lang w:val="en-AU"/>
        </w:rPr>
        <w:t xml:space="preserve">base case </w:t>
      </w:r>
      <w:r w:rsidR="00AB0A5D" w:rsidRPr="00C927B9">
        <w:rPr>
          <w:iCs/>
          <w:lang w:val="en-AU"/>
        </w:rPr>
        <w:t xml:space="preserve">cost-effectiveness estimate should not be considered reliable given the uncertainty associated with extrapolation of survival over a </w:t>
      </w:r>
      <w:r w:rsidRPr="00C927B9">
        <w:rPr>
          <w:iCs/>
          <w:lang w:val="en-AU"/>
        </w:rPr>
        <w:t>20-year</w:t>
      </w:r>
      <w:r w:rsidR="00AB0A5D" w:rsidRPr="00C927B9">
        <w:rPr>
          <w:iCs/>
          <w:lang w:val="en-AU"/>
        </w:rPr>
        <w:t xml:space="preserve"> time horizon in an older AML population with multiple comorbidities, the likely </w:t>
      </w:r>
      <w:r w:rsidR="006C014F" w:rsidRPr="00C927B9">
        <w:rPr>
          <w:iCs/>
          <w:lang w:val="en-AU"/>
        </w:rPr>
        <w:t>under</w:t>
      </w:r>
      <w:r w:rsidR="00AB0A5D" w:rsidRPr="00C927B9">
        <w:rPr>
          <w:iCs/>
          <w:lang w:val="en-AU"/>
        </w:rPr>
        <w:t>estimate of the cost of azacitidine when used in combination with venetoclax, and the use of parametric functions that produced estimates of survival that were not clinically plausible.</w:t>
      </w:r>
      <w:bookmarkEnd w:id="34"/>
    </w:p>
    <w:p w:rsidR="003F4866" w:rsidRPr="00C927B9" w:rsidRDefault="00D23D11" w:rsidP="000E0A26">
      <w:pPr>
        <w:pStyle w:val="ExecSumBodyText"/>
        <w:rPr>
          <w:iCs/>
          <w:lang w:val="en-AU"/>
        </w:rPr>
      </w:pPr>
      <w:r w:rsidRPr="00C927B9">
        <w:rPr>
          <w:lang w:val="en-AU"/>
        </w:rPr>
        <w:t>The results of key univariate sensitivity analyses are summarised below.</w:t>
      </w:r>
    </w:p>
    <w:p w:rsidR="00DF4609" w:rsidRPr="00C927B9" w:rsidRDefault="0060344B" w:rsidP="0060344B">
      <w:pPr>
        <w:pStyle w:val="Caption"/>
        <w:rPr>
          <w:lang w:val="en-AU"/>
        </w:rPr>
      </w:pPr>
      <w:bookmarkStart w:id="35" w:name="_Ref64024354"/>
      <w:r w:rsidRPr="00C927B9">
        <w:rPr>
          <w:lang w:val="en-AU"/>
        </w:rPr>
        <w:lastRenderedPageBreak/>
        <w:t xml:space="preserve">Table </w:t>
      </w:r>
      <w:r w:rsidR="00DB3600" w:rsidRPr="00C927B9">
        <w:rPr>
          <w:lang w:val="en-AU"/>
        </w:rPr>
        <w:t>15</w:t>
      </w:r>
      <w:bookmarkEnd w:id="35"/>
      <w:r w:rsidRPr="00C927B9">
        <w:rPr>
          <w:lang w:val="en-AU"/>
        </w:rPr>
        <w:t xml:space="preserve">: </w:t>
      </w:r>
      <w:r w:rsidR="00DF4609" w:rsidRPr="00C927B9">
        <w:rPr>
          <w:lang w:val="en-AU"/>
        </w:rPr>
        <w:t>Results of key sensitivity analyses</w:t>
      </w:r>
    </w:p>
    <w:tbl>
      <w:tblPr>
        <w:tblStyle w:val="TableGrid"/>
        <w:tblW w:w="5000" w:type="pct"/>
        <w:tblLayout w:type="fixed"/>
        <w:tblCellMar>
          <w:left w:w="57" w:type="dxa"/>
          <w:right w:w="57" w:type="dxa"/>
        </w:tblCellMar>
        <w:tblLook w:val="04A0" w:firstRow="1" w:lastRow="0" w:firstColumn="1" w:lastColumn="0" w:noHBand="0" w:noVBand="1"/>
        <w:tblCaption w:val="Table 15: Results of key sensitivity analyses"/>
      </w:tblPr>
      <w:tblGrid>
        <w:gridCol w:w="3398"/>
        <w:gridCol w:w="936"/>
        <w:gridCol w:w="937"/>
        <w:gridCol w:w="936"/>
        <w:gridCol w:w="937"/>
        <w:gridCol w:w="936"/>
        <w:gridCol w:w="937"/>
      </w:tblGrid>
      <w:tr w:rsidR="003F4866" w:rsidRPr="00C927B9" w:rsidTr="00A65BFD">
        <w:trPr>
          <w:tblHeader/>
        </w:trPr>
        <w:tc>
          <w:tcPr>
            <w:tcW w:w="3397" w:type="dxa"/>
            <w:vMerge w:val="restart"/>
          </w:tcPr>
          <w:p w:rsidR="003F4866" w:rsidRPr="00C927B9" w:rsidRDefault="003F4866" w:rsidP="005A5E60">
            <w:pPr>
              <w:keepNext/>
              <w:rPr>
                <w:rFonts w:ascii="Arial Narrow" w:hAnsi="Arial Narrow"/>
                <w:sz w:val="20"/>
                <w:szCs w:val="20"/>
                <w:lang w:val="en-AU"/>
              </w:rPr>
            </w:pPr>
          </w:p>
        </w:tc>
        <w:tc>
          <w:tcPr>
            <w:tcW w:w="2809" w:type="dxa"/>
            <w:gridSpan w:val="3"/>
            <w:vAlign w:val="center"/>
          </w:tcPr>
          <w:p w:rsidR="003F4866" w:rsidRPr="00C927B9" w:rsidRDefault="003F4866" w:rsidP="005A5E60">
            <w:pPr>
              <w:keepNext/>
              <w:jc w:val="center"/>
              <w:rPr>
                <w:rFonts w:ascii="Arial Narrow" w:hAnsi="Arial Narrow"/>
                <w:b/>
                <w:bCs/>
                <w:sz w:val="20"/>
                <w:szCs w:val="20"/>
                <w:lang w:val="en-AU"/>
              </w:rPr>
            </w:pPr>
            <w:r w:rsidRPr="00C927B9">
              <w:rPr>
                <w:rFonts w:ascii="Arial Narrow" w:hAnsi="Arial Narrow"/>
                <w:b/>
                <w:bCs/>
                <w:sz w:val="20"/>
                <w:szCs w:val="20"/>
                <w:lang w:val="en-AU"/>
              </w:rPr>
              <w:t>VTX+AZA vs AZA</w:t>
            </w:r>
          </w:p>
        </w:tc>
        <w:tc>
          <w:tcPr>
            <w:tcW w:w="2810" w:type="dxa"/>
            <w:gridSpan w:val="3"/>
            <w:vAlign w:val="center"/>
          </w:tcPr>
          <w:p w:rsidR="003F4866" w:rsidRPr="00C927B9" w:rsidRDefault="003F4866" w:rsidP="005A5E60">
            <w:pPr>
              <w:keepNext/>
              <w:jc w:val="center"/>
              <w:rPr>
                <w:rFonts w:ascii="Arial Narrow" w:hAnsi="Arial Narrow"/>
                <w:b/>
                <w:bCs/>
                <w:sz w:val="20"/>
                <w:szCs w:val="20"/>
                <w:lang w:val="en-AU"/>
              </w:rPr>
            </w:pPr>
            <w:r w:rsidRPr="00C927B9">
              <w:rPr>
                <w:rFonts w:ascii="Arial Narrow" w:hAnsi="Arial Narrow"/>
                <w:b/>
                <w:bCs/>
                <w:sz w:val="20"/>
                <w:szCs w:val="20"/>
                <w:lang w:val="en-AU"/>
              </w:rPr>
              <w:t>VTX+AZA vs LoDAC</w:t>
            </w:r>
          </w:p>
        </w:tc>
      </w:tr>
      <w:tr w:rsidR="003F4866" w:rsidRPr="00C927B9" w:rsidTr="00A65BFD">
        <w:trPr>
          <w:tblHeader/>
        </w:trPr>
        <w:tc>
          <w:tcPr>
            <w:tcW w:w="3397" w:type="dxa"/>
            <w:vMerge/>
          </w:tcPr>
          <w:p w:rsidR="003F4866" w:rsidRPr="00C927B9" w:rsidRDefault="003F4866" w:rsidP="005A5E60">
            <w:pPr>
              <w:keepNext/>
              <w:jc w:val="left"/>
              <w:rPr>
                <w:rFonts w:ascii="Arial Narrow" w:hAnsi="Arial Narrow"/>
                <w:sz w:val="20"/>
                <w:szCs w:val="20"/>
                <w:lang w:val="en-AU"/>
              </w:rPr>
            </w:pPr>
          </w:p>
        </w:tc>
        <w:tc>
          <w:tcPr>
            <w:tcW w:w="936" w:type="dxa"/>
            <w:vAlign w:val="center"/>
          </w:tcPr>
          <w:p w:rsidR="003F4866" w:rsidRPr="00C927B9" w:rsidRDefault="003F4866" w:rsidP="005A5E60">
            <w:pPr>
              <w:keepNext/>
              <w:jc w:val="center"/>
              <w:rPr>
                <w:rFonts w:ascii="Arial Narrow" w:hAnsi="Arial Narrow"/>
                <w:b/>
                <w:bCs/>
                <w:sz w:val="20"/>
                <w:szCs w:val="20"/>
                <w:lang w:val="en-AU"/>
              </w:rPr>
            </w:pPr>
            <w:r w:rsidRPr="00C927B9">
              <w:rPr>
                <w:rFonts w:ascii="Arial Narrow" w:hAnsi="Arial Narrow"/>
                <w:b/>
                <w:bCs/>
                <w:sz w:val="20"/>
                <w:szCs w:val="20"/>
                <w:lang w:val="en-AU"/>
              </w:rPr>
              <w:t>Incr. cost</w:t>
            </w:r>
          </w:p>
        </w:tc>
        <w:tc>
          <w:tcPr>
            <w:tcW w:w="937" w:type="dxa"/>
            <w:vAlign w:val="center"/>
          </w:tcPr>
          <w:p w:rsidR="003F4866" w:rsidRPr="00C927B9" w:rsidRDefault="003F4866" w:rsidP="005A5E60">
            <w:pPr>
              <w:keepNext/>
              <w:jc w:val="center"/>
              <w:rPr>
                <w:rFonts w:ascii="Arial Narrow" w:hAnsi="Arial Narrow"/>
                <w:b/>
                <w:bCs/>
                <w:sz w:val="20"/>
                <w:szCs w:val="20"/>
                <w:lang w:val="en-AU"/>
              </w:rPr>
            </w:pPr>
            <w:r w:rsidRPr="00C927B9">
              <w:rPr>
                <w:rFonts w:ascii="Arial Narrow" w:hAnsi="Arial Narrow"/>
                <w:b/>
                <w:bCs/>
                <w:sz w:val="20"/>
                <w:szCs w:val="20"/>
                <w:lang w:val="en-AU"/>
              </w:rPr>
              <w:t>Incr. QALYs</w:t>
            </w:r>
          </w:p>
        </w:tc>
        <w:tc>
          <w:tcPr>
            <w:tcW w:w="936" w:type="dxa"/>
            <w:vAlign w:val="center"/>
          </w:tcPr>
          <w:p w:rsidR="003F4866" w:rsidRPr="00C927B9" w:rsidRDefault="003F4866" w:rsidP="005A5E60">
            <w:pPr>
              <w:keepNext/>
              <w:jc w:val="center"/>
              <w:rPr>
                <w:rFonts w:ascii="Arial Narrow" w:hAnsi="Arial Narrow"/>
                <w:b/>
                <w:bCs/>
                <w:sz w:val="20"/>
                <w:szCs w:val="20"/>
                <w:lang w:val="en-AU"/>
              </w:rPr>
            </w:pPr>
            <w:r w:rsidRPr="00C927B9">
              <w:rPr>
                <w:rFonts w:ascii="Arial Narrow" w:hAnsi="Arial Narrow"/>
                <w:b/>
                <w:bCs/>
                <w:sz w:val="20"/>
                <w:szCs w:val="20"/>
                <w:lang w:val="en-AU"/>
              </w:rPr>
              <w:t>ICER</w:t>
            </w:r>
          </w:p>
        </w:tc>
        <w:tc>
          <w:tcPr>
            <w:tcW w:w="937" w:type="dxa"/>
            <w:vAlign w:val="center"/>
          </w:tcPr>
          <w:p w:rsidR="003F4866" w:rsidRPr="00C927B9" w:rsidRDefault="003F4866" w:rsidP="005A5E60">
            <w:pPr>
              <w:keepNext/>
              <w:jc w:val="center"/>
              <w:rPr>
                <w:rFonts w:ascii="Arial Narrow" w:hAnsi="Arial Narrow"/>
                <w:b/>
                <w:bCs/>
                <w:sz w:val="20"/>
                <w:szCs w:val="20"/>
                <w:lang w:val="en-AU"/>
              </w:rPr>
            </w:pPr>
            <w:r w:rsidRPr="00C927B9">
              <w:rPr>
                <w:rFonts w:ascii="Arial Narrow" w:hAnsi="Arial Narrow"/>
                <w:b/>
                <w:bCs/>
                <w:sz w:val="20"/>
                <w:szCs w:val="20"/>
                <w:lang w:val="en-AU"/>
              </w:rPr>
              <w:t>Incr. cost</w:t>
            </w:r>
          </w:p>
        </w:tc>
        <w:tc>
          <w:tcPr>
            <w:tcW w:w="936" w:type="dxa"/>
            <w:vAlign w:val="center"/>
          </w:tcPr>
          <w:p w:rsidR="003F4866" w:rsidRPr="00C927B9" w:rsidRDefault="003F4866" w:rsidP="005A5E60">
            <w:pPr>
              <w:keepNext/>
              <w:jc w:val="center"/>
              <w:rPr>
                <w:rFonts w:ascii="Arial Narrow" w:hAnsi="Arial Narrow"/>
                <w:b/>
                <w:bCs/>
                <w:sz w:val="20"/>
                <w:szCs w:val="20"/>
                <w:lang w:val="en-AU"/>
              </w:rPr>
            </w:pPr>
            <w:r w:rsidRPr="00C927B9">
              <w:rPr>
                <w:rFonts w:ascii="Arial Narrow" w:hAnsi="Arial Narrow"/>
                <w:b/>
                <w:bCs/>
                <w:sz w:val="20"/>
                <w:szCs w:val="20"/>
                <w:lang w:val="en-AU"/>
              </w:rPr>
              <w:t>Incr. QALYs</w:t>
            </w:r>
          </w:p>
        </w:tc>
        <w:tc>
          <w:tcPr>
            <w:tcW w:w="937" w:type="dxa"/>
            <w:vAlign w:val="center"/>
          </w:tcPr>
          <w:p w:rsidR="003F4866" w:rsidRPr="00C927B9" w:rsidRDefault="003F4866" w:rsidP="005A5E60">
            <w:pPr>
              <w:keepNext/>
              <w:jc w:val="center"/>
              <w:rPr>
                <w:rFonts w:ascii="Arial Narrow" w:hAnsi="Arial Narrow"/>
                <w:b/>
                <w:bCs/>
                <w:sz w:val="20"/>
                <w:szCs w:val="20"/>
                <w:lang w:val="en-AU"/>
              </w:rPr>
            </w:pPr>
            <w:r w:rsidRPr="00C927B9">
              <w:rPr>
                <w:rFonts w:ascii="Arial Narrow" w:hAnsi="Arial Narrow"/>
                <w:b/>
                <w:bCs/>
                <w:sz w:val="20"/>
                <w:szCs w:val="20"/>
                <w:lang w:val="en-AU"/>
              </w:rPr>
              <w:t>ICER</w:t>
            </w:r>
          </w:p>
        </w:tc>
      </w:tr>
      <w:tr w:rsidR="003F4866" w:rsidRPr="00C927B9" w:rsidTr="00A65BFD">
        <w:tc>
          <w:tcPr>
            <w:tcW w:w="3397" w:type="dxa"/>
          </w:tcPr>
          <w:p w:rsidR="003F4866" w:rsidRPr="00C927B9" w:rsidRDefault="003F4866" w:rsidP="005A5E60">
            <w:pPr>
              <w:keepNext/>
              <w:jc w:val="left"/>
              <w:rPr>
                <w:rFonts w:ascii="Arial Narrow" w:hAnsi="Arial Narrow"/>
                <w:sz w:val="20"/>
                <w:szCs w:val="20"/>
                <w:lang w:val="en-AU"/>
              </w:rPr>
            </w:pPr>
            <w:r w:rsidRPr="00C927B9">
              <w:rPr>
                <w:rFonts w:ascii="Arial Narrow" w:hAnsi="Arial Narrow"/>
                <w:b/>
                <w:sz w:val="20"/>
                <w:szCs w:val="20"/>
                <w:lang w:val="en-AU"/>
              </w:rPr>
              <w:t>Base case</w:t>
            </w:r>
          </w:p>
        </w:tc>
        <w:tc>
          <w:tcPr>
            <w:tcW w:w="936"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b/>
                <w:sz w:val="20"/>
                <w:szCs w:val="20"/>
                <w:lang w:val="en-AU"/>
              </w:rPr>
              <w:t>$</w:t>
            </w:r>
            <w:r w:rsidR="004F2A12">
              <w:rPr>
                <w:rFonts w:ascii="Arial Narrow" w:hAnsi="Arial Narrow"/>
                <w:iCs/>
                <w:noProof/>
                <w:color w:val="000000"/>
                <w:sz w:val="20"/>
                <w:szCs w:val="20"/>
                <w:highlight w:val="black"/>
                <w:lang w:val="en-AU"/>
              </w:rPr>
              <w:t>'''''''''''''''</w:t>
            </w:r>
          </w:p>
        </w:tc>
        <w:tc>
          <w:tcPr>
            <w:tcW w:w="937" w:type="dxa"/>
            <w:vAlign w:val="center"/>
          </w:tcPr>
          <w:p w:rsidR="003F4866" w:rsidRPr="00C927B9" w:rsidRDefault="003F4866" w:rsidP="005A5E60">
            <w:pPr>
              <w:keepNext/>
              <w:jc w:val="center"/>
              <w:rPr>
                <w:rFonts w:ascii="Arial Narrow" w:hAnsi="Arial Narrow"/>
                <w:sz w:val="20"/>
                <w:szCs w:val="20"/>
                <w:lang w:val="en-AU"/>
              </w:rPr>
            </w:pPr>
            <w:r w:rsidRPr="00C927B9">
              <w:rPr>
                <w:rFonts w:ascii="Arial Narrow" w:hAnsi="Arial Narrow"/>
                <w:b/>
                <w:sz w:val="20"/>
                <w:szCs w:val="20"/>
                <w:lang w:val="en-AU"/>
              </w:rPr>
              <w:t>0.8503</w:t>
            </w:r>
          </w:p>
        </w:tc>
        <w:tc>
          <w:tcPr>
            <w:tcW w:w="936"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b/>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1</w:t>
            </w:r>
          </w:p>
        </w:tc>
        <w:tc>
          <w:tcPr>
            <w:tcW w:w="937"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b/>
                <w:sz w:val="20"/>
                <w:szCs w:val="20"/>
                <w:lang w:val="en-AU"/>
              </w:rPr>
              <w:t>$</w:t>
            </w:r>
            <w:r w:rsidR="004F2A12">
              <w:rPr>
                <w:rFonts w:ascii="Arial Narrow" w:hAnsi="Arial Narrow"/>
                <w:iCs/>
                <w:noProof/>
                <w:color w:val="000000"/>
                <w:sz w:val="20"/>
                <w:szCs w:val="20"/>
                <w:highlight w:val="black"/>
                <w:lang w:val="en-AU"/>
              </w:rPr>
              <w:t>''''''''''''''''</w:t>
            </w:r>
          </w:p>
        </w:tc>
        <w:tc>
          <w:tcPr>
            <w:tcW w:w="936" w:type="dxa"/>
            <w:vAlign w:val="center"/>
          </w:tcPr>
          <w:p w:rsidR="003F4866" w:rsidRPr="00C927B9" w:rsidRDefault="003F4866" w:rsidP="005A5E60">
            <w:pPr>
              <w:keepNext/>
              <w:jc w:val="center"/>
              <w:rPr>
                <w:rFonts w:ascii="Arial Narrow" w:hAnsi="Arial Narrow"/>
                <w:sz w:val="20"/>
                <w:szCs w:val="20"/>
                <w:lang w:val="en-AU"/>
              </w:rPr>
            </w:pPr>
            <w:r w:rsidRPr="00C927B9">
              <w:rPr>
                <w:rFonts w:ascii="Arial Narrow" w:hAnsi="Arial Narrow"/>
                <w:b/>
                <w:sz w:val="20"/>
                <w:szCs w:val="20"/>
                <w:lang w:val="en-AU"/>
              </w:rPr>
              <w:t>0.9417</w:t>
            </w:r>
          </w:p>
        </w:tc>
        <w:tc>
          <w:tcPr>
            <w:tcW w:w="937"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b/>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1</w:t>
            </w:r>
          </w:p>
        </w:tc>
      </w:tr>
      <w:tr w:rsidR="003F4866" w:rsidRPr="00C927B9" w:rsidTr="00A65BFD">
        <w:tc>
          <w:tcPr>
            <w:tcW w:w="9016" w:type="dxa"/>
            <w:gridSpan w:val="7"/>
          </w:tcPr>
          <w:p w:rsidR="003F4866" w:rsidRPr="00C927B9" w:rsidRDefault="003F4866" w:rsidP="005A5E60">
            <w:pPr>
              <w:keepNext/>
              <w:jc w:val="left"/>
              <w:rPr>
                <w:rFonts w:ascii="Arial Narrow" w:hAnsi="Arial Narrow"/>
                <w:sz w:val="20"/>
                <w:szCs w:val="20"/>
                <w:lang w:val="en-AU"/>
              </w:rPr>
            </w:pPr>
            <w:r w:rsidRPr="00C927B9">
              <w:rPr>
                <w:rFonts w:ascii="Arial Narrow" w:hAnsi="Arial Narrow"/>
                <w:b/>
                <w:sz w:val="20"/>
                <w:szCs w:val="20"/>
                <w:lang w:val="en-AU"/>
              </w:rPr>
              <w:t>Time horizon (base case 20 years)</w:t>
            </w:r>
          </w:p>
        </w:tc>
      </w:tr>
      <w:tr w:rsidR="003F4866" w:rsidRPr="00C927B9" w:rsidTr="00A65BFD">
        <w:tc>
          <w:tcPr>
            <w:tcW w:w="3397" w:type="dxa"/>
          </w:tcPr>
          <w:p w:rsidR="003F4866" w:rsidRPr="00C927B9" w:rsidRDefault="003F4866" w:rsidP="005A5E60">
            <w:pPr>
              <w:keepNext/>
              <w:jc w:val="left"/>
              <w:rPr>
                <w:rFonts w:ascii="Arial Narrow" w:hAnsi="Arial Narrow"/>
                <w:sz w:val="20"/>
                <w:szCs w:val="20"/>
                <w:lang w:val="en-AU"/>
              </w:rPr>
            </w:pPr>
            <w:r w:rsidRPr="00C927B9">
              <w:rPr>
                <w:rFonts w:ascii="Arial Narrow" w:hAnsi="Arial Narrow"/>
                <w:iCs/>
                <w:sz w:val="20"/>
                <w:szCs w:val="20"/>
                <w:lang w:val="en-AU"/>
              </w:rPr>
              <w:t>5 years</w:t>
            </w:r>
          </w:p>
        </w:tc>
        <w:tc>
          <w:tcPr>
            <w:tcW w:w="936"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cs="Calibri"/>
                <w:iCs/>
                <w:sz w:val="20"/>
                <w:szCs w:val="20"/>
                <w:lang w:val="en-AU"/>
              </w:rPr>
              <w:t>$</w:t>
            </w:r>
            <w:r w:rsidR="004F2A12">
              <w:rPr>
                <w:rFonts w:ascii="Arial Narrow" w:hAnsi="Arial Narrow"/>
                <w:iCs/>
                <w:noProof/>
                <w:color w:val="000000"/>
                <w:sz w:val="20"/>
                <w:szCs w:val="20"/>
                <w:highlight w:val="black"/>
                <w:lang w:val="en-AU"/>
              </w:rPr>
              <w:t>'''''''''''''''''</w:t>
            </w:r>
          </w:p>
        </w:tc>
        <w:tc>
          <w:tcPr>
            <w:tcW w:w="937" w:type="dxa"/>
            <w:vAlign w:val="center"/>
          </w:tcPr>
          <w:p w:rsidR="003F4866" w:rsidRPr="00FC7D4E" w:rsidRDefault="003F4866" w:rsidP="00FC7D4E">
            <w:pPr>
              <w:keepNext/>
              <w:jc w:val="center"/>
              <w:rPr>
                <w:rFonts w:ascii="Arial Narrow" w:hAnsi="Arial Narrow"/>
                <w:sz w:val="20"/>
                <w:szCs w:val="20"/>
                <w:vertAlign w:val="superscript"/>
                <w:lang w:val="en-AU"/>
              </w:rPr>
            </w:pPr>
            <w:r w:rsidRPr="00C927B9">
              <w:rPr>
                <w:rFonts w:ascii="Arial Narrow" w:hAnsi="Arial Narrow" w:cs="Calibri"/>
                <w:iCs/>
                <w:color w:val="000000"/>
                <w:sz w:val="20"/>
                <w:szCs w:val="20"/>
                <w:lang w:val="en-AU"/>
              </w:rPr>
              <w:t>0.5141</w:t>
            </w:r>
          </w:p>
        </w:tc>
        <w:tc>
          <w:tcPr>
            <w:tcW w:w="936"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cs="Calibri"/>
                <w:iCs/>
                <w:color w:val="000000"/>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2</w:t>
            </w:r>
          </w:p>
        </w:tc>
        <w:tc>
          <w:tcPr>
            <w:tcW w:w="937"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p>
        </w:tc>
        <w:tc>
          <w:tcPr>
            <w:tcW w:w="936" w:type="dxa"/>
            <w:vAlign w:val="center"/>
          </w:tcPr>
          <w:p w:rsidR="003F4866" w:rsidRPr="00C927B9" w:rsidRDefault="003F4866" w:rsidP="005A5E60">
            <w:pPr>
              <w:keepNext/>
              <w:jc w:val="center"/>
              <w:rPr>
                <w:rFonts w:ascii="Arial Narrow" w:hAnsi="Arial Narrow"/>
                <w:sz w:val="20"/>
                <w:szCs w:val="20"/>
                <w:lang w:val="en-AU"/>
              </w:rPr>
            </w:pPr>
            <w:r w:rsidRPr="00C927B9">
              <w:rPr>
                <w:rFonts w:ascii="Arial Narrow" w:hAnsi="Arial Narrow"/>
                <w:iCs/>
                <w:sz w:val="20"/>
                <w:szCs w:val="20"/>
                <w:lang w:val="en-AU"/>
              </w:rPr>
              <w:t>0.6180</w:t>
            </w:r>
          </w:p>
        </w:tc>
        <w:tc>
          <w:tcPr>
            <w:tcW w:w="937"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3</w:t>
            </w:r>
          </w:p>
        </w:tc>
      </w:tr>
      <w:tr w:rsidR="003F4866" w:rsidRPr="00C927B9" w:rsidTr="00A65BFD">
        <w:tc>
          <w:tcPr>
            <w:tcW w:w="3397" w:type="dxa"/>
          </w:tcPr>
          <w:p w:rsidR="003F4866" w:rsidRPr="00C927B9" w:rsidRDefault="003F4866" w:rsidP="005A5E60">
            <w:pPr>
              <w:keepNext/>
              <w:jc w:val="left"/>
              <w:rPr>
                <w:rFonts w:ascii="Arial Narrow" w:hAnsi="Arial Narrow"/>
                <w:sz w:val="20"/>
                <w:szCs w:val="20"/>
                <w:lang w:val="en-AU"/>
              </w:rPr>
            </w:pPr>
            <w:r w:rsidRPr="00C927B9">
              <w:rPr>
                <w:rFonts w:ascii="Arial Narrow" w:hAnsi="Arial Narrow"/>
                <w:sz w:val="20"/>
                <w:szCs w:val="20"/>
                <w:lang w:val="en-AU"/>
              </w:rPr>
              <w:t>10 years</w:t>
            </w:r>
          </w:p>
        </w:tc>
        <w:tc>
          <w:tcPr>
            <w:tcW w:w="936"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cs="Calibri"/>
                <w:sz w:val="20"/>
                <w:szCs w:val="20"/>
                <w:lang w:val="en-AU"/>
              </w:rPr>
              <w:t>$</w:t>
            </w:r>
            <w:r w:rsidR="004F2A12">
              <w:rPr>
                <w:rFonts w:ascii="Arial Narrow" w:hAnsi="Arial Narrow"/>
                <w:iCs/>
                <w:noProof/>
                <w:color w:val="000000"/>
                <w:sz w:val="20"/>
                <w:szCs w:val="20"/>
                <w:highlight w:val="black"/>
                <w:lang w:val="en-AU"/>
              </w:rPr>
              <w:t>'''''''''''''''</w:t>
            </w:r>
          </w:p>
        </w:tc>
        <w:tc>
          <w:tcPr>
            <w:tcW w:w="937" w:type="dxa"/>
            <w:vAlign w:val="center"/>
          </w:tcPr>
          <w:p w:rsidR="003F4866" w:rsidRPr="00C927B9" w:rsidRDefault="003F4866" w:rsidP="005A5E60">
            <w:pPr>
              <w:keepNext/>
              <w:jc w:val="center"/>
              <w:rPr>
                <w:rFonts w:ascii="Arial Narrow" w:hAnsi="Arial Narrow"/>
                <w:sz w:val="20"/>
                <w:szCs w:val="20"/>
                <w:lang w:val="en-AU"/>
              </w:rPr>
            </w:pPr>
            <w:r w:rsidRPr="00C927B9">
              <w:rPr>
                <w:rFonts w:ascii="Arial Narrow" w:hAnsi="Arial Narrow" w:cs="Calibri"/>
                <w:color w:val="000000"/>
                <w:sz w:val="20"/>
                <w:szCs w:val="20"/>
                <w:lang w:val="en-AU"/>
              </w:rPr>
              <w:t>0.7433</w:t>
            </w:r>
          </w:p>
        </w:tc>
        <w:tc>
          <w:tcPr>
            <w:tcW w:w="936"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cs="Calibri"/>
                <w:color w:val="000000"/>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1</w:t>
            </w:r>
          </w:p>
        </w:tc>
        <w:tc>
          <w:tcPr>
            <w:tcW w:w="937"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sz w:val="20"/>
                <w:szCs w:val="20"/>
                <w:lang w:val="en-AU"/>
              </w:rPr>
              <w:t>$</w:t>
            </w:r>
            <w:r w:rsidR="004F2A12">
              <w:rPr>
                <w:rFonts w:ascii="Arial Narrow" w:hAnsi="Arial Narrow"/>
                <w:iCs/>
                <w:noProof/>
                <w:color w:val="000000"/>
                <w:sz w:val="20"/>
                <w:szCs w:val="20"/>
                <w:highlight w:val="black"/>
                <w:lang w:val="en-AU"/>
              </w:rPr>
              <w:t>''''''''''''''''</w:t>
            </w:r>
          </w:p>
        </w:tc>
        <w:tc>
          <w:tcPr>
            <w:tcW w:w="936" w:type="dxa"/>
            <w:vAlign w:val="center"/>
          </w:tcPr>
          <w:p w:rsidR="003F4866" w:rsidRPr="00C927B9" w:rsidRDefault="003F4866" w:rsidP="005A5E60">
            <w:pPr>
              <w:keepNext/>
              <w:jc w:val="center"/>
              <w:rPr>
                <w:rFonts w:ascii="Arial Narrow" w:hAnsi="Arial Narrow"/>
                <w:sz w:val="20"/>
                <w:szCs w:val="20"/>
                <w:lang w:val="en-AU"/>
              </w:rPr>
            </w:pPr>
            <w:r w:rsidRPr="00C927B9">
              <w:rPr>
                <w:rFonts w:ascii="Arial Narrow" w:hAnsi="Arial Narrow"/>
                <w:sz w:val="20"/>
                <w:szCs w:val="20"/>
                <w:lang w:val="en-AU"/>
              </w:rPr>
              <w:t>0.8394</w:t>
            </w:r>
          </w:p>
        </w:tc>
        <w:tc>
          <w:tcPr>
            <w:tcW w:w="937"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2</w:t>
            </w:r>
          </w:p>
        </w:tc>
      </w:tr>
      <w:tr w:rsidR="003F4866" w:rsidRPr="00C927B9" w:rsidTr="00A65BFD">
        <w:tc>
          <w:tcPr>
            <w:tcW w:w="9016" w:type="dxa"/>
            <w:gridSpan w:val="7"/>
          </w:tcPr>
          <w:p w:rsidR="003F4866" w:rsidRPr="00C927B9" w:rsidRDefault="003F4866" w:rsidP="005A5E60">
            <w:pPr>
              <w:keepNext/>
              <w:jc w:val="left"/>
              <w:rPr>
                <w:rFonts w:ascii="Arial Narrow" w:hAnsi="Arial Narrow"/>
                <w:sz w:val="20"/>
                <w:szCs w:val="20"/>
                <w:lang w:val="en-AU"/>
              </w:rPr>
            </w:pPr>
            <w:r w:rsidRPr="00C927B9">
              <w:rPr>
                <w:rFonts w:ascii="Arial Narrow" w:hAnsi="Arial Narrow"/>
                <w:b/>
                <w:sz w:val="20"/>
                <w:szCs w:val="20"/>
                <w:lang w:val="en-AU"/>
              </w:rPr>
              <w:t>Health state utilities (base case: event-free CR 0.807; event-free no CR 0.740; progressive disease 0.623)</w:t>
            </w:r>
          </w:p>
        </w:tc>
      </w:tr>
      <w:tr w:rsidR="003F4866" w:rsidRPr="00C927B9" w:rsidTr="00A65BFD">
        <w:tc>
          <w:tcPr>
            <w:tcW w:w="3397" w:type="dxa"/>
          </w:tcPr>
          <w:p w:rsidR="003F4866" w:rsidRPr="00C927B9" w:rsidRDefault="003F4866" w:rsidP="005A5E60">
            <w:pPr>
              <w:keepNext/>
              <w:jc w:val="left"/>
              <w:rPr>
                <w:rFonts w:ascii="Arial Narrow" w:hAnsi="Arial Narrow"/>
                <w:sz w:val="20"/>
                <w:szCs w:val="20"/>
                <w:lang w:val="en-AU"/>
              </w:rPr>
            </w:pPr>
            <w:r w:rsidRPr="00C927B9">
              <w:rPr>
                <w:rFonts w:ascii="Arial Narrow" w:hAnsi="Arial Narrow"/>
                <w:sz w:val="20"/>
                <w:szCs w:val="20"/>
                <w:lang w:val="en-AU"/>
              </w:rPr>
              <w:t>Event-free utility 0.788 regardless of CR status</w:t>
            </w:r>
          </w:p>
        </w:tc>
        <w:tc>
          <w:tcPr>
            <w:tcW w:w="936" w:type="dxa"/>
            <w:vAlign w:val="center"/>
          </w:tcPr>
          <w:p w:rsidR="003F4866" w:rsidRPr="00D458A6" w:rsidRDefault="003F4866" w:rsidP="005A5E60">
            <w:pPr>
              <w:keepNext/>
              <w:jc w:val="center"/>
              <w:rPr>
                <w:rFonts w:ascii="Arial Narrow" w:hAnsi="Arial Narrow" w:cs="Calibri"/>
                <w:sz w:val="20"/>
                <w:szCs w:val="20"/>
                <w:vertAlign w:val="superscript"/>
                <w:lang w:val="en-AU"/>
              </w:rPr>
            </w:pPr>
            <w:r w:rsidRPr="00C927B9">
              <w:rPr>
                <w:rFonts w:ascii="Arial Narrow" w:hAnsi="Arial Narrow" w:cs="Calibri"/>
                <w:sz w:val="20"/>
                <w:szCs w:val="20"/>
                <w:lang w:val="en-AU"/>
              </w:rPr>
              <w:t>$</w:t>
            </w:r>
            <w:r w:rsidR="004F2A12">
              <w:rPr>
                <w:rFonts w:ascii="Arial Narrow" w:hAnsi="Arial Narrow"/>
                <w:iCs/>
                <w:noProof/>
                <w:color w:val="000000"/>
                <w:sz w:val="20"/>
                <w:szCs w:val="20"/>
                <w:highlight w:val="black"/>
                <w:lang w:val="en-AU"/>
              </w:rPr>
              <w:t>''''''''''''''''</w:t>
            </w:r>
          </w:p>
        </w:tc>
        <w:tc>
          <w:tcPr>
            <w:tcW w:w="937" w:type="dxa"/>
            <w:vAlign w:val="center"/>
          </w:tcPr>
          <w:p w:rsidR="003F4866" w:rsidRPr="00C927B9" w:rsidRDefault="003F4866" w:rsidP="005A5E60">
            <w:pPr>
              <w:keepNext/>
              <w:jc w:val="center"/>
              <w:rPr>
                <w:rFonts w:ascii="Arial Narrow" w:hAnsi="Arial Narrow" w:cs="Calibri"/>
                <w:color w:val="000000"/>
                <w:sz w:val="20"/>
                <w:szCs w:val="20"/>
                <w:lang w:val="en-AU"/>
              </w:rPr>
            </w:pPr>
            <w:r w:rsidRPr="00C927B9">
              <w:rPr>
                <w:rFonts w:ascii="Arial Narrow" w:hAnsi="Arial Narrow" w:cs="Calibri"/>
                <w:color w:val="000000"/>
                <w:sz w:val="20"/>
                <w:szCs w:val="20"/>
                <w:lang w:val="en-AU"/>
              </w:rPr>
              <w:t>0.8336</w:t>
            </w:r>
          </w:p>
        </w:tc>
        <w:tc>
          <w:tcPr>
            <w:tcW w:w="936" w:type="dxa"/>
            <w:vAlign w:val="center"/>
          </w:tcPr>
          <w:p w:rsidR="003F4866" w:rsidRPr="00D458A6" w:rsidRDefault="003F4866" w:rsidP="005A5E60">
            <w:pPr>
              <w:keepNext/>
              <w:jc w:val="center"/>
              <w:rPr>
                <w:rFonts w:ascii="Arial Narrow" w:hAnsi="Arial Narrow" w:cs="Calibri"/>
                <w:color w:val="000000"/>
                <w:sz w:val="20"/>
                <w:szCs w:val="20"/>
                <w:vertAlign w:val="superscript"/>
                <w:lang w:val="en-AU"/>
              </w:rPr>
            </w:pPr>
            <w:r w:rsidRPr="00C927B9">
              <w:rPr>
                <w:rFonts w:ascii="Arial Narrow" w:hAnsi="Arial Narrow" w:cs="Calibri"/>
                <w:color w:val="000000"/>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1</w:t>
            </w:r>
          </w:p>
        </w:tc>
        <w:tc>
          <w:tcPr>
            <w:tcW w:w="937"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sz w:val="20"/>
                <w:szCs w:val="20"/>
                <w:lang w:val="en-AU"/>
              </w:rPr>
              <w:t>$</w:t>
            </w:r>
            <w:r w:rsidR="004F2A12">
              <w:rPr>
                <w:rFonts w:ascii="Arial Narrow" w:hAnsi="Arial Narrow"/>
                <w:iCs/>
                <w:noProof/>
                <w:color w:val="000000"/>
                <w:sz w:val="20"/>
                <w:szCs w:val="20"/>
                <w:highlight w:val="black"/>
                <w:lang w:val="en-AU"/>
              </w:rPr>
              <w:t>'''''''''''''''</w:t>
            </w:r>
          </w:p>
        </w:tc>
        <w:tc>
          <w:tcPr>
            <w:tcW w:w="936" w:type="dxa"/>
            <w:vAlign w:val="center"/>
          </w:tcPr>
          <w:p w:rsidR="003F4866" w:rsidRPr="00C927B9" w:rsidRDefault="003F4866" w:rsidP="005A5E60">
            <w:pPr>
              <w:keepNext/>
              <w:jc w:val="center"/>
              <w:rPr>
                <w:rFonts w:ascii="Arial Narrow" w:hAnsi="Arial Narrow"/>
                <w:sz w:val="20"/>
                <w:szCs w:val="20"/>
                <w:lang w:val="en-AU"/>
              </w:rPr>
            </w:pPr>
            <w:r w:rsidRPr="00C927B9">
              <w:rPr>
                <w:rFonts w:ascii="Arial Narrow" w:hAnsi="Arial Narrow"/>
                <w:sz w:val="20"/>
                <w:szCs w:val="20"/>
                <w:lang w:val="en-AU"/>
              </w:rPr>
              <w:t>0.9212</w:t>
            </w:r>
          </w:p>
        </w:tc>
        <w:tc>
          <w:tcPr>
            <w:tcW w:w="937"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1</w:t>
            </w:r>
          </w:p>
        </w:tc>
      </w:tr>
      <w:tr w:rsidR="003F4866" w:rsidRPr="00C927B9" w:rsidTr="00A65BFD">
        <w:tc>
          <w:tcPr>
            <w:tcW w:w="3397" w:type="dxa"/>
          </w:tcPr>
          <w:p w:rsidR="003F4866" w:rsidRPr="00C927B9" w:rsidRDefault="003F4866" w:rsidP="005A5E60">
            <w:pPr>
              <w:keepNext/>
              <w:jc w:val="left"/>
              <w:rPr>
                <w:rFonts w:ascii="Arial Narrow" w:hAnsi="Arial Narrow"/>
                <w:sz w:val="20"/>
                <w:szCs w:val="20"/>
                <w:lang w:val="en-AU"/>
              </w:rPr>
            </w:pPr>
            <w:r w:rsidRPr="00C927B9">
              <w:rPr>
                <w:rFonts w:ascii="Arial Narrow" w:hAnsi="Arial Narrow"/>
                <w:sz w:val="20"/>
                <w:szCs w:val="20"/>
                <w:lang w:val="en-AU"/>
              </w:rPr>
              <w:t>Progressive disease utility 0.706 (from Trial M15-656)</w:t>
            </w:r>
          </w:p>
        </w:tc>
        <w:tc>
          <w:tcPr>
            <w:tcW w:w="936" w:type="dxa"/>
            <w:vAlign w:val="center"/>
          </w:tcPr>
          <w:p w:rsidR="003F4866" w:rsidRPr="00D458A6" w:rsidRDefault="003F4866" w:rsidP="005A5E60">
            <w:pPr>
              <w:keepNext/>
              <w:jc w:val="center"/>
              <w:rPr>
                <w:rFonts w:ascii="Arial Narrow" w:hAnsi="Arial Narrow" w:cs="Calibri"/>
                <w:sz w:val="20"/>
                <w:szCs w:val="20"/>
                <w:vertAlign w:val="superscript"/>
                <w:lang w:val="en-AU"/>
              </w:rPr>
            </w:pPr>
            <w:r w:rsidRPr="00C927B9">
              <w:rPr>
                <w:rFonts w:ascii="Arial Narrow" w:hAnsi="Arial Narrow" w:cs="Calibri"/>
                <w:sz w:val="20"/>
                <w:szCs w:val="20"/>
                <w:lang w:val="en-AU"/>
              </w:rPr>
              <w:t>$</w:t>
            </w:r>
            <w:r w:rsidR="004F2A12">
              <w:rPr>
                <w:rFonts w:ascii="Arial Narrow" w:hAnsi="Arial Narrow"/>
                <w:iCs/>
                <w:noProof/>
                <w:color w:val="000000"/>
                <w:sz w:val="20"/>
                <w:szCs w:val="20"/>
                <w:highlight w:val="black"/>
                <w:lang w:val="en-AU"/>
              </w:rPr>
              <w:t>'''''''''''''''</w:t>
            </w:r>
          </w:p>
        </w:tc>
        <w:tc>
          <w:tcPr>
            <w:tcW w:w="937" w:type="dxa"/>
            <w:vAlign w:val="center"/>
          </w:tcPr>
          <w:p w:rsidR="003F4866" w:rsidRPr="00C927B9" w:rsidRDefault="003F4866" w:rsidP="005A5E60">
            <w:pPr>
              <w:keepNext/>
              <w:jc w:val="center"/>
              <w:rPr>
                <w:rFonts w:ascii="Arial Narrow" w:hAnsi="Arial Narrow" w:cs="Calibri"/>
                <w:color w:val="000000"/>
                <w:sz w:val="20"/>
                <w:szCs w:val="20"/>
                <w:lang w:val="en-AU"/>
              </w:rPr>
            </w:pPr>
            <w:r w:rsidRPr="00C927B9">
              <w:rPr>
                <w:rFonts w:ascii="Arial Narrow" w:hAnsi="Arial Narrow" w:cs="Calibri"/>
                <w:color w:val="000000"/>
                <w:sz w:val="20"/>
                <w:szCs w:val="20"/>
                <w:lang w:val="en-AU"/>
              </w:rPr>
              <w:t>0.8795</w:t>
            </w:r>
          </w:p>
        </w:tc>
        <w:tc>
          <w:tcPr>
            <w:tcW w:w="936" w:type="dxa"/>
            <w:vAlign w:val="center"/>
          </w:tcPr>
          <w:p w:rsidR="003F4866" w:rsidRPr="00D458A6" w:rsidRDefault="003F4866" w:rsidP="005A5E60">
            <w:pPr>
              <w:keepNext/>
              <w:jc w:val="center"/>
              <w:rPr>
                <w:rFonts w:ascii="Arial Narrow" w:hAnsi="Arial Narrow" w:cs="Calibri"/>
                <w:color w:val="000000"/>
                <w:sz w:val="20"/>
                <w:szCs w:val="20"/>
                <w:vertAlign w:val="superscript"/>
                <w:lang w:val="en-AU"/>
              </w:rPr>
            </w:pPr>
            <w:r w:rsidRPr="00C927B9">
              <w:rPr>
                <w:rFonts w:ascii="Arial Narrow" w:hAnsi="Arial Narrow" w:cs="Calibri"/>
                <w:color w:val="000000"/>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1</w:t>
            </w:r>
          </w:p>
        </w:tc>
        <w:tc>
          <w:tcPr>
            <w:tcW w:w="937"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sz w:val="20"/>
                <w:szCs w:val="20"/>
                <w:lang w:val="en-AU"/>
              </w:rPr>
              <w:t>$</w:t>
            </w:r>
            <w:r w:rsidR="004F2A12">
              <w:rPr>
                <w:rFonts w:ascii="Arial Narrow" w:hAnsi="Arial Narrow"/>
                <w:iCs/>
                <w:noProof/>
                <w:color w:val="000000"/>
                <w:sz w:val="20"/>
                <w:szCs w:val="20"/>
                <w:highlight w:val="black"/>
                <w:lang w:val="en-AU"/>
              </w:rPr>
              <w:t>'''''''''''''''''</w:t>
            </w:r>
          </w:p>
        </w:tc>
        <w:tc>
          <w:tcPr>
            <w:tcW w:w="936" w:type="dxa"/>
            <w:vAlign w:val="center"/>
          </w:tcPr>
          <w:p w:rsidR="003F4866" w:rsidRPr="00C927B9" w:rsidRDefault="003F4866" w:rsidP="005A5E60">
            <w:pPr>
              <w:keepNext/>
              <w:jc w:val="center"/>
              <w:rPr>
                <w:rFonts w:ascii="Arial Narrow" w:hAnsi="Arial Narrow"/>
                <w:sz w:val="20"/>
                <w:szCs w:val="20"/>
                <w:lang w:val="en-AU"/>
              </w:rPr>
            </w:pPr>
            <w:r w:rsidRPr="00C927B9">
              <w:rPr>
                <w:rFonts w:ascii="Arial Narrow" w:hAnsi="Arial Narrow"/>
                <w:sz w:val="20"/>
                <w:szCs w:val="20"/>
                <w:lang w:val="en-AU"/>
              </w:rPr>
              <w:t>0.9721</w:t>
            </w:r>
          </w:p>
        </w:tc>
        <w:tc>
          <w:tcPr>
            <w:tcW w:w="937"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1</w:t>
            </w:r>
          </w:p>
        </w:tc>
      </w:tr>
      <w:tr w:rsidR="003F4866" w:rsidRPr="00C927B9" w:rsidTr="00A65BFD">
        <w:tc>
          <w:tcPr>
            <w:tcW w:w="9016" w:type="dxa"/>
            <w:gridSpan w:val="7"/>
          </w:tcPr>
          <w:p w:rsidR="003F4866" w:rsidRPr="00C927B9" w:rsidRDefault="003F4866" w:rsidP="005A5E60">
            <w:pPr>
              <w:keepNext/>
              <w:jc w:val="left"/>
              <w:rPr>
                <w:rFonts w:ascii="Arial Narrow" w:hAnsi="Arial Narrow"/>
                <w:sz w:val="20"/>
                <w:szCs w:val="20"/>
                <w:lang w:val="en-AU"/>
              </w:rPr>
            </w:pPr>
            <w:r w:rsidRPr="00C927B9">
              <w:rPr>
                <w:rFonts w:ascii="Arial Narrow" w:hAnsi="Arial Narrow"/>
                <w:b/>
                <w:sz w:val="20"/>
                <w:szCs w:val="20"/>
                <w:lang w:val="en-AU"/>
              </w:rPr>
              <w:t>Azacitidine vials per administration (base case: 1 for VTX+AZA; 2 for AZA)</w:t>
            </w:r>
          </w:p>
        </w:tc>
      </w:tr>
      <w:tr w:rsidR="003F4866" w:rsidRPr="00C927B9" w:rsidTr="00A65BFD">
        <w:tc>
          <w:tcPr>
            <w:tcW w:w="3397" w:type="dxa"/>
          </w:tcPr>
          <w:p w:rsidR="003F4866" w:rsidRPr="00C927B9" w:rsidRDefault="003F4866" w:rsidP="005A5E60">
            <w:pPr>
              <w:keepNext/>
              <w:jc w:val="left"/>
              <w:rPr>
                <w:rFonts w:ascii="Arial Narrow" w:hAnsi="Arial Narrow"/>
                <w:sz w:val="20"/>
                <w:szCs w:val="20"/>
                <w:lang w:val="en-AU"/>
              </w:rPr>
            </w:pPr>
            <w:r w:rsidRPr="00C927B9">
              <w:rPr>
                <w:rFonts w:ascii="Arial Narrow" w:hAnsi="Arial Narrow"/>
                <w:sz w:val="20"/>
                <w:szCs w:val="20"/>
                <w:lang w:val="en-AU"/>
              </w:rPr>
              <w:t>50% VTX+AZA and AZA patients require 2 vials, 50% require 1 vial</w:t>
            </w:r>
          </w:p>
        </w:tc>
        <w:tc>
          <w:tcPr>
            <w:tcW w:w="936"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cs="Calibri"/>
                <w:sz w:val="20"/>
                <w:szCs w:val="20"/>
                <w:lang w:val="en-AU"/>
              </w:rPr>
              <w:t>$</w:t>
            </w:r>
            <w:r w:rsidR="004F2A12">
              <w:rPr>
                <w:rFonts w:ascii="Arial Narrow" w:hAnsi="Arial Narrow"/>
                <w:iCs/>
                <w:noProof/>
                <w:color w:val="000000"/>
                <w:sz w:val="20"/>
                <w:szCs w:val="20"/>
                <w:highlight w:val="black"/>
                <w:lang w:val="en-AU"/>
              </w:rPr>
              <w:t>''''''''''''''''''</w:t>
            </w:r>
          </w:p>
        </w:tc>
        <w:tc>
          <w:tcPr>
            <w:tcW w:w="937" w:type="dxa"/>
            <w:vAlign w:val="center"/>
          </w:tcPr>
          <w:p w:rsidR="003F4866" w:rsidRPr="00C927B9" w:rsidRDefault="003F4866" w:rsidP="005A5E60">
            <w:pPr>
              <w:keepNext/>
              <w:jc w:val="center"/>
              <w:rPr>
                <w:rFonts w:ascii="Arial Narrow" w:hAnsi="Arial Narrow"/>
                <w:sz w:val="20"/>
                <w:szCs w:val="20"/>
                <w:lang w:val="en-AU"/>
              </w:rPr>
            </w:pPr>
            <w:r w:rsidRPr="00C927B9">
              <w:rPr>
                <w:rFonts w:ascii="Arial Narrow" w:hAnsi="Arial Narrow" w:cs="Calibri"/>
                <w:color w:val="000000"/>
                <w:sz w:val="20"/>
                <w:szCs w:val="20"/>
                <w:lang w:val="en-AU"/>
              </w:rPr>
              <w:t>0.8503</w:t>
            </w:r>
          </w:p>
        </w:tc>
        <w:tc>
          <w:tcPr>
            <w:tcW w:w="936"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cs="Calibri"/>
                <w:color w:val="000000"/>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2</w:t>
            </w:r>
          </w:p>
        </w:tc>
        <w:tc>
          <w:tcPr>
            <w:tcW w:w="937"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sz w:val="20"/>
                <w:szCs w:val="20"/>
                <w:lang w:val="en-AU"/>
              </w:rPr>
              <w:t>$</w:t>
            </w:r>
            <w:r w:rsidR="004F2A12">
              <w:rPr>
                <w:rFonts w:ascii="Arial Narrow" w:hAnsi="Arial Narrow"/>
                <w:iCs/>
                <w:noProof/>
                <w:color w:val="000000"/>
                <w:sz w:val="20"/>
                <w:szCs w:val="20"/>
                <w:highlight w:val="black"/>
                <w:lang w:val="en-AU"/>
              </w:rPr>
              <w:t>'''''''''''''''</w:t>
            </w:r>
          </w:p>
        </w:tc>
        <w:tc>
          <w:tcPr>
            <w:tcW w:w="936" w:type="dxa"/>
            <w:vAlign w:val="center"/>
          </w:tcPr>
          <w:p w:rsidR="003F4866" w:rsidRPr="00C927B9" w:rsidRDefault="003F4866" w:rsidP="005A5E60">
            <w:pPr>
              <w:keepNext/>
              <w:jc w:val="center"/>
              <w:rPr>
                <w:rFonts w:ascii="Arial Narrow" w:hAnsi="Arial Narrow"/>
                <w:sz w:val="20"/>
                <w:szCs w:val="20"/>
                <w:lang w:val="en-AU"/>
              </w:rPr>
            </w:pPr>
            <w:r w:rsidRPr="00C927B9">
              <w:rPr>
                <w:rFonts w:ascii="Arial Narrow" w:hAnsi="Arial Narrow"/>
                <w:sz w:val="20"/>
                <w:szCs w:val="20"/>
                <w:lang w:val="en-AU"/>
              </w:rPr>
              <w:t>0.9417</w:t>
            </w:r>
          </w:p>
        </w:tc>
        <w:tc>
          <w:tcPr>
            <w:tcW w:w="937"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2</w:t>
            </w:r>
          </w:p>
        </w:tc>
      </w:tr>
      <w:tr w:rsidR="003F4866" w:rsidRPr="00C927B9" w:rsidTr="00A65BFD">
        <w:tc>
          <w:tcPr>
            <w:tcW w:w="3397" w:type="dxa"/>
          </w:tcPr>
          <w:p w:rsidR="003F4866" w:rsidRPr="00C927B9" w:rsidRDefault="003F4866" w:rsidP="005A5E60">
            <w:pPr>
              <w:keepNext/>
              <w:jc w:val="left"/>
              <w:rPr>
                <w:rFonts w:ascii="Arial Narrow" w:hAnsi="Arial Narrow"/>
                <w:sz w:val="20"/>
                <w:szCs w:val="20"/>
                <w:lang w:val="en-AU"/>
              </w:rPr>
            </w:pPr>
            <w:r w:rsidRPr="00C927B9">
              <w:rPr>
                <w:rFonts w:ascii="Arial Narrow" w:hAnsi="Arial Narrow"/>
                <w:sz w:val="20"/>
                <w:szCs w:val="20"/>
                <w:lang w:val="en-AU"/>
              </w:rPr>
              <w:t>100% VTX+AZA and AZA patients require 2 vials</w:t>
            </w:r>
          </w:p>
        </w:tc>
        <w:tc>
          <w:tcPr>
            <w:tcW w:w="936"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cs="Calibri"/>
                <w:sz w:val="20"/>
                <w:szCs w:val="20"/>
                <w:lang w:val="en-AU"/>
              </w:rPr>
              <w:t>$</w:t>
            </w:r>
            <w:r w:rsidR="004F2A12">
              <w:rPr>
                <w:rFonts w:ascii="Arial Narrow" w:hAnsi="Arial Narrow"/>
                <w:iCs/>
                <w:noProof/>
                <w:color w:val="000000"/>
                <w:sz w:val="20"/>
                <w:szCs w:val="20"/>
                <w:highlight w:val="black"/>
                <w:lang w:val="en-AU"/>
              </w:rPr>
              <w:t>''''''''''''''''</w:t>
            </w:r>
          </w:p>
        </w:tc>
        <w:tc>
          <w:tcPr>
            <w:tcW w:w="937" w:type="dxa"/>
            <w:vAlign w:val="center"/>
          </w:tcPr>
          <w:p w:rsidR="003F4866" w:rsidRPr="00C927B9" w:rsidRDefault="003F4866" w:rsidP="005A5E60">
            <w:pPr>
              <w:keepNext/>
              <w:jc w:val="center"/>
              <w:rPr>
                <w:rFonts w:ascii="Arial Narrow" w:hAnsi="Arial Narrow"/>
                <w:sz w:val="20"/>
                <w:szCs w:val="20"/>
                <w:lang w:val="en-AU"/>
              </w:rPr>
            </w:pPr>
            <w:r w:rsidRPr="00C927B9">
              <w:rPr>
                <w:rFonts w:ascii="Arial Narrow" w:hAnsi="Arial Narrow" w:cs="Calibri"/>
                <w:color w:val="000000"/>
                <w:sz w:val="20"/>
                <w:szCs w:val="20"/>
                <w:lang w:val="en-AU"/>
              </w:rPr>
              <w:t>0.8503</w:t>
            </w:r>
          </w:p>
        </w:tc>
        <w:tc>
          <w:tcPr>
            <w:tcW w:w="936"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cs="Calibri"/>
                <w:color w:val="000000"/>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2</w:t>
            </w:r>
          </w:p>
        </w:tc>
        <w:tc>
          <w:tcPr>
            <w:tcW w:w="937"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sz w:val="20"/>
                <w:szCs w:val="20"/>
                <w:lang w:val="en-AU"/>
              </w:rPr>
              <w:t>$</w:t>
            </w:r>
            <w:r w:rsidR="004F2A12">
              <w:rPr>
                <w:rFonts w:ascii="Arial Narrow" w:hAnsi="Arial Narrow"/>
                <w:iCs/>
                <w:noProof/>
                <w:color w:val="000000"/>
                <w:sz w:val="20"/>
                <w:szCs w:val="20"/>
                <w:highlight w:val="black"/>
                <w:lang w:val="en-AU"/>
              </w:rPr>
              <w:t>'''''''''''''''''</w:t>
            </w:r>
          </w:p>
        </w:tc>
        <w:tc>
          <w:tcPr>
            <w:tcW w:w="936" w:type="dxa"/>
            <w:vAlign w:val="center"/>
          </w:tcPr>
          <w:p w:rsidR="003F4866" w:rsidRPr="00C927B9" w:rsidRDefault="003F4866" w:rsidP="005A5E60">
            <w:pPr>
              <w:keepNext/>
              <w:jc w:val="center"/>
              <w:rPr>
                <w:rFonts w:ascii="Arial Narrow" w:hAnsi="Arial Narrow"/>
                <w:sz w:val="20"/>
                <w:szCs w:val="20"/>
                <w:lang w:val="en-AU"/>
              </w:rPr>
            </w:pPr>
            <w:r w:rsidRPr="00C927B9">
              <w:rPr>
                <w:rFonts w:ascii="Arial Narrow" w:hAnsi="Arial Narrow"/>
                <w:sz w:val="20"/>
                <w:szCs w:val="20"/>
                <w:lang w:val="en-AU"/>
              </w:rPr>
              <w:t>0.9417</w:t>
            </w:r>
          </w:p>
        </w:tc>
        <w:tc>
          <w:tcPr>
            <w:tcW w:w="937"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2</w:t>
            </w:r>
          </w:p>
        </w:tc>
      </w:tr>
      <w:tr w:rsidR="003F4866" w:rsidRPr="00C927B9" w:rsidTr="00A65BFD">
        <w:tc>
          <w:tcPr>
            <w:tcW w:w="9016" w:type="dxa"/>
            <w:gridSpan w:val="7"/>
          </w:tcPr>
          <w:p w:rsidR="003F4866" w:rsidRPr="00C927B9" w:rsidRDefault="003F4866" w:rsidP="005A5E60">
            <w:pPr>
              <w:keepNext/>
              <w:jc w:val="left"/>
              <w:rPr>
                <w:rFonts w:ascii="Arial Narrow" w:hAnsi="Arial Narrow"/>
                <w:sz w:val="20"/>
                <w:szCs w:val="20"/>
                <w:lang w:val="en-AU"/>
              </w:rPr>
            </w:pPr>
            <w:r w:rsidRPr="00C927B9">
              <w:rPr>
                <w:rFonts w:ascii="Arial Narrow" w:hAnsi="Arial Narrow"/>
                <w:b/>
                <w:sz w:val="20"/>
                <w:szCs w:val="20"/>
                <w:lang w:val="en-AU"/>
              </w:rPr>
              <w:t>Administration costs (base case first cycle 67% patients inpatient/33% patients day unit stay; subsequent cycles outpatient administration based on MBS item 13915 $67.10)</w:t>
            </w:r>
          </w:p>
        </w:tc>
      </w:tr>
      <w:tr w:rsidR="003F4866" w:rsidRPr="00C927B9" w:rsidTr="00A65BFD">
        <w:tc>
          <w:tcPr>
            <w:tcW w:w="3397" w:type="dxa"/>
          </w:tcPr>
          <w:p w:rsidR="003F4866" w:rsidRPr="00C927B9" w:rsidRDefault="003F4866" w:rsidP="005A5E60">
            <w:pPr>
              <w:keepNext/>
              <w:jc w:val="left"/>
              <w:rPr>
                <w:rFonts w:ascii="Arial Narrow" w:hAnsi="Arial Narrow"/>
                <w:sz w:val="20"/>
                <w:szCs w:val="20"/>
                <w:lang w:val="en-AU"/>
              </w:rPr>
            </w:pPr>
            <w:r w:rsidRPr="00C927B9">
              <w:rPr>
                <w:rFonts w:ascii="Arial Narrow" w:hAnsi="Arial Narrow"/>
                <w:iCs/>
                <w:sz w:val="20"/>
                <w:szCs w:val="20"/>
                <w:lang w:val="en-AU"/>
              </w:rPr>
              <w:t>VTX+AZA inpatient administration during 3-day ramp-up (followed by outpatient administration of azacitidine); AZA outpatient administration for first cycle</w:t>
            </w:r>
          </w:p>
        </w:tc>
        <w:tc>
          <w:tcPr>
            <w:tcW w:w="936"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r w:rsidR="00D458A6">
              <w:rPr>
                <w:rFonts w:ascii="Arial Narrow" w:hAnsi="Arial Narrow"/>
                <w:iCs/>
                <w:sz w:val="20"/>
                <w:szCs w:val="20"/>
                <w:vertAlign w:val="superscript"/>
                <w:lang w:val="en-AU"/>
              </w:rPr>
              <w:t>2</w:t>
            </w:r>
          </w:p>
        </w:tc>
        <w:tc>
          <w:tcPr>
            <w:tcW w:w="937" w:type="dxa"/>
            <w:vAlign w:val="center"/>
          </w:tcPr>
          <w:p w:rsidR="003F4866" w:rsidRPr="00C927B9" w:rsidRDefault="003F4866" w:rsidP="005A5E60">
            <w:pPr>
              <w:keepNext/>
              <w:jc w:val="center"/>
              <w:rPr>
                <w:rFonts w:ascii="Arial Narrow" w:hAnsi="Arial Narrow"/>
                <w:sz w:val="20"/>
                <w:szCs w:val="20"/>
                <w:lang w:val="en-AU"/>
              </w:rPr>
            </w:pPr>
            <w:r w:rsidRPr="00C927B9">
              <w:rPr>
                <w:rFonts w:ascii="Arial Narrow" w:hAnsi="Arial Narrow"/>
                <w:iCs/>
                <w:sz w:val="20"/>
                <w:szCs w:val="20"/>
                <w:lang w:val="en-AU"/>
              </w:rPr>
              <w:t>0.8503</w:t>
            </w:r>
          </w:p>
        </w:tc>
        <w:tc>
          <w:tcPr>
            <w:tcW w:w="936"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1</w:t>
            </w:r>
          </w:p>
        </w:tc>
        <w:tc>
          <w:tcPr>
            <w:tcW w:w="937"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sz w:val="20"/>
                <w:szCs w:val="20"/>
                <w:lang w:val="en-AU"/>
              </w:rPr>
              <w:t>$</w:t>
            </w:r>
            <w:r w:rsidR="004F2A12">
              <w:rPr>
                <w:rFonts w:ascii="Arial Narrow" w:hAnsi="Arial Narrow"/>
                <w:noProof/>
                <w:color w:val="000000"/>
                <w:sz w:val="20"/>
                <w:szCs w:val="20"/>
                <w:highlight w:val="black"/>
                <w:lang w:val="en-AU"/>
              </w:rPr>
              <w:t>'''''''''''''''</w:t>
            </w:r>
          </w:p>
        </w:tc>
        <w:tc>
          <w:tcPr>
            <w:tcW w:w="936" w:type="dxa"/>
            <w:vAlign w:val="center"/>
          </w:tcPr>
          <w:p w:rsidR="003F4866" w:rsidRPr="00C927B9" w:rsidRDefault="003F4866" w:rsidP="005A5E60">
            <w:pPr>
              <w:keepNext/>
              <w:jc w:val="center"/>
              <w:rPr>
                <w:rFonts w:ascii="Arial Narrow" w:hAnsi="Arial Narrow"/>
                <w:sz w:val="20"/>
                <w:szCs w:val="20"/>
                <w:lang w:val="en-AU"/>
              </w:rPr>
            </w:pPr>
            <w:r w:rsidRPr="00C927B9">
              <w:rPr>
                <w:rFonts w:ascii="Arial Narrow" w:hAnsi="Arial Narrow"/>
                <w:sz w:val="20"/>
                <w:szCs w:val="20"/>
                <w:lang w:val="en-AU"/>
              </w:rPr>
              <w:t>0.9417</w:t>
            </w:r>
          </w:p>
        </w:tc>
        <w:tc>
          <w:tcPr>
            <w:tcW w:w="937" w:type="dxa"/>
            <w:vAlign w:val="center"/>
          </w:tcPr>
          <w:p w:rsidR="003F4866" w:rsidRPr="00D458A6" w:rsidRDefault="003F4866" w:rsidP="005A5E60">
            <w:pPr>
              <w:keepNext/>
              <w:jc w:val="center"/>
              <w:rPr>
                <w:rFonts w:ascii="Arial Narrow" w:hAnsi="Arial Narrow"/>
                <w:sz w:val="20"/>
                <w:szCs w:val="20"/>
                <w:vertAlign w:val="superscript"/>
                <w:lang w:val="en-AU"/>
              </w:rPr>
            </w:pPr>
            <w:r w:rsidRPr="00C927B9">
              <w:rPr>
                <w:rFonts w:ascii="Arial Narrow" w:hAnsi="Arial Narrow"/>
                <w:sz w:val="20"/>
                <w:szCs w:val="20"/>
                <w:lang w:val="en-AU"/>
              </w:rPr>
              <w:t>$</w:t>
            </w:r>
            <w:r w:rsidR="004F2A12">
              <w:rPr>
                <w:rFonts w:ascii="Arial Narrow" w:hAnsi="Arial Narrow"/>
                <w:noProof/>
                <w:color w:val="000000"/>
                <w:sz w:val="20"/>
                <w:szCs w:val="20"/>
                <w:highlight w:val="black"/>
                <w:lang w:val="en-AU"/>
              </w:rPr>
              <w:t>'''''''''''''''</w:t>
            </w:r>
            <w:r w:rsidR="00FC7D4E">
              <w:rPr>
                <w:rFonts w:ascii="Arial Narrow" w:hAnsi="Arial Narrow" w:cs="Calibri"/>
                <w:iCs/>
                <w:color w:val="000000"/>
                <w:sz w:val="20"/>
                <w:szCs w:val="20"/>
                <w:vertAlign w:val="superscript"/>
                <w:lang w:val="en-AU"/>
              </w:rPr>
              <w:t>2</w:t>
            </w:r>
          </w:p>
        </w:tc>
      </w:tr>
      <w:tr w:rsidR="000D7D81" w:rsidRPr="00C927B9" w:rsidTr="00A65BFD">
        <w:tc>
          <w:tcPr>
            <w:tcW w:w="3397" w:type="dxa"/>
          </w:tcPr>
          <w:p w:rsidR="000D7D81" w:rsidRPr="00C927B9" w:rsidRDefault="000D7D81" w:rsidP="005A5E60">
            <w:pPr>
              <w:keepNext/>
              <w:jc w:val="left"/>
              <w:rPr>
                <w:rFonts w:ascii="Arial Narrow" w:hAnsi="Arial Narrow"/>
                <w:iCs/>
                <w:sz w:val="20"/>
                <w:szCs w:val="20"/>
                <w:lang w:val="en-AU"/>
              </w:rPr>
            </w:pPr>
            <w:r w:rsidRPr="00C927B9">
              <w:rPr>
                <w:rFonts w:ascii="Arial Narrow" w:hAnsi="Arial Narrow"/>
                <w:iCs/>
                <w:sz w:val="20"/>
                <w:lang w:val="en-AU"/>
              </w:rPr>
              <w:t>Outpatient administration based on MBS 13950 ($111.40)</w:t>
            </w:r>
            <w:r w:rsidR="00DC3F89" w:rsidRPr="00C927B9">
              <w:rPr>
                <w:rFonts w:ascii="Arial Narrow" w:hAnsi="Arial Narrow"/>
                <w:b/>
                <w:sz w:val="20"/>
                <w:szCs w:val="20"/>
                <w:vertAlign w:val="superscript"/>
                <w:lang w:val="en-AU"/>
              </w:rPr>
              <w:t>a</w:t>
            </w:r>
          </w:p>
        </w:tc>
        <w:tc>
          <w:tcPr>
            <w:tcW w:w="936" w:type="dxa"/>
            <w:vAlign w:val="center"/>
          </w:tcPr>
          <w:p w:rsidR="000D7D81" w:rsidRPr="00D458A6" w:rsidRDefault="000D7D81" w:rsidP="005A5E60">
            <w:pPr>
              <w:keepNext/>
              <w:jc w:val="center"/>
              <w:rPr>
                <w:rFonts w:ascii="Arial Narrow" w:hAnsi="Arial Narrow"/>
                <w:iCs/>
                <w:sz w:val="20"/>
                <w:szCs w:val="20"/>
                <w:vertAlign w:val="superscript"/>
                <w:lang w:val="en-AU"/>
              </w:rPr>
            </w:pPr>
            <w:r w:rsidRPr="00C927B9">
              <w:rPr>
                <w:rFonts w:ascii="Arial Narrow" w:hAnsi="Arial Narrow"/>
                <w:iCs/>
                <w:sz w:val="20"/>
                <w:lang w:val="en-AU"/>
              </w:rPr>
              <w:t>$</w:t>
            </w:r>
            <w:r w:rsidR="004F2A12">
              <w:rPr>
                <w:rFonts w:ascii="Arial Narrow" w:hAnsi="Arial Narrow"/>
                <w:iCs/>
                <w:noProof/>
                <w:color w:val="000000"/>
                <w:sz w:val="20"/>
                <w:szCs w:val="20"/>
                <w:highlight w:val="black"/>
                <w:lang w:val="en-AU"/>
              </w:rPr>
              <w:t>'''''''''''''''''</w:t>
            </w:r>
          </w:p>
        </w:tc>
        <w:tc>
          <w:tcPr>
            <w:tcW w:w="937" w:type="dxa"/>
            <w:vAlign w:val="center"/>
          </w:tcPr>
          <w:p w:rsidR="000D7D81" w:rsidRPr="00C927B9" w:rsidRDefault="000D7D81" w:rsidP="005A5E60">
            <w:pPr>
              <w:keepNext/>
              <w:jc w:val="center"/>
              <w:rPr>
                <w:rFonts w:ascii="Arial Narrow" w:hAnsi="Arial Narrow"/>
                <w:iCs/>
                <w:sz w:val="20"/>
                <w:szCs w:val="20"/>
                <w:lang w:val="en-AU"/>
              </w:rPr>
            </w:pPr>
            <w:r w:rsidRPr="00C927B9">
              <w:rPr>
                <w:rFonts w:ascii="Arial Narrow" w:hAnsi="Arial Narrow"/>
                <w:iCs/>
                <w:sz w:val="20"/>
                <w:lang w:val="en-AU"/>
              </w:rPr>
              <w:t>0.8503</w:t>
            </w:r>
          </w:p>
        </w:tc>
        <w:tc>
          <w:tcPr>
            <w:tcW w:w="936" w:type="dxa"/>
            <w:vAlign w:val="center"/>
          </w:tcPr>
          <w:p w:rsidR="000D7D81" w:rsidRPr="00D458A6" w:rsidRDefault="000D7D81" w:rsidP="005A5E60">
            <w:pPr>
              <w:keepNext/>
              <w:jc w:val="center"/>
              <w:rPr>
                <w:rFonts w:ascii="Arial Narrow" w:hAnsi="Arial Narrow"/>
                <w:iCs/>
                <w:sz w:val="20"/>
                <w:szCs w:val="20"/>
                <w:vertAlign w:val="superscript"/>
                <w:lang w:val="en-AU"/>
              </w:rPr>
            </w:pPr>
            <w:r w:rsidRPr="00C927B9">
              <w:rPr>
                <w:rFonts w:ascii="Arial Narrow" w:hAnsi="Arial Narrow"/>
                <w:iCs/>
                <w:sz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1</w:t>
            </w:r>
          </w:p>
        </w:tc>
        <w:tc>
          <w:tcPr>
            <w:tcW w:w="937" w:type="dxa"/>
            <w:tcBorders>
              <w:top w:val="single" w:sz="4" w:space="0" w:color="auto"/>
              <w:left w:val="nil"/>
              <w:bottom w:val="single" w:sz="4" w:space="0" w:color="auto"/>
              <w:right w:val="single" w:sz="4" w:space="0" w:color="auto"/>
            </w:tcBorders>
            <w:shd w:val="clear" w:color="auto" w:fill="auto"/>
            <w:vAlign w:val="center"/>
          </w:tcPr>
          <w:p w:rsidR="000D7D81" w:rsidRPr="00D458A6" w:rsidRDefault="000D7D81" w:rsidP="005A5E60">
            <w:pPr>
              <w:keepNext/>
              <w:jc w:val="center"/>
              <w:rPr>
                <w:rFonts w:ascii="Arial Narrow" w:hAnsi="Arial Narrow"/>
                <w:sz w:val="20"/>
                <w:szCs w:val="20"/>
                <w:vertAlign w:val="superscript"/>
                <w:lang w:val="en-AU"/>
              </w:rPr>
            </w:pPr>
            <w:r w:rsidRPr="00C927B9">
              <w:rPr>
                <w:rFonts w:ascii="Arial Narrow" w:hAnsi="Arial Narrow"/>
                <w:iCs/>
                <w:sz w:val="20"/>
                <w:lang w:val="en-AU"/>
              </w:rPr>
              <w:t>$</w:t>
            </w:r>
            <w:r w:rsidR="004F2A12">
              <w:rPr>
                <w:rFonts w:ascii="Arial Narrow" w:hAnsi="Arial Narrow"/>
                <w:iCs/>
                <w:noProof/>
                <w:color w:val="000000"/>
                <w:sz w:val="20"/>
                <w:highlight w:val="black"/>
                <w:lang w:val="en-AU"/>
              </w:rPr>
              <w:t>'''''''''''''''</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0D7D81" w:rsidRPr="00C927B9" w:rsidRDefault="000D7D81" w:rsidP="005A5E60">
            <w:pPr>
              <w:keepNext/>
              <w:jc w:val="center"/>
              <w:rPr>
                <w:rFonts w:ascii="Arial Narrow" w:hAnsi="Arial Narrow"/>
                <w:sz w:val="20"/>
                <w:szCs w:val="20"/>
                <w:lang w:val="en-AU"/>
              </w:rPr>
            </w:pPr>
            <w:r w:rsidRPr="00C927B9">
              <w:rPr>
                <w:rFonts w:ascii="Arial Narrow" w:hAnsi="Arial Narrow"/>
                <w:iCs/>
                <w:sz w:val="20"/>
                <w:lang w:val="en-AU"/>
              </w:rPr>
              <w:t>0.9417</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0D7D81" w:rsidRPr="00D458A6" w:rsidRDefault="000D7D81" w:rsidP="005A5E60">
            <w:pPr>
              <w:keepNext/>
              <w:jc w:val="center"/>
              <w:rPr>
                <w:rFonts w:ascii="Arial Narrow" w:hAnsi="Arial Narrow"/>
                <w:sz w:val="20"/>
                <w:szCs w:val="20"/>
                <w:vertAlign w:val="superscript"/>
                <w:lang w:val="en-AU"/>
              </w:rPr>
            </w:pPr>
            <w:r w:rsidRPr="00C927B9">
              <w:rPr>
                <w:rFonts w:ascii="Arial Narrow" w:hAnsi="Arial Narrow"/>
                <w:iCs/>
                <w:sz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2</w:t>
            </w:r>
          </w:p>
        </w:tc>
      </w:tr>
      <w:tr w:rsidR="000D7D81" w:rsidRPr="00C927B9" w:rsidTr="00A65BFD">
        <w:tc>
          <w:tcPr>
            <w:tcW w:w="9016" w:type="dxa"/>
            <w:gridSpan w:val="7"/>
          </w:tcPr>
          <w:p w:rsidR="000D7D81" w:rsidRPr="00C927B9" w:rsidRDefault="000D7D81" w:rsidP="005A5E60">
            <w:pPr>
              <w:keepNext/>
              <w:jc w:val="left"/>
              <w:rPr>
                <w:rFonts w:ascii="Arial Narrow" w:hAnsi="Arial Narrow"/>
                <w:sz w:val="20"/>
                <w:szCs w:val="20"/>
                <w:lang w:val="en-AU"/>
              </w:rPr>
            </w:pPr>
            <w:r w:rsidRPr="00C927B9">
              <w:rPr>
                <w:rFonts w:ascii="Arial Narrow" w:hAnsi="Arial Narrow"/>
                <w:b/>
                <w:sz w:val="20"/>
                <w:szCs w:val="20"/>
                <w:lang w:val="en-AU"/>
              </w:rPr>
              <w:t>Adverse events costs (base case: VTX+AZA $</w:t>
            </w:r>
            <w:r w:rsidRPr="00F16A03">
              <w:rPr>
                <w:rFonts w:ascii="Arial Narrow" w:hAnsi="Arial Narrow"/>
                <w:b/>
                <w:sz w:val="20"/>
                <w:szCs w:val="20"/>
                <w:lang w:val="en-AU"/>
              </w:rPr>
              <w:t>2,522</w:t>
            </w:r>
            <w:r w:rsidRPr="00C927B9">
              <w:rPr>
                <w:rFonts w:ascii="Arial Narrow" w:hAnsi="Arial Narrow"/>
                <w:b/>
                <w:sz w:val="20"/>
                <w:szCs w:val="20"/>
                <w:lang w:val="en-AU"/>
              </w:rPr>
              <w:t>; AZA $</w:t>
            </w:r>
            <w:r w:rsidRPr="00F16A03">
              <w:rPr>
                <w:rFonts w:ascii="Arial Narrow" w:hAnsi="Arial Narrow"/>
                <w:b/>
                <w:sz w:val="20"/>
                <w:szCs w:val="20"/>
                <w:lang w:val="en-AU"/>
              </w:rPr>
              <w:t>2,083</w:t>
            </w:r>
            <w:r w:rsidRPr="00C927B9">
              <w:rPr>
                <w:rFonts w:ascii="Arial Narrow" w:hAnsi="Arial Narrow"/>
                <w:b/>
                <w:sz w:val="20"/>
                <w:szCs w:val="20"/>
                <w:lang w:val="en-AU"/>
              </w:rPr>
              <w:t>)</w:t>
            </w:r>
          </w:p>
        </w:tc>
      </w:tr>
      <w:tr w:rsidR="000D7D81" w:rsidRPr="00C927B9" w:rsidTr="00A65BFD">
        <w:tc>
          <w:tcPr>
            <w:tcW w:w="3397" w:type="dxa"/>
          </w:tcPr>
          <w:p w:rsidR="000D7D81" w:rsidRPr="00C927B9" w:rsidRDefault="000D7D81" w:rsidP="005A5E60">
            <w:pPr>
              <w:keepNext/>
              <w:jc w:val="left"/>
              <w:rPr>
                <w:rFonts w:ascii="Arial Narrow" w:hAnsi="Arial Narrow"/>
                <w:sz w:val="20"/>
                <w:szCs w:val="20"/>
                <w:lang w:val="en-AU"/>
              </w:rPr>
            </w:pPr>
            <w:r w:rsidRPr="00C927B9">
              <w:rPr>
                <w:rFonts w:ascii="Arial Narrow" w:hAnsi="Arial Narrow"/>
                <w:iCs/>
                <w:sz w:val="20"/>
                <w:szCs w:val="20"/>
                <w:lang w:val="en-AU"/>
              </w:rPr>
              <w:t>Adverse events costs based on rates of serious haematological events and severe neutropenia/febrile neutropenia events</w:t>
            </w:r>
          </w:p>
        </w:tc>
        <w:tc>
          <w:tcPr>
            <w:tcW w:w="936" w:type="dxa"/>
            <w:tcBorders>
              <w:top w:val="single" w:sz="4" w:space="0" w:color="auto"/>
              <w:left w:val="nil"/>
              <w:bottom w:val="single" w:sz="4" w:space="0" w:color="auto"/>
              <w:right w:val="single" w:sz="4" w:space="0" w:color="auto"/>
            </w:tcBorders>
            <w:shd w:val="clear" w:color="auto" w:fill="auto"/>
            <w:vAlign w:val="center"/>
          </w:tcPr>
          <w:p w:rsidR="000D7D81" w:rsidRPr="00D458A6" w:rsidRDefault="000D7D81" w:rsidP="005A5E60">
            <w:pPr>
              <w:keepNext/>
              <w:jc w:val="center"/>
              <w:rPr>
                <w:rFonts w:ascii="Arial Narrow" w:hAnsi="Arial Narrow"/>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0D7D81" w:rsidRPr="00C927B9" w:rsidRDefault="000D7D81" w:rsidP="005A5E60">
            <w:pPr>
              <w:keepNext/>
              <w:jc w:val="center"/>
              <w:rPr>
                <w:rFonts w:ascii="Arial Narrow" w:hAnsi="Arial Narrow"/>
                <w:sz w:val="20"/>
                <w:szCs w:val="20"/>
                <w:lang w:val="en-AU"/>
              </w:rPr>
            </w:pPr>
            <w:r w:rsidRPr="00C927B9">
              <w:rPr>
                <w:rFonts w:ascii="Arial Narrow" w:hAnsi="Arial Narrow"/>
                <w:iCs/>
                <w:sz w:val="20"/>
                <w:szCs w:val="20"/>
                <w:lang w:val="en-AU"/>
              </w:rPr>
              <w:t>0.8503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0D7D81" w:rsidRPr="00D458A6" w:rsidRDefault="000D7D81" w:rsidP="005A5E60">
            <w:pPr>
              <w:keepNext/>
              <w:jc w:val="center"/>
              <w:rPr>
                <w:rFonts w:ascii="Arial Narrow" w:hAnsi="Arial Narrow"/>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1</w:t>
            </w:r>
          </w:p>
        </w:tc>
        <w:tc>
          <w:tcPr>
            <w:tcW w:w="937" w:type="dxa"/>
            <w:vAlign w:val="center"/>
          </w:tcPr>
          <w:p w:rsidR="000D7D81" w:rsidRPr="00D458A6" w:rsidRDefault="000D7D81" w:rsidP="005A5E60">
            <w:pPr>
              <w:keepNext/>
              <w:jc w:val="center"/>
              <w:rPr>
                <w:rFonts w:ascii="Arial Narrow" w:hAnsi="Arial Narrow"/>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p>
        </w:tc>
        <w:tc>
          <w:tcPr>
            <w:tcW w:w="936" w:type="dxa"/>
            <w:vAlign w:val="center"/>
          </w:tcPr>
          <w:p w:rsidR="000D7D81" w:rsidRPr="00C927B9" w:rsidRDefault="000D7D81" w:rsidP="005A5E60">
            <w:pPr>
              <w:keepNext/>
              <w:jc w:val="center"/>
              <w:rPr>
                <w:rFonts w:ascii="Arial Narrow" w:hAnsi="Arial Narrow"/>
                <w:sz w:val="20"/>
                <w:szCs w:val="20"/>
                <w:lang w:val="en-AU"/>
              </w:rPr>
            </w:pPr>
            <w:r w:rsidRPr="00C927B9">
              <w:rPr>
                <w:rFonts w:ascii="Arial Narrow" w:hAnsi="Arial Narrow"/>
                <w:iCs/>
                <w:sz w:val="20"/>
                <w:szCs w:val="20"/>
                <w:lang w:val="en-AU"/>
              </w:rPr>
              <w:t>0.9417</w:t>
            </w:r>
          </w:p>
        </w:tc>
        <w:tc>
          <w:tcPr>
            <w:tcW w:w="937" w:type="dxa"/>
            <w:vAlign w:val="center"/>
          </w:tcPr>
          <w:p w:rsidR="000D7D81" w:rsidRPr="00D458A6" w:rsidRDefault="000D7D81" w:rsidP="005A5E60">
            <w:pPr>
              <w:keepNext/>
              <w:jc w:val="center"/>
              <w:rPr>
                <w:rFonts w:ascii="Arial Narrow" w:hAnsi="Arial Narrow"/>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1</w:t>
            </w:r>
          </w:p>
        </w:tc>
      </w:tr>
      <w:tr w:rsidR="000D7D81" w:rsidRPr="00C927B9" w:rsidTr="00A65BFD">
        <w:tc>
          <w:tcPr>
            <w:tcW w:w="9016" w:type="dxa"/>
            <w:gridSpan w:val="7"/>
          </w:tcPr>
          <w:p w:rsidR="000D7D81" w:rsidRPr="00C927B9" w:rsidRDefault="000D7D81" w:rsidP="005A5E60">
            <w:pPr>
              <w:keepNext/>
              <w:jc w:val="left"/>
              <w:rPr>
                <w:rFonts w:ascii="Arial Narrow" w:hAnsi="Arial Narrow"/>
                <w:iCs/>
                <w:sz w:val="20"/>
                <w:szCs w:val="20"/>
                <w:lang w:val="en-AU"/>
              </w:rPr>
            </w:pPr>
            <w:r w:rsidRPr="00C927B9">
              <w:rPr>
                <w:rFonts w:ascii="Arial Narrow" w:hAnsi="Arial Narrow"/>
                <w:b/>
                <w:iCs/>
                <w:sz w:val="20"/>
                <w:szCs w:val="20"/>
                <w:lang w:val="en-AU"/>
              </w:rPr>
              <w:t>Extrapolation of overall survival based on clinically plausible parametric functions (base case: lognormal for both treatment arms; adjustment for Australian mortality rate)</w:t>
            </w:r>
          </w:p>
        </w:tc>
      </w:tr>
      <w:tr w:rsidR="000D7D81" w:rsidRPr="00C927B9" w:rsidTr="00A65BFD">
        <w:tc>
          <w:tcPr>
            <w:tcW w:w="3397" w:type="dxa"/>
          </w:tcPr>
          <w:p w:rsidR="000D7D81" w:rsidRPr="00C927B9" w:rsidRDefault="000D7D81" w:rsidP="005A5E60">
            <w:pPr>
              <w:keepNext/>
              <w:jc w:val="left"/>
              <w:rPr>
                <w:rFonts w:ascii="Arial Narrow" w:hAnsi="Arial Narrow"/>
                <w:iCs/>
                <w:sz w:val="20"/>
                <w:szCs w:val="20"/>
                <w:lang w:val="en-AU"/>
              </w:rPr>
            </w:pPr>
            <w:r w:rsidRPr="00C927B9">
              <w:rPr>
                <w:rFonts w:ascii="Arial Narrow" w:hAnsi="Arial Narrow"/>
                <w:iCs/>
                <w:sz w:val="20"/>
                <w:szCs w:val="20"/>
                <w:lang w:val="en-AU"/>
              </w:rPr>
              <w:t>Exponential for VTX+AZA and LoDAC; exponential for AZA; no adjustment</w:t>
            </w:r>
          </w:p>
        </w:tc>
        <w:tc>
          <w:tcPr>
            <w:tcW w:w="936" w:type="dxa"/>
            <w:tcBorders>
              <w:top w:val="single" w:sz="4" w:space="0" w:color="auto"/>
              <w:left w:val="nil"/>
              <w:bottom w:val="single" w:sz="4" w:space="0" w:color="auto"/>
              <w:right w:val="single" w:sz="4" w:space="0" w:color="auto"/>
            </w:tcBorders>
            <w:shd w:val="clear" w:color="auto" w:fill="auto"/>
            <w:vAlign w:val="center"/>
          </w:tcPr>
          <w:p w:rsidR="000D7D81" w:rsidRPr="00D458A6" w:rsidRDefault="000D7D81" w:rsidP="005A5E60">
            <w:pPr>
              <w:keepNext/>
              <w:jc w:val="center"/>
              <w:rPr>
                <w:rFonts w:ascii="Arial Narrow" w:hAnsi="Arial Narrow"/>
                <w:iCs/>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0D7D81" w:rsidRPr="00C927B9" w:rsidRDefault="000D7D81" w:rsidP="005A5E60">
            <w:pPr>
              <w:keepNext/>
              <w:jc w:val="center"/>
              <w:rPr>
                <w:rFonts w:ascii="Arial Narrow" w:hAnsi="Arial Narrow"/>
                <w:iCs/>
                <w:sz w:val="20"/>
                <w:szCs w:val="20"/>
                <w:lang w:val="en-AU"/>
              </w:rPr>
            </w:pPr>
            <w:r w:rsidRPr="00C927B9">
              <w:rPr>
                <w:rFonts w:ascii="Arial Narrow" w:hAnsi="Arial Narrow"/>
                <w:iCs/>
                <w:sz w:val="20"/>
                <w:szCs w:val="20"/>
                <w:lang w:val="en-AU"/>
              </w:rPr>
              <w:t>0.5029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0D7D81" w:rsidRPr="00D458A6" w:rsidRDefault="000D7D81" w:rsidP="005A5E60">
            <w:pPr>
              <w:keepNext/>
              <w:jc w:val="center"/>
              <w:rPr>
                <w:rFonts w:ascii="Arial Narrow" w:hAnsi="Arial Narrow"/>
                <w:iCs/>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3</w:t>
            </w:r>
          </w:p>
        </w:tc>
        <w:tc>
          <w:tcPr>
            <w:tcW w:w="937" w:type="dxa"/>
            <w:vAlign w:val="center"/>
          </w:tcPr>
          <w:p w:rsidR="000D7D81" w:rsidRPr="00D458A6" w:rsidRDefault="000D7D81" w:rsidP="005A5E60">
            <w:pPr>
              <w:keepNext/>
              <w:jc w:val="center"/>
              <w:rPr>
                <w:rFonts w:ascii="Arial Narrow" w:hAnsi="Arial Narrow"/>
                <w:iCs/>
                <w:sz w:val="20"/>
                <w:szCs w:val="20"/>
                <w:vertAlign w:val="superscript"/>
                <w:lang w:val="en-AU"/>
              </w:rPr>
            </w:pPr>
            <w:r w:rsidRPr="00C927B9">
              <w:rPr>
                <w:rFonts w:ascii="Arial Narrow" w:hAnsi="Arial Narrow" w:cs="Calibri"/>
                <w:iCs/>
                <w:color w:val="000000"/>
                <w:sz w:val="20"/>
                <w:szCs w:val="20"/>
                <w:lang w:val="en-AU"/>
              </w:rPr>
              <w:t>$</w:t>
            </w:r>
            <w:r w:rsidR="004F2A12">
              <w:rPr>
                <w:rFonts w:ascii="Arial Narrow" w:hAnsi="Arial Narrow"/>
                <w:iCs/>
                <w:noProof/>
                <w:color w:val="000000"/>
                <w:sz w:val="20"/>
                <w:szCs w:val="20"/>
                <w:highlight w:val="black"/>
                <w:lang w:val="en-AU"/>
              </w:rPr>
              <w:t>'''''''''''''''</w:t>
            </w:r>
          </w:p>
        </w:tc>
        <w:tc>
          <w:tcPr>
            <w:tcW w:w="936" w:type="dxa"/>
            <w:vAlign w:val="center"/>
          </w:tcPr>
          <w:p w:rsidR="000D7D81" w:rsidRPr="00C927B9" w:rsidRDefault="000D7D81" w:rsidP="005A5E60">
            <w:pPr>
              <w:keepNext/>
              <w:jc w:val="center"/>
              <w:rPr>
                <w:rFonts w:ascii="Arial Narrow" w:hAnsi="Arial Narrow"/>
                <w:iCs/>
                <w:sz w:val="20"/>
                <w:szCs w:val="20"/>
                <w:lang w:val="en-AU"/>
              </w:rPr>
            </w:pPr>
            <w:r w:rsidRPr="00C927B9">
              <w:rPr>
                <w:rFonts w:ascii="Arial Narrow" w:hAnsi="Arial Narrow" w:cs="Calibri"/>
                <w:iCs/>
                <w:color w:val="000000"/>
                <w:sz w:val="20"/>
                <w:szCs w:val="20"/>
                <w:lang w:val="en-AU"/>
              </w:rPr>
              <w:t>0.5524</w:t>
            </w:r>
          </w:p>
        </w:tc>
        <w:tc>
          <w:tcPr>
            <w:tcW w:w="937" w:type="dxa"/>
            <w:vAlign w:val="center"/>
          </w:tcPr>
          <w:p w:rsidR="000D7D81" w:rsidRPr="00D458A6" w:rsidRDefault="000D7D81" w:rsidP="005A5E60">
            <w:pPr>
              <w:keepNext/>
              <w:jc w:val="center"/>
              <w:rPr>
                <w:rFonts w:ascii="Arial Narrow" w:hAnsi="Arial Narrow"/>
                <w:iCs/>
                <w:sz w:val="20"/>
                <w:szCs w:val="20"/>
                <w:vertAlign w:val="superscript"/>
                <w:lang w:val="en-AU"/>
              </w:rPr>
            </w:pPr>
            <w:r w:rsidRPr="00C927B9">
              <w:rPr>
                <w:rFonts w:ascii="Arial Narrow" w:hAnsi="Arial Narrow" w:cs="Calibri"/>
                <w:iCs/>
                <w:color w:val="000000"/>
                <w:sz w:val="20"/>
                <w:szCs w:val="20"/>
                <w:lang w:val="en-AU"/>
              </w:rPr>
              <w:t>$</w:t>
            </w:r>
            <w:r w:rsidR="004F2A12">
              <w:rPr>
                <w:rFonts w:ascii="Arial Narrow" w:hAnsi="Arial Narrow"/>
                <w:iCs/>
                <w:noProof/>
                <w:color w:val="000000"/>
                <w:sz w:val="20"/>
                <w:szCs w:val="20"/>
                <w:highlight w:val="black"/>
                <w:lang w:val="en-AU"/>
              </w:rPr>
              <w:t>'''''''''''''''''</w:t>
            </w:r>
            <w:r w:rsidR="00A978C6" w:rsidRPr="00A978C6">
              <w:rPr>
                <w:vertAlign w:val="superscript"/>
              </w:rPr>
              <w:t>4</w:t>
            </w:r>
          </w:p>
        </w:tc>
      </w:tr>
      <w:tr w:rsidR="000D7D81" w:rsidRPr="00C927B9" w:rsidTr="00A65BFD">
        <w:tc>
          <w:tcPr>
            <w:tcW w:w="3397" w:type="dxa"/>
          </w:tcPr>
          <w:p w:rsidR="000D7D81" w:rsidRPr="00C927B9" w:rsidRDefault="000D7D81" w:rsidP="005A5E60">
            <w:pPr>
              <w:keepNext/>
              <w:jc w:val="left"/>
              <w:rPr>
                <w:rFonts w:ascii="Arial Narrow" w:hAnsi="Arial Narrow"/>
                <w:iCs/>
                <w:sz w:val="20"/>
                <w:szCs w:val="20"/>
                <w:lang w:val="en-AU"/>
              </w:rPr>
            </w:pPr>
            <w:r w:rsidRPr="00C927B9">
              <w:rPr>
                <w:rFonts w:ascii="Arial Narrow" w:hAnsi="Arial Narrow"/>
                <w:iCs/>
                <w:sz w:val="20"/>
                <w:szCs w:val="20"/>
                <w:lang w:val="en-AU"/>
              </w:rPr>
              <w:t>Weibull for VTX+AZA and LoDAC; exponential for AZA; no adjustment</w:t>
            </w:r>
          </w:p>
        </w:tc>
        <w:tc>
          <w:tcPr>
            <w:tcW w:w="936" w:type="dxa"/>
            <w:tcBorders>
              <w:top w:val="single" w:sz="4" w:space="0" w:color="auto"/>
              <w:left w:val="nil"/>
              <w:bottom w:val="single" w:sz="4" w:space="0" w:color="auto"/>
              <w:right w:val="single" w:sz="4" w:space="0" w:color="auto"/>
            </w:tcBorders>
            <w:shd w:val="clear" w:color="auto" w:fill="auto"/>
            <w:vAlign w:val="center"/>
          </w:tcPr>
          <w:p w:rsidR="000D7D81" w:rsidRPr="00D458A6" w:rsidRDefault="000D7D81" w:rsidP="005A5E60">
            <w:pPr>
              <w:keepNext/>
              <w:jc w:val="center"/>
              <w:rPr>
                <w:rFonts w:ascii="Arial Narrow" w:hAnsi="Arial Narrow"/>
                <w:iCs/>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0D7D81" w:rsidRPr="00C927B9" w:rsidRDefault="000D7D81" w:rsidP="005A5E60">
            <w:pPr>
              <w:keepNext/>
              <w:jc w:val="center"/>
              <w:rPr>
                <w:rFonts w:ascii="Arial Narrow" w:hAnsi="Arial Narrow"/>
                <w:iCs/>
                <w:sz w:val="20"/>
                <w:szCs w:val="20"/>
                <w:lang w:val="en-AU"/>
              </w:rPr>
            </w:pPr>
            <w:r w:rsidRPr="00C927B9">
              <w:rPr>
                <w:rFonts w:ascii="Arial Narrow" w:hAnsi="Arial Narrow"/>
                <w:iCs/>
                <w:sz w:val="20"/>
                <w:szCs w:val="20"/>
                <w:lang w:val="en-AU"/>
              </w:rPr>
              <w:t>0.7246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0D7D81" w:rsidRPr="00D458A6" w:rsidRDefault="000D7D81" w:rsidP="005A5E60">
            <w:pPr>
              <w:keepNext/>
              <w:jc w:val="center"/>
              <w:rPr>
                <w:rFonts w:ascii="Arial Narrow" w:hAnsi="Arial Narrow"/>
                <w:iCs/>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1</w:t>
            </w:r>
          </w:p>
        </w:tc>
        <w:tc>
          <w:tcPr>
            <w:tcW w:w="937" w:type="dxa"/>
            <w:vAlign w:val="center"/>
          </w:tcPr>
          <w:p w:rsidR="000D7D81" w:rsidRPr="00D458A6" w:rsidRDefault="000D7D81" w:rsidP="005A5E60">
            <w:pPr>
              <w:keepNext/>
              <w:jc w:val="center"/>
              <w:rPr>
                <w:rFonts w:ascii="Arial Narrow" w:hAnsi="Arial Narrow"/>
                <w:iCs/>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p>
        </w:tc>
        <w:tc>
          <w:tcPr>
            <w:tcW w:w="936" w:type="dxa"/>
            <w:vAlign w:val="center"/>
          </w:tcPr>
          <w:p w:rsidR="000D7D81" w:rsidRPr="00C927B9" w:rsidRDefault="000D7D81" w:rsidP="005A5E60">
            <w:pPr>
              <w:keepNext/>
              <w:jc w:val="center"/>
              <w:rPr>
                <w:rFonts w:ascii="Arial Narrow" w:hAnsi="Arial Narrow"/>
                <w:iCs/>
                <w:sz w:val="20"/>
                <w:szCs w:val="20"/>
                <w:lang w:val="en-AU"/>
              </w:rPr>
            </w:pPr>
            <w:r w:rsidRPr="00C927B9">
              <w:rPr>
                <w:rFonts w:ascii="Arial Narrow" w:hAnsi="Arial Narrow"/>
                <w:iCs/>
                <w:sz w:val="20"/>
                <w:szCs w:val="20"/>
                <w:lang w:val="en-AU"/>
              </w:rPr>
              <w:t>0.7353</w:t>
            </w:r>
          </w:p>
        </w:tc>
        <w:tc>
          <w:tcPr>
            <w:tcW w:w="937" w:type="dxa"/>
            <w:vAlign w:val="center"/>
          </w:tcPr>
          <w:p w:rsidR="000D7D81" w:rsidRPr="00D458A6" w:rsidRDefault="000D7D81" w:rsidP="005A5E60">
            <w:pPr>
              <w:keepNext/>
              <w:jc w:val="center"/>
              <w:rPr>
                <w:rFonts w:ascii="Arial Narrow" w:hAnsi="Arial Narrow"/>
                <w:iCs/>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2</w:t>
            </w:r>
          </w:p>
        </w:tc>
      </w:tr>
      <w:tr w:rsidR="000D7D81" w:rsidRPr="00C927B9" w:rsidTr="00A65BFD">
        <w:tc>
          <w:tcPr>
            <w:tcW w:w="9016" w:type="dxa"/>
            <w:gridSpan w:val="7"/>
          </w:tcPr>
          <w:p w:rsidR="000D7D81" w:rsidRPr="00C927B9" w:rsidRDefault="000D7D81" w:rsidP="005A5E60">
            <w:pPr>
              <w:keepNext/>
              <w:jc w:val="left"/>
              <w:rPr>
                <w:rFonts w:ascii="Arial Narrow" w:hAnsi="Arial Narrow"/>
                <w:sz w:val="20"/>
                <w:szCs w:val="20"/>
                <w:lang w:val="en-AU"/>
              </w:rPr>
            </w:pPr>
            <w:r w:rsidRPr="00C927B9">
              <w:rPr>
                <w:rFonts w:ascii="Arial Narrow" w:hAnsi="Arial Narrow"/>
                <w:b/>
                <w:iCs/>
                <w:sz w:val="20"/>
                <w:szCs w:val="20"/>
                <w:lang w:val="en-AU"/>
              </w:rPr>
              <w:t>Extrapolation of overall survival and event-free survival based on clinically plausible parametric functions (base case: lognormal for OS for both treatment arms, with adjustment for Australian mortality rate; generalised gamma for EFS for both treatment arms)</w:t>
            </w:r>
          </w:p>
        </w:tc>
      </w:tr>
      <w:tr w:rsidR="000D7D81" w:rsidRPr="00C927B9" w:rsidTr="00A65BFD">
        <w:tc>
          <w:tcPr>
            <w:tcW w:w="3397" w:type="dxa"/>
          </w:tcPr>
          <w:p w:rsidR="000D7D81" w:rsidRPr="00C927B9" w:rsidRDefault="000D7D81" w:rsidP="005A5E60">
            <w:pPr>
              <w:pStyle w:val="TableText"/>
              <w:rPr>
                <w:iCs/>
                <w:szCs w:val="20"/>
              </w:rPr>
            </w:pPr>
            <w:r w:rsidRPr="00C927B9">
              <w:rPr>
                <w:iCs/>
                <w:szCs w:val="20"/>
              </w:rPr>
              <w:t xml:space="preserve">OS: Weibull for VTX+AZA and LoDAC; exponential for AZA; no </w:t>
            </w:r>
            <w:proofErr w:type="spellStart"/>
            <w:r w:rsidRPr="00C927B9">
              <w:rPr>
                <w:iCs/>
                <w:szCs w:val="20"/>
              </w:rPr>
              <w:t>adj</w:t>
            </w:r>
            <w:proofErr w:type="spellEnd"/>
          </w:p>
          <w:p w:rsidR="000D7D81" w:rsidRPr="00C927B9" w:rsidRDefault="000D7D81" w:rsidP="005A5E60">
            <w:pPr>
              <w:keepNext/>
              <w:jc w:val="left"/>
              <w:rPr>
                <w:rFonts w:ascii="Arial Narrow" w:hAnsi="Arial Narrow"/>
                <w:iCs/>
                <w:sz w:val="20"/>
                <w:szCs w:val="20"/>
                <w:lang w:val="en-AU"/>
              </w:rPr>
            </w:pPr>
            <w:r w:rsidRPr="00C927B9">
              <w:rPr>
                <w:rFonts w:ascii="Arial Narrow" w:hAnsi="Arial Narrow"/>
                <w:iCs/>
                <w:sz w:val="20"/>
                <w:szCs w:val="20"/>
                <w:lang w:val="en-AU"/>
              </w:rPr>
              <w:t>EFS: Weibull VTX+AZA and LoDAC; exponential for AZA</w:t>
            </w:r>
          </w:p>
        </w:tc>
        <w:tc>
          <w:tcPr>
            <w:tcW w:w="936" w:type="dxa"/>
            <w:vAlign w:val="center"/>
          </w:tcPr>
          <w:p w:rsidR="000D7D81" w:rsidRPr="00D458A6" w:rsidRDefault="000D7D81" w:rsidP="005A5E60">
            <w:pPr>
              <w:keepNext/>
              <w:jc w:val="center"/>
              <w:rPr>
                <w:rFonts w:ascii="Arial Narrow" w:hAnsi="Arial Narrow"/>
                <w:iCs/>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p>
        </w:tc>
        <w:tc>
          <w:tcPr>
            <w:tcW w:w="937" w:type="dxa"/>
            <w:vAlign w:val="center"/>
          </w:tcPr>
          <w:p w:rsidR="000D7D81" w:rsidRPr="00C927B9" w:rsidRDefault="000D7D81" w:rsidP="005A5E60">
            <w:pPr>
              <w:keepNext/>
              <w:jc w:val="center"/>
              <w:rPr>
                <w:rFonts w:ascii="Arial Narrow" w:hAnsi="Arial Narrow"/>
                <w:iCs/>
                <w:sz w:val="20"/>
                <w:szCs w:val="20"/>
                <w:lang w:val="en-AU"/>
              </w:rPr>
            </w:pPr>
            <w:r w:rsidRPr="00C927B9">
              <w:rPr>
                <w:rFonts w:ascii="Arial Narrow" w:hAnsi="Arial Narrow"/>
                <w:iCs/>
                <w:sz w:val="20"/>
                <w:szCs w:val="20"/>
                <w:lang w:val="en-AU"/>
              </w:rPr>
              <w:t>0.6849</w:t>
            </w:r>
          </w:p>
        </w:tc>
        <w:tc>
          <w:tcPr>
            <w:tcW w:w="936" w:type="dxa"/>
            <w:vAlign w:val="center"/>
          </w:tcPr>
          <w:p w:rsidR="000D7D81" w:rsidRPr="00D458A6" w:rsidRDefault="000D7D81" w:rsidP="005A5E60">
            <w:pPr>
              <w:keepNext/>
              <w:jc w:val="center"/>
              <w:rPr>
                <w:rFonts w:ascii="Arial Narrow" w:hAnsi="Arial Narrow"/>
                <w:iCs/>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1</w:t>
            </w:r>
          </w:p>
        </w:tc>
        <w:tc>
          <w:tcPr>
            <w:tcW w:w="937" w:type="dxa"/>
            <w:vAlign w:val="center"/>
          </w:tcPr>
          <w:p w:rsidR="000D7D81" w:rsidRPr="00D458A6" w:rsidRDefault="000D7D81" w:rsidP="005A5E60">
            <w:pPr>
              <w:keepNext/>
              <w:jc w:val="center"/>
              <w:rPr>
                <w:rFonts w:ascii="Arial Narrow" w:hAnsi="Arial Narrow"/>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p>
        </w:tc>
        <w:tc>
          <w:tcPr>
            <w:tcW w:w="936" w:type="dxa"/>
            <w:vAlign w:val="center"/>
          </w:tcPr>
          <w:p w:rsidR="000D7D81" w:rsidRPr="00C927B9" w:rsidRDefault="000D7D81" w:rsidP="005A5E60">
            <w:pPr>
              <w:keepNext/>
              <w:jc w:val="center"/>
              <w:rPr>
                <w:rFonts w:ascii="Arial Narrow" w:hAnsi="Arial Narrow"/>
                <w:sz w:val="20"/>
                <w:szCs w:val="20"/>
                <w:lang w:val="en-AU"/>
              </w:rPr>
            </w:pPr>
            <w:r w:rsidRPr="00C927B9">
              <w:rPr>
                <w:rFonts w:ascii="Arial Narrow" w:hAnsi="Arial Narrow"/>
                <w:iCs/>
                <w:sz w:val="20"/>
                <w:szCs w:val="20"/>
                <w:lang w:val="en-AU"/>
              </w:rPr>
              <w:t>0.7152</w:t>
            </w:r>
          </w:p>
        </w:tc>
        <w:tc>
          <w:tcPr>
            <w:tcW w:w="937" w:type="dxa"/>
            <w:vAlign w:val="center"/>
          </w:tcPr>
          <w:p w:rsidR="000D7D81" w:rsidRPr="00D458A6" w:rsidRDefault="000D7D81" w:rsidP="005A5E60">
            <w:pPr>
              <w:keepNext/>
              <w:jc w:val="center"/>
              <w:rPr>
                <w:rFonts w:ascii="Arial Narrow" w:hAnsi="Arial Narrow"/>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2</w:t>
            </w:r>
          </w:p>
        </w:tc>
      </w:tr>
      <w:tr w:rsidR="000D7D81" w:rsidRPr="00C927B9" w:rsidTr="00A65BFD">
        <w:tc>
          <w:tcPr>
            <w:tcW w:w="3397" w:type="dxa"/>
          </w:tcPr>
          <w:p w:rsidR="000D7D81" w:rsidRPr="00C927B9" w:rsidRDefault="000D7D81" w:rsidP="005A5E60">
            <w:pPr>
              <w:pStyle w:val="TableText"/>
              <w:rPr>
                <w:iCs/>
                <w:szCs w:val="20"/>
              </w:rPr>
            </w:pPr>
            <w:r w:rsidRPr="00C927B9">
              <w:rPr>
                <w:iCs/>
                <w:szCs w:val="20"/>
              </w:rPr>
              <w:t xml:space="preserve">OS: Weibull for VTX+AZA and LoDAC; exponential for AZA; no </w:t>
            </w:r>
            <w:proofErr w:type="spellStart"/>
            <w:r w:rsidRPr="00C927B9">
              <w:rPr>
                <w:iCs/>
                <w:szCs w:val="20"/>
              </w:rPr>
              <w:t>adj</w:t>
            </w:r>
            <w:proofErr w:type="spellEnd"/>
          </w:p>
          <w:p w:rsidR="000D7D81" w:rsidRPr="00C927B9" w:rsidRDefault="000D7D81" w:rsidP="005A5E60">
            <w:pPr>
              <w:keepNext/>
              <w:jc w:val="left"/>
              <w:rPr>
                <w:rFonts w:ascii="Arial Narrow" w:hAnsi="Arial Narrow"/>
                <w:iCs/>
                <w:sz w:val="20"/>
                <w:szCs w:val="20"/>
                <w:lang w:val="en-AU"/>
              </w:rPr>
            </w:pPr>
            <w:r w:rsidRPr="00C927B9">
              <w:rPr>
                <w:rFonts w:ascii="Arial Narrow" w:hAnsi="Arial Narrow"/>
                <w:iCs/>
                <w:sz w:val="20"/>
                <w:szCs w:val="20"/>
                <w:lang w:val="en-AU"/>
              </w:rPr>
              <w:t>EFS: exponential VTX+AZA and LoDAC; exponential for AZA</w:t>
            </w:r>
          </w:p>
        </w:tc>
        <w:tc>
          <w:tcPr>
            <w:tcW w:w="936" w:type="dxa"/>
            <w:vAlign w:val="center"/>
          </w:tcPr>
          <w:p w:rsidR="000D7D81" w:rsidRPr="00D458A6" w:rsidRDefault="000D7D81" w:rsidP="005A5E60">
            <w:pPr>
              <w:keepNext/>
              <w:jc w:val="center"/>
              <w:rPr>
                <w:rFonts w:ascii="Arial Narrow" w:hAnsi="Arial Narrow"/>
                <w:iCs/>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p>
        </w:tc>
        <w:tc>
          <w:tcPr>
            <w:tcW w:w="937" w:type="dxa"/>
            <w:vAlign w:val="center"/>
          </w:tcPr>
          <w:p w:rsidR="000D7D81" w:rsidRPr="00C927B9" w:rsidRDefault="000D7D81" w:rsidP="005A5E60">
            <w:pPr>
              <w:keepNext/>
              <w:jc w:val="center"/>
              <w:rPr>
                <w:rFonts w:ascii="Arial Narrow" w:hAnsi="Arial Narrow"/>
                <w:iCs/>
                <w:sz w:val="20"/>
                <w:szCs w:val="20"/>
                <w:lang w:val="en-AU"/>
              </w:rPr>
            </w:pPr>
            <w:r w:rsidRPr="00C927B9">
              <w:rPr>
                <w:rFonts w:ascii="Arial Narrow" w:hAnsi="Arial Narrow"/>
                <w:iCs/>
                <w:sz w:val="20"/>
                <w:szCs w:val="20"/>
                <w:lang w:val="en-AU"/>
              </w:rPr>
              <w:t>0.6744</w:t>
            </w:r>
          </w:p>
        </w:tc>
        <w:tc>
          <w:tcPr>
            <w:tcW w:w="936" w:type="dxa"/>
            <w:vAlign w:val="center"/>
          </w:tcPr>
          <w:p w:rsidR="000D7D81" w:rsidRPr="00D458A6" w:rsidRDefault="000D7D81" w:rsidP="005A5E60">
            <w:pPr>
              <w:keepNext/>
              <w:jc w:val="center"/>
              <w:rPr>
                <w:rFonts w:ascii="Arial Narrow" w:hAnsi="Arial Narrow"/>
                <w:iCs/>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1</w:t>
            </w:r>
          </w:p>
        </w:tc>
        <w:tc>
          <w:tcPr>
            <w:tcW w:w="937" w:type="dxa"/>
            <w:vAlign w:val="center"/>
          </w:tcPr>
          <w:p w:rsidR="000D7D81" w:rsidRPr="00D458A6" w:rsidRDefault="000D7D81" w:rsidP="005A5E60">
            <w:pPr>
              <w:keepNext/>
              <w:jc w:val="center"/>
              <w:rPr>
                <w:rFonts w:ascii="Arial Narrow" w:hAnsi="Arial Narrow"/>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p>
        </w:tc>
        <w:tc>
          <w:tcPr>
            <w:tcW w:w="936" w:type="dxa"/>
            <w:vAlign w:val="center"/>
          </w:tcPr>
          <w:p w:rsidR="000D7D81" w:rsidRPr="00C927B9" w:rsidRDefault="000D7D81" w:rsidP="005A5E60">
            <w:pPr>
              <w:keepNext/>
              <w:jc w:val="center"/>
              <w:rPr>
                <w:rFonts w:ascii="Arial Narrow" w:hAnsi="Arial Narrow"/>
                <w:sz w:val="20"/>
                <w:szCs w:val="20"/>
                <w:lang w:val="en-AU"/>
              </w:rPr>
            </w:pPr>
            <w:r w:rsidRPr="00C927B9">
              <w:rPr>
                <w:rFonts w:ascii="Arial Narrow" w:hAnsi="Arial Narrow"/>
                <w:iCs/>
                <w:sz w:val="20"/>
                <w:szCs w:val="20"/>
                <w:lang w:val="en-AU"/>
              </w:rPr>
              <w:t>0.7062</w:t>
            </w:r>
          </w:p>
        </w:tc>
        <w:tc>
          <w:tcPr>
            <w:tcW w:w="937" w:type="dxa"/>
            <w:vAlign w:val="center"/>
          </w:tcPr>
          <w:p w:rsidR="000D7D81" w:rsidRPr="00D458A6" w:rsidRDefault="000D7D81" w:rsidP="005A5E60">
            <w:pPr>
              <w:keepNext/>
              <w:jc w:val="center"/>
              <w:rPr>
                <w:rFonts w:ascii="Arial Narrow" w:hAnsi="Arial Narrow"/>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r w:rsidR="00FC7D4E">
              <w:rPr>
                <w:rFonts w:ascii="Arial Narrow" w:hAnsi="Arial Narrow" w:cs="Calibri"/>
                <w:iCs/>
                <w:color w:val="000000"/>
                <w:sz w:val="20"/>
                <w:szCs w:val="20"/>
                <w:vertAlign w:val="superscript"/>
                <w:lang w:val="en-AU"/>
              </w:rPr>
              <w:t>1</w:t>
            </w:r>
          </w:p>
        </w:tc>
      </w:tr>
    </w:tbl>
    <w:p w:rsidR="003F4866" w:rsidRPr="00C927B9" w:rsidRDefault="003F4866" w:rsidP="005A5E60">
      <w:pPr>
        <w:pStyle w:val="TableFigureFooter"/>
        <w:keepNext/>
        <w:rPr>
          <w:rFonts w:eastAsia="Calibri"/>
          <w:szCs w:val="20"/>
          <w:lang w:val="en-AU"/>
        </w:rPr>
      </w:pPr>
      <w:r w:rsidRPr="00C927B9">
        <w:rPr>
          <w:rFonts w:eastAsia="Calibri"/>
          <w:szCs w:val="20"/>
          <w:lang w:val="en-AU"/>
        </w:rPr>
        <w:t>Source: Table 3-30of the submission and additional analyses conducted during the evaluation using VTX+AZA AML Economic Evaluation spreadsheet provided with the submission</w:t>
      </w:r>
      <w:r w:rsidR="0067002D" w:rsidRPr="00C927B9">
        <w:rPr>
          <w:rFonts w:eastAsia="Calibri"/>
          <w:szCs w:val="20"/>
          <w:lang w:val="en-AU"/>
        </w:rPr>
        <w:t>.</w:t>
      </w:r>
    </w:p>
    <w:p w:rsidR="003F4866" w:rsidRPr="00C927B9" w:rsidRDefault="003F4866" w:rsidP="005A5E60">
      <w:pPr>
        <w:pStyle w:val="TableFigureFooter"/>
        <w:keepNext/>
        <w:rPr>
          <w:rFonts w:eastAsia="Calibri"/>
          <w:szCs w:val="20"/>
          <w:lang w:val="en-AU"/>
        </w:rPr>
      </w:pPr>
      <w:r w:rsidRPr="00C927B9">
        <w:rPr>
          <w:rFonts w:eastAsia="Calibri"/>
          <w:szCs w:val="20"/>
          <w:lang w:val="en-AU"/>
        </w:rPr>
        <w:t>Abbreviations: AZA, azacitidine; CR, complete remission; EFS, event-free survival; HR, hazard ratio; ICER, incremental cost-effectiveness ratio; LoDAC, low-dose cytarabine; OS, overall survival; QALY, quality adjusted life year; VTX, venetoclax</w:t>
      </w:r>
    </w:p>
    <w:p w:rsidR="00C015E1" w:rsidRDefault="00C015E1" w:rsidP="005A5E60">
      <w:pPr>
        <w:pStyle w:val="TableFigureFooter"/>
        <w:keepNext/>
        <w:rPr>
          <w:rFonts w:eastAsia="Calibri"/>
          <w:szCs w:val="20"/>
          <w:lang w:val="en-AU"/>
        </w:rPr>
      </w:pPr>
      <w:proofErr w:type="gramStart"/>
      <w:r w:rsidRPr="00C927B9">
        <w:rPr>
          <w:rFonts w:eastAsia="Calibri"/>
          <w:szCs w:val="20"/>
          <w:vertAlign w:val="superscript"/>
          <w:lang w:val="en-AU"/>
        </w:rPr>
        <w:t>a</w:t>
      </w:r>
      <w:proofErr w:type="gramEnd"/>
      <w:r w:rsidRPr="00C927B9">
        <w:rPr>
          <w:rFonts w:eastAsia="Calibri"/>
          <w:szCs w:val="20"/>
          <w:vertAlign w:val="superscript"/>
          <w:lang w:val="en-AU"/>
        </w:rPr>
        <w:t xml:space="preserve"> </w:t>
      </w:r>
      <w:r w:rsidRPr="00C927B9">
        <w:rPr>
          <w:rFonts w:eastAsia="Calibri"/>
          <w:szCs w:val="20"/>
          <w:lang w:val="en-AU"/>
        </w:rPr>
        <w:t>MBS item 13915 was replaced with MBS item 13950 from November 2020 ($111.40; Parenteral administration of antineoplastic agents, including cytotoxic chemotherapy, by or on behalf of a specialist or consultant physician)</w:t>
      </w:r>
      <w:r w:rsidR="00DC3F89" w:rsidRPr="00C927B9">
        <w:rPr>
          <w:rFonts w:eastAsia="Calibri"/>
          <w:szCs w:val="20"/>
          <w:lang w:val="en-AU"/>
        </w:rPr>
        <w:t>.</w:t>
      </w:r>
    </w:p>
    <w:p w:rsidR="00D458A6" w:rsidRDefault="00D458A6" w:rsidP="005A5E60">
      <w:pPr>
        <w:pStyle w:val="TableFigureFooter"/>
        <w:keepNext/>
        <w:rPr>
          <w:i/>
        </w:rPr>
      </w:pPr>
      <w:r w:rsidRPr="009868C4">
        <w:rPr>
          <w:i/>
        </w:rPr>
        <w:t>The redacted values correspond to the following ranges</w:t>
      </w:r>
      <w:r>
        <w:rPr>
          <w:i/>
        </w:rPr>
        <w:t>:</w:t>
      </w:r>
    </w:p>
    <w:p w:rsidR="00FC7D4E" w:rsidRDefault="00FC7D4E" w:rsidP="005A5E60">
      <w:pPr>
        <w:pStyle w:val="TableFigureFooter"/>
        <w:keepNext/>
        <w:rPr>
          <w:i/>
        </w:rPr>
      </w:pPr>
      <w:r>
        <w:rPr>
          <w:i/>
          <w:vertAlign w:val="superscript"/>
        </w:rPr>
        <w:t xml:space="preserve">1 </w:t>
      </w:r>
      <w:r w:rsidRPr="00FC7D4E">
        <w:rPr>
          <w:i/>
        </w:rPr>
        <w:t>$55,000 to &lt; $75,000</w:t>
      </w:r>
    </w:p>
    <w:p w:rsidR="00FC7D4E" w:rsidRDefault="00FC7D4E" w:rsidP="005A5E60">
      <w:pPr>
        <w:pStyle w:val="TableFigureFooter"/>
        <w:keepNext/>
        <w:rPr>
          <w:i/>
        </w:rPr>
      </w:pPr>
      <w:r>
        <w:rPr>
          <w:i/>
          <w:vertAlign w:val="superscript"/>
        </w:rPr>
        <w:lastRenderedPageBreak/>
        <w:t xml:space="preserve">2 </w:t>
      </w:r>
      <w:r w:rsidRPr="00FC7D4E">
        <w:rPr>
          <w:i/>
        </w:rPr>
        <w:t>$75,000 to &lt; $95,000</w:t>
      </w:r>
    </w:p>
    <w:p w:rsidR="00FC7D4E" w:rsidRDefault="00FC7D4E" w:rsidP="005A5E60">
      <w:pPr>
        <w:pStyle w:val="TableFigureFooter"/>
        <w:keepNext/>
        <w:rPr>
          <w:i/>
        </w:rPr>
      </w:pPr>
      <w:r>
        <w:rPr>
          <w:i/>
          <w:vertAlign w:val="superscript"/>
        </w:rPr>
        <w:t xml:space="preserve">3 </w:t>
      </w:r>
      <w:r w:rsidRPr="00FC7D4E">
        <w:rPr>
          <w:i/>
        </w:rPr>
        <w:t>$95,000 to &lt; $115,000</w:t>
      </w:r>
    </w:p>
    <w:p w:rsidR="00A978C6" w:rsidRDefault="00A978C6" w:rsidP="005A5E60">
      <w:pPr>
        <w:pStyle w:val="TableFigureFooter"/>
        <w:keepNext/>
        <w:rPr>
          <w:i/>
        </w:rPr>
      </w:pPr>
      <w:r>
        <w:rPr>
          <w:i/>
          <w:vertAlign w:val="superscript"/>
        </w:rPr>
        <w:t xml:space="preserve">4 </w:t>
      </w:r>
      <w:r w:rsidRPr="00A978C6">
        <w:rPr>
          <w:i/>
        </w:rPr>
        <w:t>$115,000 to &lt; $135,000</w:t>
      </w:r>
    </w:p>
    <w:p w:rsidR="00D458A6" w:rsidRPr="00D458A6" w:rsidRDefault="00D458A6" w:rsidP="005A5E60">
      <w:pPr>
        <w:pStyle w:val="TableFigureFooter"/>
        <w:keepNext/>
        <w:rPr>
          <w:rFonts w:eastAsia="Calibri"/>
          <w:i/>
          <w:szCs w:val="20"/>
          <w:lang w:val="en-AU"/>
        </w:rPr>
      </w:pPr>
    </w:p>
    <w:p w:rsidR="005A62AD" w:rsidRPr="00C927B9" w:rsidRDefault="005A62AD" w:rsidP="00BB732D">
      <w:pPr>
        <w:pStyle w:val="ExecSumBodyText"/>
        <w:rPr>
          <w:iCs/>
          <w:lang w:val="en-AU"/>
        </w:rPr>
      </w:pPr>
      <w:r w:rsidRPr="00C927B9">
        <w:rPr>
          <w:iCs/>
          <w:lang w:val="en-AU"/>
        </w:rPr>
        <w:t>The results of the sensitivity analyses indicate</w:t>
      </w:r>
      <w:r w:rsidR="002D5D3D" w:rsidRPr="00C927B9">
        <w:rPr>
          <w:iCs/>
          <w:lang w:val="en-AU"/>
        </w:rPr>
        <w:t>d</w:t>
      </w:r>
      <w:r w:rsidRPr="00C927B9">
        <w:rPr>
          <w:iCs/>
          <w:lang w:val="en-AU"/>
        </w:rPr>
        <w:t xml:space="preserve"> that the model </w:t>
      </w:r>
      <w:r w:rsidR="002D5D3D" w:rsidRPr="00C927B9">
        <w:rPr>
          <w:iCs/>
          <w:lang w:val="en-AU"/>
        </w:rPr>
        <w:t>was</w:t>
      </w:r>
      <w:r w:rsidRPr="00C927B9">
        <w:rPr>
          <w:iCs/>
          <w:lang w:val="en-AU"/>
        </w:rPr>
        <w:t xml:space="preserve"> most sensitive to the number of vials of azacitidine per administration in the venetoclax with azacitidine arm, time horizon, and the parametric functions used to extrapolate overall survival and event-free survival.</w:t>
      </w:r>
    </w:p>
    <w:p w:rsidR="00DF4609" w:rsidRPr="00C927B9" w:rsidRDefault="009E60C0" w:rsidP="00DF4609">
      <w:pPr>
        <w:pStyle w:val="ExecSumBodyText"/>
        <w:rPr>
          <w:lang w:val="en-AU"/>
        </w:rPr>
      </w:pPr>
      <w:r w:rsidRPr="00C927B9">
        <w:rPr>
          <w:lang w:val="en-AU"/>
        </w:rPr>
        <w:t>Multivariate sensitivity analyses were conducted during the</w:t>
      </w:r>
      <w:r w:rsidR="00D06EEC" w:rsidRPr="00C927B9">
        <w:rPr>
          <w:lang w:val="en-AU"/>
        </w:rPr>
        <w:t xml:space="preserve"> evaluation, incorporating a 10-</w:t>
      </w:r>
      <w:r w:rsidRPr="00C927B9">
        <w:rPr>
          <w:lang w:val="en-AU"/>
        </w:rPr>
        <w:t>year time horizon (given the uncertainty associated with extr</w:t>
      </w:r>
      <w:r w:rsidR="00D06EEC" w:rsidRPr="00C927B9">
        <w:rPr>
          <w:lang w:val="en-AU"/>
        </w:rPr>
        <w:t>apolation of survival over a 20-</w:t>
      </w:r>
      <w:r w:rsidRPr="00C927B9">
        <w:rPr>
          <w:lang w:val="en-AU"/>
        </w:rPr>
        <w:t>year time horizon), assuming 2 vials of azacitidine are required per administration when used in combination with venetoclax, and using parametric functions for overall survival and event-free survival informed by clinical plausibility and goodness of fit statistics.</w:t>
      </w:r>
    </w:p>
    <w:p w:rsidR="00DF4609" w:rsidRPr="00C927B9" w:rsidRDefault="0060344B" w:rsidP="0060344B">
      <w:pPr>
        <w:pStyle w:val="Caption"/>
        <w:rPr>
          <w:lang w:val="en-AU"/>
        </w:rPr>
      </w:pPr>
      <w:bookmarkStart w:id="36" w:name="_Ref68948899"/>
      <w:r w:rsidRPr="00C927B9">
        <w:rPr>
          <w:lang w:val="en-AU"/>
        </w:rPr>
        <w:t xml:space="preserve">Table </w:t>
      </w:r>
      <w:r w:rsidR="00DB3600" w:rsidRPr="00C927B9">
        <w:rPr>
          <w:lang w:val="en-AU"/>
        </w:rPr>
        <w:t>16</w:t>
      </w:r>
      <w:bookmarkEnd w:id="36"/>
      <w:r w:rsidR="00DF4609" w:rsidRPr="00C927B9">
        <w:rPr>
          <w:lang w:val="en-AU"/>
        </w:rPr>
        <w:t>: Results of multivariate sensitivity analyses</w:t>
      </w:r>
    </w:p>
    <w:tbl>
      <w:tblPr>
        <w:tblStyle w:val="TableGrid"/>
        <w:tblW w:w="5106" w:type="pct"/>
        <w:tblLayout w:type="fixed"/>
        <w:tblCellMar>
          <w:left w:w="57" w:type="dxa"/>
          <w:right w:w="57" w:type="dxa"/>
        </w:tblCellMar>
        <w:tblLook w:val="04A0" w:firstRow="1" w:lastRow="0" w:firstColumn="1" w:lastColumn="0" w:noHBand="0" w:noVBand="1"/>
        <w:tblCaption w:val="Table 16: Results of multivariate sensitivity analyses"/>
      </w:tblPr>
      <w:tblGrid>
        <w:gridCol w:w="4106"/>
        <w:gridCol w:w="818"/>
        <w:gridCol w:w="818"/>
        <w:gridCol w:w="819"/>
        <w:gridCol w:w="818"/>
        <w:gridCol w:w="818"/>
        <w:gridCol w:w="1011"/>
      </w:tblGrid>
      <w:tr w:rsidR="00DF4609" w:rsidRPr="00C927B9" w:rsidTr="00FD1B45">
        <w:trPr>
          <w:tblHeader/>
        </w:trPr>
        <w:tc>
          <w:tcPr>
            <w:tcW w:w="4107" w:type="dxa"/>
            <w:vMerge w:val="restart"/>
          </w:tcPr>
          <w:p w:rsidR="00DF4609" w:rsidRPr="00C927B9" w:rsidRDefault="00DF4609" w:rsidP="00574791">
            <w:pPr>
              <w:rPr>
                <w:rFonts w:ascii="Arial Narrow" w:hAnsi="Arial Narrow"/>
                <w:sz w:val="20"/>
                <w:szCs w:val="20"/>
                <w:lang w:val="en-AU"/>
              </w:rPr>
            </w:pPr>
          </w:p>
        </w:tc>
        <w:tc>
          <w:tcPr>
            <w:tcW w:w="2455" w:type="dxa"/>
            <w:gridSpan w:val="3"/>
            <w:vAlign w:val="center"/>
          </w:tcPr>
          <w:p w:rsidR="00DF4609" w:rsidRPr="00C927B9" w:rsidRDefault="00DF4609" w:rsidP="00574791">
            <w:pPr>
              <w:jc w:val="center"/>
              <w:rPr>
                <w:rFonts w:ascii="Arial Narrow" w:hAnsi="Arial Narrow"/>
                <w:b/>
                <w:bCs/>
                <w:sz w:val="20"/>
                <w:szCs w:val="20"/>
                <w:lang w:val="en-AU"/>
              </w:rPr>
            </w:pPr>
            <w:r w:rsidRPr="00C927B9">
              <w:rPr>
                <w:rFonts w:ascii="Arial Narrow" w:hAnsi="Arial Narrow"/>
                <w:b/>
                <w:bCs/>
                <w:sz w:val="20"/>
                <w:szCs w:val="20"/>
                <w:lang w:val="en-AU"/>
              </w:rPr>
              <w:t>VTX+AZA vs AZA</w:t>
            </w:r>
          </w:p>
        </w:tc>
        <w:tc>
          <w:tcPr>
            <w:tcW w:w="2647" w:type="dxa"/>
            <w:gridSpan w:val="3"/>
            <w:vAlign w:val="center"/>
          </w:tcPr>
          <w:p w:rsidR="00DF4609" w:rsidRPr="00C927B9" w:rsidRDefault="00DF4609" w:rsidP="00574791">
            <w:pPr>
              <w:jc w:val="center"/>
              <w:rPr>
                <w:rFonts w:ascii="Arial Narrow" w:hAnsi="Arial Narrow"/>
                <w:b/>
                <w:bCs/>
                <w:sz w:val="20"/>
                <w:szCs w:val="20"/>
                <w:lang w:val="en-AU"/>
              </w:rPr>
            </w:pPr>
            <w:r w:rsidRPr="00C927B9">
              <w:rPr>
                <w:rFonts w:ascii="Arial Narrow" w:hAnsi="Arial Narrow"/>
                <w:b/>
                <w:bCs/>
                <w:sz w:val="20"/>
                <w:szCs w:val="20"/>
                <w:lang w:val="en-AU"/>
              </w:rPr>
              <w:t>VTX+AZA vs LoDAC</w:t>
            </w:r>
          </w:p>
        </w:tc>
      </w:tr>
      <w:tr w:rsidR="00DF4609" w:rsidRPr="00C927B9" w:rsidTr="00FD1B45">
        <w:trPr>
          <w:tblHeader/>
        </w:trPr>
        <w:tc>
          <w:tcPr>
            <w:tcW w:w="4107" w:type="dxa"/>
            <w:vMerge/>
          </w:tcPr>
          <w:p w:rsidR="00DF4609" w:rsidRPr="00C927B9" w:rsidRDefault="00DF4609" w:rsidP="00574791">
            <w:pPr>
              <w:jc w:val="left"/>
              <w:rPr>
                <w:rFonts w:ascii="Arial Narrow" w:hAnsi="Arial Narrow"/>
                <w:sz w:val="20"/>
                <w:szCs w:val="20"/>
                <w:lang w:val="en-AU"/>
              </w:rPr>
            </w:pPr>
          </w:p>
        </w:tc>
        <w:tc>
          <w:tcPr>
            <w:tcW w:w="818" w:type="dxa"/>
            <w:vAlign w:val="center"/>
          </w:tcPr>
          <w:p w:rsidR="00DF4609" w:rsidRPr="00C927B9" w:rsidRDefault="00DF4609" w:rsidP="00574791">
            <w:pPr>
              <w:jc w:val="center"/>
              <w:rPr>
                <w:rFonts w:ascii="Arial Narrow" w:hAnsi="Arial Narrow"/>
                <w:b/>
                <w:bCs/>
                <w:sz w:val="20"/>
                <w:szCs w:val="20"/>
                <w:lang w:val="en-AU"/>
              </w:rPr>
            </w:pPr>
            <w:r w:rsidRPr="00C927B9">
              <w:rPr>
                <w:rFonts w:ascii="Arial Narrow" w:hAnsi="Arial Narrow"/>
                <w:b/>
                <w:bCs/>
                <w:sz w:val="20"/>
                <w:szCs w:val="20"/>
                <w:lang w:val="en-AU"/>
              </w:rPr>
              <w:t>Incr. cost</w:t>
            </w:r>
          </w:p>
        </w:tc>
        <w:tc>
          <w:tcPr>
            <w:tcW w:w="818" w:type="dxa"/>
            <w:vAlign w:val="center"/>
          </w:tcPr>
          <w:p w:rsidR="00DF4609" w:rsidRPr="00C927B9" w:rsidRDefault="00DF4609" w:rsidP="00574791">
            <w:pPr>
              <w:jc w:val="center"/>
              <w:rPr>
                <w:rFonts w:ascii="Arial Narrow" w:hAnsi="Arial Narrow"/>
                <w:b/>
                <w:bCs/>
                <w:sz w:val="20"/>
                <w:szCs w:val="20"/>
                <w:lang w:val="en-AU"/>
              </w:rPr>
            </w:pPr>
            <w:r w:rsidRPr="00C927B9">
              <w:rPr>
                <w:rFonts w:ascii="Arial Narrow" w:hAnsi="Arial Narrow"/>
                <w:b/>
                <w:bCs/>
                <w:sz w:val="20"/>
                <w:szCs w:val="20"/>
                <w:lang w:val="en-AU"/>
              </w:rPr>
              <w:t>Incr. QALYs</w:t>
            </w:r>
          </w:p>
        </w:tc>
        <w:tc>
          <w:tcPr>
            <w:tcW w:w="819" w:type="dxa"/>
            <w:vAlign w:val="center"/>
          </w:tcPr>
          <w:p w:rsidR="00DF4609" w:rsidRPr="00C927B9" w:rsidRDefault="00DF4609" w:rsidP="00574791">
            <w:pPr>
              <w:jc w:val="center"/>
              <w:rPr>
                <w:rFonts w:ascii="Arial Narrow" w:hAnsi="Arial Narrow"/>
                <w:b/>
                <w:bCs/>
                <w:sz w:val="20"/>
                <w:szCs w:val="20"/>
                <w:lang w:val="en-AU"/>
              </w:rPr>
            </w:pPr>
            <w:r w:rsidRPr="00C927B9">
              <w:rPr>
                <w:rFonts w:ascii="Arial Narrow" w:hAnsi="Arial Narrow"/>
                <w:b/>
                <w:bCs/>
                <w:sz w:val="20"/>
                <w:szCs w:val="20"/>
                <w:lang w:val="en-AU"/>
              </w:rPr>
              <w:t>ICER</w:t>
            </w:r>
          </w:p>
        </w:tc>
        <w:tc>
          <w:tcPr>
            <w:tcW w:w="818" w:type="dxa"/>
            <w:vAlign w:val="center"/>
          </w:tcPr>
          <w:p w:rsidR="00DF4609" w:rsidRPr="00C927B9" w:rsidRDefault="00DF4609" w:rsidP="00574791">
            <w:pPr>
              <w:jc w:val="center"/>
              <w:rPr>
                <w:rFonts w:ascii="Arial Narrow" w:hAnsi="Arial Narrow"/>
                <w:b/>
                <w:bCs/>
                <w:sz w:val="20"/>
                <w:szCs w:val="20"/>
                <w:lang w:val="en-AU"/>
              </w:rPr>
            </w:pPr>
            <w:r w:rsidRPr="00C927B9">
              <w:rPr>
                <w:rFonts w:ascii="Arial Narrow" w:hAnsi="Arial Narrow"/>
                <w:b/>
                <w:bCs/>
                <w:sz w:val="20"/>
                <w:szCs w:val="20"/>
                <w:lang w:val="en-AU"/>
              </w:rPr>
              <w:t>Incr. cost</w:t>
            </w:r>
          </w:p>
        </w:tc>
        <w:tc>
          <w:tcPr>
            <w:tcW w:w="818" w:type="dxa"/>
            <w:vAlign w:val="center"/>
          </w:tcPr>
          <w:p w:rsidR="00DF4609" w:rsidRPr="00C927B9" w:rsidRDefault="00DF4609" w:rsidP="00574791">
            <w:pPr>
              <w:jc w:val="center"/>
              <w:rPr>
                <w:rFonts w:ascii="Arial Narrow" w:hAnsi="Arial Narrow"/>
                <w:b/>
                <w:bCs/>
                <w:sz w:val="20"/>
                <w:szCs w:val="20"/>
                <w:lang w:val="en-AU"/>
              </w:rPr>
            </w:pPr>
            <w:r w:rsidRPr="00C927B9">
              <w:rPr>
                <w:rFonts w:ascii="Arial Narrow" w:hAnsi="Arial Narrow"/>
                <w:b/>
                <w:bCs/>
                <w:sz w:val="20"/>
                <w:szCs w:val="20"/>
                <w:lang w:val="en-AU"/>
              </w:rPr>
              <w:t>Incr. QALYs</w:t>
            </w:r>
          </w:p>
        </w:tc>
        <w:tc>
          <w:tcPr>
            <w:tcW w:w="1011" w:type="dxa"/>
            <w:vAlign w:val="center"/>
          </w:tcPr>
          <w:p w:rsidR="00DF4609" w:rsidRPr="00C927B9" w:rsidRDefault="00DF4609" w:rsidP="00574791">
            <w:pPr>
              <w:jc w:val="center"/>
              <w:rPr>
                <w:rFonts w:ascii="Arial Narrow" w:hAnsi="Arial Narrow"/>
                <w:b/>
                <w:bCs/>
                <w:sz w:val="20"/>
                <w:szCs w:val="20"/>
                <w:lang w:val="en-AU"/>
              </w:rPr>
            </w:pPr>
            <w:r w:rsidRPr="00C927B9">
              <w:rPr>
                <w:rFonts w:ascii="Arial Narrow" w:hAnsi="Arial Narrow"/>
                <w:b/>
                <w:bCs/>
                <w:sz w:val="20"/>
                <w:szCs w:val="20"/>
                <w:lang w:val="en-AU"/>
              </w:rPr>
              <w:t>ICER</w:t>
            </w:r>
          </w:p>
        </w:tc>
      </w:tr>
      <w:tr w:rsidR="00DF4609" w:rsidRPr="00C927B9" w:rsidTr="00E27E41">
        <w:tc>
          <w:tcPr>
            <w:tcW w:w="4107" w:type="dxa"/>
          </w:tcPr>
          <w:p w:rsidR="00DF4609" w:rsidRPr="00C927B9" w:rsidRDefault="00DF4609" w:rsidP="00574791">
            <w:pPr>
              <w:jc w:val="left"/>
              <w:rPr>
                <w:rFonts w:ascii="Arial Narrow" w:hAnsi="Arial Narrow"/>
                <w:sz w:val="20"/>
                <w:szCs w:val="20"/>
                <w:lang w:val="en-AU"/>
              </w:rPr>
            </w:pPr>
            <w:r w:rsidRPr="00C927B9">
              <w:rPr>
                <w:rFonts w:ascii="Arial Narrow" w:hAnsi="Arial Narrow"/>
                <w:b/>
                <w:sz w:val="20"/>
                <w:szCs w:val="20"/>
                <w:lang w:val="en-AU"/>
              </w:rPr>
              <w:t>Base case</w:t>
            </w:r>
          </w:p>
        </w:tc>
        <w:tc>
          <w:tcPr>
            <w:tcW w:w="818" w:type="dxa"/>
            <w:vAlign w:val="center"/>
          </w:tcPr>
          <w:p w:rsidR="00DF4609" w:rsidRPr="00E27E41" w:rsidRDefault="00DF4609" w:rsidP="00574791">
            <w:pPr>
              <w:jc w:val="center"/>
              <w:rPr>
                <w:rFonts w:ascii="Arial Narrow" w:hAnsi="Arial Narrow"/>
                <w:sz w:val="20"/>
                <w:szCs w:val="20"/>
                <w:vertAlign w:val="superscript"/>
                <w:lang w:val="en-AU"/>
              </w:rPr>
            </w:pPr>
            <w:r w:rsidRPr="00C927B9">
              <w:rPr>
                <w:rFonts w:ascii="Arial Narrow" w:hAnsi="Arial Narrow"/>
                <w:b/>
                <w:sz w:val="20"/>
                <w:szCs w:val="20"/>
                <w:lang w:val="en-AU"/>
              </w:rPr>
              <w:t>$</w:t>
            </w:r>
            <w:r w:rsidR="004F2A12">
              <w:rPr>
                <w:rFonts w:ascii="Arial Narrow" w:hAnsi="Arial Narrow"/>
                <w:b/>
                <w:noProof/>
                <w:color w:val="000000"/>
                <w:sz w:val="20"/>
                <w:szCs w:val="20"/>
                <w:highlight w:val="black"/>
                <w:lang w:val="en-AU"/>
              </w:rPr>
              <w:t>'''''''''''''''</w:t>
            </w:r>
          </w:p>
        </w:tc>
        <w:tc>
          <w:tcPr>
            <w:tcW w:w="818" w:type="dxa"/>
            <w:vAlign w:val="center"/>
          </w:tcPr>
          <w:p w:rsidR="00DF4609" w:rsidRPr="00C927B9" w:rsidRDefault="00DF4609" w:rsidP="00574791">
            <w:pPr>
              <w:jc w:val="center"/>
              <w:rPr>
                <w:rFonts w:ascii="Arial Narrow" w:hAnsi="Arial Narrow"/>
                <w:sz w:val="20"/>
                <w:szCs w:val="20"/>
                <w:lang w:val="en-AU"/>
              </w:rPr>
            </w:pPr>
            <w:r w:rsidRPr="00C927B9">
              <w:rPr>
                <w:rFonts w:ascii="Arial Narrow" w:hAnsi="Arial Narrow"/>
                <w:b/>
                <w:sz w:val="20"/>
                <w:szCs w:val="20"/>
                <w:lang w:val="en-AU"/>
              </w:rPr>
              <w:t>0.8503</w:t>
            </w:r>
          </w:p>
        </w:tc>
        <w:tc>
          <w:tcPr>
            <w:tcW w:w="819" w:type="dxa"/>
            <w:vAlign w:val="center"/>
          </w:tcPr>
          <w:p w:rsidR="00DF4609" w:rsidRPr="00E27E41" w:rsidRDefault="00DF4609" w:rsidP="00574791">
            <w:pPr>
              <w:jc w:val="center"/>
              <w:rPr>
                <w:rFonts w:ascii="Arial Narrow" w:hAnsi="Arial Narrow"/>
                <w:sz w:val="20"/>
                <w:szCs w:val="20"/>
                <w:vertAlign w:val="superscript"/>
                <w:lang w:val="en-AU"/>
              </w:rPr>
            </w:pPr>
            <w:r w:rsidRPr="00C927B9">
              <w:rPr>
                <w:rFonts w:ascii="Arial Narrow" w:hAnsi="Arial Narrow"/>
                <w:b/>
                <w:sz w:val="20"/>
                <w:szCs w:val="20"/>
                <w:lang w:val="en-AU"/>
              </w:rPr>
              <w:t>$</w:t>
            </w:r>
            <w:r w:rsidR="00DD454E">
              <w:rPr>
                <w:rFonts w:ascii="Arial Narrow" w:hAnsi="Arial Narrow" w:cs="Calibri"/>
                <w:noProof/>
                <w:color w:val="000000"/>
                <w:sz w:val="20"/>
                <w:szCs w:val="20"/>
                <w:highlight w:val="black"/>
                <w:lang w:val="en-AU"/>
              </w:rPr>
              <w:t>'''''''''</w:t>
            </w:r>
            <w:r w:rsidR="004F2A12">
              <w:rPr>
                <w:rFonts w:ascii="Arial Narrow" w:hAnsi="Arial Narrow" w:cs="Calibri"/>
                <w:noProof/>
                <w:color w:val="000000"/>
                <w:sz w:val="20"/>
                <w:szCs w:val="20"/>
                <w:highlight w:val="black"/>
                <w:lang w:val="en-AU"/>
              </w:rPr>
              <w:t>''''''''</w:t>
            </w:r>
            <w:r w:rsidR="00A978C6">
              <w:rPr>
                <w:rFonts w:ascii="Arial Narrow" w:hAnsi="Arial Narrow"/>
                <w:iCs/>
                <w:sz w:val="20"/>
                <w:szCs w:val="20"/>
                <w:vertAlign w:val="superscript"/>
                <w:lang w:val="en-AU"/>
              </w:rPr>
              <w:t>1</w:t>
            </w:r>
          </w:p>
        </w:tc>
        <w:tc>
          <w:tcPr>
            <w:tcW w:w="818" w:type="dxa"/>
            <w:vAlign w:val="center"/>
          </w:tcPr>
          <w:p w:rsidR="00DF4609" w:rsidRPr="00E27E41" w:rsidRDefault="00DF4609" w:rsidP="00574791">
            <w:pPr>
              <w:jc w:val="center"/>
              <w:rPr>
                <w:rFonts w:ascii="Arial Narrow" w:hAnsi="Arial Narrow"/>
                <w:sz w:val="20"/>
                <w:szCs w:val="20"/>
                <w:vertAlign w:val="superscript"/>
                <w:lang w:val="en-AU"/>
              </w:rPr>
            </w:pPr>
            <w:r w:rsidRPr="00C927B9">
              <w:rPr>
                <w:rFonts w:ascii="Arial Narrow" w:hAnsi="Arial Narrow"/>
                <w:b/>
                <w:sz w:val="20"/>
                <w:szCs w:val="20"/>
                <w:lang w:val="en-AU"/>
              </w:rPr>
              <w:t>$</w:t>
            </w:r>
            <w:r w:rsidR="004F2A12">
              <w:rPr>
                <w:rFonts w:ascii="Arial Narrow" w:hAnsi="Arial Narrow" w:cs="Calibri"/>
                <w:noProof/>
                <w:color w:val="000000"/>
                <w:sz w:val="20"/>
                <w:szCs w:val="20"/>
                <w:highlight w:val="black"/>
                <w:lang w:val="en-AU"/>
              </w:rPr>
              <w:t>'''''''''''''''''</w:t>
            </w:r>
          </w:p>
        </w:tc>
        <w:tc>
          <w:tcPr>
            <w:tcW w:w="818" w:type="dxa"/>
            <w:vAlign w:val="center"/>
          </w:tcPr>
          <w:p w:rsidR="00DF4609" w:rsidRPr="00C927B9" w:rsidRDefault="00DF4609" w:rsidP="00574791">
            <w:pPr>
              <w:jc w:val="center"/>
              <w:rPr>
                <w:rFonts w:ascii="Arial Narrow" w:hAnsi="Arial Narrow"/>
                <w:sz w:val="20"/>
                <w:szCs w:val="20"/>
                <w:lang w:val="en-AU"/>
              </w:rPr>
            </w:pPr>
            <w:r w:rsidRPr="00C927B9">
              <w:rPr>
                <w:rFonts w:ascii="Arial Narrow" w:hAnsi="Arial Narrow"/>
                <w:b/>
                <w:sz w:val="20"/>
                <w:szCs w:val="20"/>
                <w:lang w:val="en-AU"/>
              </w:rPr>
              <w:t>0.9417</w:t>
            </w:r>
          </w:p>
        </w:tc>
        <w:tc>
          <w:tcPr>
            <w:tcW w:w="1011" w:type="dxa"/>
            <w:vAlign w:val="center"/>
          </w:tcPr>
          <w:p w:rsidR="00DF4609" w:rsidRPr="00E27E41" w:rsidRDefault="00DF4609" w:rsidP="00574791">
            <w:pPr>
              <w:jc w:val="center"/>
              <w:rPr>
                <w:rFonts w:ascii="Arial Narrow" w:hAnsi="Arial Narrow"/>
                <w:sz w:val="20"/>
                <w:szCs w:val="20"/>
                <w:vertAlign w:val="superscript"/>
                <w:lang w:val="en-AU"/>
              </w:rPr>
            </w:pPr>
            <w:r w:rsidRPr="00C927B9">
              <w:rPr>
                <w:rFonts w:ascii="Arial Narrow" w:hAnsi="Arial Narrow"/>
                <w:b/>
                <w:sz w:val="20"/>
                <w:szCs w:val="20"/>
                <w:lang w:val="en-AU"/>
              </w:rPr>
              <w:t>$</w:t>
            </w:r>
            <w:r w:rsidR="004F2A12">
              <w:rPr>
                <w:rFonts w:ascii="Arial Narrow" w:hAnsi="Arial Narrow" w:cs="Calibri"/>
                <w:noProof/>
                <w:color w:val="000000"/>
                <w:sz w:val="20"/>
                <w:szCs w:val="20"/>
                <w:highlight w:val="black"/>
                <w:lang w:val="en-AU"/>
              </w:rPr>
              <w:t>'''''''''''''''</w:t>
            </w:r>
            <w:r w:rsidR="00A978C6">
              <w:rPr>
                <w:rFonts w:ascii="Arial Narrow" w:hAnsi="Arial Narrow"/>
                <w:iCs/>
                <w:sz w:val="20"/>
                <w:szCs w:val="20"/>
                <w:vertAlign w:val="superscript"/>
                <w:lang w:val="en-AU"/>
              </w:rPr>
              <w:t>1</w:t>
            </w:r>
          </w:p>
        </w:tc>
      </w:tr>
      <w:tr w:rsidR="00DF4609" w:rsidRPr="00C927B9" w:rsidTr="00E27E41">
        <w:tc>
          <w:tcPr>
            <w:tcW w:w="4107" w:type="dxa"/>
          </w:tcPr>
          <w:p w:rsidR="00DF4609" w:rsidRPr="00C927B9" w:rsidRDefault="00DF4609" w:rsidP="00574791">
            <w:pPr>
              <w:rPr>
                <w:rFonts w:ascii="Arial Narrow" w:hAnsi="Arial Narrow"/>
                <w:bCs/>
                <w:sz w:val="20"/>
                <w:szCs w:val="20"/>
                <w:lang w:val="en-AU"/>
              </w:rPr>
            </w:pPr>
            <w:r w:rsidRPr="00C927B9">
              <w:rPr>
                <w:rFonts w:ascii="Arial Narrow" w:hAnsi="Arial Narrow"/>
                <w:sz w:val="20"/>
                <w:szCs w:val="20"/>
                <w:lang w:val="en-AU"/>
              </w:rPr>
              <w:t>Step 1: 10 year time horizon</w:t>
            </w:r>
          </w:p>
        </w:tc>
        <w:tc>
          <w:tcPr>
            <w:tcW w:w="818" w:type="dxa"/>
            <w:vAlign w:val="center"/>
          </w:tcPr>
          <w:p w:rsidR="00DF4609" w:rsidRPr="00E27E41" w:rsidRDefault="00DF4609" w:rsidP="00574791">
            <w:pPr>
              <w:jc w:val="center"/>
              <w:rPr>
                <w:rFonts w:ascii="Arial Narrow" w:hAnsi="Arial Narrow"/>
                <w:bCs/>
                <w:sz w:val="20"/>
                <w:szCs w:val="20"/>
                <w:vertAlign w:val="superscript"/>
                <w:lang w:val="en-AU"/>
              </w:rPr>
            </w:pPr>
            <w:r w:rsidRPr="00C927B9">
              <w:rPr>
                <w:rFonts w:ascii="Arial Narrow" w:hAnsi="Arial Narrow" w:cs="Calibri"/>
                <w:sz w:val="20"/>
                <w:szCs w:val="20"/>
                <w:lang w:val="en-AU"/>
              </w:rPr>
              <w:t>$</w:t>
            </w:r>
            <w:r w:rsidR="004F2A12">
              <w:rPr>
                <w:rFonts w:ascii="Arial Narrow" w:hAnsi="Arial Narrow" w:cs="Calibri"/>
                <w:noProof/>
                <w:color w:val="000000"/>
                <w:sz w:val="20"/>
                <w:szCs w:val="20"/>
                <w:highlight w:val="black"/>
                <w:lang w:val="en-AU"/>
              </w:rPr>
              <w:t>'''''''''''''''</w:t>
            </w:r>
          </w:p>
        </w:tc>
        <w:tc>
          <w:tcPr>
            <w:tcW w:w="818" w:type="dxa"/>
            <w:vAlign w:val="center"/>
          </w:tcPr>
          <w:p w:rsidR="00DF4609" w:rsidRPr="00C927B9" w:rsidRDefault="00DF4609" w:rsidP="00574791">
            <w:pPr>
              <w:jc w:val="center"/>
              <w:rPr>
                <w:rFonts w:ascii="Arial Narrow" w:hAnsi="Arial Narrow"/>
                <w:bCs/>
                <w:sz w:val="20"/>
                <w:szCs w:val="20"/>
                <w:lang w:val="en-AU"/>
              </w:rPr>
            </w:pPr>
            <w:r w:rsidRPr="00C927B9">
              <w:rPr>
                <w:rFonts w:ascii="Arial Narrow" w:hAnsi="Arial Narrow" w:cs="Calibri"/>
                <w:color w:val="000000"/>
                <w:sz w:val="20"/>
                <w:szCs w:val="20"/>
                <w:lang w:val="en-AU"/>
              </w:rPr>
              <w:t>0.7433</w:t>
            </w:r>
          </w:p>
        </w:tc>
        <w:tc>
          <w:tcPr>
            <w:tcW w:w="819" w:type="dxa"/>
            <w:vAlign w:val="center"/>
          </w:tcPr>
          <w:p w:rsidR="00DF4609" w:rsidRPr="00E27E41" w:rsidRDefault="00DF4609" w:rsidP="00574791">
            <w:pPr>
              <w:jc w:val="center"/>
              <w:rPr>
                <w:rFonts w:ascii="Arial Narrow" w:hAnsi="Arial Narrow"/>
                <w:bCs/>
                <w:sz w:val="20"/>
                <w:szCs w:val="20"/>
                <w:vertAlign w:val="superscript"/>
                <w:lang w:val="en-AU"/>
              </w:rPr>
            </w:pPr>
            <w:r w:rsidRPr="00C927B9">
              <w:rPr>
                <w:rFonts w:ascii="Arial Narrow" w:hAnsi="Arial Narrow" w:cs="Calibri"/>
                <w:color w:val="000000"/>
                <w:sz w:val="20"/>
                <w:szCs w:val="20"/>
                <w:lang w:val="en-AU"/>
              </w:rPr>
              <w:t>$</w:t>
            </w:r>
            <w:r w:rsidR="004F2A12">
              <w:rPr>
                <w:rFonts w:ascii="Arial Narrow" w:hAnsi="Arial Narrow" w:cs="Calibri"/>
                <w:noProof/>
                <w:color w:val="000000"/>
                <w:sz w:val="20"/>
                <w:szCs w:val="20"/>
                <w:highlight w:val="black"/>
                <w:lang w:val="en-AU"/>
              </w:rPr>
              <w:t>'''''''''''''''''</w:t>
            </w:r>
            <w:r w:rsidR="00A978C6">
              <w:rPr>
                <w:rFonts w:ascii="Arial Narrow" w:hAnsi="Arial Narrow"/>
                <w:iCs/>
                <w:sz w:val="20"/>
                <w:szCs w:val="20"/>
                <w:vertAlign w:val="superscript"/>
                <w:lang w:val="en-AU"/>
              </w:rPr>
              <w:t>1</w:t>
            </w:r>
          </w:p>
        </w:tc>
        <w:tc>
          <w:tcPr>
            <w:tcW w:w="818" w:type="dxa"/>
          </w:tcPr>
          <w:p w:rsidR="00DF4609" w:rsidRPr="00E27E41" w:rsidRDefault="00DF4609" w:rsidP="00574791">
            <w:pPr>
              <w:jc w:val="center"/>
              <w:rPr>
                <w:rFonts w:ascii="Arial Narrow" w:hAnsi="Arial Narrow"/>
                <w:bCs/>
                <w:sz w:val="20"/>
                <w:szCs w:val="20"/>
                <w:vertAlign w:val="superscript"/>
                <w:lang w:val="en-AU"/>
              </w:rPr>
            </w:pPr>
            <w:r w:rsidRPr="00C927B9">
              <w:rPr>
                <w:rFonts w:ascii="Arial Narrow" w:hAnsi="Arial Narrow"/>
                <w:sz w:val="20"/>
                <w:szCs w:val="20"/>
                <w:lang w:val="en-AU"/>
              </w:rPr>
              <w:t>$</w:t>
            </w:r>
            <w:r w:rsidR="004F2A12">
              <w:rPr>
                <w:rFonts w:ascii="Arial Narrow" w:hAnsi="Arial Narrow" w:cs="Calibri"/>
                <w:noProof/>
                <w:color w:val="000000"/>
                <w:sz w:val="20"/>
                <w:szCs w:val="20"/>
                <w:highlight w:val="black"/>
                <w:lang w:val="en-AU"/>
              </w:rPr>
              <w:t>''''''''''''''''</w:t>
            </w:r>
          </w:p>
        </w:tc>
        <w:tc>
          <w:tcPr>
            <w:tcW w:w="818" w:type="dxa"/>
          </w:tcPr>
          <w:p w:rsidR="00DF4609" w:rsidRPr="00C927B9" w:rsidRDefault="00DF4609" w:rsidP="00574791">
            <w:pPr>
              <w:jc w:val="center"/>
              <w:rPr>
                <w:rFonts w:ascii="Arial Narrow" w:hAnsi="Arial Narrow"/>
                <w:bCs/>
                <w:sz w:val="20"/>
                <w:szCs w:val="20"/>
                <w:lang w:val="en-AU"/>
              </w:rPr>
            </w:pPr>
            <w:r w:rsidRPr="00C927B9">
              <w:rPr>
                <w:rFonts w:ascii="Arial Narrow" w:hAnsi="Arial Narrow"/>
                <w:sz w:val="20"/>
                <w:szCs w:val="20"/>
                <w:lang w:val="en-AU"/>
              </w:rPr>
              <w:t>0.8394</w:t>
            </w:r>
          </w:p>
        </w:tc>
        <w:tc>
          <w:tcPr>
            <w:tcW w:w="1011" w:type="dxa"/>
          </w:tcPr>
          <w:p w:rsidR="00DF4609" w:rsidRPr="00E27E41" w:rsidRDefault="00DF4609" w:rsidP="00574791">
            <w:pPr>
              <w:jc w:val="center"/>
              <w:rPr>
                <w:rFonts w:ascii="Arial Narrow" w:hAnsi="Arial Narrow"/>
                <w:bCs/>
                <w:sz w:val="20"/>
                <w:szCs w:val="20"/>
                <w:vertAlign w:val="superscript"/>
                <w:lang w:val="en-AU"/>
              </w:rPr>
            </w:pPr>
            <w:r w:rsidRPr="00C927B9">
              <w:rPr>
                <w:rFonts w:ascii="Arial Narrow" w:hAnsi="Arial Narrow"/>
                <w:sz w:val="20"/>
                <w:szCs w:val="20"/>
                <w:lang w:val="en-AU"/>
              </w:rPr>
              <w:t>$</w:t>
            </w:r>
            <w:r w:rsidR="004F2A12">
              <w:rPr>
                <w:rFonts w:ascii="Arial Narrow" w:hAnsi="Arial Narrow" w:cs="Calibri"/>
                <w:noProof/>
                <w:color w:val="000000"/>
                <w:sz w:val="20"/>
                <w:szCs w:val="20"/>
                <w:highlight w:val="black"/>
                <w:lang w:val="en-AU"/>
              </w:rPr>
              <w:t>'''''''''''''''</w:t>
            </w:r>
            <w:r w:rsidR="00A978C6">
              <w:rPr>
                <w:rFonts w:ascii="Arial Narrow" w:hAnsi="Arial Narrow"/>
                <w:iCs/>
                <w:sz w:val="20"/>
                <w:szCs w:val="20"/>
                <w:vertAlign w:val="superscript"/>
                <w:lang w:val="en-AU"/>
              </w:rPr>
              <w:t>2</w:t>
            </w:r>
          </w:p>
        </w:tc>
      </w:tr>
      <w:tr w:rsidR="00DF4609" w:rsidRPr="00C927B9" w:rsidTr="00E27E41">
        <w:tc>
          <w:tcPr>
            <w:tcW w:w="4107" w:type="dxa"/>
          </w:tcPr>
          <w:p w:rsidR="00DF4609" w:rsidRPr="00C927B9" w:rsidRDefault="00DF4609" w:rsidP="00574791">
            <w:pPr>
              <w:rPr>
                <w:rFonts w:ascii="Arial Narrow" w:hAnsi="Arial Narrow"/>
                <w:bCs/>
                <w:sz w:val="20"/>
                <w:szCs w:val="20"/>
                <w:lang w:val="en-AU"/>
              </w:rPr>
            </w:pPr>
            <w:r w:rsidRPr="00C927B9">
              <w:rPr>
                <w:rFonts w:ascii="Arial Narrow" w:hAnsi="Arial Narrow"/>
                <w:iCs/>
                <w:sz w:val="20"/>
                <w:szCs w:val="20"/>
                <w:lang w:val="en-AU"/>
              </w:rPr>
              <w:t>Step 2: as for Step 1, with all VTX+AZA patients requiring 2 vials of azacitidine</w:t>
            </w:r>
          </w:p>
        </w:tc>
        <w:tc>
          <w:tcPr>
            <w:tcW w:w="818" w:type="dxa"/>
            <w:vAlign w:val="center"/>
          </w:tcPr>
          <w:p w:rsidR="00DF4609" w:rsidRPr="00E27E41" w:rsidRDefault="00DF4609" w:rsidP="00574791">
            <w:pPr>
              <w:jc w:val="center"/>
              <w:rPr>
                <w:rFonts w:ascii="Arial Narrow" w:hAnsi="Arial Narrow"/>
                <w:bCs/>
                <w:sz w:val="20"/>
                <w:szCs w:val="20"/>
                <w:vertAlign w:val="superscript"/>
                <w:lang w:val="en-AU"/>
              </w:rPr>
            </w:pPr>
            <w:r w:rsidRPr="00C927B9">
              <w:rPr>
                <w:rFonts w:ascii="Arial Narrow" w:hAnsi="Arial Narrow"/>
                <w:iCs/>
                <w:sz w:val="20"/>
                <w:szCs w:val="20"/>
                <w:lang w:val="en-AU"/>
              </w:rPr>
              <w:t>$</w:t>
            </w:r>
            <w:r w:rsidR="004F2A12">
              <w:rPr>
                <w:rFonts w:ascii="Arial Narrow" w:hAnsi="Arial Narrow" w:cs="Calibri"/>
                <w:noProof/>
                <w:color w:val="000000"/>
                <w:sz w:val="20"/>
                <w:szCs w:val="20"/>
                <w:highlight w:val="black"/>
                <w:lang w:val="en-AU"/>
              </w:rPr>
              <w:t>''''''''''''''''</w:t>
            </w:r>
          </w:p>
        </w:tc>
        <w:tc>
          <w:tcPr>
            <w:tcW w:w="818" w:type="dxa"/>
            <w:vAlign w:val="center"/>
          </w:tcPr>
          <w:p w:rsidR="00DF4609" w:rsidRPr="00C927B9" w:rsidRDefault="00DF4609" w:rsidP="00574791">
            <w:pPr>
              <w:jc w:val="center"/>
              <w:rPr>
                <w:rFonts w:ascii="Arial Narrow" w:hAnsi="Arial Narrow"/>
                <w:bCs/>
                <w:sz w:val="20"/>
                <w:szCs w:val="20"/>
                <w:lang w:val="en-AU"/>
              </w:rPr>
            </w:pPr>
            <w:r w:rsidRPr="00C927B9">
              <w:rPr>
                <w:rFonts w:ascii="Arial Narrow" w:hAnsi="Arial Narrow"/>
                <w:iCs/>
                <w:sz w:val="20"/>
                <w:szCs w:val="20"/>
                <w:lang w:val="en-AU"/>
              </w:rPr>
              <w:t>0.7433</w:t>
            </w:r>
          </w:p>
        </w:tc>
        <w:tc>
          <w:tcPr>
            <w:tcW w:w="819" w:type="dxa"/>
            <w:vAlign w:val="center"/>
          </w:tcPr>
          <w:p w:rsidR="00DF4609" w:rsidRPr="00E27E41" w:rsidRDefault="00DF4609" w:rsidP="00574791">
            <w:pPr>
              <w:jc w:val="center"/>
              <w:rPr>
                <w:rFonts w:ascii="Arial Narrow" w:hAnsi="Arial Narrow"/>
                <w:bCs/>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r w:rsidR="00A978C6">
              <w:rPr>
                <w:rFonts w:ascii="Arial Narrow" w:hAnsi="Arial Narrow"/>
                <w:iCs/>
                <w:sz w:val="20"/>
                <w:szCs w:val="20"/>
                <w:vertAlign w:val="superscript"/>
                <w:lang w:val="en-AU"/>
              </w:rPr>
              <w:t>3</w:t>
            </w:r>
          </w:p>
        </w:tc>
        <w:tc>
          <w:tcPr>
            <w:tcW w:w="818" w:type="dxa"/>
            <w:vAlign w:val="center"/>
          </w:tcPr>
          <w:p w:rsidR="00DF4609" w:rsidRPr="00E27E41" w:rsidRDefault="00DF4609" w:rsidP="00574791">
            <w:pPr>
              <w:jc w:val="center"/>
              <w:rPr>
                <w:rFonts w:ascii="Arial Narrow" w:hAnsi="Arial Narrow"/>
                <w:bCs/>
                <w:sz w:val="20"/>
                <w:szCs w:val="20"/>
                <w:vertAlign w:val="superscript"/>
                <w:lang w:val="en-AU"/>
              </w:rPr>
            </w:pPr>
            <w:r w:rsidRPr="00C927B9">
              <w:rPr>
                <w:rFonts w:ascii="Arial Narrow" w:hAnsi="Arial Narrow"/>
                <w:iCs/>
                <w:sz w:val="20"/>
                <w:szCs w:val="20"/>
                <w:lang w:val="en-AU"/>
              </w:rPr>
              <w:t>$</w:t>
            </w:r>
            <w:r w:rsidR="004F2A12">
              <w:rPr>
                <w:rFonts w:ascii="Arial Narrow" w:hAnsi="Arial Narrow" w:cs="Calibri"/>
                <w:noProof/>
                <w:color w:val="000000"/>
                <w:sz w:val="20"/>
                <w:szCs w:val="20"/>
                <w:highlight w:val="black"/>
                <w:lang w:val="en-AU"/>
              </w:rPr>
              <w:t>''''''''''''''''''</w:t>
            </w:r>
          </w:p>
        </w:tc>
        <w:tc>
          <w:tcPr>
            <w:tcW w:w="818" w:type="dxa"/>
            <w:vAlign w:val="center"/>
          </w:tcPr>
          <w:p w:rsidR="00DF4609" w:rsidRPr="00C927B9" w:rsidRDefault="00DF4609" w:rsidP="00574791">
            <w:pPr>
              <w:jc w:val="center"/>
              <w:rPr>
                <w:rFonts w:ascii="Arial Narrow" w:hAnsi="Arial Narrow"/>
                <w:bCs/>
                <w:sz w:val="20"/>
                <w:szCs w:val="20"/>
                <w:lang w:val="en-AU"/>
              </w:rPr>
            </w:pPr>
            <w:r w:rsidRPr="00C927B9">
              <w:rPr>
                <w:rFonts w:ascii="Arial Narrow" w:hAnsi="Arial Narrow"/>
                <w:iCs/>
                <w:sz w:val="20"/>
                <w:szCs w:val="20"/>
                <w:lang w:val="en-AU"/>
              </w:rPr>
              <w:t>0.8394</w:t>
            </w:r>
          </w:p>
        </w:tc>
        <w:tc>
          <w:tcPr>
            <w:tcW w:w="1011" w:type="dxa"/>
            <w:vAlign w:val="center"/>
          </w:tcPr>
          <w:p w:rsidR="00DF4609" w:rsidRPr="00E27E41" w:rsidRDefault="00DF4609" w:rsidP="00574791">
            <w:pPr>
              <w:jc w:val="center"/>
              <w:rPr>
                <w:rFonts w:ascii="Arial Narrow" w:hAnsi="Arial Narrow"/>
                <w:bCs/>
                <w:sz w:val="20"/>
                <w:szCs w:val="20"/>
                <w:vertAlign w:val="superscript"/>
                <w:lang w:val="en-AU"/>
              </w:rPr>
            </w:pPr>
            <w:r w:rsidRPr="00C927B9">
              <w:rPr>
                <w:rFonts w:ascii="Arial Narrow" w:hAnsi="Arial Narrow"/>
                <w:iCs/>
                <w:sz w:val="20"/>
                <w:szCs w:val="20"/>
                <w:lang w:val="en-AU"/>
              </w:rPr>
              <w:t>$</w:t>
            </w:r>
            <w:r w:rsidR="004F2A12">
              <w:rPr>
                <w:rFonts w:ascii="Arial Narrow" w:hAnsi="Arial Narrow" w:cs="Calibri"/>
                <w:noProof/>
                <w:color w:val="000000"/>
                <w:sz w:val="20"/>
                <w:szCs w:val="20"/>
                <w:highlight w:val="black"/>
                <w:lang w:val="en-AU"/>
              </w:rPr>
              <w:t>''''''''''''''''''''</w:t>
            </w:r>
            <w:r w:rsidR="00A978C6">
              <w:rPr>
                <w:rFonts w:ascii="Arial Narrow" w:hAnsi="Arial Narrow"/>
                <w:iCs/>
                <w:sz w:val="20"/>
                <w:szCs w:val="20"/>
                <w:vertAlign w:val="superscript"/>
                <w:lang w:val="en-AU"/>
              </w:rPr>
              <w:t>3</w:t>
            </w:r>
          </w:p>
        </w:tc>
      </w:tr>
      <w:tr w:rsidR="00DF4609" w:rsidRPr="00C927B9" w:rsidTr="00E27E41">
        <w:tc>
          <w:tcPr>
            <w:tcW w:w="4107" w:type="dxa"/>
          </w:tcPr>
          <w:p w:rsidR="00DF4609" w:rsidRPr="00C927B9" w:rsidRDefault="00DF4609" w:rsidP="00574791">
            <w:pPr>
              <w:rPr>
                <w:rFonts w:ascii="Arial Narrow" w:hAnsi="Arial Narrow"/>
                <w:bCs/>
                <w:sz w:val="20"/>
                <w:szCs w:val="20"/>
                <w:lang w:val="en-AU"/>
              </w:rPr>
            </w:pPr>
            <w:r w:rsidRPr="00C927B9">
              <w:rPr>
                <w:rFonts w:ascii="Arial Narrow" w:hAnsi="Arial Narrow"/>
                <w:iCs/>
                <w:sz w:val="20"/>
                <w:szCs w:val="20"/>
                <w:lang w:val="en-AU"/>
              </w:rPr>
              <w:t>Step 3a: as for Step 2, with clinically plausible extrapolation of OS (Weibull for VTX+AZA; exponential for AZA, no adjustment for Australian mortality rate) and EFS (Weibull for VTX+AZA; exponential for AZA)</w:t>
            </w:r>
          </w:p>
        </w:tc>
        <w:tc>
          <w:tcPr>
            <w:tcW w:w="818" w:type="dxa"/>
            <w:vAlign w:val="center"/>
          </w:tcPr>
          <w:p w:rsidR="00DF4609" w:rsidRPr="00E27E41" w:rsidRDefault="00DF4609" w:rsidP="00574791">
            <w:pPr>
              <w:jc w:val="center"/>
              <w:rPr>
                <w:rFonts w:ascii="Arial Narrow" w:hAnsi="Arial Narrow"/>
                <w:bCs/>
                <w:sz w:val="20"/>
                <w:szCs w:val="20"/>
                <w:vertAlign w:val="superscript"/>
                <w:lang w:val="en-AU"/>
              </w:rPr>
            </w:pPr>
            <w:r w:rsidRPr="00C927B9">
              <w:rPr>
                <w:rFonts w:ascii="Arial Narrow" w:hAnsi="Arial Narrow"/>
                <w:iCs/>
                <w:sz w:val="20"/>
                <w:szCs w:val="20"/>
                <w:lang w:val="en-AU"/>
              </w:rPr>
              <w:t>$</w:t>
            </w:r>
            <w:r w:rsidR="004F2A12">
              <w:rPr>
                <w:rFonts w:ascii="Arial Narrow" w:hAnsi="Arial Narrow" w:cs="Calibri"/>
                <w:noProof/>
                <w:color w:val="000000"/>
                <w:sz w:val="20"/>
                <w:szCs w:val="20"/>
                <w:highlight w:val="black"/>
                <w:lang w:val="en-AU"/>
              </w:rPr>
              <w:t>'''''''''''''''''</w:t>
            </w:r>
          </w:p>
        </w:tc>
        <w:tc>
          <w:tcPr>
            <w:tcW w:w="818" w:type="dxa"/>
            <w:vAlign w:val="center"/>
          </w:tcPr>
          <w:p w:rsidR="00DF4609" w:rsidRPr="00A978C6" w:rsidRDefault="00DF4609" w:rsidP="00574791">
            <w:pPr>
              <w:jc w:val="center"/>
              <w:rPr>
                <w:rFonts w:ascii="Arial Narrow" w:hAnsi="Arial Narrow"/>
                <w:bCs/>
                <w:sz w:val="20"/>
                <w:szCs w:val="20"/>
                <w:vertAlign w:val="superscript"/>
                <w:lang w:val="en-AU"/>
              </w:rPr>
            </w:pPr>
            <w:r w:rsidRPr="00C927B9">
              <w:rPr>
                <w:rFonts w:ascii="Arial Narrow" w:hAnsi="Arial Narrow"/>
                <w:iCs/>
                <w:sz w:val="20"/>
                <w:szCs w:val="20"/>
                <w:lang w:val="en-AU"/>
              </w:rPr>
              <w:t>0.6533</w:t>
            </w:r>
          </w:p>
        </w:tc>
        <w:tc>
          <w:tcPr>
            <w:tcW w:w="819" w:type="dxa"/>
            <w:vAlign w:val="center"/>
          </w:tcPr>
          <w:p w:rsidR="00DF4609" w:rsidRPr="00E27E41" w:rsidRDefault="00DF4609" w:rsidP="00574791">
            <w:pPr>
              <w:jc w:val="center"/>
              <w:rPr>
                <w:rFonts w:ascii="Arial Narrow" w:hAnsi="Arial Narrow"/>
                <w:bCs/>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r w:rsidR="00A978C6">
              <w:rPr>
                <w:rFonts w:ascii="Arial Narrow" w:hAnsi="Arial Narrow"/>
                <w:iCs/>
                <w:sz w:val="20"/>
                <w:szCs w:val="20"/>
                <w:vertAlign w:val="superscript"/>
                <w:lang w:val="en-AU"/>
              </w:rPr>
              <w:t>2</w:t>
            </w:r>
          </w:p>
        </w:tc>
        <w:tc>
          <w:tcPr>
            <w:tcW w:w="818" w:type="dxa"/>
            <w:vAlign w:val="center"/>
          </w:tcPr>
          <w:p w:rsidR="00DF4609" w:rsidRPr="00E27E41" w:rsidRDefault="00DF4609" w:rsidP="00574791">
            <w:pPr>
              <w:jc w:val="center"/>
              <w:rPr>
                <w:rFonts w:ascii="Arial Narrow" w:hAnsi="Arial Narrow"/>
                <w:bCs/>
                <w:sz w:val="20"/>
                <w:szCs w:val="20"/>
                <w:vertAlign w:val="superscript"/>
                <w:lang w:val="en-AU"/>
              </w:rPr>
            </w:pPr>
            <w:r w:rsidRPr="00C927B9">
              <w:rPr>
                <w:rFonts w:ascii="Arial Narrow" w:hAnsi="Arial Narrow"/>
                <w:iCs/>
                <w:sz w:val="20"/>
                <w:szCs w:val="20"/>
                <w:lang w:val="en-AU"/>
              </w:rPr>
              <w:t>$</w:t>
            </w:r>
            <w:r w:rsidR="004F2A12">
              <w:rPr>
                <w:rFonts w:ascii="Arial Narrow" w:hAnsi="Arial Narrow" w:cs="Calibri"/>
                <w:noProof/>
                <w:color w:val="000000"/>
                <w:sz w:val="20"/>
                <w:szCs w:val="20"/>
                <w:highlight w:val="black"/>
                <w:lang w:val="en-AU"/>
              </w:rPr>
              <w:t>'''''''''''''''</w:t>
            </w:r>
          </w:p>
        </w:tc>
        <w:tc>
          <w:tcPr>
            <w:tcW w:w="818" w:type="dxa"/>
            <w:vAlign w:val="center"/>
          </w:tcPr>
          <w:p w:rsidR="00DF4609" w:rsidRPr="00C927B9" w:rsidRDefault="00DF4609" w:rsidP="00574791">
            <w:pPr>
              <w:jc w:val="center"/>
              <w:rPr>
                <w:rFonts w:ascii="Arial Narrow" w:hAnsi="Arial Narrow"/>
                <w:bCs/>
                <w:sz w:val="20"/>
                <w:szCs w:val="20"/>
                <w:lang w:val="en-AU"/>
              </w:rPr>
            </w:pPr>
            <w:r w:rsidRPr="00C927B9">
              <w:rPr>
                <w:rFonts w:ascii="Arial Narrow" w:hAnsi="Arial Narrow"/>
                <w:iCs/>
                <w:sz w:val="20"/>
                <w:szCs w:val="20"/>
                <w:lang w:val="en-AU"/>
              </w:rPr>
              <w:t>0.6857</w:t>
            </w:r>
          </w:p>
        </w:tc>
        <w:tc>
          <w:tcPr>
            <w:tcW w:w="1011" w:type="dxa"/>
            <w:vAlign w:val="center"/>
          </w:tcPr>
          <w:p w:rsidR="00DF4609" w:rsidRPr="00E27E41" w:rsidRDefault="00DF4609" w:rsidP="00574791">
            <w:pPr>
              <w:jc w:val="center"/>
              <w:rPr>
                <w:rFonts w:ascii="Arial Narrow" w:hAnsi="Arial Narrow"/>
                <w:bCs/>
                <w:sz w:val="20"/>
                <w:szCs w:val="20"/>
                <w:vertAlign w:val="superscript"/>
                <w:lang w:val="en-AU"/>
              </w:rPr>
            </w:pPr>
            <w:r w:rsidRPr="00C927B9">
              <w:rPr>
                <w:rFonts w:ascii="Arial Narrow" w:hAnsi="Arial Narrow"/>
                <w:iCs/>
                <w:sz w:val="20"/>
                <w:szCs w:val="20"/>
                <w:lang w:val="en-AU"/>
              </w:rPr>
              <w:t>$</w:t>
            </w:r>
            <w:r w:rsidR="004F2A12">
              <w:rPr>
                <w:rFonts w:ascii="Arial Narrow" w:hAnsi="Arial Narrow" w:cs="Calibri"/>
                <w:noProof/>
                <w:color w:val="000000"/>
                <w:sz w:val="20"/>
                <w:szCs w:val="20"/>
                <w:highlight w:val="black"/>
                <w:lang w:val="en-AU"/>
              </w:rPr>
              <w:t>'''''''''''''''''''''</w:t>
            </w:r>
            <w:r w:rsidR="00A978C6">
              <w:rPr>
                <w:rFonts w:ascii="Arial Narrow" w:hAnsi="Arial Narrow"/>
                <w:iCs/>
                <w:sz w:val="20"/>
                <w:szCs w:val="20"/>
                <w:vertAlign w:val="superscript"/>
                <w:lang w:val="en-AU"/>
              </w:rPr>
              <w:t>3</w:t>
            </w:r>
          </w:p>
        </w:tc>
      </w:tr>
      <w:tr w:rsidR="00DF4609" w:rsidRPr="00C927B9" w:rsidTr="00E27E41">
        <w:tc>
          <w:tcPr>
            <w:tcW w:w="4107" w:type="dxa"/>
          </w:tcPr>
          <w:p w:rsidR="00DF4609" w:rsidRPr="00C927B9" w:rsidRDefault="00DF4609" w:rsidP="00574791">
            <w:pPr>
              <w:rPr>
                <w:rFonts w:ascii="Arial Narrow" w:hAnsi="Arial Narrow"/>
                <w:bCs/>
                <w:sz w:val="20"/>
                <w:szCs w:val="20"/>
                <w:lang w:val="en-AU"/>
              </w:rPr>
            </w:pPr>
            <w:r w:rsidRPr="00C927B9">
              <w:rPr>
                <w:rFonts w:ascii="Arial Narrow" w:hAnsi="Arial Narrow"/>
                <w:iCs/>
                <w:sz w:val="20"/>
                <w:szCs w:val="20"/>
                <w:lang w:val="en-AU"/>
              </w:rPr>
              <w:t>Step 3b: as for Step 2, with clinically plausible extrapolation of OS (Weibull for VTX+AZA; exponential for AZA, no adjustment for Australian mortality rate) and EFS (exponential for VTX+AZA; exponential for AZA)</w:t>
            </w:r>
          </w:p>
        </w:tc>
        <w:tc>
          <w:tcPr>
            <w:tcW w:w="818" w:type="dxa"/>
            <w:vAlign w:val="center"/>
          </w:tcPr>
          <w:p w:rsidR="00DF4609" w:rsidRPr="00E27E41" w:rsidRDefault="00DF4609" w:rsidP="00574791">
            <w:pPr>
              <w:jc w:val="center"/>
              <w:rPr>
                <w:rFonts w:ascii="Arial Narrow" w:hAnsi="Arial Narrow"/>
                <w:bCs/>
                <w:sz w:val="20"/>
                <w:szCs w:val="20"/>
                <w:vertAlign w:val="superscript"/>
                <w:lang w:val="en-AU"/>
              </w:rPr>
            </w:pPr>
            <w:r w:rsidRPr="00C927B9">
              <w:rPr>
                <w:rFonts w:ascii="Arial Narrow" w:hAnsi="Arial Narrow"/>
                <w:iCs/>
                <w:sz w:val="20"/>
                <w:szCs w:val="20"/>
                <w:lang w:val="en-AU"/>
              </w:rPr>
              <w:t>$</w:t>
            </w:r>
            <w:r w:rsidR="004F2A12">
              <w:rPr>
                <w:rFonts w:ascii="Arial Narrow" w:hAnsi="Arial Narrow" w:cs="Calibri"/>
                <w:noProof/>
                <w:color w:val="000000"/>
                <w:sz w:val="20"/>
                <w:szCs w:val="20"/>
                <w:highlight w:val="black"/>
                <w:lang w:val="en-AU"/>
              </w:rPr>
              <w:t>''''''''''''''''</w:t>
            </w:r>
          </w:p>
        </w:tc>
        <w:tc>
          <w:tcPr>
            <w:tcW w:w="818" w:type="dxa"/>
            <w:vAlign w:val="center"/>
          </w:tcPr>
          <w:p w:rsidR="00DF4609" w:rsidRPr="00C927B9" w:rsidRDefault="00DF4609" w:rsidP="00574791">
            <w:pPr>
              <w:jc w:val="center"/>
              <w:rPr>
                <w:rFonts w:ascii="Arial Narrow" w:hAnsi="Arial Narrow"/>
                <w:bCs/>
                <w:sz w:val="20"/>
                <w:szCs w:val="20"/>
                <w:lang w:val="en-AU"/>
              </w:rPr>
            </w:pPr>
            <w:r w:rsidRPr="00C927B9">
              <w:rPr>
                <w:rFonts w:ascii="Arial Narrow" w:hAnsi="Arial Narrow"/>
                <w:iCs/>
                <w:sz w:val="20"/>
                <w:szCs w:val="20"/>
                <w:lang w:val="en-AU"/>
              </w:rPr>
              <w:t>0.6431</w:t>
            </w:r>
          </w:p>
        </w:tc>
        <w:tc>
          <w:tcPr>
            <w:tcW w:w="819" w:type="dxa"/>
            <w:vAlign w:val="center"/>
          </w:tcPr>
          <w:p w:rsidR="00DF4609" w:rsidRPr="00E27E41" w:rsidRDefault="00DF4609" w:rsidP="00574791">
            <w:pPr>
              <w:jc w:val="center"/>
              <w:rPr>
                <w:rFonts w:ascii="Arial Narrow" w:hAnsi="Arial Narrow"/>
                <w:bCs/>
                <w:sz w:val="20"/>
                <w:szCs w:val="20"/>
                <w:vertAlign w:val="superscript"/>
                <w:lang w:val="en-AU"/>
              </w:rPr>
            </w:pPr>
            <w:r w:rsidRPr="00C927B9">
              <w:rPr>
                <w:rFonts w:ascii="Arial Narrow" w:hAnsi="Arial Narrow"/>
                <w:iCs/>
                <w:sz w:val="20"/>
                <w:szCs w:val="20"/>
                <w:lang w:val="en-AU"/>
              </w:rPr>
              <w:t>$</w:t>
            </w:r>
            <w:r w:rsidR="004F2A12">
              <w:rPr>
                <w:rFonts w:ascii="Arial Narrow" w:hAnsi="Arial Narrow" w:cs="Calibri"/>
                <w:noProof/>
                <w:color w:val="000000"/>
                <w:sz w:val="20"/>
                <w:szCs w:val="20"/>
                <w:highlight w:val="black"/>
                <w:lang w:val="en-AU"/>
              </w:rPr>
              <w:t>'''''''''''''''''</w:t>
            </w:r>
            <w:r w:rsidR="00A978C6">
              <w:rPr>
                <w:rFonts w:ascii="Arial Narrow" w:hAnsi="Arial Narrow"/>
                <w:iCs/>
                <w:sz w:val="20"/>
                <w:szCs w:val="20"/>
                <w:vertAlign w:val="superscript"/>
                <w:lang w:val="en-AU"/>
              </w:rPr>
              <w:t>2</w:t>
            </w:r>
          </w:p>
        </w:tc>
        <w:tc>
          <w:tcPr>
            <w:tcW w:w="818" w:type="dxa"/>
            <w:vAlign w:val="center"/>
          </w:tcPr>
          <w:p w:rsidR="00DF4609" w:rsidRPr="00E27E41" w:rsidRDefault="00DF4609" w:rsidP="00574791">
            <w:pPr>
              <w:jc w:val="center"/>
              <w:rPr>
                <w:rFonts w:ascii="Arial Narrow" w:hAnsi="Arial Narrow"/>
                <w:bCs/>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p>
        </w:tc>
        <w:tc>
          <w:tcPr>
            <w:tcW w:w="818" w:type="dxa"/>
            <w:vAlign w:val="center"/>
          </w:tcPr>
          <w:p w:rsidR="00DF4609" w:rsidRPr="00C927B9" w:rsidRDefault="00DF4609" w:rsidP="00574791">
            <w:pPr>
              <w:jc w:val="center"/>
              <w:rPr>
                <w:rFonts w:ascii="Arial Narrow" w:hAnsi="Arial Narrow"/>
                <w:bCs/>
                <w:sz w:val="20"/>
                <w:szCs w:val="20"/>
                <w:lang w:val="en-AU"/>
              </w:rPr>
            </w:pPr>
            <w:r w:rsidRPr="00C927B9">
              <w:rPr>
                <w:rFonts w:ascii="Arial Narrow" w:hAnsi="Arial Narrow"/>
                <w:iCs/>
                <w:sz w:val="20"/>
                <w:szCs w:val="20"/>
                <w:lang w:val="en-AU"/>
              </w:rPr>
              <w:t>0.6770</w:t>
            </w:r>
          </w:p>
        </w:tc>
        <w:tc>
          <w:tcPr>
            <w:tcW w:w="1011" w:type="dxa"/>
            <w:vAlign w:val="center"/>
          </w:tcPr>
          <w:p w:rsidR="00DF4609" w:rsidRPr="00E27E41" w:rsidRDefault="00DF4609" w:rsidP="00574791">
            <w:pPr>
              <w:jc w:val="center"/>
              <w:rPr>
                <w:rFonts w:ascii="Arial Narrow" w:hAnsi="Arial Narrow"/>
                <w:bCs/>
                <w:sz w:val="20"/>
                <w:szCs w:val="20"/>
                <w:vertAlign w:val="superscript"/>
                <w:lang w:val="en-AU"/>
              </w:rPr>
            </w:pPr>
            <w:r w:rsidRPr="00C927B9">
              <w:rPr>
                <w:rFonts w:ascii="Arial Narrow" w:hAnsi="Arial Narrow"/>
                <w:iCs/>
                <w:sz w:val="20"/>
                <w:szCs w:val="20"/>
                <w:lang w:val="en-AU"/>
              </w:rPr>
              <w:t>$</w:t>
            </w:r>
            <w:r w:rsidR="004F2A12">
              <w:rPr>
                <w:rFonts w:ascii="Arial Narrow" w:hAnsi="Arial Narrow"/>
                <w:iCs/>
                <w:noProof/>
                <w:color w:val="000000"/>
                <w:sz w:val="20"/>
                <w:szCs w:val="20"/>
                <w:highlight w:val="black"/>
                <w:lang w:val="en-AU"/>
              </w:rPr>
              <w:t>''''''''''''''''''''</w:t>
            </w:r>
            <w:r w:rsidR="00A978C6">
              <w:rPr>
                <w:rFonts w:ascii="Arial Narrow" w:hAnsi="Arial Narrow"/>
                <w:iCs/>
                <w:sz w:val="20"/>
                <w:szCs w:val="20"/>
                <w:vertAlign w:val="superscript"/>
                <w:lang w:val="en-AU"/>
              </w:rPr>
              <w:t>3</w:t>
            </w:r>
          </w:p>
        </w:tc>
      </w:tr>
    </w:tbl>
    <w:p w:rsidR="00DF4609" w:rsidRPr="00C927B9" w:rsidRDefault="00DF4609" w:rsidP="00DF4609">
      <w:pPr>
        <w:pStyle w:val="TableFigureFooter"/>
        <w:rPr>
          <w:rFonts w:eastAsia="Calibri"/>
          <w:szCs w:val="20"/>
          <w:lang w:val="en-AU"/>
        </w:rPr>
      </w:pPr>
      <w:r w:rsidRPr="00C927B9">
        <w:rPr>
          <w:rFonts w:eastAsia="Calibri"/>
          <w:szCs w:val="20"/>
          <w:lang w:val="en-AU"/>
        </w:rPr>
        <w:t>Source: Conducted during the evaluation using VTX+AZA AML Economic Evaluation spreadsheet provided with the submission</w:t>
      </w:r>
    </w:p>
    <w:p w:rsidR="00DF4609" w:rsidRDefault="00DF4609" w:rsidP="00DF4609">
      <w:pPr>
        <w:pStyle w:val="TableFigureFooter"/>
        <w:rPr>
          <w:rFonts w:eastAsia="Calibri"/>
          <w:szCs w:val="20"/>
          <w:lang w:val="en-AU"/>
        </w:rPr>
      </w:pPr>
      <w:r w:rsidRPr="00C927B9">
        <w:rPr>
          <w:rFonts w:eastAsia="Calibri"/>
          <w:szCs w:val="20"/>
          <w:lang w:val="en-AU"/>
        </w:rPr>
        <w:t>Abbreviations: AZA, azacitidine; CR, complete remission; ICER, incremental cost-effectiveness ratio; LoDAC, low-dose cytarabine QALY, quality adjusted life year; VTX, venetoclax</w:t>
      </w:r>
    </w:p>
    <w:p w:rsidR="00E27E41" w:rsidRPr="009868C4" w:rsidRDefault="00E27E41" w:rsidP="00E27E41">
      <w:pPr>
        <w:pStyle w:val="TableFigureFooter"/>
        <w:spacing w:after="0"/>
        <w:contextualSpacing w:val="0"/>
      </w:pPr>
      <w:r w:rsidRPr="009868C4">
        <w:rPr>
          <w:i/>
        </w:rPr>
        <w:t>The redacted values correspond to the following ranges</w:t>
      </w:r>
      <w:r>
        <w:rPr>
          <w:i/>
        </w:rPr>
        <w:t xml:space="preserve">: </w:t>
      </w:r>
    </w:p>
    <w:p w:rsidR="00A978C6" w:rsidRPr="00A978C6" w:rsidRDefault="00A978C6" w:rsidP="00A978C6">
      <w:pPr>
        <w:pStyle w:val="TableFigureFooter"/>
        <w:rPr>
          <w:rFonts w:eastAsia="Calibri"/>
          <w:i/>
          <w:szCs w:val="20"/>
          <w:lang w:val="en-AU"/>
        </w:rPr>
      </w:pPr>
      <w:r>
        <w:rPr>
          <w:rFonts w:eastAsia="Calibri"/>
          <w:i/>
          <w:szCs w:val="20"/>
          <w:vertAlign w:val="superscript"/>
          <w:lang w:val="en-AU"/>
        </w:rPr>
        <w:t xml:space="preserve">1 </w:t>
      </w:r>
      <w:r w:rsidRPr="00A978C6">
        <w:rPr>
          <w:rFonts w:eastAsia="Calibri"/>
          <w:i/>
          <w:szCs w:val="20"/>
          <w:lang w:val="en-AU"/>
        </w:rPr>
        <w:t xml:space="preserve">$55,000 to &lt; $75,000 </w:t>
      </w:r>
    </w:p>
    <w:p w:rsidR="00A978C6" w:rsidRPr="00A978C6" w:rsidRDefault="00A978C6" w:rsidP="00A978C6">
      <w:pPr>
        <w:pStyle w:val="TableFigureFooter"/>
        <w:rPr>
          <w:rFonts w:eastAsia="Calibri"/>
          <w:i/>
          <w:szCs w:val="20"/>
          <w:lang w:val="en-AU"/>
        </w:rPr>
      </w:pPr>
      <w:r>
        <w:rPr>
          <w:rFonts w:eastAsia="Calibri"/>
          <w:i/>
          <w:szCs w:val="20"/>
          <w:vertAlign w:val="superscript"/>
          <w:lang w:val="en-AU"/>
        </w:rPr>
        <w:t xml:space="preserve">2 </w:t>
      </w:r>
      <w:r w:rsidRPr="00A978C6">
        <w:rPr>
          <w:rFonts w:eastAsia="Calibri"/>
          <w:i/>
          <w:szCs w:val="20"/>
          <w:lang w:val="en-AU"/>
        </w:rPr>
        <w:t>$75,000 to &lt; $95,000</w:t>
      </w:r>
    </w:p>
    <w:p w:rsidR="00E27E41" w:rsidRPr="00E27E41" w:rsidRDefault="00A978C6" w:rsidP="00A978C6">
      <w:pPr>
        <w:pStyle w:val="TableFigureFooter"/>
        <w:rPr>
          <w:rFonts w:eastAsia="Calibri"/>
          <w:i/>
          <w:szCs w:val="20"/>
          <w:lang w:val="en-AU"/>
        </w:rPr>
      </w:pPr>
      <w:r>
        <w:rPr>
          <w:rFonts w:eastAsia="Calibri"/>
          <w:i/>
          <w:szCs w:val="20"/>
          <w:vertAlign w:val="superscript"/>
          <w:lang w:val="en-AU"/>
        </w:rPr>
        <w:t xml:space="preserve">3 </w:t>
      </w:r>
      <w:r w:rsidRPr="00A978C6">
        <w:rPr>
          <w:rFonts w:eastAsia="Calibri"/>
          <w:i/>
          <w:szCs w:val="20"/>
          <w:lang w:val="en-AU"/>
        </w:rPr>
        <w:t>$95,000 to &lt; $115,000</w:t>
      </w:r>
    </w:p>
    <w:p w:rsidR="00A86E8B" w:rsidRPr="00C927B9" w:rsidRDefault="00C9431E" w:rsidP="00E27E41">
      <w:pPr>
        <w:pStyle w:val="ExecSumBodyText"/>
        <w:rPr>
          <w:lang w:val="en-AU"/>
        </w:rPr>
      </w:pPr>
      <w:r w:rsidRPr="00C927B9">
        <w:rPr>
          <w:lang w:val="en-AU"/>
        </w:rPr>
        <w:t>Based on the multivariate sensitivity analyses</w:t>
      </w:r>
      <w:r w:rsidR="00DC1AAB" w:rsidRPr="00C927B9">
        <w:rPr>
          <w:lang w:val="en-AU"/>
        </w:rPr>
        <w:t>,</w:t>
      </w:r>
      <w:r w:rsidRPr="00C927B9">
        <w:rPr>
          <w:lang w:val="en-AU"/>
        </w:rPr>
        <w:t xml:space="preserve"> the incremental cost per QALY gained ranged </w:t>
      </w:r>
      <w:r w:rsidR="002E70A1" w:rsidRPr="00C927B9">
        <w:rPr>
          <w:lang w:val="en-AU"/>
        </w:rPr>
        <w:t xml:space="preserve">from </w:t>
      </w:r>
      <w:r w:rsidR="00E27E41" w:rsidRPr="00E27E41">
        <w:rPr>
          <w:lang w:val="en-AU"/>
        </w:rPr>
        <w:t>$75,000 to &lt; $95,000</w:t>
      </w:r>
      <w:r w:rsidR="00E27E41">
        <w:rPr>
          <w:lang w:val="en-AU"/>
        </w:rPr>
        <w:t xml:space="preserve"> </w:t>
      </w:r>
      <w:r w:rsidR="00712D4D" w:rsidRPr="00C927B9">
        <w:rPr>
          <w:lang w:val="en-AU"/>
        </w:rPr>
        <w:t xml:space="preserve">for the comparison of venetoclax with azacitidine versus azacitidine, and </w:t>
      </w:r>
      <w:r w:rsidRPr="00C927B9">
        <w:rPr>
          <w:lang w:val="en-AU"/>
        </w:rPr>
        <w:t xml:space="preserve">from </w:t>
      </w:r>
      <w:r w:rsidR="00E27E41" w:rsidRPr="00E27E41">
        <w:rPr>
          <w:lang w:val="en-AU"/>
        </w:rPr>
        <w:t xml:space="preserve">$95,000 to &lt; $115,000 </w:t>
      </w:r>
      <w:r w:rsidRPr="00C927B9">
        <w:rPr>
          <w:lang w:val="en-AU"/>
        </w:rPr>
        <w:t xml:space="preserve">for the comparison of venetoclax with azacitidine versus </w:t>
      </w:r>
      <w:r w:rsidR="00A874BA" w:rsidRPr="00C927B9">
        <w:rPr>
          <w:lang w:val="en-AU"/>
        </w:rPr>
        <w:t>LoDAC</w:t>
      </w:r>
      <w:r w:rsidRPr="00C927B9">
        <w:rPr>
          <w:lang w:val="en-AU"/>
        </w:rPr>
        <w:t>, for clinically plausible estimates of survival over a 1</w:t>
      </w:r>
      <w:r w:rsidR="002554E9" w:rsidRPr="00C927B9">
        <w:rPr>
          <w:lang w:val="en-AU"/>
        </w:rPr>
        <w:t>0-</w:t>
      </w:r>
      <w:r w:rsidRPr="00C927B9">
        <w:rPr>
          <w:lang w:val="en-AU"/>
        </w:rPr>
        <w:t>year time horizon adjusted for azacitidine vial usage.</w:t>
      </w:r>
      <w:r w:rsidR="00752138" w:rsidRPr="00C927B9">
        <w:rPr>
          <w:lang w:val="en-AU"/>
        </w:rPr>
        <w:t xml:space="preserve"> The ESC considered that these results were more reliable estimates of cost-effectiveness, although it noted that they did not address the issues regarding the exclusion of specific cost items, selection and </w:t>
      </w:r>
      <w:r w:rsidR="00752138" w:rsidRPr="00AF38B8">
        <w:rPr>
          <w:lang w:val="en-AU"/>
        </w:rPr>
        <w:t xml:space="preserve">costing of adverse events, or the application of utility benefits not observed in trial data (see paragraphs </w:t>
      </w:r>
      <w:r w:rsidR="00AF38B8" w:rsidRPr="00AF38B8">
        <w:rPr>
          <w:lang w:val="en-AU"/>
        </w:rPr>
        <w:t>6.59</w:t>
      </w:r>
      <w:r w:rsidR="00752138" w:rsidRPr="00AF38B8">
        <w:rPr>
          <w:lang w:val="en-AU"/>
        </w:rPr>
        <w:t xml:space="preserve"> to </w:t>
      </w:r>
      <w:r w:rsidR="00AF38B8" w:rsidRPr="00AF38B8">
        <w:rPr>
          <w:lang w:val="en-AU"/>
        </w:rPr>
        <w:t>6.64</w:t>
      </w:r>
      <w:r w:rsidR="00752138" w:rsidRPr="00AF38B8">
        <w:rPr>
          <w:lang w:val="en-AU"/>
        </w:rPr>
        <w:t>).</w:t>
      </w:r>
      <w:r w:rsidR="00752138" w:rsidRPr="00C927B9">
        <w:rPr>
          <w:lang w:val="en-AU"/>
        </w:rPr>
        <w:t xml:space="preserve"> Moreover, the ICER for the comparison versus LoDAC was informed by an ITC, which limited its reliability</w:t>
      </w:r>
      <w:r w:rsidR="004A7357" w:rsidRPr="00C927B9">
        <w:rPr>
          <w:lang w:val="en-AU"/>
        </w:rPr>
        <w:t xml:space="preserve">. </w:t>
      </w:r>
    </w:p>
    <w:p w:rsidR="00341FA9" w:rsidRPr="00C927B9" w:rsidRDefault="00EB6728" w:rsidP="00E27E41">
      <w:pPr>
        <w:pStyle w:val="ExecSumBodyText"/>
        <w:rPr>
          <w:lang w:val="en-AU"/>
        </w:rPr>
      </w:pPr>
      <w:r w:rsidRPr="00C927B9">
        <w:rPr>
          <w:lang w:val="en-AU"/>
        </w:rPr>
        <w:lastRenderedPageBreak/>
        <w:t xml:space="preserve">The pre-PBAC response </w:t>
      </w:r>
      <w:r w:rsidR="005664B5" w:rsidRPr="00C927B9">
        <w:rPr>
          <w:lang w:val="en-AU"/>
        </w:rPr>
        <w:t xml:space="preserve">presented additional analyses with extrapolations as per Step 3b in Table 16, </w:t>
      </w:r>
      <w:r w:rsidR="004211F5" w:rsidRPr="00C927B9">
        <w:rPr>
          <w:lang w:val="en-AU"/>
        </w:rPr>
        <w:t xml:space="preserve">but </w:t>
      </w:r>
      <w:r w:rsidR="005664B5" w:rsidRPr="00C927B9">
        <w:rPr>
          <w:lang w:val="en-AU"/>
        </w:rPr>
        <w:t xml:space="preserve">assuming an average of 1.9 azacitidine vials per infusion, and a 15-year time horizon, </w:t>
      </w:r>
      <w:r w:rsidR="00A80662" w:rsidRPr="00C927B9">
        <w:rPr>
          <w:lang w:val="en-AU"/>
        </w:rPr>
        <w:t>which resulted</w:t>
      </w:r>
      <w:r w:rsidR="005664B5" w:rsidRPr="00C927B9">
        <w:rPr>
          <w:lang w:val="en-AU"/>
        </w:rPr>
        <w:t xml:space="preserve"> in a weighted ICER of </w:t>
      </w:r>
      <w:r w:rsidR="00E27E41" w:rsidRPr="00E27E41">
        <w:rPr>
          <w:lang w:val="en-AU"/>
        </w:rPr>
        <w:t>$75,000 to &lt; $95,000</w:t>
      </w:r>
      <w:r w:rsidR="00E27E41">
        <w:rPr>
          <w:lang w:val="en-AU"/>
        </w:rPr>
        <w:t xml:space="preserve"> </w:t>
      </w:r>
      <w:r w:rsidR="005664B5" w:rsidRPr="00C927B9">
        <w:rPr>
          <w:lang w:val="en-AU"/>
        </w:rPr>
        <w:t xml:space="preserve">per QALY gained (full results shown in Table 17 below). It stated that in this scenario, azacitidine accounted for </w:t>
      </w:r>
      <w:r w:rsidR="004F2A12">
        <w:rPr>
          <w:noProof/>
          <w:color w:val="000000"/>
          <w:highlight w:val="black"/>
          <w:lang w:val="en-AU"/>
        </w:rPr>
        <w:t>'''''</w:t>
      </w:r>
      <w:r w:rsidR="005664B5" w:rsidRPr="00C927B9">
        <w:rPr>
          <w:lang w:val="en-AU"/>
        </w:rPr>
        <w:t xml:space="preserve">% of the overall incremental cost in the direct comparison versus azacitidine monotherapy </w:t>
      </w:r>
      <w:r w:rsidR="005664B5" w:rsidRPr="00705C24">
        <w:rPr>
          <w:lang w:val="en-AU"/>
        </w:rPr>
        <w:t xml:space="preserve">and </w:t>
      </w:r>
      <w:r w:rsidR="004F2A12">
        <w:rPr>
          <w:noProof/>
          <w:color w:val="000000"/>
          <w:highlight w:val="black"/>
          <w:lang w:val="en-AU"/>
        </w:rPr>
        <w:t>'''''</w:t>
      </w:r>
      <w:r w:rsidR="005664B5" w:rsidRPr="00705C24">
        <w:rPr>
          <w:lang w:val="en-AU"/>
        </w:rPr>
        <w:t>%</w:t>
      </w:r>
      <w:r w:rsidR="005664B5" w:rsidRPr="00C927B9">
        <w:rPr>
          <w:lang w:val="en-AU"/>
        </w:rPr>
        <w:t xml:space="preserve"> in the indirect comparison versus LoDAC. It also argued that since azacitidine is </w:t>
      </w:r>
      <w:r w:rsidR="00A95E05" w:rsidRPr="00C927B9">
        <w:rPr>
          <w:lang w:val="en-AU"/>
        </w:rPr>
        <w:t xml:space="preserve">in </w:t>
      </w:r>
      <w:r w:rsidR="005664B5" w:rsidRPr="00C927B9">
        <w:rPr>
          <w:lang w:val="en-AU"/>
        </w:rPr>
        <w:t>Formulary 2, and subject to price disclosure, the cost-effectiveness of venetoclax with azacitidine in future years would improve (</w:t>
      </w:r>
      <w:r w:rsidR="00A80662" w:rsidRPr="00C927B9">
        <w:rPr>
          <w:lang w:val="en-AU"/>
        </w:rPr>
        <w:t xml:space="preserve">that is, per </w:t>
      </w:r>
      <w:r w:rsidR="005664B5" w:rsidRPr="00C927B9">
        <w:rPr>
          <w:lang w:val="en-AU"/>
        </w:rPr>
        <w:t>the scenarios with a</w:t>
      </w:r>
      <w:r w:rsidR="00A80662" w:rsidRPr="00C927B9">
        <w:rPr>
          <w:lang w:val="en-AU"/>
        </w:rPr>
        <w:t>n assumed</w:t>
      </w:r>
      <w:r w:rsidR="005664B5" w:rsidRPr="00C927B9">
        <w:rPr>
          <w:lang w:val="en-AU"/>
        </w:rPr>
        <w:t xml:space="preserve"> 15% price reduction for azacitidine in the table below).</w:t>
      </w:r>
    </w:p>
    <w:p w:rsidR="00454533" w:rsidRPr="00C927B9" w:rsidRDefault="00454533" w:rsidP="005B3377">
      <w:pPr>
        <w:pStyle w:val="ExecSumBodyText"/>
        <w:rPr>
          <w:lang w:val="en-AU"/>
        </w:rPr>
      </w:pPr>
      <w:r w:rsidRPr="00C927B9">
        <w:rPr>
          <w:lang w:val="en-AU"/>
        </w:rPr>
        <w:t xml:space="preserve">The </w:t>
      </w:r>
      <w:r w:rsidR="00A01757" w:rsidRPr="00C927B9">
        <w:rPr>
          <w:lang w:val="en-AU"/>
        </w:rPr>
        <w:t xml:space="preserve">PBAC noted that using extrapolations as per Step 3a in Table 16, assuming an average of 1.9 azacitidine vials per infusion, and a 10-year time horizon, resulted in a </w:t>
      </w:r>
      <w:r w:rsidRPr="00C927B9">
        <w:rPr>
          <w:lang w:val="en-AU"/>
        </w:rPr>
        <w:t xml:space="preserve">weighted ICER of </w:t>
      </w:r>
      <w:r w:rsidR="005B3377" w:rsidRPr="005B3377">
        <w:rPr>
          <w:lang w:val="en-AU"/>
        </w:rPr>
        <w:t xml:space="preserve">$95,000 to &lt; $115,000 </w:t>
      </w:r>
      <w:r w:rsidRPr="00C927B9">
        <w:rPr>
          <w:lang w:val="en-AU"/>
        </w:rPr>
        <w:t>per QALY gained (</w:t>
      </w:r>
      <w:r w:rsidR="00A91808" w:rsidRPr="00C927B9">
        <w:rPr>
          <w:lang w:val="en-AU"/>
        </w:rPr>
        <w:t>ICER vs </w:t>
      </w:r>
      <w:r w:rsidRPr="00C927B9">
        <w:rPr>
          <w:lang w:val="en-AU"/>
        </w:rPr>
        <w:t xml:space="preserve">AZA </w:t>
      </w:r>
      <w:r w:rsidR="005B3377" w:rsidRPr="00E27E41">
        <w:rPr>
          <w:lang w:val="en-AU"/>
        </w:rPr>
        <w:t>$75,000 to &lt; $95,000</w:t>
      </w:r>
      <w:r w:rsidR="00A01757" w:rsidRPr="00C927B9">
        <w:rPr>
          <w:lang w:val="en-AU"/>
        </w:rPr>
        <w:t xml:space="preserve">; ICER vs LoDAC </w:t>
      </w:r>
      <w:r w:rsidR="005B3377">
        <w:rPr>
          <w:lang w:val="en-AU"/>
        </w:rPr>
        <w:t>$95,000 to &lt; $115,000</w:t>
      </w:r>
      <w:r w:rsidR="00A91808" w:rsidRPr="00C927B9">
        <w:rPr>
          <w:lang w:val="en-AU"/>
        </w:rPr>
        <w:t>; weighting of 55.6% azacitidine/44.4% LoDAC</w:t>
      </w:r>
      <w:r w:rsidRPr="00C927B9">
        <w:rPr>
          <w:lang w:val="en-AU"/>
        </w:rPr>
        <w:t>).</w:t>
      </w:r>
    </w:p>
    <w:p w:rsidR="00DD454E" w:rsidRDefault="00DD454E">
      <w:pPr>
        <w:jc w:val="left"/>
        <w:rPr>
          <w:rFonts w:ascii="Arial Narrow" w:hAnsi="Arial Narrow"/>
          <w:b/>
          <w:snapToGrid w:val="0"/>
          <w:sz w:val="20"/>
          <w:szCs w:val="20"/>
          <w:lang w:val="en-AU" w:eastAsia="en-US"/>
        </w:rPr>
      </w:pPr>
      <w:bookmarkStart w:id="37" w:name="_Ref68952160"/>
      <w:bookmarkStart w:id="38" w:name="_Ref68952156"/>
      <w:r>
        <w:rPr>
          <w:lang w:val="en-AU"/>
        </w:rPr>
        <w:br w:type="page"/>
      </w:r>
    </w:p>
    <w:p w:rsidR="00CA6EC8" w:rsidRPr="00C927B9" w:rsidRDefault="00CA6EC8" w:rsidP="00CA6EC8">
      <w:pPr>
        <w:pStyle w:val="COMtbl-HEADLeftAligned"/>
        <w:rPr>
          <w:lang w:val="en-AU"/>
        </w:rPr>
      </w:pPr>
      <w:r w:rsidRPr="00C927B9">
        <w:rPr>
          <w:lang w:val="en-AU"/>
        </w:rPr>
        <w:lastRenderedPageBreak/>
        <w:t xml:space="preserve">Table </w:t>
      </w:r>
      <w:r w:rsidR="00DB3600" w:rsidRPr="00C927B9">
        <w:rPr>
          <w:lang w:val="en-AU"/>
        </w:rPr>
        <w:t>17</w:t>
      </w:r>
      <w:bookmarkEnd w:id="37"/>
      <w:r w:rsidRPr="00C927B9">
        <w:rPr>
          <w:lang w:val="en-AU"/>
        </w:rPr>
        <w:t>: Revised ICER and sensitivity analyses</w:t>
      </w:r>
      <w:bookmarkEnd w:id="38"/>
    </w:p>
    <w:tbl>
      <w:tblPr>
        <w:tblStyle w:val="TableGrid"/>
        <w:tblW w:w="5000" w:type="pct"/>
        <w:tblLayout w:type="fixed"/>
        <w:tblLook w:val="04A0" w:firstRow="1" w:lastRow="0" w:firstColumn="1" w:lastColumn="0" w:noHBand="0" w:noVBand="1"/>
        <w:tblCaption w:val="Table 17: Revised ICER and sensitivity analyses"/>
      </w:tblPr>
      <w:tblGrid>
        <w:gridCol w:w="2763"/>
        <w:gridCol w:w="1043"/>
        <w:gridCol w:w="1042"/>
        <w:gridCol w:w="1042"/>
        <w:gridCol w:w="1042"/>
        <w:gridCol w:w="1042"/>
        <w:gridCol w:w="1043"/>
      </w:tblGrid>
      <w:tr w:rsidR="00CA6EC8" w:rsidRPr="00C927B9" w:rsidTr="00FD1B45">
        <w:trPr>
          <w:tblHeader/>
        </w:trPr>
        <w:tc>
          <w:tcPr>
            <w:tcW w:w="3256" w:type="dxa"/>
            <w:vMerge w:val="restart"/>
          </w:tcPr>
          <w:p w:rsidR="00CA6EC8" w:rsidRPr="00C927B9" w:rsidRDefault="00CA6EC8" w:rsidP="00CA6EC8">
            <w:pPr>
              <w:pStyle w:val="COMtbl-textLeftAligned"/>
              <w:rPr>
                <w:lang w:val="en-AU"/>
              </w:rPr>
            </w:pPr>
          </w:p>
        </w:tc>
        <w:tc>
          <w:tcPr>
            <w:tcW w:w="2400" w:type="dxa"/>
            <w:gridSpan w:val="2"/>
          </w:tcPr>
          <w:p w:rsidR="00CA6EC8" w:rsidRPr="00C927B9" w:rsidRDefault="00CA6EC8" w:rsidP="00CA6EC8">
            <w:pPr>
              <w:pStyle w:val="COMtbl-textLeftAligned"/>
              <w:jc w:val="center"/>
              <w:rPr>
                <w:b/>
                <w:lang w:val="en-AU"/>
              </w:rPr>
            </w:pPr>
            <w:r w:rsidRPr="00C927B9">
              <w:rPr>
                <w:b/>
                <w:lang w:val="en-AU"/>
              </w:rPr>
              <w:t>VTX+AZA vs AZA</w:t>
            </w:r>
          </w:p>
        </w:tc>
        <w:tc>
          <w:tcPr>
            <w:tcW w:w="2400" w:type="dxa"/>
            <w:gridSpan w:val="2"/>
          </w:tcPr>
          <w:p w:rsidR="00CA6EC8" w:rsidRPr="00C927B9" w:rsidRDefault="00CA6EC8" w:rsidP="00CA6EC8">
            <w:pPr>
              <w:pStyle w:val="COMtbl-textLeftAligned"/>
              <w:jc w:val="center"/>
              <w:rPr>
                <w:b/>
                <w:lang w:val="en-AU"/>
              </w:rPr>
            </w:pPr>
            <w:r w:rsidRPr="00C927B9">
              <w:rPr>
                <w:b/>
                <w:lang w:val="en-AU"/>
              </w:rPr>
              <w:t>VTX+AZA vs LoDAC</w:t>
            </w:r>
          </w:p>
        </w:tc>
        <w:tc>
          <w:tcPr>
            <w:tcW w:w="2401" w:type="dxa"/>
            <w:gridSpan w:val="2"/>
          </w:tcPr>
          <w:p w:rsidR="00CA6EC8" w:rsidRPr="00C927B9" w:rsidRDefault="00CA6EC8" w:rsidP="00CA6EC8">
            <w:pPr>
              <w:pStyle w:val="COMtbl-textLeftAligned"/>
              <w:jc w:val="center"/>
              <w:rPr>
                <w:b/>
                <w:lang w:val="en-AU"/>
              </w:rPr>
            </w:pPr>
            <w:r w:rsidRPr="00C927B9">
              <w:rPr>
                <w:b/>
                <w:lang w:val="en-AU"/>
              </w:rPr>
              <w:t>Weighted ICER</w:t>
            </w:r>
          </w:p>
        </w:tc>
      </w:tr>
      <w:tr w:rsidR="00CA6EC8" w:rsidRPr="00C927B9" w:rsidTr="00FD1B45">
        <w:trPr>
          <w:tblHeader/>
        </w:trPr>
        <w:tc>
          <w:tcPr>
            <w:tcW w:w="3256" w:type="dxa"/>
            <w:vMerge/>
          </w:tcPr>
          <w:p w:rsidR="00CA6EC8" w:rsidRPr="00C927B9" w:rsidRDefault="00CA6EC8" w:rsidP="00CA6EC8">
            <w:pPr>
              <w:pStyle w:val="COMtbl-textLeftAligned"/>
              <w:rPr>
                <w:lang w:val="en-AU"/>
              </w:rPr>
            </w:pPr>
          </w:p>
        </w:tc>
        <w:tc>
          <w:tcPr>
            <w:tcW w:w="1200" w:type="dxa"/>
            <w:vAlign w:val="center"/>
          </w:tcPr>
          <w:p w:rsidR="00CA6EC8" w:rsidRPr="00C927B9" w:rsidRDefault="00CA6EC8" w:rsidP="00CA6EC8">
            <w:pPr>
              <w:pStyle w:val="COMtbl-textLeftAligned"/>
              <w:jc w:val="center"/>
              <w:rPr>
                <w:lang w:val="en-AU"/>
              </w:rPr>
            </w:pPr>
            <w:r w:rsidRPr="00C927B9">
              <w:rPr>
                <w:lang w:val="en-AU"/>
              </w:rPr>
              <w:t>Current AZA price</w:t>
            </w:r>
          </w:p>
        </w:tc>
        <w:tc>
          <w:tcPr>
            <w:tcW w:w="1200" w:type="dxa"/>
            <w:vAlign w:val="center"/>
          </w:tcPr>
          <w:p w:rsidR="00CA6EC8" w:rsidRPr="00C927B9" w:rsidRDefault="00CA6EC8" w:rsidP="00CA6EC8">
            <w:pPr>
              <w:pStyle w:val="COMtbl-textLeftAligned"/>
              <w:jc w:val="center"/>
              <w:rPr>
                <w:lang w:val="en-AU"/>
              </w:rPr>
            </w:pPr>
            <w:r w:rsidRPr="00C927B9">
              <w:rPr>
                <w:lang w:val="en-AU"/>
              </w:rPr>
              <w:t>15% reduction in AZA price</w:t>
            </w:r>
          </w:p>
        </w:tc>
        <w:tc>
          <w:tcPr>
            <w:tcW w:w="1200" w:type="dxa"/>
            <w:vAlign w:val="center"/>
          </w:tcPr>
          <w:p w:rsidR="00CA6EC8" w:rsidRPr="00C927B9" w:rsidRDefault="00CA6EC8" w:rsidP="00CA6EC8">
            <w:pPr>
              <w:pStyle w:val="COMtbl-textLeftAligned"/>
              <w:jc w:val="center"/>
              <w:rPr>
                <w:lang w:val="en-AU"/>
              </w:rPr>
            </w:pPr>
            <w:r w:rsidRPr="00C927B9">
              <w:rPr>
                <w:lang w:val="en-AU"/>
              </w:rPr>
              <w:t>Current AZA price</w:t>
            </w:r>
          </w:p>
        </w:tc>
        <w:tc>
          <w:tcPr>
            <w:tcW w:w="1200" w:type="dxa"/>
            <w:vAlign w:val="center"/>
          </w:tcPr>
          <w:p w:rsidR="00CA6EC8" w:rsidRPr="00C927B9" w:rsidRDefault="00CA6EC8" w:rsidP="00CA6EC8">
            <w:pPr>
              <w:pStyle w:val="COMtbl-textLeftAligned"/>
              <w:jc w:val="center"/>
              <w:rPr>
                <w:lang w:val="en-AU"/>
              </w:rPr>
            </w:pPr>
            <w:r w:rsidRPr="00C927B9">
              <w:rPr>
                <w:lang w:val="en-AU"/>
              </w:rPr>
              <w:t>15% reduction in AZA price</w:t>
            </w:r>
          </w:p>
        </w:tc>
        <w:tc>
          <w:tcPr>
            <w:tcW w:w="1200" w:type="dxa"/>
            <w:vAlign w:val="center"/>
          </w:tcPr>
          <w:p w:rsidR="00CA6EC8" w:rsidRPr="00C927B9" w:rsidRDefault="00CA6EC8" w:rsidP="00CA6EC8">
            <w:pPr>
              <w:pStyle w:val="COMtbl-textLeftAligned"/>
              <w:jc w:val="center"/>
              <w:rPr>
                <w:lang w:val="en-AU"/>
              </w:rPr>
            </w:pPr>
            <w:r w:rsidRPr="00C927B9">
              <w:rPr>
                <w:lang w:val="en-AU"/>
              </w:rPr>
              <w:t>Current AZA price</w:t>
            </w:r>
          </w:p>
        </w:tc>
        <w:tc>
          <w:tcPr>
            <w:tcW w:w="1201" w:type="dxa"/>
            <w:vAlign w:val="center"/>
          </w:tcPr>
          <w:p w:rsidR="00CA6EC8" w:rsidRPr="00C927B9" w:rsidRDefault="00CA6EC8" w:rsidP="00CA6EC8">
            <w:pPr>
              <w:pStyle w:val="COMtbl-textLeftAligned"/>
              <w:jc w:val="center"/>
              <w:rPr>
                <w:lang w:val="en-AU"/>
              </w:rPr>
            </w:pPr>
            <w:r w:rsidRPr="00C927B9">
              <w:rPr>
                <w:lang w:val="en-AU"/>
              </w:rPr>
              <w:t>15% reduction in AZA price</w:t>
            </w:r>
          </w:p>
        </w:tc>
      </w:tr>
      <w:tr w:rsidR="00CA6EC8" w:rsidRPr="00C927B9" w:rsidTr="00E33CA7">
        <w:tc>
          <w:tcPr>
            <w:tcW w:w="3256" w:type="dxa"/>
          </w:tcPr>
          <w:p w:rsidR="00CA6EC8" w:rsidRPr="00C927B9" w:rsidRDefault="00CA6EC8" w:rsidP="00CA6EC8">
            <w:pPr>
              <w:pStyle w:val="COMtbl-textLeftAligned"/>
              <w:rPr>
                <w:b/>
                <w:lang w:val="en-AU"/>
              </w:rPr>
            </w:pPr>
            <w:r w:rsidRPr="00C927B9">
              <w:rPr>
                <w:b/>
                <w:lang w:val="en-AU"/>
              </w:rPr>
              <w:t>ICER presented in PSCR:</w:t>
            </w:r>
          </w:p>
          <w:p w:rsidR="00CA6EC8" w:rsidRPr="00C927B9" w:rsidRDefault="00CA6EC8" w:rsidP="00CA6EC8">
            <w:pPr>
              <w:pStyle w:val="COMtbl-textLeftAligned"/>
              <w:ind w:left="142"/>
              <w:rPr>
                <w:lang w:val="en-AU"/>
              </w:rPr>
            </w:pPr>
            <w:r w:rsidRPr="00C927B9">
              <w:rPr>
                <w:lang w:val="en-AU"/>
              </w:rPr>
              <w:t xml:space="preserve">20-year time horizon </w:t>
            </w:r>
            <w:r w:rsidRPr="00C927B9">
              <w:rPr>
                <w:vertAlign w:val="superscript"/>
                <w:lang w:val="en-AU"/>
              </w:rPr>
              <w:t>a</w:t>
            </w:r>
          </w:p>
          <w:p w:rsidR="00CA6EC8" w:rsidRPr="00C927B9" w:rsidRDefault="00CA6EC8" w:rsidP="00CA6EC8">
            <w:pPr>
              <w:pStyle w:val="COMtbl-textLeftAligned"/>
              <w:ind w:left="142"/>
              <w:rPr>
                <w:lang w:val="en-AU"/>
              </w:rPr>
            </w:pPr>
            <w:r w:rsidRPr="00C927B9">
              <w:rPr>
                <w:lang w:val="en-AU"/>
              </w:rPr>
              <w:t>1.9 AZA vials per infusion</w:t>
            </w:r>
          </w:p>
          <w:p w:rsidR="00CA6EC8" w:rsidRPr="00C927B9" w:rsidRDefault="00CA6EC8" w:rsidP="00CA6EC8">
            <w:pPr>
              <w:pStyle w:val="COMtbl-textLeftAligned"/>
              <w:ind w:left="142"/>
              <w:rPr>
                <w:lang w:val="en-AU"/>
              </w:rPr>
            </w:pPr>
            <w:r w:rsidRPr="00C927B9">
              <w:rPr>
                <w:lang w:val="en-AU"/>
              </w:rPr>
              <w:t xml:space="preserve">Lognormal for OS </w:t>
            </w:r>
            <w:r w:rsidRPr="00C927B9">
              <w:rPr>
                <w:vertAlign w:val="superscript"/>
                <w:lang w:val="en-AU"/>
              </w:rPr>
              <w:t>a</w:t>
            </w:r>
          </w:p>
          <w:p w:rsidR="00CA6EC8" w:rsidRPr="00C927B9" w:rsidRDefault="00CA6EC8" w:rsidP="00CA6EC8">
            <w:pPr>
              <w:pStyle w:val="COMtbl-textLeftAligned"/>
              <w:ind w:left="142"/>
              <w:rPr>
                <w:lang w:val="en-AU"/>
              </w:rPr>
            </w:pPr>
            <w:r w:rsidRPr="00C927B9">
              <w:rPr>
                <w:lang w:val="en-AU"/>
              </w:rPr>
              <w:t xml:space="preserve">All-cause mortality adjustment </w:t>
            </w:r>
            <w:r w:rsidRPr="00C927B9">
              <w:rPr>
                <w:vertAlign w:val="superscript"/>
                <w:lang w:val="en-AU"/>
              </w:rPr>
              <w:t>a</w:t>
            </w:r>
          </w:p>
        </w:tc>
        <w:tc>
          <w:tcPr>
            <w:tcW w:w="1200" w:type="dxa"/>
            <w:vAlign w:val="center"/>
          </w:tcPr>
          <w:p w:rsidR="00CA6EC8" w:rsidRPr="005B3377" w:rsidRDefault="00CA6EC8" w:rsidP="00CA6EC8">
            <w:pPr>
              <w:pStyle w:val="COMtbl-textLeftAligned"/>
              <w:rPr>
                <w:vertAlign w:val="superscript"/>
                <w:lang w:val="en-AU"/>
              </w:rPr>
            </w:pPr>
            <w:r w:rsidRPr="00C927B9">
              <w:rPr>
                <w:lang w:val="en-AU"/>
              </w:rPr>
              <w:t>$</w:t>
            </w:r>
            <w:r w:rsidR="004F2A12">
              <w:rPr>
                <w:noProof/>
                <w:color w:val="000000"/>
                <w:highlight w:val="black"/>
                <w:lang w:val="en-AU"/>
              </w:rPr>
              <w:t>'''''''''''''''</w:t>
            </w:r>
            <w:r w:rsidR="005B3377">
              <w:rPr>
                <w:vertAlign w:val="superscript"/>
                <w:lang w:val="en-AU"/>
              </w:rPr>
              <w:t>1</w:t>
            </w:r>
          </w:p>
        </w:tc>
        <w:tc>
          <w:tcPr>
            <w:tcW w:w="1200" w:type="dxa"/>
            <w:vAlign w:val="center"/>
          </w:tcPr>
          <w:p w:rsidR="00CA6EC8" w:rsidRPr="00C927B9" w:rsidRDefault="00CA6EC8" w:rsidP="00CA6EC8">
            <w:pPr>
              <w:pStyle w:val="COMtbl-textLeftAligned"/>
              <w:rPr>
                <w:lang w:val="en-AU"/>
              </w:rPr>
            </w:pPr>
            <w:r w:rsidRPr="00C927B9">
              <w:rPr>
                <w:lang w:val="en-AU"/>
              </w:rPr>
              <w:t>$</w:t>
            </w:r>
            <w:r w:rsidR="004F2A12">
              <w:rPr>
                <w:noProof/>
                <w:color w:val="000000"/>
                <w:highlight w:val="black"/>
                <w:lang w:val="en-AU"/>
              </w:rPr>
              <w:t>''''''''''''''''</w:t>
            </w:r>
            <w:r w:rsidR="005B3377">
              <w:rPr>
                <w:vertAlign w:val="superscript"/>
                <w:lang w:val="en-AU"/>
              </w:rPr>
              <w:t>1</w:t>
            </w:r>
          </w:p>
        </w:tc>
        <w:tc>
          <w:tcPr>
            <w:tcW w:w="1200" w:type="dxa"/>
            <w:vAlign w:val="center"/>
          </w:tcPr>
          <w:p w:rsidR="00CA6EC8" w:rsidRPr="00C927B9" w:rsidRDefault="00CA6EC8" w:rsidP="00CA6EC8">
            <w:pPr>
              <w:pStyle w:val="COMtbl-textLeftAligned"/>
              <w:rPr>
                <w:lang w:val="en-AU"/>
              </w:rPr>
            </w:pPr>
            <w:r w:rsidRPr="00C927B9">
              <w:rPr>
                <w:lang w:val="en-AU"/>
              </w:rPr>
              <w:t>$</w:t>
            </w:r>
            <w:r w:rsidR="004F2A12">
              <w:rPr>
                <w:noProof/>
                <w:color w:val="000000"/>
                <w:highlight w:val="black"/>
                <w:lang w:val="en-AU"/>
              </w:rPr>
              <w:t>''''''''''''''''</w:t>
            </w:r>
            <w:r w:rsidR="005B3377">
              <w:rPr>
                <w:vertAlign w:val="superscript"/>
                <w:lang w:val="en-AU"/>
              </w:rPr>
              <w:t>1</w:t>
            </w:r>
          </w:p>
        </w:tc>
        <w:tc>
          <w:tcPr>
            <w:tcW w:w="1200" w:type="dxa"/>
            <w:vAlign w:val="center"/>
          </w:tcPr>
          <w:p w:rsidR="00CA6EC8" w:rsidRPr="00C927B9" w:rsidRDefault="00CA6EC8" w:rsidP="00CA6EC8">
            <w:pPr>
              <w:pStyle w:val="COMtbl-textLeftAligned"/>
              <w:rPr>
                <w:lang w:val="en-AU"/>
              </w:rPr>
            </w:pPr>
            <w:r w:rsidRPr="00C927B9">
              <w:rPr>
                <w:lang w:val="en-AU"/>
              </w:rPr>
              <w:t>$</w:t>
            </w:r>
            <w:r w:rsidR="004F2A12">
              <w:rPr>
                <w:noProof/>
                <w:color w:val="000000"/>
                <w:highlight w:val="black"/>
                <w:lang w:val="en-AU"/>
              </w:rPr>
              <w:t>''''''''''''''''</w:t>
            </w:r>
            <w:r w:rsidR="005B3377">
              <w:rPr>
                <w:vertAlign w:val="superscript"/>
                <w:lang w:val="en-AU"/>
              </w:rPr>
              <w:t>1</w:t>
            </w:r>
          </w:p>
        </w:tc>
        <w:tc>
          <w:tcPr>
            <w:tcW w:w="1200" w:type="dxa"/>
            <w:vAlign w:val="center"/>
          </w:tcPr>
          <w:p w:rsidR="00CA6EC8" w:rsidRPr="00C927B9" w:rsidRDefault="00CA6EC8" w:rsidP="00CA6EC8">
            <w:pPr>
              <w:pStyle w:val="COMtbl-textLeftAligned"/>
              <w:rPr>
                <w:lang w:val="en-AU"/>
              </w:rPr>
            </w:pPr>
            <w:r w:rsidRPr="00C927B9">
              <w:rPr>
                <w:lang w:val="en-AU"/>
              </w:rPr>
              <w:t>$</w:t>
            </w:r>
            <w:r w:rsidR="004F2A12">
              <w:rPr>
                <w:noProof/>
                <w:color w:val="000000"/>
                <w:highlight w:val="black"/>
                <w:lang w:val="en-AU"/>
              </w:rPr>
              <w:t>''''''''''''''''</w:t>
            </w:r>
            <w:r w:rsidR="005B3377">
              <w:rPr>
                <w:vertAlign w:val="superscript"/>
                <w:lang w:val="en-AU"/>
              </w:rPr>
              <w:t>1</w:t>
            </w:r>
          </w:p>
        </w:tc>
        <w:tc>
          <w:tcPr>
            <w:tcW w:w="1201" w:type="dxa"/>
            <w:vAlign w:val="center"/>
          </w:tcPr>
          <w:p w:rsidR="00CA6EC8" w:rsidRPr="00C927B9" w:rsidRDefault="00CA6EC8" w:rsidP="00CA6EC8">
            <w:pPr>
              <w:pStyle w:val="COMtbl-textLeftAligned"/>
              <w:rPr>
                <w:lang w:val="en-AU"/>
              </w:rPr>
            </w:pPr>
            <w:r w:rsidRPr="00C927B9">
              <w:rPr>
                <w:lang w:val="en-AU"/>
              </w:rPr>
              <w:t>$</w:t>
            </w:r>
            <w:r w:rsidR="004F2A12">
              <w:rPr>
                <w:noProof/>
                <w:color w:val="000000"/>
                <w:highlight w:val="black"/>
                <w:lang w:val="en-AU"/>
              </w:rPr>
              <w:t>'''''''''''''''''</w:t>
            </w:r>
            <w:r w:rsidR="005B3377">
              <w:rPr>
                <w:vertAlign w:val="superscript"/>
                <w:lang w:val="en-AU"/>
              </w:rPr>
              <w:t>1</w:t>
            </w:r>
          </w:p>
        </w:tc>
      </w:tr>
      <w:tr w:rsidR="00CA6EC8" w:rsidRPr="00C927B9" w:rsidTr="00E33CA7">
        <w:tc>
          <w:tcPr>
            <w:tcW w:w="3256" w:type="dxa"/>
          </w:tcPr>
          <w:p w:rsidR="00CA6EC8" w:rsidRPr="00C927B9" w:rsidRDefault="00E33CA7" w:rsidP="00CA6EC8">
            <w:pPr>
              <w:pStyle w:val="COMtbl-textLeftAligned"/>
              <w:rPr>
                <w:lang w:val="en-AU"/>
              </w:rPr>
            </w:pPr>
            <w:r w:rsidRPr="00C927B9">
              <w:rPr>
                <w:b/>
                <w:lang w:val="en-AU"/>
              </w:rPr>
              <w:t>Step 3b, Table 16 above,</w:t>
            </w:r>
            <w:r w:rsidR="00CA6EC8" w:rsidRPr="00C927B9">
              <w:rPr>
                <w:b/>
                <w:lang w:val="en-AU"/>
              </w:rPr>
              <w:t xml:space="preserve"> multivariate:</w:t>
            </w:r>
          </w:p>
          <w:p w:rsidR="00CA6EC8" w:rsidRPr="00C927B9" w:rsidRDefault="00CA6EC8" w:rsidP="00CA6EC8">
            <w:pPr>
              <w:pStyle w:val="COMtbl-textLeftAligned"/>
              <w:ind w:left="142"/>
              <w:rPr>
                <w:lang w:val="en-AU"/>
              </w:rPr>
            </w:pPr>
            <w:r w:rsidRPr="00C927B9">
              <w:rPr>
                <w:lang w:val="en-AU"/>
              </w:rPr>
              <w:t>10-year time horizon</w:t>
            </w:r>
          </w:p>
          <w:p w:rsidR="00CA6EC8" w:rsidRPr="00C927B9" w:rsidRDefault="00CA6EC8" w:rsidP="00CA6EC8">
            <w:pPr>
              <w:pStyle w:val="COMtbl-textLeftAligned"/>
              <w:ind w:left="142"/>
              <w:rPr>
                <w:lang w:val="en-AU"/>
              </w:rPr>
            </w:pPr>
            <w:r w:rsidRPr="00C927B9">
              <w:rPr>
                <w:lang w:val="en-AU"/>
              </w:rPr>
              <w:t>2 AZA vials per infusion</w:t>
            </w:r>
          </w:p>
          <w:p w:rsidR="00CA6EC8" w:rsidRPr="00C927B9" w:rsidRDefault="00E33CA7" w:rsidP="00E33CA7">
            <w:pPr>
              <w:pStyle w:val="COMtbl-textLeftAligned"/>
              <w:ind w:left="289" w:hanging="147"/>
              <w:rPr>
                <w:lang w:val="en-AU"/>
              </w:rPr>
            </w:pPr>
            <w:r w:rsidRPr="00C927B9">
              <w:rPr>
                <w:lang w:val="en-AU"/>
              </w:rPr>
              <w:t>Clinically plausible extrapolation of OS (Weibull for VTX+AZA; exponential for AZA, no adjustment for Australian mortality rate) and EFS (exponential for VTX+AZA; exponential for AZA)</w:t>
            </w:r>
          </w:p>
        </w:tc>
        <w:tc>
          <w:tcPr>
            <w:tcW w:w="1200" w:type="dxa"/>
            <w:vAlign w:val="center"/>
          </w:tcPr>
          <w:p w:rsidR="00CA6EC8" w:rsidRPr="00C927B9" w:rsidRDefault="00CA6EC8" w:rsidP="00CA6EC8">
            <w:pPr>
              <w:pStyle w:val="COMtbl-textLeftAligned"/>
              <w:rPr>
                <w:lang w:val="en-AU"/>
              </w:rPr>
            </w:pPr>
            <w:r w:rsidRPr="00C927B9">
              <w:rPr>
                <w:lang w:val="en-AU"/>
              </w:rPr>
              <w:t>$</w:t>
            </w:r>
            <w:r w:rsidR="004F2A12">
              <w:rPr>
                <w:noProof/>
                <w:color w:val="000000"/>
                <w:highlight w:val="black"/>
                <w:lang w:val="en-AU"/>
              </w:rPr>
              <w:t>''''''''''''''''''</w:t>
            </w:r>
            <w:r w:rsidR="005B3377">
              <w:rPr>
                <w:vertAlign w:val="superscript"/>
                <w:lang w:val="en-AU"/>
              </w:rPr>
              <w:t>1</w:t>
            </w:r>
          </w:p>
        </w:tc>
        <w:tc>
          <w:tcPr>
            <w:tcW w:w="1200" w:type="dxa"/>
            <w:vAlign w:val="center"/>
          </w:tcPr>
          <w:p w:rsidR="00CA6EC8" w:rsidRPr="00C927B9" w:rsidRDefault="00CA6EC8" w:rsidP="00E33CA7">
            <w:pPr>
              <w:pStyle w:val="COMtbl-textLeftAligned"/>
              <w:rPr>
                <w:lang w:val="en-AU"/>
              </w:rPr>
            </w:pPr>
            <w:r w:rsidRPr="00C927B9">
              <w:rPr>
                <w:lang w:val="en-AU"/>
              </w:rPr>
              <w:t>$</w:t>
            </w:r>
            <w:r w:rsidR="004F2A12">
              <w:rPr>
                <w:noProof/>
                <w:color w:val="000000"/>
                <w:highlight w:val="black"/>
                <w:lang w:val="en-AU"/>
              </w:rPr>
              <w:t>'''''''''''''''</w:t>
            </w:r>
            <w:r w:rsidR="00E33CA7" w:rsidRPr="00C927B9">
              <w:rPr>
                <w:vertAlign w:val="superscript"/>
                <w:lang w:val="en-AU"/>
              </w:rPr>
              <w:t xml:space="preserve"> c</w:t>
            </w:r>
            <w:r w:rsidR="005B3377">
              <w:rPr>
                <w:vertAlign w:val="superscript"/>
                <w:lang w:val="en-AU"/>
              </w:rPr>
              <w:t>,1</w:t>
            </w:r>
          </w:p>
        </w:tc>
        <w:tc>
          <w:tcPr>
            <w:tcW w:w="1200" w:type="dxa"/>
            <w:vAlign w:val="center"/>
          </w:tcPr>
          <w:p w:rsidR="00CA6EC8" w:rsidRPr="005B3377" w:rsidRDefault="00CA6EC8" w:rsidP="00CA6EC8">
            <w:pPr>
              <w:pStyle w:val="COMtbl-textLeftAligned"/>
              <w:rPr>
                <w:vertAlign w:val="superscript"/>
                <w:lang w:val="en-AU"/>
              </w:rPr>
            </w:pPr>
            <w:r w:rsidRPr="00C927B9">
              <w:rPr>
                <w:lang w:val="en-AU"/>
              </w:rPr>
              <w:t>$</w:t>
            </w:r>
            <w:r w:rsidR="004F2A12">
              <w:rPr>
                <w:noProof/>
                <w:color w:val="000000"/>
                <w:highlight w:val="black"/>
                <w:lang w:val="en-AU"/>
              </w:rPr>
              <w:t>'''''''''''''''''''</w:t>
            </w:r>
            <w:r w:rsidR="005B3377">
              <w:rPr>
                <w:vertAlign w:val="superscript"/>
                <w:lang w:val="en-AU"/>
              </w:rPr>
              <w:t>2</w:t>
            </w:r>
          </w:p>
        </w:tc>
        <w:tc>
          <w:tcPr>
            <w:tcW w:w="1200" w:type="dxa"/>
            <w:vAlign w:val="center"/>
          </w:tcPr>
          <w:p w:rsidR="00CA6EC8" w:rsidRPr="00C927B9" w:rsidRDefault="00CA6EC8" w:rsidP="00CA6EC8">
            <w:pPr>
              <w:pStyle w:val="COMtbl-textLeftAligned"/>
              <w:rPr>
                <w:lang w:val="en-AU"/>
              </w:rPr>
            </w:pPr>
            <w:r w:rsidRPr="00C927B9">
              <w:rPr>
                <w:lang w:val="en-AU"/>
              </w:rPr>
              <w:t>$</w:t>
            </w:r>
            <w:r w:rsidR="004F2A12">
              <w:rPr>
                <w:noProof/>
                <w:color w:val="000000"/>
                <w:highlight w:val="black"/>
                <w:lang w:val="en-AU"/>
              </w:rPr>
              <w:t>'''''''''''''''</w:t>
            </w:r>
            <w:r w:rsidR="00E33CA7" w:rsidRPr="00C927B9">
              <w:rPr>
                <w:vertAlign w:val="superscript"/>
                <w:lang w:val="en-AU"/>
              </w:rPr>
              <w:t xml:space="preserve"> c</w:t>
            </w:r>
            <w:r w:rsidR="005B3377">
              <w:rPr>
                <w:vertAlign w:val="superscript"/>
                <w:lang w:val="en-AU"/>
              </w:rPr>
              <w:t>,2</w:t>
            </w:r>
          </w:p>
        </w:tc>
        <w:tc>
          <w:tcPr>
            <w:tcW w:w="1200" w:type="dxa"/>
            <w:vAlign w:val="center"/>
          </w:tcPr>
          <w:p w:rsidR="00CA6EC8" w:rsidRPr="005B3377" w:rsidRDefault="00CA6EC8" w:rsidP="00CA6EC8">
            <w:pPr>
              <w:pStyle w:val="COMtbl-textLeftAligned"/>
              <w:rPr>
                <w:vertAlign w:val="superscript"/>
                <w:lang w:val="en-AU"/>
              </w:rPr>
            </w:pPr>
            <w:r w:rsidRPr="00C927B9">
              <w:rPr>
                <w:lang w:val="en-AU"/>
              </w:rPr>
              <w:t>$</w:t>
            </w:r>
            <w:r w:rsidR="004F2A12">
              <w:rPr>
                <w:noProof/>
                <w:color w:val="000000"/>
                <w:highlight w:val="black"/>
                <w:lang w:val="en-AU"/>
              </w:rPr>
              <w:t>''''''''''''''''</w:t>
            </w:r>
            <w:r w:rsidR="005B3377">
              <w:rPr>
                <w:vertAlign w:val="superscript"/>
                <w:lang w:val="en-AU"/>
              </w:rPr>
              <w:t>2</w:t>
            </w:r>
          </w:p>
        </w:tc>
        <w:tc>
          <w:tcPr>
            <w:tcW w:w="1201" w:type="dxa"/>
            <w:vAlign w:val="center"/>
          </w:tcPr>
          <w:p w:rsidR="00CA6EC8" w:rsidRPr="00C927B9" w:rsidRDefault="00CA6EC8" w:rsidP="00CA6EC8">
            <w:pPr>
              <w:pStyle w:val="COMtbl-textLeftAligned"/>
              <w:rPr>
                <w:lang w:val="en-AU"/>
              </w:rPr>
            </w:pPr>
            <w:r w:rsidRPr="00C927B9">
              <w:rPr>
                <w:lang w:val="en-AU"/>
              </w:rPr>
              <w:t>$</w:t>
            </w:r>
            <w:r w:rsidR="004F2A12">
              <w:rPr>
                <w:noProof/>
                <w:color w:val="000000"/>
                <w:highlight w:val="black"/>
                <w:lang w:val="en-AU"/>
              </w:rPr>
              <w:t>''''''''''''''''</w:t>
            </w:r>
            <w:r w:rsidR="00E33CA7" w:rsidRPr="00C927B9">
              <w:rPr>
                <w:vertAlign w:val="superscript"/>
                <w:lang w:val="en-AU"/>
              </w:rPr>
              <w:t xml:space="preserve"> c</w:t>
            </w:r>
            <w:r w:rsidR="005B3377">
              <w:rPr>
                <w:vertAlign w:val="superscript"/>
                <w:lang w:val="en-AU"/>
              </w:rPr>
              <w:t>,1</w:t>
            </w:r>
          </w:p>
        </w:tc>
      </w:tr>
      <w:tr w:rsidR="00CA6EC8" w:rsidRPr="00C927B9" w:rsidTr="00E33CA7">
        <w:tc>
          <w:tcPr>
            <w:tcW w:w="3256" w:type="dxa"/>
          </w:tcPr>
          <w:p w:rsidR="00CA6EC8" w:rsidRPr="00C927B9" w:rsidRDefault="00CA6EC8" w:rsidP="00CA6EC8">
            <w:pPr>
              <w:pStyle w:val="COMtbl-textLeftAligned"/>
              <w:rPr>
                <w:b/>
                <w:lang w:val="en-AU"/>
              </w:rPr>
            </w:pPr>
            <w:r w:rsidRPr="00C927B9">
              <w:rPr>
                <w:b/>
                <w:lang w:val="en-AU"/>
              </w:rPr>
              <w:t>Revised multivariate analysis:</w:t>
            </w:r>
          </w:p>
          <w:p w:rsidR="00CA6EC8" w:rsidRPr="00C927B9" w:rsidRDefault="00CA6EC8" w:rsidP="00CA6EC8">
            <w:pPr>
              <w:pStyle w:val="COMtbl-textLeftAligned"/>
              <w:ind w:left="142"/>
              <w:rPr>
                <w:lang w:val="en-AU"/>
              </w:rPr>
            </w:pPr>
            <w:r w:rsidRPr="00C927B9">
              <w:rPr>
                <w:lang w:val="en-AU"/>
              </w:rPr>
              <w:t>15-year time horizon</w:t>
            </w:r>
          </w:p>
          <w:p w:rsidR="00CA6EC8" w:rsidRPr="00C927B9" w:rsidRDefault="00E33CA7" w:rsidP="00CA6EC8">
            <w:pPr>
              <w:pStyle w:val="COMtbl-textLeftAligned"/>
              <w:ind w:left="142"/>
              <w:rPr>
                <w:lang w:val="en-AU"/>
              </w:rPr>
            </w:pPr>
            <w:r w:rsidRPr="00C927B9">
              <w:rPr>
                <w:lang w:val="en-AU"/>
              </w:rPr>
              <w:t>1.9 AZA vials per infusion</w:t>
            </w:r>
          </w:p>
          <w:p w:rsidR="00CA6EC8" w:rsidRPr="00C927B9" w:rsidRDefault="00E33CA7" w:rsidP="00E33CA7">
            <w:pPr>
              <w:pStyle w:val="COMtbl-textLeftAligned"/>
              <w:ind w:left="289" w:hanging="147"/>
              <w:rPr>
                <w:vertAlign w:val="superscript"/>
                <w:lang w:val="en-AU"/>
              </w:rPr>
            </w:pPr>
            <w:r w:rsidRPr="00C927B9">
              <w:rPr>
                <w:lang w:val="en-AU"/>
              </w:rPr>
              <w:t xml:space="preserve">Clinically plausible extrapolation of OS (Weibull for VTX+AZA; exponential for AZA, no adjustment for Australian mortality rate) and EFS (exponential for VTX+AZA; exponential for AZA) </w:t>
            </w:r>
            <w:r w:rsidRPr="00C927B9">
              <w:rPr>
                <w:vertAlign w:val="superscript"/>
                <w:lang w:val="en-AU"/>
              </w:rPr>
              <w:t>b</w:t>
            </w:r>
          </w:p>
        </w:tc>
        <w:tc>
          <w:tcPr>
            <w:tcW w:w="1200" w:type="dxa"/>
            <w:vAlign w:val="center"/>
          </w:tcPr>
          <w:p w:rsidR="00CA6EC8" w:rsidRPr="00C927B9" w:rsidRDefault="00CA6EC8" w:rsidP="00CA6EC8">
            <w:pPr>
              <w:pStyle w:val="COMtbl-textLeftAligned"/>
              <w:rPr>
                <w:lang w:val="en-AU"/>
              </w:rPr>
            </w:pPr>
            <w:r w:rsidRPr="00C927B9">
              <w:rPr>
                <w:lang w:val="en-AU"/>
              </w:rPr>
              <w:t>$</w:t>
            </w:r>
            <w:r w:rsidR="004F2A12">
              <w:rPr>
                <w:noProof/>
                <w:color w:val="000000"/>
                <w:highlight w:val="black"/>
                <w:lang w:val="en-AU"/>
              </w:rPr>
              <w:t>''''''''''''''''</w:t>
            </w:r>
            <w:r w:rsidR="005B3377">
              <w:rPr>
                <w:vertAlign w:val="superscript"/>
                <w:lang w:val="en-AU"/>
              </w:rPr>
              <w:t>1</w:t>
            </w:r>
          </w:p>
        </w:tc>
        <w:tc>
          <w:tcPr>
            <w:tcW w:w="1200" w:type="dxa"/>
            <w:vAlign w:val="center"/>
          </w:tcPr>
          <w:p w:rsidR="00CA6EC8" w:rsidRPr="00C927B9" w:rsidRDefault="00CA6EC8" w:rsidP="00CA6EC8">
            <w:pPr>
              <w:pStyle w:val="COMtbl-textLeftAligned"/>
              <w:rPr>
                <w:lang w:val="en-AU"/>
              </w:rPr>
            </w:pPr>
            <w:r w:rsidRPr="00C927B9">
              <w:rPr>
                <w:lang w:val="en-AU"/>
              </w:rPr>
              <w:t>$</w:t>
            </w:r>
            <w:r w:rsidR="004F2A12">
              <w:rPr>
                <w:noProof/>
                <w:color w:val="000000"/>
                <w:highlight w:val="black"/>
                <w:lang w:val="en-AU"/>
              </w:rPr>
              <w:t>''''''''''''''''</w:t>
            </w:r>
            <w:r w:rsidR="005B3377">
              <w:rPr>
                <w:vertAlign w:val="superscript"/>
                <w:lang w:val="en-AU"/>
              </w:rPr>
              <w:t>1</w:t>
            </w:r>
          </w:p>
        </w:tc>
        <w:tc>
          <w:tcPr>
            <w:tcW w:w="1200" w:type="dxa"/>
            <w:vAlign w:val="center"/>
          </w:tcPr>
          <w:p w:rsidR="00CA6EC8" w:rsidRPr="004F2A12" w:rsidRDefault="00CA6EC8" w:rsidP="00CA6EC8">
            <w:pPr>
              <w:pStyle w:val="COMtbl-textLeftAligned"/>
              <w:rPr>
                <w:vertAlign w:val="superscript"/>
                <w:lang w:val="en-AU"/>
              </w:rPr>
            </w:pPr>
            <w:r w:rsidRPr="00C927B9">
              <w:rPr>
                <w:lang w:val="en-AU"/>
              </w:rPr>
              <w:t>$</w:t>
            </w:r>
            <w:r w:rsidR="004F2A12">
              <w:rPr>
                <w:noProof/>
                <w:color w:val="000000"/>
                <w:highlight w:val="black"/>
                <w:lang w:val="en-AU"/>
              </w:rPr>
              <w:t>'''''''''''''''''''''</w:t>
            </w:r>
            <w:r w:rsidR="005B3377">
              <w:rPr>
                <w:vertAlign w:val="superscript"/>
                <w:lang w:val="en-AU"/>
              </w:rPr>
              <w:t>2</w:t>
            </w:r>
          </w:p>
        </w:tc>
        <w:tc>
          <w:tcPr>
            <w:tcW w:w="1200" w:type="dxa"/>
            <w:vAlign w:val="center"/>
          </w:tcPr>
          <w:p w:rsidR="00CA6EC8" w:rsidRPr="00C927B9" w:rsidRDefault="00CA6EC8" w:rsidP="00CA6EC8">
            <w:pPr>
              <w:pStyle w:val="COMtbl-textLeftAligned"/>
              <w:rPr>
                <w:lang w:val="en-AU"/>
              </w:rPr>
            </w:pPr>
            <w:r w:rsidRPr="00C927B9">
              <w:rPr>
                <w:lang w:val="en-AU"/>
              </w:rPr>
              <w:t>$</w:t>
            </w:r>
            <w:r w:rsidR="004F2A12">
              <w:rPr>
                <w:noProof/>
                <w:color w:val="000000"/>
                <w:highlight w:val="black"/>
                <w:lang w:val="en-AU"/>
              </w:rPr>
              <w:t>''''''''''''''''''</w:t>
            </w:r>
            <w:r w:rsidR="005B3377">
              <w:rPr>
                <w:vertAlign w:val="superscript"/>
                <w:lang w:val="en-AU"/>
              </w:rPr>
              <w:t>1</w:t>
            </w:r>
          </w:p>
        </w:tc>
        <w:tc>
          <w:tcPr>
            <w:tcW w:w="1200" w:type="dxa"/>
            <w:vAlign w:val="center"/>
          </w:tcPr>
          <w:p w:rsidR="00CA6EC8" w:rsidRPr="00C927B9" w:rsidRDefault="00CA6EC8" w:rsidP="00CA6EC8">
            <w:pPr>
              <w:pStyle w:val="COMtbl-textLeftAligned"/>
              <w:rPr>
                <w:lang w:val="en-AU"/>
              </w:rPr>
            </w:pPr>
            <w:r w:rsidRPr="00C927B9">
              <w:rPr>
                <w:lang w:val="en-AU"/>
              </w:rPr>
              <w:t>$</w:t>
            </w:r>
            <w:r w:rsidR="004F2A12">
              <w:rPr>
                <w:noProof/>
                <w:color w:val="000000"/>
                <w:highlight w:val="black"/>
                <w:lang w:val="en-AU"/>
              </w:rPr>
              <w:t>'''''''''''''''</w:t>
            </w:r>
            <w:r w:rsidR="005B3377">
              <w:rPr>
                <w:vertAlign w:val="superscript"/>
                <w:lang w:val="en-AU"/>
              </w:rPr>
              <w:t>1</w:t>
            </w:r>
          </w:p>
        </w:tc>
        <w:tc>
          <w:tcPr>
            <w:tcW w:w="1201" w:type="dxa"/>
            <w:vAlign w:val="center"/>
          </w:tcPr>
          <w:p w:rsidR="00CA6EC8" w:rsidRPr="00C927B9" w:rsidRDefault="00CA6EC8" w:rsidP="00CA6EC8">
            <w:pPr>
              <w:pStyle w:val="COMtbl-textLeftAligned"/>
              <w:rPr>
                <w:lang w:val="en-AU"/>
              </w:rPr>
            </w:pPr>
            <w:r w:rsidRPr="00C927B9">
              <w:rPr>
                <w:lang w:val="en-AU"/>
              </w:rPr>
              <w:t>$</w:t>
            </w:r>
            <w:r w:rsidR="004F2A12">
              <w:rPr>
                <w:noProof/>
                <w:color w:val="000000"/>
                <w:highlight w:val="black"/>
                <w:lang w:val="en-AU"/>
              </w:rPr>
              <w:t>''''''''''''''''</w:t>
            </w:r>
            <w:r w:rsidR="005B3377">
              <w:rPr>
                <w:vertAlign w:val="superscript"/>
                <w:lang w:val="en-AU"/>
              </w:rPr>
              <w:t>1</w:t>
            </w:r>
          </w:p>
        </w:tc>
      </w:tr>
    </w:tbl>
    <w:p w:rsidR="00CA6EC8" w:rsidRPr="00C927B9" w:rsidRDefault="00CA6EC8" w:rsidP="00CA6EC8">
      <w:pPr>
        <w:pStyle w:val="TableFooter"/>
        <w:rPr>
          <w:lang w:val="en-AU"/>
        </w:rPr>
      </w:pPr>
      <w:r w:rsidRPr="00C927B9">
        <w:rPr>
          <w:lang w:val="en-AU"/>
        </w:rPr>
        <w:t xml:space="preserve">Source: </w:t>
      </w:r>
      <w:r w:rsidR="00B00B43" w:rsidRPr="00C927B9">
        <w:rPr>
          <w:lang w:val="en-AU"/>
        </w:rPr>
        <w:t xml:space="preserve">adapted from </w:t>
      </w:r>
      <w:r w:rsidR="00531DC0" w:rsidRPr="00C927B9">
        <w:rPr>
          <w:lang w:val="en-AU"/>
        </w:rPr>
        <w:t xml:space="preserve">Table 1, </w:t>
      </w:r>
      <w:r w:rsidRPr="00C927B9">
        <w:rPr>
          <w:lang w:val="en-AU"/>
        </w:rPr>
        <w:t>pre-PBAC response.</w:t>
      </w:r>
    </w:p>
    <w:p w:rsidR="00CA6EC8" w:rsidRPr="00C927B9" w:rsidRDefault="00AF7214" w:rsidP="00CA6EC8">
      <w:pPr>
        <w:pStyle w:val="TableFooter"/>
        <w:rPr>
          <w:lang w:val="en-AU"/>
        </w:rPr>
      </w:pPr>
      <w:r w:rsidRPr="00C927B9">
        <w:rPr>
          <w:lang w:val="en-AU"/>
        </w:rPr>
        <w:t xml:space="preserve">Abbreviations: </w:t>
      </w:r>
      <w:r w:rsidR="00E33CA7" w:rsidRPr="00C927B9">
        <w:rPr>
          <w:lang w:val="en-AU"/>
        </w:rPr>
        <w:t xml:space="preserve">AZA = azacitidine; </w:t>
      </w:r>
      <w:r w:rsidR="00CA6EC8" w:rsidRPr="00C927B9">
        <w:rPr>
          <w:lang w:val="en-AU"/>
        </w:rPr>
        <w:t xml:space="preserve">ICER = incremental cost-effectiveness ratio; </w:t>
      </w:r>
      <w:r w:rsidR="00B00B43" w:rsidRPr="00C927B9">
        <w:rPr>
          <w:lang w:val="en-AU"/>
        </w:rPr>
        <w:t xml:space="preserve">LoDAC = low-dose cytarabine; </w:t>
      </w:r>
      <w:r w:rsidR="00CA6EC8" w:rsidRPr="00C927B9">
        <w:rPr>
          <w:lang w:val="en-AU"/>
        </w:rPr>
        <w:t xml:space="preserve">PSCR = Pre-Sub-Committee Response; </w:t>
      </w:r>
      <w:r w:rsidR="00B00B43" w:rsidRPr="00C927B9">
        <w:rPr>
          <w:lang w:val="en-AU"/>
        </w:rPr>
        <w:t>VTX = venetoclax.</w:t>
      </w:r>
    </w:p>
    <w:p w:rsidR="00CA6EC8" w:rsidRPr="00C927B9" w:rsidRDefault="00CA6EC8" w:rsidP="00CA6EC8">
      <w:pPr>
        <w:pStyle w:val="TableFooter"/>
        <w:rPr>
          <w:lang w:val="en-AU"/>
        </w:rPr>
      </w:pPr>
      <w:proofErr w:type="gramStart"/>
      <w:r w:rsidRPr="00C927B9">
        <w:rPr>
          <w:vertAlign w:val="superscript"/>
          <w:lang w:val="en-AU"/>
        </w:rPr>
        <w:t>a</w:t>
      </w:r>
      <w:proofErr w:type="gramEnd"/>
      <w:r w:rsidRPr="00C927B9">
        <w:rPr>
          <w:lang w:val="en-AU"/>
        </w:rPr>
        <w:t xml:space="preserve"> As per submission</w:t>
      </w:r>
      <w:r w:rsidR="00F629CF" w:rsidRPr="00C927B9">
        <w:rPr>
          <w:lang w:val="en-AU"/>
        </w:rPr>
        <w:t>.</w:t>
      </w:r>
    </w:p>
    <w:p w:rsidR="00CA6EC8" w:rsidRPr="00C927B9" w:rsidRDefault="00E33CA7" w:rsidP="00CA6EC8">
      <w:pPr>
        <w:pStyle w:val="TableFooter"/>
        <w:rPr>
          <w:lang w:val="en-AU"/>
        </w:rPr>
      </w:pPr>
      <w:proofErr w:type="gramStart"/>
      <w:r w:rsidRPr="00C927B9">
        <w:rPr>
          <w:vertAlign w:val="superscript"/>
          <w:lang w:val="en-AU"/>
        </w:rPr>
        <w:t>b</w:t>
      </w:r>
      <w:proofErr w:type="gramEnd"/>
      <w:r w:rsidRPr="00C927B9">
        <w:rPr>
          <w:vertAlign w:val="superscript"/>
          <w:lang w:val="en-AU"/>
        </w:rPr>
        <w:t xml:space="preserve"> </w:t>
      </w:r>
      <w:r w:rsidR="00DA605B" w:rsidRPr="00C927B9">
        <w:rPr>
          <w:lang w:val="en-AU"/>
        </w:rPr>
        <w:t>Extrapolations</w:t>
      </w:r>
      <w:r w:rsidRPr="00C927B9">
        <w:rPr>
          <w:lang w:val="en-AU"/>
        </w:rPr>
        <w:t xml:space="preserve"> as per</w:t>
      </w:r>
      <w:r w:rsidR="00CA6EC8" w:rsidRPr="00C927B9">
        <w:rPr>
          <w:lang w:val="en-AU"/>
        </w:rPr>
        <w:t xml:space="preserve"> </w:t>
      </w:r>
      <w:r w:rsidRPr="00C927B9">
        <w:rPr>
          <w:lang w:val="en-AU"/>
        </w:rPr>
        <w:t>S</w:t>
      </w:r>
      <w:r w:rsidR="00CA6EC8" w:rsidRPr="00C927B9">
        <w:rPr>
          <w:lang w:val="en-AU"/>
        </w:rPr>
        <w:t xml:space="preserve">tep 3b, Table </w:t>
      </w:r>
      <w:r w:rsidRPr="00C927B9">
        <w:rPr>
          <w:lang w:val="en-AU"/>
        </w:rPr>
        <w:t>16 above.</w:t>
      </w:r>
    </w:p>
    <w:p w:rsidR="00CA6EC8" w:rsidRDefault="00DA605B" w:rsidP="00CA6EC8">
      <w:pPr>
        <w:pStyle w:val="TableFooter"/>
        <w:rPr>
          <w:lang w:val="en-AU"/>
        </w:rPr>
      </w:pPr>
      <w:proofErr w:type="gramStart"/>
      <w:r w:rsidRPr="00C927B9">
        <w:rPr>
          <w:vertAlign w:val="superscript"/>
          <w:lang w:val="en-AU"/>
        </w:rPr>
        <w:t>c</w:t>
      </w:r>
      <w:proofErr w:type="gramEnd"/>
      <w:r w:rsidR="00CA6EC8" w:rsidRPr="00C927B9">
        <w:rPr>
          <w:vertAlign w:val="superscript"/>
          <w:lang w:val="en-AU"/>
        </w:rPr>
        <w:t xml:space="preserve"> </w:t>
      </w:r>
      <w:r w:rsidR="00F629CF" w:rsidRPr="00C927B9">
        <w:rPr>
          <w:lang w:val="en-AU"/>
        </w:rPr>
        <w:t>C</w:t>
      </w:r>
      <w:r w:rsidR="00CA6EC8" w:rsidRPr="00C927B9">
        <w:rPr>
          <w:lang w:val="en-AU"/>
        </w:rPr>
        <w:t xml:space="preserve">alculated for </w:t>
      </w:r>
      <w:r w:rsidRPr="00C927B9">
        <w:rPr>
          <w:lang w:val="en-AU"/>
        </w:rPr>
        <w:t>the pre-PBAC response</w:t>
      </w:r>
      <w:r w:rsidR="00F629CF" w:rsidRPr="00C927B9">
        <w:rPr>
          <w:lang w:val="en-AU"/>
        </w:rPr>
        <w:t>.</w:t>
      </w:r>
    </w:p>
    <w:p w:rsidR="005B3377" w:rsidRPr="005B3377" w:rsidRDefault="005B3377" w:rsidP="005B3377">
      <w:pPr>
        <w:pStyle w:val="TableFigureFooter"/>
        <w:spacing w:after="0"/>
        <w:contextualSpacing w:val="0"/>
        <w:rPr>
          <w:i/>
        </w:rPr>
      </w:pPr>
      <w:r w:rsidRPr="005B3377">
        <w:rPr>
          <w:i/>
        </w:rPr>
        <w:t xml:space="preserve">The redacted values correspond to the following ranges: </w:t>
      </w:r>
    </w:p>
    <w:p w:rsidR="005B3377" w:rsidRPr="005B3377" w:rsidRDefault="005B3377" w:rsidP="00CA6EC8">
      <w:pPr>
        <w:pStyle w:val="TableFooter"/>
        <w:rPr>
          <w:i/>
          <w:lang w:val="en-AU"/>
        </w:rPr>
      </w:pPr>
      <w:r>
        <w:rPr>
          <w:i/>
          <w:vertAlign w:val="superscript"/>
          <w:lang w:val="en-AU"/>
        </w:rPr>
        <w:t xml:space="preserve">1 </w:t>
      </w:r>
      <w:r w:rsidRPr="005B3377">
        <w:rPr>
          <w:i/>
          <w:lang w:val="en-AU"/>
        </w:rPr>
        <w:t>$75,000 to &lt; $95,000</w:t>
      </w:r>
    </w:p>
    <w:p w:rsidR="005B3377" w:rsidRPr="005B3377" w:rsidRDefault="005B3377" w:rsidP="00CA6EC8">
      <w:pPr>
        <w:pStyle w:val="TableFooter"/>
        <w:rPr>
          <w:i/>
          <w:lang w:val="en-AU"/>
        </w:rPr>
      </w:pPr>
      <w:r>
        <w:rPr>
          <w:i/>
          <w:vertAlign w:val="superscript"/>
          <w:lang w:val="en-AU"/>
        </w:rPr>
        <w:t xml:space="preserve">2 </w:t>
      </w:r>
      <w:r w:rsidRPr="005B3377">
        <w:rPr>
          <w:i/>
          <w:lang w:val="en-AU"/>
        </w:rPr>
        <w:t>$95,000 to &lt; $115,000</w:t>
      </w:r>
    </w:p>
    <w:p w:rsidR="00CA6EC8" w:rsidRPr="00C927B9" w:rsidRDefault="00CA6EC8" w:rsidP="00CA6EC8">
      <w:pPr>
        <w:pStyle w:val="ExecSumBodyText"/>
        <w:numPr>
          <w:ilvl w:val="0"/>
          <w:numId w:val="0"/>
        </w:numPr>
        <w:ind w:left="720"/>
        <w:rPr>
          <w:highlight w:val="green"/>
          <w:lang w:val="en-AU"/>
        </w:rPr>
      </w:pPr>
    </w:p>
    <w:p w:rsidR="00C25D9C" w:rsidRPr="00C927B9" w:rsidRDefault="00C25D9C" w:rsidP="00BB732D">
      <w:pPr>
        <w:pStyle w:val="3-SubsectionHeading"/>
        <w:rPr>
          <w:lang w:val="en-AU"/>
        </w:rPr>
      </w:pPr>
      <w:bookmarkStart w:id="39" w:name="_Toc22897646"/>
      <w:bookmarkStart w:id="40" w:name="_Toc62040070"/>
      <w:r w:rsidRPr="00C927B9">
        <w:rPr>
          <w:lang w:val="en-AU"/>
        </w:rPr>
        <w:t>Drug cost/patient/course</w:t>
      </w:r>
      <w:bookmarkEnd w:id="39"/>
      <w:bookmarkEnd w:id="40"/>
    </w:p>
    <w:p w:rsidR="000565E4" w:rsidRPr="00C927B9" w:rsidRDefault="00302B0D" w:rsidP="00302B0D">
      <w:pPr>
        <w:pStyle w:val="ExecSumBodyText"/>
        <w:rPr>
          <w:lang w:val="en-AU"/>
        </w:rPr>
      </w:pPr>
      <w:r w:rsidRPr="00C927B9">
        <w:rPr>
          <w:lang w:val="en-AU"/>
        </w:rPr>
        <w:t xml:space="preserve">Drug costs per patient per </w:t>
      </w:r>
      <w:r w:rsidR="00035AAB" w:rsidRPr="00C927B9">
        <w:rPr>
          <w:lang w:val="en-AU"/>
        </w:rPr>
        <w:t xml:space="preserve">course </w:t>
      </w:r>
      <w:r w:rsidR="00331821" w:rsidRPr="00C927B9">
        <w:rPr>
          <w:lang w:val="en-AU"/>
        </w:rPr>
        <w:t xml:space="preserve">of </w:t>
      </w:r>
      <w:r w:rsidRPr="00C927B9">
        <w:rPr>
          <w:lang w:val="en-AU"/>
        </w:rPr>
        <w:t xml:space="preserve">venetoclax with azacitidine, azacitidine monotherapy, and LoDAC monotherapy were estimated based on circumstances of use in the M15-656 and M16-043 trials, the proposed effective price for venetoclax and published prices for azacitidine and LoDAC, and mean duration of treatment from the economic model (see </w:t>
      </w:r>
      <w:r w:rsidR="002C53B0" w:rsidRPr="00C927B9">
        <w:rPr>
          <w:lang w:val="en-AU"/>
        </w:rPr>
        <w:t>t</w:t>
      </w:r>
      <w:r w:rsidRPr="00C927B9">
        <w:rPr>
          <w:lang w:val="en-AU"/>
        </w:rPr>
        <w:t>able below). This approach to estimating the cost was consistent across the economic analysis and financial estimates.</w:t>
      </w:r>
      <w:r w:rsidR="00035AAB" w:rsidRPr="00C927B9">
        <w:rPr>
          <w:lang w:val="en-AU"/>
        </w:rPr>
        <w:t xml:space="preserve"> However,</w:t>
      </w:r>
      <w:r w:rsidR="00D509F3" w:rsidRPr="00C927B9">
        <w:rPr>
          <w:lang w:val="en-AU"/>
        </w:rPr>
        <w:t xml:space="preserve"> the application of costs differed between the economic and financial analyses</w:t>
      </w:r>
      <w:r w:rsidR="00BE745C" w:rsidRPr="00C927B9">
        <w:rPr>
          <w:lang w:val="en-AU"/>
        </w:rPr>
        <w:t xml:space="preserve">. In the economic model, </w:t>
      </w:r>
      <w:r w:rsidR="00D5313A" w:rsidRPr="00C927B9">
        <w:rPr>
          <w:lang w:val="en-AU"/>
        </w:rPr>
        <w:t>drug costs were based on a cohort of patients receiving different durations of treatment, with a mean duration of 20.17 cycles</w:t>
      </w:r>
      <w:r w:rsidR="007A60AE" w:rsidRPr="00C927B9">
        <w:rPr>
          <w:lang w:val="en-AU"/>
        </w:rPr>
        <w:t xml:space="preserve"> for venetoclax with </w:t>
      </w:r>
      <w:r w:rsidR="007A60AE" w:rsidRPr="00C927B9">
        <w:rPr>
          <w:lang w:val="en-AU"/>
        </w:rPr>
        <w:lastRenderedPageBreak/>
        <w:t>azacitidine</w:t>
      </w:r>
      <w:r w:rsidR="00D5313A" w:rsidRPr="00C927B9">
        <w:rPr>
          <w:lang w:val="en-AU"/>
        </w:rPr>
        <w:t>. In the financial estimates, all patients were assumed to receive</w:t>
      </w:r>
      <w:r w:rsidR="005866D6" w:rsidRPr="00C927B9">
        <w:rPr>
          <w:lang w:val="en-AU"/>
        </w:rPr>
        <w:t xml:space="preserve"> the mean </w:t>
      </w:r>
      <w:r w:rsidR="00D61FD4" w:rsidRPr="00C927B9">
        <w:rPr>
          <w:lang w:val="en-AU"/>
        </w:rPr>
        <w:t>duration of treatment (</w:t>
      </w:r>
      <w:r w:rsidR="007A60AE" w:rsidRPr="00C927B9">
        <w:rPr>
          <w:lang w:val="en-AU"/>
        </w:rPr>
        <w:t>20.17 cycles</w:t>
      </w:r>
      <w:r w:rsidR="002D2BBF" w:rsidRPr="00C927B9">
        <w:rPr>
          <w:lang w:val="en-AU"/>
        </w:rPr>
        <w:t xml:space="preserve"> for venetoclax with azacitidine</w:t>
      </w:r>
      <w:r w:rsidR="00D61FD4" w:rsidRPr="00C927B9">
        <w:rPr>
          <w:lang w:val="en-AU"/>
        </w:rPr>
        <w:t>) and therefore received treatment over a condensed period of time.</w:t>
      </w:r>
      <w:r w:rsidR="00D61FD4" w:rsidRPr="00C927B9" w:rsidDel="00D61FD4">
        <w:rPr>
          <w:lang w:val="en-AU"/>
        </w:rPr>
        <w:t xml:space="preserve"> </w:t>
      </w:r>
    </w:p>
    <w:p w:rsidR="00B64EA1" w:rsidRPr="00C927B9" w:rsidRDefault="0060344B" w:rsidP="00863976">
      <w:pPr>
        <w:pStyle w:val="Caption"/>
        <w:keepLines/>
        <w:rPr>
          <w:lang w:val="en-AU"/>
        </w:rPr>
      </w:pPr>
      <w:r w:rsidRPr="00C927B9">
        <w:rPr>
          <w:lang w:val="en-AU"/>
        </w:rPr>
        <w:t xml:space="preserve">Table </w:t>
      </w:r>
      <w:r w:rsidR="00DB3600" w:rsidRPr="00C927B9">
        <w:rPr>
          <w:lang w:val="en-AU"/>
        </w:rPr>
        <w:t>18</w:t>
      </w:r>
      <w:r w:rsidR="00B64EA1" w:rsidRPr="00C927B9">
        <w:rPr>
          <w:lang w:val="en-AU"/>
        </w:rPr>
        <w:t>: Drug cost per patient per course for venetoclax with azacitidine versus azacitidine or LoDAC monotherapy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4"/>
        <w:gridCol w:w="2202"/>
        <w:gridCol w:w="1771"/>
        <w:gridCol w:w="1746"/>
        <w:gridCol w:w="1744"/>
      </w:tblGrid>
      <w:tr w:rsidR="00B64EA1" w:rsidRPr="00C927B9" w:rsidTr="00574791">
        <w:trPr>
          <w:cantSplit/>
          <w:trHeight w:val="70"/>
          <w:jc w:val="center"/>
        </w:trPr>
        <w:tc>
          <w:tcPr>
            <w:tcW w:w="862" w:type="pct"/>
            <w:vMerge w:val="restart"/>
            <w:shd w:val="clear" w:color="auto" w:fill="auto"/>
            <w:vAlign w:val="center"/>
          </w:tcPr>
          <w:p w:rsidR="00B64EA1" w:rsidRPr="00C927B9" w:rsidRDefault="00B64EA1" w:rsidP="00863976">
            <w:pPr>
              <w:pStyle w:val="TableText"/>
              <w:keepLines/>
            </w:pPr>
          </w:p>
        </w:tc>
        <w:tc>
          <w:tcPr>
            <w:tcW w:w="2203" w:type="pct"/>
            <w:gridSpan w:val="2"/>
            <w:shd w:val="clear" w:color="auto" w:fill="auto"/>
            <w:vAlign w:val="center"/>
          </w:tcPr>
          <w:p w:rsidR="00B64EA1" w:rsidRPr="00C927B9" w:rsidRDefault="00B64EA1" w:rsidP="00863976">
            <w:pPr>
              <w:pStyle w:val="TableText"/>
              <w:keepLines/>
              <w:jc w:val="center"/>
              <w:rPr>
                <w:b/>
              </w:rPr>
            </w:pPr>
            <w:r w:rsidRPr="00C927B9">
              <w:rPr>
                <w:b/>
              </w:rPr>
              <w:t>Venetoclax + azacitidine</w:t>
            </w:r>
          </w:p>
        </w:tc>
        <w:tc>
          <w:tcPr>
            <w:tcW w:w="968" w:type="pct"/>
            <w:vMerge w:val="restart"/>
            <w:shd w:val="clear" w:color="auto" w:fill="auto"/>
            <w:vAlign w:val="center"/>
          </w:tcPr>
          <w:p w:rsidR="00B64EA1" w:rsidRPr="00C927B9" w:rsidRDefault="00B64EA1" w:rsidP="00863976">
            <w:pPr>
              <w:pStyle w:val="TableText"/>
              <w:keepLines/>
              <w:jc w:val="center"/>
              <w:rPr>
                <w:b/>
              </w:rPr>
            </w:pPr>
            <w:r w:rsidRPr="00C927B9">
              <w:rPr>
                <w:b/>
              </w:rPr>
              <w:t>Azacitidine monotherapy</w:t>
            </w:r>
          </w:p>
        </w:tc>
        <w:tc>
          <w:tcPr>
            <w:tcW w:w="967" w:type="pct"/>
            <w:vMerge w:val="restart"/>
            <w:shd w:val="clear" w:color="auto" w:fill="auto"/>
            <w:vAlign w:val="center"/>
          </w:tcPr>
          <w:p w:rsidR="00B64EA1" w:rsidRPr="00C927B9" w:rsidRDefault="00B64EA1" w:rsidP="00863976">
            <w:pPr>
              <w:pStyle w:val="TableText"/>
              <w:keepLines/>
              <w:jc w:val="center"/>
              <w:rPr>
                <w:b/>
              </w:rPr>
            </w:pPr>
            <w:r w:rsidRPr="00C927B9">
              <w:rPr>
                <w:b/>
              </w:rPr>
              <w:t>LoDAC monotherapy</w:t>
            </w:r>
          </w:p>
        </w:tc>
      </w:tr>
      <w:tr w:rsidR="00B64EA1" w:rsidRPr="00C927B9" w:rsidTr="00574791">
        <w:trPr>
          <w:cantSplit/>
          <w:jc w:val="center"/>
        </w:trPr>
        <w:tc>
          <w:tcPr>
            <w:tcW w:w="862" w:type="pct"/>
            <w:vMerge/>
            <w:shd w:val="clear" w:color="auto" w:fill="auto"/>
            <w:vAlign w:val="center"/>
          </w:tcPr>
          <w:p w:rsidR="00B64EA1" w:rsidRPr="00C927B9" w:rsidRDefault="00B64EA1" w:rsidP="00863976">
            <w:pPr>
              <w:pStyle w:val="TableText"/>
              <w:keepLines/>
            </w:pPr>
          </w:p>
        </w:tc>
        <w:tc>
          <w:tcPr>
            <w:tcW w:w="1221" w:type="pct"/>
            <w:shd w:val="clear" w:color="auto" w:fill="auto"/>
            <w:vAlign w:val="center"/>
          </w:tcPr>
          <w:p w:rsidR="00B64EA1" w:rsidRPr="00C927B9" w:rsidRDefault="00B64EA1" w:rsidP="00863976">
            <w:pPr>
              <w:pStyle w:val="TableText"/>
              <w:keepLines/>
              <w:jc w:val="center"/>
              <w:rPr>
                <w:b/>
              </w:rPr>
            </w:pPr>
            <w:r w:rsidRPr="00C927B9">
              <w:rPr>
                <w:b/>
              </w:rPr>
              <w:t>Venetoclax</w:t>
            </w:r>
          </w:p>
        </w:tc>
        <w:tc>
          <w:tcPr>
            <w:tcW w:w="982" w:type="pct"/>
            <w:shd w:val="clear" w:color="auto" w:fill="auto"/>
            <w:vAlign w:val="center"/>
          </w:tcPr>
          <w:p w:rsidR="00B64EA1" w:rsidRPr="00C927B9" w:rsidRDefault="00B64EA1" w:rsidP="00863976">
            <w:pPr>
              <w:pStyle w:val="TableText"/>
              <w:keepLines/>
              <w:jc w:val="center"/>
              <w:rPr>
                <w:b/>
              </w:rPr>
            </w:pPr>
            <w:r w:rsidRPr="00C927B9">
              <w:rPr>
                <w:b/>
              </w:rPr>
              <w:t>Azacitidine</w:t>
            </w:r>
          </w:p>
        </w:tc>
        <w:tc>
          <w:tcPr>
            <w:tcW w:w="968" w:type="pct"/>
            <w:vMerge/>
            <w:shd w:val="clear" w:color="auto" w:fill="auto"/>
            <w:vAlign w:val="center"/>
          </w:tcPr>
          <w:p w:rsidR="00B64EA1" w:rsidRPr="00C927B9" w:rsidRDefault="00B64EA1" w:rsidP="00863976">
            <w:pPr>
              <w:pStyle w:val="TableText"/>
              <w:keepLines/>
              <w:rPr>
                <w:b/>
              </w:rPr>
            </w:pPr>
          </w:p>
        </w:tc>
        <w:tc>
          <w:tcPr>
            <w:tcW w:w="967" w:type="pct"/>
            <w:vMerge/>
            <w:shd w:val="clear" w:color="auto" w:fill="auto"/>
            <w:vAlign w:val="center"/>
          </w:tcPr>
          <w:p w:rsidR="00B64EA1" w:rsidRPr="00C927B9" w:rsidRDefault="00B64EA1" w:rsidP="00863976">
            <w:pPr>
              <w:pStyle w:val="TableText"/>
              <w:keepLines/>
              <w:rPr>
                <w:b/>
              </w:rPr>
            </w:pPr>
          </w:p>
        </w:tc>
      </w:tr>
      <w:tr w:rsidR="00B64EA1" w:rsidRPr="00C927B9" w:rsidTr="00574791">
        <w:trPr>
          <w:cantSplit/>
          <w:jc w:val="center"/>
        </w:trPr>
        <w:tc>
          <w:tcPr>
            <w:tcW w:w="862" w:type="pct"/>
            <w:shd w:val="clear" w:color="auto" w:fill="auto"/>
            <w:vAlign w:val="center"/>
          </w:tcPr>
          <w:p w:rsidR="00B64EA1" w:rsidRPr="00C927B9" w:rsidRDefault="00B64EA1" w:rsidP="00863976">
            <w:pPr>
              <w:pStyle w:val="TableText"/>
              <w:keepLines/>
            </w:pPr>
            <w:r w:rsidRPr="00C927B9">
              <w:t>Dos</w:t>
            </w:r>
            <w:r w:rsidR="00057DFB" w:rsidRPr="00C927B9">
              <w:t>ing regimen</w:t>
            </w:r>
            <w:r w:rsidR="0007353C" w:rsidRPr="00C927B9">
              <w:t>, continued until disease progression</w:t>
            </w:r>
          </w:p>
        </w:tc>
        <w:tc>
          <w:tcPr>
            <w:tcW w:w="1221" w:type="pct"/>
            <w:shd w:val="clear" w:color="auto" w:fill="auto"/>
            <w:vAlign w:val="center"/>
          </w:tcPr>
          <w:p w:rsidR="00B64EA1" w:rsidRPr="00C927B9" w:rsidRDefault="00B64EA1" w:rsidP="00863976">
            <w:pPr>
              <w:pStyle w:val="TableText"/>
              <w:keepLines/>
            </w:pPr>
            <w:r w:rsidRPr="00C927B9">
              <w:t xml:space="preserve">Cycle 1: </w:t>
            </w:r>
            <w:r w:rsidR="004A3643" w:rsidRPr="00C927B9">
              <w:t>100 mg Day 1, 200 mg Day 2, </w:t>
            </w:r>
            <w:r w:rsidR="004A3643" w:rsidRPr="00C927B9">
              <w:br/>
              <w:t>400 </w:t>
            </w:r>
            <w:r w:rsidRPr="00C927B9">
              <w:t>mg Day</w:t>
            </w:r>
            <w:r w:rsidR="00AA175F" w:rsidRPr="00C927B9">
              <w:t>s</w:t>
            </w:r>
            <w:r w:rsidRPr="00C927B9">
              <w:t xml:space="preserve"> 3-28;</w:t>
            </w:r>
          </w:p>
          <w:p w:rsidR="00B64EA1" w:rsidRPr="00C927B9" w:rsidRDefault="00B64EA1" w:rsidP="00863976">
            <w:pPr>
              <w:pStyle w:val="TableText"/>
              <w:keepLines/>
            </w:pPr>
            <w:r w:rsidRPr="00C927B9">
              <w:t xml:space="preserve">Cycle 2+: </w:t>
            </w:r>
            <w:r w:rsidR="004A3643" w:rsidRPr="00C927B9">
              <w:br/>
            </w:r>
            <w:r w:rsidRPr="00C927B9">
              <w:t>400 mg/day Days 1-28.</w:t>
            </w:r>
          </w:p>
        </w:tc>
        <w:tc>
          <w:tcPr>
            <w:tcW w:w="982" w:type="pct"/>
            <w:shd w:val="clear" w:color="auto" w:fill="auto"/>
            <w:vAlign w:val="center"/>
          </w:tcPr>
          <w:p w:rsidR="008B0DD7" w:rsidRPr="00C927B9" w:rsidRDefault="00B64EA1" w:rsidP="00863976">
            <w:pPr>
              <w:pStyle w:val="TableText"/>
              <w:keepLines/>
            </w:pPr>
            <w:r w:rsidRPr="00C927B9">
              <w:t>75 mg/m</w:t>
            </w:r>
            <w:r w:rsidRPr="00C927B9">
              <w:rPr>
                <w:vertAlign w:val="superscript"/>
              </w:rPr>
              <w:t>2</w:t>
            </w:r>
            <w:r w:rsidRPr="00C927B9">
              <w:t xml:space="preserve"> </w:t>
            </w:r>
            <w:r w:rsidR="008B0DD7" w:rsidRPr="00C927B9">
              <w:t xml:space="preserve">daily, </w:t>
            </w:r>
          </w:p>
          <w:p w:rsidR="00B64EA1" w:rsidRPr="00C927B9" w:rsidRDefault="00B64EA1" w:rsidP="00863976">
            <w:pPr>
              <w:pStyle w:val="TableText"/>
              <w:keepLines/>
              <w:rPr>
                <w:vertAlign w:val="superscript"/>
              </w:rPr>
            </w:pPr>
            <w:r w:rsidRPr="00C927B9">
              <w:t>Days 1-7</w:t>
            </w:r>
          </w:p>
        </w:tc>
        <w:tc>
          <w:tcPr>
            <w:tcW w:w="968" w:type="pct"/>
            <w:shd w:val="clear" w:color="auto" w:fill="auto"/>
            <w:vAlign w:val="center"/>
          </w:tcPr>
          <w:p w:rsidR="008B0DD7" w:rsidRPr="00C927B9" w:rsidRDefault="00B64EA1" w:rsidP="00863976">
            <w:pPr>
              <w:pStyle w:val="TableText"/>
              <w:keepLines/>
            </w:pPr>
            <w:r w:rsidRPr="00C927B9">
              <w:t>75 mg/m</w:t>
            </w:r>
            <w:r w:rsidRPr="00C927B9">
              <w:rPr>
                <w:vertAlign w:val="superscript"/>
              </w:rPr>
              <w:t>2</w:t>
            </w:r>
            <w:r w:rsidRPr="00C927B9">
              <w:t xml:space="preserve"> </w:t>
            </w:r>
            <w:r w:rsidR="008B0DD7" w:rsidRPr="00C927B9">
              <w:t>daily,</w:t>
            </w:r>
          </w:p>
          <w:p w:rsidR="00B64EA1" w:rsidRPr="00C927B9" w:rsidRDefault="00B64EA1" w:rsidP="00863976">
            <w:pPr>
              <w:pStyle w:val="TableText"/>
              <w:keepLines/>
            </w:pPr>
            <w:r w:rsidRPr="00C927B9">
              <w:t>Days 1-7</w:t>
            </w:r>
          </w:p>
        </w:tc>
        <w:tc>
          <w:tcPr>
            <w:tcW w:w="967" w:type="pct"/>
            <w:shd w:val="clear" w:color="auto" w:fill="auto"/>
            <w:vAlign w:val="center"/>
          </w:tcPr>
          <w:p w:rsidR="008B0DD7" w:rsidRPr="00C927B9" w:rsidRDefault="00B64EA1" w:rsidP="00863976">
            <w:pPr>
              <w:pStyle w:val="TableText"/>
              <w:keepLines/>
            </w:pPr>
            <w:r w:rsidRPr="00C927B9">
              <w:t>20 mg/m</w:t>
            </w:r>
            <w:r w:rsidRPr="00C927B9">
              <w:rPr>
                <w:vertAlign w:val="superscript"/>
              </w:rPr>
              <w:t>2</w:t>
            </w:r>
            <w:r w:rsidRPr="00C927B9">
              <w:t xml:space="preserve"> </w:t>
            </w:r>
            <w:r w:rsidR="008B0DD7" w:rsidRPr="00C927B9">
              <w:t>daily,</w:t>
            </w:r>
          </w:p>
          <w:p w:rsidR="00B64EA1" w:rsidRPr="00C927B9" w:rsidRDefault="00B64EA1" w:rsidP="00863976">
            <w:pPr>
              <w:pStyle w:val="TableText"/>
              <w:keepLines/>
            </w:pPr>
            <w:r w:rsidRPr="00C927B9">
              <w:t>Days 1-10</w:t>
            </w:r>
          </w:p>
        </w:tc>
      </w:tr>
      <w:tr w:rsidR="00B64EA1" w:rsidRPr="00C927B9" w:rsidTr="00574791">
        <w:trPr>
          <w:cantSplit/>
          <w:jc w:val="center"/>
        </w:trPr>
        <w:tc>
          <w:tcPr>
            <w:tcW w:w="862" w:type="pct"/>
            <w:shd w:val="clear" w:color="auto" w:fill="auto"/>
            <w:vAlign w:val="center"/>
          </w:tcPr>
          <w:p w:rsidR="00B64EA1" w:rsidRPr="00C927B9" w:rsidRDefault="00B64EA1" w:rsidP="00863976">
            <w:pPr>
              <w:pStyle w:val="TableText"/>
              <w:keepLines/>
            </w:pPr>
            <w:r w:rsidRPr="00C927B9">
              <w:t>Dose intensity</w:t>
            </w:r>
          </w:p>
        </w:tc>
        <w:tc>
          <w:tcPr>
            <w:tcW w:w="1221" w:type="pct"/>
            <w:shd w:val="clear" w:color="auto" w:fill="auto"/>
            <w:vAlign w:val="center"/>
          </w:tcPr>
          <w:p w:rsidR="00B64EA1" w:rsidRPr="00C927B9" w:rsidRDefault="00B64EA1" w:rsidP="00863976">
            <w:pPr>
              <w:pStyle w:val="TableText"/>
              <w:keepLines/>
            </w:pPr>
            <w:r w:rsidRPr="00C927B9">
              <w:t>73.2%</w:t>
            </w:r>
            <w:r w:rsidR="00697CE5" w:rsidRPr="00C927B9">
              <w:rPr>
                <w:vertAlign w:val="superscript"/>
              </w:rPr>
              <w:t>a</w:t>
            </w:r>
          </w:p>
        </w:tc>
        <w:tc>
          <w:tcPr>
            <w:tcW w:w="982" w:type="pct"/>
            <w:shd w:val="clear" w:color="auto" w:fill="auto"/>
            <w:vAlign w:val="center"/>
          </w:tcPr>
          <w:p w:rsidR="00B64EA1" w:rsidRPr="00C927B9" w:rsidRDefault="00B64EA1" w:rsidP="00863976">
            <w:pPr>
              <w:pStyle w:val="TableText"/>
              <w:keepLines/>
            </w:pPr>
            <w:r w:rsidRPr="00C927B9">
              <w:t>73.2%</w:t>
            </w:r>
            <w:r w:rsidR="00FE74F4" w:rsidRPr="00C927B9">
              <w:rPr>
                <w:vertAlign w:val="superscript"/>
              </w:rPr>
              <w:t>a</w:t>
            </w:r>
          </w:p>
        </w:tc>
        <w:tc>
          <w:tcPr>
            <w:tcW w:w="968" w:type="pct"/>
            <w:shd w:val="clear" w:color="auto" w:fill="auto"/>
            <w:vAlign w:val="center"/>
          </w:tcPr>
          <w:p w:rsidR="00B64EA1" w:rsidRPr="00C927B9" w:rsidRDefault="00B64EA1" w:rsidP="00863976">
            <w:pPr>
              <w:pStyle w:val="TableText"/>
              <w:keepLines/>
            </w:pPr>
            <w:r w:rsidRPr="00C927B9">
              <w:t>90.4%</w:t>
            </w:r>
            <w:r w:rsidR="00FE74F4" w:rsidRPr="00C927B9">
              <w:rPr>
                <w:vertAlign w:val="superscript"/>
              </w:rPr>
              <w:t>b</w:t>
            </w:r>
          </w:p>
        </w:tc>
        <w:tc>
          <w:tcPr>
            <w:tcW w:w="967" w:type="pct"/>
            <w:shd w:val="clear" w:color="auto" w:fill="auto"/>
            <w:vAlign w:val="center"/>
          </w:tcPr>
          <w:p w:rsidR="00B64EA1" w:rsidRPr="00C927B9" w:rsidRDefault="00B64EA1" w:rsidP="00863976">
            <w:pPr>
              <w:pStyle w:val="TableText"/>
              <w:keepLines/>
            </w:pPr>
            <w:r w:rsidRPr="00C927B9">
              <w:t>98.6%</w:t>
            </w:r>
            <w:r w:rsidR="00FE74F4" w:rsidRPr="00C927B9">
              <w:rPr>
                <w:vertAlign w:val="superscript"/>
              </w:rPr>
              <w:t>c</w:t>
            </w:r>
          </w:p>
        </w:tc>
      </w:tr>
      <w:tr w:rsidR="00B64EA1" w:rsidRPr="00C927B9" w:rsidTr="00574791">
        <w:trPr>
          <w:cantSplit/>
          <w:jc w:val="center"/>
        </w:trPr>
        <w:tc>
          <w:tcPr>
            <w:tcW w:w="862" w:type="pct"/>
            <w:shd w:val="clear" w:color="auto" w:fill="auto"/>
            <w:vAlign w:val="center"/>
          </w:tcPr>
          <w:p w:rsidR="00B64EA1" w:rsidRPr="00C927B9" w:rsidRDefault="00B64EA1" w:rsidP="00863976">
            <w:pPr>
              <w:pStyle w:val="TableText"/>
              <w:keepLines/>
            </w:pPr>
            <w:r w:rsidRPr="00C927B9">
              <w:t>Dose per administration</w:t>
            </w:r>
          </w:p>
        </w:tc>
        <w:tc>
          <w:tcPr>
            <w:tcW w:w="1221" w:type="pct"/>
            <w:shd w:val="clear" w:color="auto" w:fill="auto"/>
            <w:vAlign w:val="center"/>
          </w:tcPr>
          <w:p w:rsidR="00B64EA1" w:rsidRPr="00C927B9" w:rsidRDefault="000579EF" w:rsidP="00863976">
            <w:pPr>
              <w:pStyle w:val="TableText"/>
              <w:keepLines/>
            </w:pPr>
            <w:r w:rsidRPr="00C927B9">
              <w:t xml:space="preserve">Cycle 1: </w:t>
            </w:r>
            <w:r w:rsidR="00B64EA1" w:rsidRPr="00C927B9">
              <w:t>7</w:t>
            </w:r>
            <w:r w:rsidR="00272A58" w:rsidRPr="00C927B9">
              <w:t>,</w:t>
            </w:r>
            <w:r w:rsidR="00B64EA1" w:rsidRPr="00C927B9">
              <w:t>832.4 mg/cycle</w:t>
            </w:r>
            <w:r w:rsidR="006B1B4E" w:rsidRPr="00C927B9">
              <w:rPr>
                <w:vertAlign w:val="superscript"/>
              </w:rPr>
              <w:t>d</w:t>
            </w:r>
          </w:p>
          <w:p w:rsidR="00B64EA1" w:rsidRPr="00C927B9" w:rsidRDefault="000579EF" w:rsidP="00863976">
            <w:pPr>
              <w:pStyle w:val="TableText"/>
              <w:keepLines/>
              <w:rPr>
                <w:highlight w:val="yellow"/>
              </w:rPr>
            </w:pPr>
            <w:r w:rsidRPr="00C927B9">
              <w:t xml:space="preserve">Cycle 2+: </w:t>
            </w:r>
            <w:r w:rsidR="00B64EA1" w:rsidRPr="00C927B9">
              <w:t>8,198.4 mg/</w:t>
            </w:r>
            <w:proofErr w:type="spellStart"/>
            <w:r w:rsidR="00B64EA1" w:rsidRPr="00C927B9">
              <w:t>cycle</w:t>
            </w:r>
            <w:r w:rsidR="006B1B4E" w:rsidRPr="00C927B9">
              <w:rPr>
                <w:vertAlign w:val="superscript"/>
              </w:rPr>
              <w:t>e</w:t>
            </w:r>
            <w:proofErr w:type="spellEnd"/>
          </w:p>
        </w:tc>
        <w:tc>
          <w:tcPr>
            <w:tcW w:w="982" w:type="pct"/>
            <w:shd w:val="clear" w:color="auto" w:fill="auto"/>
            <w:vAlign w:val="center"/>
          </w:tcPr>
          <w:p w:rsidR="00B64EA1" w:rsidRPr="00C927B9" w:rsidRDefault="00B64EA1" w:rsidP="00863976">
            <w:pPr>
              <w:pStyle w:val="TableText"/>
              <w:keepLines/>
            </w:pPr>
            <w:r w:rsidRPr="00C927B9">
              <w:t xml:space="preserve">99.4 </w:t>
            </w:r>
            <w:proofErr w:type="spellStart"/>
            <w:r w:rsidRPr="00C927B9">
              <w:t>mg</w:t>
            </w:r>
            <w:r w:rsidR="00F742AE" w:rsidRPr="00C927B9">
              <w:rPr>
                <w:vertAlign w:val="superscript"/>
              </w:rPr>
              <w:t>f</w:t>
            </w:r>
            <w:proofErr w:type="spellEnd"/>
          </w:p>
        </w:tc>
        <w:tc>
          <w:tcPr>
            <w:tcW w:w="968" w:type="pct"/>
            <w:shd w:val="clear" w:color="auto" w:fill="auto"/>
            <w:vAlign w:val="center"/>
          </w:tcPr>
          <w:p w:rsidR="00B64EA1" w:rsidRPr="00C927B9" w:rsidRDefault="00B64EA1" w:rsidP="00863976">
            <w:pPr>
              <w:pStyle w:val="TableText"/>
              <w:keepLines/>
            </w:pPr>
            <w:r w:rsidRPr="00C927B9">
              <w:t xml:space="preserve">122.7 </w:t>
            </w:r>
            <w:proofErr w:type="spellStart"/>
            <w:r w:rsidRPr="00C927B9">
              <w:t>mg</w:t>
            </w:r>
            <w:r w:rsidR="00FB34B1" w:rsidRPr="00C927B9">
              <w:rPr>
                <w:vertAlign w:val="superscript"/>
              </w:rPr>
              <w:t>g</w:t>
            </w:r>
            <w:proofErr w:type="spellEnd"/>
          </w:p>
        </w:tc>
        <w:tc>
          <w:tcPr>
            <w:tcW w:w="967" w:type="pct"/>
            <w:shd w:val="clear" w:color="auto" w:fill="auto"/>
            <w:vAlign w:val="center"/>
          </w:tcPr>
          <w:p w:rsidR="00B64EA1" w:rsidRPr="00C927B9" w:rsidRDefault="00B64EA1" w:rsidP="00863976">
            <w:pPr>
              <w:pStyle w:val="TableText"/>
              <w:keepLines/>
            </w:pPr>
            <w:r w:rsidRPr="00C927B9">
              <w:t xml:space="preserve">35.7 </w:t>
            </w:r>
            <w:proofErr w:type="spellStart"/>
            <w:r w:rsidRPr="00C927B9">
              <w:t>mg</w:t>
            </w:r>
            <w:r w:rsidR="00FB34B1" w:rsidRPr="00C927B9">
              <w:rPr>
                <w:vertAlign w:val="superscript"/>
              </w:rPr>
              <w:t>h</w:t>
            </w:r>
            <w:proofErr w:type="spellEnd"/>
          </w:p>
        </w:tc>
      </w:tr>
      <w:tr w:rsidR="00B64EA1" w:rsidRPr="00C927B9" w:rsidTr="00574791">
        <w:trPr>
          <w:cantSplit/>
          <w:jc w:val="center"/>
        </w:trPr>
        <w:tc>
          <w:tcPr>
            <w:tcW w:w="862" w:type="pct"/>
            <w:shd w:val="clear" w:color="auto" w:fill="auto"/>
            <w:vAlign w:val="center"/>
          </w:tcPr>
          <w:p w:rsidR="00B64EA1" w:rsidRPr="00C927B9" w:rsidRDefault="00B64EA1" w:rsidP="00863976">
            <w:pPr>
              <w:pStyle w:val="TableText"/>
              <w:keepLines/>
            </w:pPr>
            <w:r w:rsidRPr="00C927B9">
              <w:t>Packs/vials per 28-day cycle</w:t>
            </w:r>
          </w:p>
        </w:tc>
        <w:tc>
          <w:tcPr>
            <w:tcW w:w="1221" w:type="pct"/>
            <w:shd w:val="clear" w:color="auto" w:fill="auto"/>
            <w:vAlign w:val="center"/>
          </w:tcPr>
          <w:p w:rsidR="00B64EA1" w:rsidRPr="00C927B9" w:rsidRDefault="00B64EA1" w:rsidP="00863976">
            <w:pPr>
              <w:pStyle w:val="TableText"/>
              <w:keepLines/>
            </w:pPr>
            <w:r w:rsidRPr="00C927B9">
              <w:t xml:space="preserve">Cycle 1: 0.6527 </w:t>
            </w:r>
            <w:proofErr w:type="spellStart"/>
            <w:r w:rsidRPr="00C927B9">
              <w:t>packs</w:t>
            </w:r>
            <w:r w:rsidR="00B946DD" w:rsidRPr="00C927B9">
              <w:rPr>
                <w:vertAlign w:val="superscript"/>
              </w:rPr>
              <w:t>i</w:t>
            </w:r>
            <w:proofErr w:type="spellEnd"/>
          </w:p>
          <w:p w:rsidR="00B64EA1" w:rsidRPr="00C927B9" w:rsidRDefault="00B64EA1" w:rsidP="00863976">
            <w:pPr>
              <w:pStyle w:val="TableText"/>
              <w:keepLines/>
              <w:rPr>
                <w:highlight w:val="yellow"/>
              </w:rPr>
            </w:pPr>
            <w:r w:rsidRPr="00C927B9">
              <w:t xml:space="preserve">Cycles 2+: 0.6832 </w:t>
            </w:r>
            <w:proofErr w:type="spellStart"/>
            <w:r w:rsidRPr="00C927B9">
              <w:t>packs</w:t>
            </w:r>
            <w:r w:rsidR="00B946DD" w:rsidRPr="00C927B9">
              <w:rPr>
                <w:vertAlign w:val="superscript"/>
              </w:rPr>
              <w:t>j</w:t>
            </w:r>
            <w:proofErr w:type="spellEnd"/>
          </w:p>
        </w:tc>
        <w:tc>
          <w:tcPr>
            <w:tcW w:w="982" w:type="pct"/>
            <w:shd w:val="clear" w:color="auto" w:fill="auto"/>
            <w:vAlign w:val="center"/>
          </w:tcPr>
          <w:p w:rsidR="00B64EA1" w:rsidRPr="00C927B9" w:rsidRDefault="00B64EA1" w:rsidP="00863976">
            <w:pPr>
              <w:pStyle w:val="TableText"/>
              <w:keepLines/>
            </w:pPr>
            <w:r w:rsidRPr="00C927B9">
              <w:t>7</w:t>
            </w:r>
            <w:r w:rsidR="00543758" w:rsidRPr="00C927B9">
              <w:t xml:space="preserve"> </w:t>
            </w:r>
            <w:proofErr w:type="spellStart"/>
            <w:r w:rsidR="00543758" w:rsidRPr="00C927B9">
              <w:t>vials</w:t>
            </w:r>
            <w:r w:rsidR="001F766E" w:rsidRPr="00C927B9">
              <w:rPr>
                <w:vertAlign w:val="superscript"/>
              </w:rPr>
              <w:t>k</w:t>
            </w:r>
            <w:proofErr w:type="spellEnd"/>
          </w:p>
        </w:tc>
        <w:tc>
          <w:tcPr>
            <w:tcW w:w="968" w:type="pct"/>
            <w:shd w:val="clear" w:color="auto" w:fill="auto"/>
            <w:vAlign w:val="center"/>
          </w:tcPr>
          <w:p w:rsidR="00B64EA1" w:rsidRPr="00C927B9" w:rsidRDefault="00B64EA1" w:rsidP="00863976">
            <w:pPr>
              <w:pStyle w:val="TableText"/>
              <w:keepLines/>
            </w:pPr>
            <w:r w:rsidRPr="00C927B9">
              <w:t>14</w:t>
            </w:r>
            <w:r w:rsidR="00543758" w:rsidRPr="00C927B9">
              <w:t xml:space="preserve"> </w:t>
            </w:r>
            <w:proofErr w:type="spellStart"/>
            <w:r w:rsidR="00543758" w:rsidRPr="00C927B9">
              <w:t>vials</w:t>
            </w:r>
            <w:r w:rsidR="001F766E" w:rsidRPr="00C927B9">
              <w:rPr>
                <w:vertAlign w:val="superscript"/>
              </w:rPr>
              <w:t>l</w:t>
            </w:r>
            <w:proofErr w:type="spellEnd"/>
          </w:p>
        </w:tc>
        <w:tc>
          <w:tcPr>
            <w:tcW w:w="967" w:type="pct"/>
            <w:shd w:val="clear" w:color="auto" w:fill="auto"/>
            <w:vAlign w:val="center"/>
          </w:tcPr>
          <w:p w:rsidR="00B64EA1" w:rsidRPr="00C927B9" w:rsidRDefault="00B64EA1" w:rsidP="00863976">
            <w:pPr>
              <w:pStyle w:val="TableText"/>
              <w:keepLines/>
            </w:pPr>
            <w:r w:rsidRPr="00C927B9">
              <w:t xml:space="preserve">10 </w:t>
            </w:r>
            <w:proofErr w:type="spellStart"/>
            <w:r w:rsidRPr="00C927B9">
              <w:t>vials</w:t>
            </w:r>
            <w:r w:rsidR="00543758" w:rsidRPr="00C927B9">
              <w:rPr>
                <w:vertAlign w:val="superscript"/>
              </w:rPr>
              <w:t>m</w:t>
            </w:r>
            <w:proofErr w:type="spellEnd"/>
          </w:p>
        </w:tc>
      </w:tr>
      <w:tr w:rsidR="00446CFB" w:rsidRPr="00C927B9" w:rsidTr="00574791">
        <w:trPr>
          <w:cantSplit/>
          <w:jc w:val="center"/>
        </w:trPr>
        <w:tc>
          <w:tcPr>
            <w:tcW w:w="862" w:type="pct"/>
            <w:shd w:val="clear" w:color="auto" w:fill="auto"/>
            <w:vAlign w:val="center"/>
          </w:tcPr>
          <w:p w:rsidR="00446CFB" w:rsidRPr="00C927B9" w:rsidRDefault="00446CFB" w:rsidP="00863976">
            <w:pPr>
              <w:pStyle w:val="TableText"/>
              <w:keepLines/>
            </w:pPr>
            <w:r w:rsidRPr="00C927B9">
              <w:t>Cost/script</w:t>
            </w:r>
          </w:p>
        </w:tc>
        <w:tc>
          <w:tcPr>
            <w:tcW w:w="1221" w:type="pct"/>
            <w:shd w:val="clear" w:color="auto" w:fill="auto"/>
            <w:vAlign w:val="center"/>
          </w:tcPr>
          <w:p w:rsidR="00446CFB" w:rsidRPr="00C927B9" w:rsidRDefault="00446CFB" w:rsidP="00863976">
            <w:pPr>
              <w:pStyle w:val="TableText"/>
              <w:keepLines/>
            </w:pPr>
            <w:r w:rsidRPr="00C927B9">
              <w:t>$</w:t>
            </w:r>
            <w:r w:rsidR="004F2A12">
              <w:rPr>
                <w:noProof/>
                <w:color w:val="000000"/>
                <w:highlight w:val="black"/>
              </w:rPr>
              <w:t>'''''''''''''''''''''</w:t>
            </w:r>
            <w:r w:rsidRPr="00C927B9">
              <w:t xml:space="preserve"> (effective)</w:t>
            </w:r>
          </w:p>
          <w:p w:rsidR="00446CFB" w:rsidRPr="00C927B9" w:rsidRDefault="00446CFB" w:rsidP="00863976">
            <w:pPr>
              <w:pStyle w:val="TableText"/>
              <w:keepLines/>
            </w:pPr>
            <w:r w:rsidRPr="00C927B9">
              <w:t>for 120×100 mg tablets</w:t>
            </w:r>
          </w:p>
        </w:tc>
        <w:tc>
          <w:tcPr>
            <w:tcW w:w="982" w:type="pct"/>
            <w:shd w:val="clear" w:color="auto" w:fill="auto"/>
            <w:vAlign w:val="center"/>
          </w:tcPr>
          <w:p w:rsidR="00446CFB" w:rsidRPr="00C927B9" w:rsidRDefault="00446CFB" w:rsidP="00863976">
            <w:pPr>
              <w:pStyle w:val="TableText"/>
              <w:keepLines/>
            </w:pPr>
            <w:r w:rsidRPr="00C927B9">
              <w:t>$2,192.54 (public)</w:t>
            </w:r>
          </w:p>
          <w:p w:rsidR="00446CFB" w:rsidRPr="00C927B9" w:rsidRDefault="00446CFB" w:rsidP="00863976">
            <w:pPr>
              <w:pStyle w:val="TableText"/>
              <w:keepLines/>
            </w:pPr>
            <w:r w:rsidRPr="00C927B9">
              <w:t>$2,240.32 (private)</w:t>
            </w:r>
          </w:p>
          <w:p w:rsidR="00446CFB" w:rsidRPr="00C927B9" w:rsidRDefault="00446CFB" w:rsidP="00863976">
            <w:pPr>
              <w:pStyle w:val="TableText"/>
              <w:keepLines/>
            </w:pPr>
            <w:r w:rsidRPr="00C927B9">
              <w:t>for 14×100 mg vials</w:t>
            </w:r>
          </w:p>
        </w:tc>
        <w:tc>
          <w:tcPr>
            <w:tcW w:w="968" w:type="pct"/>
            <w:shd w:val="clear" w:color="auto" w:fill="auto"/>
            <w:vAlign w:val="center"/>
          </w:tcPr>
          <w:p w:rsidR="00446CFB" w:rsidRPr="00C927B9" w:rsidRDefault="00446CFB" w:rsidP="00863976">
            <w:pPr>
              <w:pStyle w:val="TableText"/>
              <w:keepLines/>
            </w:pPr>
            <w:r w:rsidRPr="00C927B9">
              <w:t>$2,192.54 (public)</w:t>
            </w:r>
          </w:p>
          <w:p w:rsidR="00446CFB" w:rsidRPr="00C927B9" w:rsidRDefault="00446CFB" w:rsidP="00863976">
            <w:pPr>
              <w:pStyle w:val="TableText"/>
              <w:keepLines/>
            </w:pPr>
            <w:r w:rsidRPr="00C927B9">
              <w:t>$2,240.32 (private)</w:t>
            </w:r>
          </w:p>
          <w:p w:rsidR="00446CFB" w:rsidRPr="00C927B9" w:rsidRDefault="00446CFB" w:rsidP="00863976">
            <w:pPr>
              <w:pStyle w:val="TableText"/>
              <w:keepLines/>
            </w:pPr>
            <w:r w:rsidRPr="00C927B9">
              <w:t>for 14×100 mg vials</w:t>
            </w:r>
          </w:p>
        </w:tc>
        <w:tc>
          <w:tcPr>
            <w:tcW w:w="967" w:type="pct"/>
            <w:shd w:val="clear" w:color="auto" w:fill="auto"/>
            <w:vAlign w:val="center"/>
          </w:tcPr>
          <w:p w:rsidR="00446CFB" w:rsidRPr="00C927B9" w:rsidRDefault="00955017" w:rsidP="00863976">
            <w:pPr>
              <w:pStyle w:val="TableText"/>
              <w:keepLines/>
            </w:pPr>
            <w:r w:rsidRPr="00C927B9">
              <w:t>$</w:t>
            </w:r>
            <w:r w:rsidR="002B600F" w:rsidRPr="00C927B9">
              <w:t>199.75 (public)</w:t>
            </w:r>
          </w:p>
          <w:p w:rsidR="002B600F" w:rsidRPr="00C927B9" w:rsidRDefault="002B600F" w:rsidP="00863976">
            <w:pPr>
              <w:pStyle w:val="TableText"/>
              <w:keepLines/>
            </w:pPr>
            <w:r w:rsidRPr="00C927B9">
              <w:t>$241.99 (private)</w:t>
            </w:r>
          </w:p>
          <w:p w:rsidR="002B600F" w:rsidRPr="00C927B9" w:rsidRDefault="002B600F" w:rsidP="00863976">
            <w:pPr>
              <w:pStyle w:val="TableText"/>
              <w:keepLines/>
            </w:pPr>
            <w:r w:rsidRPr="00C927B9">
              <w:t xml:space="preserve">for 10×100 mg </w:t>
            </w:r>
            <w:proofErr w:type="spellStart"/>
            <w:r w:rsidRPr="00C927B9">
              <w:t>vials</w:t>
            </w:r>
            <w:r w:rsidR="00876D8C" w:rsidRPr="00C927B9">
              <w:rPr>
                <w:vertAlign w:val="superscript"/>
              </w:rPr>
              <w:t>n</w:t>
            </w:r>
            <w:proofErr w:type="spellEnd"/>
          </w:p>
        </w:tc>
      </w:tr>
      <w:tr w:rsidR="00446CFB" w:rsidRPr="00C927B9" w:rsidTr="00574791">
        <w:trPr>
          <w:cantSplit/>
          <w:jc w:val="center"/>
        </w:trPr>
        <w:tc>
          <w:tcPr>
            <w:tcW w:w="862" w:type="pct"/>
            <w:shd w:val="clear" w:color="auto" w:fill="auto"/>
            <w:vAlign w:val="center"/>
          </w:tcPr>
          <w:p w:rsidR="00446CFB" w:rsidRPr="00C927B9" w:rsidRDefault="00446CFB" w:rsidP="00863976">
            <w:pPr>
              <w:pStyle w:val="TableText"/>
              <w:keepLines/>
            </w:pPr>
            <w:r w:rsidRPr="00C927B9">
              <w:t>Cost/cycle</w:t>
            </w:r>
          </w:p>
        </w:tc>
        <w:tc>
          <w:tcPr>
            <w:tcW w:w="1221" w:type="pct"/>
            <w:shd w:val="clear" w:color="auto" w:fill="auto"/>
            <w:vAlign w:val="center"/>
          </w:tcPr>
          <w:p w:rsidR="00446CFB" w:rsidRPr="00C927B9" w:rsidRDefault="00446CFB" w:rsidP="00863976">
            <w:pPr>
              <w:pStyle w:val="TableText"/>
              <w:keepLines/>
            </w:pPr>
            <w:r w:rsidRPr="00C927B9">
              <w:t>Cycle 1: $</w:t>
            </w:r>
            <w:r w:rsidR="004F2A12">
              <w:rPr>
                <w:noProof/>
                <w:color w:val="000000"/>
                <w:highlight w:val="black"/>
              </w:rPr>
              <w:t>''''''''''''''''''''</w:t>
            </w:r>
          </w:p>
          <w:p w:rsidR="00446CFB" w:rsidRPr="00C927B9" w:rsidRDefault="00446CFB" w:rsidP="00863976">
            <w:pPr>
              <w:pStyle w:val="TableText"/>
              <w:keepLines/>
            </w:pPr>
            <w:r w:rsidRPr="00C927B9">
              <w:t>Cycles 2+: $</w:t>
            </w:r>
            <w:r w:rsidR="004F2A12">
              <w:rPr>
                <w:noProof/>
                <w:color w:val="000000"/>
                <w:highlight w:val="black"/>
              </w:rPr>
              <w:t>'''''''''''''''''''</w:t>
            </w:r>
          </w:p>
        </w:tc>
        <w:tc>
          <w:tcPr>
            <w:tcW w:w="982" w:type="pct"/>
            <w:shd w:val="clear" w:color="auto" w:fill="auto"/>
            <w:vAlign w:val="center"/>
          </w:tcPr>
          <w:p w:rsidR="00446CFB" w:rsidRPr="00C927B9" w:rsidRDefault="00446CFB" w:rsidP="00863976">
            <w:pPr>
              <w:pStyle w:val="TableText"/>
              <w:keepLines/>
            </w:pPr>
            <w:r w:rsidRPr="00C927B9">
              <w:t>$1,105.60</w:t>
            </w:r>
            <w:r w:rsidR="00CD4B10" w:rsidRPr="00C927B9">
              <w:rPr>
                <w:vertAlign w:val="superscript"/>
              </w:rPr>
              <w:t>o</w:t>
            </w:r>
          </w:p>
        </w:tc>
        <w:tc>
          <w:tcPr>
            <w:tcW w:w="968" w:type="pct"/>
            <w:shd w:val="clear" w:color="auto" w:fill="auto"/>
            <w:vAlign w:val="center"/>
          </w:tcPr>
          <w:p w:rsidR="00446CFB" w:rsidRPr="00C927B9" w:rsidRDefault="00446CFB" w:rsidP="00863976">
            <w:pPr>
              <w:pStyle w:val="TableText"/>
              <w:keepLines/>
            </w:pPr>
            <w:r w:rsidRPr="00C927B9">
              <w:t>$2,211.20</w:t>
            </w:r>
            <w:r w:rsidR="00CD4B10" w:rsidRPr="00C927B9">
              <w:rPr>
                <w:vertAlign w:val="superscript"/>
              </w:rPr>
              <w:t>p</w:t>
            </w:r>
          </w:p>
        </w:tc>
        <w:tc>
          <w:tcPr>
            <w:tcW w:w="967" w:type="pct"/>
            <w:shd w:val="clear" w:color="auto" w:fill="auto"/>
            <w:vAlign w:val="center"/>
          </w:tcPr>
          <w:p w:rsidR="00446CFB" w:rsidRPr="00C927B9" w:rsidRDefault="00446CFB" w:rsidP="00863976">
            <w:pPr>
              <w:pStyle w:val="TableText"/>
              <w:keepLines/>
            </w:pPr>
            <w:r w:rsidRPr="00C927B9">
              <w:t>$216.25</w:t>
            </w:r>
            <w:r w:rsidR="00CD4B10" w:rsidRPr="00C927B9">
              <w:rPr>
                <w:vertAlign w:val="superscript"/>
              </w:rPr>
              <w:t>p</w:t>
            </w:r>
          </w:p>
        </w:tc>
      </w:tr>
      <w:tr w:rsidR="00446CFB" w:rsidRPr="00C927B9" w:rsidTr="00574791">
        <w:trPr>
          <w:cantSplit/>
          <w:jc w:val="center"/>
        </w:trPr>
        <w:tc>
          <w:tcPr>
            <w:tcW w:w="862" w:type="pct"/>
            <w:shd w:val="clear" w:color="auto" w:fill="auto"/>
            <w:vAlign w:val="center"/>
          </w:tcPr>
          <w:p w:rsidR="00446CFB" w:rsidRPr="00C927B9" w:rsidRDefault="00446CFB" w:rsidP="00863976">
            <w:pPr>
              <w:pStyle w:val="TableText"/>
              <w:keepLines/>
            </w:pPr>
            <w:r w:rsidRPr="00C927B9">
              <w:t>Mean duration of treatment</w:t>
            </w:r>
          </w:p>
        </w:tc>
        <w:tc>
          <w:tcPr>
            <w:tcW w:w="1221" w:type="pct"/>
            <w:shd w:val="clear" w:color="auto" w:fill="auto"/>
            <w:vAlign w:val="center"/>
          </w:tcPr>
          <w:p w:rsidR="00446CFB" w:rsidRPr="00C927B9" w:rsidRDefault="00446CFB" w:rsidP="00863976">
            <w:pPr>
              <w:pStyle w:val="TableText"/>
              <w:keepLines/>
              <w:rPr>
                <w:vertAlign w:val="superscript"/>
              </w:rPr>
            </w:pPr>
            <w:r w:rsidRPr="00C927B9">
              <w:t xml:space="preserve">20.17 </w:t>
            </w:r>
            <w:proofErr w:type="spellStart"/>
            <w:r w:rsidRPr="00C927B9">
              <w:t>cycles</w:t>
            </w:r>
            <w:r w:rsidR="00F01E2D" w:rsidRPr="00C927B9">
              <w:rPr>
                <w:vertAlign w:val="superscript"/>
              </w:rPr>
              <w:t>q</w:t>
            </w:r>
            <w:proofErr w:type="spellEnd"/>
          </w:p>
        </w:tc>
        <w:tc>
          <w:tcPr>
            <w:tcW w:w="982" w:type="pct"/>
            <w:shd w:val="clear" w:color="auto" w:fill="auto"/>
            <w:vAlign w:val="center"/>
          </w:tcPr>
          <w:p w:rsidR="00446CFB" w:rsidRPr="00C927B9" w:rsidRDefault="00446CFB" w:rsidP="00863976">
            <w:pPr>
              <w:pStyle w:val="TableText"/>
              <w:keepLines/>
              <w:rPr>
                <w:vertAlign w:val="superscript"/>
              </w:rPr>
            </w:pPr>
            <w:r w:rsidRPr="00C927B9">
              <w:t xml:space="preserve">20.17 </w:t>
            </w:r>
            <w:proofErr w:type="spellStart"/>
            <w:r w:rsidRPr="00C927B9">
              <w:t>cycles</w:t>
            </w:r>
            <w:r w:rsidR="00F01E2D" w:rsidRPr="00C927B9">
              <w:rPr>
                <w:vertAlign w:val="superscript"/>
              </w:rPr>
              <w:t>q</w:t>
            </w:r>
            <w:proofErr w:type="spellEnd"/>
          </w:p>
        </w:tc>
        <w:tc>
          <w:tcPr>
            <w:tcW w:w="968" w:type="pct"/>
            <w:shd w:val="clear" w:color="auto" w:fill="auto"/>
            <w:vAlign w:val="center"/>
          </w:tcPr>
          <w:p w:rsidR="00446CFB" w:rsidRPr="00C927B9" w:rsidRDefault="00446CFB" w:rsidP="00863976">
            <w:pPr>
              <w:pStyle w:val="TableText"/>
              <w:keepLines/>
            </w:pPr>
            <w:r w:rsidRPr="00C927B9">
              <w:t xml:space="preserve">8.93 </w:t>
            </w:r>
            <w:proofErr w:type="spellStart"/>
            <w:r w:rsidRPr="00C927B9">
              <w:t>cycles</w:t>
            </w:r>
            <w:r w:rsidR="00F80029" w:rsidRPr="00C927B9">
              <w:rPr>
                <w:vertAlign w:val="superscript"/>
              </w:rPr>
              <w:t>r</w:t>
            </w:r>
            <w:proofErr w:type="spellEnd"/>
          </w:p>
        </w:tc>
        <w:tc>
          <w:tcPr>
            <w:tcW w:w="967" w:type="pct"/>
            <w:shd w:val="clear" w:color="auto" w:fill="auto"/>
            <w:vAlign w:val="center"/>
          </w:tcPr>
          <w:p w:rsidR="00446CFB" w:rsidRPr="00C927B9" w:rsidRDefault="00446CFB" w:rsidP="00863976">
            <w:pPr>
              <w:pStyle w:val="TableText"/>
              <w:keepLines/>
            </w:pPr>
            <w:r w:rsidRPr="00C927B9">
              <w:t xml:space="preserve">7.39 </w:t>
            </w:r>
            <w:proofErr w:type="spellStart"/>
            <w:r w:rsidRPr="00C927B9">
              <w:t>cycles</w:t>
            </w:r>
            <w:r w:rsidR="00F80029" w:rsidRPr="00C927B9">
              <w:rPr>
                <w:vertAlign w:val="superscript"/>
              </w:rPr>
              <w:t>s</w:t>
            </w:r>
            <w:proofErr w:type="spellEnd"/>
          </w:p>
        </w:tc>
      </w:tr>
      <w:tr w:rsidR="00446CFB" w:rsidRPr="00C927B9" w:rsidTr="00574791">
        <w:trPr>
          <w:cantSplit/>
          <w:jc w:val="center"/>
        </w:trPr>
        <w:tc>
          <w:tcPr>
            <w:tcW w:w="862" w:type="pct"/>
            <w:shd w:val="clear" w:color="auto" w:fill="auto"/>
            <w:vAlign w:val="center"/>
          </w:tcPr>
          <w:p w:rsidR="00446CFB" w:rsidRPr="00C927B9" w:rsidRDefault="00446CFB" w:rsidP="00863976">
            <w:pPr>
              <w:pStyle w:val="TableText"/>
              <w:keepLines/>
              <w:rPr>
                <w:vertAlign w:val="superscript"/>
              </w:rPr>
            </w:pPr>
            <w:r w:rsidRPr="00C927B9">
              <w:t>Cost/</w:t>
            </w:r>
            <w:proofErr w:type="spellStart"/>
            <w:r w:rsidRPr="00C927B9">
              <w:t>pt</w:t>
            </w:r>
            <w:proofErr w:type="spellEnd"/>
            <w:r w:rsidRPr="00C927B9">
              <w:t>/course</w:t>
            </w:r>
          </w:p>
        </w:tc>
        <w:tc>
          <w:tcPr>
            <w:tcW w:w="1221" w:type="pct"/>
            <w:shd w:val="clear" w:color="auto" w:fill="auto"/>
          </w:tcPr>
          <w:p w:rsidR="00446CFB" w:rsidRPr="00BD7382" w:rsidRDefault="00446CFB" w:rsidP="00863976">
            <w:pPr>
              <w:pStyle w:val="TableText"/>
              <w:keepLines/>
              <w:rPr>
                <w:vertAlign w:val="superscript"/>
              </w:rPr>
            </w:pPr>
            <w:r w:rsidRPr="00C927B9">
              <w:t>$</w:t>
            </w:r>
            <w:r w:rsidR="004F2A12">
              <w:rPr>
                <w:noProof/>
                <w:color w:val="000000"/>
                <w:highlight w:val="black"/>
              </w:rPr>
              <w:t>'''''''''''''''''''''''''</w:t>
            </w:r>
          </w:p>
        </w:tc>
        <w:tc>
          <w:tcPr>
            <w:tcW w:w="982" w:type="pct"/>
            <w:shd w:val="clear" w:color="auto" w:fill="auto"/>
          </w:tcPr>
          <w:p w:rsidR="00446CFB" w:rsidRPr="00C927B9" w:rsidRDefault="00446CFB" w:rsidP="00863976">
            <w:pPr>
              <w:pStyle w:val="TableText"/>
              <w:keepLines/>
            </w:pPr>
            <w:r w:rsidRPr="00C927B9">
              <w:t>$22,297.72</w:t>
            </w:r>
          </w:p>
        </w:tc>
        <w:tc>
          <w:tcPr>
            <w:tcW w:w="968" w:type="pct"/>
            <w:shd w:val="clear" w:color="auto" w:fill="auto"/>
          </w:tcPr>
          <w:p w:rsidR="00446CFB" w:rsidRPr="00C927B9" w:rsidRDefault="00446CFB" w:rsidP="00863976">
            <w:pPr>
              <w:pStyle w:val="TableText"/>
              <w:keepLines/>
              <w:rPr>
                <w:bCs w:val="0"/>
              </w:rPr>
            </w:pPr>
            <w:r w:rsidRPr="00C927B9">
              <w:rPr>
                <w:bCs w:val="0"/>
              </w:rPr>
              <w:t>$19,750.26</w:t>
            </w:r>
          </w:p>
        </w:tc>
        <w:tc>
          <w:tcPr>
            <w:tcW w:w="967" w:type="pct"/>
            <w:shd w:val="clear" w:color="auto" w:fill="auto"/>
            <w:vAlign w:val="center"/>
          </w:tcPr>
          <w:p w:rsidR="00446CFB" w:rsidRPr="00C927B9" w:rsidRDefault="00446CFB" w:rsidP="00863976">
            <w:pPr>
              <w:pStyle w:val="TableText"/>
              <w:keepLines/>
              <w:rPr>
                <w:bCs w:val="0"/>
              </w:rPr>
            </w:pPr>
            <w:r w:rsidRPr="00C927B9">
              <w:rPr>
                <w:bCs w:val="0"/>
              </w:rPr>
              <w:t>$1,597.53</w:t>
            </w:r>
          </w:p>
        </w:tc>
      </w:tr>
      <w:tr w:rsidR="00446CFB" w:rsidRPr="00C927B9" w:rsidTr="00574791">
        <w:trPr>
          <w:cantSplit/>
          <w:jc w:val="center"/>
        </w:trPr>
        <w:tc>
          <w:tcPr>
            <w:tcW w:w="862" w:type="pct"/>
            <w:shd w:val="clear" w:color="auto" w:fill="auto"/>
            <w:vAlign w:val="center"/>
          </w:tcPr>
          <w:p w:rsidR="00446CFB" w:rsidRPr="00C927B9" w:rsidRDefault="00446CFB" w:rsidP="00863976">
            <w:pPr>
              <w:pStyle w:val="TableText"/>
              <w:keepLines/>
            </w:pPr>
            <w:r w:rsidRPr="00C927B9">
              <w:t>Total cost/</w:t>
            </w:r>
            <w:proofErr w:type="spellStart"/>
            <w:r w:rsidRPr="00C927B9">
              <w:t>pt</w:t>
            </w:r>
            <w:proofErr w:type="spellEnd"/>
            <w:r w:rsidRPr="00C927B9">
              <w:t>/course</w:t>
            </w:r>
          </w:p>
        </w:tc>
        <w:tc>
          <w:tcPr>
            <w:tcW w:w="2203" w:type="pct"/>
            <w:gridSpan w:val="2"/>
            <w:shd w:val="clear" w:color="auto" w:fill="auto"/>
          </w:tcPr>
          <w:p w:rsidR="00446CFB" w:rsidRPr="00BD7382" w:rsidRDefault="00446CFB" w:rsidP="00863976">
            <w:pPr>
              <w:pStyle w:val="TableText"/>
              <w:keepLines/>
              <w:jc w:val="center"/>
              <w:rPr>
                <w:vertAlign w:val="superscript"/>
              </w:rPr>
            </w:pPr>
            <w:r w:rsidRPr="00C927B9">
              <w:rPr>
                <w:b/>
              </w:rPr>
              <w:t>$</w:t>
            </w:r>
            <w:r w:rsidR="004F2A12">
              <w:rPr>
                <w:b/>
                <w:noProof/>
                <w:color w:val="000000"/>
                <w:highlight w:val="black"/>
              </w:rPr>
              <w:t>'''''''''''''''''''''</w:t>
            </w:r>
          </w:p>
        </w:tc>
        <w:tc>
          <w:tcPr>
            <w:tcW w:w="968" w:type="pct"/>
            <w:shd w:val="clear" w:color="auto" w:fill="auto"/>
          </w:tcPr>
          <w:p w:rsidR="00446CFB" w:rsidRPr="00C927B9" w:rsidRDefault="00446CFB" w:rsidP="00863976">
            <w:pPr>
              <w:pStyle w:val="TableText"/>
              <w:keepLines/>
              <w:jc w:val="center"/>
            </w:pPr>
            <w:r w:rsidRPr="00C927B9">
              <w:rPr>
                <w:b/>
              </w:rPr>
              <w:t>$19,750.26</w:t>
            </w:r>
          </w:p>
        </w:tc>
        <w:tc>
          <w:tcPr>
            <w:tcW w:w="967" w:type="pct"/>
            <w:shd w:val="clear" w:color="auto" w:fill="auto"/>
          </w:tcPr>
          <w:p w:rsidR="00446CFB" w:rsidRPr="00C927B9" w:rsidRDefault="00446CFB" w:rsidP="00863976">
            <w:pPr>
              <w:pStyle w:val="TableText"/>
              <w:keepLines/>
              <w:jc w:val="center"/>
              <w:rPr>
                <w:b/>
                <w:bCs w:val="0"/>
              </w:rPr>
            </w:pPr>
            <w:r w:rsidRPr="00C927B9">
              <w:rPr>
                <w:b/>
              </w:rPr>
              <w:t>$1,597.53</w:t>
            </w:r>
          </w:p>
        </w:tc>
      </w:tr>
    </w:tbl>
    <w:p w:rsidR="00B64EA1" w:rsidRPr="00C927B9" w:rsidRDefault="00B64EA1" w:rsidP="00863976">
      <w:pPr>
        <w:pStyle w:val="TableFigureFooter"/>
        <w:keepNext/>
        <w:keepLines/>
        <w:rPr>
          <w:lang w:val="en-AU"/>
        </w:rPr>
      </w:pPr>
      <w:r w:rsidRPr="00C927B9">
        <w:rPr>
          <w:lang w:val="en-AU"/>
        </w:rPr>
        <w:t>Source: Constructed during the evaluation based on the VTX+AZA AML Economic Evaluation spreadsheet provided with the submission</w:t>
      </w:r>
    </w:p>
    <w:p w:rsidR="00B64EA1" w:rsidRPr="00C927B9" w:rsidRDefault="00B64EA1" w:rsidP="00863976">
      <w:pPr>
        <w:pStyle w:val="TableFigureFooter"/>
        <w:keepNext/>
        <w:keepLines/>
        <w:rPr>
          <w:lang w:val="en-AU"/>
        </w:rPr>
      </w:pPr>
      <w:r w:rsidRPr="00C927B9">
        <w:rPr>
          <w:lang w:val="en-AU"/>
        </w:rPr>
        <w:t xml:space="preserve">Abbreviations: AEMP, approved ex-manufacturer price; AZA, azacitidine; BSA, body surface area; DPMQ, dispensed price for maximum quantity; EFC, efficient funding of chemotherapy; LoDAC, low-dose cytarabine; </w:t>
      </w:r>
      <w:proofErr w:type="spellStart"/>
      <w:r w:rsidRPr="00C927B9">
        <w:rPr>
          <w:lang w:val="en-AU"/>
        </w:rPr>
        <w:t>pt</w:t>
      </w:r>
      <w:proofErr w:type="spellEnd"/>
      <w:r w:rsidRPr="00C927B9">
        <w:rPr>
          <w:lang w:val="en-AU"/>
        </w:rPr>
        <w:t>, patient; VTX, venetoclax</w:t>
      </w:r>
      <w:r w:rsidR="002C53B0" w:rsidRPr="00C927B9">
        <w:rPr>
          <w:lang w:val="en-AU"/>
        </w:rPr>
        <w:t>.</w:t>
      </w:r>
    </w:p>
    <w:p w:rsidR="00697CE5" w:rsidRPr="00C927B9" w:rsidRDefault="00FE74F4" w:rsidP="00863976">
      <w:pPr>
        <w:pStyle w:val="TableFigureFooter"/>
        <w:keepNext/>
        <w:keepLines/>
        <w:rPr>
          <w:lang w:val="en-AU"/>
        </w:rPr>
      </w:pPr>
      <w:proofErr w:type="gramStart"/>
      <w:r w:rsidRPr="00C927B9">
        <w:rPr>
          <w:vertAlign w:val="superscript"/>
          <w:lang w:val="en-AU"/>
        </w:rPr>
        <w:t>a</w:t>
      </w:r>
      <w:proofErr w:type="gramEnd"/>
      <w:r w:rsidR="00697CE5" w:rsidRPr="00C927B9">
        <w:rPr>
          <w:lang w:val="en-AU"/>
        </w:rPr>
        <w:t xml:space="preserve"> based on dose intensity</w:t>
      </w:r>
      <w:r w:rsidRPr="00C927B9">
        <w:rPr>
          <w:lang w:val="en-AU"/>
        </w:rPr>
        <w:t xml:space="preserve"> for venetoclax tablets,</w:t>
      </w:r>
      <w:r w:rsidR="00697CE5" w:rsidRPr="00C927B9">
        <w:rPr>
          <w:lang w:val="en-AU"/>
        </w:rPr>
        <w:t xml:space="preserve"> accounting for dose reduction and interruption</w:t>
      </w:r>
      <w:r w:rsidRPr="00C927B9">
        <w:rPr>
          <w:lang w:val="en-AU"/>
        </w:rPr>
        <w:t>, from Trial M15-656</w:t>
      </w:r>
    </w:p>
    <w:p w:rsidR="00FE74F4" w:rsidRPr="00C927B9" w:rsidRDefault="00FE74F4" w:rsidP="00863976">
      <w:pPr>
        <w:pStyle w:val="TableFigureFooter"/>
        <w:keepNext/>
        <w:keepLines/>
        <w:rPr>
          <w:lang w:val="en-AU"/>
        </w:rPr>
      </w:pPr>
      <w:proofErr w:type="gramStart"/>
      <w:r w:rsidRPr="00C927B9">
        <w:rPr>
          <w:vertAlign w:val="superscript"/>
          <w:lang w:val="en-AU"/>
        </w:rPr>
        <w:t>b</w:t>
      </w:r>
      <w:proofErr w:type="gramEnd"/>
      <w:r w:rsidRPr="00C927B9">
        <w:rPr>
          <w:lang w:val="en-AU"/>
        </w:rPr>
        <w:t xml:space="preserve"> based on dose intensity for placebo tablets, accounting for dose reduction and interruption, from Trial M15-656</w:t>
      </w:r>
    </w:p>
    <w:p w:rsidR="00FE74F4" w:rsidRPr="00C927B9" w:rsidRDefault="00FE74F4" w:rsidP="00863976">
      <w:pPr>
        <w:pStyle w:val="TableFigureFooter"/>
        <w:keepNext/>
        <w:keepLines/>
        <w:rPr>
          <w:lang w:val="en-AU"/>
        </w:rPr>
      </w:pPr>
      <w:proofErr w:type="gramStart"/>
      <w:r w:rsidRPr="00C927B9">
        <w:rPr>
          <w:vertAlign w:val="superscript"/>
          <w:lang w:val="en-AU"/>
        </w:rPr>
        <w:t>c</w:t>
      </w:r>
      <w:proofErr w:type="gramEnd"/>
      <w:r w:rsidRPr="00C927B9">
        <w:rPr>
          <w:lang w:val="en-AU"/>
        </w:rPr>
        <w:t xml:space="preserve"> based on dose intensity for placebo tablets, accounting for dose reduction and interruption, from Trial M16-043</w:t>
      </w:r>
    </w:p>
    <w:p w:rsidR="00FE74F4" w:rsidRPr="00C927B9" w:rsidRDefault="006B1B4E" w:rsidP="00863976">
      <w:pPr>
        <w:pStyle w:val="TableFigureFooter"/>
        <w:keepNext/>
        <w:keepLines/>
        <w:rPr>
          <w:lang w:val="en-AU"/>
        </w:rPr>
      </w:pPr>
      <w:proofErr w:type="gramStart"/>
      <w:r w:rsidRPr="00C927B9">
        <w:rPr>
          <w:vertAlign w:val="superscript"/>
          <w:lang w:val="en-AU"/>
        </w:rPr>
        <w:t>d</w:t>
      </w:r>
      <w:proofErr w:type="gramEnd"/>
      <w:r w:rsidR="00D2715B" w:rsidRPr="00C927B9">
        <w:rPr>
          <w:lang w:val="en-AU"/>
        </w:rPr>
        <w:t xml:space="preserve"> Cycle 1 total dose of </w:t>
      </w:r>
      <w:r w:rsidR="00E70232" w:rsidRPr="00C927B9">
        <w:rPr>
          <w:lang w:val="en-AU"/>
        </w:rPr>
        <w:t xml:space="preserve">10,700 mg </w:t>
      </w:r>
      <w:r w:rsidR="00D2715B" w:rsidRPr="00C927B9">
        <w:rPr>
          <w:lang w:val="en-AU"/>
        </w:rPr>
        <w:t>(1×100 mg + 1×200 mg + 26×400 mg</w:t>
      </w:r>
      <w:r w:rsidR="00E70232" w:rsidRPr="00C927B9">
        <w:rPr>
          <w:lang w:val="en-AU"/>
        </w:rPr>
        <w:t>) multiplied by dose intensity of 73.2%</w:t>
      </w:r>
    </w:p>
    <w:p w:rsidR="006C3B90" w:rsidRPr="00C927B9" w:rsidRDefault="006C3B90" w:rsidP="00863976">
      <w:pPr>
        <w:pStyle w:val="TableFigureFooter"/>
        <w:keepNext/>
        <w:keepLines/>
        <w:rPr>
          <w:lang w:val="en-AU"/>
        </w:rPr>
      </w:pPr>
      <w:proofErr w:type="gramStart"/>
      <w:r w:rsidRPr="00C927B9">
        <w:rPr>
          <w:vertAlign w:val="superscript"/>
          <w:lang w:val="en-AU"/>
        </w:rPr>
        <w:t>e</w:t>
      </w:r>
      <w:proofErr w:type="gramEnd"/>
      <w:r w:rsidRPr="00C927B9">
        <w:rPr>
          <w:lang w:val="en-AU"/>
        </w:rPr>
        <w:t xml:space="preserve"> Cycle 2+ total dose of 1</w:t>
      </w:r>
      <w:r w:rsidR="0027323A" w:rsidRPr="00C927B9">
        <w:rPr>
          <w:lang w:val="en-AU"/>
        </w:rPr>
        <w:t>1</w:t>
      </w:r>
      <w:r w:rsidRPr="00C927B9">
        <w:rPr>
          <w:lang w:val="en-AU"/>
        </w:rPr>
        <w:t>,</w:t>
      </w:r>
      <w:r w:rsidR="0027323A" w:rsidRPr="00C927B9">
        <w:rPr>
          <w:lang w:val="en-AU"/>
        </w:rPr>
        <w:t>20</w:t>
      </w:r>
      <w:r w:rsidRPr="00C927B9">
        <w:rPr>
          <w:lang w:val="en-AU"/>
        </w:rPr>
        <w:t>0 mg (28×400 mg) multiplied by dose intensity of 73.2%</w:t>
      </w:r>
    </w:p>
    <w:p w:rsidR="00F742AE" w:rsidRPr="00C927B9" w:rsidRDefault="00F742AE" w:rsidP="00863976">
      <w:pPr>
        <w:pStyle w:val="TableFigureFooter"/>
        <w:keepNext/>
        <w:keepLines/>
        <w:rPr>
          <w:lang w:val="en-AU"/>
        </w:rPr>
      </w:pPr>
      <w:proofErr w:type="gramStart"/>
      <w:r w:rsidRPr="00C927B9">
        <w:rPr>
          <w:vertAlign w:val="superscript"/>
          <w:lang w:val="en-AU"/>
        </w:rPr>
        <w:t>f</w:t>
      </w:r>
      <w:proofErr w:type="gramEnd"/>
      <w:r w:rsidRPr="00C927B9">
        <w:rPr>
          <w:lang w:val="en-AU"/>
        </w:rPr>
        <w:t xml:space="preserve"> 75 mg/m</w:t>
      </w:r>
      <w:r w:rsidRPr="00C927B9">
        <w:rPr>
          <w:vertAlign w:val="superscript"/>
          <w:lang w:val="en-AU"/>
        </w:rPr>
        <w:t>2</w:t>
      </w:r>
      <w:r w:rsidRPr="00C927B9">
        <w:rPr>
          <w:lang w:val="en-AU"/>
        </w:rPr>
        <w:t xml:space="preserve"> × 1.81 (BSA</w:t>
      </w:r>
      <w:r w:rsidR="00FB34B1" w:rsidRPr="00C927B9">
        <w:rPr>
          <w:lang w:val="en-AU"/>
        </w:rPr>
        <w:t xml:space="preserve"> from Trial M15-656</w:t>
      </w:r>
      <w:r w:rsidRPr="00C927B9">
        <w:rPr>
          <w:lang w:val="en-AU"/>
        </w:rPr>
        <w:t>) × 73.2%</w:t>
      </w:r>
    </w:p>
    <w:p w:rsidR="00FB34B1" w:rsidRPr="00C927B9" w:rsidRDefault="00FB34B1" w:rsidP="00863976">
      <w:pPr>
        <w:pStyle w:val="TableFigureFooter"/>
        <w:keepNext/>
        <w:keepLines/>
        <w:rPr>
          <w:lang w:val="en-AU"/>
        </w:rPr>
      </w:pPr>
      <w:proofErr w:type="gramStart"/>
      <w:r w:rsidRPr="00C927B9">
        <w:rPr>
          <w:vertAlign w:val="superscript"/>
          <w:lang w:val="en-AU"/>
        </w:rPr>
        <w:t>g</w:t>
      </w:r>
      <w:proofErr w:type="gramEnd"/>
      <w:r w:rsidRPr="00C927B9">
        <w:rPr>
          <w:lang w:val="en-AU"/>
        </w:rPr>
        <w:t xml:space="preserve"> 75 mg/m</w:t>
      </w:r>
      <w:r w:rsidRPr="00C927B9">
        <w:rPr>
          <w:vertAlign w:val="superscript"/>
          <w:lang w:val="en-AU"/>
        </w:rPr>
        <w:t>2</w:t>
      </w:r>
      <w:r w:rsidRPr="00C927B9">
        <w:rPr>
          <w:lang w:val="en-AU"/>
        </w:rPr>
        <w:t xml:space="preserve"> × 1.81 (BSA from Trial M15-656) × 90.4%</w:t>
      </w:r>
    </w:p>
    <w:p w:rsidR="006C3B90" w:rsidRPr="00C927B9" w:rsidRDefault="000579EF" w:rsidP="00863976">
      <w:pPr>
        <w:pStyle w:val="TableFigureFooter"/>
        <w:keepNext/>
        <w:keepLines/>
        <w:rPr>
          <w:lang w:val="en-AU"/>
        </w:rPr>
      </w:pPr>
      <w:proofErr w:type="gramStart"/>
      <w:r w:rsidRPr="00C927B9">
        <w:rPr>
          <w:vertAlign w:val="superscript"/>
          <w:lang w:val="en-AU"/>
        </w:rPr>
        <w:t>h</w:t>
      </w:r>
      <w:proofErr w:type="gramEnd"/>
      <w:r w:rsidR="00FB34B1" w:rsidRPr="00C927B9">
        <w:rPr>
          <w:lang w:val="en-AU"/>
        </w:rPr>
        <w:t xml:space="preserve"> 20 mg/m</w:t>
      </w:r>
      <w:r w:rsidR="00FB34B1" w:rsidRPr="00C927B9">
        <w:rPr>
          <w:vertAlign w:val="superscript"/>
          <w:lang w:val="en-AU"/>
        </w:rPr>
        <w:t>2</w:t>
      </w:r>
      <w:r w:rsidR="00FB34B1" w:rsidRPr="00C927B9">
        <w:rPr>
          <w:lang w:val="en-AU"/>
        </w:rPr>
        <w:t xml:space="preserve"> × 1.81 (BSA from Trial M15-656) × 98.6%</w:t>
      </w:r>
    </w:p>
    <w:p w:rsidR="00B946DD" w:rsidRPr="00C927B9" w:rsidRDefault="00272A58" w:rsidP="00863976">
      <w:pPr>
        <w:pStyle w:val="TableFigureFooter"/>
        <w:keepNext/>
        <w:keepLines/>
        <w:rPr>
          <w:lang w:val="en-AU"/>
        </w:rPr>
      </w:pPr>
      <w:proofErr w:type="gramStart"/>
      <w:r w:rsidRPr="00C927B9">
        <w:rPr>
          <w:vertAlign w:val="superscript"/>
          <w:lang w:val="en-AU"/>
        </w:rPr>
        <w:t>i</w:t>
      </w:r>
      <w:proofErr w:type="gramEnd"/>
      <w:r w:rsidR="000579EF" w:rsidRPr="00C927B9">
        <w:rPr>
          <w:lang w:val="en-AU"/>
        </w:rPr>
        <w:t xml:space="preserve"> 7</w:t>
      </w:r>
      <w:r w:rsidRPr="00C927B9">
        <w:rPr>
          <w:lang w:val="en-AU"/>
        </w:rPr>
        <w:t>,</w:t>
      </w:r>
      <w:r w:rsidR="000579EF" w:rsidRPr="00C927B9">
        <w:rPr>
          <w:lang w:val="en-AU"/>
        </w:rPr>
        <w:t>8</w:t>
      </w:r>
      <w:r w:rsidRPr="00C927B9">
        <w:rPr>
          <w:lang w:val="en-AU"/>
        </w:rPr>
        <w:t>32.4 mg</w:t>
      </w:r>
      <w:r w:rsidR="00151ADC" w:rsidRPr="00C927B9">
        <w:rPr>
          <w:lang w:val="en-AU"/>
        </w:rPr>
        <w:t xml:space="preserve"> </w:t>
      </w:r>
      <w:r w:rsidR="00270996" w:rsidRPr="00C927B9">
        <w:rPr>
          <w:lang w:val="en-AU"/>
        </w:rPr>
        <w:t>divided by the number of mg of venetoclax per pack (120 × 100 mg)</w:t>
      </w:r>
    </w:p>
    <w:p w:rsidR="00355DBC" w:rsidRPr="00C927B9" w:rsidRDefault="00355DBC" w:rsidP="00863976">
      <w:pPr>
        <w:pStyle w:val="TableFigureFooter"/>
        <w:keepNext/>
        <w:keepLines/>
        <w:rPr>
          <w:lang w:val="en-AU"/>
        </w:rPr>
      </w:pPr>
      <w:proofErr w:type="gramStart"/>
      <w:r w:rsidRPr="00C927B9">
        <w:rPr>
          <w:vertAlign w:val="superscript"/>
          <w:lang w:val="en-AU"/>
        </w:rPr>
        <w:t>j</w:t>
      </w:r>
      <w:proofErr w:type="gramEnd"/>
      <w:r w:rsidRPr="00C927B9">
        <w:rPr>
          <w:lang w:val="en-AU"/>
        </w:rPr>
        <w:t xml:space="preserve"> </w:t>
      </w:r>
      <w:r w:rsidR="007E2C66" w:rsidRPr="00C927B9">
        <w:rPr>
          <w:lang w:val="en-AU"/>
        </w:rPr>
        <w:t>8,198.4</w:t>
      </w:r>
      <w:r w:rsidRPr="00C927B9">
        <w:rPr>
          <w:lang w:val="en-AU"/>
        </w:rPr>
        <w:t xml:space="preserve"> mg divided by the number of mg of venetoclax per pack (120 × 100 mg)</w:t>
      </w:r>
    </w:p>
    <w:p w:rsidR="007E2C66" w:rsidRPr="00C927B9" w:rsidRDefault="001F766E" w:rsidP="00863976">
      <w:pPr>
        <w:pStyle w:val="TableFigureFooter"/>
        <w:keepNext/>
        <w:keepLines/>
        <w:rPr>
          <w:lang w:val="en-AU"/>
        </w:rPr>
      </w:pPr>
      <w:proofErr w:type="gramStart"/>
      <w:r w:rsidRPr="00C927B9">
        <w:rPr>
          <w:vertAlign w:val="superscript"/>
          <w:lang w:val="en-AU"/>
        </w:rPr>
        <w:t>k</w:t>
      </w:r>
      <w:proofErr w:type="gramEnd"/>
      <w:r w:rsidRPr="00C927B9">
        <w:rPr>
          <w:lang w:val="en-AU"/>
        </w:rPr>
        <w:t xml:space="preserve"> 1×100 mg vial per day for 7 days</w:t>
      </w:r>
    </w:p>
    <w:p w:rsidR="001F766E" w:rsidRPr="00C927B9" w:rsidRDefault="00876D8C" w:rsidP="00863976">
      <w:pPr>
        <w:pStyle w:val="TableFigureFooter"/>
        <w:keepNext/>
        <w:keepLines/>
        <w:rPr>
          <w:lang w:val="en-AU"/>
        </w:rPr>
      </w:pPr>
      <w:proofErr w:type="gramStart"/>
      <w:r w:rsidRPr="00C927B9">
        <w:rPr>
          <w:vertAlign w:val="superscript"/>
          <w:lang w:val="en-AU"/>
        </w:rPr>
        <w:t>l</w:t>
      </w:r>
      <w:proofErr w:type="gramEnd"/>
      <w:r w:rsidR="001F766E" w:rsidRPr="00C927B9">
        <w:rPr>
          <w:lang w:val="en-AU"/>
        </w:rPr>
        <w:t xml:space="preserve"> 1×100 mg vial per day for 7 days</w:t>
      </w:r>
    </w:p>
    <w:p w:rsidR="00355DBC" w:rsidRPr="00C927B9" w:rsidRDefault="00876D8C" w:rsidP="00863976">
      <w:pPr>
        <w:pStyle w:val="TableFigureFooter"/>
        <w:keepNext/>
        <w:keepLines/>
        <w:rPr>
          <w:lang w:val="en-AU"/>
        </w:rPr>
      </w:pPr>
      <w:proofErr w:type="gramStart"/>
      <w:r w:rsidRPr="00C927B9">
        <w:rPr>
          <w:vertAlign w:val="superscript"/>
          <w:lang w:val="en-AU"/>
        </w:rPr>
        <w:t>m</w:t>
      </w:r>
      <w:proofErr w:type="gramEnd"/>
      <w:r w:rsidR="00955017" w:rsidRPr="00C927B9">
        <w:rPr>
          <w:lang w:val="en-AU"/>
        </w:rPr>
        <w:t xml:space="preserve"> </w:t>
      </w:r>
      <w:r w:rsidR="00543758" w:rsidRPr="00C927B9">
        <w:rPr>
          <w:lang w:val="en-AU"/>
        </w:rPr>
        <w:t>1×100 mg vial per day for 10 days</w:t>
      </w:r>
    </w:p>
    <w:p w:rsidR="00876D8C" w:rsidRPr="00C927B9" w:rsidRDefault="00876D8C" w:rsidP="00863976">
      <w:pPr>
        <w:pStyle w:val="TableFigureFooter"/>
        <w:keepNext/>
        <w:keepLines/>
        <w:rPr>
          <w:lang w:val="en-AU"/>
        </w:rPr>
      </w:pPr>
      <w:proofErr w:type="gramStart"/>
      <w:r w:rsidRPr="00C927B9">
        <w:rPr>
          <w:vertAlign w:val="superscript"/>
          <w:lang w:val="en-AU"/>
        </w:rPr>
        <w:t>n</w:t>
      </w:r>
      <w:proofErr w:type="gramEnd"/>
      <w:r w:rsidRPr="00C927B9">
        <w:rPr>
          <w:lang w:val="en-AU"/>
        </w:rPr>
        <w:t xml:space="preserve"> based on an AEMP for 5 vials $56.95; assuming one set of EFC mark-ups are applied per cycle (10 vials); $199.76 ($56.96 x 2 + $85.78) for public hospital; $241.99 ($56.96 x 2 + $126.41)</w:t>
      </w:r>
    </w:p>
    <w:p w:rsidR="00997B08" w:rsidRPr="00C927B9" w:rsidRDefault="00997B08" w:rsidP="00863976">
      <w:pPr>
        <w:pStyle w:val="TableFigureFooter"/>
        <w:keepNext/>
        <w:keepLines/>
        <w:rPr>
          <w:lang w:val="en-AU"/>
        </w:rPr>
      </w:pPr>
      <w:proofErr w:type="gramStart"/>
      <w:r w:rsidRPr="00C927B9">
        <w:rPr>
          <w:vertAlign w:val="superscript"/>
          <w:lang w:val="en-AU"/>
        </w:rPr>
        <w:t>o</w:t>
      </w:r>
      <w:proofErr w:type="gramEnd"/>
      <w:r w:rsidRPr="00C927B9">
        <w:rPr>
          <w:lang w:val="en-AU"/>
        </w:rPr>
        <w:t xml:space="preserve"> </w:t>
      </w:r>
      <w:r w:rsidR="004A473B" w:rsidRPr="00C927B9">
        <w:rPr>
          <w:lang w:val="en-AU"/>
        </w:rPr>
        <w:t xml:space="preserve">based on DPMQ for public hospitals × 61% use + DPMQ for private </w:t>
      </w:r>
      <w:r w:rsidR="00FD2694" w:rsidRPr="00C927B9">
        <w:rPr>
          <w:lang w:val="en-AU"/>
        </w:rPr>
        <w:t>hospitals ×</w:t>
      </w:r>
      <w:r w:rsidR="004A473B" w:rsidRPr="00C927B9">
        <w:rPr>
          <w:lang w:val="en-AU"/>
        </w:rPr>
        <w:t xml:space="preserve"> 39% use divided by 2 to derive cost of 7 vials. Use in public/private hospitals based on PBS script data for azacitidine</w:t>
      </w:r>
    </w:p>
    <w:p w:rsidR="004A473B" w:rsidRPr="00C927B9" w:rsidRDefault="0017751E" w:rsidP="00863976">
      <w:pPr>
        <w:pStyle w:val="TableFigureFooter"/>
        <w:keepNext/>
        <w:keepLines/>
        <w:rPr>
          <w:vertAlign w:val="superscript"/>
          <w:lang w:val="en-AU"/>
        </w:rPr>
      </w:pPr>
      <w:proofErr w:type="gramStart"/>
      <w:r w:rsidRPr="00C927B9">
        <w:rPr>
          <w:vertAlign w:val="superscript"/>
          <w:lang w:val="en-AU"/>
        </w:rPr>
        <w:t>p</w:t>
      </w:r>
      <w:proofErr w:type="gramEnd"/>
      <w:r w:rsidR="004A473B" w:rsidRPr="00C927B9">
        <w:rPr>
          <w:lang w:val="en-AU"/>
        </w:rPr>
        <w:t xml:space="preserve"> </w:t>
      </w:r>
      <w:r w:rsidR="00F629CF" w:rsidRPr="00C927B9">
        <w:rPr>
          <w:lang w:val="en-AU"/>
        </w:rPr>
        <w:t>d</w:t>
      </w:r>
      <w:r w:rsidR="00F01E2D" w:rsidRPr="00C927B9">
        <w:rPr>
          <w:lang w:val="en-AU"/>
        </w:rPr>
        <w:t>istribution of u</w:t>
      </w:r>
      <w:r w:rsidR="004A473B" w:rsidRPr="00C927B9">
        <w:rPr>
          <w:lang w:val="en-AU"/>
        </w:rPr>
        <w:t>se in public</w:t>
      </w:r>
      <w:r w:rsidR="00F01E2D" w:rsidRPr="00C927B9">
        <w:rPr>
          <w:lang w:val="en-AU"/>
        </w:rPr>
        <w:t xml:space="preserve"> (61%)</w:t>
      </w:r>
      <w:r w:rsidR="004A473B" w:rsidRPr="00C927B9">
        <w:rPr>
          <w:lang w:val="en-AU"/>
        </w:rPr>
        <w:t xml:space="preserve">/private </w:t>
      </w:r>
      <w:r w:rsidR="00F01E2D" w:rsidRPr="00C927B9">
        <w:rPr>
          <w:lang w:val="en-AU"/>
        </w:rPr>
        <w:t xml:space="preserve">(39%) </w:t>
      </w:r>
      <w:r w:rsidR="004A473B" w:rsidRPr="00C927B9">
        <w:rPr>
          <w:lang w:val="en-AU"/>
        </w:rPr>
        <w:t>hospitals based on PBS script data for azacitidine</w:t>
      </w:r>
    </w:p>
    <w:p w:rsidR="004A473B" w:rsidRPr="00C927B9" w:rsidRDefault="00F80029" w:rsidP="00863976">
      <w:pPr>
        <w:pStyle w:val="TableFigureFooter"/>
        <w:keepNext/>
        <w:keepLines/>
        <w:rPr>
          <w:lang w:val="en-AU"/>
        </w:rPr>
      </w:pPr>
      <w:r w:rsidRPr="00C927B9">
        <w:rPr>
          <w:vertAlign w:val="superscript"/>
          <w:lang w:val="en-AU"/>
        </w:rPr>
        <w:t>q</w:t>
      </w:r>
      <w:r w:rsidR="00F01E2D" w:rsidRPr="00C927B9">
        <w:rPr>
          <w:lang w:val="en-AU"/>
        </w:rPr>
        <w:t xml:space="preserve"> </w:t>
      </w:r>
      <w:proofErr w:type="gramStart"/>
      <w:r w:rsidR="00F01E2D" w:rsidRPr="00C927B9">
        <w:rPr>
          <w:lang w:val="en-AU"/>
        </w:rPr>
        <w:t>based</w:t>
      </w:r>
      <w:proofErr w:type="gramEnd"/>
      <w:r w:rsidR="00F01E2D" w:rsidRPr="00C927B9">
        <w:rPr>
          <w:lang w:val="en-AU"/>
        </w:rPr>
        <w:t xml:space="preserve"> on </w:t>
      </w:r>
      <w:r w:rsidRPr="00C927B9">
        <w:rPr>
          <w:lang w:val="en-AU"/>
        </w:rPr>
        <w:t xml:space="preserve">average time on treatment </w:t>
      </w:r>
      <w:r w:rsidR="00F01E2D" w:rsidRPr="00C927B9">
        <w:rPr>
          <w:lang w:val="en-AU"/>
        </w:rPr>
        <w:t xml:space="preserve">from </w:t>
      </w:r>
      <w:r w:rsidRPr="00C927B9">
        <w:rPr>
          <w:lang w:val="en-AU"/>
        </w:rPr>
        <w:t xml:space="preserve">the </w:t>
      </w:r>
      <w:r w:rsidR="00F01E2D" w:rsidRPr="00C927B9">
        <w:rPr>
          <w:lang w:val="en-AU"/>
        </w:rPr>
        <w:t xml:space="preserve">VTX+AZA arm of </w:t>
      </w:r>
      <w:r w:rsidRPr="00C927B9">
        <w:rPr>
          <w:lang w:val="en-AU"/>
        </w:rPr>
        <w:t xml:space="preserve">the </w:t>
      </w:r>
      <w:r w:rsidR="00F01E2D" w:rsidRPr="00C927B9">
        <w:rPr>
          <w:lang w:val="en-AU"/>
        </w:rPr>
        <w:t>economic model</w:t>
      </w:r>
    </w:p>
    <w:p w:rsidR="00F80029" w:rsidRPr="00C927B9" w:rsidRDefault="00F80029" w:rsidP="00863976">
      <w:pPr>
        <w:pStyle w:val="TableFigureFooter"/>
        <w:keepNext/>
        <w:keepLines/>
        <w:rPr>
          <w:vertAlign w:val="superscript"/>
          <w:lang w:val="en-AU"/>
        </w:rPr>
      </w:pPr>
      <w:proofErr w:type="gramStart"/>
      <w:r w:rsidRPr="00C927B9">
        <w:rPr>
          <w:vertAlign w:val="superscript"/>
          <w:lang w:val="en-AU"/>
        </w:rPr>
        <w:t>r</w:t>
      </w:r>
      <w:proofErr w:type="gramEnd"/>
      <w:r w:rsidRPr="00C927B9">
        <w:rPr>
          <w:lang w:val="en-AU"/>
        </w:rPr>
        <w:t xml:space="preserve"> based on average time on treatment from the AZA arm of the economic model</w:t>
      </w:r>
    </w:p>
    <w:p w:rsidR="00BD7382" w:rsidRPr="00C927B9" w:rsidRDefault="00F80029" w:rsidP="00863976">
      <w:pPr>
        <w:pStyle w:val="TableFigureFooter"/>
        <w:keepNext/>
        <w:keepLines/>
        <w:rPr>
          <w:vertAlign w:val="superscript"/>
          <w:lang w:val="en-AU"/>
        </w:rPr>
      </w:pPr>
      <w:proofErr w:type="gramStart"/>
      <w:r w:rsidRPr="00C927B9">
        <w:rPr>
          <w:vertAlign w:val="superscript"/>
          <w:lang w:val="en-AU"/>
        </w:rPr>
        <w:t>s</w:t>
      </w:r>
      <w:proofErr w:type="gramEnd"/>
      <w:r w:rsidRPr="00C927B9">
        <w:rPr>
          <w:lang w:val="en-AU"/>
        </w:rPr>
        <w:t xml:space="preserve"> based on average time on treatment from the LoDAC arm of the economic model</w:t>
      </w:r>
    </w:p>
    <w:p w:rsidR="00211CC2" w:rsidRPr="00C927B9" w:rsidRDefault="00BB7A60" w:rsidP="00BD7382">
      <w:pPr>
        <w:pStyle w:val="ExecSumBodyText"/>
        <w:rPr>
          <w:snapToGrid/>
          <w:lang w:val="en-AU"/>
        </w:rPr>
      </w:pPr>
      <w:r w:rsidRPr="00C927B9">
        <w:rPr>
          <w:snapToGrid/>
          <w:lang w:val="en-AU"/>
        </w:rPr>
        <w:t>The d</w:t>
      </w:r>
      <w:r w:rsidR="00211CC2" w:rsidRPr="00C927B9">
        <w:rPr>
          <w:snapToGrid/>
          <w:lang w:val="en-AU"/>
        </w:rPr>
        <w:t xml:space="preserve">rug cost per patient per course </w:t>
      </w:r>
      <w:r w:rsidR="00DC1AAB" w:rsidRPr="00C927B9">
        <w:rPr>
          <w:snapToGrid/>
          <w:lang w:val="en-AU"/>
        </w:rPr>
        <w:t>was</w:t>
      </w:r>
      <w:r w:rsidR="00211CC2" w:rsidRPr="00C927B9">
        <w:rPr>
          <w:snapToGrid/>
          <w:lang w:val="en-AU"/>
        </w:rPr>
        <w:t xml:space="preserve"> $</w:t>
      </w:r>
      <w:r w:rsidR="004F2A12">
        <w:rPr>
          <w:noProof/>
          <w:snapToGrid/>
          <w:color w:val="000000"/>
          <w:highlight w:val="black"/>
          <w:lang w:val="en-AU"/>
        </w:rPr>
        <w:t>'''''''''''''</w:t>
      </w:r>
      <w:r w:rsidR="00211CC2" w:rsidRPr="00C927B9">
        <w:rPr>
          <w:snapToGrid/>
          <w:lang w:val="en-AU"/>
        </w:rPr>
        <w:t xml:space="preserve"> for venetoclax </w:t>
      </w:r>
      <w:r w:rsidR="00AD7756" w:rsidRPr="00C927B9">
        <w:rPr>
          <w:snapToGrid/>
          <w:lang w:val="en-AU"/>
        </w:rPr>
        <w:t>with azacitidine, based on the assumption that only one vial of azacitidine is required per administration. This was based on</w:t>
      </w:r>
      <w:r w:rsidR="00845527" w:rsidRPr="00C927B9">
        <w:rPr>
          <w:snapToGrid/>
          <w:lang w:val="en-AU"/>
        </w:rPr>
        <w:t xml:space="preserve"> the</w:t>
      </w:r>
      <w:r w:rsidR="00B566C5" w:rsidRPr="00C927B9">
        <w:rPr>
          <w:snapToGrid/>
          <w:lang w:val="en-AU"/>
        </w:rPr>
        <w:t xml:space="preserve"> dose intensity for venetoclax</w:t>
      </w:r>
      <w:r w:rsidR="00D7061D" w:rsidRPr="00C927B9">
        <w:rPr>
          <w:snapToGrid/>
          <w:lang w:val="en-AU"/>
        </w:rPr>
        <w:t>, which was not appropriate given differences</w:t>
      </w:r>
      <w:r w:rsidR="00B825AE" w:rsidRPr="00C927B9">
        <w:rPr>
          <w:lang w:val="en-AU"/>
        </w:rPr>
        <w:t xml:space="preserve"> between the components of the dosing regimen</w:t>
      </w:r>
      <w:r w:rsidR="00D7061D" w:rsidRPr="00C927B9">
        <w:rPr>
          <w:snapToGrid/>
          <w:lang w:val="en-AU"/>
        </w:rPr>
        <w:t xml:space="preserve"> in the </w:t>
      </w:r>
      <w:r w:rsidR="00D7061D" w:rsidRPr="00C927B9">
        <w:rPr>
          <w:snapToGrid/>
          <w:lang w:val="en-AU"/>
        </w:rPr>
        <w:lastRenderedPageBreak/>
        <w:t>number of treatment days per cycle</w:t>
      </w:r>
      <w:r w:rsidR="000E2B25" w:rsidRPr="00C927B9">
        <w:rPr>
          <w:snapToGrid/>
          <w:lang w:val="en-AU"/>
        </w:rPr>
        <w:t xml:space="preserve"> and</w:t>
      </w:r>
      <w:r w:rsidR="00D7061D" w:rsidRPr="00C927B9">
        <w:rPr>
          <w:snapToGrid/>
          <w:lang w:val="en-AU"/>
        </w:rPr>
        <w:t xml:space="preserve"> method of administration</w:t>
      </w:r>
      <w:r w:rsidR="00B825AE" w:rsidRPr="00C927B9">
        <w:rPr>
          <w:snapToGrid/>
          <w:lang w:val="en-AU"/>
        </w:rPr>
        <w:t xml:space="preserve">, and </w:t>
      </w:r>
      <w:r w:rsidR="00B825AE" w:rsidRPr="00C927B9">
        <w:rPr>
          <w:lang w:val="en-AU"/>
        </w:rPr>
        <w:t xml:space="preserve">data from M15-656 </w:t>
      </w:r>
      <w:r w:rsidR="000E2B25" w:rsidRPr="00C927B9">
        <w:rPr>
          <w:lang w:val="en-AU"/>
        </w:rPr>
        <w:t xml:space="preserve">indicating that </w:t>
      </w:r>
      <w:r w:rsidR="00B825AE" w:rsidRPr="00C927B9">
        <w:rPr>
          <w:lang w:val="en-AU"/>
        </w:rPr>
        <w:t xml:space="preserve">the average number of dosed treatment days per cycle was higher for azacitidine injections (6.9/7 days) compared to </w:t>
      </w:r>
      <w:r w:rsidR="007D756C" w:rsidRPr="00C927B9">
        <w:rPr>
          <w:lang w:val="en-AU"/>
        </w:rPr>
        <w:t>venetoclax</w:t>
      </w:r>
      <w:r w:rsidR="00B825AE" w:rsidRPr="00C927B9">
        <w:rPr>
          <w:lang w:val="en-AU"/>
        </w:rPr>
        <w:t xml:space="preserve"> tablets (23.4/28 days).</w:t>
      </w:r>
      <w:r w:rsidRPr="00C927B9">
        <w:rPr>
          <w:lang w:val="en-AU"/>
        </w:rPr>
        <w:t xml:space="preserve"> A dose intensity of 73.7% or higher (compared with 73.2% used </w:t>
      </w:r>
      <w:r w:rsidR="007D756C" w:rsidRPr="00C927B9">
        <w:rPr>
          <w:lang w:val="en-AU"/>
        </w:rPr>
        <w:t>to derive the cost of azacitidine</w:t>
      </w:r>
      <w:r w:rsidRPr="00C927B9">
        <w:rPr>
          <w:lang w:val="en-AU"/>
        </w:rPr>
        <w:t xml:space="preserve">) would result in the need for </w:t>
      </w:r>
      <w:r w:rsidR="008B597E">
        <w:rPr>
          <w:lang w:val="en-AU"/>
        </w:rPr>
        <w:t>two</w:t>
      </w:r>
      <w:r w:rsidRPr="00C927B9">
        <w:rPr>
          <w:lang w:val="en-AU"/>
        </w:rPr>
        <w:t xml:space="preserve"> vials of azacitidine per administration, doubling the azacitidine component costs for venetoclax with azacitidine.</w:t>
      </w:r>
      <w:r w:rsidR="00552142" w:rsidRPr="00C927B9">
        <w:rPr>
          <w:lang w:val="en-AU"/>
        </w:rPr>
        <w:t xml:space="preserve"> If </w:t>
      </w:r>
      <w:r w:rsidR="008B597E">
        <w:rPr>
          <w:lang w:val="en-AU"/>
        </w:rPr>
        <w:t>two</w:t>
      </w:r>
      <w:r w:rsidR="00552142" w:rsidRPr="00C927B9">
        <w:rPr>
          <w:lang w:val="en-AU"/>
        </w:rPr>
        <w:t xml:space="preserve"> vials of azacitidine are required</w:t>
      </w:r>
      <w:r w:rsidR="00B566C5" w:rsidRPr="00C927B9">
        <w:rPr>
          <w:snapToGrid/>
          <w:lang w:val="en-AU"/>
        </w:rPr>
        <w:t xml:space="preserve"> per administration, the cost </w:t>
      </w:r>
      <w:r w:rsidR="00312F2D" w:rsidRPr="00C927B9">
        <w:rPr>
          <w:snapToGrid/>
          <w:lang w:val="en-AU"/>
        </w:rPr>
        <w:t>of the azacitidine component becomes $44,</w:t>
      </w:r>
      <w:r w:rsidR="00DE683D" w:rsidRPr="00C927B9">
        <w:rPr>
          <w:snapToGrid/>
          <w:lang w:val="en-AU"/>
        </w:rPr>
        <w:t>595 and the cost</w:t>
      </w:r>
      <w:r w:rsidR="00312F2D" w:rsidRPr="00C927B9">
        <w:rPr>
          <w:snapToGrid/>
          <w:lang w:val="en-AU"/>
        </w:rPr>
        <w:t xml:space="preserve"> </w:t>
      </w:r>
      <w:r w:rsidR="00B566C5" w:rsidRPr="00C927B9">
        <w:rPr>
          <w:snapToGrid/>
          <w:lang w:val="en-AU"/>
        </w:rPr>
        <w:t>per patient per course</w:t>
      </w:r>
      <w:r w:rsidR="00DE683D" w:rsidRPr="00C927B9">
        <w:rPr>
          <w:snapToGrid/>
          <w:lang w:val="en-AU"/>
        </w:rPr>
        <w:t xml:space="preserve"> of venetoclax with azacitidine</w:t>
      </w:r>
      <w:r w:rsidR="00B566C5" w:rsidRPr="00C927B9">
        <w:rPr>
          <w:snapToGrid/>
          <w:lang w:val="en-AU"/>
        </w:rPr>
        <w:t xml:space="preserve"> i</w:t>
      </w:r>
      <w:r w:rsidR="00312F2D" w:rsidRPr="00C927B9">
        <w:rPr>
          <w:snapToGrid/>
          <w:lang w:val="en-AU"/>
        </w:rPr>
        <w:t>ncrease</w:t>
      </w:r>
      <w:r w:rsidR="00B566C5" w:rsidRPr="00C927B9">
        <w:rPr>
          <w:snapToGrid/>
          <w:lang w:val="en-AU"/>
        </w:rPr>
        <w:t>s</w:t>
      </w:r>
      <w:r w:rsidR="00312F2D" w:rsidRPr="00C927B9">
        <w:rPr>
          <w:snapToGrid/>
          <w:lang w:val="en-AU"/>
        </w:rPr>
        <w:t xml:space="preserve"> to</w:t>
      </w:r>
      <w:r w:rsidR="00B566C5" w:rsidRPr="00C927B9">
        <w:rPr>
          <w:snapToGrid/>
          <w:lang w:val="en-AU"/>
        </w:rPr>
        <w:t xml:space="preserve"> $</w:t>
      </w:r>
      <w:r w:rsidR="004F2A12">
        <w:rPr>
          <w:noProof/>
          <w:snapToGrid/>
          <w:color w:val="000000"/>
          <w:highlight w:val="black"/>
          <w:lang w:val="en-AU"/>
        </w:rPr>
        <w:t>''''''''''''</w:t>
      </w:r>
      <w:r w:rsidR="00DE683D" w:rsidRPr="00C927B9">
        <w:rPr>
          <w:snapToGrid/>
          <w:lang w:val="en-AU"/>
        </w:rPr>
        <w:t>.</w:t>
      </w:r>
      <w:r w:rsidR="00B22E60" w:rsidRPr="00C927B9">
        <w:rPr>
          <w:snapToGrid/>
          <w:lang w:val="en-AU"/>
        </w:rPr>
        <w:t xml:space="preserve"> The PSCR acknowledged that </w:t>
      </w:r>
      <w:r w:rsidR="006361E9" w:rsidRPr="00C927B9">
        <w:rPr>
          <w:snapToGrid/>
          <w:lang w:val="en-AU"/>
        </w:rPr>
        <w:t xml:space="preserve">the applied dose intensity was inappropriate (see paragraph </w:t>
      </w:r>
      <w:r w:rsidR="00582B87" w:rsidRPr="00C927B9">
        <w:rPr>
          <w:snapToGrid/>
          <w:lang w:val="en-AU"/>
        </w:rPr>
        <w:t>6.68</w:t>
      </w:r>
      <w:r w:rsidR="006361E9" w:rsidRPr="00C927B9">
        <w:rPr>
          <w:snapToGrid/>
          <w:lang w:val="en-AU"/>
        </w:rPr>
        <w:t>).</w:t>
      </w:r>
    </w:p>
    <w:p w:rsidR="00B60939" w:rsidRPr="00C927B9" w:rsidRDefault="00B60939" w:rsidP="002B05A1">
      <w:pPr>
        <w:pStyle w:val="3-SubsectionHeading"/>
        <w:rPr>
          <w:lang w:val="en-AU"/>
        </w:rPr>
      </w:pPr>
      <w:bookmarkStart w:id="41" w:name="_Toc22897647"/>
      <w:bookmarkStart w:id="42" w:name="_Toc62040071"/>
      <w:r w:rsidRPr="00C927B9">
        <w:rPr>
          <w:lang w:val="en-AU"/>
        </w:rPr>
        <w:t>Estimated PBS usage &amp; financial implications</w:t>
      </w:r>
      <w:bookmarkEnd w:id="41"/>
      <w:bookmarkEnd w:id="42"/>
    </w:p>
    <w:p w:rsidR="00A80541" w:rsidRPr="00C927B9" w:rsidRDefault="00A80541" w:rsidP="00A80541">
      <w:pPr>
        <w:pStyle w:val="ExecSumBodyText"/>
        <w:numPr>
          <w:ilvl w:val="1"/>
          <w:numId w:val="1"/>
        </w:numPr>
        <w:rPr>
          <w:lang w:val="en-AU"/>
        </w:rPr>
      </w:pPr>
      <w:bookmarkStart w:id="43" w:name="_Toc22897648"/>
      <w:bookmarkStart w:id="44" w:name="_Toc62040072"/>
      <w:r w:rsidRPr="00C927B9">
        <w:rPr>
          <w:lang w:val="en-AU"/>
        </w:rPr>
        <w:t xml:space="preserve">This submission </w:t>
      </w:r>
      <w:r w:rsidR="00DC1AAB" w:rsidRPr="00C927B9">
        <w:rPr>
          <w:lang w:val="en-AU"/>
        </w:rPr>
        <w:t>was</w:t>
      </w:r>
      <w:r w:rsidRPr="00C927B9">
        <w:rPr>
          <w:lang w:val="en-AU"/>
        </w:rPr>
        <w:t xml:space="preserve"> considered by DUSC. The submission used an epidemiological approach to estimate the utilisation and financial impact of listing venetoclax with azacitidine for the treatment of acute myeloid leukaemia. Key inputs are summarised in the table below.</w:t>
      </w:r>
      <w:r w:rsidR="000C3521" w:rsidRPr="00C927B9">
        <w:rPr>
          <w:lang w:val="en-AU"/>
        </w:rPr>
        <w:t xml:space="preserve"> The PBAC noted and agreed with the uncertainties identified with regard to these inputs.</w:t>
      </w:r>
    </w:p>
    <w:p w:rsidR="00782D79" w:rsidRPr="00C927B9" w:rsidRDefault="00782D79" w:rsidP="00782D79">
      <w:pPr>
        <w:pStyle w:val="ExecSumBodyText"/>
        <w:numPr>
          <w:ilvl w:val="1"/>
          <w:numId w:val="1"/>
        </w:numPr>
        <w:rPr>
          <w:lang w:val="en-AU"/>
        </w:rPr>
      </w:pPr>
      <w:r w:rsidRPr="00C927B9">
        <w:rPr>
          <w:lang w:val="en-AU"/>
        </w:rPr>
        <w:t xml:space="preserve">DUSC considered the estimates presented in the submission to be underestimated. The main issues were: </w:t>
      </w:r>
    </w:p>
    <w:p w:rsidR="00636CE9" w:rsidRPr="00636CE9" w:rsidRDefault="00782D79" w:rsidP="00DB20FD">
      <w:pPr>
        <w:numPr>
          <w:ilvl w:val="1"/>
          <w:numId w:val="14"/>
        </w:numPr>
        <w:ind w:left="1077" w:hanging="357"/>
        <w:rPr>
          <w:rFonts w:asciiTheme="minorHAnsi" w:hAnsiTheme="minorHAnsi"/>
          <w:snapToGrid w:val="0"/>
          <w:lang w:val="en-AU"/>
        </w:rPr>
      </w:pPr>
      <w:r w:rsidRPr="00636CE9">
        <w:rPr>
          <w:lang w:val="en-AU"/>
        </w:rPr>
        <w:t>A large underestimate of the number of azacitidine vials required for treatment</w:t>
      </w:r>
      <w:r w:rsidR="00636CE9">
        <w:rPr>
          <w:lang w:val="en-AU"/>
        </w:rPr>
        <w:t xml:space="preserve"> with venetoclax + azacitidine.</w:t>
      </w:r>
    </w:p>
    <w:p w:rsidR="00DB20FD" w:rsidRPr="00C927B9" w:rsidRDefault="00DB20FD" w:rsidP="00DB20FD">
      <w:pPr>
        <w:numPr>
          <w:ilvl w:val="1"/>
          <w:numId w:val="14"/>
        </w:numPr>
        <w:ind w:left="1077" w:hanging="357"/>
        <w:rPr>
          <w:rFonts w:asciiTheme="minorHAnsi" w:hAnsiTheme="minorHAnsi"/>
          <w:snapToGrid w:val="0"/>
          <w:lang w:val="en-AU"/>
        </w:rPr>
      </w:pPr>
      <w:r w:rsidRPr="00C927B9">
        <w:rPr>
          <w:rFonts w:asciiTheme="minorHAnsi" w:hAnsiTheme="minorHAnsi"/>
          <w:snapToGrid w:val="0"/>
          <w:lang w:val="en-AU"/>
        </w:rPr>
        <w:t xml:space="preserve">There may be leakage into an additional group of patients who are fit for standard intensive remission induction chemotherapy but may choose the less intensive venetoclax with </w:t>
      </w:r>
      <w:r w:rsidR="00E71CCC" w:rsidRPr="00C927B9">
        <w:rPr>
          <w:rFonts w:asciiTheme="minorHAnsi" w:hAnsiTheme="minorHAnsi"/>
          <w:snapToGrid w:val="0"/>
          <w:lang w:val="en-AU"/>
        </w:rPr>
        <w:t>azacitidine chemotherapy (noting that the uptake would depend on how clinicians view the efficacy and safety of venetoclax with azacitidine as there is no consensus on criteria for unfitness for standard intensive remission induction chemotherapy in the clinical guidelines and the literature, and the proposed restriction did not include further criteria)</w:t>
      </w:r>
      <w:r w:rsidRPr="00C927B9">
        <w:rPr>
          <w:rFonts w:asciiTheme="minorHAnsi" w:hAnsiTheme="minorHAnsi"/>
          <w:snapToGrid w:val="0"/>
          <w:lang w:val="en-AU"/>
        </w:rPr>
        <w:t xml:space="preserve">. </w:t>
      </w:r>
    </w:p>
    <w:p w:rsidR="00782D79" w:rsidRPr="00C927B9" w:rsidRDefault="00782D79" w:rsidP="00DB20FD">
      <w:pPr>
        <w:numPr>
          <w:ilvl w:val="1"/>
          <w:numId w:val="14"/>
        </w:numPr>
        <w:spacing w:after="240"/>
        <w:ind w:left="1077" w:hanging="357"/>
        <w:rPr>
          <w:rFonts w:asciiTheme="minorHAnsi" w:hAnsiTheme="minorHAnsi"/>
          <w:snapToGrid w:val="0"/>
          <w:lang w:val="en-AU"/>
        </w:rPr>
      </w:pPr>
      <w:r w:rsidRPr="00C927B9">
        <w:rPr>
          <w:lang w:val="en-AU"/>
        </w:rPr>
        <w:t xml:space="preserve">An overestimate of the proportion of patients unfit for standard intensive remission induction chemotherapy who receive treatment with venetoclax. </w:t>
      </w:r>
      <w:r w:rsidR="00DB20FD" w:rsidRPr="00C927B9">
        <w:rPr>
          <w:lang w:val="en-AU"/>
        </w:rPr>
        <w:t xml:space="preserve">(80%, inconsistent with Australian data provided in the </w:t>
      </w:r>
      <w:r w:rsidR="008D38F8" w:rsidRPr="00C927B9">
        <w:rPr>
          <w:lang w:val="en-AU"/>
        </w:rPr>
        <w:t>submission that</w:t>
      </w:r>
      <w:r w:rsidR="00DB20FD" w:rsidRPr="00C927B9">
        <w:rPr>
          <w:lang w:val="en-AU"/>
        </w:rPr>
        <w:t xml:space="preserve"> suggested a much lower proportion of patients going on to treatment (54%, retrospective review of unfit Australian AML patients in the CURRENT study)</w:t>
      </w:r>
      <w:r w:rsidR="00355AE0" w:rsidRPr="00C927B9">
        <w:rPr>
          <w:lang w:val="en-AU"/>
        </w:rPr>
        <w:t>)</w:t>
      </w:r>
      <w:r w:rsidR="00DB20FD" w:rsidRPr="00C927B9">
        <w:rPr>
          <w:lang w:val="en-AU"/>
        </w:rPr>
        <w:t>.</w:t>
      </w:r>
    </w:p>
    <w:p w:rsidR="00A80541" w:rsidRPr="00C927B9" w:rsidRDefault="00DB3600" w:rsidP="00DB3600">
      <w:pPr>
        <w:pStyle w:val="Tableheadingrow"/>
        <w:spacing w:before="240"/>
        <w:rPr>
          <w:lang w:val="en-AU"/>
        </w:rPr>
      </w:pPr>
      <w:bookmarkStart w:id="45" w:name="_Ref68970414"/>
      <w:bookmarkStart w:id="46" w:name="_Ref68970410"/>
      <w:r w:rsidRPr="00C927B9">
        <w:rPr>
          <w:lang w:val="en-AU"/>
        </w:rPr>
        <w:lastRenderedPageBreak/>
        <w:t>Table 19</w:t>
      </w:r>
      <w:bookmarkEnd w:id="45"/>
      <w:r w:rsidRPr="00C927B9">
        <w:rPr>
          <w:lang w:val="en-AU"/>
        </w:rPr>
        <w:t xml:space="preserve">: </w:t>
      </w:r>
      <w:r w:rsidR="00A80541" w:rsidRPr="00C927B9">
        <w:rPr>
          <w:lang w:val="en-AU"/>
        </w:rPr>
        <w:t>Key inputs for financial estimates</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99"/>
        <w:gridCol w:w="1639"/>
        <w:gridCol w:w="5479"/>
      </w:tblGrid>
      <w:tr w:rsidR="00A80541" w:rsidRPr="00C927B9" w:rsidTr="00042D66">
        <w:trPr>
          <w:tblHeader/>
        </w:trPr>
        <w:tc>
          <w:tcPr>
            <w:tcW w:w="1053" w:type="pct"/>
            <w:shd w:val="clear" w:color="auto" w:fill="auto"/>
            <w:vAlign w:val="center"/>
          </w:tcPr>
          <w:p w:rsidR="00A80541" w:rsidRPr="00C927B9" w:rsidRDefault="00A80541" w:rsidP="00ED4A4C">
            <w:pPr>
              <w:pStyle w:val="Tableheadingrow"/>
              <w:widowControl w:val="0"/>
              <w:rPr>
                <w:lang w:val="en-AU"/>
              </w:rPr>
            </w:pPr>
            <w:r w:rsidRPr="00C927B9">
              <w:rPr>
                <w:lang w:val="en-AU"/>
              </w:rPr>
              <w:t>Parameter</w:t>
            </w:r>
          </w:p>
        </w:tc>
        <w:tc>
          <w:tcPr>
            <w:tcW w:w="909" w:type="pct"/>
            <w:shd w:val="clear" w:color="auto" w:fill="auto"/>
            <w:vAlign w:val="center"/>
          </w:tcPr>
          <w:p w:rsidR="00A80541" w:rsidRPr="00C927B9" w:rsidRDefault="00A80541" w:rsidP="00ED4A4C">
            <w:pPr>
              <w:pStyle w:val="Tableheadingrow"/>
              <w:widowControl w:val="0"/>
              <w:jc w:val="center"/>
              <w:rPr>
                <w:lang w:val="en-AU"/>
              </w:rPr>
            </w:pPr>
            <w:r w:rsidRPr="00C927B9">
              <w:rPr>
                <w:lang w:val="en-AU"/>
              </w:rPr>
              <w:t>Value applied and source</w:t>
            </w:r>
          </w:p>
        </w:tc>
        <w:tc>
          <w:tcPr>
            <w:tcW w:w="3038" w:type="pct"/>
            <w:shd w:val="clear" w:color="auto" w:fill="auto"/>
            <w:vAlign w:val="center"/>
          </w:tcPr>
          <w:p w:rsidR="00A80541" w:rsidRPr="00C927B9" w:rsidRDefault="00A80541" w:rsidP="00ED4A4C">
            <w:pPr>
              <w:pStyle w:val="Tableheadingrow"/>
              <w:widowControl w:val="0"/>
              <w:rPr>
                <w:lang w:val="en-AU"/>
              </w:rPr>
            </w:pPr>
            <w:r w:rsidRPr="00C927B9">
              <w:rPr>
                <w:lang w:val="en-AU"/>
              </w:rPr>
              <w:t>Comment</w:t>
            </w:r>
          </w:p>
        </w:tc>
      </w:tr>
      <w:tr w:rsidR="00A80541" w:rsidRPr="00C927B9" w:rsidTr="00042D66">
        <w:tc>
          <w:tcPr>
            <w:tcW w:w="1053" w:type="pct"/>
            <w:shd w:val="clear" w:color="auto" w:fill="auto"/>
            <w:vAlign w:val="center"/>
          </w:tcPr>
          <w:p w:rsidR="00A80541" w:rsidRPr="00C927B9" w:rsidRDefault="00A80541" w:rsidP="00ED4A4C">
            <w:pPr>
              <w:pStyle w:val="TableText"/>
              <w:widowControl w:val="0"/>
            </w:pPr>
            <w:r w:rsidRPr="00C927B9">
              <w:rPr>
                <w:lang w:eastAsia="en-US"/>
              </w:rPr>
              <w:t>Incidence of AML</w:t>
            </w:r>
          </w:p>
        </w:tc>
        <w:tc>
          <w:tcPr>
            <w:tcW w:w="909" w:type="pct"/>
            <w:shd w:val="clear" w:color="auto" w:fill="auto"/>
            <w:vAlign w:val="center"/>
          </w:tcPr>
          <w:p w:rsidR="00A80541" w:rsidRPr="00C927B9" w:rsidRDefault="00A80541" w:rsidP="00ED4A4C">
            <w:pPr>
              <w:pStyle w:val="TableText"/>
              <w:widowControl w:val="0"/>
              <w:jc w:val="center"/>
            </w:pPr>
            <w:r w:rsidRPr="00C927B9">
              <w:t xml:space="preserve">4.3 cases per </w:t>
            </w:r>
            <w:r w:rsidRPr="00C927B9">
              <w:rPr>
                <w:lang w:eastAsia="en-US"/>
              </w:rPr>
              <w:t>100,000 population based on AIHW 2020 Cancer Data</w:t>
            </w:r>
          </w:p>
        </w:tc>
        <w:tc>
          <w:tcPr>
            <w:tcW w:w="3038" w:type="pct"/>
            <w:shd w:val="clear" w:color="auto" w:fill="auto"/>
            <w:vAlign w:val="center"/>
          </w:tcPr>
          <w:p w:rsidR="00A80541" w:rsidRPr="00C927B9" w:rsidRDefault="00A80541" w:rsidP="00ED4A4C">
            <w:pPr>
              <w:pStyle w:val="TableText"/>
              <w:widowControl w:val="0"/>
            </w:pPr>
            <w:r w:rsidRPr="00C927B9">
              <w:t xml:space="preserve">The data source was </w:t>
            </w:r>
            <w:r w:rsidR="004A3643" w:rsidRPr="00C927B9">
              <w:t>appropriate;</w:t>
            </w:r>
            <w:r w:rsidRPr="00C927B9">
              <w:t xml:space="preserve"> </w:t>
            </w:r>
            <w:r w:rsidR="004A3643" w:rsidRPr="00C927B9">
              <w:t>however,</w:t>
            </w:r>
            <w:r w:rsidRPr="00C927B9">
              <w:t xml:space="preserve"> the submission did not justify the use of average age-specific incidence (4.3) instead of age-standardised incidence (3.8). </w:t>
            </w:r>
          </w:p>
        </w:tc>
      </w:tr>
      <w:tr w:rsidR="00A80541" w:rsidRPr="00C927B9" w:rsidTr="00042D66">
        <w:tc>
          <w:tcPr>
            <w:tcW w:w="1053" w:type="pct"/>
            <w:shd w:val="clear" w:color="auto" w:fill="auto"/>
            <w:vAlign w:val="center"/>
          </w:tcPr>
          <w:p w:rsidR="00A80541" w:rsidRPr="00C927B9" w:rsidRDefault="00A80541" w:rsidP="00ED4A4C">
            <w:pPr>
              <w:pStyle w:val="TableText"/>
              <w:widowControl w:val="0"/>
            </w:pPr>
            <w:r w:rsidRPr="00C927B9">
              <w:t>Proportion of patients unfit for intensive chemotherapy</w:t>
            </w:r>
          </w:p>
        </w:tc>
        <w:tc>
          <w:tcPr>
            <w:tcW w:w="909" w:type="pct"/>
            <w:shd w:val="clear" w:color="auto" w:fill="auto"/>
            <w:vAlign w:val="center"/>
          </w:tcPr>
          <w:p w:rsidR="00A80541" w:rsidRPr="00C927B9" w:rsidRDefault="00A80541" w:rsidP="00ED4A4C">
            <w:pPr>
              <w:pStyle w:val="TableText"/>
              <w:widowControl w:val="0"/>
              <w:jc w:val="center"/>
            </w:pPr>
            <w:r w:rsidRPr="00C927B9">
              <w:t>50% based on expert opinion</w:t>
            </w:r>
            <w:r w:rsidR="00C4078D">
              <w:t xml:space="preserve"> (not provided), supported by analysis of AML incidence by age (AIHW 2020 Cancer Data) and a retrospective observational study of patient fitness from Northern Italy (</w:t>
            </w:r>
            <w:proofErr w:type="spellStart"/>
            <w:r w:rsidR="00C4078D" w:rsidRPr="00EB7EFF">
              <w:t>Borlenghi</w:t>
            </w:r>
            <w:proofErr w:type="spellEnd"/>
            <w:r w:rsidR="00C4078D" w:rsidRPr="00EB7EFF">
              <w:t xml:space="preserve"> 2014</w:t>
            </w:r>
            <w:r w:rsidR="00C4078D">
              <w:t>; abstract only)</w:t>
            </w:r>
          </w:p>
        </w:tc>
        <w:tc>
          <w:tcPr>
            <w:tcW w:w="3038" w:type="pct"/>
            <w:shd w:val="clear" w:color="auto" w:fill="auto"/>
            <w:vAlign w:val="center"/>
          </w:tcPr>
          <w:p w:rsidR="00A80541" w:rsidRPr="00C927B9" w:rsidRDefault="00C4078D" w:rsidP="00ED4A4C">
            <w:pPr>
              <w:pStyle w:val="TableText"/>
              <w:widowControl w:val="0"/>
            </w:pPr>
            <w:r>
              <w:t>T</w:t>
            </w:r>
            <w:r w:rsidR="00A80541" w:rsidRPr="00C927B9">
              <w:t>he proportion of patients who are unfit for intensive chemotherapy is inherently uncertain and is likely to change depending on AML subtypes and the availability of new therapies such as venetoclax.</w:t>
            </w:r>
          </w:p>
        </w:tc>
      </w:tr>
      <w:tr w:rsidR="00A80541" w:rsidRPr="00C927B9" w:rsidTr="00042D66">
        <w:tc>
          <w:tcPr>
            <w:tcW w:w="1053" w:type="pct"/>
            <w:shd w:val="clear" w:color="auto" w:fill="auto"/>
            <w:vAlign w:val="center"/>
          </w:tcPr>
          <w:p w:rsidR="00A80541" w:rsidRPr="00C927B9" w:rsidRDefault="00A80541" w:rsidP="00ED4A4C">
            <w:pPr>
              <w:pStyle w:val="TableText"/>
              <w:widowControl w:val="0"/>
            </w:pPr>
            <w:r w:rsidRPr="00C927B9">
              <w:rPr>
                <w:lang w:eastAsia="en-US"/>
              </w:rPr>
              <w:t>Proportion of unfit patients who receive treatment</w:t>
            </w:r>
          </w:p>
        </w:tc>
        <w:tc>
          <w:tcPr>
            <w:tcW w:w="909" w:type="pct"/>
            <w:shd w:val="clear" w:color="auto" w:fill="auto"/>
            <w:vAlign w:val="center"/>
          </w:tcPr>
          <w:p w:rsidR="00A80541" w:rsidRPr="00C927B9" w:rsidRDefault="00A80541" w:rsidP="00ED4A4C">
            <w:pPr>
              <w:pStyle w:val="TableText"/>
              <w:widowControl w:val="0"/>
              <w:jc w:val="center"/>
            </w:pPr>
            <w:r w:rsidRPr="00C927B9">
              <w:t>80% based on expert opinion</w:t>
            </w:r>
          </w:p>
        </w:tc>
        <w:tc>
          <w:tcPr>
            <w:tcW w:w="3038" w:type="pct"/>
            <w:shd w:val="clear" w:color="auto" w:fill="auto"/>
            <w:vAlign w:val="center"/>
          </w:tcPr>
          <w:p w:rsidR="00A80541" w:rsidRPr="00C927B9" w:rsidRDefault="00A80541" w:rsidP="00ED4A4C">
            <w:pPr>
              <w:pStyle w:val="TableText"/>
              <w:widowControl w:val="0"/>
            </w:pPr>
            <w:r w:rsidRPr="00C927B9">
              <w:rPr>
                <w:iCs/>
              </w:rPr>
              <w:t>The estimate was inconsistent with Australian data provided in the submission</w:t>
            </w:r>
            <w:r w:rsidR="0044094B" w:rsidRPr="00C927B9">
              <w:rPr>
                <w:iCs/>
              </w:rPr>
              <w:t>,</w:t>
            </w:r>
            <w:r w:rsidRPr="00C927B9">
              <w:rPr>
                <w:iCs/>
              </w:rPr>
              <w:t xml:space="preserve"> which suggested a much lower proportion of patients going on to treatment (54%, retrospective review of unfit Australian AML patients, CURRENT study)</w:t>
            </w:r>
            <w:r w:rsidR="004A3643" w:rsidRPr="00C927B9">
              <w:rPr>
                <w:iCs/>
              </w:rPr>
              <w:t>.</w:t>
            </w:r>
          </w:p>
        </w:tc>
      </w:tr>
      <w:tr w:rsidR="00A80541" w:rsidRPr="00C927B9" w:rsidTr="00042D66">
        <w:tc>
          <w:tcPr>
            <w:tcW w:w="1053" w:type="pct"/>
            <w:shd w:val="clear" w:color="auto" w:fill="auto"/>
            <w:vAlign w:val="center"/>
          </w:tcPr>
          <w:p w:rsidR="00A80541" w:rsidRPr="00C927B9" w:rsidRDefault="00A80541" w:rsidP="00ED4A4C">
            <w:pPr>
              <w:pStyle w:val="TableText"/>
              <w:widowControl w:val="0"/>
              <w:rPr>
                <w:lang w:eastAsia="en-US"/>
              </w:rPr>
            </w:pPr>
            <w:r w:rsidRPr="00C927B9">
              <w:rPr>
                <w:lang w:eastAsia="en-US"/>
              </w:rPr>
              <w:t>Venetoclax uptake rate</w:t>
            </w:r>
          </w:p>
        </w:tc>
        <w:tc>
          <w:tcPr>
            <w:tcW w:w="909" w:type="pct"/>
            <w:shd w:val="clear" w:color="auto" w:fill="auto"/>
            <w:vAlign w:val="center"/>
          </w:tcPr>
          <w:p w:rsidR="00A80541" w:rsidRPr="00C927B9" w:rsidRDefault="00A80541" w:rsidP="00ED4A4C">
            <w:pPr>
              <w:pStyle w:val="TableText"/>
              <w:widowControl w:val="0"/>
              <w:jc w:val="center"/>
            </w:pPr>
            <w:r w:rsidRPr="00C927B9">
              <w:t>90% based on assumption</w:t>
            </w:r>
          </w:p>
        </w:tc>
        <w:tc>
          <w:tcPr>
            <w:tcW w:w="3038" w:type="pct"/>
            <w:shd w:val="clear" w:color="auto" w:fill="auto"/>
            <w:vAlign w:val="center"/>
          </w:tcPr>
          <w:p w:rsidR="00423713" w:rsidRPr="00C927B9" w:rsidRDefault="00A80541" w:rsidP="00C64E97">
            <w:pPr>
              <w:pStyle w:val="TableText"/>
              <w:widowControl w:val="0"/>
              <w:rPr>
                <w:iCs/>
              </w:rPr>
            </w:pPr>
            <w:r w:rsidRPr="00C927B9">
              <w:rPr>
                <w:iCs/>
              </w:rPr>
              <w:t xml:space="preserve">While it might be reasonable to assume a high uptake of venetoclax with azacitidine in the target population, the exact proportion </w:t>
            </w:r>
            <w:r w:rsidR="004A3643" w:rsidRPr="00C927B9">
              <w:rPr>
                <w:iCs/>
              </w:rPr>
              <w:t>was</w:t>
            </w:r>
            <w:r w:rsidRPr="00C927B9">
              <w:rPr>
                <w:iCs/>
              </w:rPr>
              <w:t xml:space="preserve"> uncertain. </w:t>
            </w:r>
          </w:p>
        </w:tc>
      </w:tr>
      <w:tr w:rsidR="00A80541" w:rsidRPr="00C927B9" w:rsidTr="00042D66">
        <w:tc>
          <w:tcPr>
            <w:tcW w:w="1053" w:type="pct"/>
            <w:shd w:val="clear" w:color="auto" w:fill="auto"/>
            <w:vAlign w:val="center"/>
          </w:tcPr>
          <w:p w:rsidR="00A80541" w:rsidRPr="00C927B9" w:rsidRDefault="00A80541" w:rsidP="00ED4A4C">
            <w:pPr>
              <w:pStyle w:val="TableText"/>
              <w:widowControl w:val="0"/>
            </w:pPr>
            <w:r w:rsidRPr="00C927B9">
              <w:t>Treatment duration of venetoclax with azacitidine</w:t>
            </w:r>
          </w:p>
        </w:tc>
        <w:tc>
          <w:tcPr>
            <w:tcW w:w="909" w:type="pct"/>
            <w:shd w:val="clear" w:color="auto" w:fill="auto"/>
            <w:vAlign w:val="center"/>
          </w:tcPr>
          <w:p w:rsidR="00A80541" w:rsidRPr="00C927B9" w:rsidRDefault="00A80541" w:rsidP="00ED4A4C">
            <w:pPr>
              <w:pStyle w:val="TableText"/>
              <w:widowControl w:val="0"/>
              <w:jc w:val="center"/>
            </w:pPr>
            <w:r w:rsidRPr="00C927B9">
              <w:t>20.1 cycles based on economic model</w:t>
            </w:r>
          </w:p>
        </w:tc>
        <w:tc>
          <w:tcPr>
            <w:tcW w:w="3038" w:type="pct"/>
            <w:vMerge w:val="restart"/>
            <w:shd w:val="clear" w:color="auto" w:fill="auto"/>
            <w:vAlign w:val="center"/>
          </w:tcPr>
          <w:p w:rsidR="00A80541" w:rsidRPr="00C927B9" w:rsidRDefault="00A80541" w:rsidP="00E80053">
            <w:pPr>
              <w:pStyle w:val="TableText"/>
              <w:widowControl w:val="0"/>
            </w:pPr>
            <w:r w:rsidRPr="00C927B9">
              <w:t xml:space="preserve">The uncertainty associated with survival and time on treatment extrapolations </w:t>
            </w:r>
            <w:r w:rsidR="00E80053" w:rsidRPr="00C927B9">
              <w:t xml:space="preserve">as noted for </w:t>
            </w:r>
            <w:r w:rsidRPr="00C927B9">
              <w:t>the economic model</w:t>
            </w:r>
            <w:r w:rsidR="00E80053" w:rsidRPr="00C927B9">
              <w:t xml:space="preserve"> apply</w:t>
            </w:r>
            <w:r w:rsidRPr="00C927B9">
              <w:t xml:space="preserve">. </w:t>
            </w:r>
            <w:r w:rsidR="00E80053" w:rsidRPr="00C927B9">
              <w:t>T</w:t>
            </w:r>
            <w:r w:rsidRPr="00C927B9">
              <w:t>he budget impact analysis was inconsistent with the economic model as it condensed treatment duration into the first and second years while the model included patients remaining on treatment in subsequent years.</w:t>
            </w:r>
          </w:p>
        </w:tc>
      </w:tr>
      <w:tr w:rsidR="00A80541" w:rsidRPr="00C927B9" w:rsidTr="00042D66">
        <w:trPr>
          <w:trHeight w:val="643"/>
        </w:trPr>
        <w:tc>
          <w:tcPr>
            <w:tcW w:w="1053" w:type="pct"/>
            <w:shd w:val="clear" w:color="auto" w:fill="auto"/>
            <w:vAlign w:val="center"/>
          </w:tcPr>
          <w:p w:rsidR="00A80541" w:rsidRPr="00C927B9" w:rsidRDefault="00A80541" w:rsidP="00ED4A4C">
            <w:pPr>
              <w:pStyle w:val="TableText"/>
              <w:widowControl w:val="0"/>
            </w:pPr>
            <w:r w:rsidRPr="00C927B9">
              <w:t>Treatment duration of azacitidine monotherapy</w:t>
            </w:r>
          </w:p>
        </w:tc>
        <w:tc>
          <w:tcPr>
            <w:tcW w:w="909" w:type="pct"/>
            <w:shd w:val="clear" w:color="auto" w:fill="auto"/>
            <w:vAlign w:val="center"/>
          </w:tcPr>
          <w:p w:rsidR="00A80541" w:rsidRPr="00C927B9" w:rsidRDefault="00A80541" w:rsidP="00ED4A4C">
            <w:pPr>
              <w:pStyle w:val="TableText"/>
              <w:widowControl w:val="0"/>
              <w:jc w:val="center"/>
            </w:pPr>
            <w:r w:rsidRPr="00C927B9">
              <w:t>8.9 cycles based on economic model</w:t>
            </w:r>
          </w:p>
        </w:tc>
        <w:tc>
          <w:tcPr>
            <w:tcW w:w="3038" w:type="pct"/>
            <w:vMerge/>
            <w:shd w:val="clear" w:color="auto" w:fill="auto"/>
            <w:vAlign w:val="center"/>
          </w:tcPr>
          <w:p w:rsidR="00A80541" w:rsidRPr="00C927B9" w:rsidRDefault="00A80541" w:rsidP="00ED4A4C">
            <w:pPr>
              <w:pStyle w:val="TableText"/>
              <w:widowControl w:val="0"/>
            </w:pPr>
          </w:p>
        </w:tc>
      </w:tr>
      <w:tr w:rsidR="00A80541" w:rsidRPr="00C927B9" w:rsidTr="00042D66">
        <w:tc>
          <w:tcPr>
            <w:tcW w:w="1053" w:type="pct"/>
            <w:shd w:val="clear" w:color="auto" w:fill="auto"/>
            <w:vAlign w:val="center"/>
          </w:tcPr>
          <w:p w:rsidR="00A80541" w:rsidRPr="00C927B9" w:rsidRDefault="00A80541" w:rsidP="00ED4A4C">
            <w:pPr>
              <w:pStyle w:val="TableText"/>
              <w:widowControl w:val="0"/>
            </w:pPr>
            <w:r w:rsidRPr="00C927B9">
              <w:t>Treatment duration of LoDAC monotherapy</w:t>
            </w:r>
          </w:p>
        </w:tc>
        <w:tc>
          <w:tcPr>
            <w:tcW w:w="909" w:type="pct"/>
            <w:shd w:val="clear" w:color="auto" w:fill="auto"/>
            <w:vAlign w:val="center"/>
          </w:tcPr>
          <w:p w:rsidR="00A80541" w:rsidRPr="00C927B9" w:rsidRDefault="00A80541" w:rsidP="00ED4A4C">
            <w:pPr>
              <w:pStyle w:val="TableText"/>
              <w:widowControl w:val="0"/>
              <w:jc w:val="center"/>
            </w:pPr>
            <w:r w:rsidRPr="00C927B9">
              <w:t>7.4 cycles based on economic model</w:t>
            </w:r>
          </w:p>
        </w:tc>
        <w:tc>
          <w:tcPr>
            <w:tcW w:w="3038" w:type="pct"/>
            <w:vMerge/>
            <w:shd w:val="clear" w:color="auto" w:fill="auto"/>
            <w:vAlign w:val="center"/>
          </w:tcPr>
          <w:p w:rsidR="00A80541" w:rsidRPr="00C927B9" w:rsidRDefault="00A80541" w:rsidP="00ED4A4C">
            <w:pPr>
              <w:pStyle w:val="TableText"/>
              <w:widowControl w:val="0"/>
            </w:pPr>
          </w:p>
        </w:tc>
      </w:tr>
      <w:tr w:rsidR="00A80541" w:rsidRPr="00C927B9" w:rsidTr="00042D66">
        <w:tc>
          <w:tcPr>
            <w:tcW w:w="1053" w:type="pct"/>
            <w:shd w:val="clear" w:color="auto" w:fill="auto"/>
            <w:vAlign w:val="center"/>
          </w:tcPr>
          <w:p w:rsidR="00A80541" w:rsidRPr="00C927B9" w:rsidRDefault="00A80541" w:rsidP="00ED4A4C">
            <w:pPr>
              <w:pStyle w:val="TableText"/>
              <w:widowControl w:val="0"/>
            </w:pPr>
            <w:r w:rsidRPr="00C927B9">
              <w:t>Dose intensity of venetoclax with azacitidine</w:t>
            </w:r>
          </w:p>
        </w:tc>
        <w:tc>
          <w:tcPr>
            <w:tcW w:w="909" w:type="pct"/>
            <w:shd w:val="clear" w:color="auto" w:fill="auto"/>
            <w:vAlign w:val="center"/>
          </w:tcPr>
          <w:p w:rsidR="00A80541" w:rsidRPr="00C927B9" w:rsidRDefault="00A80541" w:rsidP="00ED4A4C">
            <w:pPr>
              <w:pStyle w:val="TableText"/>
              <w:widowControl w:val="0"/>
              <w:jc w:val="center"/>
            </w:pPr>
            <w:r w:rsidRPr="00C927B9">
              <w:t>73.2% based on M15-656 trial</w:t>
            </w:r>
          </w:p>
        </w:tc>
        <w:tc>
          <w:tcPr>
            <w:tcW w:w="3038" w:type="pct"/>
            <w:shd w:val="clear" w:color="auto" w:fill="auto"/>
            <w:vAlign w:val="center"/>
          </w:tcPr>
          <w:p w:rsidR="00A80541" w:rsidRPr="00C927B9" w:rsidRDefault="00A80541" w:rsidP="00ED4A4C">
            <w:pPr>
              <w:pStyle w:val="TableText"/>
              <w:widowControl w:val="0"/>
              <w:rPr>
                <w:iCs/>
              </w:rPr>
            </w:pPr>
            <w:r w:rsidRPr="00C927B9">
              <w:rPr>
                <w:iCs/>
              </w:rPr>
              <w:t>It was not appropriate to estimate dose intensity for azacitidine (in combination with venetoclax) based on the use of an oral tablet.</w:t>
            </w:r>
          </w:p>
          <w:p w:rsidR="00A80541" w:rsidRPr="00C927B9" w:rsidRDefault="00A80541" w:rsidP="00042D66">
            <w:pPr>
              <w:pStyle w:val="TableText"/>
              <w:widowControl w:val="0"/>
            </w:pPr>
            <w:r w:rsidRPr="00C927B9">
              <w:rPr>
                <w:iCs/>
              </w:rPr>
              <w:t xml:space="preserve">The available data suggest that dose intensity is higher for the injectable therapies. The underestimation of azacitidine dose intensity </w:t>
            </w:r>
            <w:r w:rsidR="004A3643" w:rsidRPr="00C927B9">
              <w:rPr>
                <w:iCs/>
              </w:rPr>
              <w:t>had</w:t>
            </w:r>
            <w:r w:rsidRPr="00C927B9">
              <w:rPr>
                <w:iCs/>
              </w:rPr>
              <w:t xml:space="preserve"> a major effect on the budget impact analysis as it reduce</w:t>
            </w:r>
            <w:r w:rsidR="004A3643" w:rsidRPr="00C927B9">
              <w:rPr>
                <w:iCs/>
              </w:rPr>
              <w:t>d</w:t>
            </w:r>
            <w:r w:rsidRPr="00C927B9">
              <w:rPr>
                <w:iCs/>
              </w:rPr>
              <w:t xml:space="preserve"> the number of azacitidine vials from 2 to 1 per administration</w:t>
            </w:r>
            <w:r w:rsidR="004A3643" w:rsidRPr="00C927B9">
              <w:rPr>
                <w:iCs/>
              </w:rPr>
              <w:t>.</w:t>
            </w:r>
          </w:p>
        </w:tc>
      </w:tr>
      <w:tr w:rsidR="00A80541" w:rsidRPr="00C927B9" w:rsidTr="00042D66">
        <w:tc>
          <w:tcPr>
            <w:tcW w:w="1053" w:type="pct"/>
            <w:shd w:val="clear" w:color="auto" w:fill="auto"/>
            <w:vAlign w:val="center"/>
          </w:tcPr>
          <w:p w:rsidR="00A80541" w:rsidRPr="00C927B9" w:rsidRDefault="00A80541" w:rsidP="00ED4A4C">
            <w:pPr>
              <w:pStyle w:val="TableText"/>
              <w:widowControl w:val="0"/>
            </w:pPr>
            <w:r w:rsidRPr="00C927B9">
              <w:t>Use of substituted therapies</w:t>
            </w:r>
          </w:p>
        </w:tc>
        <w:tc>
          <w:tcPr>
            <w:tcW w:w="909" w:type="pct"/>
            <w:shd w:val="clear" w:color="auto" w:fill="auto"/>
            <w:vAlign w:val="center"/>
          </w:tcPr>
          <w:p w:rsidR="00A80541" w:rsidRPr="00C927B9" w:rsidRDefault="00A80541" w:rsidP="00ED4A4C">
            <w:pPr>
              <w:pStyle w:val="TableText"/>
              <w:widowControl w:val="0"/>
              <w:jc w:val="center"/>
            </w:pPr>
            <w:r w:rsidRPr="00C927B9">
              <w:t>50% azacitidine monotherapy,</w:t>
            </w:r>
          </w:p>
          <w:p w:rsidR="00A80541" w:rsidRPr="00C927B9" w:rsidRDefault="00A80541" w:rsidP="00ED4A4C">
            <w:pPr>
              <w:pStyle w:val="TableText"/>
              <w:widowControl w:val="0"/>
              <w:jc w:val="center"/>
            </w:pPr>
            <w:r w:rsidRPr="00C927B9">
              <w:t xml:space="preserve">50% LoDAC monotherapy based on retrospective review of unfit Australian AML patients (CURRENT study) </w:t>
            </w:r>
          </w:p>
        </w:tc>
        <w:tc>
          <w:tcPr>
            <w:tcW w:w="3038" w:type="pct"/>
            <w:shd w:val="clear" w:color="auto" w:fill="auto"/>
            <w:vAlign w:val="center"/>
          </w:tcPr>
          <w:p w:rsidR="00A80541" w:rsidRPr="00C927B9" w:rsidRDefault="00A80541" w:rsidP="00ED4A4C">
            <w:pPr>
              <w:pStyle w:val="TableText"/>
              <w:widowControl w:val="0"/>
            </w:pPr>
            <w:r w:rsidRPr="00C927B9">
              <w:t xml:space="preserve">The market share estimates did not account for: </w:t>
            </w:r>
          </w:p>
          <w:p w:rsidR="00A80541" w:rsidRPr="00C927B9" w:rsidRDefault="00A80541" w:rsidP="00ED4A4C">
            <w:pPr>
              <w:pStyle w:val="TableText"/>
              <w:widowControl w:val="0"/>
            </w:pPr>
            <w:r w:rsidRPr="00C927B9">
              <w:t xml:space="preserve">- The estimated proportion of unfit patients remaining on LoDAC therapy (10%; used to inform uptake estimates), </w:t>
            </w:r>
          </w:p>
          <w:p w:rsidR="00A80541" w:rsidRPr="00C927B9" w:rsidRDefault="00A80541" w:rsidP="00ED4A4C">
            <w:pPr>
              <w:pStyle w:val="TableText"/>
              <w:widowControl w:val="0"/>
            </w:pPr>
            <w:r w:rsidRPr="00C927B9">
              <w:t xml:space="preserve">- The proportion of patients using non-PBS azacitidine (azacitidine PBS population is a subset of the proposed venetoclax PBS population) </w:t>
            </w:r>
          </w:p>
          <w:p w:rsidR="00A80541" w:rsidRPr="00C927B9" w:rsidRDefault="00A80541" w:rsidP="00ED4A4C">
            <w:pPr>
              <w:pStyle w:val="TableText"/>
              <w:widowControl w:val="0"/>
            </w:pPr>
            <w:r w:rsidRPr="00C927B9">
              <w:t>- The proportion of patients using azacitidine or LoDAC combination regimens (31%, CURRENT study)</w:t>
            </w:r>
          </w:p>
          <w:p w:rsidR="00A80541" w:rsidRPr="00C927B9" w:rsidRDefault="00A80541" w:rsidP="00ED4A4C">
            <w:pPr>
              <w:pStyle w:val="TableText"/>
              <w:widowControl w:val="0"/>
            </w:pPr>
          </w:p>
          <w:p w:rsidR="00A80541" w:rsidRPr="00C927B9" w:rsidRDefault="00A80541" w:rsidP="004A3643">
            <w:pPr>
              <w:pStyle w:val="TableText"/>
              <w:widowControl w:val="0"/>
            </w:pPr>
            <w:r w:rsidRPr="00C927B9">
              <w:t xml:space="preserve">The submission </w:t>
            </w:r>
            <w:r w:rsidR="004A3643" w:rsidRPr="00C927B9">
              <w:t>did not</w:t>
            </w:r>
            <w:r w:rsidRPr="00C927B9">
              <w:t xml:space="preserve"> justif</w:t>
            </w:r>
            <w:r w:rsidR="004A3643" w:rsidRPr="00C927B9">
              <w:t>y</w:t>
            </w:r>
            <w:r w:rsidRPr="00C927B9">
              <w:t xml:space="preserve"> the assumption of equal substitution given azacitidine is PBS listed for a population with limited overlap with the requested population.</w:t>
            </w:r>
          </w:p>
        </w:tc>
      </w:tr>
    </w:tbl>
    <w:p w:rsidR="00A80541" w:rsidRPr="00C927B9" w:rsidRDefault="00A80541" w:rsidP="00A80541">
      <w:pPr>
        <w:pStyle w:val="TableFooter"/>
        <w:keepNext/>
        <w:rPr>
          <w:lang w:val="en-AU"/>
        </w:rPr>
      </w:pPr>
      <w:r w:rsidRPr="00C927B9">
        <w:rPr>
          <w:lang w:val="en-AU"/>
        </w:rPr>
        <w:t>Source: compiled during the evaluation</w:t>
      </w:r>
    </w:p>
    <w:p w:rsidR="00A80541" w:rsidRPr="00C927B9" w:rsidRDefault="00A80541" w:rsidP="00A80541">
      <w:pPr>
        <w:pStyle w:val="TableFooter"/>
        <w:keepNext/>
        <w:rPr>
          <w:lang w:val="en-AU"/>
        </w:rPr>
      </w:pPr>
      <w:r w:rsidRPr="00C927B9">
        <w:rPr>
          <w:lang w:val="en-AU"/>
        </w:rPr>
        <w:t>Abbreviations: AIHW, Australian Institute of Health and Welfare; AML, acute myeloid leukaemia; LoDAC, low-dose cytarabine; MDS, myelodysplastic syndrome; PBS, Pharmaceutical Benefits Scheme</w:t>
      </w:r>
    </w:p>
    <w:p w:rsidR="00A80541" w:rsidRPr="00C927B9" w:rsidRDefault="00A80541" w:rsidP="00A80541">
      <w:pPr>
        <w:pStyle w:val="TableFooter"/>
        <w:rPr>
          <w:lang w:val="en-AU"/>
        </w:rPr>
      </w:pPr>
    </w:p>
    <w:p w:rsidR="00A80541" w:rsidRPr="00C927B9" w:rsidRDefault="00A80541" w:rsidP="00A80541">
      <w:pPr>
        <w:pStyle w:val="ExecSumBodyText"/>
        <w:numPr>
          <w:ilvl w:val="1"/>
          <w:numId w:val="1"/>
        </w:numPr>
        <w:rPr>
          <w:lang w:val="en-AU"/>
        </w:rPr>
      </w:pPr>
      <w:r w:rsidRPr="00C927B9">
        <w:rPr>
          <w:lang w:val="en-AU"/>
        </w:rPr>
        <w:lastRenderedPageBreak/>
        <w:t>The table below presents the estimated use and financial implications of listing venetoclax with azacitidine over 6 years of listing, based on the proposed effective price of venetoclax.</w:t>
      </w:r>
    </w:p>
    <w:p w:rsidR="00A80541" w:rsidRPr="00C927B9" w:rsidRDefault="00DB3600" w:rsidP="00DB3600">
      <w:pPr>
        <w:pStyle w:val="Caption"/>
        <w:rPr>
          <w:rStyle w:val="CommentReference"/>
          <w:sz w:val="20"/>
          <w:szCs w:val="24"/>
          <w:lang w:val="en-AU"/>
        </w:rPr>
      </w:pPr>
      <w:r w:rsidRPr="00C927B9">
        <w:rPr>
          <w:lang w:val="en-AU"/>
        </w:rPr>
        <w:t xml:space="preserve">Table 20: </w:t>
      </w:r>
      <w:r w:rsidR="00A80541" w:rsidRPr="00C927B9">
        <w:rPr>
          <w:lang w:val="en-AU"/>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49"/>
        <w:gridCol w:w="1128"/>
        <w:gridCol w:w="1128"/>
        <w:gridCol w:w="1128"/>
        <w:gridCol w:w="1128"/>
        <w:gridCol w:w="1128"/>
        <w:gridCol w:w="1128"/>
      </w:tblGrid>
      <w:tr w:rsidR="00A80541" w:rsidRPr="00C927B9" w:rsidTr="00C64E97">
        <w:trPr>
          <w:tblHeader/>
        </w:trPr>
        <w:tc>
          <w:tcPr>
            <w:tcW w:w="2263" w:type="dxa"/>
            <w:shd w:val="clear" w:color="auto" w:fill="auto"/>
            <w:vAlign w:val="center"/>
          </w:tcPr>
          <w:p w:rsidR="00A80541" w:rsidRPr="00C927B9" w:rsidRDefault="00A80541" w:rsidP="00ED4A4C">
            <w:pPr>
              <w:pStyle w:val="TableText"/>
              <w:keepNext w:val="0"/>
              <w:widowControl w:val="0"/>
              <w:rPr>
                <w:b/>
                <w:lang w:eastAsia="en-US"/>
              </w:rPr>
            </w:pPr>
          </w:p>
        </w:tc>
        <w:tc>
          <w:tcPr>
            <w:tcW w:w="1134" w:type="dxa"/>
            <w:shd w:val="clear" w:color="auto" w:fill="auto"/>
            <w:vAlign w:val="center"/>
          </w:tcPr>
          <w:p w:rsidR="00A80541" w:rsidRPr="00C927B9" w:rsidRDefault="00A80541" w:rsidP="00ED4A4C">
            <w:pPr>
              <w:pStyle w:val="TableText"/>
              <w:keepNext w:val="0"/>
              <w:widowControl w:val="0"/>
              <w:jc w:val="center"/>
              <w:rPr>
                <w:b/>
                <w:lang w:eastAsia="en-US"/>
              </w:rPr>
            </w:pPr>
            <w:r w:rsidRPr="00C927B9">
              <w:rPr>
                <w:b/>
                <w:lang w:eastAsia="en-US"/>
              </w:rPr>
              <w:t>Year 1</w:t>
            </w:r>
          </w:p>
        </w:tc>
        <w:tc>
          <w:tcPr>
            <w:tcW w:w="1134" w:type="dxa"/>
            <w:shd w:val="clear" w:color="auto" w:fill="auto"/>
            <w:vAlign w:val="center"/>
          </w:tcPr>
          <w:p w:rsidR="00A80541" w:rsidRPr="00C927B9" w:rsidRDefault="00A80541" w:rsidP="00ED4A4C">
            <w:pPr>
              <w:pStyle w:val="TableText"/>
              <w:keepNext w:val="0"/>
              <w:widowControl w:val="0"/>
              <w:jc w:val="center"/>
              <w:rPr>
                <w:b/>
                <w:lang w:eastAsia="en-US"/>
              </w:rPr>
            </w:pPr>
            <w:r w:rsidRPr="00C927B9">
              <w:rPr>
                <w:b/>
                <w:lang w:eastAsia="en-US"/>
              </w:rPr>
              <w:t>Year 2</w:t>
            </w:r>
          </w:p>
        </w:tc>
        <w:tc>
          <w:tcPr>
            <w:tcW w:w="1134" w:type="dxa"/>
            <w:shd w:val="clear" w:color="auto" w:fill="auto"/>
            <w:vAlign w:val="center"/>
          </w:tcPr>
          <w:p w:rsidR="00A80541" w:rsidRPr="00C927B9" w:rsidRDefault="00A80541" w:rsidP="00ED4A4C">
            <w:pPr>
              <w:pStyle w:val="TableText"/>
              <w:keepNext w:val="0"/>
              <w:widowControl w:val="0"/>
              <w:jc w:val="center"/>
              <w:rPr>
                <w:b/>
                <w:lang w:eastAsia="en-US"/>
              </w:rPr>
            </w:pPr>
            <w:r w:rsidRPr="00C927B9">
              <w:rPr>
                <w:b/>
                <w:lang w:eastAsia="en-US"/>
              </w:rPr>
              <w:t>Year 3</w:t>
            </w:r>
          </w:p>
        </w:tc>
        <w:tc>
          <w:tcPr>
            <w:tcW w:w="1134" w:type="dxa"/>
            <w:shd w:val="clear" w:color="auto" w:fill="auto"/>
            <w:vAlign w:val="center"/>
          </w:tcPr>
          <w:p w:rsidR="00A80541" w:rsidRPr="00C927B9" w:rsidRDefault="00A80541" w:rsidP="00ED4A4C">
            <w:pPr>
              <w:pStyle w:val="TableText"/>
              <w:keepNext w:val="0"/>
              <w:widowControl w:val="0"/>
              <w:jc w:val="center"/>
              <w:rPr>
                <w:b/>
                <w:lang w:eastAsia="en-US"/>
              </w:rPr>
            </w:pPr>
            <w:r w:rsidRPr="00C927B9">
              <w:rPr>
                <w:b/>
                <w:lang w:eastAsia="en-US"/>
              </w:rPr>
              <w:t>Year 4</w:t>
            </w:r>
          </w:p>
        </w:tc>
        <w:tc>
          <w:tcPr>
            <w:tcW w:w="1134" w:type="dxa"/>
            <w:shd w:val="clear" w:color="auto" w:fill="auto"/>
            <w:vAlign w:val="center"/>
          </w:tcPr>
          <w:p w:rsidR="00A80541" w:rsidRPr="00C927B9" w:rsidRDefault="00A80541" w:rsidP="00ED4A4C">
            <w:pPr>
              <w:pStyle w:val="TableText"/>
              <w:keepNext w:val="0"/>
              <w:widowControl w:val="0"/>
              <w:jc w:val="center"/>
              <w:rPr>
                <w:b/>
                <w:lang w:eastAsia="en-US"/>
              </w:rPr>
            </w:pPr>
            <w:r w:rsidRPr="00C927B9">
              <w:rPr>
                <w:b/>
                <w:lang w:eastAsia="en-US"/>
              </w:rPr>
              <w:t>Year 5</w:t>
            </w:r>
          </w:p>
        </w:tc>
        <w:tc>
          <w:tcPr>
            <w:tcW w:w="1134" w:type="dxa"/>
            <w:shd w:val="clear" w:color="auto" w:fill="auto"/>
            <w:vAlign w:val="center"/>
          </w:tcPr>
          <w:p w:rsidR="00A80541" w:rsidRPr="00C927B9" w:rsidRDefault="00A80541" w:rsidP="00ED4A4C">
            <w:pPr>
              <w:pStyle w:val="TableText"/>
              <w:keepNext w:val="0"/>
              <w:widowControl w:val="0"/>
              <w:jc w:val="center"/>
              <w:rPr>
                <w:b/>
                <w:lang w:eastAsia="en-US"/>
              </w:rPr>
            </w:pPr>
            <w:r w:rsidRPr="00C927B9">
              <w:rPr>
                <w:b/>
                <w:lang w:eastAsia="en-US"/>
              </w:rPr>
              <w:t>Year 6</w:t>
            </w:r>
          </w:p>
        </w:tc>
      </w:tr>
      <w:tr w:rsidR="00A80541" w:rsidRPr="00C927B9" w:rsidTr="00C64E97">
        <w:tc>
          <w:tcPr>
            <w:tcW w:w="2263" w:type="dxa"/>
            <w:shd w:val="clear" w:color="auto" w:fill="auto"/>
            <w:vAlign w:val="center"/>
          </w:tcPr>
          <w:p w:rsidR="00A80541" w:rsidRPr="00C927B9" w:rsidRDefault="00A80541" w:rsidP="00ED4A4C">
            <w:pPr>
              <w:pStyle w:val="TableText"/>
              <w:keepNext w:val="0"/>
              <w:widowControl w:val="0"/>
              <w:rPr>
                <w:lang w:eastAsia="en-US"/>
              </w:rPr>
            </w:pPr>
            <w:r w:rsidRPr="00C927B9">
              <w:rPr>
                <w:lang w:eastAsia="en-US"/>
              </w:rPr>
              <w:t>Total treated patients</w:t>
            </w:r>
          </w:p>
        </w:tc>
        <w:tc>
          <w:tcPr>
            <w:tcW w:w="1134" w:type="dxa"/>
            <w:shd w:val="clear" w:color="auto" w:fill="auto"/>
            <w:vAlign w:val="center"/>
          </w:tcPr>
          <w:p w:rsidR="00A80541" w:rsidRPr="00BD7382" w:rsidRDefault="004F2A12" w:rsidP="00ED4A4C">
            <w:pPr>
              <w:pStyle w:val="TableText"/>
              <w:keepNext w:val="0"/>
              <w:widowControl w:val="0"/>
              <w:jc w:val="center"/>
              <w:rPr>
                <w:vertAlign w:val="superscript"/>
                <w:lang w:eastAsia="en-US"/>
              </w:rPr>
            </w:pPr>
            <w:r>
              <w:rPr>
                <w:noProof/>
                <w:color w:val="000000"/>
                <w:highlight w:val="black"/>
                <w:lang w:eastAsia="en-US"/>
              </w:rPr>
              <w:t>'''''''''</w:t>
            </w:r>
            <w:r w:rsidR="00A978C6" w:rsidRPr="00A978C6">
              <w:rPr>
                <w:vertAlign w:val="superscript"/>
              </w:rPr>
              <w:t>1</w:t>
            </w:r>
          </w:p>
        </w:tc>
        <w:tc>
          <w:tcPr>
            <w:tcW w:w="1134" w:type="dxa"/>
            <w:shd w:val="clear" w:color="auto" w:fill="auto"/>
            <w:vAlign w:val="center"/>
          </w:tcPr>
          <w:p w:rsidR="00A80541" w:rsidRPr="00C927B9" w:rsidRDefault="004F2A12" w:rsidP="00ED4A4C">
            <w:pPr>
              <w:pStyle w:val="TableText"/>
              <w:keepNext w:val="0"/>
              <w:widowControl w:val="0"/>
              <w:jc w:val="center"/>
              <w:rPr>
                <w:lang w:eastAsia="en-US"/>
              </w:rPr>
            </w:pPr>
            <w:r>
              <w:rPr>
                <w:noProof/>
                <w:color w:val="000000"/>
                <w:highlight w:val="black"/>
                <w:lang w:eastAsia="en-US"/>
              </w:rPr>
              <w:t>''''''''''</w:t>
            </w:r>
            <w:r w:rsidR="00A978C6" w:rsidRPr="00A978C6">
              <w:rPr>
                <w:vertAlign w:val="superscript"/>
              </w:rPr>
              <w:t>1</w:t>
            </w:r>
          </w:p>
        </w:tc>
        <w:tc>
          <w:tcPr>
            <w:tcW w:w="1134" w:type="dxa"/>
            <w:shd w:val="clear" w:color="auto" w:fill="auto"/>
            <w:vAlign w:val="center"/>
          </w:tcPr>
          <w:p w:rsidR="00A80541" w:rsidRPr="00C927B9" w:rsidRDefault="004F2A12" w:rsidP="00ED4A4C">
            <w:pPr>
              <w:pStyle w:val="TableText"/>
              <w:keepNext w:val="0"/>
              <w:widowControl w:val="0"/>
              <w:jc w:val="center"/>
              <w:rPr>
                <w:lang w:eastAsia="en-US"/>
              </w:rPr>
            </w:pPr>
            <w:r>
              <w:rPr>
                <w:noProof/>
                <w:color w:val="000000"/>
                <w:highlight w:val="black"/>
                <w:lang w:eastAsia="en-US"/>
              </w:rPr>
              <w:t>'''''''''</w:t>
            </w:r>
            <w:r w:rsidR="00A978C6" w:rsidRPr="00A978C6">
              <w:rPr>
                <w:vertAlign w:val="superscript"/>
              </w:rPr>
              <w:t>1</w:t>
            </w:r>
          </w:p>
        </w:tc>
        <w:tc>
          <w:tcPr>
            <w:tcW w:w="1134" w:type="dxa"/>
            <w:shd w:val="clear" w:color="auto" w:fill="auto"/>
            <w:vAlign w:val="center"/>
          </w:tcPr>
          <w:p w:rsidR="00A80541" w:rsidRPr="00C927B9" w:rsidRDefault="004F2A12" w:rsidP="00ED4A4C">
            <w:pPr>
              <w:pStyle w:val="TableText"/>
              <w:keepNext w:val="0"/>
              <w:widowControl w:val="0"/>
              <w:jc w:val="center"/>
              <w:rPr>
                <w:lang w:eastAsia="en-US"/>
              </w:rPr>
            </w:pPr>
            <w:r>
              <w:rPr>
                <w:noProof/>
                <w:color w:val="000000"/>
                <w:highlight w:val="black"/>
                <w:lang w:eastAsia="en-US"/>
              </w:rPr>
              <w:t>''''''''''</w:t>
            </w:r>
            <w:r w:rsidR="00A978C6" w:rsidRPr="00A978C6">
              <w:rPr>
                <w:vertAlign w:val="superscript"/>
              </w:rPr>
              <w:t>1</w:t>
            </w:r>
          </w:p>
        </w:tc>
        <w:tc>
          <w:tcPr>
            <w:tcW w:w="1134" w:type="dxa"/>
            <w:shd w:val="clear" w:color="auto" w:fill="auto"/>
            <w:vAlign w:val="center"/>
          </w:tcPr>
          <w:p w:rsidR="00A80541" w:rsidRPr="00C927B9" w:rsidRDefault="004F2A12" w:rsidP="00ED4A4C">
            <w:pPr>
              <w:pStyle w:val="TableText"/>
              <w:keepNext w:val="0"/>
              <w:widowControl w:val="0"/>
              <w:jc w:val="center"/>
              <w:rPr>
                <w:lang w:eastAsia="en-US"/>
              </w:rPr>
            </w:pPr>
            <w:r>
              <w:rPr>
                <w:noProof/>
                <w:color w:val="000000"/>
                <w:highlight w:val="black"/>
                <w:lang w:eastAsia="en-US"/>
              </w:rPr>
              <w:t>''''''''''</w:t>
            </w:r>
            <w:r w:rsidR="00A978C6" w:rsidRPr="00A978C6">
              <w:rPr>
                <w:vertAlign w:val="superscript"/>
              </w:rPr>
              <w:t>1</w:t>
            </w:r>
          </w:p>
        </w:tc>
        <w:tc>
          <w:tcPr>
            <w:tcW w:w="1134" w:type="dxa"/>
            <w:shd w:val="clear" w:color="auto" w:fill="auto"/>
            <w:vAlign w:val="center"/>
          </w:tcPr>
          <w:p w:rsidR="00A80541" w:rsidRPr="00C927B9" w:rsidRDefault="004F2A12" w:rsidP="00ED4A4C">
            <w:pPr>
              <w:pStyle w:val="TableText"/>
              <w:keepNext w:val="0"/>
              <w:widowControl w:val="0"/>
              <w:jc w:val="center"/>
              <w:rPr>
                <w:lang w:eastAsia="en-US"/>
              </w:rPr>
            </w:pPr>
            <w:r>
              <w:rPr>
                <w:noProof/>
                <w:color w:val="000000"/>
                <w:highlight w:val="black"/>
                <w:lang w:eastAsia="en-US"/>
              </w:rPr>
              <w:t>'''''''''</w:t>
            </w:r>
            <w:r w:rsidR="00A978C6" w:rsidRPr="00A978C6">
              <w:rPr>
                <w:vertAlign w:val="superscript"/>
              </w:rPr>
              <w:t>1</w:t>
            </w:r>
          </w:p>
        </w:tc>
      </w:tr>
      <w:tr w:rsidR="00A80541" w:rsidRPr="00C927B9" w:rsidTr="00C64E97">
        <w:tc>
          <w:tcPr>
            <w:tcW w:w="2263" w:type="dxa"/>
            <w:shd w:val="clear" w:color="auto" w:fill="auto"/>
            <w:vAlign w:val="center"/>
          </w:tcPr>
          <w:p w:rsidR="00A80541" w:rsidRPr="00C927B9" w:rsidRDefault="00A80541" w:rsidP="00ED4A4C">
            <w:pPr>
              <w:pStyle w:val="TableText"/>
              <w:keepNext w:val="0"/>
              <w:widowControl w:val="0"/>
              <w:rPr>
                <w:lang w:eastAsia="en-US"/>
              </w:rPr>
            </w:pPr>
            <w:r w:rsidRPr="00C927B9">
              <w:rPr>
                <w:lang w:eastAsia="en-US"/>
              </w:rPr>
              <w:t>Venetoclax scripts</w:t>
            </w:r>
          </w:p>
        </w:tc>
        <w:tc>
          <w:tcPr>
            <w:tcW w:w="1134" w:type="dxa"/>
            <w:shd w:val="clear" w:color="auto" w:fill="auto"/>
            <w:vAlign w:val="center"/>
          </w:tcPr>
          <w:p w:rsidR="00A80541" w:rsidRPr="00BD7382" w:rsidRDefault="004F2A12" w:rsidP="00ED4A4C">
            <w:pPr>
              <w:pStyle w:val="TableText"/>
              <w:keepNext w:val="0"/>
              <w:widowControl w:val="0"/>
              <w:jc w:val="center"/>
              <w:rPr>
                <w:vertAlign w:val="superscript"/>
                <w:lang w:eastAsia="en-US"/>
              </w:rPr>
            </w:pPr>
            <w:r>
              <w:rPr>
                <w:noProof/>
                <w:color w:val="000000"/>
                <w:highlight w:val="black"/>
                <w:lang w:eastAsia="en-US"/>
              </w:rPr>
              <w:t>'''''''''''''</w:t>
            </w:r>
            <w:r w:rsidR="006F1FE5">
              <w:rPr>
                <w:vertAlign w:val="superscript"/>
              </w:rPr>
              <w:t>2</w:t>
            </w:r>
          </w:p>
        </w:tc>
        <w:tc>
          <w:tcPr>
            <w:tcW w:w="1134" w:type="dxa"/>
            <w:shd w:val="clear" w:color="auto" w:fill="auto"/>
            <w:vAlign w:val="center"/>
          </w:tcPr>
          <w:p w:rsidR="00A80541" w:rsidRPr="00BD7382" w:rsidRDefault="004F2A12" w:rsidP="00ED4A4C">
            <w:pPr>
              <w:pStyle w:val="TableText"/>
              <w:keepNext w:val="0"/>
              <w:widowControl w:val="0"/>
              <w:jc w:val="center"/>
              <w:rPr>
                <w:vertAlign w:val="superscript"/>
                <w:lang w:eastAsia="en-US"/>
              </w:rPr>
            </w:pPr>
            <w:r>
              <w:rPr>
                <w:noProof/>
                <w:color w:val="000000"/>
                <w:highlight w:val="black"/>
                <w:lang w:eastAsia="en-US"/>
              </w:rPr>
              <w:t>'''''''''''''</w:t>
            </w:r>
            <w:r w:rsidR="006F1FE5">
              <w:rPr>
                <w:vertAlign w:val="superscript"/>
              </w:rPr>
              <w:t>3</w:t>
            </w:r>
          </w:p>
        </w:tc>
        <w:tc>
          <w:tcPr>
            <w:tcW w:w="1134" w:type="dxa"/>
            <w:shd w:val="clear" w:color="auto" w:fill="auto"/>
            <w:vAlign w:val="center"/>
          </w:tcPr>
          <w:p w:rsidR="00A80541" w:rsidRPr="00C927B9" w:rsidRDefault="004F2A12" w:rsidP="00ED4A4C">
            <w:pPr>
              <w:pStyle w:val="TableText"/>
              <w:keepNext w:val="0"/>
              <w:widowControl w:val="0"/>
              <w:jc w:val="center"/>
              <w:rPr>
                <w:lang w:eastAsia="en-US"/>
              </w:rPr>
            </w:pPr>
            <w:r>
              <w:rPr>
                <w:noProof/>
                <w:color w:val="000000"/>
                <w:highlight w:val="black"/>
                <w:lang w:eastAsia="en-US"/>
              </w:rPr>
              <w:t>''''''''''''''</w:t>
            </w:r>
            <w:r w:rsidR="006F1FE5">
              <w:rPr>
                <w:vertAlign w:val="superscript"/>
              </w:rPr>
              <w:t>3</w:t>
            </w:r>
          </w:p>
        </w:tc>
        <w:tc>
          <w:tcPr>
            <w:tcW w:w="1134" w:type="dxa"/>
            <w:shd w:val="clear" w:color="auto" w:fill="auto"/>
            <w:vAlign w:val="center"/>
          </w:tcPr>
          <w:p w:rsidR="00A80541" w:rsidRPr="00C927B9" w:rsidRDefault="004F2A12" w:rsidP="00ED4A4C">
            <w:pPr>
              <w:pStyle w:val="TableText"/>
              <w:keepNext w:val="0"/>
              <w:widowControl w:val="0"/>
              <w:jc w:val="center"/>
              <w:rPr>
                <w:lang w:eastAsia="en-US"/>
              </w:rPr>
            </w:pPr>
            <w:r>
              <w:rPr>
                <w:noProof/>
                <w:color w:val="000000"/>
                <w:highlight w:val="black"/>
                <w:lang w:eastAsia="en-US"/>
              </w:rPr>
              <w:t>'''''''''''''</w:t>
            </w:r>
            <w:r w:rsidR="006F1FE5">
              <w:rPr>
                <w:vertAlign w:val="superscript"/>
              </w:rPr>
              <w:t>3</w:t>
            </w:r>
          </w:p>
        </w:tc>
        <w:tc>
          <w:tcPr>
            <w:tcW w:w="1134" w:type="dxa"/>
            <w:shd w:val="clear" w:color="auto" w:fill="auto"/>
            <w:vAlign w:val="center"/>
          </w:tcPr>
          <w:p w:rsidR="00A80541" w:rsidRPr="00C927B9" w:rsidRDefault="004F2A12" w:rsidP="00ED4A4C">
            <w:pPr>
              <w:pStyle w:val="TableText"/>
              <w:keepNext w:val="0"/>
              <w:widowControl w:val="0"/>
              <w:jc w:val="center"/>
              <w:rPr>
                <w:lang w:eastAsia="en-US"/>
              </w:rPr>
            </w:pPr>
            <w:r>
              <w:rPr>
                <w:noProof/>
                <w:color w:val="000000"/>
                <w:highlight w:val="black"/>
                <w:lang w:eastAsia="en-US"/>
              </w:rPr>
              <w:t>'''''''''''''</w:t>
            </w:r>
            <w:r w:rsidR="006F1FE5">
              <w:rPr>
                <w:vertAlign w:val="superscript"/>
              </w:rPr>
              <w:t>3</w:t>
            </w:r>
          </w:p>
        </w:tc>
        <w:tc>
          <w:tcPr>
            <w:tcW w:w="1134" w:type="dxa"/>
            <w:shd w:val="clear" w:color="auto" w:fill="auto"/>
            <w:vAlign w:val="center"/>
          </w:tcPr>
          <w:p w:rsidR="00A80541" w:rsidRPr="00C927B9" w:rsidRDefault="004F2A12" w:rsidP="00ED4A4C">
            <w:pPr>
              <w:pStyle w:val="TableText"/>
              <w:keepNext w:val="0"/>
              <w:widowControl w:val="0"/>
              <w:jc w:val="center"/>
              <w:rPr>
                <w:lang w:eastAsia="en-US"/>
              </w:rPr>
            </w:pPr>
            <w:r>
              <w:rPr>
                <w:noProof/>
                <w:color w:val="000000"/>
                <w:highlight w:val="black"/>
                <w:lang w:eastAsia="en-US"/>
              </w:rPr>
              <w:t>'''''''''''''</w:t>
            </w:r>
            <w:r w:rsidR="006F1FE5">
              <w:rPr>
                <w:vertAlign w:val="superscript"/>
              </w:rPr>
              <w:t>3</w:t>
            </w:r>
          </w:p>
        </w:tc>
      </w:tr>
      <w:tr w:rsidR="00A80541" w:rsidRPr="00C927B9" w:rsidTr="00C64E97">
        <w:tc>
          <w:tcPr>
            <w:tcW w:w="2263" w:type="dxa"/>
            <w:shd w:val="clear" w:color="auto" w:fill="auto"/>
            <w:vAlign w:val="center"/>
          </w:tcPr>
          <w:p w:rsidR="00A80541" w:rsidRPr="00C927B9" w:rsidRDefault="00A80541" w:rsidP="00ED4A4C">
            <w:pPr>
              <w:pStyle w:val="TableText"/>
              <w:keepNext w:val="0"/>
              <w:widowControl w:val="0"/>
              <w:rPr>
                <w:lang w:eastAsia="en-US"/>
              </w:rPr>
            </w:pPr>
            <w:r w:rsidRPr="00C927B9">
              <w:rPr>
                <w:lang w:eastAsia="en-US"/>
              </w:rPr>
              <w:t>Azacitidine vials</w:t>
            </w:r>
          </w:p>
        </w:tc>
        <w:tc>
          <w:tcPr>
            <w:tcW w:w="1134" w:type="dxa"/>
            <w:shd w:val="clear" w:color="auto" w:fill="auto"/>
            <w:vAlign w:val="center"/>
          </w:tcPr>
          <w:p w:rsidR="00A80541" w:rsidRPr="004F2A12" w:rsidRDefault="004F2A12" w:rsidP="00ED4A4C">
            <w:pPr>
              <w:pStyle w:val="TableText"/>
              <w:keepNext w:val="0"/>
              <w:widowControl w:val="0"/>
              <w:jc w:val="center"/>
              <w:rPr>
                <w:lang w:eastAsia="en-US"/>
              </w:rPr>
            </w:pPr>
            <w:r>
              <w:rPr>
                <w:noProof/>
                <w:color w:val="000000"/>
                <w:highlight w:val="black"/>
                <w:lang w:eastAsia="en-US"/>
              </w:rPr>
              <w:t>''''''''''''''''''</w:t>
            </w:r>
            <w:r w:rsidR="006F1FE5">
              <w:rPr>
                <w:vertAlign w:val="superscript"/>
              </w:rPr>
              <w:t>4</w:t>
            </w:r>
          </w:p>
        </w:tc>
        <w:tc>
          <w:tcPr>
            <w:tcW w:w="1134" w:type="dxa"/>
            <w:shd w:val="clear" w:color="auto" w:fill="auto"/>
            <w:vAlign w:val="center"/>
          </w:tcPr>
          <w:p w:rsidR="00A80541" w:rsidRPr="004F2A12" w:rsidRDefault="004F2A12" w:rsidP="00ED4A4C">
            <w:pPr>
              <w:pStyle w:val="TableText"/>
              <w:keepNext w:val="0"/>
              <w:widowControl w:val="0"/>
              <w:jc w:val="center"/>
              <w:rPr>
                <w:lang w:eastAsia="en-US"/>
              </w:rPr>
            </w:pPr>
            <w:r>
              <w:rPr>
                <w:noProof/>
                <w:color w:val="000000"/>
                <w:highlight w:val="black"/>
                <w:lang w:eastAsia="en-US"/>
              </w:rPr>
              <w:t>''''''''''''''''''</w:t>
            </w:r>
            <w:r w:rsidR="006F1FE5">
              <w:rPr>
                <w:vertAlign w:val="superscript"/>
              </w:rPr>
              <w:t>5</w:t>
            </w:r>
          </w:p>
        </w:tc>
        <w:tc>
          <w:tcPr>
            <w:tcW w:w="1134" w:type="dxa"/>
            <w:shd w:val="clear" w:color="auto" w:fill="auto"/>
            <w:vAlign w:val="center"/>
          </w:tcPr>
          <w:p w:rsidR="00A80541" w:rsidRPr="004F2A12" w:rsidRDefault="004F2A12" w:rsidP="00ED4A4C">
            <w:pPr>
              <w:pStyle w:val="TableText"/>
              <w:keepNext w:val="0"/>
              <w:widowControl w:val="0"/>
              <w:jc w:val="center"/>
              <w:rPr>
                <w:lang w:eastAsia="en-US"/>
              </w:rPr>
            </w:pPr>
            <w:r>
              <w:rPr>
                <w:noProof/>
                <w:color w:val="000000"/>
                <w:highlight w:val="black"/>
                <w:lang w:eastAsia="en-US"/>
              </w:rPr>
              <w:t>''''''''''''''''</w:t>
            </w:r>
            <w:r w:rsidR="006F1FE5">
              <w:rPr>
                <w:vertAlign w:val="superscript"/>
              </w:rPr>
              <w:t>5</w:t>
            </w:r>
          </w:p>
        </w:tc>
        <w:tc>
          <w:tcPr>
            <w:tcW w:w="1134" w:type="dxa"/>
            <w:shd w:val="clear" w:color="auto" w:fill="auto"/>
            <w:vAlign w:val="center"/>
          </w:tcPr>
          <w:p w:rsidR="00A80541" w:rsidRPr="004F2A12" w:rsidRDefault="004F2A12" w:rsidP="00ED4A4C">
            <w:pPr>
              <w:pStyle w:val="TableText"/>
              <w:keepNext w:val="0"/>
              <w:widowControl w:val="0"/>
              <w:jc w:val="center"/>
              <w:rPr>
                <w:lang w:eastAsia="en-US"/>
              </w:rPr>
            </w:pPr>
            <w:r>
              <w:rPr>
                <w:noProof/>
                <w:color w:val="000000"/>
                <w:highlight w:val="black"/>
                <w:lang w:eastAsia="en-US"/>
              </w:rPr>
              <w:t>''''''''''''''''</w:t>
            </w:r>
            <w:r w:rsidR="006F1FE5">
              <w:rPr>
                <w:vertAlign w:val="superscript"/>
              </w:rPr>
              <w:t>5</w:t>
            </w:r>
          </w:p>
        </w:tc>
        <w:tc>
          <w:tcPr>
            <w:tcW w:w="1134" w:type="dxa"/>
            <w:shd w:val="clear" w:color="auto" w:fill="auto"/>
            <w:vAlign w:val="center"/>
          </w:tcPr>
          <w:p w:rsidR="00A80541" w:rsidRPr="004F2A12" w:rsidRDefault="004F2A12" w:rsidP="00ED4A4C">
            <w:pPr>
              <w:pStyle w:val="TableText"/>
              <w:keepNext w:val="0"/>
              <w:widowControl w:val="0"/>
              <w:jc w:val="center"/>
              <w:rPr>
                <w:lang w:eastAsia="en-US"/>
              </w:rPr>
            </w:pPr>
            <w:r>
              <w:rPr>
                <w:noProof/>
                <w:color w:val="000000"/>
                <w:highlight w:val="black"/>
                <w:lang w:eastAsia="en-US"/>
              </w:rPr>
              <w:t>''''''''''''''''</w:t>
            </w:r>
            <w:r w:rsidR="006F1FE5">
              <w:rPr>
                <w:vertAlign w:val="superscript"/>
              </w:rPr>
              <w:t>6</w:t>
            </w:r>
          </w:p>
        </w:tc>
        <w:tc>
          <w:tcPr>
            <w:tcW w:w="1134" w:type="dxa"/>
            <w:shd w:val="clear" w:color="auto" w:fill="auto"/>
            <w:vAlign w:val="center"/>
          </w:tcPr>
          <w:p w:rsidR="00A80541" w:rsidRPr="004F2A12" w:rsidRDefault="004F2A12" w:rsidP="00ED4A4C">
            <w:pPr>
              <w:pStyle w:val="TableText"/>
              <w:keepNext w:val="0"/>
              <w:widowControl w:val="0"/>
              <w:jc w:val="center"/>
              <w:rPr>
                <w:lang w:eastAsia="en-US"/>
              </w:rPr>
            </w:pPr>
            <w:r>
              <w:rPr>
                <w:noProof/>
                <w:color w:val="000000"/>
                <w:highlight w:val="black"/>
                <w:lang w:eastAsia="en-US"/>
              </w:rPr>
              <w:t>'''''''''''''''</w:t>
            </w:r>
            <w:r w:rsidR="006F1FE5">
              <w:rPr>
                <w:vertAlign w:val="superscript"/>
              </w:rPr>
              <w:t>6</w:t>
            </w:r>
          </w:p>
        </w:tc>
      </w:tr>
      <w:tr w:rsidR="00A80541" w:rsidRPr="00C927B9" w:rsidTr="00C64E97">
        <w:tc>
          <w:tcPr>
            <w:tcW w:w="2263" w:type="dxa"/>
            <w:shd w:val="clear" w:color="auto" w:fill="auto"/>
            <w:vAlign w:val="center"/>
          </w:tcPr>
          <w:p w:rsidR="00A80541" w:rsidRPr="00C927B9" w:rsidRDefault="00A80541" w:rsidP="00ED4A4C">
            <w:pPr>
              <w:pStyle w:val="TableText"/>
              <w:keepNext w:val="0"/>
              <w:widowControl w:val="0"/>
              <w:rPr>
                <w:lang w:eastAsia="en-US"/>
              </w:rPr>
            </w:pPr>
            <w:r w:rsidRPr="00C927B9">
              <w:rPr>
                <w:lang w:eastAsia="en-US"/>
              </w:rPr>
              <w:t xml:space="preserve">Total venetoclax with azacitidine cost (less </w:t>
            </w:r>
            <w:proofErr w:type="spellStart"/>
            <w:r w:rsidRPr="00C927B9">
              <w:rPr>
                <w:lang w:eastAsia="en-US"/>
              </w:rPr>
              <w:t>copay</w:t>
            </w:r>
            <w:proofErr w:type="spellEnd"/>
            <w:r w:rsidRPr="00C927B9">
              <w:rPr>
                <w:lang w:eastAsia="en-US"/>
              </w:rPr>
              <w:t>)</w:t>
            </w:r>
          </w:p>
        </w:tc>
        <w:tc>
          <w:tcPr>
            <w:tcW w:w="1134" w:type="dxa"/>
            <w:shd w:val="clear" w:color="auto" w:fill="auto"/>
            <w:vAlign w:val="center"/>
          </w:tcPr>
          <w:p w:rsidR="00A80541" w:rsidRPr="00BD7382" w:rsidRDefault="00A80541" w:rsidP="00ED4A4C">
            <w:pPr>
              <w:pStyle w:val="TableText"/>
              <w:keepNext w:val="0"/>
              <w:widowControl w:val="0"/>
              <w:jc w:val="center"/>
              <w:rPr>
                <w:vertAlign w:val="superscript"/>
                <w:lang w:eastAsia="en-US"/>
              </w:rPr>
            </w:pPr>
            <w:r w:rsidRPr="00C927B9">
              <w:rPr>
                <w:lang w:eastAsia="en-US"/>
              </w:rPr>
              <w:t>$</w:t>
            </w:r>
            <w:r w:rsidR="004F2A12">
              <w:rPr>
                <w:noProof/>
                <w:color w:val="000000"/>
                <w:highlight w:val="black"/>
                <w:lang w:eastAsia="en-US"/>
              </w:rPr>
              <w:t>'''''''''''''''''''''''</w:t>
            </w:r>
            <w:r w:rsidR="006F1FE5">
              <w:rPr>
                <w:vertAlign w:val="superscript"/>
              </w:rPr>
              <w:t>7</w:t>
            </w:r>
          </w:p>
        </w:tc>
        <w:tc>
          <w:tcPr>
            <w:tcW w:w="1134" w:type="dxa"/>
            <w:shd w:val="clear" w:color="auto" w:fill="auto"/>
            <w:vAlign w:val="center"/>
          </w:tcPr>
          <w:p w:rsidR="00A80541" w:rsidRPr="00BD7382" w:rsidRDefault="00A80541" w:rsidP="00ED4A4C">
            <w:pPr>
              <w:pStyle w:val="TableText"/>
              <w:keepNext w:val="0"/>
              <w:widowControl w:val="0"/>
              <w:jc w:val="center"/>
              <w:rPr>
                <w:vertAlign w:val="superscript"/>
                <w:lang w:eastAsia="en-US"/>
              </w:rPr>
            </w:pPr>
            <w:r w:rsidRPr="00C927B9">
              <w:rPr>
                <w:lang w:eastAsia="en-US"/>
              </w:rPr>
              <w:t>$</w:t>
            </w:r>
            <w:r w:rsidR="004F2A12">
              <w:rPr>
                <w:noProof/>
                <w:color w:val="000000"/>
                <w:highlight w:val="black"/>
                <w:lang w:eastAsia="en-US"/>
              </w:rPr>
              <w:t>''''''''''''''''''''''''''</w:t>
            </w:r>
            <w:r w:rsidR="006F1FE5">
              <w:rPr>
                <w:vertAlign w:val="superscript"/>
              </w:rPr>
              <w:t>8</w:t>
            </w:r>
          </w:p>
        </w:tc>
        <w:tc>
          <w:tcPr>
            <w:tcW w:w="1134" w:type="dxa"/>
            <w:shd w:val="clear" w:color="auto" w:fill="auto"/>
            <w:vAlign w:val="center"/>
          </w:tcPr>
          <w:p w:rsidR="00A80541" w:rsidRPr="00BD7382" w:rsidRDefault="00A80541" w:rsidP="00ED4A4C">
            <w:pPr>
              <w:pStyle w:val="TableText"/>
              <w:keepNext w:val="0"/>
              <w:widowControl w:val="0"/>
              <w:jc w:val="center"/>
              <w:rPr>
                <w:vertAlign w:val="superscript"/>
                <w:lang w:eastAsia="en-US"/>
              </w:rPr>
            </w:pPr>
            <w:r w:rsidRPr="00C927B9">
              <w:rPr>
                <w:lang w:eastAsia="en-US"/>
              </w:rPr>
              <w:t>$</w:t>
            </w:r>
            <w:r w:rsidR="004F2A12">
              <w:rPr>
                <w:noProof/>
                <w:color w:val="000000"/>
                <w:highlight w:val="black"/>
                <w:lang w:eastAsia="en-US"/>
              </w:rPr>
              <w:t>''''''''''''''''''''''''''</w:t>
            </w:r>
            <w:r w:rsidR="006F1FE5">
              <w:rPr>
                <w:vertAlign w:val="superscript"/>
              </w:rPr>
              <w:t>8</w:t>
            </w:r>
          </w:p>
        </w:tc>
        <w:tc>
          <w:tcPr>
            <w:tcW w:w="1134" w:type="dxa"/>
            <w:shd w:val="clear" w:color="auto" w:fill="auto"/>
            <w:vAlign w:val="center"/>
          </w:tcPr>
          <w:p w:rsidR="00A80541" w:rsidRPr="00BD7382" w:rsidRDefault="00A80541" w:rsidP="00ED4A4C">
            <w:pPr>
              <w:pStyle w:val="TableText"/>
              <w:keepNext w:val="0"/>
              <w:widowControl w:val="0"/>
              <w:jc w:val="center"/>
              <w:rPr>
                <w:vertAlign w:val="superscript"/>
                <w:lang w:eastAsia="en-US"/>
              </w:rPr>
            </w:pPr>
            <w:r w:rsidRPr="00C927B9">
              <w:rPr>
                <w:lang w:eastAsia="en-US"/>
              </w:rPr>
              <w:t>$</w:t>
            </w:r>
            <w:r w:rsidR="004F2A12">
              <w:rPr>
                <w:noProof/>
                <w:color w:val="000000"/>
                <w:highlight w:val="black"/>
                <w:lang w:eastAsia="en-US"/>
              </w:rPr>
              <w:t>''''''''''''''''''''''''''</w:t>
            </w:r>
            <w:r w:rsidR="006F1FE5">
              <w:rPr>
                <w:vertAlign w:val="superscript"/>
              </w:rPr>
              <w:t>8</w:t>
            </w:r>
          </w:p>
        </w:tc>
        <w:tc>
          <w:tcPr>
            <w:tcW w:w="1134" w:type="dxa"/>
            <w:shd w:val="clear" w:color="auto" w:fill="auto"/>
            <w:vAlign w:val="center"/>
          </w:tcPr>
          <w:p w:rsidR="00A80541" w:rsidRPr="00BD7382" w:rsidRDefault="00A80541" w:rsidP="00ED4A4C">
            <w:pPr>
              <w:pStyle w:val="TableText"/>
              <w:keepNext w:val="0"/>
              <w:widowControl w:val="0"/>
              <w:jc w:val="center"/>
              <w:rPr>
                <w:vertAlign w:val="superscript"/>
                <w:lang w:eastAsia="en-US"/>
              </w:rPr>
            </w:pPr>
            <w:r w:rsidRPr="00C927B9">
              <w:rPr>
                <w:lang w:eastAsia="en-US"/>
              </w:rPr>
              <w:t>$</w:t>
            </w:r>
            <w:r w:rsidR="004F2A12">
              <w:rPr>
                <w:noProof/>
                <w:color w:val="000000"/>
                <w:highlight w:val="black"/>
                <w:lang w:eastAsia="en-US"/>
              </w:rPr>
              <w:t>'''''''''''''''''''''''''</w:t>
            </w:r>
            <w:r w:rsidR="006F1FE5">
              <w:rPr>
                <w:vertAlign w:val="superscript"/>
              </w:rPr>
              <w:t>8</w:t>
            </w:r>
          </w:p>
        </w:tc>
        <w:tc>
          <w:tcPr>
            <w:tcW w:w="1134" w:type="dxa"/>
            <w:shd w:val="clear" w:color="auto" w:fill="auto"/>
            <w:vAlign w:val="center"/>
          </w:tcPr>
          <w:p w:rsidR="00A80541" w:rsidRPr="00BD7382" w:rsidRDefault="00A80541" w:rsidP="00ED4A4C">
            <w:pPr>
              <w:pStyle w:val="TableText"/>
              <w:keepNext w:val="0"/>
              <w:widowControl w:val="0"/>
              <w:jc w:val="center"/>
              <w:rPr>
                <w:vertAlign w:val="superscript"/>
                <w:lang w:eastAsia="en-US"/>
              </w:rPr>
            </w:pPr>
            <w:r w:rsidRPr="00C927B9">
              <w:rPr>
                <w:lang w:eastAsia="en-US"/>
              </w:rPr>
              <w:t>$</w:t>
            </w:r>
            <w:r w:rsidR="004F2A12">
              <w:rPr>
                <w:noProof/>
                <w:color w:val="000000"/>
                <w:highlight w:val="black"/>
                <w:lang w:eastAsia="en-US"/>
              </w:rPr>
              <w:t>''''''''''''''''''''''''</w:t>
            </w:r>
            <w:r w:rsidR="006F1FE5">
              <w:rPr>
                <w:vertAlign w:val="superscript"/>
              </w:rPr>
              <w:t>8</w:t>
            </w:r>
          </w:p>
        </w:tc>
      </w:tr>
      <w:tr w:rsidR="00A80541" w:rsidRPr="00C927B9" w:rsidTr="00C64E97">
        <w:tc>
          <w:tcPr>
            <w:tcW w:w="2263" w:type="dxa"/>
            <w:shd w:val="clear" w:color="auto" w:fill="auto"/>
            <w:vAlign w:val="center"/>
          </w:tcPr>
          <w:p w:rsidR="00A80541" w:rsidRPr="00C927B9" w:rsidRDefault="00A80541" w:rsidP="00ED4A4C">
            <w:pPr>
              <w:pStyle w:val="TableText"/>
              <w:keepNext w:val="0"/>
              <w:widowControl w:val="0"/>
              <w:rPr>
                <w:lang w:eastAsia="en-US"/>
              </w:rPr>
            </w:pPr>
            <w:r w:rsidRPr="00C927B9">
              <w:rPr>
                <w:lang w:eastAsia="en-US"/>
              </w:rPr>
              <w:t xml:space="preserve">Azacitidine monotherapy substitution (less </w:t>
            </w:r>
            <w:proofErr w:type="spellStart"/>
            <w:r w:rsidRPr="00C927B9">
              <w:rPr>
                <w:lang w:eastAsia="en-US"/>
              </w:rPr>
              <w:t>copay</w:t>
            </w:r>
            <w:proofErr w:type="spellEnd"/>
            <w:r w:rsidRPr="00C927B9">
              <w:rPr>
                <w:lang w:eastAsia="en-US"/>
              </w:rPr>
              <w:t>)</w:t>
            </w:r>
          </w:p>
        </w:tc>
        <w:tc>
          <w:tcPr>
            <w:tcW w:w="1134" w:type="dxa"/>
            <w:shd w:val="clear" w:color="auto" w:fill="auto"/>
            <w:vAlign w:val="center"/>
          </w:tcPr>
          <w:p w:rsidR="00A80541" w:rsidRPr="00BD7382" w:rsidRDefault="00A80541" w:rsidP="00ED4A4C">
            <w:pPr>
              <w:pStyle w:val="TableText"/>
              <w:keepNext w:val="0"/>
              <w:widowControl w:val="0"/>
              <w:jc w:val="center"/>
              <w:rPr>
                <w:vertAlign w:val="superscript"/>
                <w:lang w:eastAsia="en-US"/>
              </w:rPr>
            </w:pPr>
            <w:r w:rsidRPr="00C927B9">
              <w:rPr>
                <w:lang w:eastAsia="en-US"/>
              </w:rPr>
              <w:t>-$</w:t>
            </w:r>
            <w:r w:rsidR="004F2A12">
              <w:rPr>
                <w:noProof/>
                <w:color w:val="000000"/>
                <w:highlight w:val="black"/>
                <w:lang w:eastAsia="en-US"/>
              </w:rPr>
              <w:t>''''''''''''''''''''''</w:t>
            </w:r>
            <w:r w:rsidR="006F1FE5">
              <w:rPr>
                <w:vertAlign w:val="superscript"/>
              </w:rPr>
              <w:t>9</w:t>
            </w:r>
          </w:p>
        </w:tc>
        <w:tc>
          <w:tcPr>
            <w:tcW w:w="1134" w:type="dxa"/>
            <w:shd w:val="clear" w:color="auto" w:fill="auto"/>
            <w:vAlign w:val="center"/>
          </w:tcPr>
          <w:p w:rsidR="00A80541" w:rsidRPr="00C927B9" w:rsidRDefault="00A80541" w:rsidP="00ED4A4C">
            <w:pPr>
              <w:pStyle w:val="TableText"/>
              <w:keepNext w:val="0"/>
              <w:widowControl w:val="0"/>
              <w:jc w:val="center"/>
              <w:rPr>
                <w:lang w:eastAsia="en-US"/>
              </w:rPr>
            </w:pPr>
            <w:r w:rsidRPr="00C927B9">
              <w:rPr>
                <w:lang w:eastAsia="en-US"/>
              </w:rPr>
              <w:t>-$</w:t>
            </w:r>
            <w:r w:rsidR="004F2A12">
              <w:rPr>
                <w:noProof/>
                <w:color w:val="000000"/>
                <w:highlight w:val="black"/>
                <w:lang w:eastAsia="en-US"/>
              </w:rPr>
              <w:t>''''''''''''''''''''''</w:t>
            </w:r>
            <w:r w:rsidR="006F1FE5">
              <w:rPr>
                <w:vertAlign w:val="superscript"/>
              </w:rPr>
              <w:t>9</w:t>
            </w:r>
          </w:p>
        </w:tc>
        <w:tc>
          <w:tcPr>
            <w:tcW w:w="1134" w:type="dxa"/>
            <w:shd w:val="clear" w:color="auto" w:fill="auto"/>
            <w:vAlign w:val="center"/>
          </w:tcPr>
          <w:p w:rsidR="00A80541" w:rsidRPr="00C927B9" w:rsidRDefault="00A80541" w:rsidP="00ED4A4C">
            <w:pPr>
              <w:pStyle w:val="TableText"/>
              <w:keepNext w:val="0"/>
              <w:widowControl w:val="0"/>
              <w:jc w:val="center"/>
              <w:rPr>
                <w:lang w:eastAsia="en-US"/>
              </w:rPr>
            </w:pPr>
            <w:r w:rsidRPr="00C927B9">
              <w:rPr>
                <w:lang w:eastAsia="en-US"/>
              </w:rPr>
              <w:t>-$</w:t>
            </w:r>
            <w:r w:rsidR="004F2A12">
              <w:rPr>
                <w:noProof/>
                <w:color w:val="000000"/>
                <w:highlight w:val="black"/>
                <w:lang w:eastAsia="en-US"/>
              </w:rPr>
              <w:t>'''''''''''''''''''''</w:t>
            </w:r>
            <w:r w:rsidR="006F1FE5">
              <w:rPr>
                <w:vertAlign w:val="superscript"/>
              </w:rPr>
              <w:t>9</w:t>
            </w:r>
          </w:p>
        </w:tc>
        <w:tc>
          <w:tcPr>
            <w:tcW w:w="1134" w:type="dxa"/>
            <w:shd w:val="clear" w:color="auto" w:fill="auto"/>
            <w:vAlign w:val="center"/>
          </w:tcPr>
          <w:p w:rsidR="00A80541" w:rsidRPr="00C927B9" w:rsidRDefault="00A80541" w:rsidP="00ED4A4C">
            <w:pPr>
              <w:pStyle w:val="TableText"/>
              <w:keepNext w:val="0"/>
              <w:widowControl w:val="0"/>
              <w:jc w:val="center"/>
              <w:rPr>
                <w:lang w:eastAsia="en-US"/>
              </w:rPr>
            </w:pPr>
            <w:r w:rsidRPr="00C927B9">
              <w:rPr>
                <w:lang w:eastAsia="en-US"/>
              </w:rPr>
              <w:t>-$</w:t>
            </w:r>
            <w:r w:rsidR="004F2A12">
              <w:rPr>
                <w:noProof/>
                <w:color w:val="000000"/>
                <w:highlight w:val="black"/>
                <w:lang w:eastAsia="en-US"/>
              </w:rPr>
              <w:t>''''''''''''''''''''''''''</w:t>
            </w:r>
            <w:r w:rsidR="006F1FE5">
              <w:rPr>
                <w:vertAlign w:val="superscript"/>
              </w:rPr>
              <w:t>9</w:t>
            </w:r>
          </w:p>
        </w:tc>
        <w:tc>
          <w:tcPr>
            <w:tcW w:w="1134" w:type="dxa"/>
            <w:shd w:val="clear" w:color="auto" w:fill="auto"/>
            <w:vAlign w:val="center"/>
          </w:tcPr>
          <w:p w:rsidR="00A80541" w:rsidRPr="00C927B9" w:rsidRDefault="00A80541" w:rsidP="00ED4A4C">
            <w:pPr>
              <w:pStyle w:val="TableText"/>
              <w:keepNext w:val="0"/>
              <w:widowControl w:val="0"/>
              <w:jc w:val="center"/>
              <w:rPr>
                <w:lang w:eastAsia="en-US"/>
              </w:rPr>
            </w:pPr>
            <w:r w:rsidRPr="00C927B9">
              <w:rPr>
                <w:lang w:eastAsia="en-US"/>
              </w:rPr>
              <w:t>-$</w:t>
            </w:r>
            <w:r w:rsidR="004F2A12">
              <w:rPr>
                <w:noProof/>
                <w:color w:val="000000"/>
                <w:highlight w:val="black"/>
                <w:lang w:eastAsia="en-US"/>
              </w:rPr>
              <w:t>''''''''''''''''''''''''''</w:t>
            </w:r>
            <w:r w:rsidR="006F1FE5">
              <w:rPr>
                <w:vertAlign w:val="superscript"/>
              </w:rPr>
              <w:t>9</w:t>
            </w:r>
          </w:p>
        </w:tc>
        <w:tc>
          <w:tcPr>
            <w:tcW w:w="1134" w:type="dxa"/>
            <w:shd w:val="clear" w:color="auto" w:fill="auto"/>
            <w:vAlign w:val="center"/>
          </w:tcPr>
          <w:p w:rsidR="00A80541" w:rsidRPr="00C927B9" w:rsidRDefault="00A80541" w:rsidP="00ED4A4C">
            <w:pPr>
              <w:pStyle w:val="TableText"/>
              <w:keepNext w:val="0"/>
              <w:widowControl w:val="0"/>
              <w:jc w:val="center"/>
              <w:rPr>
                <w:lang w:eastAsia="en-US"/>
              </w:rPr>
            </w:pPr>
            <w:r w:rsidRPr="00C927B9">
              <w:rPr>
                <w:lang w:eastAsia="en-US"/>
              </w:rPr>
              <w:t>-$</w:t>
            </w:r>
            <w:r w:rsidR="004F2A12">
              <w:rPr>
                <w:noProof/>
                <w:color w:val="000000"/>
                <w:highlight w:val="black"/>
                <w:lang w:eastAsia="en-US"/>
              </w:rPr>
              <w:t>'''''''''''''''''''''''''</w:t>
            </w:r>
            <w:r w:rsidR="006F1FE5">
              <w:rPr>
                <w:vertAlign w:val="superscript"/>
              </w:rPr>
              <w:t>9</w:t>
            </w:r>
          </w:p>
        </w:tc>
      </w:tr>
      <w:tr w:rsidR="00A80541" w:rsidRPr="00C927B9" w:rsidTr="00C64E97">
        <w:tc>
          <w:tcPr>
            <w:tcW w:w="2263" w:type="dxa"/>
            <w:shd w:val="clear" w:color="auto" w:fill="auto"/>
            <w:vAlign w:val="center"/>
          </w:tcPr>
          <w:p w:rsidR="00A80541" w:rsidRPr="00C927B9" w:rsidRDefault="00A80541" w:rsidP="00ED4A4C">
            <w:pPr>
              <w:pStyle w:val="TableText"/>
              <w:keepNext w:val="0"/>
              <w:widowControl w:val="0"/>
              <w:rPr>
                <w:lang w:eastAsia="en-US"/>
              </w:rPr>
            </w:pPr>
            <w:r w:rsidRPr="00C927B9">
              <w:rPr>
                <w:lang w:eastAsia="en-US"/>
              </w:rPr>
              <w:t xml:space="preserve">LoDAC monotherapy substitution (less </w:t>
            </w:r>
            <w:proofErr w:type="spellStart"/>
            <w:r w:rsidRPr="00C927B9">
              <w:rPr>
                <w:lang w:eastAsia="en-US"/>
              </w:rPr>
              <w:t>copay</w:t>
            </w:r>
            <w:proofErr w:type="spellEnd"/>
            <w:r w:rsidRPr="00C927B9">
              <w:rPr>
                <w:lang w:eastAsia="en-US"/>
              </w:rPr>
              <w:t>)</w:t>
            </w:r>
          </w:p>
        </w:tc>
        <w:tc>
          <w:tcPr>
            <w:tcW w:w="1134" w:type="dxa"/>
            <w:shd w:val="clear" w:color="auto" w:fill="auto"/>
            <w:vAlign w:val="center"/>
          </w:tcPr>
          <w:p w:rsidR="00A80541" w:rsidRPr="00C927B9" w:rsidRDefault="00A80541" w:rsidP="00ED4A4C">
            <w:pPr>
              <w:pStyle w:val="TableText"/>
              <w:keepNext w:val="0"/>
              <w:widowControl w:val="0"/>
              <w:jc w:val="center"/>
              <w:rPr>
                <w:lang w:eastAsia="en-US"/>
              </w:rPr>
            </w:pPr>
            <w:r w:rsidRPr="00C927B9">
              <w:rPr>
                <w:lang w:eastAsia="en-US"/>
              </w:rPr>
              <w:t>-$</w:t>
            </w:r>
            <w:r w:rsidR="004F2A12">
              <w:rPr>
                <w:noProof/>
                <w:color w:val="000000"/>
                <w:highlight w:val="black"/>
                <w:lang w:eastAsia="en-US"/>
              </w:rPr>
              <w:t>''''''''''''''''''''</w:t>
            </w:r>
            <w:r w:rsidR="006F1FE5">
              <w:rPr>
                <w:vertAlign w:val="superscript"/>
              </w:rPr>
              <w:t>9</w:t>
            </w:r>
          </w:p>
        </w:tc>
        <w:tc>
          <w:tcPr>
            <w:tcW w:w="1134" w:type="dxa"/>
            <w:shd w:val="clear" w:color="auto" w:fill="auto"/>
            <w:vAlign w:val="center"/>
          </w:tcPr>
          <w:p w:rsidR="00A80541" w:rsidRPr="00C927B9" w:rsidRDefault="00A80541" w:rsidP="00ED4A4C">
            <w:pPr>
              <w:pStyle w:val="TableText"/>
              <w:keepNext w:val="0"/>
              <w:widowControl w:val="0"/>
              <w:jc w:val="center"/>
              <w:rPr>
                <w:lang w:eastAsia="en-US"/>
              </w:rPr>
            </w:pPr>
            <w:r w:rsidRPr="00C927B9">
              <w:rPr>
                <w:lang w:eastAsia="en-US"/>
              </w:rPr>
              <w:t>-$</w:t>
            </w:r>
            <w:r w:rsidR="004F2A12">
              <w:rPr>
                <w:noProof/>
                <w:color w:val="000000"/>
                <w:highlight w:val="black"/>
                <w:lang w:eastAsia="en-US"/>
              </w:rPr>
              <w:t>''''''''''''''''''''</w:t>
            </w:r>
            <w:r w:rsidR="006F1FE5">
              <w:rPr>
                <w:vertAlign w:val="superscript"/>
              </w:rPr>
              <w:t>9</w:t>
            </w:r>
          </w:p>
        </w:tc>
        <w:tc>
          <w:tcPr>
            <w:tcW w:w="1134" w:type="dxa"/>
            <w:shd w:val="clear" w:color="auto" w:fill="auto"/>
            <w:vAlign w:val="center"/>
          </w:tcPr>
          <w:p w:rsidR="00A80541" w:rsidRPr="00C927B9" w:rsidRDefault="00A80541" w:rsidP="00ED4A4C">
            <w:pPr>
              <w:pStyle w:val="TableText"/>
              <w:keepNext w:val="0"/>
              <w:widowControl w:val="0"/>
              <w:jc w:val="center"/>
              <w:rPr>
                <w:lang w:eastAsia="en-US"/>
              </w:rPr>
            </w:pPr>
            <w:r w:rsidRPr="00C927B9">
              <w:rPr>
                <w:lang w:eastAsia="en-US"/>
              </w:rPr>
              <w:t>-$</w:t>
            </w:r>
            <w:r w:rsidR="004F2A12">
              <w:rPr>
                <w:noProof/>
                <w:color w:val="000000"/>
                <w:highlight w:val="black"/>
                <w:lang w:eastAsia="en-US"/>
              </w:rPr>
              <w:t>'''''''''''''''''''</w:t>
            </w:r>
            <w:r w:rsidR="006F1FE5">
              <w:rPr>
                <w:vertAlign w:val="superscript"/>
              </w:rPr>
              <w:t>9</w:t>
            </w:r>
          </w:p>
        </w:tc>
        <w:tc>
          <w:tcPr>
            <w:tcW w:w="1134" w:type="dxa"/>
            <w:shd w:val="clear" w:color="auto" w:fill="auto"/>
            <w:vAlign w:val="center"/>
          </w:tcPr>
          <w:p w:rsidR="00A80541" w:rsidRPr="00C927B9" w:rsidRDefault="00A80541" w:rsidP="00ED4A4C">
            <w:pPr>
              <w:pStyle w:val="TableText"/>
              <w:keepNext w:val="0"/>
              <w:widowControl w:val="0"/>
              <w:jc w:val="center"/>
              <w:rPr>
                <w:lang w:eastAsia="en-US"/>
              </w:rPr>
            </w:pPr>
            <w:r w:rsidRPr="00C927B9">
              <w:rPr>
                <w:lang w:eastAsia="en-US"/>
              </w:rPr>
              <w:t>-$</w:t>
            </w:r>
            <w:r w:rsidR="004F2A12">
              <w:rPr>
                <w:noProof/>
                <w:color w:val="000000"/>
                <w:highlight w:val="black"/>
                <w:lang w:eastAsia="en-US"/>
              </w:rPr>
              <w:t>'''''''''''''''''''''</w:t>
            </w:r>
            <w:r w:rsidR="006F1FE5">
              <w:rPr>
                <w:vertAlign w:val="superscript"/>
              </w:rPr>
              <w:t>9</w:t>
            </w:r>
          </w:p>
        </w:tc>
        <w:tc>
          <w:tcPr>
            <w:tcW w:w="1134" w:type="dxa"/>
            <w:shd w:val="clear" w:color="auto" w:fill="auto"/>
            <w:vAlign w:val="center"/>
          </w:tcPr>
          <w:p w:rsidR="00A80541" w:rsidRPr="00C927B9" w:rsidRDefault="00A80541" w:rsidP="00ED4A4C">
            <w:pPr>
              <w:pStyle w:val="TableText"/>
              <w:keepNext w:val="0"/>
              <w:widowControl w:val="0"/>
              <w:jc w:val="center"/>
              <w:rPr>
                <w:lang w:eastAsia="en-US"/>
              </w:rPr>
            </w:pPr>
            <w:r w:rsidRPr="00C927B9">
              <w:rPr>
                <w:lang w:eastAsia="en-US"/>
              </w:rPr>
              <w:t>-$</w:t>
            </w:r>
            <w:r w:rsidR="004F2A12">
              <w:rPr>
                <w:noProof/>
                <w:color w:val="000000"/>
                <w:highlight w:val="black"/>
                <w:lang w:eastAsia="en-US"/>
              </w:rPr>
              <w:t>'''''''''''''''''''</w:t>
            </w:r>
            <w:r w:rsidR="006F1FE5">
              <w:rPr>
                <w:vertAlign w:val="superscript"/>
              </w:rPr>
              <w:t>9</w:t>
            </w:r>
          </w:p>
        </w:tc>
        <w:tc>
          <w:tcPr>
            <w:tcW w:w="1134" w:type="dxa"/>
            <w:shd w:val="clear" w:color="auto" w:fill="auto"/>
            <w:vAlign w:val="center"/>
          </w:tcPr>
          <w:p w:rsidR="00A80541" w:rsidRPr="00C927B9" w:rsidRDefault="00A80541" w:rsidP="00ED4A4C">
            <w:pPr>
              <w:pStyle w:val="TableText"/>
              <w:keepNext w:val="0"/>
              <w:widowControl w:val="0"/>
              <w:jc w:val="center"/>
              <w:rPr>
                <w:lang w:eastAsia="en-US"/>
              </w:rPr>
            </w:pPr>
            <w:r w:rsidRPr="00C927B9">
              <w:rPr>
                <w:lang w:eastAsia="en-US"/>
              </w:rPr>
              <w:t>-$</w:t>
            </w:r>
            <w:r w:rsidR="004F2A12">
              <w:rPr>
                <w:noProof/>
                <w:color w:val="000000"/>
                <w:highlight w:val="black"/>
                <w:lang w:eastAsia="en-US"/>
              </w:rPr>
              <w:t>'''''''''''''''''</w:t>
            </w:r>
            <w:r w:rsidR="006F1FE5">
              <w:rPr>
                <w:vertAlign w:val="superscript"/>
              </w:rPr>
              <w:t>9</w:t>
            </w:r>
          </w:p>
        </w:tc>
      </w:tr>
      <w:tr w:rsidR="00A80541" w:rsidRPr="00C927B9" w:rsidTr="00C64E97">
        <w:tc>
          <w:tcPr>
            <w:tcW w:w="2263" w:type="dxa"/>
            <w:shd w:val="clear" w:color="auto" w:fill="auto"/>
            <w:vAlign w:val="center"/>
          </w:tcPr>
          <w:p w:rsidR="00A80541" w:rsidRPr="00C927B9" w:rsidRDefault="00A80541" w:rsidP="00ED4A4C">
            <w:pPr>
              <w:pStyle w:val="TableText"/>
              <w:keepNext w:val="0"/>
              <w:widowControl w:val="0"/>
              <w:rPr>
                <w:b/>
                <w:bCs w:val="0"/>
                <w:lang w:eastAsia="en-US"/>
              </w:rPr>
            </w:pPr>
            <w:r w:rsidRPr="00C927B9">
              <w:rPr>
                <w:b/>
                <w:bCs w:val="0"/>
                <w:lang w:eastAsia="en-US"/>
              </w:rPr>
              <w:t>Net PBS/RPBS cost</w:t>
            </w:r>
          </w:p>
        </w:tc>
        <w:tc>
          <w:tcPr>
            <w:tcW w:w="1134" w:type="dxa"/>
            <w:shd w:val="clear" w:color="auto" w:fill="auto"/>
            <w:vAlign w:val="center"/>
          </w:tcPr>
          <w:p w:rsidR="00A80541" w:rsidRPr="00C262B0" w:rsidRDefault="00A80541" w:rsidP="00ED4A4C">
            <w:pPr>
              <w:pStyle w:val="TableText"/>
              <w:keepNext w:val="0"/>
              <w:widowControl w:val="0"/>
              <w:jc w:val="center"/>
              <w:rPr>
                <w:b/>
                <w:bCs w:val="0"/>
                <w:vertAlign w:val="superscript"/>
                <w:lang w:eastAsia="en-US"/>
              </w:rPr>
            </w:pPr>
            <w:r w:rsidRPr="00C927B9">
              <w:rPr>
                <w:b/>
                <w:bCs w:val="0"/>
                <w:lang w:eastAsia="en-US"/>
              </w:rPr>
              <w:t>$</w:t>
            </w:r>
            <w:r w:rsidR="004F2A12">
              <w:rPr>
                <w:noProof/>
                <w:color w:val="000000"/>
                <w:highlight w:val="black"/>
                <w:lang w:eastAsia="en-US"/>
              </w:rPr>
              <w:t>''''''''''''''''''''''''</w:t>
            </w:r>
            <w:r w:rsidR="006F1FE5">
              <w:rPr>
                <w:vertAlign w:val="superscript"/>
              </w:rPr>
              <w:t>10</w:t>
            </w:r>
          </w:p>
        </w:tc>
        <w:tc>
          <w:tcPr>
            <w:tcW w:w="1134" w:type="dxa"/>
            <w:shd w:val="clear" w:color="auto" w:fill="auto"/>
            <w:vAlign w:val="center"/>
          </w:tcPr>
          <w:p w:rsidR="00A80541" w:rsidRPr="00BD7382" w:rsidRDefault="00A80541" w:rsidP="00ED4A4C">
            <w:pPr>
              <w:pStyle w:val="TableText"/>
              <w:keepNext w:val="0"/>
              <w:widowControl w:val="0"/>
              <w:jc w:val="center"/>
              <w:rPr>
                <w:bCs w:val="0"/>
                <w:vertAlign w:val="superscript"/>
                <w:lang w:eastAsia="en-US"/>
              </w:rPr>
            </w:pPr>
            <w:r w:rsidRPr="00C927B9">
              <w:rPr>
                <w:b/>
                <w:bCs w:val="0"/>
                <w:lang w:eastAsia="en-US"/>
              </w:rPr>
              <w:t>$</w:t>
            </w:r>
            <w:r w:rsidR="004F2A12">
              <w:rPr>
                <w:noProof/>
                <w:color w:val="000000"/>
                <w:highlight w:val="black"/>
                <w:lang w:eastAsia="en-US"/>
              </w:rPr>
              <w:t>'''''''''''''''''''''''''''''</w:t>
            </w:r>
            <w:r w:rsidR="006F1FE5">
              <w:rPr>
                <w:vertAlign w:val="superscript"/>
              </w:rPr>
              <w:t>7</w:t>
            </w:r>
          </w:p>
        </w:tc>
        <w:tc>
          <w:tcPr>
            <w:tcW w:w="1134" w:type="dxa"/>
            <w:shd w:val="clear" w:color="auto" w:fill="auto"/>
            <w:vAlign w:val="center"/>
          </w:tcPr>
          <w:p w:rsidR="00A80541" w:rsidRPr="00BD7382" w:rsidRDefault="00A80541" w:rsidP="00ED4A4C">
            <w:pPr>
              <w:pStyle w:val="TableText"/>
              <w:keepNext w:val="0"/>
              <w:widowControl w:val="0"/>
              <w:jc w:val="center"/>
              <w:rPr>
                <w:b/>
                <w:bCs w:val="0"/>
                <w:vertAlign w:val="superscript"/>
                <w:lang w:eastAsia="en-US"/>
              </w:rPr>
            </w:pPr>
            <w:r w:rsidRPr="00C927B9">
              <w:rPr>
                <w:b/>
                <w:bCs w:val="0"/>
                <w:lang w:eastAsia="en-US"/>
              </w:rPr>
              <w:t>$</w:t>
            </w:r>
            <w:r w:rsidR="004F2A12">
              <w:rPr>
                <w:noProof/>
                <w:color w:val="000000"/>
                <w:highlight w:val="black"/>
                <w:lang w:eastAsia="en-US"/>
              </w:rPr>
              <w:t>'''''''''''''''''''''''''''''</w:t>
            </w:r>
            <w:r w:rsidR="006F1FE5">
              <w:rPr>
                <w:vertAlign w:val="superscript"/>
              </w:rPr>
              <w:t>7</w:t>
            </w:r>
          </w:p>
        </w:tc>
        <w:tc>
          <w:tcPr>
            <w:tcW w:w="1134" w:type="dxa"/>
            <w:shd w:val="clear" w:color="auto" w:fill="auto"/>
            <w:vAlign w:val="center"/>
          </w:tcPr>
          <w:p w:rsidR="00A80541" w:rsidRPr="00C927B9" w:rsidRDefault="00A80541" w:rsidP="00ED4A4C">
            <w:pPr>
              <w:pStyle w:val="TableText"/>
              <w:keepNext w:val="0"/>
              <w:widowControl w:val="0"/>
              <w:jc w:val="center"/>
              <w:rPr>
                <w:b/>
                <w:bCs w:val="0"/>
                <w:lang w:eastAsia="en-US"/>
              </w:rPr>
            </w:pPr>
            <w:r w:rsidRPr="00C927B9">
              <w:rPr>
                <w:b/>
                <w:bCs w:val="0"/>
                <w:lang w:eastAsia="en-US"/>
              </w:rPr>
              <w:t>$</w:t>
            </w:r>
            <w:r w:rsidR="004F2A12">
              <w:rPr>
                <w:noProof/>
                <w:color w:val="000000"/>
                <w:highlight w:val="black"/>
                <w:lang w:eastAsia="en-US"/>
              </w:rPr>
              <w:t>'''''''''''''''''''''''''''</w:t>
            </w:r>
            <w:r w:rsidR="006F1FE5">
              <w:rPr>
                <w:vertAlign w:val="superscript"/>
              </w:rPr>
              <w:t>7</w:t>
            </w:r>
          </w:p>
        </w:tc>
        <w:tc>
          <w:tcPr>
            <w:tcW w:w="1134" w:type="dxa"/>
            <w:shd w:val="clear" w:color="auto" w:fill="auto"/>
            <w:vAlign w:val="center"/>
          </w:tcPr>
          <w:p w:rsidR="00A80541" w:rsidRPr="00C927B9" w:rsidRDefault="00A80541" w:rsidP="00ED4A4C">
            <w:pPr>
              <w:pStyle w:val="TableText"/>
              <w:keepNext w:val="0"/>
              <w:widowControl w:val="0"/>
              <w:jc w:val="center"/>
              <w:rPr>
                <w:b/>
                <w:bCs w:val="0"/>
                <w:lang w:eastAsia="en-US"/>
              </w:rPr>
            </w:pPr>
            <w:r w:rsidRPr="00C927B9">
              <w:rPr>
                <w:b/>
                <w:bCs w:val="0"/>
                <w:lang w:eastAsia="en-US"/>
              </w:rPr>
              <w:t>$</w:t>
            </w:r>
            <w:r w:rsidR="004F2A12">
              <w:rPr>
                <w:noProof/>
                <w:color w:val="000000"/>
                <w:highlight w:val="black"/>
                <w:lang w:eastAsia="en-US"/>
              </w:rPr>
              <w:t>'''''''''''''''''''''''''''</w:t>
            </w:r>
            <w:r w:rsidR="006F1FE5">
              <w:rPr>
                <w:vertAlign w:val="superscript"/>
              </w:rPr>
              <w:t>7</w:t>
            </w:r>
          </w:p>
        </w:tc>
        <w:tc>
          <w:tcPr>
            <w:tcW w:w="1134" w:type="dxa"/>
            <w:shd w:val="clear" w:color="auto" w:fill="auto"/>
            <w:vAlign w:val="center"/>
          </w:tcPr>
          <w:p w:rsidR="00A80541" w:rsidRPr="00C927B9" w:rsidRDefault="00A80541" w:rsidP="00ED4A4C">
            <w:pPr>
              <w:pStyle w:val="TableText"/>
              <w:keepNext w:val="0"/>
              <w:widowControl w:val="0"/>
              <w:jc w:val="center"/>
              <w:rPr>
                <w:b/>
                <w:bCs w:val="0"/>
                <w:lang w:eastAsia="en-US"/>
              </w:rPr>
            </w:pPr>
            <w:r w:rsidRPr="00C927B9">
              <w:rPr>
                <w:b/>
                <w:bCs w:val="0"/>
                <w:lang w:eastAsia="en-US"/>
              </w:rPr>
              <w:t>$</w:t>
            </w:r>
            <w:r w:rsidR="004F2A12">
              <w:rPr>
                <w:noProof/>
                <w:color w:val="000000"/>
                <w:highlight w:val="black"/>
                <w:lang w:eastAsia="en-US"/>
              </w:rPr>
              <w:t>''''''''''''''''''''''''''</w:t>
            </w:r>
            <w:r w:rsidR="006F1FE5">
              <w:rPr>
                <w:vertAlign w:val="superscript"/>
              </w:rPr>
              <w:t>7</w:t>
            </w:r>
          </w:p>
        </w:tc>
      </w:tr>
      <w:tr w:rsidR="00A80541" w:rsidRPr="00C927B9" w:rsidTr="00C64E97">
        <w:tc>
          <w:tcPr>
            <w:tcW w:w="2263" w:type="dxa"/>
            <w:shd w:val="clear" w:color="auto" w:fill="auto"/>
            <w:vAlign w:val="center"/>
          </w:tcPr>
          <w:p w:rsidR="00A80541" w:rsidRPr="00C927B9" w:rsidRDefault="00A80541" w:rsidP="00ED4A4C">
            <w:pPr>
              <w:pStyle w:val="TableText"/>
              <w:keepNext w:val="0"/>
              <w:widowControl w:val="0"/>
              <w:rPr>
                <w:lang w:eastAsia="en-US"/>
              </w:rPr>
            </w:pPr>
            <w:r w:rsidRPr="00C927B9">
              <w:rPr>
                <w:lang w:eastAsia="en-US"/>
              </w:rPr>
              <w:t>Change in MBS costs for administration and monitoring</w:t>
            </w:r>
          </w:p>
        </w:tc>
        <w:tc>
          <w:tcPr>
            <w:tcW w:w="1134" w:type="dxa"/>
            <w:shd w:val="clear" w:color="auto" w:fill="auto"/>
            <w:vAlign w:val="center"/>
          </w:tcPr>
          <w:p w:rsidR="00A80541" w:rsidRPr="00C927B9" w:rsidRDefault="00A80541" w:rsidP="00ED4A4C">
            <w:pPr>
              <w:pStyle w:val="TableText"/>
              <w:keepNext w:val="0"/>
              <w:widowControl w:val="0"/>
              <w:jc w:val="center"/>
              <w:rPr>
                <w:lang w:eastAsia="en-US"/>
              </w:rPr>
            </w:pPr>
            <w:r w:rsidRPr="00C927B9">
              <w:rPr>
                <w:lang w:eastAsia="en-US"/>
              </w:rPr>
              <w:t>$</w:t>
            </w:r>
            <w:r w:rsidR="004F2A12">
              <w:rPr>
                <w:noProof/>
                <w:color w:val="000000"/>
                <w:highlight w:val="black"/>
                <w:lang w:eastAsia="en-US"/>
              </w:rPr>
              <w:t>'''''''''''''''''</w:t>
            </w:r>
            <w:r w:rsidR="006F1FE5">
              <w:rPr>
                <w:vertAlign w:val="superscript"/>
              </w:rPr>
              <w:t>9</w:t>
            </w:r>
          </w:p>
        </w:tc>
        <w:tc>
          <w:tcPr>
            <w:tcW w:w="1134" w:type="dxa"/>
            <w:shd w:val="clear" w:color="auto" w:fill="auto"/>
            <w:vAlign w:val="center"/>
          </w:tcPr>
          <w:p w:rsidR="00A80541" w:rsidRPr="00C927B9" w:rsidRDefault="00A80541" w:rsidP="00ED4A4C">
            <w:pPr>
              <w:pStyle w:val="TableText"/>
              <w:keepNext w:val="0"/>
              <w:widowControl w:val="0"/>
              <w:jc w:val="center"/>
              <w:rPr>
                <w:lang w:eastAsia="en-US"/>
              </w:rPr>
            </w:pPr>
            <w:r w:rsidRPr="00C927B9">
              <w:rPr>
                <w:lang w:eastAsia="en-US"/>
              </w:rPr>
              <w:t>$</w:t>
            </w:r>
            <w:r w:rsidR="004F2A12">
              <w:rPr>
                <w:noProof/>
                <w:color w:val="000000"/>
                <w:highlight w:val="black"/>
                <w:lang w:eastAsia="en-US"/>
              </w:rPr>
              <w:t>''''''''''''''''''''''''</w:t>
            </w:r>
            <w:r w:rsidR="006F1FE5">
              <w:rPr>
                <w:vertAlign w:val="superscript"/>
              </w:rPr>
              <w:t>9</w:t>
            </w:r>
          </w:p>
        </w:tc>
        <w:tc>
          <w:tcPr>
            <w:tcW w:w="1134" w:type="dxa"/>
            <w:shd w:val="clear" w:color="auto" w:fill="auto"/>
            <w:vAlign w:val="center"/>
          </w:tcPr>
          <w:p w:rsidR="00A80541" w:rsidRPr="00C927B9" w:rsidRDefault="00A80541" w:rsidP="00ED4A4C">
            <w:pPr>
              <w:pStyle w:val="TableText"/>
              <w:keepNext w:val="0"/>
              <w:widowControl w:val="0"/>
              <w:jc w:val="center"/>
              <w:rPr>
                <w:lang w:eastAsia="en-US"/>
              </w:rPr>
            </w:pPr>
            <w:r w:rsidRPr="00C927B9">
              <w:rPr>
                <w:lang w:eastAsia="en-US"/>
              </w:rPr>
              <w:t>$</w:t>
            </w:r>
            <w:r w:rsidR="004F2A12">
              <w:rPr>
                <w:noProof/>
                <w:color w:val="000000"/>
                <w:highlight w:val="black"/>
                <w:lang w:eastAsia="en-US"/>
              </w:rPr>
              <w:t>'''''''''''''''''''''''</w:t>
            </w:r>
            <w:r w:rsidR="006F1FE5">
              <w:rPr>
                <w:vertAlign w:val="superscript"/>
              </w:rPr>
              <w:t>9</w:t>
            </w:r>
          </w:p>
        </w:tc>
        <w:tc>
          <w:tcPr>
            <w:tcW w:w="1134" w:type="dxa"/>
            <w:shd w:val="clear" w:color="auto" w:fill="auto"/>
            <w:vAlign w:val="center"/>
          </w:tcPr>
          <w:p w:rsidR="00A80541" w:rsidRPr="00C927B9" w:rsidRDefault="00A80541" w:rsidP="00ED4A4C">
            <w:pPr>
              <w:pStyle w:val="TableText"/>
              <w:keepNext w:val="0"/>
              <w:widowControl w:val="0"/>
              <w:jc w:val="center"/>
              <w:rPr>
                <w:lang w:eastAsia="en-US"/>
              </w:rPr>
            </w:pPr>
            <w:r w:rsidRPr="00C927B9">
              <w:rPr>
                <w:lang w:eastAsia="en-US"/>
              </w:rPr>
              <w:t>$</w:t>
            </w:r>
            <w:r w:rsidR="004F2A12">
              <w:rPr>
                <w:noProof/>
                <w:color w:val="000000"/>
                <w:highlight w:val="black"/>
                <w:lang w:eastAsia="en-US"/>
              </w:rPr>
              <w:t>'''''''''''''''''''''</w:t>
            </w:r>
            <w:r w:rsidR="006F1FE5">
              <w:rPr>
                <w:vertAlign w:val="superscript"/>
              </w:rPr>
              <w:t>9</w:t>
            </w:r>
          </w:p>
        </w:tc>
        <w:tc>
          <w:tcPr>
            <w:tcW w:w="1134" w:type="dxa"/>
            <w:shd w:val="clear" w:color="auto" w:fill="auto"/>
            <w:vAlign w:val="center"/>
          </w:tcPr>
          <w:p w:rsidR="00A80541" w:rsidRPr="00C927B9" w:rsidRDefault="00A80541" w:rsidP="00ED4A4C">
            <w:pPr>
              <w:pStyle w:val="TableText"/>
              <w:keepNext w:val="0"/>
              <w:widowControl w:val="0"/>
              <w:jc w:val="center"/>
              <w:rPr>
                <w:lang w:eastAsia="en-US"/>
              </w:rPr>
            </w:pPr>
            <w:r w:rsidRPr="00C927B9">
              <w:rPr>
                <w:lang w:eastAsia="en-US"/>
              </w:rPr>
              <w:t>$</w:t>
            </w:r>
            <w:r w:rsidR="004F2A12">
              <w:rPr>
                <w:noProof/>
                <w:color w:val="000000"/>
                <w:highlight w:val="black"/>
                <w:lang w:eastAsia="en-US"/>
              </w:rPr>
              <w:t>''''''''''''''''''''''</w:t>
            </w:r>
            <w:r w:rsidR="006F1FE5">
              <w:rPr>
                <w:vertAlign w:val="superscript"/>
              </w:rPr>
              <w:t>9</w:t>
            </w:r>
          </w:p>
        </w:tc>
        <w:tc>
          <w:tcPr>
            <w:tcW w:w="1134" w:type="dxa"/>
            <w:shd w:val="clear" w:color="auto" w:fill="auto"/>
            <w:vAlign w:val="center"/>
          </w:tcPr>
          <w:p w:rsidR="00A80541" w:rsidRPr="00C927B9" w:rsidRDefault="00A80541" w:rsidP="00ED4A4C">
            <w:pPr>
              <w:pStyle w:val="TableText"/>
              <w:keepNext w:val="0"/>
              <w:widowControl w:val="0"/>
              <w:jc w:val="center"/>
              <w:rPr>
                <w:lang w:eastAsia="en-US"/>
              </w:rPr>
            </w:pPr>
            <w:r w:rsidRPr="00C927B9">
              <w:rPr>
                <w:lang w:eastAsia="en-US"/>
              </w:rPr>
              <w:t>$</w:t>
            </w:r>
            <w:r w:rsidR="004F2A12">
              <w:rPr>
                <w:noProof/>
                <w:color w:val="000000"/>
                <w:highlight w:val="black"/>
                <w:lang w:eastAsia="en-US"/>
              </w:rPr>
              <w:t>'''''''''''''''''''''''</w:t>
            </w:r>
            <w:r w:rsidR="006F1FE5">
              <w:rPr>
                <w:vertAlign w:val="superscript"/>
              </w:rPr>
              <w:t>9</w:t>
            </w:r>
          </w:p>
        </w:tc>
      </w:tr>
      <w:tr w:rsidR="00A80541" w:rsidRPr="00C927B9" w:rsidTr="00C64E97">
        <w:tc>
          <w:tcPr>
            <w:tcW w:w="2263" w:type="dxa"/>
            <w:shd w:val="clear" w:color="auto" w:fill="auto"/>
            <w:vAlign w:val="center"/>
          </w:tcPr>
          <w:p w:rsidR="00A80541" w:rsidRPr="00C927B9" w:rsidRDefault="00A80541" w:rsidP="00ED4A4C">
            <w:pPr>
              <w:pStyle w:val="TableText"/>
              <w:keepNext w:val="0"/>
              <w:widowControl w:val="0"/>
              <w:rPr>
                <w:lang w:eastAsia="en-US"/>
              </w:rPr>
            </w:pPr>
            <w:r w:rsidRPr="00C927B9">
              <w:rPr>
                <w:b/>
                <w:bCs w:val="0"/>
                <w:lang w:eastAsia="en-US"/>
              </w:rPr>
              <w:t>Net cost to Government</w:t>
            </w:r>
          </w:p>
        </w:tc>
        <w:tc>
          <w:tcPr>
            <w:tcW w:w="1134" w:type="dxa"/>
            <w:shd w:val="clear" w:color="auto" w:fill="auto"/>
            <w:vAlign w:val="center"/>
          </w:tcPr>
          <w:p w:rsidR="00A80541" w:rsidRPr="00C927B9" w:rsidRDefault="00A80541" w:rsidP="00ED4A4C">
            <w:pPr>
              <w:pStyle w:val="TableText"/>
              <w:keepNext w:val="0"/>
              <w:widowControl w:val="0"/>
              <w:jc w:val="center"/>
              <w:rPr>
                <w:lang w:eastAsia="en-US"/>
              </w:rPr>
            </w:pPr>
            <w:r w:rsidRPr="00C927B9">
              <w:rPr>
                <w:b/>
                <w:bCs w:val="0"/>
                <w:lang w:eastAsia="en-US"/>
              </w:rPr>
              <w:t>$</w:t>
            </w:r>
            <w:r w:rsidR="004F2A12">
              <w:rPr>
                <w:noProof/>
                <w:color w:val="000000"/>
                <w:highlight w:val="black"/>
                <w:lang w:eastAsia="en-US"/>
              </w:rPr>
              <w:t>'''''''''''''''''''''''''</w:t>
            </w:r>
            <w:r w:rsidR="007667D4">
              <w:rPr>
                <w:vertAlign w:val="superscript"/>
              </w:rPr>
              <w:t>7</w:t>
            </w:r>
          </w:p>
        </w:tc>
        <w:tc>
          <w:tcPr>
            <w:tcW w:w="1134" w:type="dxa"/>
            <w:shd w:val="clear" w:color="auto" w:fill="auto"/>
            <w:vAlign w:val="center"/>
          </w:tcPr>
          <w:p w:rsidR="00A80541" w:rsidRPr="00C927B9" w:rsidRDefault="00A80541" w:rsidP="00ED4A4C">
            <w:pPr>
              <w:pStyle w:val="TableText"/>
              <w:keepNext w:val="0"/>
              <w:widowControl w:val="0"/>
              <w:jc w:val="center"/>
              <w:rPr>
                <w:lang w:eastAsia="en-US"/>
              </w:rPr>
            </w:pPr>
            <w:r w:rsidRPr="00C927B9">
              <w:rPr>
                <w:b/>
                <w:bCs w:val="0"/>
                <w:lang w:eastAsia="en-US"/>
              </w:rPr>
              <w:t>$</w:t>
            </w:r>
            <w:r w:rsidR="004F2A12">
              <w:rPr>
                <w:noProof/>
                <w:color w:val="000000"/>
                <w:highlight w:val="black"/>
                <w:lang w:eastAsia="en-US"/>
              </w:rPr>
              <w:t>''''''''''''''''''''''''''''</w:t>
            </w:r>
            <w:r w:rsidR="007667D4">
              <w:rPr>
                <w:vertAlign w:val="superscript"/>
              </w:rPr>
              <w:t>7</w:t>
            </w:r>
            <w:bookmarkStart w:id="47" w:name="_GoBack"/>
            <w:bookmarkEnd w:id="47"/>
          </w:p>
        </w:tc>
        <w:tc>
          <w:tcPr>
            <w:tcW w:w="1134" w:type="dxa"/>
            <w:shd w:val="clear" w:color="auto" w:fill="auto"/>
            <w:vAlign w:val="center"/>
          </w:tcPr>
          <w:p w:rsidR="00A80541" w:rsidRPr="00C927B9" w:rsidRDefault="00A80541" w:rsidP="00ED4A4C">
            <w:pPr>
              <w:pStyle w:val="TableText"/>
              <w:keepNext w:val="0"/>
              <w:widowControl w:val="0"/>
              <w:jc w:val="center"/>
              <w:rPr>
                <w:lang w:eastAsia="en-US"/>
              </w:rPr>
            </w:pPr>
            <w:r w:rsidRPr="00C927B9">
              <w:rPr>
                <w:b/>
                <w:bCs w:val="0"/>
                <w:lang w:eastAsia="en-US"/>
              </w:rPr>
              <w:t>$</w:t>
            </w:r>
            <w:r w:rsidR="004F2A12">
              <w:rPr>
                <w:noProof/>
                <w:color w:val="000000"/>
                <w:highlight w:val="black"/>
                <w:lang w:eastAsia="en-US"/>
              </w:rPr>
              <w:t>'''''''''''''''''''''''''</w:t>
            </w:r>
            <w:r w:rsidR="006F1FE5">
              <w:rPr>
                <w:vertAlign w:val="superscript"/>
              </w:rPr>
              <w:t>7</w:t>
            </w:r>
          </w:p>
        </w:tc>
        <w:tc>
          <w:tcPr>
            <w:tcW w:w="1134" w:type="dxa"/>
            <w:shd w:val="clear" w:color="auto" w:fill="auto"/>
            <w:vAlign w:val="center"/>
          </w:tcPr>
          <w:p w:rsidR="00A80541" w:rsidRPr="00C927B9" w:rsidRDefault="00A80541" w:rsidP="00ED4A4C">
            <w:pPr>
              <w:pStyle w:val="TableText"/>
              <w:keepNext w:val="0"/>
              <w:widowControl w:val="0"/>
              <w:jc w:val="center"/>
              <w:rPr>
                <w:lang w:eastAsia="en-US"/>
              </w:rPr>
            </w:pPr>
            <w:r w:rsidRPr="00C927B9">
              <w:rPr>
                <w:b/>
                <w:bCs w:val="0"/>
                <w:lang w:eastAsia="en-US"/>
              </w:rPr>
              <w:t>$</w:t>
            </w:r>
            <w:r w:rsidR="004F2A12">
              <w:rPr>
                <w:noProof/>
                <w:color w:val="000000"/>
                <w:highlight w:val="black"/>
                <w:lang w:eastAsia="en-US"/>
              </w:rPr>
              <w:t>'''''''''''''''''''''''''''</w:t>
            </w:r>
            <w:r w:rsidR="006F1FE5">
              <w:rPr>
                <w:vertAlign w:val="superscript"/>
              </w:rPr>
              <w:t>7</w:t>
            </w:r>
          </w:p>
        </w:tc>
        <w:tc>
          <w:tcPr>
            <w:tcW w:w="1134" w:type="dxa"/>
            <w:shd w:val="clear" w:color="auto" w:fill="auto"/>
            <w:vAlign w:val="center"/>
          </w:tcPr>
          <w:p w:rsidR="00A80541" w:rsidRPr="00C927B9" w:rsidRDefault="00A80541" w:rsidP="00ED4A4C">
            <w:pPr>
              <w:pStyle w:val="TableText"/>
              <w:keepNext w:val="0"/>
              <w:widowControl w:val="0"/>
              <w:jc w:val="center"/>
              <w:rPr>
                <w:lang w:eastAsia="en-US"/>
              </w:rPr>
            </w:pPr>
            <w:r w:rsidRPr="00C927B9">
              <w:rPr>
                <w:b/>
                <w:bCs w:val="0"/>
                <w:lang w:eastAsia="en-US"/>
              </w:rPr>
              <w:t>$</w:t>
            </w:r>
            <w:r w:rsidR="004F2A12">
              <w:rPr>
                <w:noProof/>
                <w:color w:val="000000"/>
                <w:highlight w:val="black"/>
                <w:lang w:eastAsia="en-US"/>
              </w:rPr>
              <w:t>'''''''''''''''''''''''''''''</w:t>
            </w:r>
            <w:r w:rsidR="006F1FE5">
              <w:rPr>
                <w:vertAlign w:val="superscript"/>
              </w:rPr>
              <w:t>7</w:t>
            </w:r>
          </w:p>
        </w:tc>
        <w:tc>
          <w:tcPr>
            <w:tcW w:w="1134" w:type="dxa"/>
            <w:shd w:val="clear" w:color="auto" w:fill="auto"/>
            <w:vAlign w:val="center"/>
          </w:tcPr>
          <w:p w:rsidR="00A80541" w:rsidRPr="00C927B9" w:rsidRDefault="00A80541" w:rsidP="00ED4A4C">
            <w:pPr>
              <w:pStyle w:val="TableText"/>
              <w:keepNext w:val="0"/>
              <w:widowControl w:val="0"/>
              <w:jc w:val="center"/>
              <w:rPr>
                <w:lang w:eastAsia="en-US"/>
              </w:rPr>
            </w:pPr>
            <w:r w:rsidRPr="00C927B9">
              <w:rPr>
                <w:b/>
                <w:bCs w:val="0"/>
                <w:lang w:eastAsia="en-US"/>
              </w:rPr>
              <w:t>$</w:t>
            </w:r>
            <w:r w:rsidR="004F2A12">
              <w:rPr>
                <w:noProof/>
                <w:color w:val="000000"/>
                <w:highlight w:val="black"/>
                <w:lang w:eastAsia="en-US"/>
              </w:rPr>
              <w:t>'''''''''''''''''''''''</w:t>
            </w:r>
            <w:r w:rsidR="006F1FE5">
              <w:rPr>
                <w:vertAlign w:val="superscript"/>
              </w:rPr>
              <w:t>7</w:t>
            </w:r>
          </w:p>
        </w:tc>
      </w:tr>
    </w:tbl>
    <w:p w:rsidR="00A80541" w:rsidRPr="00C927B9" w:rsidRDefault="00A80541" w:rsidP="00A80541">
      <w:pPr>
        <w:pStyle w:val="TableFooter"/>
        <w:rPr>
          <w:snapToGrid w:val="0"/>
          <w:lang w:val="en-AU"/>
        </w:rPr>
      </w:pPr>
      <w:r w:rsidRPr="00C927B9">
        <w:rPr>
          <w:snapToGrid w:val="0"/>
          <w:lang w:val="en-AU"/>
        </w:rPr>
        <w:t>Source: Source: Table 4-4, Table 4-8, Table 4-16, Table 4-19, and Table 4-20 of the submission</w:t>
      </w:r>
    </w:p>
    <w:p w:rsidR="00A80541" w:rsidRDefault="00A80541" w:rsidP="00A80541">
      <w:pPr>
        <w:pStyle w:val="TableFooter"/>
        <w:rPr>
          <w:lang w:val="en-AU"/>
        </w:rPr>
      </w:pPr>
      <w:r w:rsidRPr="00C927B9">
        <w:rPr>
          <w:lang w:val="en-AU"/>
        </w:rPr>
        <w:t>Abbreviations: LoDAC, low-dose cytarabine; PBS, Pharmaceutical Benefits Scheme; RPBS, Repatriation Pharmaceutical Benefits Scheme</w:t>
      </w:r>
    </w:p>
    <w:p w:rsidR="00BD7382" w:rsidRDefault="00BD7382" w:rsidP="00A80541">
      <w:pPr>
        <w:pStyle w:val="TableFooter"/>
        <w:rPr>
          <w:i/>
        </w:rPr>
      </w:pPr>
      <w:r w:rsidRPr="009868C4">
        <w:rPr>
          <w:i/>
        </w:rPr>
        <w:t>The redacted values correspond to the following ranges</w:t>
      </w:r>
      <w:r>
        <w:rPr>
          <w:i/>
        </w:rPr>
        <w:t>:</w:t>
      </w:r>
    </w:p>
    <w:p w:rsidR="00BD7382" w:rsidRPr="00BD7382" w:rsidRDefault="00BD7382" w:rsidP="00BD7382">
      <w:pPr>
        <w:pStyle w:val="TableFooter"/>
        <w:rPr>
          <w:i/>
          <w:lang w:val="en-AU"/>
        </w:rPr>
      </w:pPr>
      <w:r w:rsidRPr="00BD7382">
        <w:rPr>
          <w:i/>
          <w:vertAlign w:val="superscript"/>
          <w:lang w:val="en-AU"/>
        </w:rPr>
        <w:t xml:space="preserve">1 </w:t>
      </w:r>
      <w:r w:rsidRPr="00BD7382">
        <w:rPr>
          <w:i/>
          <w:lang w:val="en-AU"/>
        </w:rPr>
        <w:t>&lt; 500</w:t>
      </w:r>
    </w:p>
    <w:p w:rsidR="00BD7382" w:rsidRPr="00BD7382" w:rsidRDefault="00BD7382" w:rsidP="00BD7382">
      <w:pPr>
        <w:pStyle w:val="TableFooter"/>
        <w:rPr>
          <w:i/>
          <w:lang w:val="en-AU"/>
        </w:rPr>
      </w:pPr>
      <w:r w:rsidRPr="00BD7382">
        <w:rPr>
          <w:i/>
          <w:vertAlign w:val="superscript"/>
          <w:lang w:val="en-AU"/>
        </w:rPr>
        <w:t xml:space="preserve">2 </w:t>
      </w:r>
      <w:r w:rsidRPr="00BD7382">
        <w:rPr>
          <w:i/>
          <w:lang w:val="en-AU"/>
        </w:rPr>
        <w:t>500 to &lt; 5,000</w:t>
      </w:r>
    </w:p>
    <w:p w:rsidR="00BD7382" w:rsidRPr="00BD7382" w:rsidRDefault="00BD7382" w:rsidP="00BD7382">
      <w:pPr>
        <w:pStyle w:val="TableFooter"/>
        <w:rPr>
          <w:i/>
          <w:lang w:val="en-AU"/>
        </w:rPr>
      </w:pPr>
      <w:r w:rsidRPr="00BD7382">
        <w:rPr>
          <w:i/>
          <w:vertAlign w:val="superscript"/>
          <w:lang w:val="en-AU"/>
        </w:rPr>
        <w:t xml:space="preserve">3 </w:t>
      </w:r>
      <w:r w:rsidRPr="00BD7382">
        <w:rPr>
          <w:i/>
          <w:lang w:val="en-AU"/>
        </w:rPr>
        <w:t>5,000 to &lt; 10,000</w:t>
      </w:r>
    </w:p>
    <w:p w:rsidR="00BD7382" w:rsidRDefault="006F1FE5" w:rsidP="00BD7382">
      <w:pPr>
        <w:pStyle w:val="TableFooter"/>
        <w:rPr>
          <w:i/>
          <w:lang w:val="en-AU"/>
        </w:rPr>
      </w:pPr>
      <w:r>
        <w:rPr>
          <w:i/>
          <w:vertAlign w:val="superscript"/>
          <w:lang w:val="en-AU"/>
        </w:rPr>
        <w:t xml:space="preserve">4 </w:t>
      </w:r>
      <w:r w:rsidRPr="006F1FE5">
        <w:rPr>
          <w:i/>
          <w:lang w:val="en-AU"/>
        </w:rPr>
        <w:t>30,000 to &lt; 40,000</w:t>
      </w:r>
    </w:p>
    <w:p w:rsidR="006F1FE5" w:rsidRDefault="006F1FE5" w:rsidP="00BD7382">
      <w:pPr>
        <w:pStyle w:val="TableFooter"/>
        <w:rPr>
          <w:i/>
          <w:lang w:val="en-AU"/>
        </w:rPr>
      </w:pPr>
      <w:r>
        <w:rPr>
          <w:i/>
          <w:vertAlign w:val="superscript"/>
          <w:lang w:val="en-AU"/>
        </w:rPr>
        <w:t xml:space="preserve">5 </w:t>
      </w:r>
      <w:r w:rsidRPr="006F1FE5">
        <w:rPr>
          <w:i/>
          <w:lang w:val="en-AU"/>
        </w:rPr>
        <w:t>50,000 to &lt; 60,000</w:t>
      </w:r>
    </w:p>
    <w:p w:rsidR="006F1FE5" w:rsidRDefault="006F1FE5" w:rsidP="00BD7382">
      <w:pPr>
        <w:pStyle w:val="TableFooter"/>
        <w:rPr>
          <w:i/>
          <w:lang w:val="en-AU"/>
        </w:rPr>
      </w:pPr>
      <w:r>
        <w:rPr>
          <w:i/>
          <w:vertAlign w:val="superscript"/>
          <w:lang w:val="en-AU"/>
        </w:rPr>
        <w:t xml:space="preserve">6 </w:t>
      </w:r>
      <w:r w:rsidRPr="006F1FE5">
        <w:rPr>
          <w:i/>
          <w:lang w:val="en-AU"/>
        </w:rPr>
        <w:t>60,000 to &lt; 70,000</w:t>
      </w:r>
    </w:p>
    <w:p w:rsidR="006F1FE5" w:rsidRDefault="006F1FE5" w:rsidP="00BD7382">
      <w:pPr>
        <w:pStyle w:val="TableFooter"/>
        <w:rPr>
          <w:i/>
          <w:lang w:val="en-AU"/>
        </w:rPr>
      </w:pPr>
      <w:r>
        <w:rPr>
          <w:i/>
          <w:vertAlign w:val="superscript"/>
          <w:lang w:val="en-AU"/>
        </w:rPr>
        <w:t xml:space="preserve">7 </w:t>
      </w:r>
      <w:r w:rsidRPr="006F1FE5">
        <w:rPr>
          <w:i/>
          <w:lang w:val="en-AU"/>
        </w:rPr>
        <w:t>$20 million to &lt; $30 million</w:t>
      </w:r>
    </w:p>
    <w:p w:rsidR="006F1FE5" w:rsidRDefault="006F1FE5" w:rsidP="00BD7382">
      <w:pPr>
        <w:pStyle w:val="TableFooter"/>
        <w:rPr>
          <w:i/>
          <w:lang w:val="en-AU"/>
        </w:rPr>
      </w:pPr>
      <w:r>
        <w:rPr>
          <w:i/>
          <w:vertAlign w:val="superscript"/>
          <w:lang w:val="en-AU"/>
        </w:rPr>
        <w:t xml:space="preserve">8 </w:t>
      </w:r>
      <w:r w:rsidRPr="006F1FE5">
        <w:rPr>
          <w:i/>
          <w:lang w:val="en-AU"/>
        </w:rPr>
        <w:t>$30 million to &lt; $40 million</w:t>
      </w:r>
    </w:p>
    <w:p w:rsidR="006F1FE5" w:rsidRDefault="006F1FE5" w:rsidP="00BD7382">
      <w:pPr>
        <w:pStyle w:val="TableFooter"/>
        <w:rPr>
          <w:i/>
          <w:lang w:val="en-AU"/>
        </w:rPr>
      </w:pPr>
      <w:r>
        <w:rPr>
          <w:i/>
          <w:vertAlign w:val="superscript"/>
          <w:lang w:val="en-AU"/>
        </w:rPr>
        <w:t xml:space="preserve">9 </w:t>
      </w:r>
      <w:r w:rsidRPr="006F1FE5">
        <w:rPr>
          <w:i/>
          <w:lang w:val="en-AU"/>
        </w:rPr>
        <w:t>$0 to &lt; $10 million</w:t>
      </w:r>
    </w:p>
    <w:p w:rsidR="006F1FE5" w:rsidRPr="00BD7382" w:rsidRDefault="006F1FE5" w:rsidP="00BD7382">
      <w:pPr>
        <w:pStyle w:val="TableFooter"/>
        <w:rPr>
          <w:i/>
          <w:lang w:val="en-AU"/>
        </w:rPr>
      </w:pPr>
      <w:r>
        <w:rPr>
          <w:i/>
          <w:vertAlign w:val="superscript"/>
          <w:lang w:val="en-AU"/>
        </w:rPr>
        <w:t xml:space="preserve">10 </w:t>
      </w:r>
      <w:r w:rsidRPr="006F1FE5">
        <w:rPr>
          <w:i/>
          <w:lang w:val="en-AU"/>
        </w:rPr>
        <w:t>$10 million to &lt; $20 million</w:t>
      </w:r>
    </w:p>
    <w:p w:rsidR="00BD7382" w:rsidRPr="00BD7382" w:rsidRDefault="00BD7382" w:rsidP="00BD7382">
      <w:pPr>
        <w:pStyle w:val="TableFooter"/>
        <w:rPr>
          <w:i/>
          <w:lang w:val="en-AU"/>
        </w:rPr>
      </w:pPr>
    </w:p>
    <w:p w:rsidR="00A80541" w:rsidRPr="00C927B9" w:rsidRDefault="00A80541" w:rsidP="00A41A9B">
      <w:pPr>
        <w:pStyle w:val="ExecSumBodyText"/>
        <w:rPr>
          <w:lang w:val="en-AU"/>
        </w:rPr>
      </w:pPr>
      <w:r w:rsidRPr="00C927B9">
        <w:rPr>
          <w:lang w:val="en-AU"/>
        </w:rPr>
        <w:t xml:space="preserve">Using the proposed effective price of venetoclax, the net PBS/RPBS cost of venetoclax with azacitidine was estimated to be </w:t>
      </w:r>
      <w:r w:rsidR="00A41A9B" w:rsidRPr="00A41A9B">
        <w:rPr>
          <w:lang w:val="en-AU"/>
        </w:rPr>
        <w:t>$20 million to &lt; $30 million</w:t>
      </w:r>
      <w:r w:rsidR="00A41A9B">
        <w:rPr>
          <w:lang w:val="en-AU"/>
        </w:rPr>
        <w:t xml:space="preserve"> </w:t>
      </w:r>
      <w:r w:rsidRPr="00C927B9">
        <w:rPr>
          <w:lang w:val="en-AU"/>
        </w:rPr>
        <w:t xml:space="preserve">in the sixth year of listing, with a total cost of </w:t>
      </w:r>
      <w:r w:rsidR="00A41A9B" w:rsidRPr="00A41A9B">
        <w:rPr>
          <w:lang w:val="en-AU"/>
        </w:rPr>
        <w:t>$100 million to &lt; $200 million</w:t>
      </w:r>
      <w:r w:rsidR="00A41A9B">
        <w:rPr>
          <w:lang w:val="en-AU"/>
        </w:rPr>
        <w:t xml:space="preserve"> </w:t>
      </w:r>
      <w:r w:rsidRPr="00C927B9">
        <w:rPr>
          <w:lang w:val="en-AU"/>
        </w:rPr>
        <w:t>over six years. The net cost to Government (including MBS costs for administra</w:t>
      </w:r>
      <w:r w:rsidR="004A3643" w:rsidRPr="00C927B9">
        <w:rPr>
          <w:lang w:val="en-AU"/>
        </w:rPr>
        <w:t xml:space="preserve">tion and monitoring) was </w:t>
      </w:r>
      <w:r w:rsidR="00A41A9B" w:rsidRPr="00A41A9B">
        <w:rPr>
          <w:lang w:val="en-AU"/>
        </w:rPr>
        <w:t>$100 million to &lt; $200 million</w:t>
      </w:r>
      <w:r w:rsidR="00A41A9B">
        <w:rPr>
          <w:lang w:val="en-AU"/>
        </w:rPr>
        <w:t xml:space="preserve"> </w:t>
      </w:r>
      <w:r w:rsidRPr="00C927B9">
        <w:rPr>
          <w:lang w:val="en-AU"/>
        </w:rPr>
        <w:t xml:space="preserve">over six years. </w:t>
      </w:r>
    </w:p>
    <w:p w:rsidR="00576972" w:rsidRPr="00C927B9" w:rsidRDefault="00576972" w:rsidP="00606FBA">
      <w:pPr>
        <w:pStyle w:val="3-SubsectionHeading"/>
        <w:rPr>
          <w:lang w:val="en-AU"/>
        </w:rPr>
      </w:pPr>
      <w:r w:rsidRPr="00C927B9">
        <w:rPr>
          <w:lang w:val="en-AU"/>
        </w:rPr>
        <w:t>Quality Use of Medicines</w:t>
      </w:r>
      <w:bookmarkEnd w:id="43"/>
      <w:bookmarkEnd w:id="44"/>
    </w:p>
    <w:p w:rsidR="00E37A07" w:rsidRPr="00C927B9" w:rsidRDefault="00E37A07" w:rsidP="00E37A07">
      <w:pPr>
        <w:pStyle w:val="ExecSumBodyText"/>
        <w:numPr>
          <w:ilvl w:val="1"/>
          <w:numId w:val="1"/>
        </w:numPr>
        <w:rPr>
          <w:lang w:val="en-AU"/>
        </w:rPr>
      </w:pPr>
      <w:bookmarkStart w:id="48" w:name="_Toc22897649"/>
      <w:r w:rsidRPr="00C927B9">
        <w:rPr>
          <w:lang w:val="en-AU"/>
        </w:rPr>
        <w:t>The submission stated the sponsor’s intent to conduct quality use of medicines activities to support the listing of venetoclax with azacitidine for the treatment of acute myeloid leukaemia.</w:t>
      </w:r>
    </w:p>
    <w:p w:rsidR="00853884" w:rsidRPr="00C927B9" w:rsidRDefault="00853884" w:rsidP="00853884">
      <w:pPr>
        <w:pStyle w:val="ExecSumBodyText"/>
        <w:rPr>
          <w:lang w:val="en-AU"/>
        </w:rPr>
      </w:pPr>
      <w:r w:rsidRPr="00C927B9">
        <w:rPr>
          <w:lang w:val="en-AU"/>
        </w:rPr>
        <w:t>DUSC considered that:</w:t>
      </w:r>
    </w:p>
    <w:p w:rsidR="00853884" w:rsidRPr="00C927B9" w:rsidRDefault="00853884" w:rsidP="00853884">
      <w:pPr>
        <w:pStyle w:val="ExecSumBodyText"/>
        <w:numPr>
          <w:ilvl w:val="1"/>
          <w:numId w:val="14"/>
        </w:numPr>
        <w:ind w:left="1077" w:hanging="357"/>
        <w:rPr>
          <w:lang w:val="en-AU"/>
        </w:rPr>
      </w:pPr>
      <w:r w:rsidRPr="00C927B9">
        <w:rPr>
          <w:lang w:val="en-AU"/>
        </w:rPr>
        <w:t xml:space="preserve">As treatment is a combination of self-administered oral venetoclax and medically supervised injection of azacitidine, there will need to be education for patients and families on administration and disposal of venetoclax, home monitoring and support to ensure adherence to treatment. </w:t>
      </w:r>
    </w:p>
    <w:p w:rsidR="00853884" w:rsidRPr="00C927B9" w:rsidRDefault="00853884" w:rsidP="00853884">
      <w:pPr>
        <w:pStyle w:val="ExecSumBodyText"/>
        <w:numPr>
          <w:ilvl w:val="1"/>
          <w:numId w:val="14"/>
        </w:numPr>
        <w:ind w:left="1077" w:hanging="357"/>
        <w:rPr>
          <w:lang w:val="en-AU"/>
        </w:rPr>
      </w:pPr>
      <w:r w:rsidRPr="00C927B9">
        <w:rPr>
          <w:lang w:val="en-AU"/>
        </w:rPr>
        <w:lastRenderedPageBreak/>
        <w:t>There needs to be additional information and advice for those patients with secondary AML.</w:t>
      </w:r>
    </w:p>
    <w:p w:rsidR="00853884" w:rsidRPr="00C927B9" w:rsidRDefault="00853884" w:rsidP="00853884">
      <w:pPr>
        <w:pStyle w:val="ExecSumBodyText"/>
        <w:numPr>
          <w:ilvl w:val="1"/>
          <w:numId w:val="14"/>
        </w:numPr>
        <w:ind w:left="1077" w:hanging="357"/>
        <w:rPr>
          <w:lang w:val="en-AU"/>
        </w:rPr>
      </w:pPr>
      <w:r w:rsidRPr="00C927B9">
        <w:rPr>
          <w:lang w:val="en-AU"/>
        </w:rPr>
        <w:t>If venetoclax is co-administered with strong or moderate CYP3A inhibitors, dose reductions are recommended to reduce the risk of tumour lysis syndrome (TLS). The submission anticipated that patients receiving CYP3A inhibitors would initiate venetoclax as inpatients. QUM issues for General Practitioners were not discussed in the submission.</w:t>
      </w:r>
    </w:p>
    <w:p w:rsidR="00853884" w:rsidRPr="00C927B9" w:rsidRDefault="00853884" w:rsidP="00853884">
      <w:pPr>
        <w:pStyle w:val="ExecSumBodyText"/>
        <w:numPr>
          <w:ilvl w:val="1"/>
          <w:numId w:val="14"/>
        </w:numPr>
        <w:ind w:left="1077" w:hanging="357"/>
        <w:rPr>
          <w:lang w:val="en-AU"/>
        </w:rPr>
      </w:pPr>
      <w:r w:rsidRPr="00C927B9">
        <w:rPr>
          <w:lang w:val="en-AU"/>
        </w:rPr>
        <w:t>Venetoclax has potential medication interactions with warfarin, CYP3A4 and P-</w:t>
      </w:r>
      <w:proofErr w:type="spellStart"/>
      <w:r w:rsidRPr="00C927B9">
        <w:rPr>
          <w:lang w:val="en-AU"/>
        </w:rPr>
        <w:t>gp</w:t>
      </w:r>
      <w:proofErr w:type="spellEnd"/>
      <w:r w:rsidRPr="00C927B9">
        <w:rPr>
          <w:lang w:val="en-AU"/>
        </w:rPr>
        <w:t xml:space="preserve"> inhibitors/inducers, OATP1B1/1B3 inhibitors, azithromycin and gastric acid-reducing agents.</w:t>
      </w:r>
    </w:p>
    <w:p w:rsidR="00B53F82" w:rsidRPr="00C927B9" w:rsidRDefault="00B53F82" w:rsidP="00B53F82">
      <w:pPr>
        <w:pStyle w:val="3-SubsectionHeading"/>
        <w:rPr>
          <w:lang w:val="en-AU"/>
        </w:rPr>
      </w:pPr>
      <w:bookmarkStart w:id="49" w:name="_Toc62040073"/>
      <w:r w:rsidRPr="00C927B9">
        <w:rPr>
          <w:lang w:val="en-AU"/>
        </w:rPr>
        <w:t>Financial Management – Risk Sharing Arrangements</w:t>
      </w:r>
      <w:bookmarkEnd w:id="49"/>
    </w:p>
    <w:p w:rsidR="00B53F82" w:rsidRPr="00C927B9" w:rsidRDefault="00B53F82" w:rsidP="00B53F82">
      <w:pPr>
        <w:pStyle w:val="ExecSumBodyText"/>
        <w:rPr>
          <w:lang w:val="en-AU"/>
        </w:rPr>
      </w:pPr>
      <w:r w:rsidRPr="00C927B9">
        <w:rPr>
          <w:lang w:val="en-AU"/>
        </w:rPr>
        <w:t xml:space="preserve">The PBAC considered that a Risk Sharing Arrangement would be necessary to manage the risk </w:t>
      </w:r>
      <w:r w:rsidR="00E71CCC" w:rsidRPr="00C927B9">
        <w:rPr>
          <w:lang w:val="en-AU"/>
        </w:rPr>
        <w:t xml:space="preserve">of </w:t>
      </w:r>
      <w:r w:rsidR="005D53F8" w:rsidRPr="00C927B9">
        <w:rPr>
          <w:lang w:val="en-AU"/>
        </w:rPr>
        <w:t>use</w:t>
      </w:r>
      <w:r w:rsidR="00E71CCC" w:rsidRPr="00C927B9">
        <w:rPr>
          <w:lang w:val="en-AU"/>
        </w:rPr>
        <w:t xml:space="preserve"> in patients previously considered fit for standard intensive remission induction chemotherapy, as the cost-effectiveness </w:t>
      </w:r>
      <w:r w:rsidR="00BB0533">
        <w:rPr>
          <w:lang w:val="en-AU"/>
        </w:rPr>
        <w:t>is</w:t>
      </w:r>
      <w:r w:rsidR="00BB0533" w:rsidRPr="00C927B9">
        <w:rPr>
          <w:lang w:val="en-AU"/>
        </w:rPr>
        <w:t xml:space="preserve"> </w:t>
      </w:r>
      <w:r w:rsidR="00E71CCC" w:rsidRPr="00C927B9">
        <w:rPr>
          <w:lang w:val="en-AU"/>
        </w:rPr>
        <w:t>unknown in these patients</w:t>
      </w:r>
      <w:r w:rsidRPr="00C927B9">
        <w:rPr>
          <w:lang w:val="en-AU"/>
        </w:rPr>
        <w:t>.</w:t>
      </w:r>
    </w:p>
    <w:p w:rsidR="001F508A" w:rsidRPr="00C927B9" w:rsidRDefault="001F508A" w:rsidP="001F508A">
      <w:pPr>
        <w:pStyle w:val="ExecSumBodyText"/>
        <w:numPr>
          <w:ilvl w:val="0"/>
          <w:numId w:val="0"/>
        </w:numPr>
        <w:ind w:left="720"/>
        <w:rPr>
          <w:i/>
          <w:lang w:val="en-AU"/>
        </w:rPr>
      </w:pPr>
      <w:r w:rsidRPr="00C927B9">
        <w:rPr>
          <w:i/>
          <w:lang w:val="en-AU"/>
        </w:rPr>
        <w:t>For more detail on the PBAC’s view, see section 7 PBAC outcome.</w:t>
      </w:r>
    </w:p>
    <w:p w:rsidR="00A80541" w:rsidRPr="00C927B9" w:rsidRDefault="00A80541" w:rsidP="005A6342">
      <w:pPr>
        <w:pStyle w:val="2-SectionHeading"/>
        <w:numPr>
          <w:ilvl w:val="0"/>
          <w:numId w:val="1"/>
        </w:numPr>
        <w:rPr>
          <w:b w:val="0"/>
          <w:bCs/>
        </w:rPr>
      </w:pPr>
      <w:r w:rsidRPr="00C927B9">
        <w:t>PBAC</w:t>
      </w:r>
      <w:r w:rsidRPr="00C927B9">
        <w:rPr>
          <w:bCs/>
        </w:rPr>
        <w:t xml:space="preserve"> Outcome</w:t>
      </w:r>
    </w:p>
    <w:p w:rsidR="00C01F29" w:rsidRPr="00C927B9" w:rsidRDefault="00A80541" w:rsidP="00742D65">
      <w:pPr>
        <w:pStyle w:val="ExecSumBodyText"/>
        <w:rPr>
          <w:bCs/>
          <w:lang w:val="en-AU"/>
        </w:rPr>
      </w:pPr>
      <w:r w:rsidRPr="00C927B9">
        <w:rPr>
          <w:lang w:val="en-AU"/>
        </w:rPr>
        <w:t xml:space="preserve">The </w:t>
      </w:r>
      <w:r w:rsidR="0032451B" w:rsidRPr="00C927B9">
        <w:rPr>
          <w:lang w:val="en-AU"/>
        </w:rPr>
        <w:t>PBAC did not recommend</w:t>
      </w:r>
      <w:r w:rsidR="00742D65" w:rsidRPr="00C927B9">
        <w:rPr>
          <w:lang w:val="en-AU"/>
        </w:rPr>
        <w:t xml:space="preserve"> </w:t>
      </w:r>
      <w:r w:rsidR="00742D65" w:rsidRPr="00C927B9">
        <w:rPr>
          <w:bCs/>
          <w:lang w:val="en-AU"/>
        </w:rPr>
        <w:t xml:space="preserve">venetoclax for the treatment of patients with previously untreated acute myeloid leukaemia </w:t>
      </w:r>
      <w:r w:rsidR="00A35AFF" w:rsidRPr="00C927B9">
        <w:rPr>
          <w:bCs/>
          <w:lang w:val="en-AU"/>
        </w:rPr>
        <w:t xml:space="preserve">(AML) </w:t>
      </w:r>
      <w:r w:rsidR="00742D65" w:rsidRPr="00C927B9">
        <w:rPr>
          <w:bCs/>
          <w:lang w:val="en-AU"/>
        </w:rPr>
        <w:t xml:space="preserve">who are ineligible for standard intensive remission induction chemotherapy. The PBAC considered that the combination of venetoclax with azacitidine offered a meaningful clinical improvement, but </w:t>
      </w:r>
      <w:r w:rsidR="00271B24" w:rsidRPr="00C927B9">
        <w:rPr>
          <w:bCs/>
          <w:lang w:val="en-AU"/>
        </w:rPr>
        <w:t xml:space="preserve">that the incremental cost-effectiveness ratio (ICER) was high, and for the comparison with LoDAC uncertain, and that a price reduction would be needed to achieve a cost-effective listing. In addition, the PBAC considered </w:t>
      </w:r>
      <w:r w:rsidR="00742D65" w:rsidRPr="00C927B9">
        <w:rPr>
          <w:bCs/>
          <w:lang w:val="en-AU"/>
        </w:rPr>
        <w:t xml:space="preserve">there was a high risk of </w:t>
      </w:r>
      <w:r w:rsidR="00271B24" w:rsidRPr="00C927B9">
        <w:rPr>
          <w:bCs/>
          <w:lang w:val="en-AU"/>
        </w:rPr>
        <w:t>use in patients previously considered eligible for intensive therapy and a Risk Sharing Arrangement (RSA) was required to manage this risk</w:t>
      </w:r>
      <w:r w:rsidR="0062208F" w:rsidRPr="00C927B9">
        <w:rPr>
          <w:bCs/>
          <w:lang w:val="en-AU"/>
        </w:rPr>
        <w:t>.</w:t>
      </w:r>
    </w:p>
    <w:p w:rsidR="00E24CD4" w:rsidRPr="00C927B9" w:rsidRDefault="00E24CD4" w:rsidP="0062208F">
      <w:pPr>
        <w:pStyle w:val="ExecSumBodyText"/>
        <w:rPr>
          <w:lang w:val="en-AU"/>
        </w:rPr>
      </w:pPr>
      <w:r w:rsidRPr="00C927B9">
        <w:rPr>
          <w:lang w:val="en-AU"/>
        </w:rPr>
        <w:t>In terms of the clinical place for the proposed therapy, the PBAC agreed with the submission that venetoclax with azacitidine would be used as an alternative to low intensity azacitidine or low-dose cytarabine (LoDAC).</w:t>
      </w:r>
      <w:r w:rsidR="0005124C" w:rsidRPr="00C927B9">
        <w:rPr>
          <w:lang w:val="en-AU"/>
        </w:rPr>
        <w:t xml:space="preserve"> The PBAC </w:t>
      </w:r>
      <w:r w:rsidR="002A7D3E" w:rsidRPr="00C927B9">
        <w:rPr>
          <w:lang w:val="en-AU"/>
        </w:rPr>
        <w:t>noted</w:t>
      </w:r>
      <w:r w:rsidR="0005124C" w:rsidRPr="00C927B9">
        <w:rPr>
          <w:lang w:val="en-AU"/>
        </w:rPr>
        <w:t xml:space="preserve"> that </w:t>
      </w:r>
      <w:r w:rsidR="00AB5FCE" w:rsidRPr="00C927B9">
        <w:rPr>
          <w:lang w:val="en-AU"/>
        </w:rPr>
        <w:t>the</w:t>
      </w:r>
      <w:r w:rsidR="0005124C" w:rsidRPr="00C927B9">
        <w:rPr>
          <w:lang w:val="en-AU"/>
        </w:rPr>
        <w:t xml:space="preserve"> first-line positioning was consistent with the provisio</w:t>
      </w:r>
      <w:r w:rsidR="00A117CE" w:rsidRPr="00C927B9">
        <w:rPr>
          <w:lang w:val="en-AU"/>
        </w:rPr>
        <w:t xml:space="preserve">nally approved TGA indication. </w:t>
      </w:r>
      <w:r w:rsidR="0005124C" w:rsidRPr="00C927B9">
        <w:rPr>
          <w:lang w:val="en-AU"/>
        </w:rPr>
        <w:t xml:space="preserve">The PBAC </w:t>
      </w:r>
      <w:r w:rsidR="00A117CE" w:rsidRPr="00C927B9">
        <w:rPr>
          <w:lang w:val="en-AU"/>
        </w:rPr>
        <w:t xml:space="preserve">also </w:t>
      </w:r>
      <w:r w:rsidR="0005124C" w:rsidRPr="00C927B9">
        <w:rPr>
          <w:lang w:val="en-AU"/>
        </w:rPr>
        <w:t xml:space="preserve">noted that the TGA Product Information </w:t>
      </w:r>
      <w:r w:rsidR="002A7D3E" w:rsidRPr="00C927B9">
        <w:rPr>
          <w:lang w:val="en-AU"/>
        </w:rPr>
        <w:t>provided dosing instructions for venetoclax combined with either azacitidine or LoDAC</w:t>
      </w:r>
      <w:r w:rsidR="0062208F" w:rsidRPr="00C927B9">
        <w:rPr>
          <w:lang w:val="en-AU"/>
        </w:rPr>
        <w:t xml:space="preserve">, and there is </w:t>
      </w:r>
      <w:r w:rsidR="00A901C2">
        <w:rPr>
          <w:lang w:val="en-AU"/>
        </w:rPr>
        <w:t xml:space="preserve">a </w:t>
      </w:r>
      <w:r w:rsidR="0062208F" w:rsidRPr="00C927B9">
        <w:rPr>
          <w:bCs/>
          <w:lang w:val="en-AU"/>
        </w:rPr>
        <w:t>phase 3 study of venetoclax with LoDAC versus LoDAC (M16-043)</w:t>
      </w:r>
      <w:r w:rsidR="002A7D3E" w:rsidRPr="00C927B9">
        <w:rPr>
          <w:lang w:val="en-AU"/>
        </w:rPr>
        <w:t xml:space="preserve">; however, the submission requested PBS listing for </w:t>
      </w:r>
      <w:r w:rsidRPr="00C927B9">
        <w:rPr>
          <w:lang w:val="en-AU"/>
        </w:rPr>
        <w:t xml:space="preserve">use in combination with azacitidine only. </w:t>
      </w:r>
      <w:r w:rsidR="000C54E9">
        <w:rPr>
          <w:lang w:val="en-AU"/>
        </w:rPr>
        <w:t xml:space="preserve">The PBAC considered there would be a patient population in Australia who would use this combination if it were available. </w:t>
      </w:r>
    </w:p>
    <w:p w:rsidR="002A7D3E" w:rsidRPr="00C927B9" w:rsidRDefault="00D6186F" w:rsidP="00E24CD4">
      <w:pPr>
        <w:pStyle w:val="ExecSumBodyText"/>
        <w:rPr>
          <w:bCs/>
          <w:lang w:val="en-AU"/>
        </w:rPr>
      </w:pPr>
      <w:r w:rsidRPr="00C927B9">
        <w:rPr>
          <w:bCs/>
          <w:lang w:val="en-AU"/>
        </w:rPr>
        <w:t xml:space="preserve">The PBAC noted that the requested listing </w:t>
      </w:r>
      <w:r w:rsidR="00F27B11" w:rsidRPr="00C927B9">
        <w:rPr>
          <w:bCs/>
          <w:lang w:val="en-AU"/>
        </w:rPr>
        <w:t>did not define ineligibility</w:t>
      </w:r>
      <w:r w:rsidRPr="00C927B9">
        <w:rPr>
          <w:bCs/>
          <w:lang w:val="en-AU"/>
        </w:rPr>
        <w:t xml:space="preserve"> for standard intensive remission induction chemothera</w:t>
      </w:r>
      <w:r w:rsidR="00312002" w:rsidRPr="00C927B9">
        <w:rPr>
          <w:bCs/>
          <w:lang w:val="en-AU"/>
        </w:rPr>
        <w:t xml:space="preserve">py. </w:t>
      </w:r>
      <w:r w:rsidRPr="00C927B9">
        <w:rPr>
          <w:bCs/>
          <w:lang w:val="en-AU"/>
        </w:rPr>
        <w:t xml:space="preserve">The PBAC </w:t>
      </w:r>
      <w:r w:rsidR="00654B61" w:rsidRPr="00C927B9">
        <w:rPr>
          <w:bCs/>
          <w:lang w:val="en-AU"/>
        </w:rPr>
        <w:t xml:space="preserve">agreed with the </w:t>
      </w:r>
      <w:r w:rsidR="00312002" w:rsidRPr="00C927B9">
        <w:rPr>
          <w:bCs/>
          <w:lang w:val="en-AU"/>
        </w:rPr>
        <w:t xml:space="preserve">ESC and DUSC </w:t>
      </w:r>
      <w:r w:rsidR="00312002" w:rsidRPr="00C927B9">
        <w:rPr>
          <w:bCs/>
          <w:lang w:val="en-AU"/>
        </w:rPr>
        <w:lastRenderedPageBreak/>
        <w:t xml:space="preserve">that there is no consensus </w:t>
      </w:r>
      <w:r w:rsidR="00F97A28" w:rsidRPr="00C927B9">
        <w:rPr>
          <w:bCs/>
          <w:lang w:val="en-AU"/>
        </w:rPr>
        <w:t>definition available, and considered that eligibility would be determined according to clinician ju</w:t>
      </w:r>
      <w:r w:rsidR="002A7D3E" w:rsidRPr="00C927B9">
        <w:rPr>
          <w:bCs/>
          <w:lang w:val="en-AU"/>
        </w:rPr>
        <w:t>dgement and patient preference.</w:t>
      </w:r>
    </w:p>
    <w:p w:rsidR="004F2626" w:rsidRDefault="002A7D3E" w:rsidP="004F2626">
      <w:pPr>
        <w:pStyle w:val="ExecSumBodyText"/>
        <w:rPr>
          <w:bCs/>
          <w:lang w:val="en-AU"/>
        </w:rPr>
      </w:pPr>
      <w:r w:rsidRPr="00C927B9">
        <w:rPr>
          <w:bCs/>
          <w:lang w:val="en-AU"/>
        </w:rPr>
        <w:t xml:space="preserve">The submission requested an Authority Required (Telephone/Online) listing </w:t>
      </w:r>
      <w:r w:rsidR="004F2626" w:rsidRPr="00C927B9">
        <w:rPr>
          <w:bCs/>
          <w:lang w:val="en-AU"/>
        </w:rPr>
        <w:t xml:space="preserve">for venetoclax, but did not </w:t>
      </w:r>
      <w:r w:rsidR="00AB5FCE" w:rsidRPr="00C927B9">
        <w:rPr>
          <w:bCs/>
          <w:lang w:val="en-AU"/>
        </w:rPr>
        <w:t>include</w:t>
      </w:r>
      <w:r w:rsidR="004F2626" w:rsidRPr="00C927B9">
        <w:rPr>
          <w:bCs/>
          <w:lang w:val="en-AU"/>
        </w:rPr>
        <w:t xml:space="preserve"> </w:t>
      </w:r>
      <w:r w:rsidR="00AB5FCE" w:rsidRPr="00C927B9">
        <w:rPr>
          <w:bCs/>
          <w:lang w:val="en-AU"/>
        </w:rPr>
        <w:t>proposals for the</w:t>
      </w:r>
      <w:r w:rsidR="004F2626" w:rsidRPr="00C927B9">
        <w:rPr>
          <w:bCs/>
          <w:lang w:val="en-AU"/>
        </w:rPr>
        <w:t xml:space="preserve"> combination azacitidine listing. Azacitidine for AML is currently listed on the PBS as a Written Authority for initial treatment and a Telephone/Online Authority for continuation.</w:t>
      </w:r>
      <w:r w:rsidR="00AB5FCE" w:rsidRPr="00C927B9">
        <w:rPr>
          <w:bCs/>
          <w:lang w:val="en-AU"/>
        </w:rPr>
        <w:t xml:space="preserve"> T</w:t>
      </w:r>
      <w:r w:rsidR="004F2626" w:rsidRPr="00C927B9">
        <w:rPr>
          <w:bCs/>
          <w:lang w:val="en-AU"/>
        </w:rPr>
        <w:t>he</w:t>
      </w:r>
      <w:r w:rsidR="00D73386" w:rsidRPr="00C927B9">
        <w:rPr>
          <w:bCs/>
          <w:lang w:val="en-AU"/>
        </w:rPr>
        <w:t xml:space="preserve"> PBAC recalled that in November </w:t>
      </w:r>
      <w:r w:rsidR="004F2626" w:rsidRPr="00C927B9">
        <w:rPr>
          <w:bCs/>
          <w:lang w:val="en-AU"/>
        </w:rPr>
        <w:t xml:space="preserve">2020, it had recommended the Authority level for azacitidine for AML be decreased to Authority Required (Telephone) for initial treatment and Authority Required (Streamlined) for continuing (PBAC Outcomes, Other Matters, November 2020). Thus, the PBAC had no concern with the proposed venetoclax and azacitidine combination listings both being Authority Required (Telephone/Online). </w:t>
      </w:r>
    </w:p>
    <w:p w:rsidR="003B7963" w:rsidRPr="00C927B9" w:rsidRDefault="003B7963" w:rsidP="004F2626">
      <w:pPr>
        <w:pStyle w:val="ExecSumBodyText"/>
        <w:rPr>
          <w:bCs/>
          <w:lang w:val="en-AU"/>
        </w:rPr>
      </w:pPr>
      <w:r>
        <w:rPr>
          <w:bCs/>
          <w:lang w:val="en-AU"/>
        </w:rPr>
        <w:t>The submission requested a maximum quantity of one pack, with five repeats. The PBAC noted that two repeats would provide for three months’ supply, which it considered was more in line with the timeframe in which patients should be reviewed.</w:t>
      </w:r>
    </w:p>
    <w:p w:rsidR="00AB5FCE" w:rsidRPr="00C927B9" w:rsidRDefault="00A202D6" w:rsidP="00A202D6">
      <w:pPr>
        <w:pStyle w:val="ExecSumBodyText"/>
        <w:rPr>
          <w:bCs/>
          <w:lang w:val="en-AU"/>
        </w:rPr>
      </w:pPr>
      <w:r w:rsidRPr="00C927B9">
        <w:rPr>
          <w:bCs/>
          <w:lang w:val="en-AU"/>
        </w:rPr>
        <w:t xml:space="preserve">The submission nominated azacitidine monotherapy as the main comparator, and LoDAC as a secondary comparator (with a 55.6%/44.4% split in the economic evaluation; and 50%/50% market share in the financial estimates). The PBAC considered that the current azacitidine PBS listing for AML (for patients </w:t>
      </w:r>
      <w:r w:rsidRPr="00C927B9">
        <w:rPr>
          <w:lang w:val="en-AU"/>
        </w:rPr>
        <w:t xml:space="preserve">with 20-30% bone marrow blasts and multi-lineage dysplasia) had limited overlap with the requested PBS population, </w:t>
      </w:r>
      <w:r w:rsidR="00AB5FCE" w:rsidRPr="00C927B9">
        <w:rPr>
          <w:lang w:val="en-AU"/>
        </w:rPr>
        <w:t>and consequently</w:t>
      </w:r>
      <w:r w:rsidR="00F1338F" w:rsidRPr="00C927B9">
        <w:rPr>
          <w:lang w:val="en-AU"/>
        </w:rPr>
        <w:t xml:space="preserve"> LoDAC was likely to be the PBS therapy most replaced in practice. Thus, the PBAC </w:t>
      </w:r>
      <w:r w:rsidRPr="00C927B9">
        <w:rPr>
          <w:lang w:val="en-AU"/>
        </w:rPr>
        <w:t xml:space="preserve">agreed with the ESC that </w:t>
      </w:r>
      <w:r w:rsidR="00F1338F" w:rsidRPr="00C927B9">
        <w:rPr>
          <w:lang w:val="en-AU"/>
        </w:rPr>
        <w:t>while a mixed comparator was appropriate, it should be weighted towards LoDAC</w:t>
      </w:r>
      <w:r w:rsidR="00AB5FCE" w:rsidRPr="00C927B9">
        <w:rPr>
          <w:lang w:val="en-AU"/>
        </w:rPr>
        <w:t xml:space="preserve">. </w:t>
      </w:r>
    </w:p>
    <w:p w:rsidR="00613887" w:rsidRPr="00C927B9" w:rsidRDefault="00F1338F" w:rsidP="002D5D3D">
      <w:pPr>
        <w:pStyle w:val="ExecSumBodyText"/>
        <w:rPr>
          <w:bCs/>
          <w:lang w:val="en-AU"/>
        </w:rPr>
      </w:pPr>
      <w:r w:rsidRPr="00C927B9">
        <w:rPr>
          <w:lang w:val="en-AU"/>
        </w:rPr>
        <w:t xml:space="preserve">The </w:t>
      </w:r>
      <w:r w:rsidR="00B90C6D" w:rsidRPr="00C927B9">
        <w:rPr>
          <w:lang w:val="en-AU"/>
        </w:rPr>
        <w:t xml:space="preserve">main </w:t>
      </w:r>
      <w:r w:rsidRPr="00C927B9">
        <w:rPr>
          <w:lang w:val="en-AU"/>
        </w:rPr>
        <w:t xml:space="preserve">clinical evidence presented in the submission consisted of: a direct comparison of venetoclax with azacitidine versus azacitidine, based on one head-to-head randomised trial </w:t>
      </w:r>
      <w:r w:rsidR="00B90C6D" w:rsidRPr="00C927B9">
        <w:rPr>
          <w:lang w:val="en-AU"/>
        </w:rPr>
        <w:t xml:space="preserve">(M15-656); and an indirect treatment comparison (ITC) of venetoclax with azacitidine (M15-656) versus LoDAC (AZA-AML-001) with azacitidine as a common reference. For the LoDAC comparison, the submission also presented: an </w:t>
      </w:r>
      <w:r w:rsidR="00B90C6D" w:rsidRPr="00C927B9">
        <w:rPr>
          <w:bCs/>
          <w:lang w:val="en-AU"/>
        </w:rPr>
        <w:t>ITC of venetoclax with azacitidine (M15-656) versus LoDAC (meta-analysis of AZA-AML-001 and AZA-001) with azacitidine as a common reference as a sensitivity analysis; and a propensity score weighted analysis of venetoclax with azacitidine (M15-656) versus LoDAC (M16-043) as a supporting analysis.</w:t>
      </w:r>
      <w:r w:rsidR="00613887" w:rsidRPr="00C927B9">
        <w:rPr>
          <w:bCs/>
          <w:lang w:val="en-AU"/>
        </w:rPr>
        <w:t xml:space="preserve"> Whilst the PBAC considered the azacitidine comparison was largely reliable</w:t>
      </w:r>
      <w:r w:rsidR="001C486E" w:rsidRPr="00C927B9">
        <w:rPr>
          <w:bCs/>
          <w:lang w:val="en-AU"/>
        </w:rPr>
        <w:t xml:space="preserve"> (noting some </w:t>
      </w:r>
      <w:r w:rsidR="005E1859" w:rsidRPr="00C927B9">
        <w:rPr>
          <w:bCs/>
          <w:lang w:val="en-AU"/>
        </w:rPr>
        <w:t xml:space="preserve">minor </w:t>
      </w:r>
      <w:r w:rsidR="001C486E" w:rsidRPr="00C927B9">
        <w:rPr>
          <w:bCs/>
          <w:lang w:val="en-AU"/>
        </w:rPr>
        <w:t xml:space="preserve">uncertainty with respect to </w:t>
      </w:r>
      <w:r w:rsidR="00DF5BF6" w:rsidRPr="00C927B9">
        <w:rPr>
          <w:bCs/>
          <w:lang w:val="en-AU"/>
        </w:rPr>
        <w:t xml:space="preserve">applicability to </w:t>
      </w:r>
      <w:r w:rsidR="001C486E" w:rsidRPr="00C927B9">
        <w:rPr>
          <w:bCs/>
          <w:lang w:val="en-AU"/>
        </w:rPr>
        <w:t>the Australian population)</w:t>
      </w:r>
      <w:r w:rsidR="00613887" w:rsidRPr="00C927B9">
        <w:rPr>
          <w:bCs/>
          <w:lang w:val="en-AU"/>
        </w:rPr>
        <w:t xml:space="preserve">, the LoDAC comparisons were less reliable </w:t>
      </w:r>
      <w:r w:rsidR="00DF5BF6" w:rsidRPr="00C927B9">
        <w:rPr>
          <w:bCs/>
          <w:lang w:val="en-AU"/>
        </w:rPr>
        <w:t>for reasons discussed in the paragraph below</w:t>
      </w:r>
      <w:r w:rsidR="00BB7617" w:rsidRPr="00C927B9">
        <w:rPr>
          <w:bCs/>
          <w:lang w:val="en-AU"/>
        </w:rPr>
        <w:t xml:space="preserve">. </w:t>
      </w:r>
    </w:p>
    <w:p w:rsidR="00D73386" w:rsidRPr="00C927B9" w:rsidRDefault="00D73386" w:rsidP="00D73386">
      <w:pPr>
        <w:pStyle w:val="ExecSumBodyText"/>
        <w:rPr>
          <w:bCs/>
          <w:lang w:val="en-AU"/>
        </w:rPr>
      </w:pPr>
      <w:r w:rsidRPr="00C927B9">
        <w:rPr>
          <w:bCs/>
          <w:lang w:val="en-AU"/>
        </w:rPr>
        <w:t>Overall, the PBAC considered that the claim of superior comparative effectiveness was adequately supported by the data, although the magnitude of the benefit was uncertain:</w:t>
      </w:r>
    </w:p>
    <w:p w:rsidR="008B4EC1" w:rsidRPr="00C927B9" w:rsidRDefault="008A73A6" w:rsidP="00D73386">
      <w:pPr>
        <w:pStyle w:val="ExecSumBodyText"/>
        <w:numPr>
          <w:ilvl w:val="1"/>
          <w:numId w:val="14"/>
        </w:numPr>
        <w:ind w:left="1077" w:hanging="357"/>
        <w:rPr>
          <w:bCs/>
          <w:lang w:val="en-AU"/>
        </w:rPr>
      </w:pPr>
      <w:r w:rsidRPr="00C927B9">
        <w:rPr>
          <w:lang w:val="en-AU"/>
        </w:rPr>
        <w:t>For</w:t>
      </w:r>
      <w:r w:rsidRPr="00C927B9">
        <w:rPr>
          <w:bCs/>
          <w:lang w:val="en-AU"/>
        </w:rPr>
        <w:t xml:space="preserve"> the azacitidine comparison, the PBAC noted that patients treated with venetoclax with azacitidine experienced a statistically significant improvement in overall survival (OS) </w:t>
      </w:r>
      <w:r w:rsidR="00C90DDC" w:rsidRPr="00C927B9">
        <w:rPr>
          <w:bCs/>
          <w:lang w:val="en-AU"/>
        </w:rPr>
        <w:t>(</w:t>
      </w:r>
      <w:r w:rsidRPr="00C927B9">
        <w:rPr>
          <w:bCs/>
          <w:lang w:val="en-AU"/>
        </w:rPr>
        <w:t xml:space="preserve">HR 0.66, 95% CI: 0.52, 0.85), with an increase in median OS of 5.1 months over a median follow up of 20.4 months. </w:t>
      </w:r>
      <w:r w:rsidR="001F3879" w:rsidRPr="00C927B9">
        <w:rPr>
          <w:bCs/>
          <w:lang w:val="en-AU"/>
        </w:rPr>
        <w:t xml:space="preserve">The PBAC considered that </w:t>
      </w:r>
      <w:r w:rsidR="001F3879" w:rsidRPr="00C927B9">
        <w:rPr>
          <w:bCs/>
          <w:lang w:val="en-AU"/>
        </w:rPr>
        <w:lastRenderedPageBreak/>
        <w:t>r</w:t>
      </w:r>
      <w:r w:rsidRPr="00C927B9">
        <w:rPr>
          <w:bCs/>
          <w:lang w:val="en-AU"/>
        </w:rPr>
        <w:t xml:space="preserve">esults were </w:t>
      </w:r>
      <w:r w:rsidR="001F3879" w:rsidRPr="00C927B9">
        <w:rPr>
          <w:bCs/>
          <w:lang w:val="en-AU"/>
        </w:rPr>
        <w:t>consistently</w:t>
      </w:r>
      <w:r w:rsidRPr="00C927B9">
        <w:rPr>
          <w:bCs/>
          <w:lang w:val="en-AU"/>
        </w:rPr>
        <w:t xml:space="preserve"> favourable </w:t>
      </w:r>
      <w:r w:rsidR="001F3879" w:rsidRPr="00C927B9">
        <w:rPr>
          <w:bCs/>
          <w:lang w:val="en-AU"/>
        </w:rPr>
        <w:t xml:space="preserve">towards venetoclax with azacitidine </w:t>
      </w:r>
      <w:r w:rsidRPr="00C927B9">
        <w:rPr>
          <w:bCs/>
          <w:lang w:val="en-AU"/>
        </w:rPr>
        <w:t>with respect to event free survival (EFS), complete remission (CR), the c</w:t>
      </w:r>
      <w:r w:rsidR="00A260B9" w:rsidRPr="00C927B9">
        <w:rPr>
          <w:bCs/>
          <w:lang w:val="en-AU"/>
        </w:rPr>
        <w:t>omposite of complete remission and</w:t>
      </w:r>
      <w:r w:rsidRPr="00C927B9">
        <w:rPr>
          <w:bCs/>
          <w:lang w:val="en-AU"/>
        </w:rPr>
        <w:t xml:space="preserve"> complete remission with incomplete blood count recovery (CR + </w:t>
      </w:r>
      <w:proofErr w:type="spellStart"/>
      <w:r w:rsidRPr="00C927B9">
        <w:rPr>
          <w:bCs/>
          <w:lang w:val="en-AU"/>
        </w:rPr>
        <w:t>CRi</w:t>
      </w:r>
      <w:proofErr w:type="spellEnd"/>
      <w:r w:rsidRPr="00C927B9">
        <w:rPr>
          <w:bCs/>
          <w:lang w:val="en-AU"/>
        </w:rPr>
        <w:t>)</w:t>
      </w:r>
      <w:r w:rsidR="001F3879" w:rsidRPr="00C927B9">
        <w:rPr>
          <w:bCs/>
          <w:lang w:val="en-AU"/>
        </w:rPr>
        <w:t>, and patients achieving red blood cell and/or platelet transfusion independence. Although the PBAC noted that there were no significant Quality of Life differences between the regimens, the PBAC considered that the survival benefits represented a clinically meaningful improvement.</w:t>
      </w:r>
    </w:p>
    <w:p w:rsidR="008B4EC1" w:rsidRPr="00C927B9" w:rsidRDefault="00A878DE" w:rsidP="00D73386">
      <w:pPr>
        <w:pStyle w:val="ExecSumBodyText"/>
        <w:numPr>
          <w:ilvl w:val="1"/>
          <w:numId w:val="14"/>
        </w:numPr>
        <w:ind w:left="1077" w:hanging="357"/>
        <w:rPr>
          <w:bCs/>
          <w:lang w:val="en-AU"/>
        </w:rPr>
      </w:pPr>
      <w:r w:rsidRPr="00C927B9">
        <w:rPr>
          <w:lang w:val="en-AU"/>
        </w:rPr>
        <w:t>For the</w:t>
      </w:r>
      <w:r w:rsidR="005E1859" w:rsidRPr="00C927B9">
        <w:rPr>
          <w:lang w:val="en-AU"/>
        </w:rPr>
        <w:t xml:space="preserve"> main</w:t>
      </w:r>
      <w:r w:rsidRPr="00C927B9">
        <w:rPr>
          <w:lang w:val="en-AU"/>
        </w:rPr>
        <w:t xml:space="preserve"> LoDAC</w:t>
      </w:r>
      <w:r w:rsidR="005E1859" w:rsidRPr="00C927B9">
        <w:rPr>
          <w:lang w:val="en-AU"/>
        </w:rPr>
        <w:t xml:space="preserve"> ITC</w:t>
      </w:r>
      <w:r w:rsidRPr="00C927B9">
        <w:rPr>
          <w:lang w:val="en-AU"/>
        </w:rPr>
        <w:t xml:space="preserve">, </w:t>
      </w:r>
      <w:r w:rsidR="00C90DDC" w:rsidRPr="00C927B9">
        <w:rPr>
          <w:lang w:val="en-AU"/>
        </w:rPr>
        <w:t xml:space="preserve">the PBAC noted that patients treated with venetoclax with azacitidine experienced a statistically significant improvement in OS (HR 0.60, </w:t>
      </w:r>
      <w:r w:rsidR="00C90DDC" w:rsidRPr="00C927B9">
        <w:rPr>
          <w:bCs/>
          <w:lang w:val="en-AU"/>
        </w:rPr>
        <w:t>95% CI: 0.42, 0.85)</w:t>
      </w:r>
      <w:r w:rsidR="00A260B9" w:rsidRPr="00C927B9">
        <w:rPr>
          <w:bCs/>
          <w:lang w:val="en-AU"/>
        </w:rPr>
        <w:t xml:space="preserve">, and also </w:t>
      </w:r>
      <w:r w:rsidR="00CA6C07" w:rsidRPr="00C927B9">
        <w:rPr>
          <w:bCs/>
          <w:lang w:val="en-AU"/>
        </w:rPr>
        <w:t>with respect to</w:t>
      </w:r>
      <w:r w:rsidR="00DF5BF6" w:rsidRPr="00C927B9">
        <w:rPr>
          <w:bCs/>
          <w:lang w:val="en-AU"/>
        </w:rPr>
        <w:t xml:space="preserve"> CR + </w:t>
      </w:r>
      <w:proofErr w:type="spellStart"/>
      <w:r w:rsidR="00DF5BF6" w:rsidRPr="00C927B9">
        <w:rPr>
          <w:bCs/>
          <w:lang w:val="en-AU"/>
        </w:rPr>
        <w:t>CRi</w:t>
      </w:r>
      <w:proofErr w:type="spellEnd"/>
      <w:r w:rsidR="00A260B9" w:rsidRPr="00C927B9">
        <w:rPr>
          <w:bCs/>
          <w:lang w:val="en-AU"/>
        </w:rPr>
        <w:t xml:space="preserve">. </w:t>
      </w:r>
      <w:r w:rsidR="00CA6C07" w:rsidRPr="00C927B9">
        <w:rPr>
          <w:bCs/>
          <w:lang w:val="en-AU"/>
        </w:rPr>
        <w:t xml:space="preserve">The supplementary ITC which meta-analysed AZA-AML-001 and AZA-001 also </w:t>
      </w:r>
      <w:r w:rsidR="005E1859" w:rsidRPr="00C927B9">
        <w:rPr>
          <w:bCs/>
          <w:lang w:val="en-AU"/>
        </w:rPr>
        <w:t>favoured</w:t>
      </w:r>
      <w:r w:rsidR="00CA6C07" w:rsidRPr="00C927B9">
        <w:rPr>
          <w:bCs/>
          <w:lang w:val="en-AU"/>
        </w:rPr>
        <w:t xml:space="preserve"> venetoclax with azacitidine. </w:t>
      </w:r>
      <w:r w:rsidR="008B4EC1" w:rsidRPr="00C927B9">
        <w:rPr>
          <w:bCs/>
          <w:lang w:val="en-AU"/>
        </w:rPr>
        <w:t xml:space="preserve">However, the PBAC considered that there was poor transitivity between the studies in the ITCs, and its assessment of the supplementary ITC was limited by insufficient information provided about the trials. Furthermore, whilst the propensity score weighted analysis was also favourable, its methodology was poorly documented and hence largely uninformative. </w:t>
      </w:r>
    </w:p>
    <w:p w:rsidR="00DA6F1B" w:rsidRPr="00C927B9" w:rsidRDefault="00DA6F1B" w:rsidP="00DA6F1B">
      <w:pPr>
        <w:pStyle w:val="ExecSumBodyText"/>
        <w:rPr>
          <w:lang w:val="en-AU"/>
        </w:rPr>
      </w:pPr>
      <w:r w:rsidRPr="00C927B9">
        <w:rPr>
          <w:lang w:val="en-AU"/>
        </w:rPr>
        <w:t xml:space="preserve">The submission claimed that venetoclax with azacitidine had inferior safety compared with azacitidine or LoDAC, which the PBAC considered was reasonable in view of the larger proportions of patients treated with venetoclax with azacitidine experiencing Grade </w:t>
      </w:r>
      <w:r w:rsidRPr="00C927B9">
        <w:rPr>
          <w:bCs/>
          <w:lang w:val="en-AU"/>
        </w:rPr>
        <w:t xml:space="preserve">≥3 adverse events, serious adverse events, adverse events leading to discontinuation and deaths compared to azacitidine, as well as the other safety information </w:t>
      </w:r>
      <w:r w:rsidRPr="008E0BE8">
        <w:rPr>
          <w:bCs/>
          <w:lang w:val="en-AU"/>
        </w:rPr>
        <w:t>presented in paragraphs 6.39 - 6.45.</w:t>
      </w:r>
    </w:p>
    <w:p w:rsidR="00F11AE3" w:rsidRPr="00C927B9" w:rsidRDefault="00D73386" w:rsidP="00A41A9B">
      <w:pPr>
        <w:pStyle w:val="ExecSumBodyText"/>
        <w:rPr>
          <w:lang w:val="en-AU"/>
        </w:rPr>
      </w:pPr>
      <w:bookmarkStart w:id="50" w:name="_Ref68972309"/>
      <w:r w:rsidRPr="00C927B9">
        <w:rPr>
          <w:lang w:val="en-AU"/>
        </w:rPr>
        <w:t xml:space="preserve">The submission </w:t>
      </w:r>
      <w:r w:rsidR="00914D72" w:rsidRPr="00C927B9">
        <w:rPr>
          <w:lang w:val="en-AU"/>
        </w:rPr>
        <w:t xml:space="preserve">presented partitioned survival analyses comparing venetoclax with azacitidine </w:t>
      </w:r>
      <w:r w:rsidR="00B65110" w:rsidRPr="00C927B9">
        <w:rPr>
          <w:lang w:val="en-AU"/>
        </w:rPr>
        <w:t xml:space="preserve">against the two comparators, resulting in a weighted </w:t>
      </w:r>
      <w:r w:rsidR="00914D72" w:rsidRPr="00C927B9">
        <w:rPr>
          <w:lang w:val="en-AU"/>
        </w:rPr>
        <w:t xml:space="preserve">incremental cost effectiveness ratio (ICER) of </w:t>
      </w:r>
      <w:r w:rsidR="00A41A9B" w:rsidRPr="00A41A9B">
        <w:rPr>
          <w:lang w:val="en-AU"/>
        </w:rPr>
        <w:t xml:space="preserve">$55,000 to &lt; $75,000 </w:t>
      </w:r>
      <w:r w:rsidR="00914D72" w:rsidRPr="00C927B9">
        <w:rPr>
          <w:lang w:val="en-AU"/>
        </w:rPr>
        <w:t xml:space="preserve">per QALY gained (ICER vs azacitidine </w:t>
      </w:r>
      <w:r w:rsidR="00A41A9B" w:rsidRPr="00A41A9B">
        <w:rPr>
          <w:lang w:val="en-AU"/>
        </w:rPr>
        <w:t xml:space="preserve">$55,000 to &lt; $75,000 </w:t>
      </w:r>
      <w:r w:rsidR="00914D72" w:rsidRPr="00C927B9">
        <w:rPr>
          <w:lang w:val="en-AU"/>
        </w:rPr>
        <w:t xml:space="preserve">; ICER vs LoDAC </w:t>
      </w:r>
      <w:r w:rsidR="00A41A9B">
        <w:rPr>
          <w:lang w:val="en-AU"/>
        </w:rPr>
        <w:t>$55,000 to &lt; $75,000</w:t>
      </w:r>
      <w:r w:rsidR="00914D72" w:rsidRPr="00C927B9">
        <w:rPr>
          <w:lang w:val="en-AU"/>
        </w:rPr>
        <w:t xml:space="preserve">; </w:t>
      </w:r>
      <w:r w:rsidR="00914D72" w:rsidRPr="00C927B9">
        <w:rPr>
          <w:bCs/>
          <w:lang w:val="en-AU"/>
        </w:rPr>
        <w:t xml:space="preserve">55.6%/44.4% split respectively). </w:t>
      </w:r>
      <w:r w:rsidR="00B65110" w:rsidRPr="00C927B9">
        <w:rPr>
          <w:bCs/>
          <w:lang w:val="en-AU"/>
        </w:rPr>
        <w:t xml:space="preserve">The PBAC considered that this base case estimate was unreliable </w:t>
      </w:r>
      <w:r w:rsidR="00F11AE3" w:rsidRPr="00C927B9">
        <w:rPr>
          <w:bCs/>
          <w:lang w:val="en-AU"/>
        </w:rPr>
        <w:t xml:space="preserve">due to the issues discussed in </w:t>
      </w:r>
      <w:r w:rsidR="008F667C" w:rsidRPr="008E0BE8">
        <w:rPr>
          <w:lang w:val="en-AU"/>
        </w:rPr>
        <w:t>Table 12</w:t>
      </w:r>
      <w:r w:rsidR="008F667C" w:rsidRPr="00C927B9">
        <w:rPr>
          <w:bCs/>
          <w:lang w:val="en-AU"/>
        </w:rPr>
        <w:t xml:space="preserve"> </w:t>
      </w:r>
      <w:r w:rsidR="00F9007B" w:rsidRPr="00C927B9">
        <w:rPr>
          <w:bCs/>
          <w:lang w:val="en-AU"/>
        </w:rPr>
        <w:t xml:space="preserve">(azacitidine vials per administration, the time horizon and extrapolation), and also </w:t>
      </w:r>
      <w:r w:rsidR="005C6960" w:rsidRPr="00C927B9">
        <w:rPr>
          <w:bCs/>
          <w:lang w:val="en-AU"/>
        </w:rPr>
        <w:t xml:space="preserve">noted the issues with the </w:t>
      </w:r>
      <w:r w:rsidR="00F9007B" w:rsidRPr="00C927B9">
        <w:rPr>
          <w:bCs/>
          <w:lang w:val="en-AU"/>
        </w:rPr>
        <w:t xml:space="preserve">costing and utility inputs discussed in </w:t>
      </w:r>
      <w:r w:rsidR="00F9007B" w:rsidRPr="008E0BE8">
        <w:rPr>
          <w:bCs/>
          <w:lang w:val="en-AU"/>
        </w:rPr>
        <w:t>paragraph 6.59 to 6.64.</w:t>
      </w:r>
      <w:r w:rsidR="00F9007B" w:rsidRPr="00C927B9">
        <w:rPr>
          <w:bCs/>
          <w:lang w:val="en-AU"/>
        </w:rPr>
        <w:t xml:space="preserve"> In addition, the ICER was weighted towards azacitidine, which was not the appropriate main comparator, and the clinical inputs for the LoDAC </w:t>
      </w:r>
      <w:r w:rsidR="00F9007B" w:rsidRPr="008E0BE8">
        <w:rPr>
          <w:bCs/>
          <w:lang w:val="en-AU"/>
        </w:rPr>
        <w:t xml:space="preserve">comparison meant that the </w:t>
      </w:r>
      <w:r w:rsidR="00C87B22" w:rsidRPr="008E0BE8">
        <w:rPr>
          <w:bCs/>
          <w:lang w:val="en-AU"/>
        </w:rPr>
        <w:t>partitioned</w:t>
      </w:r>
      <w:r w:rsidR="00F9007B" w:rsidRPr="008E0BE8">
        <w:rPr>
          <w:bCs/>
          <w:lang w:val="en-AU"/>
        </w:rPr>
        <w:t xml:space="preserve"> survival analysis was inherently uncertain (see paragraph 6.58).</w:t>
      </w:r>
      <w:bookmarkEnd w:id="50"/>
      <w:r w:rsidR="00F9007B" w:rsidRPr="00C927B9">
        <w:rPr>
          <w:bCs/>
          <w:lang w:val="en-AU"/>
        </w:rPr>
        <w:t xml:space="preserve"> </w:t>
      </w:r>
    </w:p>
    <w:p w:rsidR="00C221C4" w:rsidRPr="00C927B9" w:rsidRDefault="00F9007B" w:rsidP="00305FF9">
      <w:pPr>
        <w:pStyle w:val="ExecSumBodyText"/>
        <w:rPr>
          <w:lang w:val="en-AU"/>
        </w:rPr>
      </w:pPr>
      <w:bookmarkStart w:id="51" w:name="_Ref69042395"/>
      <w:r w:rsidRPr="00C927B9">
        <w:rPr>
          <w:lang w:val="en-AU"/>
        </w:rPr>
        <w:t xml:space="preserve">The PBAC noted that the pre-PBAC response provided a revised multivariate sensitivity analysis with extrapolations as per Step 3b in </w:t>
      </w:r>
      <w:r w:rsidR="00372F07" w:rsidRPr="008E0BE8">
        <w:rPr>
          <w:lang w:val="en-AU"/>
        </w:rPr>
        <w:t>Table 16</w:t>
      </w:r>
      <w:r w:rsidRPr="008E0BE8">
        <w:rPr>
          <w:lang w:val="en-AU"/>
        </w:rPr>
        <w:t>, but</w:t>
      </w:r>
      <w:r w:rsidRPr="00C927B9">
        <w:rPr>
          <w:lang w:val="en-AU"/>
        </w:rPr>
        <w:t xml:space="preserve"> assuming an average of 1.9 azacitidine vials per infusion, and a 15-year time horizon, resulting in a weighted ICER of </w:t>
      </w:r>
      <w:r w:rsidR="00A41A9B" w:rsidRPr="00A41A9B">
        <w:rPr>
          <w:lang w:val="en-AU"/>
        </w:rPr>
        <w:t>$75,000 to &lt; $95,000</w:t>
      </w:r>
      <w:r w:rsidR="00A41A9B">
        <w:rPr>
          <w:lang w:val="en-AU"/>
        </w:rPr>
        <w:t xml:space="preserve"> </w:t>
      </w:r>
      <w:r w:rsidRPr="00C927B9">
        <w:rPr>
          <w:lang w:val="en-AU"/>
        </w:rPr>
        <w:t xml:space="preserve">per QALY gained. The PBAC considered that the vial assumption was </w:t>
      </w:r>
      <w:r w:rsidR="00C87B22" w:rsidRPr="00C927B9">
        <w:rPr>
          <w:lang w:val="en-AU"/>
        </w:rPr>
        <w:t>reasonable</w:t>
      </w:r>
      <w:r w:rsidRPr="00C927B9">
        <w:rPr>
          <w:lang w:val="en-AU"/>
        </w:rPr>
        <w:t xml:space="preserve">, </w:t>
      </w:r>
      <w:r w:rsidR="00C221C4" w:rsidRPr="00C927B9">
        <w:rPr>
          <w:lang w:val="en-AU"/>
        </w:rPr>
        <w:t>but that more conservative extrapolations</w:t>
      </w:r>
      <w:r w:rsidR="00C87B22" w:rsidRPr="00C927B9">
        <w:rPr>
          <w:lang w:val="en-AU"/>
        </w:rPr>
        <w:t xml:space="preserve"> (per Step 3a)</w:t>
      </w:r>
      <w:r w:rsidR="00C221C4" w:rsidRPr="00C927B9">
        <w:rPr>
          <w:lang w:val="en-AU"/>
        </w:rPr>
        <w:t xml:space="preserve"> and </w:t>
      </w:r>
      <w:r w:rsidR="00FA6E11" w:rsidRPr="00C927B9">
        <w:rPr>
          <w:lang w:val="en-AU"/>
        </w:rPr>
        <w:t xml:space="preserve">a 10-year </w:t>
      </w:r>
      <w:r w:rsidR="00C221C4" w:rsidRPr="00C927B9">
        <w:rPr>
          <w:lang w:val="en-AU"/>
        </w:rPr>
        <w:t xml:space="preserve">time horizon were </w:t>
      </w:r>
      <w:r w:rsidR="00C87B22" w:rsidRPr="00C927B9">
        <w:rPr>
          <w:lang w:val="en-AU"/>
        </w:rPr>
        <w:t>appropriate</w:t>
      </w:r>
      <w:r w:rsidR="00C221C4" w:rsidRPr="00C927B9">
        <w:rPr>
          <w:lang w:val="en-AU"/>
        </w:rPr>
        <w:t xml:space="preserve"> in view of the inherent uncertainty associated with the ITC versus LoDAC, as well as the other unaddressed issues with the model (</w:t>
      </w:r>
      <w:r w:rsidR="00C87B22" w:rsidRPr="00C927B9">
        <w:rPr>
          <w:lang w:val="en-AU"/>
        </w:rPr>
        <w:t xml:space="preserve">i.e. </w:t>
      </w:r>
      <w:r w:rsidR="00C221C4" w:rsidRPr="00C927B9">
        <w:rPr>
          <w:lang w:val="en-AU"/>
        </w:rPr>
        <w:t>costings and utilities). The PBAC noted that</w:t>
      </w:r>
      <w:r w:rsidR="00FA6E11" w:rsidRPr="00C927B9">
        <w:rPr>
          <w:lang w:val="en-AU"/>
        </w:rPr>
        <w:t xml:space="preserve"> this scenario resulted in </w:t>
      </w:r>
      <w:r w:rsidR="00C221C4" w:rsidRPr="00C927B9">
        <w:rPr>
          <w:lang w:val="en-AU"/>
        </w:rPr>
        <w:t>a</w:t>
      </w:r>
      <w:r w:rsidR="005C6960" w:rsidRPr="00C927B9">
        <w:rPr>
          <w:lang w:val="en-AU"/>
        </w:rPr>
        <w:t>n</w:t>
      </w:r>
      <w:r w:rsidR="00C221C4" w:rsidRPr="00C927B9">
        <w:rPr>
          <w:lang w:val="en-AU"/>
        </w:rPr>
        <w:t xml:space="preserve"> </w:t>
      </w:r>
      <w:r w:rsidR="00C221C4" w:rsidRPr="00C927B9">
        <w:rPr>
          <w:lang w:val="en-AU"/>
        </w:rPr>
        <w:lastRenderedPageBreak/>
        <w:t xml:space="preserve">ICER vs </w:t>
      </w:r>
      <w:r w:rsidR="0062208F" w:rsidRPr="00C927B9">
        <w:rPr>
          <w:lang w:val="en-AU"/>
        </w:rPr>
        <w:t>azacitidine</w:t>
      </w:r>
      <w:r w:rsidR="00C221C4" w:rsidRPr="00C927B9">
        <w:rPr>
          <w:lang w:val="en-AU"/>
        </w:rPr>
        <w:t xml:space="preserve"> </w:t>
      </w:r>
      <w:r w:rsidR="005C6960" w:rsidRPr="00C927B9">
        <w:rPr>
          <w:lang w:val="en-AU"/>
        </w:rPr>
        <w:t xml:space="preserve">of </w:t>
      </w:r>
      <w:r w:rsidR="00A41A9B" w:rsidRPr="00A41A9B">
        <w:rPr>
          <w:lang w:val="en-AU"/>
        </w:rPr>
        <w:t>$75,000 to &lt; $95,000</w:t>
      </w:r>
      <w:r w:rsidR="00A41A9B">
        <w:rPr>
          <w:lang w:val="en-AU"/>
        </w:rPr>
        <w:t xml:space="preserve"> </w:t>
      </w:r>
      <w:r w:rsidR="005C6960" w:rsidRPr="00C927B9">
        <w:rPr>
          <w:lang w:val="en-AU"/>
        </w:rPr>
        <w:t>and an</w:t>
      </w:r>
      <w:r w:rsidR="00C221C4" w:rsidRPr="00C927B9">
        <w:rPr>
          <w:lang w:val="en-AU"/>
        </w:rPr>
        <w:t xml:space="preserve"> ICER vs LoDAC </w:t>
      </w:r>
      <w:r w:rsidR="005C6960" w:rsidRPr="00C927B9">
        <w:rPr>
          <w:lang w:val="en-AU"/>
        </w:rPr>
        <w:t xml:space="preserve">of </w:t>
      </w:r>
      <w:r w:rsidR="00305FF9">
        <w:rPr>
          <w:lang w:val="en-AU"/>
        </w:rPr>
        <w:t>$95,000 to &lt; $115,000</w:t>
      </w:r>
      <w:r w:rsidR="00C221C4" w:rsidRPr="00C927B9">
        <w:rPr>
          <w:lang w:val="en-AU"/>
        </w:rPr>
        <w:t>.</w:t>
      </w:r>
      <w:r w:rsidR="00553753" w:rsidRPr="00C927B9">
        <w:rPr>
          <w:lang w:val="en-AU"/>
        </w:rPr>
        <w:t xml:space="preserve"> The PBAC considered that an ICER of </w:t>
      </w:r>
      <w:r w:rsidR="00EF450A" w:rsidRPr="00C927B9">
        <w:rPr>
          <w:lang w:val="en-AU"/>
        </w:rPr>
        <w:t xml:space="preserve">approximately </w:t>
      </w:r>
      <w:r w:rsidR="00553753" w:rsidRPr="00C927B9">
        <w:rPr>
          <w:lang w:val="en-AU"/>
        </w:rPr>
        <w:t>$</w:t>
      </w:r>
      <w:r w:rsidR="003B7963">
        <w:rPr>
          <w:lang w:val="en-AU"/>
        </w:rPr>
        <w:t xml:space="preserve">60,000 to </w:t>
      </w:r>
      <w:r w:rsidR="00305FF9">
        <w:rPr>
          <w:lang w:val="en-AU"/>
        </w:rPr>
        <w:t>$</w:t>
      </w:r>
      <w:r w:rsidR="00553753" w:rsidRPr="00C927B9">
        <w:rPr>
          <w:lang w:val="en-AU"/>
        </w:rPr>
        <w:t>80,000 per QALY gained would likely be acceptable, and noted that a price reduction for venetoclax would be needed to achieve this ICER.</w:t>
      </w:r>
      <w:bookmarkEnd w:id="51"/>
      <w:r w:rsidR="00553753" w:rsidRPr="00C927B9">
        <w:rPr>
          <w:lang w:val="en-AU"/>
        </w:rPr>
        <w:t xml:space="preserve"> </w:t>
      </w:r>
    </w:p>
    <w:p w:rsidR="003F35BD" w:rsidRPr="00C927B9" w:rsidRDefault="00C64E97" w:rsidP="003F35BD">
      <w:pPr>
        <w:widowControl w:val="0"/>
        <w:numPr>
          <w:ilvl w:val="1"/>
          <w:numId w:val="1"/>
        </w:numPr>
        <w:spacing w:after="120"/>
        <w:rPr>
          <w:lang w:val="en-AU"/>
        </w:rPr>
      </w:pPr>
      <w:r w:rsidRPr="00C927B9">
        <w:rPr>
          <w:lang w:val="en-AU"/>
        </w:rPr>
        <w:t>In terms</w:t>
      </w:r>
      <w:r w:rsidR="004A56D9" w:rsidRPr="00C927B9">
        <w:rPr>
          <w:lang w:val="en-AU"/>
        </w:rPr>
        <w:t xml:space="preserve"> of the estimated </w:t>
      </w:r>
      <w:r w:rsidRPr="00C927B9">
        <w:rPr>
          <w:lang w:val="en-AU"/>
        </w:rPr>
        <w:t xml:space="preserve">PBS usage and financial implications, the </w:t>
      </w:r>
      <w:r w:rsidR="0044094B" w:rsidRPr="00C927B9">
        <w:rPr>
          <w:lang w:val="en-AU"/>
        </w:rPr>
        <w:t>PBAC</w:t>
      </w:r>
      <w:r w:rsidR="005C6960" w:rsidRPr="00C927B9">
        <w:rPr>
          <w:lang w:val="en-AU"/>
        </w:rPr>
        <w:t xml:space="preserve"> agreed with DUSC that the number of vials of </w:t>
      </w:r>
      <w:r w:rsidR="00BA5A5E" w:rsidRPr="00C927B9">
        <w:rPr>
          <w:lang w:val="en-AU"/>
        </w:rPr>
        <w:t>azacitidine</w:t>
      </w:r>
      <w:r w:rsidR="005C6960" w:rsidRPr="00C927B9">
        <w:rPr>
          <w:lang w:val="en-AU"/>
        </w:rPr>
        <w:t xml:space="preserve"> had been underestimated and the proportion of patients unfit for standard intensive regimens had been overestimated.</w:t>
      </w:r>
      <w:r w:rsidR="0044094B" w:rsidRPr="00C927B9">
        <w:rPr>
          <w:lang w:val="en-AU"/>
        </w:rPr>
        <w:t xml:space="preserve"> </w:t>
      </w:r>
      <w:r w:rsidR="00E267EE" w:rsidRPr="00C927B9">
        <w:rPr>
          <w:lang w:val="en-AU"/>
        </w:rPr>
        <w:t>T</w:t>
      </w:r>
      <w:r w:rsidR="003F35BD" w:rsidRPr="00C927B9">
        <w:rPr>
          <w:lang w:val="en-AU"/>
        </w:rPr>
        <w:t xml:space="preserve">he PBAC agreed with both the DUSC and ESC that uptake would depend on how clinicians view the efficacy and safety of venetoclax with </w:t>
      </w:r>
      <w:r w:rsidR="008D38F8" w:rsidRPr="00C927B9">
        <w:rPr>
          <w:lang w:val="en-AU"/>
        </w:rPr>
        <w:t>azacitidine,</w:t>
      </w:r>
      <w:r w:rsidR="003F35BD" w:rsidRPr="00C927B9">
        <w:rPr>
          <w:lang w:val="en-AU"/>
        </w:rPr>
        <w:t xml:space="preserve"> as there is no consensus on criteria for unfitness for standard intensive remission induction chemotherapy in clinical guidelines </w:t>
      </w:r>
      <w:r w:rsidR="00B53F82" w:rsidRPr="00C927B9">
        <w:rPr>
          <w:lang w:val="en-AU"/>
        </w:rPr>
        <w:t>or the</w:t>
      </w:r>
      <w:r w:rsidR="003F35BD" w:rsidRPr="00C927B9">
        <w:rPr>
          <w:lang w:val="en-AU"/>
        </w:rPr>
        <w:t xml:space="preserve"> literature. The PBAC considered that patients whose eligibility for a curative regimen was currently “borderline” would likely seek treatment with venetoclax once listed on the PBS. </w:t>
      </w:r>
      <w:r w:rsidR="00E043E9" w:rsidRPr="00C927B9">
        <w:rPr>
          <w:lang w:val="en-AU"/>
        </w:rPr>
        <w:t xml:space="preserve">The PBAC considered that a Risk Sharing Arrangement would be necessary to manage the risk </w:t>
      </w:r>
      <w:r w:rsidR="00E267EE" w:rsidRPr="00C927B9">
        <w:rPr>
          <w:lang w:val="en-AU"/>
        </w:rPr>
        <w:t xml:space="preserve">of </w:t>
      </w:r>
      <w:r w:rsidR="00E043E9" w:rsidRPr="00C927B9">
        <w:rPr>
          <w:lang w:val="en-AU"/>
        </w:rPr>
        <w:t xml:space="preserve">uptake </w:t>
      </w:r>
      <w:r w:rsidR="00E267EE" w:rsidRPr="00C927B9">
        <w:rPr>
          <w:lang w:val="en-AU"/>
        </w:rPr>
        <w:t>in these patients in which cost-effectiveness has not been established</w:t>
      </w:r>
      <w:r w:rsidR="00E043E9" w:rsidRPr="00C927B9">
        <w:rPr>
          <w:lang w:val="en-AU"/>
        </w:rPr>
        <w:t xml:space="preserve">. </w:t>
      </w:r>
    </w:p>
    <w:p w:rsidR="00BA6BA4" w:rsidRPr="00C927B9" w:rsidRDefault="00A80541" w:rsidP="00BA6BA4">
      <w:pPr>
        <w:widowControl w:val="0"/>
        <w:numPr>
          <w:ilvl w:val="1"/>
          <w:numId w:val="1"/>
        </w:numPr>
        <w:spacing w:after="120"/>
        <w:rPr>
          <w:rFonts w:asciiTheme="minorHAnsi" w:hAnsiTheme="minorHAnsi"/>
          <w:bCs/>
          <w:snapToGrid w:val="0"/>
          <w:lang w:val="en-AU"/>
        </w:rPr>
      </w:pPr>
      <w:r w:rsidRPr="00C927B9">
        <w:rPr>
          <w:rFonts w:asciiTheme="minorHAnsi" w:hAnsiTheme="minorHAnsi"/>
          <w:bCs/>
          <w:snapToGrid w:val="0"/>
          <w:lang w:val="en-AU"/>
        </w:rPr>
        <w:t>The PBAC considered the outstanding issues may be addresse</w:t>
      </w:r>
      <w:r w:rsidR="00723ED2" w:rsidRPr="00C927B9">
        <w:rPr>
          <w:rFonts w:asciiTheme="minorHAnsi" w:hAnsiTheme="minorHAnsi"/>
          <w:bCs/>
          <w:snapToGrid w:val="0"/>
          <w:lang w:val="en-AU"/>
        </w:rPr>
        <w:t>d in a simple resubmission for venetoclax</w:t>
      </w:r>
      <w:r w:rsidRPr="00C927B9">
        <w:rPr>
          <w:rFonts w:asciiTheme="minorHAnsi" w:hAnsiTheme="minorHAnsi"/>
          <w:bCs/>
          <w:snapToGrid w:val="0"/>
          <w:lang w:val="en-AU"/>
        </w:rPr>
        <w:t xml:space="preserve"> if the following changes were made, without any additional amendments to the economic evaluation or financial implications: </w:t>
      </w:r>
    </w:p>
    <w:p w:rsidR="00E267EE" w:rsidRPr="00C927B9" w:rsidRDefault="00AC1FD5" w:rsidP="00BA6BA4">
      <w:pPr>
        <w:pStyle w:val="ExecSumBodyText"/>
        <w:numPr>
          <w:ilvl w:val="1"/>
          <w:numId w:val="14"/>
        </w:numPr>
        <w:ind w:left="1077" w:hanging="357"/>
        <w:rPr>
          <w:bCs/>
          <w:lang w:val="en-AU"/>
        </w:rPr>
      </w:pPr>
      <w:r w:rsidRPr="00C927B9">
        <w:rPr>
          <w:bCs/>
          <w:lang w:val="en-AU"/>
        </w:rPr>
        <w:t xml:space="preserve">A price reduction such that economic model resulted in an </w:t>
      </w:r>
      <w:r w:rsidR="00E267EE" w:rsidRPr="00C927B9">
        <w:rPr>
          <w:bCs/>
          <w:lang w:val="en-AU"/>
        </w:rPr>
        <w:t xml:space="preserve">ICER of </w:t>
      </w:r>
      <w:r w:rsidRPr="00C927B9">
        <w:rPr>
          <w:bCs/>
          <w:lang w:val="en-AU"/>
        </w:rPr>
        <w:t>approximately</w:t>
      </w:r>
      <w:r w:rsidR="00A41A9B">
        <w:rPr>
          <w:bCs/>
          <w:lang w:val="en-AU"/>
        </w:rPr>
        <w:t xml:space="preserve">  </w:t>
      </w:r>
      <w:r w:rsidRPr="00C927B9">
        <w:rPr>
          <w:bCs/>
          <w:lang w:val="en-AU"/>
        </w:rPr>
        <w:t xml:space="preserve"> </w:t>
      </w:r>
      <w:r w:rsidR="00A41A9B">
        <w:rPr>
          <w:bCs/>
          <w:lang w:val="en-AU"/>
        </w:rPr>
        <w:t>$75,000 to &lt;$95,000</w:t>
      </w:r>
      <w:r w:rsidR="00E267EE" w:rsidRPr="00C927B9">
        <w:rPr>
          <w:bCs/>
          <w:lang w:val="en-AU"/>
        </w:rPr>
        <w:t xml:space="preserve"> for</w:t>
      </w:r>
      <w:r w:rsidRPr="00C927B9">
        <w:rPr>
          <w:bCs/>
          <w:lang w:val="en-AU"/>
        </w:rPr>
        <w:t xml:space="preserve"> the</w:t>
      </w:r>
      <w:r w:rsidR="00E267EE" w:rsidRPr="00C927B9">
        <w:rPr>
          <w:bCs/>
          <w:lang w:val="en-AU"/>
        </w:rPr>
        <w:t xml:space="preserve"> scenario </w:t>
      </w:r>
      <w:r w:rsidRPr="00C927B9">
        <w:rPr>
          <w:bCs/>
          <w:lang w:val="en-AU"/>
        </w:rPr>
        <w:t xml:space="preserve">described </w:t>
      </w:r>
      <w:r w:rsidR="00E267EE" w:rsidRPr="00784685">
        <w:rPr>
          <w:bCs/>
          <w:lang w:val="en-AU"/>
        </w:rPr>
        <w:t>in para</w:t>
      </w:r>
      <w:r w:rsidRPr="00784685">
        <w:rPr>
          <w:bCs/>
          <w:lang w:val="en-AU"/>
        </w:rPr>
        <w:t>graph</w:t>
      </w:r>
      <w:r w:rsidR="00E267EE" w:rsidRPr="00784685">
        <w:rPr>
          <w:bCs/>
          <w:lang w:val="en-AU"/>
        </w:rPr>
        <w:t xml:space="preserve"> </w:t>
      </w:r>
      <w:r w:rsidR="00784685" w:rsidRPr="00784685">
        <w:rPr>
          <w:bCs/>
          <w:lang w:val="en-AU"/>
        </w:rPr>
        <w:t>7.11</w:t>
      </w:r>
      <w:r w:rsidRPr="00784685">
        <w:rPr>
          <w:bCs/>
          <w:lang w:val="en-AU"/>
        </w:rPr>
        <w:t xml:space="preserve"> (that</w:t>
      </w:r>
      <w:r w:rsidRPr="00C927B9">
        <w:rPr>
          <w:bCs/>
          <w:lang w:val="en-AU"/>
        </w:rPr>
        <w:t xml:space="preserve"> is, </w:t>
      </w:r>
      <w:r w:rsidR="003966B0" w:rsidRPr="00C927B9">
        <w:rPr>
          <w:bCs/>
          <w:lang w:val="en-AU"/>
        </w:rPr>
        <w:t>an average of 1.9 </w:t>
      </w:r>
      <w:r w:rsidRPr="00C927B9">
        <w:rPr>
          <w:bCs/>
          <w:lang w:val="en-AU"/>
        </w:rPr>
        <w:t xml:space="preserve">azacitidine vials per infusion, extrapolations as per Step 3a of </w:t>
      </w:r>
      <w:r w:rsidRPr="00C927B9">
        <w:rPr>
          <w:lang w:val="en-AU"/>
        </w:rPr>
        <w:t>Table 16</w:t>
      </w:r>
      <w:r w:rsidRPr="00C927B9">
        <w:rPr>
          <w:bCs/>
          <w:lang w:val="en-AU"/>
        </w:rPr>
        <w:t>, and a 10-year time horizon)</w:t>
      </w:r>
      <w:r w:rsidR="00981AD7" w:rsidRPr="00C927B9">
        <w:rPr>
          <w:bCs/>
          <w:lang w:val="en-AU"/>
        </w:rPr>
        <w:t>, with the ICER weighted towards the LoDAC comparison</w:t>
      </w:r>
      <w:r w:rsidRPr="00C927B9">
        <w:rPr>
          <w:bCs/>
          <w:lang w:val="en-AU"/>
        </w:rPr>
        <w:t>.</w:t>
      </w:r>
    </w:p>
    <w:p w:rsidR="00E267EE" w:rsidRPr="00FD5113" w:rsidRDefault="00E267EE" w:rsidP="00FD5113">
      <w:pPr>
        <w:pStyle w:val="ExecSumBodyText"/>
        <w:numPr>
          <w:ilvl w:val="1"/>
          <w:numId w:val="14"/>
        </w:numPr>
        <w:ind w:left="1077" w:hanging="357"/>
        <w:rPr>
          <w:bCs/>
          <w:lang w:val="en-AU"/>
        </w:rPr>
      </w:pPr>
      <w:r w:rsidRPr="00C927B9">
        <w:rPr>
          <w:bCs/>
          <w:lang w:val="en-AU"/>
        </w:rPr>
        <w:t>Revision</w:t>
      </w:r>
      <w:r w:rsidR="00AC1FD5" w:rsidRPr="00C927B9">
        <w:rPr>
          <w:bCs/>
          <w:lang w:val="en-AU"/>
        </w:rPr>
        <w:t>s</w:t>
      </w:r>
      <w:r w:rsidRPr="00C927B9">
        <w:rPr>
          <w:bCs/>
          <w:lang w:val="en-AU"/>
        </w:rPr>
        <w:t xml:space="preserve"> to </w:t>
      </w:r>
      <w:r w:rsidR="00AC1FD5" w:rsidRPr="00C927B9">
        <w:rPr>
          <w:bCs/>
          <w:lang w:val="en-AU"/>
        </w:rPr>
        <w:t>the es</w:t>
      </w:r>
      <w:r w:rsidR="00AC1FD5" w:rsidRPr="00FD5113">
        <w:rPr>
          <w:bCs/>
          <w:lang w:val="en-AU"/>
        </w:rPr>
        <w:t xml:space="preserve">timated </w:t>
      </w:r>
      <w:r w:rsidRPr="00FD5113">
        <w:rPr>
          <w:bCs/>
          <w:lang w:val="en-AU"/>
        </w:rPr>
        <w:t>financial</w:t>
      </w:r>
      <w:r w:rsidR="00AC1FD5" w:rsidRPr="00FD5113">
        <w:rPr>
          <w:bCs/>
          <w:lang w:val="en-AU"/>
        </w:rPr>
        <w:t xml:space="preserve"> implication</w:t>
      </w:r>
      <w:r w:rsidRPr="00FD5113">
        <w:rPr>
          <w:bCs/>
          <w:lang w:val="en-AU"/>
        </w:rPr>
        <w:t>s</w:t>
      </w:r>
      <w:r w:rsidR="00AC1FD5" w:rsidRPr="00FD5113">
        <w:rPr>
          <w:bCs/>
          <w:lang w:val="en-AU"/>
        </w:rPr>
        <w:t xml:space="preserve">: applying the </w:t>
      </w:r>
      <w:r w:rsidRPr="00FD5113">
        <w:rPr>
          <w:bCs/>
          <w:lang w:val="en-AU"/>
        </w:rPr>
        <w:t>lower price</w:t>
      </w:r>
      <w:r w:rsidR="00AC1FD5" w:rsidRPr="00FD5113">
        <w:rPr>
          <w:bCs/>
          <w:lang w:val="en-AU"/>
        </w:rPr>
        <w:t xml:space="preserve"> noted in the point above</w:t>
      </w:r>
      <w:r w:rsidR="00981AD7" w:rsidRPr="00FD5113">
        <w:rPr>
          <w:bCs/>
          <w:lang w:val="en-AU"/>
        </w:rPr>
        <w:t>; amending</w:t>
      </w:r>
      <w:r w:rsidR="00AC1FD5" w:rsidRPr="00FD5113">
        <w:rPr>
          <w:bCs/>
          <w:lang w:val="en-AU"/>
        </w:rPr>
        <w:t xml:space="preserve"> the dose intensity of azacitidine</w:t>
      </w:r>
      <w:r w:rsidR="005D53F8" w:rsidRPr="00FD5113">
        <w:rPr>
          <w:bCs/>
          <w:lang w:val="en-AU"/>
        </w:rPr>
        <w:t xml:space="preserve"> when used in combination with venetoclax</w:t>
      </w:r>
      <w:r w:rsidR="00AC1FD5" w:rsidRPr="00FD5113">
        <w:rPr>
          <w:bCs/>
          <w:lang w:val="en-AU"/>
        </w:rPr>
        <w:t xml:space="preserve"> </w:t>
      </w:r>
      <w:r w:rsidR="00981AD7" w:rsidRPr="00FD5113">
        <w:rPr>
          <w:bCs/>
          <w:lang w:val="en-AU"/>
        </w:rPr>
        <w:t xml:space="preserve">to </w:t>
      </w:r>
      <w:r w:rsidR="00967974" w:rsidRPr="00FD5113">
        <w:rPr>
          <w:bCs/>
          <w:lang w:val="en-AU"/>
        </w:rPr>
        <w:t>reflect M15-656</w:t>
      </w:r>
      <w:r w:rsidR="00355AE0" w:rsidRPr="00FD5113">
        <w:rPr>
          <w:bCs/>
          <w:lang w:val="en-AU"/>
        </w:rPr>
        <w:t xml:space="preserve"> evidence</w:t>
      </w:r>
      <w:r w:rsidR="00981AD7" w:rsidRPr="00FD5113">
        <w:rPr>
          <w:bCs/>
          <w:lang w:val="en-AU"/>
        </w:rPr>
        <w:t>; and</w:t>
      </w:r>
      <w:r w:rsidR="005D53F8" w:rsidRPr="00FD5113">
        <w:rPr>
          <w:bCs/>
          <w:lang w:val="en-AU"/>
        </w:rPr>
        <w:t xml:space="preserve"> reducing the</w:t>
      </w:r>
      <w:r w:rsidRPr="00FD5113">
        <w:rPr>
          <w:bCs/>
          <w:lang w:val="en-AU"/>
        </w:rPr>
        <w:t xml:space="preserve"> estimate of </w:t>
      </w:r>
      <w:r w:rsidR="005D53F8" w:rsidRPr="00FD5113">
        <w:rPr>
          <w:bCs/>
          <w:lang w:val="en-AU"/>
        </w:rPr>
        <w:t xml:space="preserve">the </w:t>
      </w:r>
      <w:r w:rsidRPr="00FD5113">
        <w:rPr>
          <w:bCs/>
          <w:lang w:val="en-AU"/>
        </w:rPr>
        <w:t xml:space="preserve">proportion </w:t>
      </w:r>
      <w:r w:rsidR="005D53F8" w:rsidRPr="00FD5113">
        <w:rPr>
          <w:bCs/>
          <w:lang w:val="en-AU"/>
        </w:rPr>
        <w:t xml:space="preserve">of patients </w:t>
      </w:r>
      <w:r w:rsidRPr="00FD5113">
        <w:rPr>
          <w:bCs/>
          <w:lang w:val="en-AU"/>
        </w:rPr>
        <w:t>unfit for intensive regimens</w:t>
      </w:r>
      <w:r w:rsidR="005D53F8" w:rsidRPr="00FD5113">
        <w:rPr>
          <w:bCs/>
          <w:lang w:val="en-AU"/>
        </w:rPr>
        <w:t xml:space="preserve"> who receive treatment for venetoclax (from 80% in the submission)</w:t>
      </w:r>
      <w:r w:rsidR="00981AD7" w:rsidRPr="00FD5113">
        <w:rPr>
          <w:bCs/>
          <w:lang w:val="en-AU"/>
        </w:rPr>
        <w:t>.</w:t>
      </w:r>
    </w:p>
    <w:p w:rsidR="00E267EE" w:rsidRPr="00C927B9" w:rsidRDefault="00190350" w:rsidP="00BA6BA4">
      <w:pPr>
        <w:pStyle w:val="ExecSumBodyText"/>
        <w:numPr>
          <w:ilvl w:val="1"/>
          <w:numId w:val="14"/>
        </w:numPr>
        <w:ind w:left="1077" w:hanging="357"/>
        <w:rPr>
          <w:bCs/>
          <w:lang w:val="en-AU"/>
        </w:rPr>
      </w:pPr>
      <w:r w:rsidRPr="00C927B9">
        <w:rPr>
          <w:bCs/>
          <w:lang w:val="en-AU"/>
        </w:rPr>
        <w:t>Outline</w:t>
      </w:r>
      <w:r w:rsidR="005D53F8" w:rsidRPr="00C927B9">
        <w:rPr>
          <w:bCs/>
          <w:lang w:val="en-AU"/>
        </w:rPr>
        <w:t xml:space="preserve"> an </w:t>
      </w:r>
      <w:r w:rsidR="00E267EE" w:rsidRPr="00C927B9">
        <w:rPr>
          <w:bCs/>
          <w:lang w:val="en-AU"/>
        </w:rPr>
        <w:t xml:space="preserve">RSA to manage risk of use in patients previously considered </w:t>
      </w:r>
      <w:r w:rsidR="005D53F8" w:rsidRPr="00C927B9">
        <w:rPr>
          <w:bCs/>
          <w:lang w:val="en-AU"/>
        </w:rPr>
        <w:t>fit</w:t>
      </w:r>
      <w:r w:rsidR="00E267EE" w:rsidRPr="00C927B9">
        <w:rPr>
          <w:bCs/>
          <w:lang w:val="en-AU"/>
        </w:rPr>
        <w:t xml:space="preserve"> for</w:t>
      </w:r>
      <w:r w:rsidR="005D53F8" w:rsidRPr="00C927B9">
        <w:rPr>
          <w:bCs/>
          <w:lang w:val="en-AU"/>
        </w:rPr>
        <w:t xml:space="preserve"> standard</w:t>
      </w:r>
      <w:r w:rsidR="00E267EE" w:rsidRPr="00C927B9">
        <w:rPr>
          <w:bCs/>
          <w:lang w:val="en-AU"/>
        </w:rPr>
        <w:t xml:space="preserve"> intensive </w:t>
      </w:r>
      <w:r w:rsidR="005D53F8" w:rsidRPr="00C927B9">
        <w:rPr>
          <w:bCs/>
          <w:lang w:val="en-AU"/>
        </w:rPr>
        <w:t xml:space="preserve">remission reduction </w:t>
      </w:r>
      <w:r w:rsidR="00E267EE" w:rsidRPr="00C927B9">
        <w:rPr>
          <w:bCs/>
          <w:lang w:val="en-AU"/>
        </w:rPr>
        <w:t>regimen</w:t>
      </w:r>
      <w:r w:rsidR="005D53F8" w:rsidRPr="00C927B9">
        <w:rPr>
          <w:bCs/>
          <w:lang w:val="en-AU"/>
        </w:rPr>
        <w:t>s.</w:t>
      </w:r>
    </w:p>
    <w:p w:rsidR="00A80541" w:rsidRPr="00C927B9" w:rsidRDefault="00A80541" w:rsidP="00C57730">
      <w:pPr>
        <w:widowControl w:val="0"/>
        <w:numPr>
          <w:ilvl w:val="1"/>
          <w:numId w:val="1"/>
        </w:numPr>
        <w:spacing w:after="120"/>
        <w:rPr>
          <w:rFonts w:asciiTheme="minorHAnsi" w:hAnsiTheme="minorHAnsi"/>
          <w:bCs/>
          <w:snapToGrid w:val="0"/>
          <w:lang w:val="en-AU"/>
        </w:rPr>
      </w:pPr>
      <w:r w:rsidRPr="00C927B9">
        <w:rPr>
          <w:rFonts w:asciiTheme="minorHAnsi" w:hAnsiTheme="minorHAnsi"/>
          <w:bCs/>
          <w:snapToGrid w:val="0"/>
          <w:lang w:val="en-AU"/>
        </w:rPr>
        <w:t>The PBAC considered an early re-entry pathway would be acceptable if the resubmission addressed each of the points in the above paragraph with no further adjustment. The resubmission must be lodged by week 7 of the current PBAC cycle or at the standard due date for PBAC submissions for the next cycle. If any of these terms are not acceptable to the sponsor, a standard re-entry pathway is available.</w:t>
      </w:r>
    </w:p>
    <w:p w:rsidR="00A80541" w:rsidRPr="00C927B9" w:rsidRDefault="00A80541" w:rsidP="00C01F29">
      <w:pPr>
        <w:widowControl w:val="0"/>
        <w:numPr>
          <w:ilvl w:val="1"/>
          <w:numId w:val="1"/>
        </w:numPr>
        <w:spacing w:after="120"/>
        <w:rPr>
          <w:rFonts w:asciiTheme="minorHAnsi" w:hAnsiTheme="minorHAnsi"/>
          <w:bCs/>
          <w:i/>
          <w:snapToGrid w:val="0"/>
          <w:lang w:val="en-AU"/>
        </w:rPr>
      </w:pPr>
      <w:r w:rsidRPr="00C927B9">
        <w:rPr>
          <w:rFonts w:asciiTheme="minorHAnsi" w:hAnsiTheme="minorHAnsi"/>
          <w:bCs/>
          <w:snapToGrid w:val="0"/>
          <w:lang w:val="en-AU"/>
        </w:rPr>
        <w:t xml:space="preserve">The PBAC noted that this submission is eligible for an Independent Review. </w:t>
      </w:r>
    </w:p>
    <w:p w:rsidR="00A80541" w:rsidRPr="00C927B9" w:rsidRDefault="00A80541" w:rsidP="00A80541">
      <w:pPr>
        <w:spacing w:before="240"/>
        <w:rPr>
          <w:rFonts w:asciiTheme="minorHAnsi" w:hAnsiTheme="minorHAnsi"/>
          <w:b/>
          <w:bCs/>
          <w:snapToGrid w:val="0"/>
          <w:lang w:val="en-AU"/>
        </w:rPr>
      </w:pPr>
      <w:r w:rsidRPr="00C927B9">
        <w:rPr>
          <w:rFonts w:asciiTheme="minorHAnsi" w:hAnsiTheme="minorHAnsi"/>
          <w:b/>
          <w:bCs/>
          <w:snapToGrid w:val="0"/>
          <w:lang w:val="en-AU"/>
        </w:rPr>
        <w:t>Outcome:</w:t>
      </w:r>
    </w:p>
    <w:p w:rsidR="00A80541" w:rsidRPr="00C927B9" w:rsidRDefault="00A80541" w:rsidP="00A80541">
      <w:pPr>
        <w:rPr>
          <w:rFonts w:asciiTheme="minorHAnsi" w:hAnsiTheme="minorHAnsi"/>
          <w:bCs/>
          <w:snapToGrid w:val="0"/>
          <w:lang w:val="en-AU"/>
        </w:rPr>
      </w:pPr>
      <w:r w:rsidRPr="00C927B9">
        <w:rPr>
          <w:rFonts w:asciiTheme="minorHAnsi" w:hAnsiTheme="minorHAnsi"/>
          <w:bCs/>
          <w:snapToGrid w:val="0"/>
          <w:lang w:val="en-AU"/>
        </w:rPr>
        <w:t>Rejected</w:t>
      </w:r>
    </w:p>
    <w:p w:rsidR="00A80541" w:rsidRDefault="00A80541" w:rsidP="00A80541">
      <w:pPr>
        <w:widowControl w:val="0"/>
        <w:rPr>
          <w:rFonts w:asciiTheme="minorHAnsi" w:hAnsiTheme="minorHAnsi"/>
          <w:b/>
          <w:bCs/>
          <w:snapToGrid w:val="0"/>
          <w:lang w:val="en-AU"/>
        </w:rPr>
      </w:pPr>
    </w:p>
    <w:p w:rsidR="00D97D9B" w:rsidRPr="00D97D9B" w:rsidRDefault="00D97D9B" w:rsidP="00D97D9B">
      <w:pPr>
        <w:pStyle w:val="2-SectionHeading"/>
        <w:numPr>
          <w:ilvl w:val="0"/>
          <w:numId w:val="1"/>
        </w:numPr>
      </w:pPr>
      <w:r w:rsidRPr="00C07617">
        <w:lastRenderedPageBreak/>
        <w:t>Context for Decision</w:t>
      </w:r>
    </w:p>
    <w:p w:rsidR="00D97D9B" w:rsidRPr="007129F2" w:rsidRDefault="00D97D9B" w:rsidP="004F2A12">
      <w:pPr>
        <w:spacing w:after="120"/>
        <w:ind w:left="720"/>
        <w:rPr>
          <w:rFonts w:asciiTheme="minorHAnsi" w:hAnsiTheme="minorHAnsi"/>
          <w:bCs/>
        </w:rPr>
      </w:pPr>
      <w:r w:rsidRPr="007129F2">
        <w:rPr>
          <w:rFonts w:asciiTheme="minorHAnsi" w:hAnsiTheme="minorHAnsi"/>
          <w:bC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D97D9B" w:rsidRPr="00D97D9B" w:rsidRDefault="00D97D9B" w:rsidP="00D97D9B">
      <w:pPr>
        <w:pStyle w:val="2-SectionHeading"/>
        <w:numPr>
          <w:ilvl w:val="0"/>
          <w:numId w:val="1"/>
        </w:numPr>
      </w:pPr>
      <w:r>
        <w:t>Sponsor’s Comment</w:t>
      </w:r>
    </w:p>
    <w:p w:rsidR="00D97D9B" w:rsidRPr="00C927B9" w:rsidRDefault="00A901C2" w:rsidP="004F2A12">
      <w:pPr>
        <w:widowControl w:val="0"/>
        <w:ind w:left="720"/>
        <w:rPr>
          <w:rFonts w:asciiTheme="minorHAnsi" w:hAnsiTheme="minorHAnsi"/>
          <w:b/>
          <w:bCs/>
          <w:snapToGrid w:val="0"/>
          <w:lang w:val="en-AU"/>
        </w:rPr>
      </w:pPr>
      <w:r w:rsidRPr="00A901C2">
        <w:rPr>
          <w:rFonts w:asciiTheme="minorHAnsi" w:hAnsiTheme="minorHAnsi"/>
          <w:bCs/>
        </w:rPr>
        <w:t>AbbVie welcomes the PBAC’s acknowledgement that venetoclax + azacitidine provides a meaningful clinical improvement for patients with AML. AbbVie will continue to work collaboratively with the PBAC to seek access for patients in this area of high unmet need</w:t>
      </w:r>
      <w:bookmarkEnd w:id="48"/>
    </w:p>
    <w:sectPr w:rsidR="00D97D9B" w:rsidRPr="00C927B9" w:rsidSect="00251006">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CA98" w16cex:dateUtc="2021-04-15T06:22:00Z"/>
  <w16cex:commentExtensible w16cex:durableId="2422CBC7" w16cex:dateUtc="2021-04-15T06:27:00Z"/>
  <w16cex:commentExtensible w16cex:durableId="2422CCB2" w16cex:dateUtc="2021-04-15T06:31:00Z"/>
  <w16cex:commentExtensible w16cex:durableId="2422CD8E" w16cex:dateUtc="2021-04-15T06:34:00Z"/>
  <w16cex:commentExtensible w16cex:durableId="2422CE2C" w16cex:dateUtc="2021-04-15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5A7783" w16cid:durableId="2422CA8B"/>
  <w16cid:commentId w16cid:paraId="09AABD07" w16cid:durableId="2422CA98"/>
  <w16cid:commentId w16cid:paraId="2F5D93DC" w16cid:durableId="2422CA8C"/>
  <w16cid:commentId w16cid:paraId="421228C9" w16cid:durableId="2422CBC7"/>
  <w16cid:commentId w16cid:paraId="07C2F7FD" w16cid:durableId="2422CA8D"/>
  <w16cid:commentId w16cid:paraId="706A6A6F" w16cid:durableId="2422CA8E"/>
  <w16cid:commentId w16cid:paraId="635B935C" w16cid:durableId="2422CCB2"/>
  <w16cid:commentId w16cid:paraId="3CF0CC68" w16cid:durableId="2422CD8E"/>
  <w16cid:commentId w16cid:paraId="2B0BF38E" w16cid:durableId="2422CA8F"/>
  <w16cid:commentId w16cid:paraId="5D4F8DEE" w16cid:durableId="2422CE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48A" w:rsidRDefault="00D3348A" w:rsidP="00124A51">
      <w:r>
        <w:separator/>
      </w:r>
    </w:p>
    <w:p w:rsidR="00D3348A" w:rsidRDefault="00D3348A"/>
  </w:endnote>
  <w:endnote w:type="continuationSeparator" w:id="0">
    <w:p w:rsidR="00D3348A" w:rsidRDefault="00D3348A" w:rsidP="00124A51">
      <w:r>
        <w:continuationSeparator/>
      </w:r>
    </w:p>
    <w:p w:rsidR="00D3348A" w:rsidRDefault="00D33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ތ"/>
    <w:panose1 w:val="02020603050405020304"/>
    <w:charset w:val="00"/>
    <w:family w:val="roman"/>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8A" w:rsidRDefault="00D33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8A" w:rsidRDefault="00D3348A" w:rsidP="00ED4A4C">
    <w:pPr>
      <w:ind w:right="360"/>
      <w:jc w:val="center"/>
    </w:pPr>
  </w:p>
  <w:p w:rsidR="00D3348A" w:rsidRPr="00F90A91" w:rsidRDefault="00D3348A" w:rsidP="00362431">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0146B9">
      <w:rPr>
        <w:b/>
        <w:noProof/>
      </w:rPr>
      <w:t>34</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8A" w:rsidRDefault="00D33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48A" w:rsidRDefault="00D3348A" w:rsidP="00124A51">
      <w:r>
        <w:separator/>
      </w:r>
    </w:p>
    <w:p w:rsidR="00D3348A" w:rsidRDefault="00D3348A"/>
  </w:footnote>
  <w:footnote w:type="continuationSeparator" w:id="0">
    <w:p w:rsidR="00D3348A" w:rsidRDefault="00D3348A" w:rsidP="00124A51">
      <w:r>
        <w:continuationSeparator/>
      </w:r>
    </w:p>
    <w:p w:rsidR="00D3348A" w:rsidRDefault="00D334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8A" w:rsidRDefault="00D33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8A" w:rsidRPr="00056684" w:rsidRDefault="00D3348A" w:rsidP="00362431">
    <w:pPr>
      <w:pStyle w:val="Header"/>
      <w:keepNext/>
      <w:ind w:left="360"/>
      <w:jc w:val="center"/>
      <w:rPr>
        <w:rFonts w:asciiTheme="minorHAnsi" w:hAnsiTheme="minorHAnsi"/>
        <w:i/>
        <w:color w:val="808080"/>
      </w:rPr>
    </w:pPr>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March 2021</w:t>
    </w:r>
    <w:r w:rsidRPr="00056684">
      <w:rPr>
        <w:rFonts w:asciiTheme="minorHAnsi" w:hAnsiTheme="minorHAnsi"/>
        <w:i/>
        <w:color w:val="808080"/>
      </w:rPr>
      <w:t xml:space="preserve"> PBAC Meeting</w:t>
    </w:r>
  </w:p>
  <w:p w:rsidR="00D3348A" w:rsidRDefault="00D3348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8A" w:rsidRDefault="00D33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17A23"/>
    <w:multiLevelType w:val="multilevel"/>
    <w:tmpl w:val="A0F2FCE8"/>
    <w:lvl w:ilvl="0">
      <w:start w:val="1"/>
      <w:numFmt w:val="bullet"/>
      <w:lvlText w:val=""/>
      <w:lvlJc w:val="left"/>
      <w:pPr>
        <w:ind w:left="720" w:hanging="720"/>
      </w:pPr>
      <w:rPr>
        <w:rFonts w:ascii="Symbol" w:hAnsi="Symbol"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793E74"/>
    <w:multiLevelType w:val="multilevel"/>
    <w:tmpl w:val="5D34F2F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7E739F"/>
    <w:multiLevelType w:val="multilevel"/>
    <w:tmpl w:val="C57E1CF8"/>
    <w:lvl w:ilvl="0">
      <w:numFmt w:val="bullet"/>
      <w:lvlText w:val="-"/>
      <w:lvlJc w:val="left"/>
      <w:pPr>
        <w:ind w:left="720" w:hanging="720"/>
      </w:pPr>
      <w:rPr>
        <w:rFonts w:ascii="Arial Narrow" w:eastAsia="Times New Roman" w:hAnsi="Arial Narrow" w:cs="Arial"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A95250"/>
    <w:multiLevelType w:val="hybridMultilevel"/>
    <w:tmpl w:val="2640F24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C910044"/>
    <w:multiLevelType w:val="multilevel"/>
    <w:tmpl w:val="C55E4A50"/>
    <w:lvl w:ilvl="0">
      <w:start w:val="1"/>
      <w:numFmt w:val="bullet"/>
      <w:pStyle w:val="bullet1"/>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pStyle w:val="Subbullet2"/>
      <w:lvlText w:val="o"/>
      <w:lvlJc w:val="left"/>
      <w:pPr>
        <w:ind w:left="1083" w:hanging="360"/>
      </w:pPr>
      <w:rPr>
        <w:rFonts w:ascii="Courier New" w:hAnsi="Courier New" w:hint="default"/>
      </w:rPr>
    </w:lvl>
    <w:lvl w:ilvl="3">
      <w:start w:val="1"/>
      <w:numFmt w:val="decimal"/>
      <w:lvlText w:val="(%4)"/>
      <w:lvlJc w:val="left"/>
      <w:pPr>
        <w:ind w:left="1443" w:hanging="360"/>
      </w:pPr>
      <w:rPr>
        <w:rFonts w:cs="Times New Roman" w:hint="default"/>
      </w:rPr>
    </w:lvl>
    <w:lvl w:ilvl="4">
      <w:start w:val="1"/>
      <w:numFmt w:val="lowerLetter"/>
      <w:lvlText w:val="(%5)"/>
      <w:lvlJc w:val="left"/>
      <w:pPr>
        <w:ind w:left="1803" w:hanging="360"/>
      </w:pPr>
      <w:rPr>
        <w:rFonts w:cs="Times New Roman" w:hint="default"/>
      </w:rPr>
    </w:lvl>
    <w:lvl w:ilvl="5">
      <w:start w:val="1"/>
      <w:numFmt w:val="lowerRoman"/>
      <w:lvlText w:val="(%6)"/>
      <w:lvlJc w:val="left"/>
      <w:pPr>
        <w:ind w:left="2163" w:hanging="360"/>
      </w:pPr>
      <w:rPr>
        <w:rFonts w:cs="Times New Roman" w:hint="default"/>
      </w:rPr>
    </w:lvl>
    <w:lvl w:ilvl="6">
      <w:start w:val="1"/>
      <w:numFmt w:val="decimal"/>
      <w:lvlText w:val="%7."/>
      <w:lvlJc w:val="left"/>
      <w:pPr>
        <w:ind w:left="2523" w:hanging="360"/>
      </w:pPr>
      <w:rPr>
        <w:rFonts w:cs="Times New Roman" w:hint="default"/>
      </w:rPr>
    </w:lvl>
    <w:lvl w:ilvl="7">
      <w:start w:val="1"/>
      <w:numFmt w:val="lowerLetter"/>
      <w:lvlText w:val="%8."/>
      <w:lvlJc w:val="left"/>
      <w:pPr>
        <w:ind w:left="2883" w:hanging="360"/>
      </w:pPr>
      <w:rPr>
        <w:rFonts w:cs="Times New Roman" w:hint="default"/>
      </w:rPr>
    </w:lvl>
    <w:lvl w:ilvl="8">
      <w:start w:val="1"/>
      <w:numFmt w:val="lowerRoman"/>
      <w:lvlText w:val="%9."/>
      <w:lvlJc w:val="left"/>
      <w:pPr>
        <w:ind w:left="3243" w:hanging="360"/>
      </w:pPr>
      <w:rPr>
        <w:rFonts w:cs="Times New Roman" w:hint="default"/>
      </w:r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442297"/>
    <w:multiLevelType w:val="hybridMultilevel"/>
    <w:tmpl w:val="EE28082C"/>
    <w:lvl w:ilvl="0" w:tplc="BA68A4C4">
      <w:start w:val="1"/>
      <w:numFmt w:val="bullet"/>
      <w:pStyle w:val="Bulletpoints"/>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86DDF"/>
    <w:multiLevelType w:val="hybridMultilevel"/>
    <w:tmpl w:val="B7C6C490"/>
    <w:lvl w:ilvl="0" w:tplc="62FE03B0">
      <w:start w:val="1"/>
      <w:numFmt w:val="bullet"/>
      <w:lvlText w:val="•"/>
      <w:lvlJc w:val="left"/>
      <w:pPr>
        <w:tabs>
          <w:tab w:val="num" w:pos="720"/>
        </w:tabs>
        <w:ind w:left="720" w:hanging="360"/>
      </w:pPr>
      <w:rPr>
        <w:rFonts w:ascii="Arial" w:hAnsi="Arial" w:hint="default"/>
      </w:rPr>
    </w:lvl>
    <w:lvl w:ilvl="1" w:tplc="F8322646" w:tentative="1">
      <w:start w:val="1"/>
      <w:numFmt w:val="bullet"/>
      <w:lvlText w:val="•"/>
      <w:lvlJc w:val="left"/>
      <w:pPr>
        <w:tabs>
          <w:tab w:val="num" w:pos="1440"/>
        </w:tabs>
        <w:ind w:left="1440" w:hanging="360"/>
      </w:pPr>
      <w:rPr>
        <w:rFonts w:ascii="Arial" w:hAnsi="Arial" w:hint="default"/>
      </w:rPr>
    </w:lvl>
    <w:lvl w:ilvl="2" w:tplc="C5A86586" w:tentative="1">
      <w:start w:val="1"/>
      <w:numFmt w:val="bullet"/>
      <w:lvlText w:val="•"/>
      <w:lvlJc w:val="left"/>
      <w:pPr>
        <w:tabs>
          <w:tab w:val="num" w:pos="2160"/>
        </w:tabs>
        <w:ind w:left="2160" w:hanging="360"/>
      </w:pPr>
      <w:rPr>
        <w:rFonts w:ascii="Arial" w:hAnsi="Arial" w:hint="default"/>
      </w:rPr>
    </w:lvl>
    <w:lvl w:ilvl="3" w:tplc="52B0A7E6" w:tentative="1">
      <w:start w:val="1"/>
      <w:numFmt w:val="bullet"/>
      <w:lvlText w:val="•"/>
      <w:lvlJc w:val="left"/>
      <w:pPr>
        <w:tabs>
          <w:tab w:val="num" w:pos="2880"/>
        </w:tabs>
        <w:ind w:left="2880" w:hanging="360"/>
      </w:pPr>
      <w:rPr>
        <w:rFonts w:ascii="Arial" w:hAnsi="Arial" w:hint="default"/>
      </w:rPr>
    </w:lvl>
    <w:lvl w:ilvl="4" w:tplc="CD98E1E4" w:tentative="1">
      <w:start w:val="1"/>
      <w:numFmt w:val="bullet"/>
      <w:lvlText w:val="•"/>
      <w:lvlJc w:val="left"/>
      <w:pPr>
        <w:tabs>
          <w:tab w:val="num" w:pos="3600"/>
        </w:tabs>
        <w:ind w:left="3600" w:hanging="360"/>
      </w:pPr>
      <w:rPr>
        <w:rFonts w:ascii="Arial" w:hAnsi="Arial" w:hint="default"/>
      </w:rPr>
    </w:lvl>
    <w:lvl w:ilvl="5" w:tplc="A3CC5EDE" w:tentative="1">
      <w:start w:val="1"/>
      <w:numFmt w:val="bullet"/>
      <w:lvlText w:val="•"/>
      <w:lvlJc w:val="left"/>
      <w:pPr>
        <w:tabs>
          <w:tab w:val="num" w:pos="4320"/>
        </w:tabs>
        <w:ind w:left="4320" w:hanging="360"/>
      </w:pPr>
      <w:rPr>
        <w:rFonts w:ascii="Arial" w:hAnsi="Arial" w:hint="default"/>
      </w:rPr>
    </w:lvl>
    <w:lvl w:ilvl="6" w:tplc="C986A4DA" w:tentative="1">
      <w:start w:val="1"/>
      <w:numFmt w:val="bullet"/>
      <w:lvlText w:val="•"/>
      <w:lvlJc w:val="left"/>
      <w:pPr>
        <w:tabs>
          <w:tab w:val="num" w:pos="5040"/>
        </w:tabs>
        <w:ind w:left="5040" w:hanging="360"/>
      </w:pPr>
      <w:rPr>
        <w:rFonts w:ascii="Arial" w:hAnsi="Arial" w:hint="default"/>
      </w:rPr>
    </w:lvl>
    <w:lvl w:ilvl="7" w:tplc="B6DA4DF0" w:tentative="1">
      <w:start w:val="1"/>
      <w:numFmt w:val="bullet"/>
      <w:lvlText w:val="•"/>
      <w:lvlJc w:val="left"/>
      <w:pPr>
        <w:tabs>
          <w:tab w:val="num" w:pos="5760"/>
        </w:tabs>
        <w:ind w:left="5760" w:hanging="360"/>
      </w:pPr>
      <w:rPr>
        <w:rFonts w:ascii="Arial" w:hAnsi="Arial" w:hint="default"/>
      </w:rPr>
    </w:lvl>
    <w:lvl w:ilvl="8" w:tplc="6AB8A7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F1D638E"/>
    <w:multiLevelType w:val="multilevel"/>
    <w:tmpl w:val="2E7811DC"/>
    <w:styleLink w:val="SectionBi3"/>
    <w:lvl w:ilvl="0">
      <w:start w:val="2"/>
      <w:numFmt w:val="upperLetter"/>
      <w:lvlText w:val="%1(i)."/>
      <w:lvlJc w:val="left"/>
      <w:pPr>
        <w:ind w:left="1134" w:hanging="1134"/>
      </w:pPr>
      <w:rPr>
        <w:rFonts w:ascii="Arial" w:hAnsi="Arial" w:hint="default"/>
        <w:b/>
        <w:sz w:val="22"/>
        <w:szCs w:val="22"/>
      </w:rPr>
    </w:lvl>
    <w:lvl w:ilvl="1">
      <w:start w:val="1"/>
      <w:numFmt w:val="decimal"/>
      <w:lvlText w:val="%1(i).%2"/>
      <w:lvlJc w:val="left"/>
      <w:pPr>
        <w:ind w:left="1134" w:hanging="1134"/>
      </w:pPr>
      <w:rPr>
        <w:rFonts w:ascii="Arial" w:hAnsi="Arial" w:hint="default"/>
        <w:sz w:val="22"/>
      </w:rPr>
    </w:lvl>
    <w:lvl w:ilvl="2">
      <w:start w:val="1"/>
      <w:numFmt w:val="decimal"/>
      <w:lvlText w:val="%1(i).%2.%3"/>
      <w:lvlJc w:val="left"/>
      <w:pPr>
        <w:ind w:left="1134" w:hanging="1134"/>
      </w:pPr>
      <w:rPr>
        <w:rFonts w:ascii="Arial" w:hAnsi="Arial" w:hint="default"/>
        <w:sz w:val="22"/>
      </w:rPr>
    </w:lvl>
    <w:lvl w:ilvl="3">
      <w:start w:val="1"/>
      <w:numFmt w:val="decimal"/>
      <w:lvlText w:val="%1(i).%2.%3.%4"/>
      <w:lvlJc w:val="left"/>
      <w:pPr>
        <w:ind w:left="1134" w:hanging="1134"/>
      </w:pPr>
      <w:rPr>
        <w:rFonts w:ascii="Arial" w:hAnsi="Arial" w:hint="default"/>
        <w:sz w:val="22"/>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15:restartNumberingAfterBreak="0">
    <w:nsid w:val="509D6542"/>
    <w:multiLevelType w:val="hybridMultilevel"/>
    <w:tmpl w:val="2E8868FA"/>
    <w:lvl w:ilvl="0" w:tplc="8EACD604">
      <w:start w:val="1"/>
      <w:numFmt w:val="decimal"/>
      <w:lvlText w:val="%1."/>
      <w:lvlJc w:val="left"/>
      <w:pPr>
        <w:ind w:left="1146" w:hanging="360"/>
      </w:pPr>
      <w:rPr>
        <w:i/>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881F99"/>
    <w:multiLevelType w:val="hybridMultilevel"/>
    <w:tmpl w:val="B79A379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E3A2823"/>
    <w:multiLevelType w:val="hybridMultilevel"/>
    <w:tmpl w:val="8D78BBA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D17C33"/>
    <w:multiLevelType w:val="hybridMultilevel"/>
    <w:tmpl w:val="EA9E2C1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AFA3C06"/>
    <w:multiLevelType w:val="hybridMultilevel"/>
    <w:tmpl w:val="C478C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09859AA"/>
    <w:multiLevelType w:val="multilevel"/>
    <w:tmpl w:val="1542E10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4D033C"/>
    <w:multiLevelType w:val="multilevel"/>
    <w:tmpl w:val="C5504002"/>
    <w:lvl w:ilvl="0">
      <w:start w:val="1"/>
      <w:numFmt w:val="decimal"/>
      <w:pStyle w:val="2-SectionHeading"/>
      <w:lvlText w:val="%1"/>
      <w:lvlJc w:val="left"/>
      <w:pPr>
        <w:ind w:left="720" w:hanging="720"/>
      </w:pPr>
      <w:rPr>
        <w:rFonts w:hint="default"/>
        <w:b/>
        <w:i w:val="0"/>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0A7062"/>
    <w:multiLevelType w:val="hybridMultilevel"/>
    <w:tmpl w:val="AE2C816A"/>
    <w:lvl w:ilvl="0" w:tplc="E14A61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53672A"/>
    <w:multiLevelType w:val="hybridMultilevel"/>
    <w:tmpl w:val="A4B43658"/>
    <w:lvl w:ilvl="0" w:tplc="1788446E">
      <w:start w:val="1"/>
      <w:numFmt w:val="decimal"/>
      <w:lvlText w:val="%1."/>
      <w:lvlJc w:val="left"/>
      <w:pPr>
        <w:ind w:left="1800" w:hanging="360"/>
      </w:pPr>
      <w:rPr>
        <w:i/>
        <w:color w:val="auto"/>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8"/>
  </w:num>
  <w:num w:numId="2">
    <w:abstractNumId w:val="8"/>
  </w:num>
  <w:num w:numId="3">
    <w:abstractNumId w:val="0"/>
  </w:num>
  <w:num w:numId="4">
    <w:abstractNumId w:val="18"/>
  </w:num>
  <w:num w:numId="5">
    <w:abstractNumId w:val="17"/>
  </w:num>
  <w:num w:numId="6">
    <w:abstractNumId w:val="1"/>
  </w:num>
  <w:num w:numId="7">
    <w:abstractNumId w:val="10"/>
  </w:num>
  <w:num w:numId="8">
    <w:abstractNumId w:val="6"/>
  </w:num>
  <w:num w:numId="9">
    <w:abstractNumId w:val="2"/>
  </w:num>
  <w:num w:numId="10">
    <w:abstractNumId w:val="4"/>
  </w:num>
  <w:num w:numId="11">
    <w:abstractNumId w:val="20"/>
  </w:num>
  <w:num w:numId="12">
    <w:abstractNumId w:val="11"/>
  </w:num>
  <w:num w:numId="13">
    <w:abstractNumId w:val="15"/>
  </w:num>
  <w:num w:numId="14">
    <w:abstractNumId w:val="14"/>
  </w:num>
  <w:num w:numId="15">
    <w:abstractNumId w:val="16"/>
  </w:num>
  <w:num w:numId="16">
    <w:abstractNumId w:val="12"/>
  </w:num>
  <w:num w:numId="17">
    <w:abstractNumId w:val="3"/>
  </w:num>
  <w:num w:numId="18">
    <w:abstractNumId w:val="7"/>
  </w:num>
  <w:num w:numId="19">
    <w:abstractNumId w:val="9"/>
  </w:num>
  <w:num w:numId="20">
    <w:abstractNumId w:val="18"/>
  </w:num>
  <w:num w:numId="21">
    <w:abstractNumId w:val="18"/>
  </w:num>
  <w:num w:numId="22">
    <w:abstractNumId w:val="18"/>
  </w:num>
  <w:num w:numId="23">
    <w:abstractNumId w:val="18"/>
  </w:num>
  <w:num w:numId="24">
    <w:abstractNumId w:val="13"/>
  </w:num>
  <w:num w:numId="25">
    <w:abstractNumId w:val="18"/>
  </w:num>
  <w:num w:numId="26">
    <w:abstractNumId w:val="19"/>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5"/>
  </w:num>
  <w:num w:numId="34">
    <w:abstractNumId w:val="18"/>
  </w:num>
  <w:num w:numId="35">
    <w:abstractNumId w:val="18"/>
  </w:num>
  <w:num w:numId="36">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activeWritingStyle w:appName="MSWord" w:lang="en-A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GB"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3C0"/>
    <w:rsid w:val="00000500"/>
    <w:rsid w:val="00000790"/>
    <w:rsid w:val="00000C3B"/>
    <w:rsid w:val="0000110B"/>
    <w:rsid w:val="000014D3"/>
    <w:rsid w:val="0000166D"/>
    <w:rsid w:val="00001B9A"/>
    <w:rsid w:val="00001DB4"/>
    <w:rsid w:val="0000201F"/>
    <w:rsid w:val="00002AA0"/>
    <w:rsid w:val="00003499"/>
    <w:rsid w:val="000035D0"/>
    <w:rsid w:val="000037C3"/>
    <w:rsid w:val="0000390B"/>
    <w:rsid w:val="000039B7"/>
    <w:rsid w:val="000041CE"/>
    <w:rsid w:val="000049BD"/>
    <w:rsid w:val="0000639A"/>
    <w:rsid w:val="00007283"/>
    <w:rsid w:val="000079B1"/>
    <w:rsid w:val="0001080C"/>
    <w:rsid w:val="00011F2D"/>
    <w:rsid w:val="000121D8"/>
    <w:rsid w:val="0001244F"/>
    <w:rsid w:val="00012450"/>
    <w:rsid w:val="00012590"/>
    <w:rsid w:val="000128AE"/>
    <w:rsid w:val="00012D65"/>
    <w:rsid w:val="00013020"/>
    <w:rsid w:val="00013247"/>
    <w:rsid w:val="000138A7"/>
    <w:rsid w:val="00013B34"/>
    <w:rsid w:val="0001410E"/>
    <w:rsid w:val="0001425A"/>
    <w:rsid w:val="00014274"/>
    <w:rsid w:val="000142E7"/>
    <w:rsid w:val="000146B9"/>
    <w:rsid w:val="00015886"/>
    <w:rsid w:val="000159C3"/>
    <w:rsid w:val="000162EF"/>
    <w:rsid w:val="0001656A"/>
    <w:rsid w:val="000167DE"/>
    <w:rsid w:val="000201D6"/>
    <w:rsid w:val="000202EC"/>
    <w:rsid w:val="000207C9"/>
    <w:rsid w:val="00020A5A"/>
    <w:rsid w:val="000219A8"/>
    <w:rsid w:val="0002225F"/>
    <w:rsid w:val="00022EAF"/>
    <w:rsid w:val="00023763"/>
    <w:rsid w:val="00023BCB"/>
    <w:rsid w:val="000242A4"/>
    <w:rsid w:val="00024864"/>
    <w:rsid w:val="00025420"/>
    <w:rsid w:val="000254D0"/>
    <w:rsid w:val="000255AB"/>
    <w:rsid w:val="000256A3"/>
    <w:rsid w:val="00026AA3"/>
    <w:rsid w:val="00026AC2"/>
    <w:rsid w:val="000271E3"/>
    <w:rsid w:val="000274B8"/>
    <w:rsid w:val="00027C21"/>
    <w:rsid w:val="00027EC8"/>
    <w:rsid w:val="00027F37"/>
    <w:rsid w:val="00031351"/>
    <w:rsid w:val="00032542"/>
    <w:rsid w:val="00032C17"/>
    <w:rsid w:val="00032E45"/>
    <w:rsid w:val="0003335E"/>
    <w:rsid w:val="0003356F"/>
    <w:rsid w:val="0003362D"/>
    <w:rsid w:val="00033863"/>
    <w:rsid w:val="000339A3"/>
    <w:rsid w:val="0003401E"/>
    <w:rsid w:val="00034625"/>
    <w:rsid w:val="000347F2"/>
    <w:rsid w:val="00034E56"/>
    <w:rsid w:val="0003534E"/>
    <w:rsid w:val="00035818"/>
    <w:rsid w:val="00035AAB"/>
    <w:rsid w:val="00035C4C"/>
    <w:rsid w:val="00035DC0"/>
    <w:rsid w:val="00036418"/>
    <w:rsid w:val="0003675E"/>
    <w:rsid w:val="00036829"/>
    <w:rsid w:val="00037747"/>
    <w:rsid w:val="000406EC"/>
    <w:rsid w:val="00040895"/>
    <w:rsid w:val="00040896"/>
    <w:rsid w:val="00040AC5"/>
    <w:rsid w:val="00040E4B"/>
    <w:rsid w:val="0004183B"/>
    <w:rsid w:val="000421D2"/>
    <w:rsid w:val="00042973"/>
    <w:rsid w:val="00042CD6"/>
    <w:rsid w:val="00042D66"/>
    <w:rsid w:val="00042DA4"/>
    <w:rsid w:val="00042FAE"/>
    <w:rsid w:val="000435EE"/>
    <w:rsid w:val="000438B9"/>
    <w:rsid w:val="00043C37"/>
    <w:rsid w:val="00043E5E"/>
    <w:rsid w:val="000440DF"/>
    <w:rsid w:val="0004457E"/>
    <w:rsid w:val="00044B5D"/>
    <w:rsid w:val="00044CA9"/>
    <w:rsid w:val="00045017"/>
    <w:rsid w:val="00045049"/>
    <w:rsid w:val="00045A2B"/>
    <w:rsid w:val="00045BC1"/>
    <w:rsid w:val="00045D28"/>
    <w:rsid w:val="000460E2"/>
    <w:rsid w:val="00046148"/>
    <w:rsid w:val="0004698F"/>
    <w:rsid w:val="00047096"/>
    <w:rsid w:val="000472FA"/>
    <w:rsid w:val="0004760C"/>
    <w:rsid w:val="000477E6"/>
    <w:rsid w:val="00047FEF"/>
    <w:rsid w:val="00047FF3"/>
    <w:rsid w:val="000500E0"/>
    <w:rsid w:val="00050686"/>
    <w:rsid w:val="0005124C"/>
    <w:rsid w:val="00051E95"/>
    <w:rsid w:val="0005296C"/>
    <w:rsid w:val="00052DE2"/>
    <w:rsid w:val="00052F5F"/>
    <w:rsid w:val="000530C1"/>
    <w:rsid w:val="000537FE"/>
    <w:rsid w:val="000539D0"/>
    <w:rsid w:val="00054621"/>
    <w:rsid w:val="000546D7"/>
    <w:rsid w:val="000565E4"/>
    <w:rsid w:val="0005667F"/>
    <w:rsid w:val="00056ECF"/>
    <w:rsid w:val="0005741B"/>
    <w:rsid w:val="000579EF"/>
    <w:rsid w:val="00057DFB"/>
    <w:rsid w:val="0006004C"/>
    <w:rsid w:val="000602E9"/>
    <w:rsid w:val="000604DF"/>
    <w:rsid w:val="000605D7"/>
    <w:rsid w:val="00060B10"/>
    <w:rsid w:val="00061A8C"/>
    <w:rsid w:val="00061B06"/>
    <w:rsid w:val="00061DD3"/>
    <w:rsid w:val="000620A4"/>
    <w:rsid w:val="000624B7"/>
    <w:rsid w:val="00063034"/>
    <w:rsid w:val="000639E6"/>
    <w:rsid w:val="00063BC6"/>
    <w:rsid w:val="00063E26"/>
    <w:rsid w:val="00063F57"/>
    <w:rsid w:val="000644DE"/>
    <w:rsid w:val="00064BDD"/>
    <w:rsid w:val="00065033"/>
    <w:rsid w:val="000653B5"/>
    <w:rsid w:val="000654B2"/>
    <w:rsid w:val="0006568B"/>
    <w:rsid w:val="00065A0E"/>
    <w:rsid w:val="00065EB1"/>
    <w:rsid w:val="00066360"/>
    <w:rsid w:val="0006637C"/>
    <w:rsid w:val="0006653E"/>
    <w:rsid w:val="0006670E"/>
    <w:rsid w:val="000667CB"/>
    <w:rsid w:val="00066AF8"/>
    <w:rsid w:val="00066BEE"/>
    <w:rsid w:val="00066C05"/>
    <w:rsid w:val="00066D30"/>
    <w:rsid w:val="00067037"/>
    <w:rsid w:val="000674E0"/>
    <w:rsid w:val="00067DE8"/>
    <w:rsid w:val="00070173"/>
    <w:rsid w:val="000702F8"/>
    <w:rsid w:val="00071248"/>
    <w:rsid w:val="00071958"/>
    <w:rsid w:val="000720B9"/>
    <w:rsid w:val="000722CD"/>
    <w:rsid w:val="000724F0"/>
    <w:rsid w:val="00072B3A"/>
    <w:rsid w:val="00072C1E"/>
    <w:rsid w:val="0007353C"/>
    <w:rsid w:val="000737F7"/>
    <w:rsid w:val="00073E5C"/>
    <w:rsid w:val="0007491E"/>
    <w:rsid w:val="00075864"/>
    <w:rsid w:val="00076125"/>
    <w:rsid w:val="0007672F"/>
    <w:rsid w:val="00076B24"/>
    <w:rsid w:val="00076B54"/>
    <w:rsid w:val="00076D4D"/>
    <w:rsid w:val="00077062"/>
    <w:rsid w:val="0007709F"/>
    <w:rsid w:val="00077250"/>
    <w:rsid w:val="000772A0"/>
    <w:rsid w:val="000774F0"/>
    <w:rsid w:val="0007792B"/>
    <w:rsid w:val="00077BED"/>
    <w:rsid w:val="00080276"/>
    <w:rsid w:val="00080909"/>
    <w:rsid w:val="00080FF1"/>
    <w:rsid w:val="0008127B"/>
    <w:rsid w:val="000812CA"/>
    <w:rsid w:val="00081BE1"/>
    <w:rsid w:val="00081E63"/>
    <w:rsid w:val="0008258D"/>
    <w:rsid w:val="000826EC"/>
    <w:rsid w:val="00082824"/>
    <w:rsid w:val="000829EC"/>
    <w:rsid w:val="000836B7"/>
    <w:rsid w:val="0008371A"/>
    <w:rsid w:val="00083851"/>
    <w:rsid w:val="00083E99"/>
    <w:rsid w:val="000846A7"/>
    <w:rsid w:val="00084773"/>
    <w:rsid w:val="000848D4"/>
    <w:rsid w:val="00084BEC"/>
    <w:rsid w:val="00084E8D"/>
    <w:rsid w:val="00084FA8"/>
    <w:rsid w:val="000852BF"/>
    <w:rsid w:val="000856C5"/>
    <w:rsid w:val="000857D5"/>
    <w:rsid w:val="0008592B"/>
    <w:rsid w:val="00085A6E"/>
    <w:rsid w:val="00085B06"/>
    <w:rsid w:val="00085C31"/>
    <w:rsid w:val="00086243"/>
    <w:rsid w:val="000868D6"/>
    <w:rsid w:val="000870AF"/>
    <w:rsid w:val="00087257"/>
    <w:rsid w:val="000872DE"/>
    <w:rsid w:val="00087484"/>
    <w:rsid w:val="000902D9"/>
    <w:rsid w:val="000906AC"/>
    <w:rsid w:val="000907AD"/>
    <w:rsid w:val="00090B8E"/>
    <w:rsid w:val="00090C7E"/>
    <w:rsid w:val="00091810"/>
    <w:rsid w:val="00092600"/>
    <w:rsid w:val="0009262B"/>
    <w:rsid w:val="00092886"/>
    <w:rsid w:val="000930C9"/>
    <w:rsid w:val="00093310"/>
    <w:rsid w:val="000937A9"/>
    <w:rsid w:val="0009410F"/>
    <w:rsid w:val="00094371"/>
    <w:rsid w:val="0009445C"/>
    <w:rsid w:val="000947C7"/>
    <w:rsid w:val="0009498F"/>
    <w:rsid w:val="00094D28"/>
    <w:rsid w:val="00094FCF"/>
    <w:rsid w:val="00095001"/>
    <w:rsid w:val="00095200"/>
    <w:rsid w:val="00095611"/>
    <w:rsid w:val="00095656"/>
    <w:rsid w:val="00095A51"/>
    <w:rsid w:val="00095EE2"/>
    <w:rsid w:val="00095FE5"/>
    <w:rsid w:val="00096284"/>
    <w:rsid w:val="00096902"/>
    <w:rsid w:val="00097071"/>
    <w:rsid w:val="0009728E"/>
    <w:rsid w:val="00097A9C"/>
    <w:rsid w:val="00097BBA"/>
    <w:rsid w:val="000A056A"/>
    <w:rsid w:val="000A1004"/>
    <w:rsid w:val="000A1BC0"/>
    <w:rsid w:val="000A1BD2"/>
    <w:rsid w:val="000A1DB5"/>
    <w:rsid w:val="000A215E"/>
    <w:rsid w:val="000A2C5C"/>
    <w:rsid w:val="000A2DE1"/>
    <w:rsid w:val="000A2F6B"/>
    <w:rsid w:val="000A370F"/>
    <w:rsid w:val="000A3DBA"/>
    <w:rsid w:val="000A40AA"/>
    <w:rsid w:val="000A416D"/>
    <w:rsid w:val="000A4364"/>
    <w:rsid w:val="000A4429"/>
    <w:rsid w:val="000A46EE"/>
    <w:rsid w:val="000A4D25"/>
    <w:rsid w:val="000A6039"/>
    <w:rsid w:val="000A6E96"/>
    <w:rsid w:val="000A7390"/>
    <w:rsid w:val="000A7453"/>
    <w:rsid w:val="000A7D08"/>
    <w:rsid w:val="000A7F0C"/>
    <w:rsid w:val="000B0121"/>
    <w:rsid w:val="000B042A"/>
    <w:rsid w:val="000B0670"/>
    <w:rsid w:val="000B08D3"/>
    <w:rsid w:val="000B0E75"/>
    <w:rsid w:val="000B10A3"/>
    <w:rsid w:val="000B1470"/>
    <w:rsid w:val="000B206E"/>
    <w:rsid w:val="000B250B"/>
    <w:rsid w:val="000B26B3"/>
    <w:rsid w:val="000B2B23"/>
    <w:rsid w:val="000B2DCB"/>
    <w:rsid w:val="000B3017"/>
    <w:rsid w:val="000B3517"/>
    <w:rsid w:val="000B4393"/>
    <w:rsid w:val="000B43EF"/>
    <w:rsid w:val="000B5B34"/>
    <w:rsid w:val="000B5BC6"/>
    <w:rsid w:val="000B5CE0"/>
    <w:rsid w:val="000B61A1"/>
    <w:rsid w:val="000B6233"/>
    <w:rsid w:val="000B645B"/>
    <w:rsid w:val="000B67E7"/>
    <w:rsid w:val="000B6C81"/>
    <w:rsid w:val="000B6CAC"/>
    <w:rsid w:val="000B7612"/>
    <w:rsid w:val="000B7872"/>
    <w:rsid w:val="000B78AE"/>
    <w:rsid w:val="000C0A4C"/>
    <w:rsid w:val="000C0C13"/>
    <w:rsid w:val="000C125D"/>
    <w:rsid w:val="000C1319"/>
    <w:rsid w:val="000C1765"/>
    <w:rsid w:val="000C2288"/>
    <w:rsid w:val="000C24DE"/>
    <w:rsid w:val="000C2D25"/>
    <w:rsid w:val="000C3521"/>
    <w:rsid w:val="000C396D"/>
    <w:rsid w:val="000C39BE"/>
    <w:rsid w:val="000C3DF9"/>
    <w:rsid w:val="000C4BF8"/>
    <w:rsid w:val="000C4C37"/>
    <w:rsid w:val="000C54E9"/>
    <w:rsid w:val="000C6211"/>
    <w:rsid w:val="000C6315"/>
    <w:rsid w:val="000C6658"/>
    <w:rsid w:val="000C6713"/>
    <w:rsid w:val="000C6EC1"/>
    <w:rsid w:val="000C6F18"/>
    <w:rsid w:val="000D09CA"/>
    <w:rsid w:val="000D197D"/>
    <w:rsid w:val="000D1BFC"/>
    <w:rsid w:val="000D1D5D"/>
    <w:rsid w:val="000D281A"/>
    <w:rsid w:val="000D2848"/>
    <w:rsid w:val="000D326A"/>
    <w:rsid w:val="000D394F"/>
    <w:rsid w:val="000D4241"/>
    <w:rsid w:val="000D4707"/>
    <w:rsid w:val="000D51FB"/>
    <w:rsid w:val="000D61A4"/>
    <w:rsid w:val="000D704D"/>
    <w:rsid w:val="000D7D81"/>
    <w:rsid w:val="000D7F08"/>
    <w:rsid w:val="000E0168"/>
    <w:rsid w:val="000E0640"/>
    <w:rsid w:val="000E0A26"/>
    <w:rsid w:val="000E0AE8"/>
    <w:rsid w:val="000E0F4A"/>
    <w:rsid w:val="000E135D"/>
    <w:rsid w:val="000E169A"/>
    <w:rsid w:val="000E1D1C"/>
    <w:rsid w:val="000E1F79"/>
    <w:rsid w:val="000E213C"/>
    <w:rsid w:val="000E2B25"/>
    <w:rsid w:val="000E2DC4"/>
    <w:rsid w:val="000E2DF4"/>
    <w:rsid w:val="000E5166"/>
    <w:rsid w:val="000E5354"/>
    <w:rsid w:val="000E545B"/>
    <w:rsid w:val="000E5878"/>
    <w:rsid w:val="000E63E0"/>
    <w:rsid w:val="000E704C"/>
    <w:rsid w:val="000E7FED"/>
    <w:rsid w:val="000F00BA"/>
    <w:rsid w:val="000F01D1"/>
    <w:rsid w:val="000F02B4"/>
    <w:rsid w:val="000F1431"/>
    <w:rsid w:val="000F1B30"/>
    <w:rsid w:val="000F2304"/>
    <w:rsid w:val="000F236D"/>
    <w:rsid w:val="000F2976"/>
    <w:rsid w:val="000F2DD4"/>
    <w:rsid w:val="000F2ED2"/>
    <w:rsid w:val="000F2F84"/>
    <w:rsid w:val="000F316A"/>
    <w:rsid w:val="000F34FB"/>
    <w:rsid w:val="000F3C74"/>
    <w:rsid w:val="000F41BF"/>
    <w:rsid w:val="000F46FA"/>
    <w:rsid w:val="000F4BB8"/>
    <w:rsid w:val="000F4FA9"/>
    <w:rsid w:val="000F53FB"/>
    <w:rsid w:val="000F6596"/>
    <w:rsid w:val="000F65C0"/>
    <w:rsid w:val="000F6610"/>
    <w:rsid w:val="000F7127"/>
    <w:rsid w:val="000F74FD"/>
    <w:rsid w:val="000F7554"/>
    <w:rsid w:val="000F7B54"/>
    <w:rsid w:val="001005BF"/>
    <w:rsid w:val="00100AFC"/>
    <w:rsid w:val="00100F8A"/>
    <w:rsid w:val="001011AF"/>
    <w:rsid w:val="001018D8"/>
    <w:rsid w:val="00101BF8"/>
    <w:rsid w:val="001020B5"/>
    <w:rsid w:val="001022A9"/>
    <w:rsid w:val="00102502"/>
    <w:rsid w:val="00102D3D"/>
    <w:rsid w:val="00102D9A"/>
    <w:rsid w:val="001031EA"/>
    <w:rsid w:val="00103448"/>
    <w:rsid w:val="001039E8"/>
    <w:rsid w:val="001042A2"/>
    <w:rsid w:val="0010452E"/>
    <w:rsid w:val="00104FCC"/>
    <w:rsid w:val="001051B8"/>
    <w:rsid w:val="00105AE2"/>
    <w:rsid w:val="00105E24"/>
    <w:rsid w:val="00105E33"/>
    <w:rsid w:val="001060C6"/>
    <w:rsid w:val="00106AFB"/>
    <w:rsid w:val="00106B80"/>
    <w:rsid w:val="00106EDE"/>
    <w:rsid w:val="00107C24"/>
    <w:rsid w:val="0011015C"/>
    <w:rsid w:val="0011032E"/>
    <w:rsid w:val="00110AE0"/>
    <w:rsid w:val="00110CFD"/>
    <w:rsid w:val="00110DD9"/>
    <w:rsid w:val="0011348B"/>
    <w:rsid w:val="0011380F"/>
    <w:rsid w:val="00113E1F"/>
    <w:rsid w:val="00114693"/>
    <w:rsid w:val="00115982"/>
    <w:rsid w:val="00115ADE"/>
    <w:rsid w:val="00116969"/>
    <w:rsid w:val="00116C53"/>
    <w:rsid w:val="0011717E"/>
    <w:rsid w:val="00120638"/>
    <w:rsid w:val="001208E7"/>
    <w:rsid w:val="0012133B"/>
    <w:rsid w:val="00121799"/>
    <w:rsid w:val="00121C12"/>
    <w:rsid w:val="001222FC"/>
    <w:rsid w:val="001222FF"/>
    <w:rsid w:val="00122677"/>
    <w:rsid w:val="001231D0"/>
    <w:rsid w:val="001235BC"/>
    <w:rsid w:val="00123817"/>
    <w:rsid w:val="00123902"/>
    <w:rsid w:val="00123B9F"/>
    <w:rsid w:val="00123FBA"/>
    <w:rsid w:val="00124A51"/>
    <w:rsid w:val="001256FD"/>
    <w:rsid w:val="00126475"/>
    <w:rsid w:val="00126621"/>
    <w:rsid w:val="00126B1D"/>
    <w:rsid w:val="00127222"/>
    <w:rsid w:val="00127552"/>
    <w:rsid w:val="001301E9"/>
    <w:rsid w:val="0013172A"/>
    <w:rsid w:val="00131A4F"/>
    <w:rsid w:val="00131D82"/>
    <w:rsid w:val="00131E34"/>
    <w:rsid w:val="00132027"/>
    <w:rsid w:val="00132A6B"/>
    <w:rsid w:val="00132B22"/>
    <w:rsid w:val="00132C0B"/>
    <w:rsid w:val="0013319C"/>
    <w:rsid w:val="001334B2"/>
    <w:rsid w:val="00133A24"/>
    <w:rsid w:val="00133D36"/>
    <w:rsid w:val="00133DF2"/>
    <w:rsid w:val="0013467E"/>
    <w:rsid w:val="00134B8B"/>
    <w:rsid w:val="00134CDC"/>
    <w:rsid w:val="00134F7D"/>
    <w:rsid w:val="001354E3"/>
    <w:rsid w:val="0013566C"/>
    <w:rsid w:val="00137645"/>
    <w:rsid w:val="00137D45"/>
    <w:rsid w:val="0014015A"/>
    <w:rsid w:val="00140E08"/>
    <w:rsid w:val="00140E99"/>
    <w:rsid w:val="00141276"/>
    <w:rsid w:val="0014152C"/>
    <w:rsid w:val="00141788"/>
    <w:rsid w:val="0014206E"/>
    <w:rsid w:val="001423F7"/>
    <w:rsid w:val="00143408"/>
    <w:rsid w:val="00143478"/>
    <w:rsid w:val="0014393B"/>
    <w:rsid w:val="00143F67"/>
    <w:rsid w:val="00144C21"/>
    <w:rsid w:val="00145528"/>
    <w:rsid w:val="00145540"/>
    <w:rsid w:val="001456B0"/>
    <w:rsid w:val="00145D78"/>
    <w:rsid w:val="001461CE"/>
    <w:rsid w:val="00146B2C"/>
    <w:rsid w:val="00146E09"/>
    <w:rsid w:val="00146E4D"/>
    <w:rsid w:val="00147085"/>
    <w:rsid w:val="00147328"/>
    <w:rsid w:val="0014754D"/>
    <w:rsid w:val="00147B97"/>
    <w:rsid w:val="00150C76"/>
    <w:rsid w:val="001515A8"/>
    <w:rsid w:val="001515D1"/>
    <w:rsid w:val="00151ADC"/>
    <w:rsid w:val="00151C4B"/>
    <w:rsid w:val="00151E37"/>
    <w:rsid w:val="001521CB"/>
    <w:rsid w:val="001523E1"/>
    <w:rsid w:val="00152976"/>
    <w:rsid w:val="00152E75"/>
    <w:rsid w:val="00153671"/>
    <w:rsid w:val="001536A5"/>
    <w:rsid w:val="00153B6A"/>
    <w:rsid w:val="00154772"/>
    <w:rsid w:val="0015501C"/>
    <w:rsid w:val="001555DA"/>
    <w:rsid w:val="00155D0C"/>
    <w:rsid w:val="0015682D"/>
    <w:rsid w:val="00156F8F"/>
    <w:rsid w:val="00157130"/>
    <w:rsid w:val="0015755A"/>
    <w:rsid w:val="00157665"/>
    <w:rsid w:val="001576B1"/>
    <w:rsid w:val="0016047B"/>
    <w:rsid w:val="00160A4C"/>
    <w:rsid w:val="00160F09"/>
    <w:rsid w:val="001617B5"/>
    <w:rsid w:val="001621D1"/>
    <w:rsid w:val="00162913"/>
    <w:rsid w:val="00163769"/>
    <w:rsid w:val="00163BE0"/>
    <w:rsid w:val="00163EFF"/>
    <w:rsid w:val="00163F66"/>
    <w:rsid w:val="0016438D"/>
    <w:rsid w:val="001661FB"/>
    <w:rsid w:val="001671A0"/>
    <w:rsid w:val="0016767F"/>
    <w:rsid w:val="00167BEE"/>
    <w:rsid w:val="00167C51"/>
    <w:rsid w:val="0017045B"/>
    <w:rsid w:val="00170962"/>
    <w:rsid w:val="00171897"/>
    <w:rsid w:val="0017190C"/>
    <w:rsid w:val="00171B2C"/>
    <w:rsid w:val="00172A08"/>
    <w:rsid w:val="00172C67"/>
    <w:rsid w:val="00173565"/>
    <w:rsid w:val="00173B07"/>
    <w:rsid w:val="00173FCD"/>
    <w:rsid w:val="001742F0"/>
    <w:rsid w:val="001749CA"/>
    <w:rsid w:val="001751FA"/>
    <w:rsid w:val="00175410"/>
    <w:rsid w:val="00175BD7"/>
    <w:rsid w:val="00176253"/>
    <w:rsid w:val="0017631C"/>
    <w:rsid w:val="00176321"/>
    <w:rsid w:val="001764DF"/>
    <w:rsid w:val="0017751E"/>
    <w:rsid w:val="0017754C"/>
    <w:rsid w:val="00177AE8"/>
    <w:rsid w:val="001800F2"/>
    <w:rsid w:val="0018032A"/>
    <w:rsid w:val="001808A0"/>
    <w:rsid w:val="00180CB7"/>
    <w:rsid w:val="00180CF2"/>
    <w:rsid w:val="00181D09"/>
    <w:rsid w:val="00181D9C"/>
    <w:rsid w:val="00181F3E"/>
    <w:rsid w:val="00182685"/>
    <w:rsid w:val="00182AAA"/>
    <w:rsid w:val="00183112"/>
    <w:rsid w:val="00183AD7"/>
    <w:rsid w:val="00183BC5"/>
    <w:rsid w:val="001841A1"/>
    <w:rsid w:val="00184B0E"/>
    <w:rsid w:val="00184FD3"/>
    <w:rsid w:val="00186138"/>
    <w:rsid w:val="00186237"/>
    <w:rsid w:val="00186253"/>
    <w:rsid w:val="00186258"/>
    <w:rsid w:val="0018654F"/>
    <w:rsid w:val="00186B26"/>
    <w:rsid w:val="00187192"/>
    <w:rsid w:val="0018752F"/>
    <w:rsid w:val="00187E60"/>
    <w:rsid w:val="00187FB6"/>
    <w:rsid w:val="00190336"/>
    <w:rsid w:val="00190350"/>
    <w:rsid w:val="00190B25"/>
    <w:rsid w:val="00190CB8"/>
    <w:rsid w:val="00190FAB"/>
    <w:rsid w:val="00191637"/>
    <w:rsid w:val="00191D01"/>
    <w:rsid w:val="00192319"/>
    <w:rsid w:val="001926D4"/>
    <w:rsid w:val="001929A4"/>
    <w:rsid w:val="00192A6D"/>
    <w:rsid w:val="00192EA3"/>
    <w:rsid w:val="00193028"/>
    <w:rsid w:val="00193781"/>
    <w:rsid w:val="00193838"/>
    <w:rsid w:val="00193C1D"/>
    <w:rsid w:val="00194AD8"/>
    <w:rsid w:val="00195222"/>
    <w:rsid w:val="00195659"/>
    <w:rsid w:val="00195749"/>
    <w:rsid w:val="001964CF"/>
    <w:rsid w:val="00196CC7"/>
    <w:rsid w:val="00197343"/>
    <w:rsid w:val="001975D8"/>
    <w:rsid w:val="00197A3A"/>
    <w:rsid w:val="00197B7E"/>
    <w:rsid w:val="00197E1F"/>
    <w:rsid w:val="00197FA6"/>
    <w:rsid w:val="001A0044"/>
    <w:rsid w:val="001A0385"/>
    <w:rsid w:val="001A0393"/>
    <w:rsid w:val="001A0F53"/>
    <w:rsid w:val="001A14A6"/>
    <w:rsid w:val="001A178E"/>
    <w:rsid w:val="001A1D46"/>
    <w:rsid w:val="001A2174"/>
    <w:rsid w:val="001A2674"/>
    <w:rsid w:val="001A28A3"/>
    <w:rsid w:val="001A33E8"/>
    <w:rsid w:val="001A370B"/>
    <w:rsid w:val="001A3FEC"/>
    <w:rsid w:val="001A43FA"/>
    <w:rsid w:val="001A47A1"/>
    <w:rsid w:val="001A47C5"/>
    <w:rsid w:val="001A48EC"/>
    <w:rsid w:val="001A4A99"/>
    <w:rsid w:val="001A4B70"/>
    <w:rsid w:val="001A4C09"/>
    <w:rsid w:val="001A5032"/>
    <w:rsid w:val="001A59FB"/>
    <w:rsid w:val="001A5AA5"/>
    <w:rsid w:val="001A5CE8"/>
    <w:rsid w:val="001A5E9E"/>
    <w:rsid w:val="001A5F2D"/>
    <w:rsid w:val="001A6354"/>
    <w:rsid w:val="001A6366"/>
    <w:rsid w:val="001A6625"/>
    <w:rsid w:val="001A6B24"/>
    <w:rsid w:val="001A77A0"/>
    <w:rsid w:val="001A7AE8"/>
    <w:rsid w:val="001A7B49"/>
    <w:rsid w:val="001A7CEB"/>
    <w:rsid w:val="001B002B"/>
    <w:rsid w:val="001B057E"/>
    <w:rsid w:val="001B0F3D"/>
    <w:rsid w:val="001B19D5"/>
    <w:rsid w:val="001B204E"/>
    <w:rsid w:val="001B2372"/>
    <w:rsid w:val="001B27E8"/>
    <w:rsid w:val="001B3443"/>
    <w:rsid w:val="001B358B"/>
    <w:rsid w:val="001B4729"/>
    <w:rsid w:val="001B4CDB"/>
    <w:rsid w:val="001B4D20"/>
    <w:rsid w:val="001B4E45"/>
    <w:rsid w:val="001B4EE1"/>
    <w:rsid w:val="001B5EB6"/>
    <w:rsid w:val="001B6265"/>
    <w:rsid w:val="001B6541"/>
    <w:rsid w:val="001B66F1"/>
    <w:rsid w:val="001B7E1B"/>
    <w:rsid w:val="001C016A"/>
    <w:rsid w:val="001C0C00"/>
    <w:rsid w:val="001C0D69"/>
    <w:rsid w:val="001C12CE"/>
    <w:rsid w:val="001C1779"/>
    <w:rsid w:val="001C1959"/>
    <w:rsid w:val="001C2242"/>
    <w:rsid w:val="001C299B"/>
    <w:rsid w:val="001C2A9B"/>
    <w:rsid w:val="001C2ABB"/>
    <w:rsid w:val="001C31B5"/>
    <w:rsid w:val="001C33E4"/>
    <w:rsid w:val="001C365C"/>
    <w:rsid w:val="001C37FD"/>
    <w:rsid w:val="001C3949"/>
    <w:rsid w:val="001C3F0E"/>
    <w:rsid w:val="001C3F4D"/>
    <w:rsid w:val="001C4299"/>
    <w:rsid w:val="001C4816"/>
    <w:rsid w:val="001C486E"/>
    <w:rsid w:val="001C4874"/>
    <w:rsid w:val="001C4CB7"/>
    <w:rsid w:val="001C4E14"/>
    <w:rsid w:val="001C57FB"/>
    <w:rsid w:val="001C5AB7"/>
    <w:rsid w:val="001C5F94"/>
    <w:rsid w:val="001C5FBC"/>
    <w:rsid w:val="001C6E66"/>
    <w:rsid w:val="001C7014"/>
    <w:rsid w:val="001C70A1"/>
    <w:rsid w:val="001C7A44"/>
    <w:rsid w:val="001D0D62"/>
    <w:rsid w:val="001D0E2D"/>
    <w:rsid w:val="001D1100"/>
    <w:rsid w:val="001D1391"/>
    <w:rsid w:val="001D14BC"/>
    <w:rsid w:val="001D2387"/>
    <w:rsid w:val="001D2522"/>
    <w:rsid w:val="001D25D7"/>
    <w:rsid w:val="001D26D7"/>
    <w:rsid w:val="001D343F"/>
    <w:rsid w:val="001D34E7"/>
    <w:rsid w:val="001D3500"/>
    <w:rsid w:val="001D3A6C"/>
    <w:rsid w:val="001D42BF"/>
    <w:rsid w:val="001D473D"/>
    <w:rsid w:val="001D49BF"/>
    <w:rsid w:val="001D50B2"/>
    <w:rsid w:val="001D5748"/>
    <w:rsid w:val="001D60F6"/>
    <w:rsid w:val="001D6345"/>
    <w:rsid w:val="001D739C"/>
    <w:rsid w:val="001D7645"/>
    <w:rsid w:val="001D770A"/>
    <w:rsid w:val="001E0779"/>
    <w:rsid w:val="001E08DE"/>
    <w:rsid w:val="001E096E"/>
    <w:rsid w:val="001E113D"/>
    <w:rsid w:val="001E15C7"/>
    <w:rsid w:val="001E1616"/>
    <w:rsid w:val="001E1E86"/>
    <w:rsid w:val="001E238E"/>
    <w:rsid w:val="001E23DA"/>
    <w:rsid w:val="001E2483"/>
    <w:rsid w:val="001E2954"/>
    <w:rsid w:val="001E2B1E"/>
    <w:rsid w:val="001E2CFF"/>
    <w:rsid w:val="001E2F24"/>
    <w:rsid w:val="001E30D4"/>
    <w:rsid w:val="001E34DF"/>
    <w:rsid w:val="001E4B69"/>
    <w:rsid w:val="001E52EB"/>
    <w:rsid w:val="001E56D2"/>
    <w:rsid w:val="001E61D2"/>
    <w:rsid w:val="001E645F"/>
    <w:rsid w:val="001E6C25"/>
    <w:rsid w:val="001E7343"/>
    <w:rsid w:val="001E740C"/>
    <w:rsid w:val="001F0116"/>
    <w:rsid w:val="001F02F3"/>
    <w:rsid w:val="001F0463"/>
    <w:rsid w:val="001F064F"/>
    <w:rsid w:val="001F0C8C"/>
    <w:rsid w:val="001F0DF0"/>
    <w:rsid w:val="001F1235"/>
    <w:rsid w:val="001F1A7D"/>
    <w:rsid w:val="001F1CB3"/>
    <w:rsid w:val="001F3879"/>
    <w:rsid w:val="001F38B5"/>
    <w:rsid w:val="001F3C0A"/>
    <w:rsid w:val="001F4081"/>
    <w:rsid w:val="001F508A"/>
    <w:rsid w:val="001F57FF"/>
    <w:rsid w:val="001F5C99"/>
    <w:rsid w:val="001F60D8"/>
    <w:rsid w:val="001F61FC"/>
    <w:rsid w:val="001F6789"/>
    <w:rsid w:val="001F6D97"/>
    <w:rsid w:val="001F71B8"/>
    <w:rsid w:val="001F7361"/>
    <w:rsid w:val="001F7519"/>
    <w:rsid w:val="001F766E"/>
    <w:rsid w:val="001F77F1"/>
    <w:rsid w:val="0020046D"/>
    <w:rsid w:val="002009C8"/>
    <w:rsid w:val="00200EF8"/>
    <w:rsid w:val="00200F53"/>
    <w:rsid w:val="002011B0"/>
    <w:rsid w:val="002012EF"/>
    <w:rsid w:val="00201314"/>
    <w:rsid w:val="00202722"/>
    <w:rsid w:val="002029C8"/>
    <w:rsid w:val="00203181"/>
    <w:rsid w:val="00203783"/>
    <w:rsid w:val="002037F4"/>
    <w:rsid w:val="0020385F"/>
    <w:rsid w:val="00203DFC"/>
    <w:rsid w:val="0020401A"/>
    <w:rsid w:val="00205078"/>
    <w:rsid w:val="002053C1"/>
    <w:rsid w:val="00205488"/>
    <w:rsid w:val="00205986"/>
    <w:rsid w:val="0020624F"/>
    <w:rsid w:val="002068A0"/>
    <w:rsid w:val="00207021"/>
    <w:rsid w:val="0020732F"/>
    <w:rsid w:val="002077CD"/>
    <w:rsid w:val="00207D00"/>
    <w:rsid w:val="00207E55"/>
    <w:rsid w:val="002105C1"/>
    <w:rsid w:val="00210A48"/>
    <w:rsid w:val="00210DBD"/>
    <w:rsid w:val="00211085"/>
    <w:rsid w:val="0021108D"/>
    <w:rsid w:val="002116EB"/>
    <w:rsid w:val="00211A41"/>
    <w:rsid w:val="00211C06"/>
    <w:rsid w:val="00211CC2"/>
    <w:rsid w:val="00211D6A"/>
    <w:rsid w:val="00211DCB"/>
    <w:rsid w:val="00212213"/>
    <w:rsid w:val="0021241A"/>
    <w:rsid w:val="00212978"/>
    <w:rsid w:val="00213EF5"/>
    <w:rsid w:val="0021462B"/>
    <w:rsid w:val="00216A65"/>
    <w:rsid w:val="00216BF5"/>
    <w:rsid w:val="00217374"/>
    <w:rsid w:val="002200E6"/>
    <w:rsid w:val="0022069C"/>
    <w:rsid w:val="00220C34"/>
    <w:rsid w:val="00221855"/>
    <w:rsid w:val="002224BA"/>
    <w:rsid w:val="0022273D"/>
    <w:rsid w:val="00222876"/>
    <w:rsid w:val="00222976"/>
    <w:rsid w:val="00223B49"/>
    <w:rsid w:val="00223D5A"/>
    <w:rsid w:val="002240ED"/>
    <w:rsid w:val="00224124"/>
    <w:rsid w:val="0022413E"/>
    <w:rsid w:val="00224DD4"/>
    <w:rsid w:val="00224E80"/>
    <w:rsid w:val="00225604"/>
    <w:rsid w:val="00225711"/>
    <w:rsid w:val="002258A9"/>
    <w:rsid w:val="002259BB"/>
    <w:rsid w:val="00225C27"/>
    <w:rsid w:val="00225CAF"/>
    <w:rsid w:val="002262F4"/>
    <w:rsid w:val="002267AC"/>
    <w:rsid w:val="002278A0"/>
    <w:rsid w:val="002278AD"/>
    <w:rsid w:val="00227BCC"/>
    <w:rsid w:val="00227D58"/>
    <w:rsid w:val="00227F79"/>
    <w:rsid w:val="002305A5"/>
    <w:rsid w:val="002309CC"/>
    <w:rsid w:val="00230B1F"/>
    <w:rsid w:val="00230B5A"/>
    <w:rsid w:val="00230DB1"/>
    <w:rsid w:val="0023209F"/>
    <w:rsid w:val="00233511"/>
    <w:rsid w:val="00233635"/>
    <w:rsid w:val="00233B73"/>
    <w:rsid w:val="00233C01"/>
    <w:rsid w:val="00233C60"/>
    <w:rsid w:val="00233DDF"/>
    <w:rsid w:val="00233FD1"/>
    <w:rsid w:val="0023413C"/>
    <w:rsid w:val="002346F0"/>
    <w:rsid w:val="002347BF"/>
    <w:rsid w:val="002359E0"/>
    <w:rsid w:val="0023629D"/>
    <w:rsid w:val="00236595"/>
    <w:rsid w:val="00236DAF"/>
    <w:rsid w:val="00237255"/>
    <w:rsid w:val="002379B6"/>
    <w:rsid w:val="00237A36"/>
    <w:rsid w:val="00240312"/>
    <w:rsid w:val="002404B8"/>
    <w:rsid w:val="002404CA"/>
    <w:rsid w:val="0024096D"/>
    <w:rsid w:val="002415AF"/>
    <w:rsid w:val="00241928"/>
    <w:rsid w:val="002422D4"/>
    <w:rsid w:val="00242353"/>
    <w:rsid w:val="00242380"/>
    <w:rsid w:val="002424AF"/>
    <w:rsid w:val="002428BD"/>
    <w:rsid w:val="00242EFA"/>
    <w:rsid w:val="002433B1"/>
    <w:rsid w:val="002439DC"/>
    <w:rsid w:val="00243F48"/>
    <w:rsid w:val="002441D2"/>
    <w:rsid w:val="00244A34"/>
    <w:rsid w:val="00244DC8"/>
    <w:rsid w:val="00245641"/>
    <w:rsid w:val="00245768"/>
    <w:rsid w:val="002457D8"/>
    <w:rsid w:val="002458BA"/>
    <w:rsid w:val="00245CE9"/>
    <w:rsid w:val="00245D0A"/>
    <w:rsid w:val="00245F49"/>
    <w:rsid w:val="002460BD"/>
    <w:rsid w:val="0024629E"/>
    <w:rsid w:val="0024636C"/>
    <w:rsid w:val="00246AD9"/>
    <w:rsid w:val="00246CEC"/>
    <w:rsid w:val="00247925"/>
    <w:rsid w:val="00247B8D"/>
    <w:rsid w:val="0025068C"/>
    <w:rsid w:val="00250C9B"/>
    <w:rsid w:val="00251006"/>
    <w:rsid w:val="002512A4"/>
    <w:rsid w:val="002514D5"/>
    <w:rsid w:val="002524D5"/>
    <w:rsid w:val="002525CB"/>
    <w:rsid w:val="00252D78"/>
    <w:rsid w:val="00253969"/>
    <w:rsid w:val="00253B1D"/>
    <w:rsid w:val="002544E1"/>
    <w:rsid w:val="002545B8"/>
    <w:rsid w:val="00254951"/>
    <w:rsid w:val="00254DCF"/>
    <w:rsid w:val="00254F2D"/>
    <w:rsid w:val="0025533A"/>
    <w:rsid w:val="0025534B"/>
    <w:rsid w:val="002554E9"/>
    <w:rsid w:val="00255821"/>
    <w:rsid w:val="00255A4E"/>
    <w:rsid w:val="00255BB7"/>
    <w:rsid w:val="00256357"/>
    <w:rsid w:val="0025655A"/>
    <w:rsid w:val="002568D7"/>
    <w:rsid w:val="002574F6"/>
    <w:rsid w:val="00257541"/>
    <w:rsid w:val="0025784C"/>
    <w:rsid w:val="00257A39"/>
    <w:rsid w:val="00257AC4"/>
    <w:rsid w:val="00257ACD"/>
    <w:rsid w:val="002600FA"/>
    <w:rsid w:val="0026010A"/>
    <w:rsid w:val="00260AE6"/>
    <w:rsid w:val="00261431"/>
    <w:rsid w:val="0026199D"/>
    <w:rsid w:val="00261EEF"/>
    <w:rsid w:val="002626C3"/>
    <w:rsid w:val="00262A1A"/>
    <w:rsid w:val="00262A87"/>
    <w:rsid w:val="00262EBE"/>
    <w:rsid w:val="002632CD"/>
    <w:rsid w:val="002638DD"/>
    <w:rsid w:val="00263DB4"/>
    <w:rsid w:val="00264315"/>
    <w:rsid w:val="00264D26"/>
    <w:rsid w:val="002652C1"/>
    <w:rsid w:val="002662BE"/>
    <w:rsid w:val="002662F3"/>
    <w:rsid w:val="00266558"/>
    <w:rsid w:val="00267292"/>
    <w:rsid w:val="00267642"/>
    <w:rsid w:val="0026794E"/>
    <w:rsid w:val="00267AEA"/>
    <w:rsid w:val="00267B51"/>
    <w:rsid w:val="00267FAB"/>
    <w:rsid w:val="002700E6"/>
    <w:rsid w:val="00270996"/>
    <w:rsid w:val="00271370"/>
    <w:rsid w:val="00271699"/>
    <w:rsid w:val="00271804"/>
    <w:rsid w:val="00271B24"/>
    <w:rsid w:val="00271CF3"/>
    <w:rsid w:val="00272567"/>
    <w:rsid w:val="002725DF"/>
    <w:rsid w:val="002727BE"/>
    <w:rsid w:val="0027294B"/>
    <w:rsid w:val="00272A58"/>
    <w:rsid w:val="0027323A"/>
    <w:rsid w:val="002736C7"/>
    <w:rsid w:val="002736E8"/>
    <w:rsid w:val="00273EB4"/>
    <w:rsid w:val="00274207"/>
    <w:rsid w:val="00274682"/>
    <w:rsid w:val="00274A25"/>
    <w:rsid w:val="00274A2F"/>
    <w:rsid w:val="002750C6"/>
    <w:rsid w:val="00275859"/>
    <w:rsid w:val="00275C5A"/>
    <w:rsid w:val="00276209"/>
    <w:rsid w:val="00276FF2"/>
    <w:rsid w:val="002778D7"/>
    <w:rsid w:val="00277DC5"/>
    <w:rsid w:val="00280056"/>
    <w:rsid w:val="002804BD"/>
    <w:rsid w:val="002806FB"/>
    <w:rsid w:val="00280AA2"/>
    <w:rsid w:val="00281014"/>
    <w:rsid w:val="00281398"/>
    <w:rsid w:val="0028142A"/>
    <w:rsid w:val="002835CC"/>
    <w:rsid w:val="00283759"/>
    <w:rsid w:val="002837A8"/>
    <w:rsid w:val="00283944"/>
    <w:rsid w:val="00284AF1"/>
    <w:rsid w:val="00284C84"/>
    <w:rsid w:val="00284D8C"/>
    <w:rsid w:val="00284E36"/>
    <w:rsid w:val="00285158"/>
    <w:rsid w:val="0028574D"/>
    <w:rsid w:val="00285BFD"/>
    <w:rsid w:val="00285BFE"/>
    <w:rsid w:val="00285DFD"/>
    <w:rsid w:val="0028665D"/>
    <w:rsid w:val="00286953"/>
    <w:rsid w:val="002869F8"/>
    <w:rsid w:val="00286C62"/>
    <w:rsid w:val="00286E71"/>
    <w:rsid w:val="00286ED9"/>
    <w:rsid w:val="00287001"/>
    <w:rsid w:val="002877FF"/>
    <w:rsid w:val="002914B9"/>
    <w:rsid w:val="00291E12"/>
    <w:rsid w:val="00292BB2"/>
    <w:rsid w:val="00292C18"/>
    <w:rsid w:val="00293473"/>
    <w:rsid w:val="0029373C"/>
    <w:rsid w:val="00293D87"/>
    <w:rsid w:val="00293F36"/>
    <w:rsid w:val="002944BD"/>
    <w:rsid w:val="00295045"/>
    <w:rsid w:val="00295182"/>
    <w:rsid w:val="00295655"/>
    <w:rsid w:val="00295BCC"/>
    <w:rsid w:val="00295BD5"/>
    <w:rsid w:val="00295F58"/>
    <w:rsid w:val="00296B6F"/>
    <w:rsid w:val="00297628"/>
    <w:rsid w:val="002A0318"/>
    <w:rsid w:val="002A05B4"/>
    <w:rsid w:val="002A0EED"/>
    <w:rsid w:val="002A14AB"/>
    <w:rsid w:val="002A1A2F"/>
    <w:rsid w:val="002A1CA2"/>
    <w:rsid w:val="002A2ADE"/>
    <w:rsid w:val="002A2C2B"/>
    <w:rsid w:val="002A2DF3"/>
    <w:rsid w:val="002A2F50"/>
    <w:rsid w:val="002A3760"/>
    <w:rsid w:val="002A41D9"/>
    <w:rsid w:val="002A449E"/>
    <w:rsid w:val="002A4DF6"/>
    <w:rsid w:val="002A50A5"/>
    <w:rsid w:val="002A5191"/>
    <w:rsid w:val="002A5265"/>
    <w:rsid w:val="002A5483"/>
    <w:rsid w:val="002A5D82"/>
    <w:rsid w:val="002A70BD"/>
    <w:rsid w:val="002A76F1"/>
    <w:rsid w:val="002A785D"/>
    <w:rsid w:val="002A7C6B"/>
    <w:rsid w:val="002A7D3E"/>
    <w:rsid w:val="002B0511"/>
    <w:rsid w:val="002B05A1"/>
    <w:rsid w:val="002B06C4"/>
    <w:rsid w:val="002B09A4"/>
    <w:rsid w:val="002B11D0"/>
    <w:rsid w:val="002B128C"/>
    <w:rsid w:val="002B14C9"/>
    <w:rsid w:val="002B1836"/>
    <w:rsid w:val="002B1C1F"/>
    <w:rsid w:val="002B28B2"/>
    <w:rsid w:val="002B294F"/>
    <w:rsid w:val="002B2BFF"/>
    <w:rsid w:val="002B2D59"/>
    <w:rsid w:val="002B319A"/>
    <w:rsid w:val="002B35F6"/>
    <w:rsid w:val="002B3E93"/>
    <w:rsid w:val="002B432F"/>
    <w:rsid w:val="002B4D6C"/>
    <w:rsid w:val="002B4E0B"/>
    <w:rsid w:val="002B4F9C"/>
    <w:rsid w:val="002B50AB"/>
    <w:rsid w:val="002B5476"/>
    <w:rsid w:val="002B600F"/>
    <w:rsid w:val="002B62B3"/>
    <w:rsid w:val="002B6754"/>
    <w:rsid w:val="002B6841"/>
    <w:rsid w:val="002B6CCE"/>
    <w:rsid w:val="002B6E86"/>
    <w:rsid w:val="002B6F30"/>
    <w:rsid w:val="002B71D5"/>
    <w:rsid w:val="002B723F"/>
    <w:rsid w:val="002B7880"/>
    <w:rsid w:val="002B7CCA"/>
    <w:rsid w:val="002C1E1C"/>
    <w:rsid w:val="002C2156"/>
    <w:rsid w:val="002C2510"/>
    <w:rsid w:val="002C2775"/>
    <w:rsid w:val="002C27C1"/>
    <w:rsid w:val="002C2CCA"/>
    <w:rsid w:val="002C38F7"/>
    <w:rsid w:val="002C452B"/>
    <w:rsid w:val="002C460C"/>
    <w:rsid w:val="002C4714"/>
    <w:rsid w:val="002C5099"/>
    <w:rsid w:val="002C53B0"/>
    <w:rsid w:val="002C54DF"/>
    <w:rsid w:val="002C5882"/>
    <w:rsid w:val="002C5889"/>
    <w:rsid w:val="002C593B"/>
    <w:rsid w:val="002C5A9C"/>
    <w:rsid w:val="002C5FB0"/>
    <w:rsid w:val="002C61B9"/>
    <w:rsid w:val="002C632D"/>
    <w:rsid w:val="002C67AE"/>
    <w:rsid w:val="002C69FA"/>
    <w:rsid w:val="002C7082"/>
    <w:rsid w:val="002C709F"/>
    <w:rsid w:val="002C71CE"/>
    <w:rsid w:val="002C7AE9"/>
    <w:rsid w:val="002D08F8"/>
    <w:rsid w:val="002D13B6"/>
    <w:rsid w:val="002D1838"/>
    <w:rsid w:val="002D18B4"/>
    <w:rsid w:val="002D1D21"/>
    <w:rsid w:val="002D1DCA"/>
    <w:rsid w:val="002D241C"/>
    <w:rsid w:val="002D28B0"/>
    <w:rsid w:val="002D2987"/>
    <w:rsid w:val="002D2B0B"/>
    <w:rsid w:val="002D2BBF"/>
    <w:rsid w:val="002D577C"/>
    <w:rsid w:val="002D5815"/>
    <w:rsid w:val="002D5D3D"/>
    <w:rsid w:val="002D5DC9"/>
    <w:rsid w:val="002D609F"/>
    <w:rsid w:val="002D649D"/>
    <w:rsid w:val="002D6627"/>
    <w:rsid w:val="002D6820"/>
    <w:rsid w:val="002D693E"/>
    <w:rsid w:val="002D7237"/>
    <w:rsid w:val="002D7968"/>
    <w:rsid w:val="002E013D"/>
    <w:rsid w:val="002E1071"/>
    <w:rsid w:val="002E110A"/>
    <w:rsid w:val="002E15B9"/>
    <w:rsid w:val="002E1A29"/>
    <w:rsid w:val="002E2158"/>
    <w:rsid w:val="002E3B4F"/>
    <w:rsid w:val="002E3C71"/>
    <w:rsid w:val="002E3F22"/>
    <w:rsid w:val="002E4360"/>
    <w:rsid w:val="002E4CF8"/>
    <w:rsid w:val="002E4F02"/>
    <w:rsid w:val="002E5D38"/>
    <w:rsid w:val="002E6E27"/>
    <w:rsid w:val="002E70A1"/>
    <w:rsid w:val="002E7722"/>
    <w:rsid w:val="002E7ABC"/>
    <w:rsid w:val="002E7DDC"/>
    <w:rsid w:val="002F01B1"/>
    <w:rsid w:val="002F07BA"/>
    <w:rsid w:val="002F09F5"/>
    <w:rsid w:val="002F0C0F"/>
    <w:rsid w:val="002F0DA9"/>
    <w:rsid w:val="002F1014"/>
    <w:rsid w:val="002F1308"/>
    <w:rsid w:val="002F1321"/>
    <w:rsid w:val="002F269A"/>
    <w:rsid w:val="002F2A77"/>
    <w:rsid w:val="002F3114"/>
    <w:rsid w:val="002F332B"/>
    <w:rsid w:val="002F3876"/>
    <w:rsid w:val="002F3E16"/>
    <w:rsid w:val="002F5088"/>
    <w:rsid w:val="002F5163"/>
    <w:rsid w:val="002F5AD8"/>
    <w:rsid w:val="002F643C"/>
    <w:rsid w:val="002F6E6A"/>
    <w:rsid w:val="002F7158"/>
    <w:rsid w:val="002F71AA"/>
    <w:rsid w:val="002F71C0"/>
    <w:rsid w:val="002F74F1"/>
    <w:rsid w:val="002F7F34"/>
    <w:rsid w:val="00300C53"/>
    <w:rsid w:val="00301017"/>
    <w:rsid w:val="003012EC"/>
    <w:rsid w:val="0030155F"/>
    <w:rsid w:val="0030175C"/>
    <w:rsid w:val="003022FC"/>
    <w:rsid w:val="00302B0D"/>
    <w:rsid w:val="00302B42"/>
    <w:rsid w:val="00302D4D"/>
    <w:rsid w:val="00302F77"/>
    <w:rsid w:val="0030386F"/>
    <w:rsid w:val="00303EB7"/>
    <w:rsid w:val="003042C5"/>
    <w:rsid w:val="00304795"/>
    <w:rsid w:val="00304E71"/>
    <w:rsid w:val="0030587B"/>
    <w:rsid w:val="00305FF9"/>
    <w:rsid w:val="00306182"/>
    <w:rsid w:val="0030667D"/>
    <w:rsid w:val="003068C8"/>
    <w:rsid w:val="00306CF8"/>
    <w:rsid w:val="00306D98"/>
    <w:rsid w:val="00306FA6"/>
    <w:rsid w:val="003076A5"/>
    <w:rsid w:val="0030772F"/>
    <w:rsid w:val="0030786C"/>
    <w:rsid w:val="00307C9F"/>
    <w:rsid w:val="003101F1"/>
    <w:rsid w:val="0031031A"/>
    <w:rsid w:val="0031067C"/>
    <w:rsid w:val="00310981"/>
    <w:rsid w:val="00310DA4"/>
    <w:rsid w:val="00310DFC"/>
    <w:rsid w:val="003110F4"/>
    <w:rsid w:val="003114C5"/>
    <w:rsid w:val="00312002"/>
    <w:rsid w:val="00312261"/>
    <w:rsid w:val="003124D9"/>
    <w:rsid w:val="00312594"/>
    <w:rsid w:val="00312840"/>
    <w:rsid w:val="00312F2D"/>
    <w:rsid w:val="00313123"/>
    <w:rsid w:val="00313690"/>
    <w:rsid w:val="00313979"/>
    <w:rsid w:val="00313B3C"/>
    <w:rsid w:val="0031446C"/>
    <w:rsid w:val="0031464B"/>
    <w:rsid w:val="00314737"/>
    <w:rsid w:val="00314B73"/>
    <w:rsid w:val="00314C16"/>
    <w:rsid w:val="00314FB1"/>
    <w:rsid w:val="0031503D"/>
    <w:rsid w:val="003152DB"/>
    <w:rsid w:val="00315498"/>
    <w:rsid w:val="00315856"/>
    <w:rsid w:val="00315AB9"/>
    <w:rsid w:val="00316474"/>
    <w:rsid w:val="003171FB"/>
    <w:rsid w:val="003176C8"/>
    <w:rsid w:val="00317C33"/>
    <w:rsid w:val="00320109"/>
    <w:rsid w:val="00320221"/>
    <w:rsid w:val="00320BF4"/>
    <w:rsid w:val="003212DF"/>
    <w:rsid w:val="0032139A"/>
    <w:rsid w:val="00321700"/>
    <w:rsid w:val="0032179F"/>
    <w:rsid w:val="003218B2"/>
    <w:rsid w:val="00322107"/>
    <w:rsid w:val="00322355"/>
    <w:rsid w:val="00322740"/>
    <w:rsid w:val="00322846"/>
    <w:rsid w:val="00322C1E"/>
    <w:rsid w:val="00322DFC"/>
    <w:rsid w:val="00323DB3"/>
    <w:rsid w:val="0032451B"/>
    <w:rsid w:val="0032466A"/>
    <w:rsid w:val="00325011"/>
    <w:rsid w:val="00325C8E"/>
    <w:rsid w:val="00325E61"/>
    <w:rsid w:val="00325FE6"/>
    <w:rsid w:val="00326A1A"/>
    <w:rsid w:val="00326A93"/>
    <w:rsid w:val="00326D71"/>
    <w:rsid w:val="00326DA7"/>
    <w:rsid w:val="00326F71"/>
    <w:rsid w:val="003270E4"/>
    <w:rsid w:val="003274CF"/>
    <w:rsid w:val="0032771E"/>
    <w:rsid w:val="0032778B"/>
    <w:rsid w:val="00327A20"/>
    <w:rsid w:val="00327A32"/>
    <w:rsid w:val="00327C3D"/>
    <w:rsid w:val="00330DAA"/>
    <w:rsid w:val="00330F5C"/>
    <w:rsid w:val="0033129D"/>
    <w:rsid w:val="0033132B"/>
    <w:rsid w:val="00331821"/>
    <w:rsid w:val="003328CE"/>
    <w:rsid w:val="003329DA"/>
    <w:rsid w:val="00332ABF"/>
    <w:rsid w:val="00333F63"/>
    <w:rsid w:val="00334C44"/>
    <w:rsid w:val="00334CC6"/>
    <w:rsid w:val="0033526B"/>
    <w:rsid w:val="003366C9"/>
    <w:rsid w:val="00336899"/>
    <w:rsid w:val="00336BBB"/>
    <w:rsid w:val="00336BD8"/>
    <w:rsid w:val="003371B0"/>
    <w:rsid w:val="00337664"/>
    <w:rsid w:val="003378A2"/>
    <w:rsid w:val="00337EA2"/>
    <w:rsid w:val="00340BB6"/>
    <w:rsid w:val="00340BB9"/>
    <w:rsid w:val="00340DF1"/>
    <w:rsid w:val="003419C9"/>
    <w:rsid w:val="00341FA9"/>
    <w:rsid w:val="003422E3"/>
    <w:rsid w:val="00343202"/>
    <w:rsid w:val="003436A8"/>
    <w:rsid w:val="00343A9A"/>
    <w:rsid w:val="00343B42"/>
    <w:rsid w:val="00344137"/>
    <w:rsid w:val="0034473A"/>
    <w:rsid w:val="00345C37"/>
    <w:rsid w:val="003463DA"/>
    <w:rsid w:val="003467CD"/>
    <w:rsid w:val="00346F54"/>
    <w:rsid w:val="0035044E"/>
    <w:rsid w:val="00350FD5"/>
    <w:rsid w:val="00351678"/>
    <w:rsid w:val="003517F9"/>
    <w:rsid w:val="0035191D"/>
    <w:rsid w:val="00351BA9"/>
    <w:rsid w:val="00351F60"/>
    <w:rsid w:val="003522DA"/>
    <w:rsid w:val="00354F64"/>
    <w:rsid w:val="003558C3"/>
    <w:rsid w:val="00355AE0"/>
    <w:rsid w:val="00355DBC"/>
    <w:rsid w:val="0035620E"/>
    <w:rsid w:val="0035662D"/>
    <w:rsid w:val="00356DB0"/>
    <w:rsid w:val="00357019"/>
    <w:rsid w:val="0035741C"/>
    <w:rsid w:val="003576AA"/>
    <w:rsid w:val="00360345"/>
    <w:rsid w:val="00360973"/>
    <w:rsid w:val="00361709"/>
    <w:rsid w:val="00361A05"/>
    <w:rsid w:val="00361E9E"/>
    <w:rsid w:val="00362431"/>
    <w:rsid w:val="003624C4"/>
    <w:rsid w:val="00363125"/>
    <w:rsid w:val="00363659"/>
    <w:rsid w:val="00363A5C"/>
    <w:rsid w:val="00363A78"/>
    <w:rsid w:val="00363B00"/>
    <w:rsid w:val="00363D67"/>
    <w:rsid w:val="0036461B"/>
    <w:rsid w:val="00364681"/>
    <w:rsid w:val="003647D9"/>
    <w:rsid w:val="00364846"/>
    <w:rsid w:val="00364E7A"/>
    <w:rsid w:val="003654AC"/>
    <w:rsid w:val="00365CFA"/>
    <w:rsid w:val="003661DF"/>
    <w:rsid w:val="003666EC"/>
    <w:rsid w:val="00366A34"/>
    <w:rsid w:val="00366E2E"/>
    <w:rsid w:val="00367184"/>
    <w:rsid w:val="00370EDA"/>
    <w:rsid w:val="00370EF8"/>
    <w:rsid w:val="003710CF"/>
    <w:rsid w:val="003719E9"/>
    <w:rsid w:val="00371D77"/>
    <w:rsid w:val="00371EA6"/>
    <w:rsid w:val="0037250E"/>
    <w:rsid w:val="00372761"/>
    <w:rsid w:val="00372813"/>
    <w:rsid w:val="00372DAC"/>
    <w:rsid w:val="00372F07"/>
    <w:rsid w:val="0037358A"/>
    <w:rsid w:val="003735EB"/>
    <w:rsid w:val="0037389D"/>
    <w:rsid w:val="003739C0"/>
    <w:rsid w:val="00373EFF"/>
    <w:rsid w:val="00374AC8"/>
    <w:rsid w:val="003750F6"/>
    <w:rsid w:val="0037564C"/>
    <w:rsid w:val="003757F2"/>
    <w:rsid w:val="003760FC"/>
    <w:rsid w:val="003766E6"/>
    <w:rsid w:val="0037692B"/>
    <w:rsid w:val="00376CCC"/>
    <w:rsid w:val="003772B8"/>
    <w:rsid w:val="0037769B"/>
    <w:rsid w:val="00377789"/>
    <w:rsid w:val="00377818"/>
    <w:rsid w:val="003779B1"/>
    <w:rsid w:val="00377A0D"/>
    <w:rsid w:val="00380942"/>
    <w:rsid w:val="00381385"/>
    <w:rsid w:val="00381476"/>
    <w:rsid w:val="00382223"/>
    <w:rsid w:val="00382B13"/>
    <w:rsid w:val="0038365C"/>
    <w:rsid w:val="0038369B"/>
    <w:rsid w:val="003838C8"/>
    <w:rsid w:val="003839C7"/>
    <w:rsid w:val="00383B78"/>
    <w:rsid w:val="00384038"/>
    <w:rsid w:val="003850C7"/>
    <w:rsid w:val="00385196"/>
    <w:rsid w:val="00385A9D"/>
    <w:rsid w:val="00385E77"/>
    <w:rsid w:val="00386767"/>
    <w:rsid w:val="00386E04"/>
    <w:rsid w:val="0038744C"/>
    <w:rsid w:val="00387636"/>
    <w:rsid w:val="0038771C"/>
    <w:rsid w:val="00387A0B"/>
    <w:rsid w:val="003902B1"/>
    <w:rsid w:val="003906C6"/>
    <w:rsid w:val="00390A7D"/>
    <w:rsid w:val="0039179C"/>
    <w:rsid w:val="00392484"/>
    <w:rsid w:val="00392ED1"/>
    <w:rsid w:val="00393E4E"/>
    <w:rsid w:val="00393EE1"/>
    <w:rsid w:val="00395E6B"/>
    <w:rsid w:val="00395EF5"/>
    <w:rsid w:val="003966B0"/>
    <w:rsid w:val="00396851"/>
    <w:rsid w:val="00396896"/>
    <w:rsid w:val="0039689A"/>
    <w:rsid w:val="00396E3F"/>
    <w:rsid w:val="00396FD0"/>
    <w:rsid w:val="00397939"/>
    <w:rsid w:val="00397B56"/>
    <w:rsid w:val="003A03B5"/>
    <w:rsid w:val="003A05A6"/>
    <w:rsid w:val="003A0DBE"/>
    <w:rsid w:val="003A105C"/>
    <w:rsid w:val="003A17C8"/>
    <w:rsid w:val="003A1A7A"/>
    <w:rsid w:val="003A1ABC"/>
    <w:rsid w:val="003A213A"/>
    <w:rsid w:val="003A2392"/>
    <w:rsid w:val="003A2831"/>
    <w:rsid w:val="003A30EB"/>
    <w:rsid w:val="003A3CB6"/>
    <w:rsid w:val="003A3D78"/>
    <w:rsid w:val="003A3ED1"/>
    <w:rsid w:val="003A44DB"/>
    <w:rsid w:val="003A4535"/>
    <w:rsid w:val="003A4D82"/>
    <w:rsid w:val="003A543B"/>
    <w:rsid w:val="003A5EB1"/>
    <w:rsid w:val="003B000A"/>
    <w:rsid w:val="003B0ACF"/>
    <w:rsid w:val="003B0BC7"/>
    <w:rsid w:val="003B0DD6"/>
    <w:rsid w:val="003B1D4A"/>
    <w:rsid w:val="003B225A"/>
    <w:rsid w:val="003B231F"/>
    <w:rsid w:val="003B27E2"/>
    <w:rsid w:val="003B2C0E"/>
    <w:rsid w:val="003B3971"/>
    <w:rsid w:val="003B3FE1"/>
    <w:rsid w:val="003B4284"/>
    <w:rsid w:val="003B44AE"/>
    <w:rsid w:val="003B4C2E"/>
    <w:rsid w:val="003B4D63"/>
    <w:rsid w:val="003B4D95"/>
    <w:rsid w:val="003B55D1"/>
    <w:rsid w:val="003B5B61"/>
    <w:rsid w:val="003B6178"/>
    <w:rsid w:val="003B619B"/>
    <w:rsid w:val="003B628E"/>
    <w:rsid w:val="003B65E0"/>
    <w:rsid w:val="003B734D"/>
    <w:rsid w:val="003B77B4"/>
    <w:rsid w:val="003B7963"/>
    <w:rsid w:val="003C0813"/>
    <w:rsid w:val="003C08D5"/>
    <w:rsid w:val="003C09AC"/>
    <w:rsid w:val="003C09C7"/>
    <w:rsid w:val="003C1654"/>
    <w:rsid w:val="003C2319"/>
    <w:rsid w:val="003C3488"/>
    <w:rsid w:val="003C37CC"/>
    <w:rsid w:val="003C3D49"/>
    <w:rsid w:val="003C479A"/>
    <w:rsid w:val="003C4DAA"/>
    <w:rsid w:val="003C5542"/>
    <w:rsid w:val="003C69B1"/>
    <w:rsid w:val="003C6A1C"/>
    <w:rsid w:val="003C6CEA"/>
    <w:rsid w:val="003C6E83"/>
    <w:rsid w:val="003C7D19"/>
    <w:rsid w:val="003C7D2F"/>
    <w:rsid w:val="003C7DFB"/>
    <w:rsid w:val="003D0D0A"/>
    <w:rsid w:val="003D0FF9"/>
    <w:rsid w:val="003D1828"/>
    <w:rsid w:val="003D1DE4"/>
    <w:rsid w:val="003D1E9A"/>
    <w:rsid w:val="003D218E"/>
    <w:rsid w:val="003D23FD"/>
    <w:rsid w:val="003D2422"/>
    <w:rsid w:val="003D250B"/>
    <w:rsid w:val="003D2C0E"/>
    <w:rsid w:val="003D2DB7"/>
    <w:rsid w:val="003D2EBE"/>
    <w:rsid w:val="003D2FBC"/>
    <w:rsid w:val="003D39A1"/>
    <w:rsid w:val="003D3E0B"/>
    <w:rsid w:val="003D3FBF"/>
    <w:rsid w:val="003D484F"/>
    <w:rsid w:val="003D4A30"/>
    <w:rsid w:val="003D4C7C"/>
    <w:rsid w:val="003D5F58"/>
    <w:rsid w:val="003D6BC1"/>
    <w:rsid w:val="003D6E3F"/>
    <w:rsid w:val="003D7452"/>
    <w:rsid w:val="003D7601"/>
    <w:rsid w:val="003D7615"/>
    <w:rsid w:val="003D79BB"/>
    <w:rsid w:val="003D7C98"/>
    <w:rsid w:val="003D7D9D"/>
    <w:rsid w:val="003D7DFA"/>
    <w:rsid w:val="003E0543"/>
    <w:rsid w:val="003E1139"/>
    <w:rsid w:val="003E1AAC"/>
    <w:rsid w:val="003E2E1A"/>
    <w:rsid w:val="003E311F"/>
    <w:rsid w:val="003E3779"/>
    <w:rsid w:val="003E396B"/>
    <w:rsid w:val="003E3D93"/>
    <w:rsid w:val="003E4430"/>
    <w:rsid w:val="003E5619"/>
    <w:rsid w:val="003E57E1"/>
    <w:rsid w:val="003E6025"/>
    <w:rsid w:val="003E66B2"/>
    <w:rsid w:val="003E6E5C"/>
    <w:rsid w:val="003E749E"/>
    <w:rsid w:val="003F04DC"/>
    <w:rsid w:val="003F0946"/>
    <w:rsid w:val="003F1349"/>
    <w:rsid w:val="003F2660"/>
    <w:rsid w:val="003F3020"/>
    <w:rsid w:val="003F35BD"/>
    <w:rsid w:val="003F3B39"/>
    <w:rsid w:val="003F3B4A"/>
    <w:rsid w:val="003F3D8A"/>
    <w:rsid w:val="003F3E8D"/>
    <w:rsid w:val="003F4156"/>
    <w:rsid w:val="003F4866"/>
    <w:rsid w:val="003F487D"/>
    <w:rsid w:val="003F5777"/>
    <w:rsid w:val="003F5ADF"/>
    <w:rsid w:val="003F5B47"/>
    <w:rsid w:val="003F604A"/>
    <w:rsid w:val="003F7713"/>
    <w:rsid w:val="003F7D9B"/>
    <w:rsid w:val="004008A3"/>
    <w:rsid w:val="00400959"/>
    <w:rsid w:val="00400977"/>
    <w:rsid w:val="00400B29"/>
    <w:rsid w:val="00401155"/>
    <w:rsid w:val="00401333"/>
    <w:rsid w:val="0040148D"/>
    <w:rsid w:val="0040155B"/>
    <w:rsid w:val="00401696"/>
    <w:rsid w:val="00401AD1"/>
    <w:rsid w:val="00401C81"/>
    <w:rsid w:val="00402FAB"/>
    <w:rsid w:val="0040308A"/>
    <w:rsid w:val="0040454B"/>
    <w:rsid w:val="00404625"/>
    <w:rsid w:val="0040494B"/>
    <w:rsid w:val="0040504B"/>
    <w:rsid w:val="004059F4"/>
    <w:rsid w:val="004078E6"/>
    <w:rsid w:val="00407FE5"/>
    <w:rsid w:val="004101B0"/>
    <w:rsid w:val="004101C5"/>
    <w:rsid w:val="00410326"/>
    <w:rsid w:val="00410708"/>
    <w:rsid w:val="00410AD0"/>
    <w:rsid w:val="00410D7D"/>
    <w:rsid w:val="00410E7B"/>
    <w:rsid w:val="00410EC7"/>
    <w:rsid w:val="00411B39"/>
    <w:rsid w:val="004127A7"/>
    <w:rsid w:val="00412CD2"/>
    <w:rsid w:val="00413446"/>
    <w:rsid w:val="00413A1E"/>
    <w:rsid w:val="00414476"/>
    <w:rsid w:val="00414630"/>
    <w:rsid w:val="00414ABD"/>
    <w:rsid w:val="00414C2E"/>
    <w:rsid w:val="004150ED"/>
    <w:rsid w:val="004151CF"/>
    <w:rsid w:val="00415385"/>
    <w:rsid w:val="00415B6B"/>
    <w:rsid w:val="00416107"/>
    <w:rsid w:val="00416364"/>
    <w:rsid w:val="00417A65"/>
    <w:rsid w:val="00417AD8"/>
    <w:rsid w:val="00417C86"/>
    <w:rsid w:val="00420289"/>
    <w:rsid w:val="00420396"/>
    <w:rsid w:val="0042047F"/>
    <w:rsid w:val="00420AA6"/>
    <w:rsid w:val="00420B9F"/>
    <w:rsid w:val="004211F5"/>
    <w:rsid w:val="0042192C"/>
    <w:rsid w:val="004219B7"/>
    <w:rsid w:val="00422260"/>
    <w:rsid w:val="00422429"/>
    <w:rsid w:val="00422A5D"/>
    <w:rsid w:val="00422B9A"/>
    <w:rsid w:val="00422FBD"/>
    <w:rsid w:val="004234F3"/>
    <w:rsid w:val="004235EF"/>
    <w:rsid w:val="00423713"/>
    <w:rsid w:val="0042413F"/>
    <w:rsid w:val="004241CC"/>
    <w:rsid w:val="00424935"/>
    <w:rsid w:val="00424A55"/>
    <w:rsid w:val="00424FCB"/>
    <w:rsid w:val="004258A7"/>
    <w:rsid w:val="00425CA9"/>
    <w:rsid w:val="004277E3"/>
    <w:rsid w:val="00430255"/>
    <w:rsid w:val="004305C3"/>
    <w:rsid w:val="004306B9"/>
    <w:rsid w:val="0043100C"/>
    <w:rsid w:val="004319F8"/>
    <w:rsid w:val="00431E55"/>
    <w:rsid w:val="00432104"/>
    <w:rsid w:val="004321B9"/>
    <w:rsid w:val="004321F6"/>
    <w:rsid w:val="0043237A"/>
    <w:rsid w:val="00432F92"/>
    <w:rsid w:val="00433044"/>
    <w:rsid w:val="00433E48"/>
    <w:rsid w:val="00434068"/>
    <w:rsid w:val="00434088"/>
    <w:rsid w:val="00434437"/>
    <w:rsid w:val="00434772"/>
    <w:rsid w:val="004350A4"/>
    <w:rsid w:val="004352F5"/>
    <w:rsid w:val="004354D8"/>
    <w:rsid w:val="0043611D"/>
    <w:rsid w:val="004363E4"/>
    <w:rsid w:val="004375B9"/>
    <w:rsid w:val="00437D03"/>
    <w:rsid w:val="0044090B"/>
    <w:rsid w:val="0044094B"/>
    <w:rsid w:val="004411B4"/>
    <w:rsid w:val="0044190F"/>
    <w:rsid w:val="004424E9"/>
    <w:rsid w:val="004428D0"/>
    <w:rsid w:val="00443210"/>
    <w:rsid w:val="00443873"/>
    <w:rsid w:val="004439F5"/>
    <w:rsid w:val="0044407A"/>
    <w:rsid w:val="00444185"/>
    <w:rsid w:val="004443A7"/>
    <w:rsid w:val="0044442C"/>
    <w:rsid w:val="0044491D"/>
    <w:rsid w:val="00444DEF"/>
    <w:rsid w:val="00445273"/>
    <w:rsid w:val="00445941"/>
    <w:rsid w:val="004464EB"/>
    <w:rsid w:val="00446CFB"/>
    <w:rsid w:val="00447D26"/>
    <w:rsid w:val="00447DFC"/>
    <w:rsid w:val="0045088C"/>
    <w:rsid w:val="0045162B"/>
    <w:rsid w:val="00452630"/>
    <w:rsid w:val="00452B39"/>
    <w:rsid w:val="00452BBA"/>
    <w:rsid w:val="00452DF9"/>
    <w:rsid w:val="0045332B"/>
    <w:rsid w:val="00453342"/>
    <w:rsid w:val="00454533"/>
    <w:rsid w:val="004551DA"/>
    <w:rsid w:val="00455230"/>
    <w:rsid w:val="004553DB"/>
    <w:rsid w:val="00455652"/>
    <w:rsid w:val="00455808"/>
    <w:rsid w:val="00455BC1"/>
    <w:rsid w:val="00455BD4"/>
    <w:rsid w:val="00455D45"/>
    <w:rsid w:val="00455EE6"/>
    <w:rsid w:val="004562CB"/>
    <w:rsid w:val="004566C7"/>
    <w:rsid w:val="00456A1A"/>
    <w:rsid w:val="00457088"/>
    <w:rsid w:val="004609D0"/>
    <w:rsid w:val="00460EAB"/>
    <w:rsid w:val="00460F8E"/>
    <w:rsid w:val="00461338"/>
    <w:rsid w:val="004629D0"/>
    <w:rsid w:val="004635DB"/>
    <w:rsid w:val="004636B1"/>
    <w:rsid w:val="0046381A"/>
    <w:rsid w:val="00463B04"/>
    <w:rsid w:val="00463E81"/>
    <w:rsid w:val="00464508"/>
    <w:rsid w:val="00464595"/>
    <w:rsid w:val="004658B5"/>
    <w:rsid w:val="00466810"/>
    <w:rsid w:val="004673D2"/>
    <w:rsid w:val="00467A04"/>
    <w:rsid w:val="00470728"/>
    <w:rsid w:val="004709C4"/>
    <w:rsid w:val="00470FDA"/>
    <w:rsid w:val="00471EA5"/>
    <w:rsid w:val="004725C9"/>
    <w:rsid w:val="00472A79"/>
    <w:rsid w:val="00473F19"/>
    <w:rsid w:val="00473F4F"/>
    <w:rsid w:val="00474233"/>
    <w:rsid w:val="00474443"/>
    <w:rsid w:val="00475E22"/>
    <w:rsid w:val="004766A4"/>
    <w:rsid w:val="004766CB"/>
    <w:rsid w:val="00476CB5"/>
    <w:rsid w:val="00476F54"/>
    <w:rsid w:val="004775FE"/>
    <w:rsid w:val="0047780C"/>
    <w:rsid w:val="00477A04"/>
    <w:rsid w:val="00477DBA"/>
    <w:rsid w:val="0048088E"/>
    <w:rsid w:val="00480F2B"/>
    <w:rsid w:val="0048141D"/>
    <w:rsid w:val="004819AE"/>
    <w:rsid w:val="00482586"/>
    <w:rsid w:val="004825EC"/>
    <w:rsid w:val="00482720"/>
    <w:rsid w:val="00482C33"/>
    <w:rsid w:val="004835E7"/>
    <w:rsid w:val="00483869"/>
    <w:rsid w:val="00483D55"/>
    <w:rsid w:val="00484EAB"/>
    <w:rsid w:val="00485759"/>
    <w:rsid w:val="00485C3A"/>
    <w:rsid w:val="004862EF"/>
    <w:rsid w:val="00486346"/>
    <w:rsid w:val="004867E2"/>
    <w:rsid w:val="00486FEE"/>
    <w:rsid w:val="004879C5"/>
    <w:rsid w:val="00487C96"/>
    <w:rsid w:val="0049038B"/>
    <w:rsid w:val="00490B17"/>
    <w:rsid w:val="00491727"/>
    <w:rsid w:val="00491814"/>
    <w:rsid w:val="00491B3A"/>
    <w:rsid w:val="00491F3C"/>
    <w:rsid w:val="004923C2"/>
    <w:rsid w:val="004923F9"/>
    <w:rsid w:val="00492CFD"/>
    <w:rsid w:val="0049305D"/>
    <w:rsid w:val="00493B35"/>
    <w:rsid w:val="00494207"/>
    <w:rsid w:val="004945E0"/>
    <w:rsid w:val="00494DD5"/>
    <w:rsid w:val="00494F24"/>
    <w:rsid w:val="00495DC1"/>
    <w:rsid w:val="004962D2"/>
    <w:rsid w:val="0049766B"/>
    <w:rsid w:val="0049792C"/>
    <w:rsid w:val="00497A22"/>
    <w:rsid w:val="00497FAE"/>
    <w:rsid w:val="004A00CC"/>
    <w:rsid w:val="004A014D"/>
    <w:rsid w:val="004A0672"/>
    <w:rsid w:val="004A0C97"/>
    <w:rsid w:val="004A0DA1"/>
    <w:rsid w:val="004A13D6"/>
    <w:rsid w:val="004A19BD"/>
    <w:rsid w:val="004A21E8"/>
    <w:rsid w:val="004A2226"/>
    <w:rsid w:val="004A2EF1"/>
    <w:rsid w:val="004A30A0"/>
    <w:rsid w:val="004A3394"/>
    <w:rsid w:val="004A3643"/>
    <w:rsid w:val="004A3BF8"/>
    <w:rsid w:val="004A3E39"/>
    <w:rsid w:val="004A473B"/>
    <w:rsid w:val="004A477F"/>
    <w:rsid w:val="004A4D75"/>
    <w:rsid w:val="004A4F19"/>
    <w:rsid w:val="004A52E9"/>
    <w:rsid w:val="004A56D9"/>
    <w:rsid w:val="004A6040"/>
    <w:rsid w:val="004A61A7"/>
    <w:rsid w:val="004A6583"/>
    <w:rsid w:val="004A6597"/>
    <w:rsid w:val="004A6A7B"/>
    <w:rsid w:val="004A707C"/>
    <w:rsid w:val="004A71B4"/>
    <w:rsid w:val="004A7357"/>
    <w:rsid w:val="004A7848"/>
    <w:rsid w:val="004A7EEF"/>
    <w:rsid w:val="004B0089"/>
    <w:rsid w:val="004B0BD9"/>
    <w:rsid w:val="004B0E5B"/>
    <w:rsid w:val="004B15EE"/>
    <w:rsid w:val="004B1CB4"/>
    <w:rsid w:val="004B1D82"/>
    <w:rsid w:val="004B270E"/>
    <w:rsid w:val="004B2F18"/>
    <w:rsid w:val="004B3DDB"/>
    <w:rsid w:val="004B44FD"/>
    <w:rsid w:val="004B4866"/>
    <w:rsid w:val="004B4CC6"/>
    <w:rsid w:val="004B512E"/>
    <w:rsid w:val="004B552B"/>
    <w:rsid w:val="004B5724"/>
    <w:rsid w:val="004B5A52"/>
    <w:rsid w:val="004B5BFA"/>
    <w:rsid w:val="004B5CA8"/>
    <w:rsid w:val="004B5CFC"/>
    <w:rsid w:val="004B6507"/>
    <w:rsid w:val="004B6521"/>
    <w:rsid w:val="004B6CF8"/>
    <w:rsid w:val="004B6F79"/>
    <w:rsid w:val="004B70B3"/>
    <w:rsid w:val="004B72A9"/>
    <w:rsid w:val="004B774D"/>
    <w:rsid w:val="004B7E5E"/>
    <w:rsid w:val="004C0C80"/>
    <w:rsid w:val="004C14B5"/>
    <w:rsid w:val="004C15D9"/>
    <w:rsid w:val="004C1987"/>
    <w:rsid w:val="004C2F1F"/>
    <w:rsid w:val="004C3F9A"/>
    <w:rsid w:val="004C45AD"/>
    <w:rsid w:val="004C4908"/>
    <w:rsid w:val="004C4AED"/>
    <w:rsid w:val="004C4D1C"/>
    <w:rsid w:val="004C4F85"/>
    <w:rsid w:val="004C532A"/>
    <w:rsid w:val="004C5661"/>
    <w:rsid w:val="004C6E12"/>
    <w:rsid w:val="004C6E4C"/>
    <w:rsid w:val="004C72C7"/>
    <w:rsid w:val="004C75D5"/>
    <w:rsid w:val="004C7CB4"/>
    <w:rsid w:val="004C7E24"/>
    <w:rsid w:val="004D1209"/>
    <w:rsid w:val="004D2C2D"/>
    <w:rsid w:val="004D355C"/>
    <w:rsid w:val="004D3931"/>
    <w:rsid w:val="004D3D1B"/>
    <w:rsid w:val="004D416B"/>
    <w:rsid w:val="004D4939"/>
    <w:rsid w:val="004D4A5D"/>
    <w:rsid w:val="004D4A7B"/>
    <w:rsid w:val="004D4F58"/>
    <w:rsid w:val="004D55E2"/>
    <w:rsid w:val="004D61F6"/>
    <w:rsid w:val="004D69B5"/>
    <w:rsid w:val="004D6FF4"/>
    <w:rsid w:val="004D7227"/>
    <w:rsid w:val="004D75B5"/>
    <w:rsid w:val="004E0307"/>
    <w:rsid w:val="004E0E7F"/>
    <w:rsid w:val="004E0EB8"/>
    <w:rsid w:val="004E1719"/>
    <w:rsid w:val="004E18E9"/>
    <w:rsid w:val="004E240D"/>
    <w:rsid w:val="004E264A"/>
    <w:rsid w:val="004E29E5"/>
    <w:rsid w:val="004E29F1"/>
    <w:rsid w:val="004E2ADC"/>
    <w:rsid w:val="004E2EED"/>
    <w:rsid w:val="004E43B2"/>
    <w:rsid w:val="004E43F7"/>
    <w:rsid w:val="004E481D"/>
    <w:rsid w:val="004E4BF5"/>
    <w:rsid w:val="004E4E43"/>
    <w:rsid w:val="004E5084"/>
    <w:rsid w:val="004E5639"/>
    <w:rsid w:val="004E5696"/>
    <w:rsid w:val="004E697E"/>
    <w:rsid w:val="004E7451"/>
    <w:rsid w:val="004E7B18"/>
    <w:rsid w:val="004E7F16"/>
    <w:rsid w:val="004F03AB"/>
    <w:rsid w:val="004F0405"/>
    <w:rsid w:val="004F08AC"/>
    <w:rsid w:val="004F10B7"/>
    <w:rsid w:val="004F1CFD"/>
    <w:rsid w:val="004F1D02"/>
    <w:rsid w:val="004F2626"/>
    <w:rsid w:val="004F2679"/>
    <w:rsid w:val="004F2A12"/>
    <w:rsid w:val="004F2F21"/>
    <w:rsid w:val="004F3BC6"/>
    <w:rsid w:val="004F3C99"/>
    <w:rsid w:val="004F3DE5"/>
    <w:rsid w:val="004F47C9"/>
    <w:rsid w:val="004F5761"/>
    <w:rsid w:val="004F5901"/>
    <w:rsid w:val="004F5940"/>
    <w:rsid w:val="004F5EA1"/>
    <w:rsid w:val="004F659A"/>
    <w:rsid w:val="004F66CB"/>
    <w:rsid w:val="004F6913"/>
    <w:rsid w:val="004F7865"/>
    <w:rsid w:val="004F7E9D"/>
    <w:rsid w:val="00500856"/>
    <w:rsid w:val="00500879"/>
    <w:rsid w:val="0050174E"/>
    <w:rsid w:val="00501854"/>
    <w:rsid w:val="00502017"/>
    <w:rsid w:val="005020FF"/>
    <w:rsid w:val="0050219B"/>
    <w:rsid w:val="005023A0"/>
    <w:rsid w:val="00502876"/>
    <w:rsid w:val="00502D53"/>
    <w:rsid w:val="00503BC9"/>
    <w:rsid w:val="00503F17"/>
    <w:rsid w:val="00503FB0"/>
    <w:rsid w:val="0050406F"/>
    <w:rsid w:val="0050433E"/>
    <w:rsid w:val="00504343"/>
    <w:rsid w:val="005049C1"/>
    <w:rsid w:val="00504B7C"/>
    <w:rsid w:val="00505122"/>
    <w:rsid w:val="00505224"/>
    <w:rsid w:val="0050544D"/>
    <w:rsid w:val="00505FEE"/>
    <w:rsid w:val="00506295"/>
    <w:rsid w:val="00506927"/>
    <w:rsid w:val="00506928"/>
    <w:rsid w:val="00507123"/>
    <w:rsid w:val="005077EF"/>
    <w:rsid w:val="00507DA3"/>
    <w:rsid w:val="00507FBD"/>
    <w:rsid w:val="00510E4B"/>
    <w:rsid w:val="00510FEA"/>
    <w:rsid w:val="00511415"/>
    <w:rsid w:val="005114A0"/>
    <w:rsid w:val="00511AD5"/>
    <w:rsid w:val="00511DC7"/>
    <w:rsid w:val="0051238A"/>
    <w:rsid w:val="00512449"/>
    <w:rsid w:val="00512A0E"/>
    <w:rsid w:val="00513057"/>
    <w:rsid w:val="0051360C"/>
    <w:rsid w:val="00513698"/>
    <w:rsid w:val="00513E4B"/>
    <w:rsid w:val="005142C5"/>
    <w:rsid w:val="005143E0"/>
    <w:rsid w:val="00514555"/>
    <w:rsid w:val="005147D4"/>
    <w:rsid w:val="00514A33"/>
    <w:rsid w:val="00514DF5"/>
    <w:rsid w:val="00514F15"/>
    <w:rsid w:val="0051501B"/>
    <w:rsid w:val="005152B5"/>
    <w:rsid w:val="00515776"/>
    <w:rsid w:val="00515DBB"/>
    <w:rsid w:val="00515FE0"/>
    <w:rsid w:val="0051604B"/>
    <w:rsid w:val="00516107"/>
    <w:rsid w:val="005165B7"/>
    <w:rsid w:val="00516954"/>
    <w:rsid w:val="00517060"/>
    <w:rsid w:val="005179DA"/>
    <w:rsid w:val="00517C37"/>
    <w:rsid w:val="00520A97"/>
    <w:rsid w:val="00520CBC"/>
    <w:rsid w:val="00520FDC"/>
    <w:rsid w:val="0052123C"/>
    <w:rsid w:val="00521319"/>
    <w:rsid w:val="00521D2E"/>
    <w:rsid w:val="005220ED"/>
    <w:rsid w:val="00522B68"/>
    <w:rsid w:val="00522BC8"/>
    <w:rsid w:val="005233F3"/>
    <w:rsid w:val="00523882"/>
    <w:rsid w:val="00523A82"/>
    <w:rsid w:val="00523C28"/>
    <w:rsid w:val="00524504"/>
    <w:rsid w:val="005249E1"/>
    <w:rsid w:val="00524C6F"/>
    <w:rsid w:val="00526278"/>
    <w:rsid w:val="00526C78"/>
    <w:rsid w:val="00526DB6"/>
    <w:rsid w:val="00526E68"/>
    <w:rsid w:val="00527197"/>
    <w:rsid w:val="005271D2"/>
    <w:rsid w:val="005274A4"/>
    <w:rsid w:val="005275C2"/>
    <w:rsid w:val="00527A37"/>
    <w:rsid w:val="00527A9A"/>
    <w:rsid w:val="00530781"/>
    <w:rsid w:val="00530A8F"/>
    <w:rsid w:val="00531189"/>
    <w:rsid w:val="005311FC"/>
    <w:rsid w:val="0053176B"/>
    <w:rsid w:val="00531929"/>
    <w:rsid w:val="00531C50"/>
    <w:rsid w:val="00531CEE"/>
    <w:rsid w:val="00531DC0"/>
    <w:rsid w:val="0053253C"/>
    <w:rsid w:val="00532A32"/>
    <w:rsid w:val="00532BAE"/>
    <w:rsid w:val="00532D94"/>
    <w:rsid w:val="00532DA6"/>
    <w:rsid w:val="00532E73"/>
    <w:rsid w:val="00532FB9"/>
    <w:rsid w:val="00533243"/>
    <w:rsid w:val="005332FE"/>
    <w:rsid w:val="00533C23"/>
    <w:rsid w:val="00533E7A"/>
    <w:rsid w:val="00534965"/>
    <w:rsid w:val="00536802"/>
    <w:rsid w:val="00536C1F"/>
    <w:rsid w:val="00536F42"/>
    <w:rsid w:val="00537182"/>
    <w:rsid w:val="0053724A"/>
    <w:rsid w:val="00537657"/>
    <w:rsid w:val="005402B8"/>
    <w:rsid w:val="00540621"/>
    <w:rsid w:val="00540D8D"/>
    <w:rsid w:val="00541174"/>
    <w:rsid w:val="0054130A"/>
    <w:rsid w:val="00541CEF"/>
    <w:rsid w:val="00541EDD"/>
    <w:rsid w:val="00541EE0"/>
    <w:rsid w:val="00542743"/>
    <w:rsid w:val="00542809"/>
    <w:rsid w:val="00542BEE"/>
    <w:rsid w:val="00542BF6"/>
    <w:rsid w:val="00542C2D"/>
    <w:rsid w:val="00543164"/>
    <w:rsid w:val="00543758"/>
    <w:rsid w:val="00543A13"/>
    <w:rsid w:val="00543B54"/>
    <w:rsid w:val="00543D11"/>
    <w:rsid w:val="00545337"/>
    <w:rsid w:val="005458C6"/>
    <w:rsid w:val="0054599E"/>
    <w:rsid w:val="005459CC"/>
    <w:rsid w:val="00545C9F"/>
    <w:rsid w:val="00547435"/>
    <w:rsid w:val="005478BD"/>
    <w:rsid w:val="005479E3"/>
    <w:rsid w:val="00550025"/>
    <w:rsid w:val="005508DC"/>
    <w:rsid w:val="00550986"/>
    <w:rsid w:val="0055099B"/>
    <w:rsid w:val="00550C84"/>
    <w:rsid w:val="00550D92"/>
    <w:rsid w:val="0055130A"/>
    <w:rsid w:val="005514DA"/>
    <w:rsid w:val="00551985"/>
    <w:rsid w:val="00552142"/>
    <w:rsid w:val="00552BD3"/>
    <w:rsid w:val="00552E42"/>
    <w:rsid w:val="005532A0"/>
    <w:rsid w:val="005533F4"/>
    <w:rsid w:val="00553639"/>
    <w:rsid w:val="00553703"/>
    <w:rsid w:val="00553753"/>
    <w:rsid w:val="005537E7"/>
    <w:rsid w:val="0055388C"/>
    <w:rsid w:val="0055403D"/>
    <w:rsid w:val="005540EB"/>
    <w:rsid w:val="005541F6"/>
    <w:rsid w:val="00555109"/>
    <w:rsid w:val="0055564C"/>
    <w:rsid w:val="005559C8"/>
    <w:rsid w:val="00555FDE"/>
    <w:rsid w:val="0055626A"/>
    <w:rsid w:val="00556B35"/>
    <w:rsid w:val="0055741A"/>
    <w:rsid w:val="00557924"/>
    <w:rsid w:val="00560477"/>
    <w:rsid w:val="0056106B"/>
    <w:rsid w:val="005611B7"/>
    <w:rsid w:val="00561632"/>
    <w:rsid w:val="005618D4"/>
    <w:rsid w:val="00561989"/>
    <w:rsid w:val="0056247E"/>
    <w:rsid w:val="00562495"/>
    <w:rsid w:val="00562DC4"/>
    <w:rsid w:val="00562F62"/>
    <w:rsid w:val="005630CA"/>
    <w:rsid w:val="005645E2"/>
    <w:rsid w:val="00564813"/>
    <w:rsid w:val="00564EE2"/>
    <w:rsid w:val="005651A9"/>
    <w:rsid w:val="00565436"/>
    <w:rsid w:val="00565824"/>
    <w:rsid w:val="00565DF0"/>
    <w:rsid w:val="005664B5"/>
    <w:rsid w:val="00566954"/>
    <w:rsid w:val="0056696F"/>
    <w:rsid w:val="00566B6D"/>
    <w:rsid w:val="00566C83"/>
    <w:rsid w:val="00567003"/>
    <w:rsid w:val="00567656"/>
    <w:rsid w:val="00567A8C"/>
    <w:rsid w:val="00570129"/>
    <w:rsid w:val="00570168"/>
    <w:rsid w:val="00571605"/>
    <w:rsid w:val="005720A2"/>
    <w:rsid w:val="005721CD"/>
    <w:rsid w:val="00572269"/>
    <w:rsid w:val="0057244A"/>
    <w:rsid w:val="00572F26"/>
    <w:rsid w:val="00573298"/>
    <w:rsid w:val="005735D7"/>
    <w:rsid w:val="00573C4D"/>
    <w:rsid w:val="00573F0D"/>
    <w:rsid w:val="00574791"/>
    <w:rsid w:val="00574D41"/>
    <w:rsid w:val="005750C5"/>
    <w:rsid w:val="005751CA"/>
    <w:rsid w:val="005751D9"/>
    <w:rsid w:val="005752DE"/>
    <w:rsid w:val="005752F2"/>
    <w:rsid w:val="00575303"/>
    <w:rsid w:val="00575504"/>
    <w:rsid w:val="00575D8D"/>
    <w:rsid w:val="00576972"/>
    <w:rsid w:val="00576D0B"/>
    <w:rsid w:val="005773ED"/>
    <w:rsid w:val="005775A9"/>
    <w:rsid w:val="005804B8"/>
    <w:rsid w:val="00581E95"/>
    <w:rsid w:val="00582B87"/>
    <w:rsid w:val="00582C46"/>
    <w:rsid w:val="00583643"/>
    <w:rsid w:val="00583699"/>
    <w:rsid w:val="00583940"/>
    <w:rsid w:val="00583CCA"/>
    <w:rsid w:val="00583D3C"/>
    <w:rsid w:val="0058430A"/>
    <w:rsid w:val="00584786"/>
    <w:rsid w:val="00585174"/>
    <w:rsid w:val="00585AE4"/>
    <w:rsid w:val="00585CDD"/>
    <w:rsid w:val="00585E3A"/>
    <w:rsid w:val="00586065"/>
    <w:rsid w:val="00586101"/>
    <w:rsid w:val="005866D6"/>
    <w:rsid w:val="00587058"/>
    <w:rsid w:val="00587D00"/>
    <w:rsid w:val="00590511"/>
    <w:rsid w:val="005909BF"/>
    <w:rsid w:val="00590B2D"/>
    <w:rsid w:val="00591359"/>
    <w:rsid w:val="005913C1"/>
    <w:rsid w:val="00591957"/>
    <w:rsid w:val="00591F40"/>
    <w:rsid w:val="005922F3"/>
    <w:rsid w:val="005923D0"/>
    <w:rsid w:val="0059294C"/>
    <w:rsid w:val="00593BA0"/>
    <w:rsid w:val="00595090"/>
    <w:rsid w:val="0059517E"/>
    <w:rsid w:val="005953D0"/>
    <w:rsid w:val="00595C93"/>
    <w:rsid w:val="00596098"/>
    <w:rsid w:val="005969C4"/>
    <w:rsid w:val="0059746B"/>
    <w:rsid w:val="00597BF9"/>
    <w:rsid w:val="005A14D5"/>
    <w:rsid w:val="005A18C5"/>
    <w:rsid w:val="005A195F"/>
    <w:rsid w:val="005A19B8"/>
    <w:rsid w:val="005A19D9"/>
    <w:rsid w:val="005A2093"/>
    <w:rsid w:val="005A2814"/>
    <w:rsid w:val="005A2DD8"/>
    <w:rsid w:val="005A309A"/>
    <w:rsid w:val="005A32A9"/>
    <w:rsid w:val="005A373D"/>
    <w:rsid w:val="005A38C0"/>
    <w:rsid w:val="005A477B"/>
    <w:rsid w:val="005A47EF"/>
    <w:rsid w:val="005A5C58"/>
    <w:rsid w:val="005A5E60"/>
    <w:rsid w:val="005A5F65"/>
    <w:rsid w:val="005A602F"/>
    <w:rsid w:val="005A62AD"/>
    <w:rsid w:val="005A6342"/>
    <w:rsid w:val="005A6FD9"/>
    <w:rsid w:val="005A7359"/>
    <w:rsid w:val="005A7383"/>
    <w:rsid w:val="005B02D1"/>
    <w:rsid w:val="005B04FA"/>
    <w:rsid w:val="005B0B58"/>
    <w:rsid w:val="005B1490"/>
    <w:rsid w:val="005B1617"/>
    <w:rsid w:val="005B16A2"/>
    <w:rsid w:val="005B1775"/>
    <w:rsid w:val="005B1A8E"/>
    <w:rsid w:val="005B22F3"/>
    <w:rsid w:val="005B2673"/>
    <w:rsid w:val="005B2E24"/>
    <w:rsid w:val="005B3377"/>
    <w:rsid w:val="005B35EE"/>
    <w:rsid w:val="005B3A08"/>
    <w:rsid w:val="005B431A"/>
    <w:rsid w:val="005B4693"/>
    <w:rsid w:val="005B490E"/>
    <w:rsid w:val="005B4E53"/>
    <w:rsid w:val="005B521E"/>
    <w:rsid w:val="005B5857"/>
    <w:rsid w:val="005B5F1D"/>
    <w:rsid w:val="005B62C3"/>
    <w:rsid w:val="005B6453"/>
    <w:rsid w:val="005B767D"/>
    <w:rsid w:val="005B791A"/>
    <w:rsid w:val="005B7DFE"/>
    <w:rsid w:val="005C002B"/>
    <w:rsid w:val="005C0148"/>
    <w:rsid w:val="005C0B6B"/>
    <w:rsid w:val="005C1B83"/>
    <w:rsid w:val="005C25FF"/>
    <w:rsid w:val="005C2874"/>
    <w:rsid w:val="005C2CE8"/>
    <w:rsid w:val="005C2D55"/>
    <w:rsid w:val="005C2E8F"/>
    <w:rsid w:val="005C315B"/>
    <w:rsid w:val="005C346B"/>
    <w:rsid w:val="005C34A2"/>
    <w:rsid w:val="005C355E"/>
    <w:rsid w:val="005C4520"/>
    <w:rsid w:val="005C48DD"/>
    <w:rsid w:val="005C4D1E"/>
    <w:rsid w:val="005C5262"/>
    <w:rsid w:val="005C52E0"/>
    <w:rsid w:val="005C5386"/>
    <w:rsid w:val="005C56FD"/>
    <w:rsid w:val="005C6281"/>
    <w:rsid w:val="005C6960"/>
    <w:rsid w:val="005C7C6F"/>
    <w:rsid w:val="005D006D"/>
    <w:rsid w:val="005D00C4"/>
    <w:rsid w:val="005D02AE"/>
    <w:rsid w:val="005D044D"/>
    <w:rsid w:val="005D0ABD"/>
    <w:rsid w:val="005D1185"/>
    <w:rsid w:val="005D1274"/>
    <w:rsid w:val="005D143D"/>
    <w:rsid w:val="005D15BC"/>
    <w:rsid w:val="005D1687"/>
    <w:rsid w:val="005D17F2"/>
    <w:rsid w:val="005D18AD"/>
    <w:rsid w:val="005D1AEB"/>
    <w:rsid w:val="005D249F"/>
    <w:rsid w:val="005D26B4"/>
    <w:rsid w:val="005D30A7"/>
    <w:rsid w:val="005D34AF"/>
    <w:rsid w:val="005D3938"/>
    <w:rsid w:val="005D4A6F"/>
    <w:rsid w:val="005D4C90"/>
    <w:rsid w:val="005D4D0C"/>
    <w:rsid w:val="005D53F8"/>
    <w:rsid w:val="005D60A8"/>
    <w:rsid w:val="005D7086"/>
    <w:rsid w:val="005D747B"/>
    <w:rsid w:val="005D7A69"/>
    <w:rsid w:val="005D7BDB"/>
    <w:rsid w:val="005E08F1"/>
    <w:rsid w:val="005E15C2"/>
    <w:rsid w:val="005E1859"/>
    <w:rsid w:val="005E226B"/>
    <w:rsid w:val="005E25B1"/>
    <w:rsid w:val="005E29CB"/>
    <w:rsid w:val="005E36D5"/>
    <w:rsid w:val="005E3CA6"/>
    <w:rsid w:val="005E3CB1"/>
    <w:rsid w:val="005E45FA"/>
    <w:rsid w:val="005E47D1"/>
    <w:rsid w:val="005E5445"/>
    <w:rsid w:val="005E5525"/>
    <w:rsid w:val="005E5CAE"/>
    <w:rsid w:val="005E5F6B"/>
    <w:rsid w:val="005E6CBC"/>
    <w:rsid w:val="005E70C7"/>
    <w:rsid w:val="005E72FF"/>
    <w:rsid w:val="005E73C0"/>
    <w:rsid w:val="005E7CE9"/>
    <w:rsid w:val="005F1073"/>
    <w:rsid w:val="005F1714"/>
    <w:rsid w:val="005F1B4C"/>
    <w:rsid w:val="005F1BFE"/>
    <w:rsid w:val="005F1E6D"/>
    <w:rsid w:val="005F2433"/>
    <w:rsid w:val="005F2706"/>
    <w:rsid w:val="005F28F9"/>
    <w:rsid w:val="005F2C3F"/>
    <w:rsid w:val="005F2CB2"/>
    <w:rsid w:val="005F2CC2"/>
    <w:rsid w:val="005F3B20"/>
    <w:rsid w:val="005F468D"/>
    <w:rsid w:val="005F471F"/>
    <w:rsid w:val="005F4FBC"/>
    <w:rsid w:val="005F5069"/>
    <w:rsid w:val="005F586E"/>
    <w:rsid w:val="005F5BD9"/>
    <w:rsid w:val="005F5E0B"/>
    <w:rsid w:val="005F618D"/>
    <w:rsid w:val="005F693A"/>
    <w:rsid w:val="005F6A8F"/>
    <w:rsid w:val="005F6BB7"/>
    <w:rsid w:val="005F7588"/>
    <w:rsid w:val="005F766F"/>
    <w:rsid w:val="00600241"/>
    <w:rsid w:val="00600D7A"/>
    <w:rsid w:val="00601A24"/>
    <w:rsid w:val="00602EBA"/>
    <w:rsid w:val="006031C3"/>
    <w:rsid w:val="0060344B"/>
    <w:rsid w:val="006038F1"/>
    <w:rsid w:val="00603DB9"/>
    <w:rsid w:val="00604F0C"/>
    <w:rsid w:val="006051F9"/>
    <w:rsid w:val="006057CC"/>
    <w:rsid w:val="00605989"/>
    <w:rsid w:val="00605CCD"/>
    <w:rsid w:val="0060643C"/>
    <w:rsid w:val="00606454"/>
    <w:rsid w:val="00606551"/>
    <w:rsid w:val="00606E67"/>
    <w:rsid w:val="00606F1A"/>
    <w:rsid w:val="00606FBA"/>
    <w:rsid w:val="0060730A"/>
    <w:rsid w:val="00607669"/>
    <w:rsid w:val="006076F4"/>
    <w:rsid w:val="00607AFD"/>
    <w:rsid w:val="006103C5"/>
    <w:rsid w:val="006105BA"/>
    <w:rsid w:val="00610B02"/>
    <w:rsid w:val="006127C0"/>
    <w:rsid w:val="00612A70"/>
    <w:rsid w:val="00612F97"/>
    <w:rsid w:val="0061345D"/>
    <w:rsid w:val="006135D8"/>
    <w:rsid w:val="00613887"/>
    <w:rsid w:val="00613DEB"/>
    <w:rsid w:val="00613F8D"/>
    <w:rsid w:val="0061482E"/>
    <w:rsid w:val="00614D05"/>
    <w:rsid w:val="0061549B"/>
    <w:rsid w:val="0061615B"/>
    <w:rsid w:val="00616662"/>
    <w:rsid w:val="00616802"/>
    <w:rsid w:val="00617050"/>
    <w:rsid w:val="00617CC8"/>
    <w:rsid w:val="00617E12"/>
    <w:rsid w:val="00620C25"/>
    <w:rsid w:val="00621252"/>
    <w:rsid w:val="00621477"/>
    <w:rsid w:val="00621A8E"/>
    <w:rsid w:val="00621ADA"/>
    <w:rsid w:val="00621FC9"/>
    <w:rsid w:val="00622055"/>
    <w:rsid w:val="0062208F"/>
    <w:rsid w:val="00622577"/>
    <w:rsid w:val="00622B96"/>
    <w:rsid w:val="00622B9D"/>
    <w:rsid w:val="0062317D"/>
    <w:rsid w:val="006237F4"/>
    <w:rsid w:val="00623998"/>
    <w:rsid w:val="00623F7B"/>
    <w:rsid w:val="006240F9"/>
    <w:rsid w:val="0062411E"/>
    <w:rsid w:val="006244B6"/>
    <w:rsid w:val="00625244"/>
    <w:rsid w:val="00625467"/>
    <w:rsid w:val="0062587C"/>
    <w:rsid w:val="00625A99"/>
    <w:rsid w:val="00625D4D"/>
    <w:rsid w:val="00626B3B"/>
    <w:rsid w:val="00626D4D"/>
    <w:rsid w:val="00627702"/>
    <w:rsid w:val="00627A0D"/>
    <w:rsid w:val="00627C2D"/>
    <w:rsid w:val="00630334"/>
    <w:rsid w:val="00631496"/>
    <w:rsid w:val="0063158F"/>
    <w:rsid w:val="00631D6B"/>
    <w:rsid w:val="00632183"/>
    <w:rsid w:val="00632456"/>
    <w:rsid w:val="0063266D"/>
    <w:rsid w:val="006326FE"/>
    <w:rsid w:val="00632D85"/>
    <w:rsid w:val="006330A1"/>
    <w:rsid w:val="006333EC"/>
    <w:rsid w:val="00633436"/>
    <w:rsid w:val="0063361D"/>
    <w:rsid w:val="00633721"/>
    <w:rsid w:val="006338C1"/>
    <w:rsid w:val="00634427"/>
    <w:rsid w:val="006344D0"/>
    <w:rsid w:val="0063479F"/>
    <w:rsid w:val="0063496F"/>
    <w:rsid w:val="00634C2E"/>
    <w:rsid w:val="006353F0"/>
    <w:rsid w:val="0063554A"/>
    <w:rsid w:val="006357B5"/>
    <w:rsid w:val="0063588D"/>
    <w:rsid w:val="006358ED"/>
    <w:rsid w:val="00635956"/>
    <w:rsid w:val="006361E9"/>
    <w:rsid w:val="006362DE"/>
    <w:rsid w:val="006364A1"/>
    <w:rsid w:val="0063678E"/>
    <w:rsid w:val="00636CE9"/>
    <w:rsid w:val="00636F5A"/>
    <w:rsid w:val="006370B9"/>
    <w:rsid w:val="006370C2"/>
    <w:rsid w:val="006372F6"/>
    <w:rsid w:val="006374CA"/>
    <w:rsid w:val="00637B7A"/>
    <w:rsid w:val="00637BFD"/>
    <w:rsid w:val="00637D01"/>
    <w:rsid w:val="0064107B"/>
    <w:rsid w:val="00641276"/>
    <w:rsid w:val="0064154E"/>
    <w:rsid w:val="006416CF"/>
    <w:rsid w:val="00641B58"/>
    <w:rsid w:val="00641C4E"/>
    <w:rsid w:val="00641D44"/>
    <w:rsid w:val="00641FB3"/>
    <w:rsid w:val="00642186"/>
    <w:rsid w:val="00642912"/>
    <w:rsid w:val="0064296C"/>
    <w:rsid w:val="00642A2C"/>
    <w:rsid w:val="00642B5F"/>
    <w:rsid w:val="00643037"/>
    <w:rsid w:val="00643818"/>
    <w:rsid w:val="0064405B"/>
    <w:rsid w:val="0064434C"/>
    <w:rsid w:val="00644C3D"/>
    <w:rsid w:val="00645FA0"/>
    <w:rsid w:val="006471CC"/>
    <w:rsid w:val="00647743"/>
    <w:rsid w:val="00647857"/>
    <w:rsid w:val="00647A29"/>
    <w:rsid w:val="00647A9A"/>
    <w:rsid w:val="00650378"/>
    <w:rsid w:val="0065079F"/>
    <w:rsid w:val="00650D18"/>
    <w:rsid w:val="00650FA0"/>
    <w:rsid w:val="00651DC4"/>
    <w:rsid w:val="00651F16"/>
    <w:rsid w:val="00652A28"/>
    <w:rsid w:val="00652AFC"/>
    <w:rsid w:val="00652DCB"/>
    <w:rsid w:val="0065379F"/>
    <w:rsid w:val="0065381B"/>
    <w:rsid w:val="00653BD5"/>
    <w:rsid w:val="00654B61"/>
    <w:rsid w:val="00654FA2"/>
    <w:rsid w:val="0065504E"/>
    <w:rsid w:val="00656188"/>
    <w:rsid w:val="00656CD2"/>
    <w:rsid w:val="00656DA7"/>
    <w:rsid w:val="0065715A"/>
    <w:rsid w:val="0065730E"/>
    <w:rsid w:val="00657569"/>
    <w:rsid w:val="00657634"/>
    <w:rsid w:val="00657AA4"/>
    <w:rsid w:val="00657C6F"/>
    <w:rsid w:val="00657FC0"/>
    <w:rsid w:val="006601FF"/>
    <w:rsid w:val="006603E8"/>
    <w:rsid w:val="00660ABF"/>
    <w:rsid w:val="00660E5F"/>
    <w:rsid w:val="00660F60"/>
    <w:rsid w:val="006610F1"/>
    <w:rsid w:val="006612AA"/>
    <w:rsid w:val="00661461"/>
    <w:rsid w:val="00661C07"/>
    <w:rsid w:val="00661C6B"/>
    <w:rsid w:val="006621B3"/>
    <w:rsid w:val="00662325"/>
    <w:rsid w:val="0066257D"/>
    <w:rsid w:val="006626B0"/>
    <w:rsid w:val="00662855"/>
    <w:rsid w:val="0066298F"/>
    <w:rsid w:val="00662D85"/>
    <w:rsid w:val="00664321"/>
    <w:rsid w:val="006643B6"/>
    <w:rsid w:val="00664789"/>
    <w:rsid w:val="00664831"/>
    <w:rsid w:val="006657A8"/>
    <w:rsid w:val="00665B5C"/>
    <w:rsid w:val="0066626F"/>
    <w:rsid w:val="0066718C"/>
    <w:rsid w:val="006672BC"/>
    <w:rsid w:val="00667A3F"/>
    <w:rsid w:val="0067002D"/>
    <w:rsid w:val="00670570"/>
    <w:rsid w:val="00671004"/>
    <w:rsid w:val="006713B7"/>
    <w:rsid w:val="0067183E"/>
    <w:rsid w:val="006723AA"/>
    <w:rsid w:val="00672646"/>
    <w:rsid w:val="006727D0"/>
    <w:rsid w:val="00673A1E"/>
    <w:rsid w:val="00673C78"/>
    <w:rsid w:val="00674C2A"/>
    <w:rsid w:val="00674E42"/>
    <w:rsid w:val="00675F84"/>
    <w:rsid w:val="00676499"/>
    <w:rsid w:val="006766E7"/>
    <w:rsid w:val="00676E85"/>
    <w:rsid w:val="006772B5"/>
    <w:rsid w:val="006804AD"/>
    <w:rsid w:val="006804C1"/>
    <w:rsid w:val="00681042"/>
    <w:rsid w:val="00681116"/>
    <w:rsid w:val="006813F8"/>
    <w:rsid w:val="006816E8"/>
    <w:rsid w:val="00681DAC"/>
    <w:rsid w:val="00682112"/>
    <w:rsid w:val="00682A76"/>
    <w:rsid w:val="00682BA6"/>
    <w:rsid w:val="00683280"/>
    <w:rsid w:val="00683327"/>
    <w:rsid w:val="00684E38"/>
    <w:rsid w:val="0068542B"/>
    <w:rsid w:val="00685771"/>
    <w:rsid w:val="00685A49"/>
    <w:rsid w:val="00685A5B"/>
    <w:rsid w:val="006868F4"/>
    <w:rsid w:val="0068693C"/>
    <w:rsid w:val="00686957"/>
    <w:rsid w:val="006872BA"/>
    <w:rsid w:val="006878D3"/>
    <w:rsid w:val="00690343"/>
    <w:rsid w:val="006904D6"/>
    <w:rsid w:val="00690795"/>
    <w:rsid w:val="00690CA8"/>
    <w:rsid w:val="00691648"/>
    <w:rsid w:val="006917D7"/>
    <w:rsid w:val="00691BC8"/>
    <w:rsid w:val="006922D7"/>
    <w:rsid w:val="00693A7B"/>
    <w:rsid w:val="0069434C"/>
    <w:rsid w:val="00694922"/>
    <w:rsid w:val="00694F44"/>
    <w:rsid w:val="00695374"/>
    <w:rsid w:val="006953AC"/>
    <w:rsid w:val="00695430"/>
    <w:rsid w:val="00696212"/>
    <w:rsid w:val="00696381"/>
    <w:rsid w:val="00696398"/>
    <w:rsid w:val="006964CC"/>
    <w:rsid w:val="006966AF"/>
    <w:rsid w:val="00696793"/>
    <w:rsid w:val="00696F2D"/>
    <w:rsid w:val="00696F51"/>
    <w:rsid w:val="00697090"/>
    <w:rsid w:val="006974E7"/>
    <w:rsid w:val="00697531"/>
    <w:rsid w:val="006979A5"/>
    <w:rsid w:val="00697CE5"/>
    <w:rsid w:val="006A034F"/>
    <w:rsid w:val="006A0D63"/>
    <w:rsid w:val="006A1BEB"/>
    <w:rsid w:val="006A2489"/>
    <w:rsid w:val="006A2D4A"/>
    <w:rsid w:val="006A3DDC"/>
    <w:rsid w:val="006A431E"/>
    <w:rsid w:val="006A555B"/>
    <w:rsid w:val="006A5672"/>
    <w:rsid w:val="006A588B"/>
    <w:rsid w:val="006A5E0E"/>
    <w:rsid w:val="006A63A1"/>
    <w:rsid w:val="006A668F"/>
    <w:rsid w:val="006A6ADA"/>
    <w:rsid w:val="006A6B99"/>
    <w:rsid w:val="006A6D13"/>
    <w:rsid w:val="006A7454"/>
    <w:rsid w:val="006A74DD"/>
    <w:rsid w:val="006A759C"/>
    <w:rsid w:val="006A7E5F"/>
    <w:rsid w:val="006B02F8"/>
    <w:rsid w:val="006B04A2"/>
    <w:rsid w:val="006B0A77"/>
    <w:rsid w:val="006B1AA6"/>
    <w:rsid w:val="006B1B4E"/>
    <w:rsid w:val="006B1EE7"/>
    <w:rsid w:val="006B23F8"/>
    <w:rsid w:val="006B2427"/>
    <w:rsid w:val="006B261B"/>
    <w:rsid w:val="006B2C90"/>
    <w:rsid w:val="006B2FC2"/>
    <w:rsid w:val="006B35E6"/>
    <w:rsid w:val="006B3791"/>
    <w:rsid w:val="006B465A"/>
    <w:rsid w:val="006B4E66"/>
    <w:rsid w:val="006B52B1"/>
    <w:rsid w:val="006B534A"/>
    <w:rsid w:val="006B544B"/>
    <w:rsid w:val="006B5E95"/>
    <w:rsid w:val="006B6AB2"/>
    <w:rsid w:val="006B6DD0"/>
    <w:rsid w:val="006B6FB5"/>
    <w:rsid w:val="006B7127"/>
    <w:rsid w:val="006B7177"/>
    <w:rsid w:val="006B7A04"/>
    <w:rsid w:val="006B7DEE"/>
    <w:rsid w:val="006B7F3D"/>
    <w:rsid w:val="006C014F"/>
    <w:rsid w:val="006C0399"/>
    <w:rsid w:val="006C03AC"/>
    <w:rsid w:val="006C0FAD"/>
    <w:rsid w:val="006C23A0"/>
    <w:rsid w:val="006C23A7"/>
    <w:rsid w:val="006C27D1"/>
    <w:rsid w:val="006C2A8E"/>
    <w:rsid w:val="006C2E97"/>
    <w:rsid w:val="006C3255"/>
    <w:rsid w:val="006C375D"/>
    <w:rsid w:val="006C38E4"/>
    <w:rsid w:val="006C3B90"/>
    <w:rsid w:val="006C3F26"/>
    <w:rsid w:val="006C4B47"/>
    <w:rsid w:val="006C571C"/>
    <w:rsid w:val="006C67A1"/>
    <w:rsid w:val="006C6B7F"/>
    <w:rsid w:val="006C7729"/>
    <w:rsid w:val="006C7E07"/>
    <w:rsid w:val="006C7E29"/>
    <w:rsid w:val="006D04B0"/>
    <w:rsid w:val="006D0D17"/>
    <w:rsid w:val="006D1473"/>
    <w:rsid w:val="006D159A"/>
    <w:rsid w:val="006D16E2"/>
    <w:rsid w:val="006D1C89"/>
    <w:rsid w:val="006D20D0"/>
    <w:rsid w:val="006D2FC9"/>
    <w:rsid w:val="006D3A49"/>
    <w:rsid w:val="006D3B97"/>
    <w:rsid w:val="006D3C7D"/>
    <w:rsid w:val="006D40B3"/>
    <w:rsid w:val="006D4235"/>
    <w:rsid w:val="006D44D5"/>
    <w:rsid w:val="006D4659"/>
    <w:rsid w:val="006D4921"/>
    <w:rsid w:val="006D551E"/>
    <w:rsid w:val="006D556B"/>
    <w:rsid w:val="006D5711"/>
    <w:rsid w:val="006D5D5F"/>
    <w:rsid w:val="006D60C6"/>
    <w:rsid w:val="006D68FB"/>
    <w:rsid w:val="006D6F7B"/>
    <w:rsid w:val="006D70CC"/>
    <w:rsid w:val="006D7E9D"/>
    <w:rsid w:val="006E0219"/>
    <w:rsid w:val="006E1120"/>
    <w:rsid w:val="006E2179"/>
    <w:rsid w:val="006E217C"/>
    <w:rsid w:val="006E2730"/>
    <w:rsid w:val="006E2868"/>
    <w:rsid w:val="006E2A65"/>
    <w:rsid w:val="006E3D60"/>
    <w:rsid w:val="006E3EE5"/>
    <w:rsid w:val="006E4D35"/>
    <w:rsid w:val="006E5959"/>
    <w:rsid w:val="006E59F8"/>
    <w:rsid w:val="006E5B2A"/>
    <w:rsid w:val="006E6153"/>
    <w:rsid w:val="006E665A"/>
    <w:rsid w:val="006E670F"/>
    <w:rsid w:val="006E6912"/>
    <w:rsid w:val="006E6F88"/>
    <w:rsid w:val="006E6FAC"/>
    <w:rsid w:val="006E73AF"/>
    <w:rsid w:val="006E7C96"/>
    <w:rsid w:val="006E7E42"/>
    <w:rsid w:val="006F0A60"/>
    <w:rsid w:val="006F0A6C"/>
    <w:rsid w:val="006F111C"/>
    <w:rsid w:val="006F1AB2"/>
    <w:rsid w:val="006F1C7F"/>
    <w:rsid w:val="006F1FE5"/>
    <w:rsid w:val="006F2578"/>
    <w:rsid w:val="006F2A55"/>
    <w:rsid w:val="006F2DF8"/>
    <w:rsid w:val="006F306C"/>
    <w:rsid w:val="006F3090"/>
    <w:rsid w:val="006F32EF"/>
    <w:rsid w:val="006F34A6"/>
    <w:rsid w:val="006F363F"/>
    <w:rsid w:val="006F589A"/>
    <w:rsid w:val="006F5F03"/>
    <w:rsid w:val="006F63A5"/>
    <w:rsid w:val="006F7649"/>
    <w:rsid w:val="006F7766"/>
    <w:rsid w:val="006F7778"/>
    <w:rsid w:val="006F7F52"/>
    <w:rsid w:val="00701377"/>
    <w:rsid w:val="0070142B"/>
    <w:rsid w:val="00701717"/>
    <w:rsid w:val="00701792"/>
    <w:rsid w:val="00701D5C"/>
    <w:rsid w:val="0070209C"/>
    <w:rsid w:val="0070276E"/>
    <w:rsid w:val="00702775"/>
    <w:rsid w:val="007029BA"/>
    <w:rsid w:val="00702B0C"/>
    <w:rsid w:val="00702F8F"/>
    <w:rsid w:val="00703315"/>
    <w:rsid w:val="007037D8"/>
    <w:rsid w:val="00704794"/>
    <w:rsid w:val="00704ECB"/>
    <w:rsid w:val="007050DB"/>
    <w:rsid w:val="007052C1"/>
    <w:rsid w:val="00705C24"/>
    <w:rsid w:val="00705CD2"/>
    <w:rsid w:val="0070623E"/>
    <w:rsid w:val="00706A17"/>
    <w:rsid w:val="00706A5F"/>
    <w:rsid w:val="007079FC"/>
    <w:rsid w:val="00707C66"/>
    <w:rsid w:val="0071022B"/>
    <w:rsid w:val="00710EC3"/>
    <w:rsid w:val="00710EEB"/>
    <w:rsid w:val="007114FF"/>
    <w:rsid w:val="00711A13"/>
    <w:rsid w:val="00711A36"/>
    <w:rsid w:val="007120B3"/>
    <w:rsid w:val="007123F4"/>
    <w:rsid w:val="00712A5D"/>
    <w:rsid w:val="00712D4D"/>
    <w:rsid w:val="00713B4D"/>
    <w:rsid w:val="00713C5A"/>
    <w:rsid w:val="00714243"/>
    <w:rsid w:val="00714C26"/>
    <w:rsid w:val="0071529C"/>
    <w:rsid w:val="00716617"/>
    <w:rsid w:val="00716CCF"/>
    <w:rsid w:val="007170DA"/>
    <w:rsid w:val="007172AD"/>
    <w:rsid w:val="00717A09"/>
    <w:rsid w:val="00720801"/>
    <w:rsid w:val="0072131D"/>
    <w:rsid w:val="007219D0"/>
    <w:rsid w:val="00721FBC"/>
    <w:rsid w:val="00722B1B"/>
    <w:rsid w:val="007233FF"/>
    <w:rsid w:val="00723B62"/>
    <w:rsid w:val="00723C84"/>
    <w:rsid w:val="00723ED2"/>
    <w:rsid w:val="0072416F"/>
    <w:rsid w:val="0072479D"/>
    <w:rsid w:val="00724E3E"/>
    <w:rsid w:val="00725073"/>
    <w:rsid w:val="00725190"/>
    <w:rsid w:val="00726759"/>
    <w:rsid w:val="0072696A"/>
    <w:rsid w:val="00727058"/>
    <w:rsid w:val="007271C2"/>
    <w:rsid w:val="00727307"/>
    <w:rsid w:val="00727442"/>
    <w:rsid w:val="007277F3"/>
    <w:rsid w:val="00727AF6"/>
    <w:rsid w:val="00727B98"/>
    <w:rsid w:val="00727C94"/>
    <w:rsid w:val="0073064F"/>
    <w:rsid w:val="0073161D"/>
    <w:rsid w:val="00731B0A"/>
    <w:rsid w:val="00731EAE"/>
    <w:rsid w:val="00731FDC"/>
    <w:rsid w:val="00732076"/>
    <w:rsid w:val="007325CB"/>
    <w:rsid w:val="00732A27"/>
    <w:rsid w:val="00732ABE"/>
    <w:rsid w:val="00732C87"/>
    <w:rsid w:val="00733073"/>
    <w:rsid w:val="00733514"/>
    <w:rsid w:val="00733671"/>
    <w:rsid w:val="007338FB"/>
    <w:rsid w:val="00733D39"/>
    <w:rsid w:val="00733EA3"/>
    <w:rsid w:val="007340F8"/>
    <w:rsid w:val="00735033"/>
    <w:rsid w:val="00735328"/>
    <w:rsid w:val="00735D89"/>
    <w:rsid w:val="0073685B"/>
    <w:rsid w:val="00736D65"/>
    <w:rsid w:val="007372A7"/>
    <w:rsid w:val="007374CE"/>
    <w:rsid w:val="00737CD5"/>
    <w:rsid w:val="00740B85"/>
    <w:rsid w:val="00741862"/>
    <w:rsid w:val="00741AE5"/>
    <w:rsid w:val="00741C23"/>
    <w:rsid w:val="00742D65"/>
    <w:rsid w:val="007438D4"/>
    <w:rsid w:val="00743980"/>
    <w:rsid w:val="007441A9"/>
    <w:rsid w:val="007449BF"/>
    <w:rsid w:val="00745068"/>
    <w:rsid w:val="00745D32"/>
    <w:rsid w:val="00746300"/>
    <w:rsid w:val="00746351"/>
    <w:rsid w:val="00746BC0"/>
    <w:rsid w:val="007471AB"/>
    <w:rsid w:val="00747480"/>
    <w:rsid w:val="007477BD"/>
    <w:rsid w:val="00747886"/>
    <w:rsid w:val="00747B10"/>
    <w:rsid w:val="007504E2"/>
    <w:rsid w:val="0075080B"/>
    <w:rsid w:val="007510B4"/>
    <w:rsid w:val="00752138"/>
    <w:rsid w:val="00752142"/>
    <w:rsid w:val="007523F9"/>
    <w:rsid w:val="007534A3"/>
    <w:rsid w:val="0075357E"/>
    <w:rsid w:val="007535FA"/>
    <w:rsid w:val="00753D24"/>
    <w:rsid w:val="00754CA0"/>
    <w:rsid w:val="00755164"/>
    <w:rsid w:val="00755218"/>
    <w:rsid w:val="00755553"/>
    <w:rsid w:val="007556FB"/>
    <w:rsid w:val="007557CC"/>
    <w:rsid w:val="00755899"/>
    <w:rsid w:val="0075593B"/>
    <w:rsid w:val="00755A87"/>
    <w:rsid w:val="007566B8"/>
    <w:rsid w:val="00756767"/>
    <w:rsid w:val="00756DCE"/>
    <w:rsid w:val="007573E8"/>
    <w:rsid w:val="00757446"/>
    <w:rsid w:val="007579B0"/>
    <w:rsid w:val="00757B42"/>
    <w:rsid w:val="007602E3"/>
    <w:rsid w:val="00760AE1"/>
    <w:rsid w:val="00760C4E"/>
    <w:rsid w:val="00760F9E"/>
    <w:rsid w:val="00762232"/>
    <w:rsid w:val="007627BE"/>
    <w:rsid w:val="00762A98"/>
    <w:rsid w:val="00762E0F"/>
    <w:rsid w:val="00764262"/>
    <w:rsid w:val="0076436F"/>
    <w:rsid w:val="00764710"/>
    <w:rsid w:val="00764C06"/>
    <w:rsid w:val="00764C38"/>
    <w:rsid w:val="00764F03"/>
    <w:rsid w:val="00765B1A"/>
    <w:rsid w:val="00766023"/>
    <w:rsid w:val="00766743"/>
    <w:rsid w:val="007667D4"/>
    <w:rsid w:val="00767290"/>
    <w:rsid w:val="00767B57"/>
    <w:rsid w:val="007700AE"/>
    <w:rsid w:val="00772140"/>
    <w:rsid w:val="007737BF"/>
    <w:rsid w:val="00773C63"/>
    <w:rsid w:val="00774A36"/>
    <w:rsid w:val="00774A6C"/>
    <w:rsid w:val="00774CA9"/>
    <w:rsid w:val="00775D26"/>
    <w:rsid w:val="00775ED8"/>
    <w:rsid w:val="00776859"/>
    <w:rsid w:val="0077691D"/>
    <w:rsid w:val="00777335"/>
    <w:rsid w:val="00777680"/>
    <w:rsid w:val="007776E8"/>
    <w:rsid w:val="00777940"/>
    <w:rsid w:val="00777FEA"/>
    <w:rsid w:val="00780855"/>
    <w:rsid w:val="007816DA"/>
    <w:rsid w:val="00781B40"/>
    <w:rsid w:val="0078211B"/>
    <w:rsid w:val="00782B91"/>
    <w:rsid w:val="00782BC4"/>
    <w:rsid w:val="00782D79"/>
    <w:rsid w:val="00783607"/>
    <w:rsid w:val="007843F2"/>
    <w:rsid w:val="00784685"/>
    <w:rsid w:val="00784909"/>
    <w:rsid w:val="00785709"/>
    <w:rsid w:val="00785A9F"/>
    <w:rsid w:val="00785D01"/>
    <w:rsid w:val="00786670"/>
    <w:rsid w:val="007868A4"/>
    <w:rsid w:val="00786D6C"/>
    <w:rsid w:val="00787049"/>
    <w:rsid w:val="0078781E"/>
    <w:rsid w:val="007925DF"/>
    <w:rsid w:val="0079269C"/>
    <w:rsid w:val="00792D32"/>
    <w:rsid w:val="00792DC9"/>
    <w:rsid w:val="007934AA"/>
    <w:rsid w:val="007940CE"/>
    <w:rsid w:val="00794897"/>
    <w:rsid w:val="007949C4"/>
    <w:rsid w:val="0079516D"/>
    <w:rsid w:val="00795AC5"/>
    <w:rsid w:val="00795F6C"/>
    <w:rsid w:val="00796271"/>
    <w:rsid w:val="007A005C"/>
    <w:rsid w:val="007A08AA"/>
    <w:rsid w:val="007A0937"/>
    <w:rsid w:val="007A0A12"/>
    <w:rsid w:val="007A0D0A"/>
    <w:rsid w:val="007A0F69"/>
    <w:rsid w:val="007A104E"/>
    <w:rsid w:val="007A132D"/>
    <w:rsid w:val="007A1345"/>
    <w:rsid w:val="007A214A"/>
    <w:rsid w:val="007A2DDB"/>
    <w:rsid w:val="007A3160"/>
    <w:rsid w:val="007A386B"/>
    <w:rsid w:val="007A3C7E"/>
    <w:rsid w:val="007A4E50"/>
    <w:rsid w:val="007A4EAC"/>
    <w:rsid w:val="007A5901"/>
    <w:rsid w:val="007A5AC0"/>
    <w:rsid w:val="007A60AE"/>
    <w:rsid w:val="007A6D52"/>
    <w:rsid w:val="007A6D98"/>
    <w:rsid w:val="007A70BA"/>
    <w:rsid w:val="007A732C"/>
    <w:rsid w:val="007B07B2"/>
    <w:rsid w:val="007B0D68"/>
    <w:rsid w:val="007B1A17"/>
    <w:rsid w:val="007B2192"/>
    <w:rsid w:val="007B251D"/>
    <w:rsid w:val="007B2780"/>
    <w:rsid w:val="007B2803"/>
    <w:rsid w:val="007B2B5F"/>
    <w:rsid w:val="007B2EFA"/>
    <w:rsid w:val="007B35BD"/>
    <w:rsid w:val="007B42BE"/>
    <w:rsid w:val="007B4604"/>
    <w:rsid w:val="007B4BB2"/>
    <w:rsid w:val="007B4C21"/>
    <w:rsid w:val="007B4CF5"/>
    <w:rsid w:val="007B4F58"/>
    <w:rsid w:val="007B4FBF"/>
    <w:rsid w:val="007B51B1"/>
    <w:rsid w:val="007B528D"/>
    <w:rsid w:val="007B609E"/>
    <w:rsid w:val="007B63CA"/>
    <w:rsid w:val="007B67A7"/>
    <w:rsid w:val="007B6B7A"/>
    <w:rsid w:val="007B6E54"/>
    <w:rsid w:val="007B77D1"/>
    <w:rsid w:val="007C0729"/>
    <w:rsid w:val="007C07C7"/>
    <w:rsid w:val="007C0813"/>
    <w:rsid w:val="007C19B5"/>
    <w:rsid w:val="007C1BC1"/>
    <w:rsid w:val="007C1CD9"/>
    <w:rsid w:val="007C2181"/>
    <w:rsid w:val="007C21B3"/>
    <w:rsid w:val="007C2E3D"/>
    <w:rsid w:val="007C32EF"/>
    <w:rsid w:val="007C361D"/>
    <w:rsid w:val="007C3910"/>
    <w:rsid w:val="007C4697"/>
    <w:rsid w:val="007C492B"/>
    <w:rsid w:val="007C49BC"/>
    <w:rsid w:val="007C4B84"/>
    <w:rsid w:val="007C4D70"/>
    <w:rsid w:val="007C589F"/>
    <w:rsid w:val="007C61BD"/>
    <w:rsid w:val="007C6367"/>
    <w:rsid w:val="007C6797"/>
    <w:rsid w:val="007C6D3D"/>
    <w:rsid w:val="007C70FF"/>
    <w:rsid w:val="007C7517"/>
    <w:rsid w:val="007C7C25"/>
    <w:rsid w:val="007C7D33"/>
    <w:rsid w:val="007C7F5F"/>
    <w:rsid w:val="007D004F"/>
    <w:rsid w:val="007D0187"/>
    <w:rsid w:val="007D0B38"/>
    <w:rsid w:val="007D0E56"/>
    <w:rsid w:val="007D1A79"/>
    <w:rsid w:val="007D308E"/>
    <w:rsid w:val="007D339D"/>
    <w:rsid w:val="007D4421"/>
    <w:rsid w:val="007D4944"/>
    <w:rsid w:val="007D4B1E"/>
    <w:rsid w:val="007D4C74"/>
    <w:rsid w:val="007D5440"/>
    <w:rsid w:val="007D5656"/>
    <w:rsid w:val="007D59E6"/>
    <w:rsid w:val="007D5A09"/>
    <w:rsid w:val="007D5E82"/>
    <w:rsid w:val="007D5F8E"/>
    <w:rsid w:val="007D63C2"/>
    <w:rsid w:val="007D69EB"/>
    <w:rsid w:val="007D6F24"/>
    <w:rsid w:val="007D6FDD"/>
    <w:rsid w:val="007D74C5"/>
    <w:rsid w:val="007D756C"/>
    <w:rsid w:val="007D785B"/>
    <w:rsid w:val="007E0B1A"/>
    <w:rsid w:val="007E0D9B"/>
    <w:rsid w:val="007E128F"/>
    <w:rsid w:val="007E18E4"/>
    <w:rsid w:val="007E245E"/>
    <w:rsid w:val="007E2650"/>
    <w:rsid w:val="007E2C66"/>
    <w:rsid w:val="007E3031"/>
    <w:rsid w:val="007E3249"/>
    <w:rsid w:val="007E4326"/>
    <w:rsid w:val="007E47C1"/>
    <w:rsid w:val="007E5001"/>
    <w:rsid w:val="007E5447"/>
    <w:rsid w:val="007E562A"/>
    <w:rsid w:val="007E5DCE"/>
    <w:rsid w:val="007E7424"/>
    <w:rsid w:val="007E7B26"/>
    <w:rsid w:val="007E7EFE"/>
    <w:rsid w:val="007F0AD0"/>
    <w:rsid w:val="007F1017"/>
    <w:rsid w:val="007F13E9"/>
    <w:rsid w:val="007F1B86"/>
    <w:rsid w:val="007F1DBD"/>
    <w:rsid w:val="007F1F48"/>
    <w:rsid w:val="007F3403"/>
    <w:rsid w:val="007F4156"/>
    <w:rsid w:val="007F4623"/>
    <w:rsid w:val="007F4771"/>
    <w:rsid w:val="007F47AC"/>
    <w:rsid w:val="007F4A3F"/>
    <w:rsid w:val="007F4A61"/>
    <w:rsid w:val="007F4AB4"/>
    <w:rsid w:val="007F4CE2"/>
    <w:rsid w:val="007F4DA4"/>
    <w:rsid w:val="007F5255"/>
    <w:rsid w:val="007F5448"/>
    <w:rsid w:val="007F56CC"/>
    <w:rsid w:val="007F5D45"/>
    <w:rsid w:val="007F61C2"/>
    <w:rsid w:val="007F690F"/>
    <w:rsid w:val="007F6999"/>
    <w:rsid w:val="007F7673"/>
    <w:rsid w:val="007F7730"/>
    <w:rsid w:val="00801580"/>
    <w:rsid w:val="0080322B"/>
    <w:rsid w:val="0080391A"/>
    <w:rsid w:val="00803B86"/>
    <w:rsid w:val="008043CC"/>
    <w:rsid w:val="008044A5"/>
    <w:rsid w:val="008044C6"/>
    <w:rsid w:val="00805142"/>
    <w:rsid w:val="00805B09"/>
    <w:rsid w:val="00805FCE"/>
    <w:rsid w:val="00806A28"/>
    <w:rsid w:val="00806C45"/>
    <w:rsid w:val="00806E85"/>
    <w:rsid w:val="00806FFE"/>
    <w:rsid w:val="00807083"/>
    <w:rsid w:val="0080795B"/>
    <w:rsid w:val="008079D9"/>
    <w:rsid w:val="00807A8B"/>
    <w:rsid w:val="008101E4"/>
    <w:rsid w:val="008105DA"/>
    <w:rsid w:val="0081071D"/>
    <w:rsid w:val="00810E98"/>
    <w:rsid w:val="00811166"/>
    <w:rsid w:val="00811383"/>
    <w:rsid w:val="008115FD"/>
    <w:rsid w:val="00812149"/>
    <w:rsid w:val="00812CAC"/>
    <w:rsid w:val="00812FFB"/>
    <w:rsid w:val="0081332D"/>
    <w:rsid w:val="00813A78"/>
    <w:rsid w:val="00813AF9"/>
    <w:rsid w:val="00813C1A"/>
    <w:rsid w:val="00814484"/>
    <w:rsid w:val="008144C0"/>
    <w:rsid w:val="008158E6"/>
    <w:rsid w:val="00816361"/>
    <w:rsid w:val="008166EF"/>
    <w:rsid w:val="00816EC6"/>
    <w:rsid w:val="00816F95"/>
    <w:rsid w:val="00816FEF"/>
    <w:rsid w:val="008170D3"/>
    <w:rsid w:val="00817452"/>
    <w:rsid w:val="008174AB"/>
    <w:rsid w:val="00817B65"/>
    <w:rsid w:val="008202D5"/>
    <w:rsid w:val="00820339"/>
    <w:rsid w:val="00820A8C"/>
    <w:rsid w:val="00820A94"/>
    <w:rsid w:val="00820DE4"/>
    <w:rsid w:val="00820DE9"/>
    <w:rsid w:val="00820EAC"/>
    <w:rsid w:val="00821304"/>
    <w:rsid w:val="008215FB"/>
    <w:rsid w:val="00821F5D"/>
    <w:rsid w:val="0082237D"/>
    <w:rsid w:val="00822C9E"/>
    <w:rsid w:val="00822D73"/>
    <w:rsid w:val="00823174"/>
    <w:rsid w:val="00823474"/>
    <w:rsid w:val="008234B2"/>
    <w:rsid w:val="00823776"/>
    <w:rsid w:val="00823CDD"/>
    <w:rsid w:val="0082470D"/>
    <w:rsid w:val="00824A1E"/>
    <w:rsid w:val="00824B2A"/>
    <w:rsid w:val="00824CBD"/>
    <w:rsid w:val="00824D7B"/>
    <w:rsid w:val="00825751"/>
    <w:rsid w:val="0082577B"/>
    <w:rsid w:val="00825E3A"/>
    <w:rsid w:val="008260D1"/>
    <w:rsid w:val="008264EB"/>
    <w:rsid w:val="008266B0"/>
    <w:rsid w:val="00826EB0"/>
    <w:rsid w:val="00827E38"/>
    <w:rsid w:val="0083010D"/>
    <w:rsid w:val="0083016A"/>
    <w:rsid w:val="008303C2"/>
    <w:rsid w:val="00830ECF"/>
    <w:rsid w:val="00831389"/>
    <w:rsid w:val="008315F1"/>
    <w:rsid w:val="00831C3C"/>
    <w:rsid w:val="00832022"/>
    <w:rsid w:val="00832279"/>
    <w:rsid w:val="00832C71"/>
    <w:rsid w:val="0083343A"/>
    <w:rsid w:val="008334D2"/>
    <w:rsid w:val="00833B05"/>
    <w:rsid w:val="00833E79"/>
    <w:rsid w:val="00834471"/>
    <w:rsid w:val="008346CD"/>
    <w:rsid w:val="0083567F"/>
    <w:rsid w:val="00835C37"/>
    <w:rsid w:val="0083615C"/>
    <w:rsid w:val="008362B4"/>
    <w:rsid w:val="0083645E"/>
    <w:rsid w:val="008367DE"/>
    <w:rsid w:val="00836D7E"/>
    <w:rsid w:val="00836D9F"/>
    <w:rsid w:val="008376A4"/>
    <w:rsid w:val="00840228"/>
    <w:rsid w:val="00840CA2"/>
    <w:rsid w:val="00840D51"/>
    <w:rsid w:val="00840D6D"/>
    <w:rsid w:val="008425B4"/>
    <w:rsid w:val="00842815"/>
    <w:rsid w:val="00842D67"/>
    <w:rsid w:val="0084374F"/>
    <w:rsid w:val="008438BD"/>
    <w:rsid w:val="00843B99"/>
    <w:rsid w:val="008447EA"/>
    <w:rsid w:val="00844A22"/>
    <w:rsid w:val="00845235"/>
    <w:rsid w:val="00845527"/>
    <w:rsid w:val="008455FF"/>
    <w:rsid w:val="0084589A"/>
    <w:rsid w:val="00845A73"/>
    <w:rsid w:val="00845DFE"/>
    <w:rsid w:val="008475FC"/>
    <w:rsid w:val="008475FE"/>
    <w:rsid w:val="00847703"/>
    <w:rsid w:val="00847DF5"/>
    <w:rsid w:val="008501FD"/>
    <w:rsid w:val="00851686"/>
    <w:rsid w:val="0085174A"/>
    <w:rsid w:val="00852301"/>
    <w:rsid w:val="00852901"/>
    <w:rsid w:val="00852DB4"/>
    <w:rsid w:val="0085309D"/>
    <w:rsid w:val="0085329D"/>
    <w:rsid w:val="0085331B"/>
    <w:rsid w:val="00853884"/>
    <w:rsid w:val="00853DC8"/>
    <w:rsid w:val="00853F56"/>
    <w:rsid w:val="00854629"/>
    <w:rsid w:val="00854CF0"/>
    <w:rsid w:val="00854D67"/>
    <w:rsid w:val="00854E63"/>
    <w:rsid w:val="00855B33"/>
    <w:rsid w:val="00855C1C"/>
    <w:rsid w:val="00855EC9"/>
    <w:rsid w:val="00856897"/>
    <w:rsid w:val="00856E9A"/>
    <w:rsid w:val="0085733A"/>
    <w:rsid w:val="00857D28"/>
    <w:rsid w:val="0086075D"/>
    <w:rsid w:val="00861836"/>
    <w:rsid w:val="008621F4"/>
    <w:rsid w:val="00862502"/>
    <w:rsid w:val="008625BB"/>
    <w:rsid w:val="00862CC1"/>
    <w:rsid w:val="00863377"/>
    <w:rsid w:val="00863976"/>
    <w:rsid w:val="00863A6B"/>
    <w:rsid w:val="00863C0E"/>
    <w:rsid w:val="0086449D"/>
    <w:rsid w:val="008644EA"/>
    <w:rsid w:val="0086473B"/>
    <w:rsid w:val="00864E0C"/>
    <w:rsid w:val="008655DC"/>
    <w:rsid w:val="00865744"/>
    <w:rsid w:val="00865D82"/>
    <w:rsid w:val="00865D99"/>
    <w:rsid w:val="00866027"/>
    <w:rsid w:val="008660C6"/>
    <w:rsid w:val="008660D4"/>
    <w:rsid w:val="00866C90"/>
    <w:rsid w:val="00866CB3"/>
    <w:rsid w:val="00866CDC"/>
    <w:rsid w:val="008677E3"/>
    <w:rsid w:val="008678C6"/>
    <w:rsid w:val="00870D44"/>
    <w:rsid w:val="008710A6"/>
    <w:rsid w:val="00871B64"/>
    <w:rsid w:val="00871BDF"/>
    <w:rsid w:val="00871FA9"/>
    <w:rsid w:val="00872525"/>
    <w:rsid w:val="00872575"/>
    <w:rsid w:val="008728E9"/>
    <w:rsid w:val="00872A20"/>
    <w:rsid w:val="00872C23"/>
    <w:rsid w:val="0087335F"/>
    <w:rsid w:val="008751D5"/>
    <w:rsid w:val="00875418"/>
    <w:rsid w:val="00875BB8"/>
    <w:rsid w:val="00876292"/>
    <w:rsid w:val="008762D8"/>
    <w:rsid w:val="008766C5"/>
    <w:rsid w:val="00876D0E"/>
    <w:rsid w:val="00876D4B"/>
    <w:rsid w:val="00876D8C"/>
    <w:rsid w:val="00876FB3"/>
    <w:rsid w:val="00880FE7"/>
    <w:rsid w:val="00881021"/>
    <w:rsid w:val="00881B63"/>
    <w:rsid w:val="00882575"/>
    <w:rsid w:val="00882874"/>
    <w:rsid w:val="00882953"/>
    <w:rsid w:val="00882A3C"/>
    <w:rsid w:val="00882D9D"/>
    <w:rsid w:val="00882E3C"/>
    <w:rsid w:val="008833BA"/>
    <w:rsid w:val="00883787"/>
    <w:rsid w:val="00883D02"/>
    <w:rsid w:val="00884693"/>
    <w:rsid w:val="008855E4"/>
    <w:rsid w:val="00885F92"/>
    <w:rsid w:val="00886CD2"/>
    <w:rsid w:val="00887181"/>
    <w:rsid w:val="008902DE"/>
    <w:rsid w:val="0089071B"/>
    <w:rsid w:val="00890F36"/>
    <w:rsid w:val="00891A89"/>
    <w:rsid w:val="00891E6F"/>
    <w:rsid w:val="00891FFD"/>
    <w:rsid w:val="008920C5"/>
    <w:rsid w:val="0089275D"/>
    <w:rsid w:val="008928C2"/>
    <w:rsid w:val="00892A36"/>
    <w:rsid w:val="00892A72"/>
    <w:rsid w:val="00892C03"/>
    <w:rsid w:val="00893239"/>
    <w:rsid w:val="0089346E"/>
    <w:rsid w:val="00893EBF"/>
    <w:rsid w:val="00894489"/>
    <w:rsid w:val="0089453E"/>
    <w:rsid w:val="00894644"/>
    <w:rsid w:val="00894FBD"/>
    <w:rsid w:val="008952E6"/>
    <w:rsid w:val="00895856"/>
    <w:rsid w:val="00895EF9"/>
    <w:rsid w:val="008963A5"/>
    <w:rsid w:val="0089683A"/>
    <w:rsid w:val="00896B5A"/>
    <w:rsid w:val="00896D5D"/>
    <w:rsid w:val="00897567"/>
    <w:rsid w:val="008A0954"/>
    <w:rsid w:val="008A0B09"/>
    <w:rsid w:val="008A0DEF"/>
    <w:rsid w:val="008A16BE"/>
    <w:rsid w:val="008A21F1"/>
    <w:rsid w:val="008A2697"/>
    <w:rsid w:val="008A3363"/>
    <w:rsid w:val="008A3371"/>
    <w:rsid w:val="008A34A1"/>
    <w:rsid w:val="008A38A4"/>
    <w:rsid w:val="008A3940"/>
    <w:rsid w:val="008A3C3E"/>
    <w:rsid w:val="008A3E86"/>
    <w:rsid w:val="008A40AE"/>
    <w:rsid w:val="008A41F0"/>
    <w:rsid w:val="008A491B"/>
    <w:rsid w:val="008A4CED"/>
    <w:rsid w:val="008A53FE"/>
    <w:rsid w:val="008A60A4"/>
    <w:rsid w:val="008A649E"/>
    <w:rsid w:val="008A73A6"/>
    <w:rsid w:val="008A7538"/>
    <w:rsid w:val="008A79DE"/>
    <w:rsid w:val="008B0395"/>
    <w:rsid w:val="008B083E"/>
    <w:rsid w:val="008B0A49"/>
    <w:rsid w:val="008B0B10"/>
    <w:rsid w:val="008B0CAD"/>
    <w:rsid w:val="008B0DD7"/>
    <w:rsid w:val="008B13E7"/>
    <w:rsid w:val="008B1757"/>
    <w:rsid w:val="008B1B5B"/>
    <w:rsid w:val="008B246D"/>
    <w:rsid w:val="008B2A00"/>
    <w:rsid w:val="008B2A9B"/>
    <w:rsid w:val="008B41C0"/>
    <w:rsid w:val="008B4EC1"/>
    <w:rsid w:val="008B597E"/>
    <w:rsid w:val="008B5B43"/>
    <w:rsid w:val="008B5D7F"/>
    <w:rsid w:val="008B62C5"/>
    <w:rsid w:val="008B62D3"/>
    <w:rsid w:val="008B649F"/>
    <w:rsid w:val="008B66DB"/>
    <w:rsid w:val="008B745D"/>
    <w:rsid w:val="008B7992"/>
    <w:rsid w:val="008B7D7E"/>
    <w:rsid w:val="008C14B8"/>
    <w:rsid w:val="008C159A"/>
    <w:rsid w:val="008C1A94"/>
    <w:rsid w:val="008C2028"/>
    <w:rsid w:val="008C390B"/>
    <w:rsid w:val="008C4507"/>
    <w:rsid w:val="008C5610"/>
    <w:rsid w:val="008C5739"/>
    <w:rsid w:val="008C59BA"/>
    <w:rsid w:val="008C6825"/>
    <w:rsid w:val="008C6B24"/>
    <w:rsid w:val="008C6F88"/>
    <w:rsid w:val="008C738B"/>
    <w:rsid w:val="008C76B7"/>
    <w:rsid w:val="008C7A71"/>
    <w:rsid w:val="008C7ECB"/>
    <w:rsid w:val="008D02AC"/>
    <w:rsid w:val="008D1169"/>
    <w:rsid w:val="008D2817"/>
    <w:rsid w:val="008D2AF5"/>
    <w:rsid w:val="008D2CE0"/>
    <w:rsid w:val="008D3353"/>
    <w:rsid w:val="008D38B1"/>
    <w:rsid w:val="008D38F8"/>
    <w:rsid w:val="008D3B86"/>
    <w:rsid w:val="008D3FA7"/>
    <w:rsid w:val="008D4229"/>
    <w:rsid w:val="008D4755"/>
    <w:rsid w:val="008D478A"/>
    <w:rsid w:val="008D49E5"/>
    <w:rsid w:val="008D4C3D"/>
    <w:rsid w:val="008D4EC9"/>
    <w:rsid w:val="008D5512"/>
    <w:rsid w:val="008D56D9"/>
    <w:rsid w:val="008D5818"/>
    <w:rsid w:val="008D58DD"/>
    <w:rsid w:val="008D60CC"/>
    <w:rsid w:val="008D60D5"/>
    <w:rsid w:val="008D6C73"/>
    <w:rsid w:val="008D71AC"/>
    <w:rsid w:val="008D743C"/>
    <w:rsid w:val="008D7792"/>
    <w:rsid w:val="008D7BCC"/>
    <w:rsid w:val="008E0655"/>
    <w:rsid w:val="008E0ACB"/>
    <w:rsid w:val="008E0BE8"/>
    <w:rsid w:val="008E0D3C"/>
    <w:rsid w:val="008E0D74"/>
    <w:rsid w:val="008E1532"/>
    <w:rsid w:val="008E1ADD"/>
    <w:rsid w:val="008E1B9E"/>
    <w:rsid w:val="008E1C65"/>
    <w:rsid w:val="008E2C85"/>
    <w:rsid w:val="008E48E5"/>
    <w:rsid w:val="008E4F92"/>
    <w:rsid w:val="008E5379"/>
    <w:rsid w:val="008E5479"/>
    <w:rsid w:val="008E550E"/>
    <w:rsid w:val="008E55AB"/>
    <w:rsid w:val="008E56F8"/>
    <w:rsid w:val="008E598C"/>
    <w:rsid w:val="008E5F18"/>
    <w:rsid w:val="008E7D8C"/>
    <w:rsid w:val="008F114C"/>
    <w:rsid w:val="008F120A"/>
    <w:rsid w:val="008F1AB8"/>
    <w:rsid w:val="008F244D"/>
    <w:rsid w:val="008F27E0"/>
    <w:rsid w:val="008F2877"/>
    <w:rsid w:val="008F3054"/>
    <w:rsid w:val="008F30AA"/>
    <w:rsid w:val="008F3F01"/>
    <w:rsid w:val="008F438E"/>
    <w:rsid w:val="008F46A9"/>
    <w:rsid w:val="008F48EB"/>
    <w:rsid w:val="008F4F0B"/>
    <w:rsid w:val="008F583F"/>
    <w:rsid w:val="008F5C16"/>
    <w:rsid w:val="008F5D3B"/>
    <w:rsid w:val="008F667C"/>
    <w:rsid w:val="008F6CBC"/>
    <w:rsid w:val="008F6CC4"/>
    <w:rsid w:val="008F7B9F"/>
    <w:rsid w:val="008F7BDB"/>
    <w:rsid w:val="00900579"/>
    <w:rsid w:val="009008F0"/>
    <w:rsid w:val="009011B8"/>
    <w:rsid w:val="009012ED"/>
    <w:rsid w:val="00901933"/>
    <w:rsid w:val="0090199C"/>
    <w:rsid w:val="00901D95"/>
    <w:rsid w:val="00901E10"/>
    <w:rsid w:val="00902F3D"/>
    <w:rsid w:val="00903836"/>
    <w:rsid w:val="009046C4"/>
    <w:rsid w:val="00905871"/>
    <w:rsid w:val="009061C6"/>
    <w:rsid w:val="009062A5"/>
    <w:rsid w:val="00907160"/>
    <w:rsid w:val="00907A0C"/>
    <w:rsid w:val="009107F6"/>
    <w:rsid w:val="00910988"/>
    <w:rsid w:val="00910E5D"/>
    <w:rsid w:val="00910FA7"/>
    <w:rsid w:val="00911272"/>
    <w:rsid w:val="0091161C"/>
    <w:rsid w:val="00911893"/>
    <w:rsid w:val="009118E8"/>
    <w:rsid w:val="009124E5"/>
    <w:rsid w:val="009134AD"/>
    <w:rsid w:val="009135D6"/>
    <w:rsid w:val="00913FAE"/>
    <w:rsid w:val="0091455E"/>
    <w:rsid w:val="00914C77"/>
    <w:rsid w:val="00914CA3"/>
    <w:rsid w:val="00914D72"/>
    <w:rsid w:val="00914EF9"/>
    <w:rsid w:val="00914FB6"/>
    <w:rsid w:val="009152BE"/>
    <w:rsid w:val="0091536A"/>
    <w:rsid w:val="00915B71"/>
    <w:rsid w:val="00915D74"/>
    <w:rsid w:val="00916450"/>
    <w:rsid w:val="009166CF"/>
    <w:rsid w:val="00916AC8"/>
    <w:rsid w:val="009171F2"/>
    <w:rsid w:val="00917A7B"/>
    <w:rsid w:val="0092001E"/>
    <w:rsid w:val="00920030"/>
    <w:rsid w:val="0092046C"/>
    <w:rsid w:val="00920799"/>
    <w:rsid w:val="00921ACB"/>
    <w:rsid w:val="00921F5D"/>
    <w:rsid w:val="00922299"/>
    <w:rsid w:val="00922D7F"/>
    <w:rsid w:val="0092369B"/>
    <w:rsid w:val="00923720"/>
    <w:rsid w:val="009239FD"/>
    <w:rsid w:val="00923CC5"/>
    <w:rsid w:val="009240F9"/>
    <w:rsid w:val="0092453D"/>
    <w:rsid w:val="00924A88"/>
    <w:rsid w:val="00924FA7"/>
    <w:rsid w:val="0092551D"/>
    <w:rsid w:val="00925A2E"/>
    <w:rsid w:val="00925AE8"/>
    <w:rsid w:val="00925B26"/>
    <w:rsid w:val="00925DAC"/>
    <w:rsid w:val="009301BD"/>
    <w:rsid w:val="00930CE3"/>
    <w:rsid w:val="00930ED1"/>
    <w:rsid w:val="009310BC"/>
    <w:rsid w:val="009319AB"/>
    <w:rsid w:val="00932650"/>
    <w:rsid w:val="009343AE"/>
    <w:rsid w:val="009343E6"/>
    <w:rsid w:val="009344CE"/>
    <w:rsid w:val="00934988"/>
    <w:rsid w:val="00934D54"/>
    <w:rsid w:val="00934DD2"/>
    <w:rsid w:val="00935BDF"/>
    <w:rsid w:val="00936019"/>
    <w:rsid w:val="00936514"/>
    <w:rsid w:val="00936CEB"/>
    <w:rsid w:val="00936DEE"/>
    <w:rsid w:val="00937089"/>
    <w:rsid w:val="0093775B"/>
    <w:rsid w:val="00937EBF"/>
    <w:rsid w:val="009402A1"/>
    <w:rsid w:val="009404F3"/>
    <w:rsid w:val="009405A8"/>
    <w:rsid w:val="00940A4F"/>
    <w:rsid w:val="00941591"/>
    <w:rsid w:val="009418C1"/>
    <w:rsid w:val="00942B62"/>
    <w:rsid w:val="00942CB8"/>
    <w:rsid w:val="009431B5"/>
    <w:rsid w:val="00943516"/>
    <w:rsid w:val="0094407D"/>
    <w:rsid w:val="00944AE2"/>
    <w:rsid w:val="00944ED9"/>
    <w:rsid w:val="00944F8A"/>
    <w:rsid w:val="00945178"/>
    <w:rsid w:val="00946214"/>
    <w:rsid w:val="009470AF"/>
    <w:rsid w:val="009472AB"/>
    <w:rsid w:val="00947D72"/>
    <w:rsid w:val="009510A2"/>
    <w:rsid w:val="00951636"/>
    <w:rsid w:val="00951B71"/>
    <w:rsid w:val="009520FD"/>
    <w:rsid w:val="0095289F"/>
    <w:rsid w:val="00952F44"/>
    <w:rsid w:val="00953257"/>
    <w:rsid w:val="00953C40"/>
    <w:rsid w:val="009541A4"/>
    <w:rsid w:val="009544EC"/>
    <w:rsid w:val="009546A1"/>
    <w:rsid w:val="0095474C"/>
    <w:rsid w:val="00954E24"/>
    <w:rsid w:val="00954E75"/>
    <w:rsid w:val="00954F55"/>
    <w:rsid w:val="00955017"/>
    <w:rsid w:val="009550FF"/>
    <w:rsid w:val="00955886"/>
    <w:rsid w:val="00956407"/>
    <w:rsid w:val="00956539"/>
    <w:rsid w:val="009569B1"/>
    <w:rsid w:val="00956DBD"/>
    <w:rsid w:val="0095775F"/>
    <w:rsid w:val="00960A0C"/>
    <w:rsid w:val="0096166D"/>
    <w:rsid w:val="00961C99"/>
    <w:rsid w:val="00962733"/>
    <w:rsid w:val="00962B08"/>
    <w:rsid w:val="00962CB9"/>
    <w:rsid w:val="00962F09"/>
    <w:rsid w:val="00963FB1"/>
    <w:rsid w:val="00964311"/>
    <w:rsid w:val="00964312"/>
    <w:rsid w:val="00965113"/>
    <w:rsid w:val="0096576A"/>
    <w:rsid w:val="00965B8A"/>
    <w:rsid w:val="009661F8"/>
    <w:rsid w:val="00966806"/>
    <w:rsid w:val="00966828"/>
    <w:rsid w:val="00966C12"/>
    <w:rsid w:val="009671CA"/>
    <w:rsid w:val="00967200"/>
    <w:rsid w:val="0096733D"/>
    <w:rsid w:val="00967974"/>
    <w:rsid w:val="009700CD"/>
    <w:rsid w:val="00970214"/>
    <w:rsid w:val="009702FB"/>
    <w:rsid w:val="00970677"/>
    <w:rsid w:val="0097071F"/>
    <w:rsid w:val="00971048"/>
    <w:rsid w:val="009717AC"/>
    <w:rsid w:val="0097188E"/>
    <w:rsid w:val="00972447"/>
    <w:rsid w:val="00972553"/>
    <w:rsid w:val="00973D99"/>
    <w:rsid w:val="00974022"/>
    <w:rsid w:val="0097483F"/>
    <w:rsid w:val="009751C1"/>
    <w:rsid w:val="00975B33"/>
    <w:rsid w:val="00975B58"/>
    <w:rsid w:val="00976133"/>
    <w:rsid w:val="0097654D"/>
    <w:rsid w:val="0097777F"/>
    <w:rsid w:val="00977B20"/>
    <w:rsid w:val="009800C0"/>
    <w:rsid w:val="009803AE"/>
    <w:rsid w:val="00980DEA"/>
    <w:rsid w:val="009811F1"/>
    <w:rsid w:val="00981AD7"/>
    <w:rsid w:val="009822BF"/>
    <w:rsid w:val="009823A7"/>
    <w:rsid w:val="00982432"/>
    <w:rsid w:val="0098249F"/>
    <w:rsid w:val="00982AFD"/>
    <w:rsid w:val="009831C7"/>
    <w:rsid w:val="00983A54"/>
    <w:rsid w:val="00983E57"/>
    <w:rsid w:val="00984115"/>
    <w:rsid w:val="0098435D"/>
    <w:rsid w:val="00984DC0"/>
    <w:rsid w:val="00985A77"/>
    <w:rsid w:val="00985DE2"/>
    <w:rsid w:val="00985F1E"/>
    <w:rsid w:val="0098675D"/>
    <w:rsid w:val="00987284"/>
    <w:rsid w:val="00987FA6"/>
    <w:rsid w:val="00990461"/>
    <w:rsid w:val="009904ED"/>
    <w:rsid w:val="009917D2"/>
    <w:rsid w:val="00991829"/>
    <w:rsid w:val="009926E0"/>
    <w:rsid w:val="00992AA3"/>
    <w:rsid w:val="00992EDD"/>
    <w:rsid w:val="00993643"/>
    <w:rsid w:val="00993ACE"/>
    <w:rsid w:val="00993BA5"/>
    <w:rsid w:val="0099451E"/>
    <w:rsid w:val="009948C3"/>
    <w:rsid w:val="00994B2D"/>
    <w:rsid w:val="00994F2C"/>
    <w:rsid w:val="00995548"/>
    <w:rsid w:val="0099588C"/>
    <w:rsid w:val="00996929"/>
    <w:rsid w:val="00996B1A"/>
    <w:rsid w:val="00997495"/>
    <w:rsid w:val="009977B9"/>
    <w:rsid w:val="00997B08"/>
    <w:rsid w:val="009A01FF"/>
    <w:rsid w:val="009A1430"/>
    <w:rsid w:val="009A16F0"/>
    <w:rsid w:val="009A1939"/>
    <w:rsid w:val="009A199E"/>
    <w:rsid w:val="009A2DCC"/>
    <w:rsid w:val="009A3202"/>
    <w:rsid w:val="009A3712"/>
    <w:rsid w:val="009A3D20"/>
    <w:rsid w:val="009A3D74"/>
    <w:rsid w:val="009A3F14"/>
    <w:rsid w:val="009A4A07"/>
    <w:rsid w:val="009A5620"/>
    <w:rsid w:val="009A5ABC"/>
    <w:rsid w:val="009A5B72"/>
    <w:rsid w:val="009A5DCC"/>
    <w:rsid w:val="009A668D"/>
    <w:rsid w:val="009A6E60"/>
    <w:rsid w:val="009A7F10"/>
    <w:rsid w:val="009B082A"/>
    <w:rsid w:val="009B0CA9"/>
    <w:rsid w:val="009B0EBB"/>
    <w:rsid w:val="009B1347"/>
    <w:rsid w:val="009B1514"/>
    <w:rsid w:val="009B27BE"/>
    <w:rsid w:val="009B2851"/>
    <w:rsid w:val="009B2D91"/>
    <w:rsid w:val="009B2DE1"/>
    <w:rsid w:val="009B3B8C"/>
    <w:rsid w:val="009B3C33"/>
    <w:rsid w:val="009B3C9C"/>
    <w:rsid w:val="009B3E26"/>
    <w:rsid w:val="009B3E6C"/>
    <w:rsid w:val="009B41AE"/>
    <w:rsid w:val="009B45DC"/>
    <w:rsid w:val="009B46DD"/>
    <w:rsid w:val="009B4AA6"/>
    <w:rsid w:val="009B569C"/>
    <w:rsid w:val="009B56D4"/>
    <w:rsid w:val="009B58EF"/>
    <w:rsid w:val="009B60D3"/>
    <w:rsid w:val="009B60F5"/>
    <w:rsid w:val="009B6312"/>
    <w:rsid w:val="009B6339"/>
    <w:rsid w:val="009B670F"/>
    <w:rsid w:val="009B731E"/>
    <w:rsid w:val="009C010F"/>
    <w:rsid w:val="009C0B62"/>
    <w:rsid w:val="009C0E40"/>
    <w:rsid w:val="009C19DE"/>
    <w:rsid w:val="009C2942"/>
    <w:rsid w:val="009C30E5"/>
    <w:rsid w:val="009C33DF"/>
    <w:rsid w:val="009C3706"/>
    <w:rsid w:val="009C3A3A"/>
    <w:rsid w:val="009C3A48"/>
    <w:rsid w:val="009C467D"/>
    <w:rsid w:val="009C4EF2"/>
    <w:rsid w:val="009C61F7"/>
    <w:rsid w:val="009C635B"/>
    <w:rsid w:val="009C6CEA"/>
    <w:rsid w:val="009C6D82"/>
    <w:rsid w:val="009C6EF2"/>
    <w:rsid w:val="009C6EFE"/>
    <w:rsid w:val="009C761D"/>
    <w:rsid w:val="009C7B85"/>
    <w:rsid w:val="009D0254"/>
    <w:rsid w:val="009D02D3"/>
    <w:rsid w:val="009D08B3"/>
    <w:rsid w:val="009D0964"/>
    <w:rsid w:val="009D0D55"/>
    <w:rsid w:val="009D13C0"/>
    <w:rsid w:val="009D1A64"/>
    <w:rsid w:val="009D2497"/>
    <w:rsid w:val="009D289E"/>
    <w:rsid w:val="009D4700"/>
    <w:rsid w:val="009D4705"/>
    <w:rsid w:val="009D4F09"/>
    <w:rsid w:val="009D541B"/>
    <w:rsid w:val="009D54BF"/>
    <w:rsid w:val="009D5B91"/>
    <w:rsid w:val="009D5C19"/>
    <w:rsid w:val="009D5C7C"/>
    <w:rsid w:val="009D5F62"/>
    <w:rsid w:val="009D6045"/>
    <w:rsid w:val="009D6268"/>
    <w:rsid w:val="009D64A1"/>
    <w:rsid w:val="009D65CC"/>
    <w:rsid w:val="009D6B03"/>
    <w:rsid w:val="009D6E84"/>
    <w:rsid w:val="009D792E"/>
    <w:rsid w:val="009D7AFA"/>
    <w:rsid w:val="009D7E05"/>
    <w:rsid w:val="009E0569"/>
    <w:rsid w:val="009E0DFE"/>
    <w:rsid w:val="009E2D00"/>
    <w:rsid w:val="009E2F8B"/>
    <w:rsid w:val="009E31F6"/>
    <w:rsid w:val="009E32A0"/>
    <w:rsid w:val="009E37EA"/>
    <w:rsid w:val="009E45A4"/>
    <w:rsid w:val="009E46D5"/>
    <w:rsid w:val="009E4C07"/>
    <w:rsid w:val="009E4EFF"/>
    <w:rsid w:val="009E54FB"/>
    <w:rsid w:val="009E5BF5"/>
    <w:rsid w:val="009E5FCE"/>
    <w:rsid w:val="009E60C0"/>
    <w:rsid w:val="009E661C"/>
    <w:rsid w:val="009E6876"/>
    <w:rsid w:val="009E7D64"/>
    <w:rsid w:val="009F01AC"/>
    <w:rsid w:val="009F1DA4"/>
    <w:rsid w:val="009F274B"/>
    <w:rsid w:val="009F27F5"/>
    <w:rsid w:val="009F3AA0"/>
    <w:rsid w:val="009F3F80"/>
    <w:rsid w:val="009F4CC7"/>
    <w:rsid w:val="009F4D01"/>
    <w:rsid w:val="009F4DDA"/>
    <w:rsid w:val="009F4E0F"/>
    <w:rsid w:val="009F4E92"/>
    <w:rsid w:val="009F509B"/>
    <w:rsid w:val="009F50E6"/>
    <w:rsid w:val="009F59B8"/>
    <w:rsid w:val="009F5F5E"/>
    <w:rsid w:val="009F6181"/>
    <w:rsid w:val="009F7A76"/>
    <w:rsid w:val="009F7BF4"/>
    <w:rsid w:val="00A00420"/>
    <w:rsid w:val="00A005CF"/>
    <w:rsid w:val="00A008BD"/>
    <w:rsid w:val="00A00920"/>
    <w:rsid w:val="00A00C67"/>
    <w:rsid w:val="00A01184"/>
    <w:rsid w:val="00A0124D"/>
    <w:rsid w:val="00A01500"/>
    <w:rsid w:val="00A0150B"/>
    <w:rsid w:val="00A0173E"/>
    <w:rsid w:val="00A01757"/>
    <w:rsid w:val="00A02256"/>
    <w:rsid w:val="00A037C2"/>
    <w:rsid w:val="00A03D43"/>
    <w:rsid w:val="00A04380"/>
    <w:rsid w:val="00A04715"/>
    <w:rsid w:val="00A04750"/>
    <w:rsid w:val="00A048CA"/>
    <w:rsid w:val="00A050F6"/>
    <w:rsid w:val="00A05472"/>
    <w:rsid w:val="00A05C32"/>
    <w:rsid w:val="00A06387"/>
    <w:rsid w:val="00A0653F"/>
    <w:rsid w:val="00A065CD"/>
    <w:rsid w:val="00A06C46"/>
    <w:rsid w:val="00A06E39"/>
    <w:rsid w:val="00A0751D"/>
    <w:rsid w:val="00A077AC"/>
    <w:rsid w:val="00A10FF4"/>
    <w:rsid w:val="00A11346"/>
    <w:rsid w:val="00A117CE"/>
    <w:rsid w:val="00A11CD0"/>
    <w:rsid w:val="00A120F3"/>
    <w:rsid w:val="00A12DA3"/>
    <w:rsid w:val="00A13611"/>
    <w:rsid w:val="00A13948"/>
    <w:rsid w:val="00A13D4A"/>
    <w:rsid w:val="00A145E5"/>
    <w:rsid w:val="00A147C6"/>
    <w:rsid w:val="00A14C5E"/>
    <w:rsid w:val="00A14CE0"/>
    <w:rsid w:val="00A14F5D"/>
    <w:rsid w:val="00A1555B"/>
    <w:rsid w:val="00A155C5"/>
    <w:rsid w:val="00A15AB8"/>
    <w:rsid w:val="00A166A3"/>
    <w:rsid w:val="00A168BC"/>
    <w:rsid w:val="00A16AD8"/>
    <w:rsid w:val="00A16F2E"/>
    <w:rsid w:val="00A16FBF"/>
    <w:rsid w:val="00A17174"/>
    <w:rsid w:val="00A17818"/>
    <w:rsid w:val="00A17B8C"/>
    <w:rsid w:val="00A202D6"/>
    <w:rsid w:val="00A21BE1"/>
    <w:rsid w:val="00A21C95"/>
    <w:rsid w:val="00A21CF3"/>
    <w:rsid w:val="00A222E6"/>
    <w:rsid w:val="00A2265E"/>
    <w:rsid w:val="00A2275D"/>
    <w:rsid w:val="00A23BEB"/>
    <w:rsid w:val="00A23D71"/>
    <w:rsid w:val="00A23DAB"/>
    <w:rsid w:val="00A24261"/>
    <w:rsid w:val="00A246BE"/>
    <w:rsid w:val="00A24813"/>
    <w:rsid w:val="00A24E48"/>
    <w:rsid w:val="00A25BEF"/>
    <w:rsid w:val="00A25BFD"/>
    <w:rsid w:val="00A260B9"/>
    <w:rsid w:val="00A260C9"/>
    <w:rsid w:val="00A263CC"/>
    <w:rsid w:val="00A27AEC"/>
    <w:rsid w:val="00A312A7"/>
    <w:rsid w:val="00A31379"/>
    <w:rsid w:val="00A31D0F"/>
    <w:rsid w:val="00A320DB"/>
    <w:rsid w:val="00A32490"/>
    <w:rsid w:val="00A32D7A"/>
    <w:rsid w:val="00A3317B"/>
    <w:rsid w:val="00A33A1F"/>
    <w:rsid w:val="00A33E23"/>
    <w:rsid w:val="00A34279"/>
    <w:rsid w:val="00A34947"/>
    <w:rsid w:val="00A351EE"/>
    <w:rsid w:val="00A357F0"/>
    <w:rsid w:val="00A35AFF"/>
    <w:rsid w:val="00A35D16"/>
    <w:rsid w:val="00A36AE2"/>
    <w:rsid w:val="00A37136"/>
    <w:rsid w:val="00A37182"/>
    <w:rsid w:val="00A3726A"/>
    <w:rsid w:val="00A3768A"/>
    <w:rsid w:val="00A37A14"/>
    <w:rsid w:val="00A37BCD"/>
    <w:rsid w:val="00A40008"/>
    <w:rsid w:val="00A4008C"/>
    <w:rsid w:val="00A401B7"/>
    <w:rsid w:val="00A40329"/>
    <w:rsid w:val="00A40616"/>
    <w:rsid w:val="00A40782"/>
    <w:rsid w:val="00A41153"/>
    <w:rsid w:val="00A41452"/>
    <w:rsid w:val="00A4148F"/>
    <w:rsid w:val="00A4154D"/>
    <w:rsid w:val="00A41689"/>
    <w:rsid w:val="00A41801"/>
    <w:rsid w:val="00A41A9B"/>
    <w:rsid w:val="00A42592"/>
    <w:rsid w:val="00A42C63"/>
    <w:rsid w:val="00A43243"/>
    <w:rsid w:val="00A436B3"/>
    <w:rsid w:val="00A43716"/>
    <w:rsid w:val="00A43C59"/>
    <w:rsid w:val="00A444D4"/>
    <w:rsid w:val="00A44527"/>
    <w:rsid w:val="00A44754"/>
    <w:rsid w:val="00A44D3A"/>
    <w:rsid w:val="00A45E2B"/>
    <w:rsid w:val="00A46E57"/>
    <w:rsid w:val="00A503C3"/>
    <w:rsid w:val="00A505A0"/>
    <w:rsid w:val="00A5072A"/>
    <w:rsid w:val="00A50A08"/>
    <w:rsid w:val="00A50ECD"/>
    <w:rsid w:val="00A5176A"/>
    <w:rsid w:val="00A518F3"/>
    <w:rsid w:val="00A52063"/>
    <w:rsid w:val="00A52688"/>
    <w:rsid w:val="00A52729"/>
    <w:rsid w:val="00A52ADE"/>
    <w:rsid w:val="00A52B70"/>
    <w:rsid w:val="00A53125"/>
    <w:rsid w:val="00A53675"/>
    <w:rsid w:val="00A53898"/>
    <w:rsid w:val="00A538FE"/>
    <w:rsid w:val="00A539DD"/>
    <w:rsid w:val="00A54059"/>
    <w:rsid w:val="00A54F24"/>
    <w:rsid w:val="00A55942"/>
    <w:rsid w:val="00A55B11"/>
    <w:rsid w:val="00A55DBA"/>
    <w:rsid w:val="00A55FFC"/>
    <w:rsid w:val="00A56337"/>
    <w:rsid w:val="00A56446"/>
    <w:rsid w:val="00A564D7"/>
    <w:rsid w:val="00A56633"/>
    <w:rsid w:val="00A567BF"/>
    <w:rsid w:val="00A56AD3"/>
    <w:rsid w:val="00A56B6A"/>
    <w:rsid w:val="00A57598"/>
    <w:rsid w:val="00A578DC"/>
    <w:rsid w:val="00A57D46"/>
    <w:rsid w:val="00A604EE"/>
    <w:rsid w:val="00A605F9"/>
    <w:rsid w:val="00A6147D"/>
    <w:rsid w:val="00A6208E"/>
    <w:rsid w:val="00A6267E"/>
    <w:rsid w:val="00A630FA"/>
    <w:rsid w:val="00A634EF"/>
    <w:rsid w:val="00A6360A"/>
    <w:rsid w:val="00A63778"/>
    <w:rsid w:val="00A63861"/>
    <w:rsid w:val="00A63959"/>
    <w:rsid w:val="00A63B7C"/>
    <w:rsid w:val="00A63C14"/>
    <w:rsid w:val="00A640E2"/>
    <w:rsid w:val="00A642BE"/>
    <w:rsid w:val="00A642DA"/>
    <w:rsid w:val="00A6457A"/>
    <w:rsid w:val="00A6464B"/>
    <w:rsid w:val="00A647A0"/>
    <w:rsid w:val="00A649F9"/>
    <w:rsid w:val="00A64D65"/>
    <w:rsid w:val="00A650D3"/>
    <w:rsid w:val="00A6586E"/>
    <w:rsid w:val="00A65BFD"/>
    <w:rsid w:val="00A65CBB"/>
    <w:rsid w:val="00A66612"/>
    <w:rsid w:val="00A6680D"/>
    <w:rsid w:val="00A669FC"/>
    <w:rsid w:val="00A67090"/>
    <w:rsid w:val="00A6725B"/>
    <w:rsid w:val="00A67357"/>
    <w:rsid w:val="00A67663"/>
    <w:rsid w:val="00A6768E"/>
    <w:rsid w:val="00A700E6"/>
    <w:rsid w:val="00A70605"/>
    <w:rsid w:val="00A70E17"/>
    <w:rsid w:val="00A719D3"/>
    <w:rsid w:val="00A71B4D"/>
    <w:rsid w:val="00A7246B"/>
    <w:rsid w:val="00A72960"/>
    <w:rsid w:val="00A72F08"/>
    <w:rsid w:val="00A73134"/>
    <w:rsid w:val="00A73681"/>
    <w:rsid w:val="00A7390B"/>
    <w:rsid w:val="00A73D4D"/>
    <w:rsid w:val="00A7490A"/>
    <w:rsid w:val="00A74E85"/>
    <w:rsid w:val="00A74F6E"/>
    <w:rsid w:val="00A750F8"/>
    <w:rsid w:val="00A75AA5"/>
    <w:rsid w:val="00A75D38"/>
    <w:rsid w:val="00A76001"/>
    <w:rsid w:val="00A76B02"/>
    <w:rsid w:val="00A76BB8"/>
    <w:rsid w:val="00A777B2"/>
    <w:rsid w:val="00A77A8E"/>
    <w:rsid w:val="00A800F2"/>
    <w:rsid w:val="00A80541"/>
    <w:rsid w:val="00A80662"/>
    <w:rsid w:val="00A8091B"/>
    <w:rsid w:val="00A8097C"/>
    <w:rsid w:val="00A814BC"/>
    <w:rsid w:val="00A81519"/>
    <w:rsid w:val="00A81A96"/>
    <w:rsid w:val="00A82161"/>
    <w:rsid w:val="00A821DA"/>
    <w:rsid w:val="00A82521"/>
    <w:rsid w:val="00A825D4"/>
    <w:rsid w:val="00A828F6"/>
    <w:rsid w:val="00A82A5E"/>
    <w:rsid w:val="00A82A62"/>
    <w:rsid w:val="00A82B73"/>
    <w:rsid w:val="00A82C75"/>
    <w:rsid w:val="00A83C1A"/>
    <w:rsid w:val="00A83E3B"/>
    <w:rsid w:val="00A83E41"/>
    <w:rsid w:val="00A8430C"/>
    <w:rsid w:val="00A8444E"/>
    <w:rsid w:val="00A84A68"/>
    <w:rsid w:val="00A84D94"/>
    <w:rsid w:val="00A85CEB"/>
    <w:rsid w:val="00A86046"/>
    <w:rsid w:val="00A86409"/>
    <w:rsid w:val="00A86E8B"/>
    <w:rsid w:val="00A87164"/>
    <w:rsid w:val="00A874BA"/>
    <w:rsid w:val="00A874C3"/>
    <w:rsid w:val="00A875D2"/>
    <w:rsid w:val="00A8786C"/>
    <w:rsid w:val="00A878DE"/>
    <w:rsid w:val="00A901C2"/>
    <w:rsid w:val="00A906F8"/>
    <w:rsid w:val="00A90E3B"/>
    <w:rsid w:val="00A912F7"/>
    <w:rsid w:val="00A91808"/>
    <w:rsid w:val="00A91860"/>
    <w:rsid w:val="00A920A5"/>
    <w:rsid w:val="00A923D5"/>
    <w:rsid w:val="00A93072"/>
    <w:rsid w:val="00A938BD"/>
    <w:rsid w:val="00A93953"/>
    <w:rsid w:val="00A9480B"/>
    <w:rsid w:val="00A95840"/>
    <w:rsid w:val="00A9584F"/>
    <w:rsid w:val="00A9599D"/>
    <w:rsid w:val="00A959D8"/>
    <w:rsid w:val="00A95AF6"/>
    <w:rsid w:val="00A95DB0"/>
    <w:rsid w:val="00A95E05"/>
    <w:rsid w:val="00A95FA2"/>
    <w:rsid w:val="00A96D45"/>
    <w:rsid w:val="00A978C6"/>
    <w:rsid w:val="00AA09D8"/>
    <w:rsid w:val="00AA0B23"/>
    <w:rsid w:val="00AA0CB3"/>
    <w:rsid w:val="00AA113D"/>
    <w:rsid w:val="00AA115D"/>
    <w:rsid w:val="00AA124C"/>
    <w:rsid w:val="00AA142E"/>
    <w:rsid w:val="00AA175F"/>
    <w:rsid w:val="00AA2489"/>
    <w:rsid w:val="00AA24E5"/>
    <w:rsid w:val="00AA2940"/>
    <w:rsid w:val="00AA3388"/>
    <w:rsid w:val="00AA3D53"/>
    <w:rsid w:val="00AA3DBE"/>
    <w:rsid w:val="00AA3F82"/>
    <w:rsid w:val="00AA4FAB"/>
    <w:rsid w:val="00AA58D2"/>
    <w:rsid w:val="00AA598F"/>
    <w:rsid w:val="00AA5AE7"/>
    <w:rsid w:val="00AA6628"/>
    <w:rsid w:val="00AA67AA"/>
    <w:rsid w:val="00AA681A"/>
    <w:rsid w:val="00AA6BD5"/>
    <w:rsid w:val="00AA6BD8"/>
    <w:rsid w:val="00AA6C7D"/>
    <w:rsid w:val="00AA6C84"/>
    <w:rsid w:val="00AA6D36"/>
    <w:rsid w:val="00AA747E"/>
    <w:rsid w:val="00AA7DDA"/>
    <w:rsid w:val="00AA7FD6"/>
    <w:rsid w:val="00AB0174"/>
    <w:rsid w:val="00AB042A"/>
    <w:rsid w:val="00AB0688"/>
    <w:rsid w:val="00AB0A5D"/>
    <w:rsid w:val="00AB19EF"/>
    <w:rsid w:val="00AB1C17"/>
    <w:rsid w:val="00AB1C24"/>
    <w:rsid w:val="00AB2357"/>
    <w:rsid w:val="00AB243F"/>
    <w:rsid w:val="00AB28E1"/>
    <w:rsid w:val="00AB2B95"/>
    <w:rsid w:val="00AB2D34"/>
    <w:rsid w:val="00AB2F30"/>
    <w:rsid w:val="00AB3430"/>
    <w:rsid w:val="00AB37B9"/>
    <w:rsid w:val="00AB3C2B"/>
    <w:rsid w:val="00AB4AD1"/>
    <w:rsid w:val="00AB5E07"/>
    <w:rsid w:val="00AB5E81"/>
    <w:rsid w:val="00AB5FCE"/>
    <w:rsid w:val="00AB6165"/>
    <w:rsid w:val="00AB6555"/>
    <w:rsid w:val="00AB7428"/>
    <w:rsid w:val="00AB7695"/>
    <w:rsid w:val="00AB7723"/>
    <w:rsid w:val="00AB77DA"/>
    <w:rsid w:val="00AB785F"/>
    <w:rsid w:val="00AB7CFA"/>
    <w:rsid w:val="00AC06FB"/>
    <w:rsid w:val="00AC0D34"/>
    <w:rsid w:val="00AC1FD5"/>
    <w:rsid w:val="00AC2F43"/>
    <w:rsid w:val="00AC393D"/>
    <w:rsid w:val="00AC3BF3"/>
    <w:rsid w:val="00AC4D62"/>
    <w:rsid w:val="00AC5127"/>
    <w:rsid w:val="00AC5B1C"/>
    <w:rsid w:val="00AC5B48"/>
    <w:rsid w:val="00AC6750"/>
    <w:rsid w:val="00AC6C98"/>
    <w:rsid w:val="00AC788E"/>
    <w:rsid w:val="00AC7C09"/>
    <w:rsid w:val="00AD1450"/>
    <w:rsid w:val="00AD28DB"/>
    <w:rsid w:val="00AD2CE8"/>
    <w:rsid w:val="00AD2F7D"/>
    <w:rsid w:val="00AD3998"/>
    <w:rsid w:val="00AD3A74"/>
    <w:rsid w:val="00AD41C5"/>
    <w:rsid w:val="00AD42C2"/>
    <w:rsid w:val="00AD6172"/>
    <w:rsid w:val="00AD6479"/>
    <w:rsid w:val="00AD6502"/>
    <w:rsid w:val="00AD6815"/>
    <w:rsid w:val="00AD7335"/>
    <w:rsid w:val="00AD7756"/>
    <w:rsid w:val="00AD788B"/>
    <w:rsid w:val="00AD78E2"/>
    <w:rsid w:val="00AE046E"/>
    <w:rsid w:val="00AE0695"/>
    <w:rsid w:val="00AE0F8C"/>
    <w:rsid w:val="00AE1222"/>
    <w:rsid w:val="00AE1CCC"/>
    <w:rsid w:val="00AE1CF8"/>
    <w:rsid w:val="00AE1DB5"/>
    <w:rsid w:val="00AE1F37"/>
    <w:rsid w:val="00AE22A9"/>
    <w:rsid w:val="00AE26CF"/>
    <w:rsid w:val="00AE2F93"/>
    <w:rsid w:val="00AE3084"/>
    <w:rsid w:val="00AE3DBB"/>
    <w:rsid w:val="00AE3E7E"/>
    <w:rsid w:val="00AE45AB"/>
    <w:rsid w:val="00AE4C35"/>
    <w:rsid w:val="00AE57CC"/>
    <w:rsid w:val="00AE58F2"/>
    <w:rsid w:val="00AE6268"/>
    <w:rsid w:val="00AE6EF8"/>
    <w:rsid w:val="00AE753A"/>
    <w:rsid w:val="00AE7687"/>
    <w:rsid w:val="00AF0CB4"/>
    <w:rsid w:val="00AF1315"/>
    <w:rsid w:val="00AF19BF"/>
    <w:rsid w:val="00AF19ED"/>
    <w:rsid w:val="00AF2DA0"/>
    <w:rsid w:val="00AF2DC3"/>
    <w:rsid w:val="00AF304D"/>
    <w:rsid w:val="00AF3089"/>
    <w:rsid w:val="00AF32B9"/>
    <w:rsid w:val="00AF34EC"/>
    <w:rsid w:val="00AF352F"/>
    <w:rsid w:val="00AF38B8"/>
    <w:rsid w:val="00AF3FB1"/>
    <w:rsid w:val="00AF4D87"/>
    <w:rsid w:val="00AF5590"/>
    <w:rsid w:val="00AF55E5"/>
    <w:rsid w:val="00AF6033"/>
    <w:rsid w:val="00AF708C"/>
    <w:rsid w:val="00AF7214"/>
    <w:rsid w:val="00AF7407"/>
    <w:rsid w:val="00AF7652"/>
    <w:rsid w:val="00AF7B30"/>
    <w:rsid w:val="00AF7BF0"/>
    <w:rsid w:val="00AF7F67"/>
    <w:rsid w:val="00B000D6"/>
    <w:rsid w:val="00B00413"/>
    <w:rsid w:val="00B00904"/>
    <w:rsid w:val="00B00B43"/>
    <w:rsid w:val="00B01146"/>
    <w:rsid w:val="00B012DB"/>
    <w:rsid w:val="00B02041"/>
    <w:rsid w:val="00B022CB"/>
    <w:rsid w:val="00B03122"/>
    <w:rsid w:val="00B033E5"/>
    <w:rsid w:val="00B038F0"/>
    <w:rsid w:val="00B039E0"/>
    <w:rsid w:val="00B03A63"/>
    <w:rsid w:val="00B03AD3"/>
    <w:rsid w:val="00B0469E"/>
    <w:rsid w:val="00B049AE"/>
    <w:rsid w:val="00B055B0"/>
    <w:rsid w:val="00B05A05"/>
    <w:rsid w:val="00B07352"/>
    <w:rsid w:val="00B11864"/>
    <w:rsid w:val="00B12218"/>
    <w:rsid w:val="00B12607"/>
    <w:rsid w:val="00B12BA8"/>
    <w:rsid w:val="00B1369C"/>
    <w:rsid w:val="00B13CF7"/>
    <w:rsid w:val="00B13EDB"/>
    <w:rsid w:val="00B1432E"/>
    <w:rsid w:val="00B14A55"/>
    <w:rsid w:val="00B14F3D"/>
    <w:rsid w:val="00B1520E"/>
    <w:rsid w:val="00B1581C"/>
    <w:rsid w:val="00B15A98"/>
    <w:rsid w:val="00B16764"/>
    <w:rsid w:val="00B16CDA"/>
    <w:rsid w:val="00B16E2C"/>
    <w:rsid w:val="00B176BE"/>
    <w:rsid w:val="00B178BE"/>
    <w:rsid w:val="00B17D5A"/>
    <w:rsid w:val="00B201A4"/>
    <w:rsid w:val="00B201D1"/>
    <w:rsid w:val="00B20295"/>
    <w:rsid w:val="00B20783"/>
    <w:rsid w:val="00B213A6"/>
    <w:rsid w:val="00B22964"/>
    <w:rsid w:val="00B22E60"/>
    <w:rsid w:val="00B22F78"/>
    <w:rsid w:val="00B232F9"/>
    <w:rsid w:val="00B235B0"/>
    <w:rsid w:val="00B2381A"/>
    <w:rsid w:val="00B2426A"/>
    <w:rsid w:val="00B248E4"/>
    <w:rsid w:val="00B249D7"/>
    <w:rsid w:val="00B24DF6"/>
    <w:rsid w:val="00B2714B"/>
    <w:rsid w:val="00B2749F"/>
    <w:rsid w:val="00B30608"/>
    <w:rsid w:val="00B30964"/>
    <w:rsid w:val="00B30C43"/>
    <w:rsid w:val="00B30E0A"/>
    <w:rsid w:val="00B310CC"/>
    <w:rsid w:val="00B31A7F"/>
    <w:rsid w:val="00B31BFA"/>
    <w:rsid w:val="00B322EF"/>
    <w:rsid w:val="00B32C1F"/>
    <w:rsid w:val="00B33236"/>
    <w:rsid w:val="00B33715"/>
    <w:rsid w:val="00B33889"/>
    <w:rsid w:val="00B339DA"/>
    <w:rsid w:val="00B33A09"/>
    <w:rsid w:val="00B33B0E"/>
    <w:rsid w:val="00B33F49"/>
    <w:rsid w:val="00B34156"/>
    <w:rsid w:val="00B34178"/>
    <w:rsid w:val="00B34441"/>
    <w:rsid w:val="00B34E04"/>
    <w:rsid w:val="00B34FE2"/>
    <w:rsid w:val="00B35166"/>
    <w:rsid w:val="00B357D8"/>
    <w:rsid w:val="00B360F4"/>
    <w:rsid w:val="00B36A00"/>
    <w:rsid w:val="00B37BFC"/>
    <w:rsid w:val="00B40050"/>
    <w:rsid w:val="00B40358"/>
    <w:rsid w:val="00B40ACD"/>
    <w:rsid w:val="00B41419"/>
    <w:rsid w:val="00B41614"/>
    <w:rsid w:val="00B4162C"/>
    <w:rsid w:val="00B41CBF"/>
    <w:rsid w:val="00B4251F"/>
    <w:rsid w:val="00B42851"/>
    <w:rsid w:val="00B42866"/>
    <w:rsid w:val="00B42F80"/>
    <w:rsid w:val="00B431E6"/>
    <w:rsid w:val="00B435CB"/>
    <w:rsid w:val="00B43DCF"/>
    <w:rsid w:val="00B44B8E"/>
    <w:rsid w:val="00B44EAB"/>
    <w:rsid w:val="00B44F80"/>
    <w:rsid w:val="00B4548C"/>
    <w:rsid w:val="00B4587E"/>
    <w:rsid w:val="00B45B64"/>
    <w:rsid w:val="00B4662E"/>
    <w:rsid w:val="00B468E4"/>
    <w:rsid w:val="00B46966"/>
    <w:rsid w:val="00B47A01"/>
    <w:rsid w:val="00B50597"/>
    <w:rsid w:val="00B505C8"/>
    <w:rsid w:val="00B50840"/>
    <w:rsid w:val="00B5085A"/>
    <w:rsid w:val="00B50DB8"/>
    <w:rsid w:val="00B50E9F"/>
    <w:rsid w:val="00B5129E"/>
    <w:rsid w:val="00B5184B"/>
    <w:rsid w:val="00B51C6C"/>
    <w:rsid w:val="00B5220A"/>
    <w:rsid w:val="00B5243B"/>
    <w:rsid w:val="00B52B71"/>
    <w:rsid w:val="00B5331D"/>
    <w:rsid w:val="00B53654"/>
    <w:rsid w:val="00B53905"/>
    <w:rsid w:val="00B53F82"/>
    <w:rsid w:val="00B53FAE"/>
    <w:rsid w:val="00B54B3D"/>
    <w:rsid w:val="00B54B5B"/>
    <w:rsid w:val="00B5562E"/>
    <w:rsid w:val="00B55D65"/>
    <w:rsid w:val="00B55F56"/>
    <w:rsid w:val="00B56344"/>
    <w:rsid w:val="00B56569"/>
    <w:rsid w:val="00B566C5"/>
    <w:rsid w:val="00B56C9B"/>
    <w:rsid w:val="00B57000"/>
    <w:rsid w:val="00B60939"/>
    <w:rsid w:val="00B60AFD"/>
    <w:rsid w:val="00B60B15"/>
    <w:rsid w:val="00B60F6F"/>
    <w:rsid w:val="00B6107C"/>
    <w:rsid w:val="00B62715"/>
    <w:rsid w:val="00B62DFE"/>
    <w:rsid w:val="00B630AD"/>
    <w:rsid w:val="00B6356F"/>
    <w:rsid w:val="00B6412E"/>
    <w:rsid w:val="00B6413C"/>
    <w:rsid w:val="00B645EB"/>
    <w:rsid w:val="00B64733"/>
    <w:rsid w:val="00B64EA1"/>
    <w:rsid w:val="00B65110"/>
    <w:rsid w:val="00B653A5"/>
    <w:rsid w:val="00B653F8"/>
    <w:rsid w:val="00B65611"/>
    <w:rsid w:val="00B65634"/>
    <w:rsid w:val="00B656E8"/>
    <w:rsid w:val="00B65CDA"/>
    <w:rsid w:val="00B70207"/>
    <w:rsid w:val="00B7025A"/>
    <w:rsid w:val="00B70C01"/>
    <w:rsid w:val="00B70E8E"/>
    <w:rsid w:val="00B718E2"/>
    <w:rsid w:val="00B71A19"/>
    <w:rsid w:val="00B721EA"/>
    <w:rsid w:val="00B735A2"/>
    <w:rsid w:val="00B73B16"/>
    <w:rsid w:val="00B74635"/>
    <w:rsid w:val="00B74C64"/>
    <w:rsid w:val="00B74C96"/>
    <w:rsid w:val="00B74E2E"/>
    <w:rsid w:val="00B75198"/>
    <w:rsid w:val="00B75804"/>
    <w:rsid w:val="00B75AF2"/>
    <w:rsid w:val="00B76481"/>
    <w:rsid w:val="00B76C92"/>
    <w:rsid w:val="00B775A7"/>
    <w:rsid w:val="00B7770B"/>
    <w:rsid w:val="00B80F86"/>
    <w:rsid w:val="00B816AB"/>
    <w:rsid w:val="00B8181D"/>
    <w:rsid w:val="00B818A4"/>
    <w:rsid w:val="00B81B39"/>
    <w:rsid w:val="00B81F07"/>
    <w:rsid w:val="00B825AE"/>
    <w:rsid w:val="00B82A84"/>
    <w:rsid w:val="00B8327A"/>
    <w:rsid w:val="00B83BE4"/>
    <w:rsid w:val="00B84117"/>
    <w:rsid w:val="00B85889"/>
    <w:rsid w:val="00B858F0"/>
    <w:rsid w:val="00B85AA2"/>
    <w:rsid w:val="00B860AD"/>
    <w:rsid w:val="00B863AF"/>
    <w:rsid w:val="00B8649C"/>
    <w:rsid w:val="00B866DA"/>
    <w:rsid w:val="00B8670E"/>
    <w:rsid w:val="00B86908"/>
    <w:rsid w:val="00B8695D"/>
    <w:rsid w:val="00B86C34"/>
    <w:rsid w:val="00B87F0A"/>
    <w:rsid w:val="00B90C6D"/>
    <w:rsid w:val="00B91586"/>
    <w:rsid w:val="00B915AF"/>
    <w:rsid w:val="00B92CC7"/>
    <w:rsid w:val="00B92D0B"/>
    <w:rsid w:val="00B92F3C"/>
    <w:rsid w:val="00B93189"/>
    <w:rsid w:val="00B93749"/>
    <w:rsid w:val="00B9442C"/>
    <w:rsid w:val="00B946DD"/>
    <w:rsid w:val="00B94876"/>
    <w:rsid w:val="00B94945"/>
    <w:rsid w:val="00B94DD6"/>
    <w:rsid w:val="00B94ED8"/>
    <w:rsid w:val="00B950D8"/>
    <w:rsid w:val="00B96CA3"/>
    <w:rsid w:val="00B96D73"/>
    <w:rsid w:val="00B96D80"/>
    <w:rsid w:val="00B974BB"/>
    <w:rsid w:val="00B97731"/>
    <w:rsid w:val="00BA14FB"/>
    <w:rsid w:val="00BA1BEF"/>
    <w:rsid w:val="00BA1E05"/>
    <w:rsid w:val="00BA1EA1"/>
    <w:rsid w:val="00BA23FD"/>
    <w:rsid w:val="00BA2BB3"/>
    <w:rsid w:val="00BA30B8"/>
    <w:rsid w:val="00BA322D"/>
    <w:rsid w:val="00BA35F9"/>
    <w:rsid w:val="00BA38CA"/>
    <w:rsid w:val="00BA3D3D"/>
    <w:rsid w:val="00BA58EC"/>
    <w:rsid w:val="00BA5A5E"/>
    <w:rsid w:val="00BA5F38"/>
    <w:rsid w:val="00BA63FA"/>
    <w:rsid w:val="00BA643C"/>
    <w:rsid w:val="00BA66B0"/>
    <w:rsid w:val="00BA69E4"/>
    <w:rsid w:val="00BA6ABC"/>
    <w:rsid w:val="00BA6BA4"/>
    <w:rsid w:val="00BA6EA5"/>
    <w:rsid w:val="00BA7487"/>
    <w:rsid w:val="00BA78F2"/>
    <w:rsid w:val="00BA7F43"/>
    <w:rsid w:val="00BB00B3"/>
    <w:rsid w:val="00BB04D1"/>
    <w:rsid w:val="00BB0533"/>
    <w:rsid w:val="00BB075D"/>
    <w:rsid w:val="00BB0BDD"/>
    <w:rsid w:val="00BB10F5"/>
    <w:rsid w:val="00BB111D"/>
    <w:rsid w:val="00BB118E"/>
    <w:rsid w:val="00BB1610"/>
    <w:rsid w:val="00BB176C"/>
    <w:rsid w:val="00BB19FB"/>
    <w:rsid w:val="00BB1A11"/>
    <w:rsid w:val="00BB1A1B"/>
    <w:rsid w:val="00BB1A6C"/>
    <w:rsid w:val="00BB1E84"/>
    <w:rsid w:val="00BB24DB"/>
    <w:rsid w:val="00BB289E"/>
    <w:rsid w:val="00BB2A73"/>
    <w:rsid w:val="00BB2BEA"/>
    <w:rsid w:val="00BB3A45"/>
    <w:rsid w:val="00BB3BBA"/>
    <w:rsid w:val="00BB42BB"/>
    <w:rsid w:val="00BB4AAF"/>
    <w:rsid w:val="00BB4ACC"/>
    <w:rsid w:val="00BB4FF3"/>
    <w:rsid w:val="00BB52C0"/>
    <w:rsid w:val="00BB5E1A"/>
    <w:rsid w:val="00BB703E"/>
    <w:rsid w:val="00BB706F"/>
    <w:rsid w:val="00BB732D"/>
    <w:rsid w:val="00BB7405"/>
    <w:rsid w:val="00BB7416"/>
    <w:rsid w:val="00BB7617"/>
    <w:rsid w:val="00BB7A08"/>
    <w:rsid w:val="00BB7A60"/>
    <w:rsid w:val="00BB7D94"/>
    <w:rsid w:val="00BC0737"/>
    <w:rsid w:val="00BC0752"/>
    <w:rsid w:val="00BC1C6C"/>
    <w:rsid w:val="00BC1EEB"/>
    <w:rsid w:val="00BC31BF"/>
    <w:rsid w:val="00BC3394"/>
    <w:rsid w:val="00BC3631"/>
    <w:rsid w:val="00BC36BC"/>
    <w:rsid w:val="00BC3F33"/>
    <w:rsid w:val="00BC591F"/>
    <w:rsid w:val="00BC5AA9"/>
    <w:rsid w:val="00BC5BF6"/>
    <w:rsid w:val="00BC62C5"/>
    <w:rsid w:val="00BC683E"/>
    <w:rsid w:val="00BC6C14"/>
    <w:rsid w:val="00BC7783"/>
    <w:rsid w:val="00BC7D6D"/>
    <w:rsid w:val="00BC7F54"/>
    <w:rsid w:val="00BD1373"/>
    <w:rsid w:val="00BD2108"/>
    <w:rsid w:val="00BD28D4"/>
    <w:rsid w:val="00BD29BF"/>
    <w:rsid w:val="00BD3FA6"/>
    <w:rsid w:val="00BD5EC8"/>
    <w:rsid w:val="00BD5F8E"/>
    <w:rsid w:val="00BD6204"/>
    <w:rsid w:val="00BD6535"/>
    <w:rsid w:val="00BD68A3"/>
    <w:rsid w:val="00BD6938"/>
    <w:rsid w:val="00BD6CF3"/>
    <w:rsid w:val="00BD7382"/>
    <w:rsid w:val="00BD7538"/>
    <w:rsid w:val="00BD7838"/>
    <w:rsid w:val="00BD7BB8"/>
    <w:rsid w:val="00BD7C0F"/>
    <w:rsid w:val="00BE0ECA"/>
    <w:rsid w:val="00BE11D5"/>
    <w:rsid w:val="00BE13FE"/>
    <w:rsid w:val="00BE2121"/>
    <w:rsid w:val="00BE2180"/>
    <w:rsid w:val="00BE21F2"/>
    <w:rsid w:val="00BE4275"/>
    <w:rsid w:val="00BE5A6A"/>
    <w:rsid w:val="00BE6816"/>
    <w:rsid w:val="00BE6BD6"/>
    <w:rsid w:val="00BE72BB"/>
    <w:rsid w:val="00BE745C"/>
    <w:rsid w:val="00BE7BBA"/>
    <w:rsid w:val="00BF0507"/>
    <w:rsid w:val="00BF054F"/>
    <w:rsid w:val="00BF06AE"/>
    <w:rsid w:val="00BF0D9F"/>
    <w:rsid w:val="00BF0F95"/>
    <w:rsid w:val="00BF163C"/>
    <w:rsid w:val="00BF17AC"/>
    <w:rsid w:val="00BF17ED"/>
    <w:rsid w:val="00BF2433"/>
    <w:rsid w:val="00BF3004"/>
    <w:rsid w:val="00BF33D8"/>
    <w:rsid w:val="00BF4FF7"/>
    <w:rsid w:val="00BF61C9"/>
    <w:rsid w:val="00BF636C"/>
    <w:rsid w:val="00BF6C94"/>
    <w:rsid w:val="00BF6D73"/>
    <w:rsid w:val="00BF727B"/>
    <w:rsid w:val="00BF7345"/>
    <w:rsid w:val="00BF7346"/>
    <w:rsid w:val="00BF752E"/>
    <w:rsid w:val="00C00375"/>
    <w:rsid w:val="00C00424"/>
    <w:rsid w:val="00C01038"/>
    <w:rsid w:val="00C01068"/>
    <w:rsid w:val="00C01499"/>
    <w:rsid w:val="00C015E1"/>
    <w:rsid w:val="00C018DA"/>
    <w:rsid w:val="00C01A1A"/>
    <w:rsid w:val="00C01B5F"/>
    <w:rsid w:val="00C01F29"/>
    <w:rsid w:val="00C02BD7"/>
    <w:rsid w:val="00C02BFD"/>
    <w:rsid w:val="00C0301E"/>
    <w:rsid w:val="00C03D8E"/>
    <w:rsid w:val="00C03E42"/>
    <w:rsid w:val="00C04A46"/>
    <w:rsid w:val="00C04ED3"/>
    <w:rsid w:val="00C056CF"/>
    <w:rsid w:val="00C05809"/>
    <w:rsid w:val="00C06794"/>
    <w:rsid w:val="00C06814"/>
    <w:rsid w:val="00C06DE0"/>
    <w:rsid w:val="00C077C2"/>
    <w:rsid w:val="00C077EE"/>
    <w:rsid w:val="00C07861"/>
    <w:rsid w:val="00C07EB4"/>
    <w:rsid w:val="00C10CCE"/>
    <w:rsid w:val="00C10F6A"/>
    <w:rsid w:val="00C11527"/>
    <w:rsid w:val="00C115E0"/>
    <w:rsid w:val="00C1179F"/>
    <w:rsid w:val="00C117C1"/>
    <w:rsid w:val="00C11CC0"/>
    <w:rsid w:val="00C11F93"/>
    <w:rsid w:val="00C12147"/>
    <w:rsid w:val="00C12511"/>
    <w:rsid w:val="00C12616"/>
    <w:rsid w:val="00C12728"/>
    <w:rsid w:val="00C12AED"/>
    <w:rsid w:val="00C12C14"/>
    <w:rsid w:val="00C12CD0"/>
    <w:rsid w:val="00C1305E"/>
    <w:rsid w:val="00C136B4"/>
    <w:rsid w:val="00C13E4C"/>
    <w:rsid w:val="00C1404A"/>
    <w:rsid w:val="00C15F04"/>
    <w:rsid w:val="00C16556"/>
    <w:rsid w:val="00C16C4A"/>
    <w:rsid w:val="00C1787E"/>
    <w:rsid w:val="00C179B3"/>
    <w:rsid w:val="00C17CCB"/>
    <w:rsid w:val="00C17E3F"/>
    <w:rsid w:val="00C17E5F"/>
    <w:rsid w:val="00C200AA"/>
    <w:rsid w:val="00C202BE"/>
    <w:rsid w:val="00C204C9"/>
    <w:rsid w:val="00C2056D"/>
    <w:rsid w:val="00C20BE0"/>
    <w:rsid w:val="00C2103E"/>
    <w:rsid w:val="00C2129F"/>
    <w:rsid w:val="00C21651"/>
    <w:rsid w:val="00C21FB9"/>
    <w:rsid w:val="00C221C4"/>
    <w:rsid w:val="00C22372"/>
    <w:rsid w:val="00C22F97"/>
    <w:rsid w:val="00C230FC"/>
    <w:rsid w:val="00C23159"/>
    <w:rsid w:val="00C2362A"/>
    <w:rsid w:val="00C237D9"/>
    <w:rsid w:val="00C237ED"/>
    <w:rsid w:val="00C24632"/>
    <w:rsid w:val="00C24827"/>
    <w:rsid w:val="00C24B63"/>
    <w:rsid w:val="00C252EA"/>
    <w:rsid w:val="00C25418"/>
    <w:rsid w:val="00C25D9C"/>
    <w:rsid w:val="00C262B0"/>
    <w:rsid w:val="00C26D9F"/>
    <w:rsid w:val="00C2778B"/>
    <w:rsid w:val="00C27B30"/>
    <w:rsid w:val="00C300A8"/>
    <w:rsid w:val="00C30420"/>
    <w:rsid w:val="00C30F27"/>
    <w:rsid w:val="00C31649"/>
    <w:rsid w:val="00C325D8"/>
    <w:rsid w:val="00C32B48"/>
    <w:rsid w:val="00C32FF9"/>
    <w:rsid w:val="00C334FA"/>
    <w:rsid w:val="00C3434C"/>
    <w:rsid w:val="00C344C1"/>
    <w:rsid w:val="00C34813"/>
    <w:rsid w:val="00C349A1"/>
    <w:rsid w:val="00C34E74"/>
    <w:rsid w:val="00C350C5"/>
    <w:rsid w:val="00C3605D"/>
    <w:rsid w:val="00C3605F"/>
    <w:rsid w:val="00C36A78"/>
    <w:rsid w:val="00C375F8"/>
    <w:rsid w:val="00C377C7"/>
    <w:rsid w:val="00C3796A"/>
    <w:rsid w:val="00C37E0D"/>
    <w:rsid w:val="00C40385"/>
    <w:rsid w:val="00C406E4"/>
    <w:rsid w:val="00C4078D"/>
    <w:rsid w:val="00C4083F"/>
    <w:rsid w:val="00C40E1D"/>
    <w:rsid w:val="00C41014"/>
    <w:rsid w:val="00C41044"/>
    <w:rsid w:val="00C41107"/>
    <w:rsid w:val="00C41768"/>
    <w:rsid w:val="00C41859"/>
    <w:rsid w:val="00C420DF"/>
    <w:rsid w:val="00C43356"/>
    <w:rsid w:val="00C43C5E"/>
    <w:rsid w:val="00C441CF"/>
    <w:rsid w:val="00C443C0"/>
    <w:rsid w:val="00C446DE"/>
    <w:rsid w:val="00C44A8A"/>
    <w:rsid w:val="00C44AA6"/>
    <w:rsid w:val="00C45A59"/>
    <w:rsid w:val="00C45EE9"/>
    <w:rsid w:val="00C4622A"/>
    <w:rsid w:val="00C46528"/>
    <w:rsid w:val="00C46AD0"/>
    <w:rsid w:val="00C46B8D"/>
    <w:rsid w:val="00C46D38"/>
    <w:rsid w:val="00C471C2"/>
    <w:rsid w:val="00C47361"/>
    <w:rsid w:val="00C475AA"/>
    <w:rsid w:val="00C47D7A"/>
    <w:rsid w:val="00C47FB1"/>
    <w:rsid w:val="00C50ACF"/>
    <w:rsid w:val="00C51389"/>
    <w:rsid w:val="00C52BC4"/>
    <w:rsid w:val="00C53654"/>
    <w:rsid w:val="00C53C98"/>
    <w:rsid w:val="00C54107"/>
    <w:rsid w:val="00C549E3"/>
    <w:rsid w:val="00C54C2F"/>
    <w:rsid w:val="00C5535F"/>
    <w:rsid w:val="00C5549E"/>
    <w:rsid w:val="00C55BFC"/>
    <w:rsid w:val="00C5651E"/>
    <w:rsid w:val="00C56691"/>
    <w:rsid w:val="00C56FCF"/>
    <w:rsid w:val="00C570E4"/>
    <w:rsid w:val="00C57730"/>
    <w:rsid w:val="00C578E6"/>
    <w:rsid w:val="00C57B6C"/>
    <w:rsid w:val="00C6160D"/>
    <w:rsid w:val="00C61AC0"/>
    <w:rsid w:val="00C620C1"/>
    <w:rsid w:val="00C6252A"/>
    <w:rsid w:val="00C628A6"/>
    <w:rsid w:val="00C63718"/>
    <w:rsid w:val="00C63EAE"/>
    <w:rsid w:val="00C64344"/>
    <w:rsid w:val="00C64495"/>
    <w:rsid w:val="00C64E97"/>
    <w:rsid w:val="00C64EDE"/>
    <w:rsid w:val="00C65108"/>
    <w:rsid w:val="00C6549B"/>
    <w:rsid w:val="00C65576"/>
    <w:rsid w:val="00C659AF"/>
    <w:rsid w:val="00C65DED"/>
    <w:rsid w:val="00C66165"/>
    <w:rsid w:val="00C66717"/>
    <w:rsid w:val="00C6672F"/>
    <w:rsid w:val="00C67D85"/>
    <w:rsid w:val="00C704EB"/>
    <w:rsid w:val="00C7060A"/>
    <w:rsid w:val="00C70A2D"/>
    <w:rsid w:val="00C70C18"/>
    <w:rsid w:val="00C71220"/>
    <w:rsid w:val="00C7151A"/>
    <w:rsid w:val="00C71554"/>
    <w:rsid w:val="00C717E3"/>
    <w:rsid w:val="00C71AD0"/>
    <w:rsid w:val="00C71F60"/>
    <w:rsid w:val="00C721F6"/>
    <w:rsid w:val="00C72241"/>
    <w:rsid w:val="00C7259E"/>
    <w:rsid w:val="00C728C8"/>
    <w:rsid w:val="00C73F15"/>
    <w:rsid w:val="00C73F36"/>
    <w:rsid w:val="00C74BC5"/>
    <w:rsid w:val="00C750C8"/>
    <w:rsid w:val="00C7533B"/>
    <w:rsid w:val="00C7538E"/>
    <w:rsid w:val="00C7560F"/>
    <w:rsid w:val="00C75AF9"/>
    <w:rsid w:val="00C8022F"/>
    <w:rsid w:val="00C80764"/>
    <w:rsid w:val="00C80A0E"/>
    <w:rsid w:val="00C81035"/>
    <w:rsid w:val="00C8213F"/>
    <w:rsid w:val="00C82421"/>
    <w:rsid w:val="00C825E3"/>
    <w:rsid w:val="00C82DD3"/>
    <w:rsid w:val="00C83258"/>
    <w:rsid w:val="00C839BD"/>
    <w:rsid w:val="00C83CE2"/>
    <w:rsid w:val="00C8401B"/>
    <w:rsid w:val="00C84140"/>
    <w:rsid w:val="00C84DF8"/>
    <w:rsid w:val="00C85154"/>
    <w:rsid w:val="00C8517C"/>
    <w:rsid w:val="00C851AE"/>
    <w:rsid w:val="00C85395"/>
    <w:rsid w:val="00C860D9"/>
    <w:rsid w:val="00C86446"/>
    <w:rsid w:val="00C8675F"/>
    <w:rsid w:val="00C86921"/>
    <w:rsid w:val="00C86BCE"/>
    <w:rsid w:val="00C86D5B"/>
    <w:rsid w:val="00C86F98"/>
    <w:rsid w:val="00C8700A"/>
    <w:rsid w:val="00C87145"/>
    <w:rsid w:val="00C8732A"/>
    <w:rsid w:val="00C8797A"/>
    <w:rsid w:val="00C87982"/>
    <w:rsid w:val="00C87B22"/>
    <w:rsid w:val="00C900B8"/>
    <w:rsid w:val="00C9097C"/>
    <w:rsid w:val="00C90C71"/>
    <w:rsid w:val="00C90D7C"/>
    <w:rsid w:val="00C90D92"/>
    <w:rsid w:val="00C90DDC"/>
    <w:rsid w:val="00C91FD1"/>
    <w:rsid w:val="00C923B2"/>
    <w:rsid w:val="00C927B9"/>
    <w:rsid w:val="00C929DB"/>
    <w:rsid w:val="00C929E4"/>
    <w:rsid w:val="00C92C87"/>
    <w:rsid w:val="00C931CF"/>
    <w:rsid w:val="00C93249"/>
    <w:rsid w:val="00C93562"/>
    <w:rsid w:val="00C93862"/>
    <w:rsid w:val="00C938CF"/>
    <w:rsid w:val="00C93DA2"/>
    <w:rsid w:val="00C94053"/>
    <w:rsid w:val="00C9431E"/>
    <w:rsid w:val="00C947C6"/>
    <w:rsid w:val="00C94CFD"/>
    <w:rsid w:val="00C95BE4"/>
    <w:rsid w:val="00C9624D"/>
    <w:rsid w:val="00C9656F"/>
    <w:rsid w:val="00C9669F"/>
    <w:rsid w:val="00C969DA"/>
    <w:rsid w:val="00C974A3"/>
    <w:rsid w:val="00C978BF"/>
    <w:rsid w:val="00CA0EC5"/>
    <w:rsid w:val="00CA1971"/>
    <w:rsid w:val="00CA1E82"/>
    <w:rsid w:val="00CA1FEB"/>
    <w:rsid w:val="00CA24BE"/>
    <w:rsid w:val="00CA2C77"/>
    <w:rsid w:val="00CA3BA4"/>
    <w:rsid w:val="00CA3DE3"/>
    <w:rsid w:val="00CA437C"/>
    <w:rsid w:val="00CA444F"/>
    <w:rsid w:val="00CA4886"/>
    <w:rsid w:val="00CA4D3E"/>
    <w:rsid w:val="00CA5245"/>
    <w:rsid w:val="00CA52C8"/>
    <w:rsid w:val="00CA5D9A"/>
    <w:rsid w:val="00CA5F69"/>
    <w:rsid w:val="00CA6868"/>
    <w:rsid w:val="00CA6883"/>
    <w:rsid w:val="00CA6C07"/>
    <w:rsid w:val="00CA6EC8"/>
    <w:rsid w:val="00CA712D"/>
    <w:rsid w:val="00CA71F4"/>
    <w:rsid w:val="00CA73C9"/>
    <w:rsid w:val="00CA7B09"/>
    <w:rsid w:val="00CB0168"/>
    <w:rsid w:val="00CB128A"/>
    <w:rsid w:val="00CB12A5"/>
    <w:rsid w:val="00CB1CAC"/>
    <w:rsid w:val="00CB1D97"/>
    <w:rsid w:val="00CB1EE5"/>
    <w:rsid w:val="00CB21DF"/>
    <w:rsid w:val="00CB29D1"/>
    <w:rsid w:val="00CB2F2A"/>
    <w:rsid w:val="00CB3048"/>
    <w:rsid w:val="00CB4E66"/>
    <w:rsid w:val="00CB4EFF"/>
    <w:rsid w:val="00CB5748"/>
    <w:rsid w:val="00CB5A2A"/>
    <w:rsid w:val="00CB5B1A"/>
    <w:rsid w:val="00CB6B22"/>
    <w:rsid w:val="00CB760E"/>
    <w:rsid w:val="00CB784C"/>
    <w:rsid w:val="00CB7BA3"/>
    <w:rsid w:val="00CB7F5F"/>
    <w:rsid w:val="00CC04B6"/>
    <w:rsid w:val="00CC1B39"/>
    <w:rsid w:val="00CC2103"/>
    <w:rsid w:val="00CC283C"/>
    <w:rsid w:val="00CC2848"/>
    <w:rsid w:val="00CC288F"/>
    <w:rsid w:val="00CC33C8"/>
    <w:rsid w:val="00CC35EA"/>
    <w:rsid w:val="00CC3848"/>
    <w:rsid w:val="00CC3928"/>
    <w:rsid w:val="00CC3D5E"/>
    <w:rsid w:val="00CC3E5A"/>
    <w:rsid w:val="00CC4787"/>
    <w:rsid w:val="00CC55D8"/>
    <w:rsid w:val="00CC5AC4"/>
    <w:rsid w:val="00CC5C78"/>
    <w:rsid w:val="00CC5CB9"/>
    <w:rsid w:val="00CC63D8"/>
    <w:rsid w:val="00CC682D"/>
    <w:rsid w:val="00CC684D"/>
    <w:rsid w:val="00CC7932"/>
    <w:rsid w:val="00CC7AC9"/>
    <w:rsid w:val="00CD0976"/>
    <w:rsid w:val="00CD0F45"/>
    <w:rsid w:val="00CD100B"/>
    <w:rsid w:val="00CD1F99"/>
    <w:rsid w:val="00CD2115"/>
    <w:rsid w:val="00CD288E"/>
    <w:rsid w:val="00CD2A91"/>
    <w:rsid w:val="00CD3162"/>
    <w:rsid w:val="00CD37BA"/>
    <w:rsid w:val="00CD3DD3"/>
    <w:rsid w:val="00CD3F6F"/>
    <w:rsid w:val="00CD3F77"/>
    <w:rsid w:val="00CD45D6"/>
    <w:rsid w:val="00CD4B0E"/>
    <w:rsid w:val="00CD4B10"/>
    <w:rsid w:val="00CD5148"/>
    <w:rsid w:val="00CD678B"/>
    <w:rsid w:val="00CD6ADC"/>
    <w:rsid w:val="00CD6AFA"/>
    <w:rsid w:val="00CD7193"/>
    <w:rsid w:val="00CD799F"/>
    <w:rsid w:val="00CE04D9"/>
    <w:rsid w:val="00CE0E1A"/>
    <w:rsid w:val="00CE1330"/>
    <w:rsid w:val="00CE227C"/>
    <w:rsid w:val="00CE2C16"/>
    <w:rsid w:val="00CE2DCB"/>
    <w:rsid w:val="00CE327B"/>
    <w:rsid w:val="00CE38C8"/>
    <w:rsid w:val="00CE4876"/>
    <w:rsid w:val="00CE4982"/>
    <w:rsid w:val="00CE58BD"/>
    <w:rsid w:val="00CE6274"/>
    <w:rsid w:val="00CE645D"/>
    <w:rsid w:val="00CE683A"/>
    <w:rsid w:val="00CE6880"/>
    <w:rsid w:val="00CE6CE6"/>
    <w:rsid w:val="00CE6E7D"/>
    <w:rsid w:val="00CE76F2"/>
    <w:rsid w:val="00CE77B6"/>
    <w:rsid w:val="00CE7F2F"/>
    <w:rsid w:val="00CE7FD6"/>
    <w:rsid w:val="00CF065D"/>
    <w:rsid w:val="00CF0697"/>
    <w:rsid w:val="00CF09DB"/>
    <w:rsid w:val="00CF10C3"/>
    <w:rsid w:val="00CF13A2"/>
    <w:rsid w:val="00CF180B"/>
    <w:rsid w:val="00CF1E98"/>
    <w:rsid w:val="00CF208F"/>
    <w:rsid w:val="00CF223F"/>
    <w:rsid w:val="00CF2610"/>
    <w:rsid w:val="00CF2AB2"/>
    <w:rsid w:val="00CF2B8D"/>
    <w:rsid w:val="00CF3908"/>
    <w:rsid w:val="00CF3B01"/>
    <w:rsid w:val="00CF456B"/>
    <w:rsid w:val="00CF4707"/>
    <w:rsid w:val="00CF4BD2"/>
    <w:rsid w:val="00CF50B9"/>
    <w:rsid w:val="00CF58CC"/>
    <w:rsid w:val="00CF5A22"/>
    <w:rsid w:val="00CF602D"/>
    <w:rsid w:val="00CF6CDB"/>
    <w:rsid w:val="00CF6DAD"/>
    <w:rsid w:val="00CF6F27"/>
    <w:rsid w:val="00CF749E"/>
    <w:rsid w:val="00CF7561"/>
    <w:rsid w:val="00D0022B"/>
    <w:rsid w:val="00D00322"/>
    <w:rsid w:val="00D00751"/>
    <w:rsid w:val="00D0174B"/>
    <w:rsid w:val="00D0262E"/>
    <w:rsid w:val="00D02D70"/>
    <w:rsid w:val="00D03578"/>
    <w:rsid w:val="00D0361D"/>
    <w:rsid w:val="00D04405"/>
    <w:rsid w:val="00D05CA4"/>
    <w:rsid w:val="00D05E3D"/>
    <w:rsid w:val="00D06139"/>
    <w:rsid w:val="00D061CE"/>
    <w:rsid w:val="00D06EEC"/>
    <w:rsid w:val="00D0788E"/>
    <w:rsid w:val="00D07CE1"/>
    <w:rsid w:val="00D10197"/>
    <w:rsid w:val="00D101FA"/>
    <w:rsid w:val="00D10656"/>
    <w:rsid w:val="00D10B65"/>
    <w:rsid w:val="00D110BD"/>
    <w:rsid w:val="00D11652"/>
    <w:rsid w:val="00D11C4D"/>
    <w:rsid w:val="00D11F9D"/>
    <w:rsid w:val="00D1217D"/>
    <w:rsid w:val="00D13200"/>
    <w:rsid w:val="00D13675"/>
    <w:rsid w:val="00D14102"/>
    <w:rsid w:val="00D141E1"/>
    <w:rsid w:val="00D1449E"/>
    <w:rsid w:val="00D14ABF"/>
    <w:rsid w:val="00D15148"/>
    <w:rsid w:val="00D15314"/>
    <w:rsid w:val="00D15884"/>
    <w:rsid w:val="00D15A41"/>
    <w:rsid w:val="00D15E3F"/>
    <w:rsid w:val="00D166C3"/>
    <w:rsid w:val="00D167D3"/>
    <w:rsid w:val="00D17C76"/>
    <w:rsid w:val="00D17D57"/>
    <w:rsid w:val="00D17D6C"/>
    <w:rsid w:val="00D208B4"/>
    <w:rsid w:val="00D2155B"/>
    <w:rsid w:val="00D21CE7"/>
    <w:rsid w:val="00D2246F"/>
    <w:rsid w:val="00D224D8"/>
    <w:rsid w:val="00D226BF"/>
    <w:rsid w:val="00D2376E"/>
    <w:rsid w:val="00D239A8"/>
    <w:rsid w:val="00D23D11"/>
    <w:rsid w:val="00D244B6"/>
    <w:rsid w:val="00D244E5"/>
    <w:rsid w:val="00D24EAD"/>
    <w:rsid w:val="00D25AD6"/>
    <w:rsid w:val="00D25CA7"/>
    <w:rsid w:val="00D25CD7"/>
    <w:rsid w:val="00D26281"/>
    <w:rsid w:val="00D267E7"/>
    <w:rsid w:val="00D26EBC"/>
    <w:rsid w:val="00D2715B"/>
    <w:rsid w:val="00D2754D"/>
    <w:rsid w:val="00D275AE"/>
    <w:rsid w:val="00D27690"/>
    <w:rsid w:val="00D278DC"/>
    <w:rsid w:val="00D27B27"/>
    <w:rsid w:val="00D303A4"/>
    <w:rsid w:val="00D3079A"/>
    <w:rsid w:val="00D309F1"/>
    <w:rsid w:val="00D30EA2"/>
    <w:rsid w:val="00D31191"/>
    <w:rsid w:val="00D31207"/>
    <w:rsid w:val="00D31AD8"/>
    <w:rsid w:val="00D31C6A"/>
    <w:rsid w:val="00D32848"/>
    <w:rsid w:val="00D32F68"/>
    <w:rsid w:val="00D3334F"/>
    <w:rsid w:val="00D3348A"/>
    <w:rsid w:val="00D33BE9"/>
    <w:rsid w:val="00D33D38"/>
    <w:rsid w:val="00D33F93"/>
    <w:rsid w:val="00D3457A"/>
    <w:rsid w:val="00D34701"/>
    <w:rsid w:val="00D3488F"/>
    <w:rsid w:val="00D35101"/>
    <w:rsid w:val="00D35580"/>
    <w:rsid w:val="00D357FF"/>
    <w:rsid w:val="00D36021"/>
    <w:rsid w:val="00D361E8"/>
    <w:rsid w:val="00D36654"/>
    <w:rsid w:val="00D36B95"/>
    <w:rsid w:val="00D36CA3"/>
    <w:rsid w:val="00D37375"/>
    <w:rsid w:val="00D37545"/>
    <w:rsid w:val="00D3766D"/>
    <w:rsid w:val="00D37AF3"/>
    <w:rsid w:val="00D37C5E"/>
    <w:rsid w:val="00D4035B"/>
    <w:rsid w:val="00D4042D"/>
    <w:rsid w:val="00D40C52"/>
    <w:rsid w:val="00D41074"/>
    <w:rsid w:val="00D41155"/>
    <w:rsid w:val="00D4147B"/>
    <w:rsid w:val="00D41EDE"/>
    <w:rsid w:val="00D424C7"/>
    <w:rsid w:val="00D42E83"/>
    <w:rsid w:val="00D43A8F"/>
    <w:rsid w:val="00D43B2A"/>
    <w:rsid w:val="00D43D83"/>
    <w:rsid w:val="00D44338"/>
    <w:rsid w:val="00D443BA"/>
    <w:rsid w:val="00D44DBE"/>
    <w:rsid w:val="00D45189"/>
    <w:rsid w:val="00D458A6"/>
    <w:rsid w:val="00D45ED9"/>
    <w:rsid w:val="00D469CC"/>
    <w:rsid w:val="00D46A5B"/>
    <w:rsid w:val="00D471F8"/>
    <w:rsid w:val="00D47575"/>
    <w:rsid w:val="00D47578"/>
    <w:rsid w:val="00D47964"/>
    <w:rsid w:val="00D47B15"/>
    <w:rsid w:val="00D47CDE"/>
    <w:rsid w:val="00D47DEA"/>
    <w:rsid w:val="00D509F3"/>
    <w:rsid w:val="00D51C11"/>
    <w:rsid w:val="00D52287"/>
    <w:rsid w:val="00D5243B"/>
    <w:rsid w:val="00D52647"/>
    <w:rsid w:val="00D52873"/>
    <w:rsid w:val="00D5313A"/>
    <w:rsid w:val="00D533EC"/>
    <w:rsid w:val="00D5478B"/>
    <w:rsid w:val="00D556BC"/>
    <w:rsid w:val="00D55738"/>
    <w:rsid w:val="00D55783"/>
    <w:rsid w:val="00D56A95"/>
    <w:rsid w:val="00D56B73"/>
    <w:rsid w:val="00D57707"/>
    <w:rsid w:val="00D6027F"/>
    <w:rsid w:val="00D609AF"/>
    <w:rsid w:val="00D60AA4"/>
    <w:rsid w:val="00D60FA5"/>
    <w:rsid w:val="00D613E0"/>
    <w:rsid w:val="00D6166C"/>
    <w:rsid w:val="00D6186F"/>
    <w:rsid w:val="00D61A8F"/>
    <w:rsid w:val="00D61FD4"/>
    <w:rsid w:val="00D6216E"/>
    <w:rsid w:val="00D622F5"/>
    <w:rsid w:val="00D6259F"/>
    <w:rsid w:val="00D62CC3"/>
    <w:rsid w:val="00D630D5"/>
    <w:rsid w:val="00D63574"/>
    <w:rsid w:val="00D64305"/>
    <w:rsid w:val="00D64318"/>
    <w:rsid w:val="00D64E08"/>
    <w:rsid w:val="00D650DE"/>
    <w:rsid w:val="00D66320"/>
    <w:rsid w:val="00D66695"/>
    <w:rsid w:val="00D66B6C"/>
    <w:rsid w:val="00D66E6B"/>
    <w:rsid w:val="00D67930"/>
    <w:rsid w:val="00D7059C"/>
    <w:rsid w:val="00D7061D"/>
    <w:rsid w:val="00D70D09"/>
    <w:rsid w:val="00D70DFB"/>
    <w:rsid w:val="00D70F16"/>
    <w:rsid w:val="00D70FCD"/>
    <w:rsid w:val="00D713ED"/>
    <w:rsid w:val="00D72419"/>
    <w:rsid w:val="00D72D8D"/>
    <w:rsid w:val="00D72F57"/>
    <w:rsid w:val="00D72FB5"/>
    <w:rsid w:val="00D7314D"/>
    <w:rsid w:val="00D73386"/>
    <w:rsid w:val="00D73564"/>
    <w:rsid w:val="00D73A6A"/>
    <w:rsid w:val="00D74408"/>
    <w:rsid w:val="00D75032"/>
    <w:rsid w:val="00D75045"/>
    <w:rsid w:val="00D75377"/>
    <w:rsid w:val="00D769FD"/>
    <w:rsid w:val="00D76A44"/>
    <w:rsid w:val="00D80DE4"/>
    <w:rsid w:val="00D80FC7"/>
    <w:rsid w:val="00D812EA"/>
    <w:rsid w:val="00D815EF"/>
    <w:rsid w:val="00D81945"/>
    <w:rsid w:val="00D819BA"/>
    <w:rsid w:val="00D81B0D"/>
    <w:rsid w:val="00D81BC2"/>
    <w:rsid w:val="00D81F26"/>
    <w:rsid w:val="00D83B6E"/>
    <w:rsid w:val="00D8415E"/>
    <w:rsid w:val="00D84403"/>
    <w:rsid w:val="00D855EC"/>
    <w:rsid w:val="00D86231"/>
    <w:rsid w:val="00D86481"/>
    <w:rsid w:val="00D87676"/>
    <w:rsid w:val="00D878E9"/>
    <w:rsid w:val="00D87E4E"/>
    <w:rsid w:val="00D90547"/>
    <w:rsid w:val="00D906AB"/>
    <w:rsid w:val="00D90B84"/>
    <w:rsid w:val="00D90EFF"/>
    <w:rsid w:val="00D912FD"/>
    <w:rsid w:val="00D91796"/>
    <w:rsid w:val="00D917A9"/>
    <w:rsid w:val="00D91923"/>
    <w:rsid w:val="00D9221B"/>
    <w:rsid w:val="00D92C8B"/>
    <w:rsid w:val="00D92DC3"/>
    <w:rsid w:val="00D93753"/>
    <w:rsid w:val="00D94913"/>
    <w:rsid w:val="00D95006"/>
    <w:rsid w:val="00D95910"/>
    <w:rsid w:val="00D95B7B"/>
    <w:rsid w:val="00D95DB7"/>
    <w:rsid w:val="00D96A35"/>
    <w:rsid w:val="00D96FE1"/>
    <w:rsid w:val="00D97809"/>
    <w:rsid w:val="00D97D9B"/>
    <w:rsid w:val="00DA0506"/>
    <w:rsid w:val="00DA0780"/>
    <w:rsid w:val="00DA0898"/>
    <w:rsid w:val="00DA0B5D"/>
    <w:rsid w:val="00DA0DB0"/>
    <w:rsid w:val="00DA16CB"/>
    <w:rsid w:val="00DA17D3"/>
    <w:rsid w:val="00DA1E25"/>
    <w:rsid w:val="00DA2F4B"/>
    <w:rsid w:val="00DA3167"/>
    <w:rsid w:val="00DA4DC3"/>
    <w:rsid w:val="00DA51C4"/>
    <w:rsid w:val="00DA520C"/>
    <w:rsid w:val="00DA561F"/>
    <w:rsid w:val="00DA5830"/>
    <w:rsid w:val="00DA605B"/>
    <w:rsid w:val="00DA6398"/>
    <w:rsid w:val="00DA6563"/>
    <w:rsid w:val="00DA6D77"/>
    <w:rsid w:val="00DA6F01"/>
    <w:rsid w:val="00DA6F1B"/>
    <w:rsid w:val="00DA71FD"/>
    <w:rsid w:val="00DA74EB"/>
    <w:rsid w:val="00DA758E"/>
    <w:rsid w:val="00DA76EF"/>
    <w:rsid w:val="00DA77A5"/>
    <w:rsid w:val="00DA79CA"/>
    <w:rsid w:val="00DB0097"/>
    <w:rsid w:val="00DB02A3"/>
    <w:rsid w:val="00DB07C7"/>
    <w:rsid w:val="00DB0B8A"/>
    <w:rsid w:val="00DB0C8F"/>
    <w:rsid w:val="00DB14DF"/>
    <w:rsid w:val="00DB1E3D"/>
    <w:rsid w:val="00DB1F50"/>
    <w:rsid w:val="00DB20FD"/>
    <w:rsid w:val="00DB3600"/>
    <w:rsid w:val="00DB379A"/>
    <w:rsid w:val="00DB3832"/>
    <w:rsid w:val="00DB3D98"/>
    <w:rsid w:val="00DB3DBF"/>
    <w:rsid w:val="00DB3F37"/>
    <w:rsid w:val="00DB4415"/>
    <w:rsid w:val="00DB484F"/>
    <w:rsid w:val="00DB4A46"/>
    <w:rsid w:val="00DB5866"/>
    <w:rsid w:val="00DB59F0"/>
    <w:rsid w:val="00DB5BE2"/>
    <w:rsid w:val="00DB5CF8"/>
    <w:rsid w:val="00DB6419"/>
    <w:rsid w:val="00DB66BB"/>
    <w:rsid w:val="00DB680C"/>
    <w:rsid w:val="00DB6ED4"/>
    <w:rsid w:val="00DB7382"/>
    <w:rsid w:val="00DB7526"/>
    <w:rsid w:val="00DB7BC6"/>
    <w:rsid w:val="00DB7BD0"/>
    <w:rsid w:val="00DB7F90"/>
    <w:rsid w:val="00DC04F6"/>
    <w:rsid w:val="00DC0690"/>
    <w:rsid w:val="00DC0DF9"/>
    <w:rsid w:val="00DC12DD"/>
    <w:rsid w:val="00DC197B"/>
    <w:rsid w:val="00DC19FE"/>
    <w:rsid w:val="00DC1AAB"/>
    <w:rsid w:val="00DC1BF6"/>
    <w:rsid w:val="00DC1D65"/>
    <w:rsid w:val="00DC237E"/>
    <w:rsid w:val="00DC3C57"/>
    <w:rsid w:val="00DC3F89"/>
    <w:rsid w:val="00DC4392"/>
    <w:rsid w:val="00DC43AA"/>
    <w:rsid w:val="00DC4606"/>
    <w:rsid w:val="00DC462C"/>
    <w:rsid w:val="00DC4DF7"/>
    <w:rsid w:val="00DC541B"/>
    <w:rsid w:val="00DC5501"/>
    <w:rsid w:val="00DC5886"/>
    <w:rsid w:val="00DC678A"/>
    <w:rsid w:val="00DC6829"/>
    <w:rsid w:val="00DC6BD3"/>
    <w:rsid w:val="00DC7154"/>
    <w:rsid w:val="00DC7E8A"/>
    <w:rsid w:val="00DD0F78"/>
    <w:rsid w:val="00DD10E2"/>
    <w:rsid w:val="00DD114E"/>
    <w:rsid w:val="00DD2592"/>
    <w:rsid w:val="00DD273C"/>
    <w:rsid w:val="00DD2C77"/>
    <w:rsid w:val="00DD2EDB"/>
    <w:rsid w:val="00DD2F02"/>
    <w:rsid w:val="00DD2F63"/>
    <w:rsid w:val="00DD3F28"/>
    <w:rsid w:val="00DD451B"/>
    <w:rsid w:val="00DD4537"/>
    <w:rsid w:val="00DD454E"/>
    <w:rsid w:val="00DD49B6"/>
    <w:rsid w:val="00DD4E15"/>
    <w:rsid w:val="00DD4EAF"/>
    <w:rsid w:val="00DD6363"/>
    <w:rsid w:val="00DD66F5"/>
    <w:rsid w:val="00DD6D36"/>
    <w:rsid w:val="00DD7F9B"/>
    <w:rsid w:val="00DE0A73"/>
    <w:rsid w:val="00DE1674"/>
    <w:rsid w:val="00DE1A43"/>
    <w:rsid w:val="00DE2304"/>
    <w:rsid w:val="00DE3138"/>
    <w:rsid w:val="00DE37F8"/>
    <w:rsid w:val="00DE46E2"/>
    <w:rsid w:val="00DE4E1D"/>
    <w:rsid w:val="00DE4FCB"/>
    <w:rsid w:val="00DE5220"/>
    <w:rsid w:val="00DE5A87"/>
    <w:rsid w:val="00DE5D07"/>
    <w:rsid w:val="00DE63CE"/>
    <w:rsid w:val="00DE683D"/>
    <w:rsid w:val="00DE6D6E"/>
    <w:rsid w:val="00DE6EED"/>
    <w:rsid w:val="00DE72A7"/>
    <w:rsid w:val="00DE7832"/>
    <w:rsid w:val="00DE796E"/>
    <w:rsid w:val="00DE7B3A"/>
    <w:rsid w:val="00DE7C7F"/>
    <w:rsid w:val="00DF13D0"/>
    <w:rsid w:val="00DF15B3"/>
    <w:rsid w:val="00DF18FC"/>
    <w:rsid w:val="00DF380E"/>
    <w:rsid w:val="00DF3E57"/>
    <w:rsid w:val="00DF4609"/>
    <w:rsid w:val="00DF48BD"/>
    <w:rsid w:val="00DF5071"/>
    <w:rsid w:val="00DF56D3"/>
    <w:rsid w:val="00DF5BF6"/>
    <w:rsid w:val="00DF5D2B"/>
    <w:rsid w:val="00DF614C"/>
    <w:rsid w:val="00DF73A1"/>
    <w:rsid w:val="00DF79EA"/>
    <w:rsid w:val="00DF7C09"/>
    <w:rsid w:val="00DF7DC5"/>
    <w:rsid w:val="00DF7E6E"/>
    <w:rsid w:val="00E001FB"/>
    <w:rsid w:val="00E004CD"/>
    <w:rsid w:val="00E00AED"/>
    <w:rsid w:val="00E00E8E"/>
    <w:rsid w:val="00E01300"/>
    <w:rsid w:val="00E016D8"/>
    <w:rsid w:val="00E016F3"/>
    <w:rsid w:val="00E017BC"/>
    <w:rsid w:val="00E01EFF"/>
    <w:rsid w:val="00E02680"/>
    <w:rsid w:val="00E0273F"/>
    <w:rsid w:val="00E02C9F"/>
    <w:rsid w:val="00E02F8C"/>
    <w:rsid w:val="00E035B5"/>
    <w:rsid w:val="00E0379D"/>
    <w:rsid w:val="00E0379E"/>
    <w:rsid w:val="00E03A56"/>
    <w:rsid w:val="00E043E9"/>
    <w:rsid w:val="00E048E9"/>
    <w:rsid w:val="00E04B4D"/>
    <w:rsid w:val="00E04C44"/>
    <w:rsid w:val="00E05630"/>
    <w:rsid w:val="00E05732"/>
    <w:rsid w:val="00E05C30"/>
    <w:rsid w:val="00E06626"/>
    <w:rsid w:val="00E06A05"/>
    <w:rsid w:val="00E06DBB"/>
    <w:rsid w:val="00E0741A"/>
    <w:rsid w:val="00E07E8E"/>
    <w:rsid w:val="00E10149"/>
    <w:rsid w:val="00E101B8"/>
    <w:rsid w:val="00E101D6"/>
    <w:rsid w:val="00E108A2"/>
    <w:rsid w:val="00E1095D"/>
    <w:rsid w:val="00E11340"/>
    <w:rsid w:val="00E122A1"/>
    <w:rsid w:val="00E13438"/>
    <w:rsid w:val="00E13EDA"/>
    <w:rsid w:val="00E13FEF"/>
    <w:rsid w:val="00E1413B"/>
    <w:rsid w:val="00E14562"/>
    <w:rsid w:val="00E15C36"/>
    <w:rsid w:val="00E16372"/>
    <w:rsid w:val="00E165B2"/>
    <w:rsid w:val="00E16E90"/>
    <w:rsid w:val="00E17D5A"/>
    <w:rsid w:val="00E20979"/>
    <w:rsid w:val="00E20E4D"/>
    <w:rsid w:val="00E20ED6"/>
    <w:rsid w:val="00E21050"/>
    <w:rsid w:val="00E21358"/>
    <w:rsid w:val="00E219BF"/>
    <w:rsid w:val="00E21BDE"/>
    <w:rsid w:val="00E2249B"/>
    <w:rsid w:val="00E22591"/>
    <w:rsid w:val="00E22990"/>
    <w:rsid w:val="00E22A0D"/>
    <w:rsid w:val="00E244F6"/>
    <w:rsid w:val="00E24983"/>
    <w:rsid w:val="00E24C20"/>
    <w:rsid w:val="00E24CD4"/>
    <w:rsid w:val="00E252FD"/>
    <w:rsid w:val="00E25CBD"/>
    <w:rsid w:val="00E26363"/>
    <w:rsid w:val="00E267EE"/>
    <w:rsid w:val="00E2703A"/>
    <w:rsid w:val="00E27195"/>
    <w:rsid w:val="00E2746F"/>
    <w:rsid w:val="00E2771E"/>
    <w:rsid w:val="00E27E41"/>
    <w:rsid w:val="00E30054"/>
    <w:rsid w:val="00E30453"/>
    <w:rsid w:val="00E309A4"/>
    <w:rsid w:val="00E30E32"/>
    <w:rsid w:val="00E311B7"/>
    <w:rsid w:val="00E311EF"/>
    <w:rsid w:val="00E31DA0"/>
    <w:rsid w:val="00E31DEF"/>
    <w:rsid w:val="00E31F51"/>
    <w:rsid w:val="00E32180"/>
    <w:rsid w:val="00E32E28"/>
    <w:rsid w:val="00E33315"/>
    <w:rsid w:val="00E33CA7"/>
    <w:rsid w:val="00E3408F"/>
    <w:rsid w:val="00E34948"/>
    <w:rsid w:val="00E34BA5"/>
    <w:rsid w:val="00E34F0E"/>
    <w:rsid w:val="00E350C8"/>
    <w:rsid w:val="00E35951"/>
    <w:rsid w:val="00E35B01"/>
    <w:rsid w:val="00E35CBB"/>
    <w:rsid w:val="00E35DCA"/>
    <w:rsid w:val="00E35F9B"/>
    <w:rsid w:val="00E35FAB"/>
    <w:rsid w:val="00E37569"/>
    <w:rsid w:val="00E37A07"/>
    <w:rsid w:val="00E37E07"/>
    <w:rsid w:val="00E401B2"/>
    <w:rsid w:val="00E40855"/>
    <w:rsid w:val="00E40FED"/>
    <w:rsid w:val="00E4159A"/>
    <w:rsid w:val="00E4193D"/>
    <w:rsid w:val="00E41E30"/>
    <w:rsid w:val="00E42ECD"/>
    <w:rsid w:val="00E42F73"/>
    <w:rsid w:val="00E43154"/>
    <w:rsid w:val="00E439BA"/>
    <w:rsid w:val="00E43B6C"/>
    <w:rsid w:val="00E43D70"/>
    <w:rsid w:val="00E44382"/>
    <w:rsid w:val="00E44B6D"/>
    <w:rsid w:val="00E44D4B"/>
    <w:rsid w:val="00E45366"/>
    <w:rsid w:val="00E45EEB"/>
    <w:rsid w:val="00E466F3"/>
    <w:rsid w:val="00E470B7"/>
    <w:rsid w:val="00E476ED"/>
    <w:rsid w:val="00E47B2C"/>
    <w:rsid w:val="00E5052C"/>
    <w:rsid w:val="00E5067B"/>
    <w:rsid w:val="00E51338"/>
    <w:rsid w:val="00E51560"/>
    <w:rsid w:val="00E51D0A"/>
    <w:rsid w:val="00E52001"/>
    <w:rsid w:val="00E525A2"/>
    <w:rsid w:val="00E5271F"/>
    <w:rsid w:val="00E52BAE"/>
    <w:rsid w:val="00E53017"/>
    <w:rsid w:val="00E533B5"/>
    <w:rsid w:val="00E53FC8"/>
    <w:rsid w:val="00E54232"/>
    <w:rsid w:val="00E54347"/>
    <w:rsid w:val="00E5476A"/>
    <w:rsid w:val="00E550BC"/>
    <w:rsid w:val="00E55350"/>
    <w:rsid w:val="00E55424"/>
    <w:rsid w:val="00E55915"/>
    <w:rsid w:val="00E55BB5"/>
    <w:rsid w:val="00E57E25"/>
    <w:rsid w:val="00E57E61"/>
    <w:rsid w:val="00E607EF"/>
    <w:rsid w:val="00E60AA2"/>
    <w:rsid w:val="00E616A3"/>
    <w:rsid w:val="00E623AB"/>
    <w:rsid w:val="00E6274C"/>
    <w:rsid w:val="00E628BD"/>
    <w:rsid w:val="00E62CD5"/>
    <w:rsid w:val="00E6342C"/>
    <w:rsid w:val="00E634FC"/>
    <w:rsid w:val="00E647D9"/>
    <w:rsid w:val="00E6521A"/>
    <w:rsid w:val="00E656DD"/>
    <w:rsid w:val="00E65B94"/>
    <w:rsid w:val="00E65D1A"/>
    <w:rsid w:val="00E65E79"/>
    <w:rsid w:val="00E662BC"/>
    <w:rsid w:val="00E663D4"/>
    <w:rsid w:val="00E6653C"/>
    <w:rsid w:val="00E66BA2"/>
    <w:rsid w:val="00E66C0E"/>
    <w:rsid w:val="00E66C45"/>
    <w:rsid w:val="00E66E4E"/>
    <w:rsid w:val="00E67416"/>
    <w:rsid w:val="00E67967"/>
    <w:rsid w:val="00E67F6A"/>
    <w:rsid w:val="00E70122"/>
    <w:rsid w:val="00E70232"/>
    <w:rsid w:val="00E7064A"/>
    <w:rsid w:val="00E714F2"/>
    <w:rsid w:val="00E718B6"/>
    <w:rsid w:val="00E71A1B"/>
    <w:rsid w:val="00E71B17"/>
    <w:rsid w:val="00E71CCC"/>
    <w:rsid w:val="00E723BA"/>
    <w:rsid w:val="00E7314A"/>
    <w:rsid w:val="00E73581"/>
    <w:rsid w:val="00E73EE8"/>
    <w:rsid w:val="00E74245"/>
    <w:rsid w:val="00E743DE"/>
    <w:rsid w:val="00E74FD8"/>
    <w:rsid w:val="00E755E0"/>
    <w:rsid w:val="00E75983"/>
    <w:rsid w:val="00E75F65"/>
    <w:rsid w:val="00E75FF1"/>
    <w:rsid w:val="00E76383"/>
    <w:rsid w:val="00E7655B"/>
    <w:rsid w:val="00E76D3E"/>
    <w:rsid w:val="00E7702A"/>
    <w:rsid w:val="00E80053"/>
    <w:rsid w:val="00E8025F"/>
    <w:rsid w:val="00E80AFF"/>
    <w:rsid w:val="00E80FC8"/>
    <w:rsid w:val="00E80FE2"/>
    <w:rsid w:val="00E816D1"/>
    <w:rsid w:val="00E818DB"/>
    <w:rsid w:val="00E819D0"/>
    <w:rsid w:val="00E81F44"/>
    <w:rsid w:val="00E833F7"/>
    <w:rsid w:val="00E83756"/>
    <w:rsid w:val="00E83B6E"/>
    <w:rsid w:val="00E83BDF"/>
    <w:rsid w:val="00E843B8"/>
    <w:rsid w:val="00E84C26"/>
    <w:rsid w:val="00E84F9C"/>
    <w:rsid w:val="00E85722"/>
    <w:rsid w:val="00E862FC"/>
    <w:rsid w:val="00E864F5"/>
    <w:rsid w:val="00E865F3"/>
    <w:rsid w:val="00E86920"/>
    <w:rsid w:val="00E871D2"/>
    <w:rsid w:val="00E87A1D"/>
    <w:rsid w:val="00E87BB7"/>
    <w:rsid w:val="00E87DD5"/>
    <w:rsid w:val="00E87EDF"/>
    <w:rsid w:val="00E9011C"/>
    <w:rsid w:val="00E9043C"/>
    <w:rsid w:val="00E907D7"/>
    <w:rsid w:val="00E908F2"/>
    <w:rsid w:val="00E9094A"/>
    <w:rsid w:val="00E90A3F"/>
    <w:rsid w:val="00E90D05"/>
    <w:rsid w:val="00E90F87"/>
    <w:rsid w:val="00E91D35"/>
    <w:rsid w:val="00E92308"/>
    <w:rsid w:val="00E926A5"/>
    <w:rsid w:val="00E937E3"/>
    <w:rsid w:val="00E94BEC"/>
    <w:rsid w:val="00E94E29"/>
    <w:rsid w:val="00E95258"/>
    <w:rsid w:val="00E9637E"/>
    <w:rsid w:val="00E96BCB"/>
    <w:rsid w:val="00E96BDB"/>
    <w:rsid w:val="00E96FF7"/>
    <w:rsid w:val="00E972E8"/>
    <w:rsid w:val="00E97744"/>
    <w:rsid w:val="00EA02FE"/>
    <w:rsid w:val="00EA0DA4"/>
    <w:rsid w:val="00EA0E4D"/>
    <w:rsid w:val="00EA0F02"/>
    <w:rsid w:val="00EA17C3"/>
    <w:rsid w:val="00EA189E"/>
    <w:rsid w:val="00EA18A2"/>
    <w:rsid w:val="00EA1F5D"/>
    <w:rsid w:val="00EA21F1"/>
    <w:rsid w:val="00EA2CAA"/>
    <w:rsid w:val="00EA2F7F"/>
    <w:rsid w:val="00EA3864"/>
    <w:rsid w:val="00EA440C"/>
    <w:rsid w:val="00EA4676"/>
    <w:rsid w:val="00EA7151"/>
    <w:rsid w:val="00EA7A30"/>
    <w:rsid w:val="00EA7F1C"/>
    <w:rsid w:val="00EB0396"/>
    <w:rsid w:val="00EB06FA"/>
    <w:rsid w:val="00EB0D1E"/>
    <w:rsid w:val="00EB0EE8"/>
    <w:rsid w:val="00EB15B6"/>
    <w:rsid w:val="00EB2132"/>
    <w:rsid w:val="00EB2614"/>
    <w:rsid w:val="00EB2CDA"/>
    <w:rsid w:val="00EB2F96"/>
    <w:rsid w:val="00EB3369"/>
    <w:rsid w:val="00EB342F"/>
    <w:rsid w:val="00EB354E"/>
    <w:rsid w:val="00EB35A9"/>
    <w:rsid w:val="00EB3677"/>
    <w:rsid w:val="00EB3D06"/>
    <w:rsid w:val="00EB3E41"/>
    <w:rsid w:val="00EB431A"/>
    <w:rsid w:val="00EB4916"/>
    <w:rsid w:val="00EB5094"/>
    <w:rsid w:val="00EB5447"/>
    <w:rsid w:val="00EB5CD0"/>
    <w:rsid w:val="00EB5DC3"/>
    <w:rsid w:val="00EB612F"/>
    <w:rsid w:val="00EB6728"/>
    <w:rsid w:val="00EB69DF"/>
    <w:rsid w:val="00EB6A3E"/>
    <w:rsid w:val="00EB7185"/>
    <w:rsid w:val="00EB7C8B"/>
    <w:rsid w:val="00EB7F09"/>
    <w:rsid w:val="00EB7FA7"/>
    <w:rsid w:val="00EC00C9"/>
    <w:rsid w:val="00EC0376"/>
    <w:rsid w:val="00EC04EE"/>
    <w:rsid w:val="00EC06C9"/>
    <w:rsid w:val="00EC0C82"/>
    <w:rsid w:val="00EC0DD9"/>
    <w:rsid w:val="00EC0E35"/>
    <w:rsid w:val="00EC0F31"/>
    <w:rsid w:val="00EC12D5"/>
    <w:rsid w:val="00EC132C"/>
    <w:rsid w:val="00EC21CF"/>
    <w:rsid w:val="00EC2649"/>
    <w:rsid w:val="00EC31ED"/>
    <w:rsid w:val="00EC3A86"/>
    <w:rsid w:val="00EC45A0"/>
    <w:rsid w:val="00EC575D"/>
    <w:rsid w:val="00EC5836"/>
    <w:rsid w:val="00EC5A13"/>
    <w:rsid w:val="00EC626A"/>
    <w:rsid w:val="00EC688C"/>
    <w:rsid w:val="00EC6FCC"/>
    <w:rsid w:val="00EC720E"/>
    <w:rsid w:val="00EC73B3"/>
    <w:rsid w:val="00EC7EC9"/>
    <w:rsid w:val="00ED09E2"/>
    <w:rsid w:val="00ED0E08"/>
    <w:rsid w:val="00ED0EAE"/>
    <w:rsid w:val="00ED2011"/>
    <w:rsid w:val="00ED2ACE"/>
    <w:rsid w:val="00ED2BAB"/>
    <w:rsid w:val="00ED2E6B"/>
    <w:rsid w:val="00ED31FD"/>
    <w:rsid w:val="00ED328D"/>
    <w:rsid w:val="00ED41F9"/>
    <w:rsid w:val="00ED4A4C"/>
    <w:rsid w:val="00ED4C2C"/>
    <w:rsid w:val="00ED4E0E"/>
    <w:rsid w:val="00ED52DB"/>
    <w:rsid w:val="00ED5739"/>
    <w:rsid w:val="00ED57EA"/>
    <w:rsid w:val="00ED5BD4"/>
    <w:rsid w:val="00ED5D1A"/>
    <w:rsid w:val="00ED62F3"/>
    <w:rsid w:val="00ED6F2A"/>
    <w:rsid w:val="00EE07D3"/>
    <w:rsid w:val="00EE0C8D"/>
    <w:rsid w:val="00EE152B"/>
    <w:rsid w:val="00EE16B6"/>
    <w:rsid w:val="00EE1996"/>
    <w:rsid w:val="00EE1AC8"/>
    <w:rsid w:val="00EE1C01"/>
    <w:rsid w:val="00EE21EE"/>
    <w:rsid w:val="00EE22AF"/>
    <w:rsid w:val="00EE2880"/>
    <w:rsid w:val="00EE300C"/>
    <w:rsid w:val="00EE32AC"/>
    <w:rsid w:val="00EE39D2"/>
    <w:rsid w:val="00EE4148"/>
    <w:rsid w:val="00EE43A0"/>
    <w:rsid w:val="00EE4408"/>
    <w:rsid w:val="00EE4685"/>
    <w:rsid w:val="00EE49D6"/>
    <w:rsid w:val="00EE4EF0"/>
    <w:rsid w:val="00EE52AE"/>
    <w:rsid w:val="00EE594D"/>
    <w:rsid w:val="00EE5AB5"/>
    <w:rsid w:val="00EE607D"/>
    <w:rsid w:val="00EE6E73"/>
    <w:rsid w:val="00EE6E98"/>
    <w:rsid w:val="00EE727A"/>
    <w:rsid w:val="00EE7306"/>
    <w:rsid w:val="00EE763F"/>
    <w:rsid w:val="00EE77F9"/>
    <w:rsid w:val="00EE789F"/>
    <w:rsid w:val="00EE78E8"/>
    <w:rsid w:val="00EE7DED"/>
    <w:rsid w:val="00EF0171"/>
    <w:rsid w:val="00EF0DEF"/>
    <w:rsid w:val="00EF1149"/>
    <w:rsid w:val="00EF1278"/>
    <w:rsid w:val="00EF15AF"/>
    <w:rsid w:val="00EF1980"/>
    <w:rsid w:val="00EF1B25"/>
    <w:rsid w:val="00EF1DA0"/>
    <w:rsid w:val="00EF375F"/>
    <w:rsid w:val="00EF3D13"/>
    <w:rsid w:val="00EF450A"/>
    <w:rsid w:val="00EF4747"/>
    <w:rsid w:val="00EF4BF8"/>
    <w:rsid w:val="00EF713C"/>
    <w:rsid w:val="00EF7921"/>
    <w:rsid w:val="00EF7BD0"/>
    <w:rsid w:val="00F003EA"/>
    <w:rsid w:val="00F00E75"/>
    <w:rsid w:val="00F011F5"/>
    <w:rsid w:val="00F01B9A"/>
    <w:rsid w:val="00F01C41"/>
    <w:rsid w:val="00F01CAB"/>
    <w:rsid w:val="00F01E2D"/>
    <w:rsid w:val="00F02253"/>
    <w:rsid w:val="00F02742"/>
    <w:rsid w:val="00F027F3"/>
    <w:rsid w:val="00F02CF4"/>
    <w:rsid w:val="00F03182"/>
    <w:rsid w:val="00F03C2E"/>
    <w:rsid w:val="00F042AF"/>
    <w:rsid w:val="00F04526"/>
    <w:rsid w:val="00F048F0"/>
    <w:rsid w:val="00F04A66"/>
    <w:rsid w:val="00F04B0E"/>
    <w:rsid w:val="00F04B4B"/>
    <w:rsid w:val="00F0516C"/>
    <w:rsid w:val="00F0623E"/>
    <w:rsid w:val="00F067A2"/>
    <w:rsid w:val="00F06E70"/>
    <w:rsid w:val="00F0710F"/>
    <w:rsid w:val="00F07A3D"/>
    <w:rsid w:val="00F07B9E"/>
    <w:rsid w:val="00F101FE"/>
    <w:rsid w:val="00F1044D"/>
    <w:rsid w:val="00F10739"/>
    <w:rsid w:val="00F10F56"/>
    <w:rsid w:val="00F1116F"/>
    <w:rsid w:val="00F11426"/>
    <w:rsid w:val="00F11976"/>
    <w:rsid w:val="00F11AE3"/>
    <w:rsid w:val="00F11F51"/>
    <w:rsid w:val="00F124AF"/>
    <w:rsid w:val="00F1263A"/>
    <w:rsid w:val="00F12748"/>
    <w:rsid w:val="00F1338F"/>
    <w:rsid w:val="00F1370D"/>
    <w:rsid w:val="00F13C44"/>
    <w:rsid w:val="00F140DD"/>
    <w:rsid w:val="00F143B3"/>
    <w:rsid w:val="00F14C90"/>
    <w:rsid w:val="00F155A0"/>
    <w:rsid w:val="00F15B77"/>
    <w:rsid w:val="00F15C36"/>
    <w:rsid w:val="00F15FF8"/>
    <w:rsid w:val="00F162C4"/>
    <w:rsid w:val="00F166EE"/>
    <w:rsid w:val="00F16A03"/>
    <w:rsid w:val="00F16A46"/>
    <w:rsid w:val="00F2065C"/>
    <w:rsid w:val="00F20BA2"/>
    <w:rsid w:val="00F21A18"/>
    <w:rsid w:val="00F21D02"/>
    <w:rsid w:val="00F22732"/>
    <w:rsid w:val="00F22913"/>
    <w:rsid w:val="00F2346F"/>
    <w:rsid w:val="00F23CC9"/>
    <w:rsid w:val="00F23F5E"/>
    <w:rsid w:val="00F241BD"/>
    <w:rsid w:val="00F243F1"/>
    <w:rsid w:val="00F24837"/>
    <w:rsid w:val="00F24C91"/>
    <w:rsid w:val="00F24EE6"/>
    <w:rsid w:val="00F25678"/>
    <w:rsid w:val="00F2575F"/>
    <w:rsid w:val="00F25B0A"/>
    <w:rsid w:val="00F25C2F"/>
    <w:rsid w:val="00F26310"/>
    <w:rsid w:val="00F26A10"/>
    <w:rsid w:val="00F26E34"/>
    <w:rsid w:val="00F27565"/>
    <w:rsid w:val="00F27B11"/>
    <w:rsid w:val="00F301E3"/>
    <w:rsid w:val="00F310D4"/>
    <w:rsid w:val="00F31298"/>
    <w:rsid w:val="00F312E2"/>
    <w:rsid w:val="00F312F1"/>
    <w:rsid w:val="00F316F8"/>
    <w:rsid w:val="00F3172B"/>
    <w:rsid w:val="00F31784"/>
    <w:rsid w:val="00F31A0C"/>
    <w:rsid w:val="00F31ACE"/>
    <w:rsid w:val="00F31D5A"/>
    <w:rsid w:val="00F31DF4"/>
    <w:rsid w:val="00F31E31"/>
    <w:rsid w:val="00F31F97"/>
    <w:rsid w:val="00F32157"/>
    <w:rsid w:val="00F33975"/>
    <w:rsid w:val="00F33DE9"/>
    <w:rsid w:val="00F356D0"/>
    <w:rsid w:val="00F359CD"/>
    <w:rsid w:val="00F359E7"/>
    <w:rsid w:val="00F35A46"/>
    <w:rsid w:val="00F35E6D"/>
    <w:rsid w:val="00F3619A"/>
    <w:rsid w:val="00F363DB"/>
    <w:rsid w:val="00F36508"/>
    <w:rsid w:val="00F369CE"/>
    <w:rsid w:val="00F36AFA"/>
    <w:rsid w:val="00F374EE"/>
    <w:rsid w:val="00F37B00"/>
    <w:rsid w:val="00F407CD"/>
    <w:rsid w:val="00F40A81"/>
    <w:rsid w:val="00F40AAA"/>
    <w:rsid w:val="00F40BA7"/>
    <w:rsid w:val="00F40F9D"/>
    <w:rsid w:val="00F414A9"/>
    <w:rsid w:val="00F417C6"/>
    <w:rsid w:val="00F41ACD"/>
    <w:rsid w:val="00F41D6A"/>
    <w:rsid w:val="00F42084"/>
    <w:rsid w:val="00F422F9"/>
    <w:rsid w:val="00F42EA1"/>
    <w:rsid w:val="00F43610"/>
    <w:rsid w:val="00F447E8"/>
    <w:rsid w:val="00F4506F"/>
    <w:rsid w:val="00F45657"/>
    <w:rsid w:val="00F46339"/>
    <w:rsid w:val="00F46CB6"/>
    <w:rsid w:val="00F46F07"/>
    <w:rsid w:val="00F470E0"/>
    <w:rsid w:val="00F47517"/>
    <w:rsid w:val="00F4756D"/>
    <w:rsid w:val="00F47D8D"/>
    <w:rsid w:val="00F47DE8"/>
    <w:rsid w:val="00F47FB8"/>
    <w:rsid w:val="00F5040B"/>
    <w:rsid w:val="00F50624"/>
    <w:rsid w:val="00F50FFB"/>
    <w:rsid w:val="00F51185"/>
    <w:rsid w:val="00F517EE"/>
    <w:rsid w:val="00F51DEE"/>
    <w:rsid w:val="00F51F3D"/>
    <w:rsid w:val="00F52FDC"/>
    <w:rsid w:val="00F53736"/>
    <w:rsid w:val="00F53B27"/>
    <w:rsid w:val="00F53D08"/>
    <w:rsid w:val="00F53DEB"/>
    <w:rsid w:val="00F542C1"/>
    <w:rsid w:val="00F54A9C"/>
    <w:rsid w:val="00F54FEF"/>
    <w:rsid w:val="00F552CA"/>
    <w:rsid w:val="00F55375"/>
    <w:rsid w:val="00F55AAE"/>
    <w:rsid w:val="00F55B5D"/>
    <w:rsid w:val="00F55E73"/>
    <w:rsid w:val="00F55EAE"/>
    <w:rsid w:val="00F55EDA"/>
    <w:rsid w:val="00F562CB"/>
    <w:rsid w:val="00F56765"/>
    <w:rsid w:val="00F568CC"/>
    <w:rsid w:val="00F56C56"/>
    <w:rsid w:val="00F56C80"/>
    <w:rsid w:val="00F57A5A"/>
    <w:rsid w:val="00F60092"/>
    <w:rsid w:val="00F6086C"/>
    <w:rsid w:val="00F60B8B"/>
    <w:rsid w:val="00F61769"/>
    <w:rsid w:val="00F617F1"/>
    <w:rsid w:val="00F619D8"/>
    <w:rsid w:val="00F61BA7"/>
    <w:rsid w:val="00F61C18"/>
    <w:rsid w:val="00F61C7F"/>
    <w:rsid w:val="00F625F7"/>
    <w:rsid w:val="00F629CF"/>
    <w:rsid w:val="00F637FB"/>
    <w:rsid w:val="00F64065"/>
    <w:rsid w:val="00F6468B"/>
    <w:rsid w:val="00F64DF7"/>
    <w:rsid w:val="00F654CC"/>
    <w:rsid w:val="00F657F0"/>
    <w:rsid w:val="00F65857"/>
    <w:rsid w:val="00F65937"/>
    <w:rsid w:val="00F65F4B"/>
    <w:rsid w:val="00F66722"/>
    <w:rsid w:val="00F66F12"/>
    <w:rsid w:val="00F66F9C"/>
    <w:rsid w:val="00F67A69"/>
    <w:rsid w:val="00F705DA"/>
    <w:rsid w:val="00F70BFF"/>
    <w:rsid w:val="00F70C9D"/>
    <w:rsid w:val="00F7101A"/>
    <w:rsid w:val="00F717C1"/>
    <w:rsid w:val="00F72044"/>
    <w:rsid w:val="00F720C5"/>
    <w:rsid w:val="00F72C73"/>
    <w:rsid w:val="00F72D82"/>
    <w:rsid w:val="00F72DAC"/>
    <w:rsid w:val="00F742AE"/>
    <w:rsid w:val="00F74ACE"/>
    <w:rsid w:val="00F74CC5"/>
    <w:rsid w:val="00F74CD9"/>
    <w:rsid w:val="00F7598E"/>
    <w:rsid w:val="00F76998"/>
    <w:rsid w:val="00F769C5"/>
    <w:rsid w:val="00F80029"/>
    <w:rsid w:val="00F8043D"/>
    <w:rsid w:val="00F80A7B"/>
    <w:rsid w:val="00F80E5D"/>
    <w:rsid w:val="00F81373"/>
    <w:rsid w:val="00F8138C"/>
    <w:rsid w:val="00F81E78"/>
    <w:rsid w:val="00F82004"/>
    <w:rsid w:val="00F825E7"/>
    <w:rsid w:val="00F83008"/>
    <w:rsid w:val="00F849C1"/>
    <w:rsid w:val="00F84D24"/>
    <w:rsid w:val="00F84D9B"/>
    <w:rsid w:val="00F851CE"/>
    <w:rsid w:val="00F851E5"/>
    <w:rsid w:val="00F856EB"/>
    <w:rsid w:val="00F85D3D"/>
    <w:rsid w:val="00F85FD1"/>
    <w:rsid w:val="00F863BF"/>
    <w:rsid w:val="00F87ABF"/>
    <w:rsid w:val="00F87DEA"/>
    <w:rsid w:val="00F87E7B"/>
    <w:rsid w:val="00F87EEB"/>
    <w:rsid w:val="00F9007B"/>
    <w:rsid w:val="00F90CA7"/>
    <w:rsid w:val="00F91219"/>
    <w:rsid w:val="00F91664"/>
    <w:rsid w:val="00F916C6"/>
    <w:rsid w:val="00F917EF"/>
    <w:rsid w:val="00F92444"/>
    <w:rsid w:val="00F925F5"/>
    <w:rsid w:val="00F92DEF"/>
    <w:rsid w:val="00F9393E"/>
    <w:rsid w:val="00F93A29"/>
    <w:rsid w:val="00F94415"/>
    <w:rsid w:val="00F945DF"/>
    <w:rsid w:val="00F9569B"/>
    <w:rsid w:val="00F960B4"/>
    <w:rsid w:val="00F9648D"/>
    <w:rsid w:val="00F96FAA"/>
    <w:rsid w:val="00F96FD0"/>
    <w:rsid w:val="00F973BA"/>
    <w:rsid w:val="00F973DA"/>
    <w:rsid w:val="00F97A28"/>
    <w:rsid w:val="00F97A78"/>
    <w:rsid w:val="00FA0540"/>
    <w:rsid w:val="00FA0B20"/>
    <w:rsid w:val="00FA0F55"/>
    <w:rsid w:val="00FA1574"/>
    <w:rsid w:val="00FA1BC3"/>
    <w:rsid w:val="00FA1E85"/>
    <w:rsid w:val="00FA2086"/>
    <w:rsid w:val="00FA24E7"/>
    <w:rsid w:val="00FA267C"/>
    <w:rsid w:val="00FA34DB"/>
    <w:rsid w:val="00FA354A"/>
    <w:rsid w:val="00FA3BC4"/>
    <w:rsid w:val="00FA51F9"/>
    <w:rsid w:val="00FA56B4"/>
    <w:rsid w:val="00FA57D4"/>
    <w:rsid w:val="00FA58BC"/>
    <w:rsid w:val="00FA5BEA"/>
    <w:rsid w:val="00FA5EE6"/>
    <w:rsid w:val="00FA6495"/>
    <w:rsid w:val="00FA6C49"/>
    <w:rsid w:val="00FA6DDC"/>
    <w:rsid w:val="00FA6E11"/>
    <w:rsid w:val="00FA70F0"/>
    <w:rsid w:val="00FA715D"/>
    <w:rsid w:val="00FA7956"/>
    <w:rsid w:val="00FB0576"/>
    <w:rsid w:val="00FB06BA"/>
    <w:rsid w:val="00FB08F8"/>
    <w:rsid w:val="00FB096C"/>
    <w:rsid w:val="00FB0BB7"/>
    <w:rsid w:val="00FB0CB4"/>
    <w:rsid w:val="00FB10D4"/>
    <w:rsid w:val="00FB12D6"/>
    <w:rsid w:val="00FB1331"/>
    <w:rsid w:val="00FB2FCB"/>
    <w:rsid w:val="00FB3250"/>
    <w:rsid w:val="00FB34B1"/>
    <w:rsid w:val="00FB3C6B"/>
    <w:rsid w:val="00FB3CF1"/>
    <w:rsid w:val="00FB4E8E"/>
    <w:rsid w:val="00FB58CD"/>
    <w:rsid w:val="00FB5A7A"/>
    <w:rsid w:val="00FB5E1C"/>
    <w:rsid w:val="00FB5EB7"/>
    <w:rsid w:val="00FB6459"/>
    <w:rsid w:val="00FB6972"/>
    <w:rsid w:val="00FB7808"/>
    <w:rsid w:val="00FB7C55"/>
    <w:rsid w:val="00FC0A4B"/>
    <w:rsid w:val="00FC0D61"/>
    <w:rsid w:val="00FC0FDD"/>
    <w:rsid w:val="00FC1074"/>
    <w:rsid w:val="00FC173C"/>
    <w:rsid w:val="00FC1884"/>
    <w:rsid w:val="00FC18AE"/>
    <w:rsid w:val="00FC1977"/>
    <w:rsid w:val="00FC267A"/>
    <w:rsid w:val="00FC2EBF"/>
    <w:rsid w:val="00FC2F01"/>
    <w:rsid w:val="00FC371D"/>
    <w:rsid w:val="00FC3ADA"/>
    <w:rsid w:val="00FC452E"/>
    <w:rsid w:val="00FC4A5A"/>
    <w:rsid w:val="00FC4C1F"/>
    <w:rsid w:val="00FC4D03"/>
    <w:rsid w:val="00FC5C9D"/>
    <w:rsid w:val="00FC5F0B"/>
    <w:rsid w:val="00FC5F29"/>
    <w:rsid w:val="00FC75BD"/>
    <w:rsid w:val="00FC76C6"/>
    <w:rsid w:val="00FC7853"/>
    <w:rsid w:val="00FC7C07"/>
    <w:rsid w:val="00FC7C12"/>
    <w:rsid w:val="00FC7D4E"/>
    <w:rsid w:val="00FD07D1"/>
    <w:rsid w:val="00FD07D9"/>
    <w:rsid w:val="00FD0D26"/>
    <w:rsid w:val="00FD1252"/>
    <w:rsid w:val="00FD166A"/>
    <w:rsid w:val="00FD1B45"/>
    <w:rsid w:val="00FD1CAA"/>
    <w:rsid w:val="00FD1DBE"/>
    <w:rsid w:val="00FD1E51"/>
    <w:rsid w:val="00FD2100"/>
    <w:rsid w:val="00FD2493"/>
    <w:rsid w:val="00FD2694"/>
    <w:rsid w:val="00FD2802"/>
    <w:rsid w:val="00FD31C4"/>
    <w:rsid w:val="00FD34AA"/>
    <w:rsid w:val="00FD41F6"/>
    <w:rsid w:val="00FD436C"/>
    <w:rsid w:val="00FD446D"/>
    <w:rsid w:val="00FD4F2C"/>
    <w:rsid w:val="00FD5113"/>
    <w:rsid w:val="00FD5586"/>
    <w:rsid w:val="00FD6394"/>
    <w:rsid w:val="00FD6C18"/>
    <w:rsid w:val="00FD6DB8"/>
    <w:rsid w:val="00FD7625"/>
    <w:rsid w:val="00FD788E"/>
    <w:rsid w:val="00FD7FEA"/>
    <w:rsid w:val="00FE0E6C"/>
    <w:rsid w:val="00FE0ED9"/>
    <w:rsid w:val="00FE1319"/>
    <w:rsid w:val="00FE1CDC"/>
    <w:rsid w:val="00FE208C"/>
    <w:rsid w:val="00FE2251"/>
    <w:rsid w:val="00FE22B9"/>
    <w:rsid w:val="00FE24A1"/>
    <w:rsid w:val="00FE2702"/>
    <w:rsid w:val="00FE319B"/>
    <w:rsid w:val="00FE3585"/>
    <w:rsid w:val="00FE3DB2"/>
    <w:rsid w:val="00FE3ED2"/>
    <w:rsid w:val="00FE4223"/>
    <w:rsid w:val="00FE4548"/>
    <w:rsid w:val="00FE46F7"/>
    <w:rsid w:val="00FE4B7A"/>
    <w:rsid w:val="00FE4D24"/>
    <w:rsid w:val="00FE55EF"/>
    <w:rsid w:val="00FE5A9A"/>
    <w:rsid w:val="00FE5DA2"/>
    <w:rsid w:val="00FE70C3"/>
    <w:rsid w:val="00FE74F4"/>
    <w:rsid w:val="00FF0181"/>
    <w:rsid w:val="00FF048B"/>
    <w:rsid w:val="00FF0DE2"/>
    <w:rsid w:val="00FF106A"/>
    <w:rsid w:val="00FF13C6"/>
    <w:rsid w:val="00FF1672"/>
    <w:rsid w:val="00FF1B30"/>
    <w:rsid w:val="00FF2AD9"/>
    <w:rsid w:val="00FF2CEC"/>
    <w:rsid w:val="00FF359F"/>
    <w:rsid w:val="00FF373B"/>
    <w:rsid w:val="00FF3B0F"/>
    <w:rsid w:val="00FF3DCF"/>
    <w:rsid w:val="00FF4325"/>
    <w:rsid w:val="00FF45F9"/>
    <w:rsid w:val="00FF492C"/>
    <w:rsid w:val="00FF4A21"/>
    <w:rsid w:val="00FF4C16"/>
    <w:rsid w:val="00FF5AA3"/>
    <w:rsid w:val="00FF5AD8"/>
    <w:rsid w:val="00FF65F5"/>
    <w:rsid w:val="00FF7D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94F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D81"/>
    <w:pPr>
      <w:jc w:val="both"/>
    </w:pPr>
    <w:rPr>
      <w:rFonts w:ascii="Calibri" w:hAnsi="Calibri" w:cs="Arial"/>
      <w:sz w:val="24"/>
      <w:szCs w:val="24"/>
      <w:lang w:val="en-GB"/>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HTAtableplain,Lash Style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qFormat/>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character" w:styleId="CommentReference">
    <w:name w:val="annotation reference"/>
    <w:aliases w:val="Table Title,-H18"/>
    <w:basedOn w:val="DefaultParagraphFont"/>
    <w:uiPriority w:val="99"/>
    <w:unhideWhenUsed/>
    <w:qFormat/>
    <w:rsid w:val="00536C1F"/>
    <w:rPr>
      <w:sz w:val="16"/>
      <w:szCs w:val="16"/>
    </w:rPr>
  </w:style>
  <w:style w:type="paragraph" w:styleId="CommentText">
    <w:name w:val="annotation text"/>
    <w:basedOn w:val="Normal"/>
    <w:link w:val="CommentTextChar"/>
    <w:unhideWhenUsed/>
    <w:rsid w:val="00536C1F"/>
    <w:rPr>
      <w:sz w:val="20"/>
      <w:szCs w:val="20"/>
    </w:rPr>
  </w:style>
  <w:style w:type="character" w:customStyle="1" w:styleId="CommentTextChar">
    <w:name w:val="Comment Text Char"/>
    <w:basedOn w:val="DefaultParagraphFont"/>
    <w:link w:val="CommentText"/>
    <w:rsid w:val="00536C1F"/>
    <w:rPr>
      <w:rFonts w:ascii="Calibri" w:hAnsi="Calibri" w:cs="Arial"/>
    </w:rPr>
  </w:style>
  <w:style w:type="paragraph" w:styleId="CommentSubject">
    <w:name w:val="annotation subject"/>
    <w:basedOn w:val="CommentText"/>
    <w:next w:val="CommentText"/>
    <w:link w:val="CommentSubjectChar"/>
    <w:semiHidden/>
    <w:unhideWhenUsed/>
    <w:rsid w:val="00536C1F"/>
    <w:rPr>
      <w:b/>
      <w:bCs/>
    </w:rPr>
  </w:style>
  <w:style w:type="character" w:customStyle="1" w:styleId="CommentSubjectChar">
    <w:name w:val="Comment Subject Char"/>
    <w:basedOn w:val="CommentTextChar"/>
    <w:link w:val="CommentSubject"/>
    <w:semiHidden/>
    <w:rsid w:val="00536C1F"/>
    <w:rPr>
      <w:rFonts w:ascii="Calibri" w:hAnsi="Calibri" w:cs="Arial"/>
      <w:b/>
      <w:bCs/>
    </w:rPr>
  </w:style>
  <w:style w:type="table" w:customStyle="1" w:styleId="TableGridbeth2">
    <w:name w:val="Table Gridbeth2"/>
    <w:basedOn w:val="TableNormal"/>
    <w:uiPriority w:val="59"/>
    <w:rsid w:val="00512449"/>
    <w:rPr>
      <w:rFonts w:ascii="Arial Narrow" w:hAnsi="Arial Narro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ooterChar">
    <w:name w:val="Table Footer Char"/>
    <w:link w:val="TableFooter"/>
    <w:locked/>
    <w:rsid w:val="00E43B6C"/>
    <w:rPr>
      <w:rFonts w:ascii="Arial Narrow" w:hAnsi="Arial Narrow" w:cs="Arial"/>
      <w:sz w:val="18"/>
      <w:szCs w:val="22"/>
      <w:lang w:eastAsia="en-US"/>
    </w:rPr>
  </w:style>
  <w:style w:type="paragraph" w:customStyle="1" w:styleId="TableFooter">
    <w:name w:val="Table Footer"/>
    <w:basedOn w:val="Normal"/>
    <w:link w:val="TableFooterChar"/>
    <w:qFormat/>
    <w:rsid w:val="00E43B6C"/>
    <w:pPr>
      <w:widowControl w:val="0"/>
      <w:snapToGrid w:val="0"/>
    </w:pPr>
    <w:rPr>
      <w:rFonts w:ascii="Arial Narrow" w:hAnsi="Arial Narrow"/>
      <w:sz w:val="18"/>
      <w:szCs w:val="22"/>
      <w:lang w:eastAsia="en-US"/>
    </w:rPr>
  </w:style>
  <w:style w:type="paragraph" w:customStyle="1" w:styleId="msonormal0">
    <w:name w:val="msonormal"/>
    <w:basedOn w:val="Normal"/>
    <w:rsid w:val="001A5032"/>
    <w:pPr>
      <w:spacing w:before="100" w:beforeAutospacing="1" w:after="100" w:afterAutospacing="1"/>
      <w:jc w:val="left"/>
    </w:pPr>
    <w:rPr>
      <w:rFonts w:ascii="Times New Roman" w:hAnsi="Times New Roman" w:cs="Times New Roman"/>
    </w:rPr>
  </w:style>
  <w:style w:type="character" w:customStyle="1" w:styleId="TabletextChar0">
    <w:name w:val="Table text Char"/>
    <w:link w:val="Tabletext0"/>
    <w:locked/>
    <w:rsid w:val="009550FF"/>
    <w:rPr>
      <w:rFonts w:ascii="Arial Narrow" w:hAnsi="Arial Narrow"/>
      <w:szCs w:val="22"/>
      <w:lang w:eastAsia="en-US"/>
    </w:rPr>
  </w:style>
  <w:style w:type="paragraph" w:customStyle="1" w:styleId="Tabletext0">
    <w:name w:val="Table text"/>
    <w:basedOn w:val="Normal"/>
    <w:link w:val="TabletextChar0"/>
    <w:qFormat/>
    <w:rsid w:val="009550FF"/>
    <w:pPr>
      <w:jc w:val="left"/>
    </w:pPr>
    <w:rPr>
      <w:rFonts w:ascii="Arial Narrow" w:hAnsi="Arial Narrow" w:cs="Times New Roman"/>
      <w:sz w:val="20"/>
      <w:szCs w:val="22"/>
      <w:lang w:eastAsia="en-US"/>
    </w:rPr>
  </w:style>
  <w:style w:type="paragraph" w:styleId="Header">
    <w:name w:val="header"/>
    <w:aliases w:val="Page Header,Header title,he=header,cntr/bld"/>
    <w:basedOn w:val="Normal"/>
    <w:link w:val="HeaderChar"/>
    <w:uiPriority w:val="99"/>
    <w:unhideWhenUsed/>
    <w:qFormat/>
    <w:rsid w:val="008044C6"/>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8044C6"/>
    <w:rPr>
      <w:rFonts w:ascii="Calibri" w:hAnsi="Calibri" w:cs="Arial"/>
      <w:sz w:val="24"/>
      <w:szCs w:val="24"/>
    </w:rPr>
  </w:style>
  <w:style w:type="paragraph" w:styleId="Footer">
    <w:name w:val="footer"/>
    <w:basedOn w:val="Normal"/>
    <w:link w:val="FooterChar"/>
    <w:uiPriority w:val="99"/>
    <w:unhideWhenUsed/>
    <w:rsid w:val="008044C6"/>
    <w:pPr>
      <w:tabs>
        <w:tab w:val="center" w:pos="4513"/>
        <w:tab w:val="right" w:pos="9026"/>
      </w:tabs>
    </w:pPr>
  </w:style>
  <w:style w:type="character" w:customStyle="1" w:styleId="FooterChar">
    <w:name w:val="Footer Char"/>
    <w:basedOn w:val="DefaultParagraphFont"/>
    <w:link w:val="Footer"/>
    <w:uiPriority w:val="99"/>
    <w:rsid w:val="008044C6"/>
    <w:rPr>
      <w:rFonts w:ascii="Calibri" w:hAnsi="Calibri" w:cs="Arial"/>
      <w:sz w:val="24"/>
      <w:szCs w:val="24"/>
    </w:rPr>
  </w:style>
  <w:style w:type="paragraph" w:styleId="ListParagraph">
    <w:name w:val="List Paragraph"/>
    <w:aliases w:val="Table Legend,Bullet1,Bullet 1,Bullet List,Section 5,Numbered para,BulletPoints,Styl moj,Akapit z listą11,List Paragraph1,Bullet point,List Paragraph11,Recommendation,L,Bullet Point,Bulletr List Paragraph,Content descriptions,FooterText"/>
    <w:basedOn w:val="Normal"/>
    <w:link w:val="ListParagraphChar"/>
    <w:uiPriority w:val="34"/>
    <w:qFormat/>
    <w:rsid w:val="00452BBA"/>
    <w:pPr>
      <w:spacing w:after="200" w:line="312" w:lineRule="auto"/>
      <w:ind w:left="720"/>
      <w:contextualSpacing/>
      <w:jc w:val="left"/>
    </w:pPr>
    <w:rPr>
      <w:rFonts w:cs="Times New Roman"/>
      <w:sz w:val="22"/>
    </w:rPr>
  </w:style>
  <w:style w:type="character" w:customStyle="1" w:styleId="ListParagraphChar">
    <w:name w:val="List Paragraph Char"/>
    <w:aliases w:val="Table Legend Char,Bullet1 Char,Bullet 1 Char,Bullet List Char,Section 5 Char,Numbered para Char,BulletPoints Char,Styl moj Char,Akapit z listą11 Char,List Paragraph1 Char,Bullet point Char,List Paragraph11 Char,Recommendation Char"/>
    <w:basedOn w:val="DefaultParagraphFont"/>
    <w:link w:val="ListParagraph"/>
    <w:uiPriority w:val="34"/>
    <w:qFormat/>
    <w:rsid w:val="00452BBA"/>
    <w:rPr>
      <w:rFonts w:ascii="Calibri" w:hAnsi="Calibri"/>
      <w:sz w:val="22"/>
      <w:szCs w:val="24"/>
    </w:rPr>
  </w:style>
  <w:style w:type="paragraph" w:styleId="NoSpacing">
    <w:name w:val="No Spacing"/>
    <w:uiPriority w:val="1"/>
    <w:qFormat/>
    <w:rsid w:val="007D5F8E"/>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DB0097"/>
    <w:rPr>
      <w:color w:val="605E5C"/>
      <w:shd w:val="clear" w:color="auto" w:fill="E1DFDD"/>
    </w:rPr>
  </w:style>
  <w:style w:type="paragraph" w:styleId="NormalWeb">
    <w:name w:val="Normal (Web)"/>
    <w:basedOn w:val="Normal"/>
    <w:uiPriority w:val="99"/>
    <w:semiHidden/>
    <w:unhideWhenUsed/>
    <w:rsid w:val="00327C3D"/>
    <w:pPr>
      <w:spacing w:before="100" w:beforeAutospacing="1" w:after="100" w:afterAutospacing="1"/>
      <w:jc w:val="left"/>
    </w:pPr>
    <w:rPr>
      <w:rFonts w:ascii="Times New Roman" w:hAnsi="Times New Roman" w:cs="Times New Roman"/>
    </w:rPr>
  </w:style>
  <w:style w:type="paragraph" w:customStyle="1" w:styleId="Default">
    <w:name w:val="Default"/>
    <w:rsid w:val="00A147C6"/>
    <w:pPr>
      <w:autoSpaceDE w:val="0"/>
      <w:autoSpaceDN w:val="0"/>
      <w:adjustRightInd w:val="0"/>
    </w:pPr>
    <w:rPr>
      <w:rFonts w:ascii="Arial" w:hAnsi="Arial" w:cs="Arial"/>
      <w:color w:val="000000"/>
      <w:sz w:val="24"/>
      <w:szCs w:val="24"/>
    </w:rPr>
  </w:style>
  <w:style w:type="paragraph" w:customStyle="1" w:styleId="V50Instructions">
    <w:name w:val="V5.0 Instructions"/>
    <w:basedOn w:val="Normal"/>
    <w:link w:val="V50InstructionsChar"/>
    <w:qFormat/>
    <w:rsid w:val="00476F54"/>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476F54"/>
    <w:rPr>
      <w:rFonts w:asciiTheme="minorHAnsi" w:eastAsiaTheme="minorHAnsi" w:hAnsiTheme="minorHAnsi" w:cstheme="minorBidi"/>
      <w:color w:val="4BACC6" w:themeColor="accent5"/>
      <w:sz w:val="24"/>
      <w:szCs w:val="22"/>
      <w:lang w:eastAsia="en-US"/>
    </w:rPr>
  </w:style>
  <w:style w:type="paragraph" w:customStyle="1" w:styleId="TableHeading">
    <w:name w:val="Table Heading"/>
    <w:basedOn w:val="Normal"/>
    <w:link w:val="TableHeadingChar"/>
    <w:qFormat/>
    <w:rsid w:val="00476F54"/>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476F54"/>
    <w:rPr>
      <w:rFonts w:ascii="Arial Narrow" w:eastAsiaTheme="minorHAnsi" w:hAnsi="Arial Narrow" w:cstheme="minorBidi"/>
      <w:b/>
      <w:szCs w:val="22"/>
      <w:lang w:eastAsia="en-US"/>
    </w:rPr>
  </w:style>
  <w:style w:type="character" w:customStyle="1" w:styleId="COMBodyChar">
    <w:name w:val="COMBody Char"/>
    <w:basedOn w:val="DefaultParagraphFont"/>
    <w:link w:val="COMBody"/>
    <w:locked/>
    <w:rsid w:val="00476F54"/>
    <w:rPr>
      <w:rFonts w:ascii="Calibri" w:hAnsi="Calibri" w:cs="Arial"/>
      <w:sz w:val="24"/>
    </w:rPr>
  </w:style>
  <w:style w:type="paragraph" w:customStyle="1" w:styleId="COMBody">
    <w:name w:val="COMBody"/>
    <w:basedOn w:val="Normal"/>
    <w:link w:val="COMBodyChar"/>
    <w:qFormat/>
    <w:rsid w:val="00476F54"/>
    <w:pPr>
      <w:widowControl w:val="0"/>
      <w:snapToGrid w:val="0"/>
    </w:pPr>
    <w:rPr>
      <w:szCs w:val="20"/>
    </w:rPr>
  </w:style>
  <w:style w:type="paragraph" w:styleId="BodyText3">
    <w:name w:val="Body Text 3"/>
    <w:basedOn w:val="Normal"/>
    <w:link w:val="BodyText3Char"/>
    <w:rsid w:val="00476F54"/>
    <w:pPr>
      <w:widowControl w:val="0"/>
    </w:pPr>
    <w:rPr>
      <w:rFonts w:ascii="Times New Roman" w:hAnsi="Times New Roman" w:cs="Times New Roman"/>
      <w:snapToGrid w:val="0"/>
      <w:color w:val="0000FF"/>
      <w:szCs w:val="20"/>
      <w:lang w:eastAsia="en-US"/>
    </w:rPr>
  </w:style>
  <w:style w:type="character" w:customStyle="1" w:styleId="BodyText3Char">
    <w:name w:val="Body Text 3 Char"/>
    <w:basedOn w:val="DefaultParagraphFont"/>
    <w:link w:val="BodyText3"/>
    <w:rsid w:val="00476F54"/>
    <w:rPr>
      <w:snapToGrid w:val="0"/>
      <w:color w:val="0000FF"/>
      <w:sz w:val="24"/>
      <w:lang w:eastAsia="en-US"/>
    </w:rPr>
  </w:style>
  <w:style w:type="paragraph" w:customStyle="1" w:styleId="COMtbl-HEADLeftAligned">
    <w:name w:val="COMtbl-HEAD Left Aligned"/>
    <w:basedOn w:val="Normal"/>
    <w:qFormat/>
    <w:rsid w:val="00476F54"/>
    <w:pPr>
      <w:widowControl w:val="0"/>
      <w:tabs>
        <w:tab w:val="left" w:pos="720"/>
      </w:tabs>
      <w:jc w:val="left"/>
    </w:pPr>
    <w:rPr>
      <w:rFonts w:ascii="Arial Narrow" w:hAnsi="Arial Narrow"/>
      <w:b/>
      <w:snapToGrid w:val="0"/>
      <w:sz w:val="20"/>
      <w:szCs w:val="20"/>
      <w:lang w:eastAsia="en-US"/>
    </w:rPr>
  </w:style>
  <w:style w:type="paragraph" w:customStyle="1" w:styleId="COMtbl-HEADCentred">
    <w:name w:val="COMtbl-HEAD Centred"/>
    <w:basedOn w:val="COMtbl-HEADLeftAligned"/>
    <w:qFormat/>
    <w:rsid w:val="00476F54"/>
    <w:pPr>
      <w:jc w:val="center"/>
    </w:pPr>
  </w:style>
  <w:style w:type="paragraph" w:customStyle="1" w:styleId="COMtbl-textLeftAligned">
    <w:name w:val="COMtbl-text Left Aligned"/>
    <w:basedOn w:val="COMtbl-HEADLeftAligned"/>
    <w:qFormat/>
    <w:rsid w:val="00476F54"/>
    <w:rPr>
      <w:b w:val="0"/>
    </w:rPr>
  </w:style>
  <w:style w:type="paragraph" w:customStyle="1" w:styleId="COMtbl-textCentred">
    <w:name w:val="COMtbl-text Centred"/>
    <w:basedOn w:val="COMtbl-HEADCentred"/>
    <w:qFormat/>
    <w:rsid w:val="00476F54"/>
    <w:rPr>
      <w:b w:val="0"/>
    </w:rPr>
  </w:style>
  <w:style w:type="paragraph" w:customStyle="1" w:styleId="TableHeader">
    <w:name w:val="Table Header"/>
    <w:basedOn w:val="Normal"/>
    <w:uiPriority w:val="3"/>
    <w:rsid w:val="00476F54"/>
    <w:pPr>
      <w:widowControl w:val="0"/>
    </w:pPr>
    <w:rPr>
      <w:b/>
      <w:snapToGrid w:val="0"/>
      <w:sz w:val="20"/>
      <w:szCs w:val="22"/>
      <w:lang w:eastAsia="en-US"/>
    </w:rPr>
  </w:style>
  <w:style w:type="paragraph" w:styleId="FootnoteText">
    <w:name w:val="footnote text"/>
    <w:basedOn w:val="Normal"/>
    <w:link w:val="FootnoteTextChar"/>
    <w:semiHidden/>
    <w:unhideWhenUsed/>
    <w:rsid w:val="00476F54"/>
    <w:pPr>
      <w:widowControl w:val="0"/>
    </w:pPr>
    <w:rPr>
      <w:snapToGrid w:val="0"/>
      <w:sz w:val="20"/>
      <w:szCs w:val="20"/>
      <w:lang w:eastAsia="en-US"/>
    </w:rPr>
  </w:style>
  <w:style w:type="character" w:customStyle="1" w:styleId="FootnoteTextChar">
    <w:name w:val="Footnote Text Char"/>
    <w:basedOn w:val="DefaultParagraphFont"/>
    <w:link w:val="FootnoteText"/>
    <w:semiHidden/>
    <w:rsid w:val="00476F54"/>
    <w:rPr>
      <w:rFonts w:ascii="Calibri" w:hAnsi="Calibri" w:cs="Arial"/>
      <w:snapToGrid w:val="0"/>
      <w:lang w:eastAsia="en-US"/>
    </w:rPr>
  </w:style>
  <w:style w:type="character" w:styleId="FootnoteReference">
    <w:name w:val="footnote reference"/>
    <w:basedOn w:val="DefaultParagraphFont"/>
    <w:semiHidden/>
    <w:unhideWhenUsed/>
    <w:rsid w:val="00476F54"/>
    <w:rPr>
      <w:vertAlign w:val="superscript"/>
    </w:rPr>
  </w:style>
  <w:style w:type="paragraph" w:customStyle="1" w:styleId="PBACTableText">
    <w:name w:val="PBAC Table Text"/>
    <w:basedOn w:val="Normal"/>
    <w:link w:val="PBACTableTextChar"/>
    <w:qFormat/>
    <w:rsid w:val="00476F54"/>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476F54"/>
    <w:rPr>
      <w:rFonts w:ascii="Arial Narrow" w:hAnsi="Arial Narrow"/>
      <w:lang w:eastAsia="en-US"/>
    </w:rPr>
  </w:style>
  <w:style w:type="character" w:customStyle="1" w:styleId="li-content">
    <w:name w:val="li-content"/>
    <w:basedOn w:val="DefaultParagraphFont"/>
    <w:rsid w:val="00476F54"/>
    <w:rPr>
      <w:color w:val="000000"/>
    </w:rPr>
  </w:style>
  <w:style w:type="paragraph" w:styleId="PlainText">
    <w:name w:val="Plain Text"/>
    <w:basedOn w:val="Normal"/>
    <w:link w:val="PlainTextChar"/>
    <w:uiPriority w:val="99"/>
    <w:semiHidden/>
    <w:unhideWhenUsed/>
    <w:rsid w:val="00363125"/>
    <w:pPr>
      <w:jc w:val="left"/>
    </w:pPr>
    <w:rPr>
      <w:rFonts w:eastAsiaTheme="minorHAnsi" w:cstheme="minorBidi"/>
      <w:sz w:val="22"/>
      <w:szCs w:val="21"/>
      <w:lang w:eastAsia="en-US"/>
    </w:rPr>
  </w:style>
  <w:style w:type="character" w:customStyle="1" w:styleId="PlainTextChar">
    <w:name w:val="Plain Text Char"/>
    <w:basedOn w:val="DefaultParagraphFont"/>
    <w:link w:val="PlainText"/>
    <w:uiPriority w:val="99"/>
    <w:semiHidden/>
    <w:rsid w:val="00363125"/>
    <w:rPr>
      <w:rFonts w:ascii="Calibri" w:eastAsiaTheme="minorHAnsi" w:hAnsi="Calibri" w:cstheme="minorBidi"/>
      <w:sz w:val="22"/>
      <w:szCs w:val="21"/>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Tableheadingrow"/>
    <w:next w:val="Normal"/>
    <w:link w:val="CaptionChar"/>
    <w:uiPriority w:val="99"/>
    <w:unhideWhenUsed/>
    <w:qFormat/>
    <w:rsid w:val="0060344B"/>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basedOn w:val="DefaultParagraphFont"/>
    <w:link w:val="Caption"/>
    <w:uiPriority w:val="99"/>
    <w:rsid w:val="0060344B"/>
    <w:rPr>
      <w:rFonts w:ascii="Arial Narrow" w:eastAsiaTheme="majorEastAsia" w:hAnsi="Arial Narrow"/>
      <w:b/>
      <w:szCs w:val="24"/>
      <w:lang w:val="en-US"/>
    </w:rPr>
  </w:style>
  <w:style w:type="paragraph" w:customStyle="1" w:styleId="bullet1">
    <w:name w:val="bullet 1"/>
    <w:basedOn w:val="ListParagraph"/>
    <w:rsid w:val="003F5B47"/>
    <w:pPr>
      <w:numPr>
        <w:numId w:val="8"/>
      </w:numPr>
      <w:spacing w:after="0" w:line="360" w:lineRule="auto"/>
      <w:ind w:left="720" w:hanging="360"/>
    </w:pPr>
    <w:rPr>
      <w:rFonts w:ascii="Arial" w:eastAsiaTheme="minorHAnsi" w:hAnsi="Arial" w:cstheme="minorBidi"/>
      <w:sz w:val="20"/>
      <w:szCs w:val="22"/>
      <w:lang w:eastAsia="en-US"/>
    </w:rPr>
  </w:style>
  <w:style w:type="paragraph" w:customStyle="1" w:styleId="Subbullet2">
    <w:name w:val="Sub bullet 2"/>
    <w:basedOn w:val="ListParagraph"/>
    <w:rsid w:val="003F5B47"/>
    <w:pPr>
      <w:numPr>
        <w:ilvl w:val="2"/>
        <w:numId w:val="8"/>
      </w:numPr>
      <w:spacing w:after="0" w:line="360" w:lineRule="auto"/>
      <w:ind w:left="2160"/>
    </w:pPr>
    <w:rPr>
      <w:rFonts w:ascii="Arial" w:eastAsiaTheme="minorHAnsi" w:hAnsi="Arial" w:cstheme="minorBidi"/>
      <w:sz w:val="20"/>
      <w:szCs w:val="22"/>
      <w:lang w:eastAsia="en-US"/>
    </w:rPr>
  </w:style>
  <w:style w:type="numbering" w:customStyle="1" w:styleId="SectionBi3">
    <w:name w:val="Section Bi3"/>
    <w:uiPriority w:val="99"/>
    <w:rsid w:val="003F5B47"/>
    <w:pPr>
      <w:numPr>
        <w:numId w:val="7"/>
      </w:numPr>
    </w:pPr>
  </w:style>
  <w:style w:type="paragraph" w:customStyle="1" w:styleId="TableNotes">
    <w:name w:val="Table Notes"/>
    <w:basedOn w:val="Normal"/>
    <w:next w:val="Normal"/>
    <w:link w:val="TableNotesChar"/>
    <w:uiPriority w:val="2"/>
    <w:qFormat/>
    <w:rsid w:val="003F5B47"/>
    <w:pPr>
      <w:keepNext/>
      <w:keepLines/>
      <w:spacing w:before="60" w:after="240"/>
      <w:contextualSpacing/>
      <w:jc w:val="left"/>
    </w:pPr>
    <w:rPr>
      <w:rFonts w:ascii="Arial Narrow" w:hAnsi="Arial Narrow" w:cs="Times New Roman"/>
      <w:sz w:val="18"/>
      <w:szCs w:val="18"/>
    </w:rPr>
  </w:style>
  <w:style w:type="character" w:customStyle="1" w:styleId="TableNotesChar">
    <w:name w:val="Table Notes Char"/>
    <w:basedOn w:val="DefaultParagraphFont"/>
    <w:link w:val="TableNotes"/>
    <w:locked/>
    <w:rsid w:val="003F5B47"/>
    <w:rPr>
      <w:rFonts w:ascii="Arial Narrow" w:hAnsi="Arial Narrow"/>
      <w:sz w:val="18"/>
      <w:szCs w:val="18"/>
    </w:rPr>
  </w:style>
  <w:style w:type="table" w:customStyle="1" w:styleId="TableGrid4">
    <w:name w:val="Table Grid4"/>
    <w:basedOn w:val="TableNormal"/>
    <w:next w:val="TableGrid"/>
    <w:uiPriority w:val="59"/>
    <w:rsid w:val="003F5B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F5B47"/>
    <w:rPr>
      <w:i/>
      <w:iCs/>
    </w:rPr>
  </w:style>
  <w:style w:type="table" w:customStyle="1" w:styleId="newstyle2">
    <w:name w:val="new style2"/>
    <w:basedOn w:val="TableNormal"/>
    <w:next w:val="TableGrid"/>
    <w:uiPriority w:val="59"/>
    <w:rsid w:val="003F5B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1">
    <w:name w:val="new style1"/>
    <w:basedOn w:val="TableNormal"/>
    <w:next w:val="TableGrid"/>
    <w:uiPriority w:val="59"/>
    <w:rsid w:val="003F5B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F5B47"/>
    <w:pPr>
      <w:spacing w:after="120"/>
    </w:pPr>
    <w:rPr>
      <w:rFonts w:eastAsiaTheme="minorHAnsi" w:cstheme="minorBidi"/>
      <w:sz w:val="20"/>
      <w:szCs w:val="20"/>
      <w:lang w:eastAsia="en-US"/>
    </w:rPr>
  </w:style>
  <w:style w:type="character" w:customStyle="1" w:styleId="EndnoteTextChar">
    <w:name w:val="Endnote Text Char"/>
    <w:basedOn w:val="DefaultParagraphFont"/>
    <w:link w:val="EndnoteText"/>
    <w:uiPriority w:val="99"/>
    <w:semiHidden/>
    <w:rsid w:val="003F5B47"/>
    <w:rPr>
      <w:rFonts w:ascii="Calibri" w:eastAsiaTheme="minorHAnsi" w:hAnsi="Calibri" w:cstheme="minorBidi"/>
      <w:lang w:eastAsia="en-US"/>
    </w:rPr>
  </w:style>
  <w:style w:type="table" w:customStyle="1" w:styleId="newstyle19">
    <w:name w:val="new style19"/>
    <w:basedOn w:val="TableNormal"/>
    <w:next w:val="TableGrid"/>
    <w:uiPriority w:val="59"/>
    <w:rsid w:val="003F5B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journal">
    <w:name w:val="ref-journal"/>
    <w:basedOn w:val="DefaultParagraphFont"/>
    <w:rsid w:val="003F5B47"/>
  </w:style>
  <w:style w:type="character" w:customStyle="1" w:styleId="ref-vol">
    <w:name w:val="ref-vol"/>
    <w:basedOn w:val="DefaultParagraphFont"/>
    <w:rsid w:val="003F5B47"/>
  </w:style>
  <w:style w:type="paragraph" w:customStyle="1" w:styleId="ExecSummNormal">
    <w:name w:val="ExecSumm Normal"/>
    <w:basedOn w:val="Normal"/>
    <w:uiPriority w:val="1"/>
    <w:qFormat/>
    <w:rsid w:val="00FE319B"/>
    <w:pPr>
      <w:spacing w:before="120" w:after="120"/>
    </w:pPr>
    <w:rPr>
      <w:rFonts w:asciiTheme="minorHAnsi" w:eastAsiaTheme="minorEastAsia" w:hAnsiTheme="minorHAnsi"/>
      <w:sz w:val="22"/>
      <w:lang w:eastAsia="en-US"/>
    </w:rPr>
  </w:style>
  <w:style w:type="paragraph" w:customStyle="1" w:styleId="PBACHeading1">
    <w:name w:val="PBAC Heading 1"/>
    <w:qFormat/>
    <w:rsid w:val="004A0672"/>
    <w:pPr>
      <w:ind w:left="720" w:hanging="720"/>
      <w:outlineLvl w:val="0"/>
    </w:pPr>
    <w:rPr>
      <w:rFonts w:ascii="Calibri" w:hAnsi="Calibri" w:cs="Calibri"/>
      <w:b/>
      <w:snapToGrid w:val="0"/>
      <w:sz w:val="32"/>
      <w:szCs w:val="32"/>
      <w:lang w:eastAsia="en-US"/>
    </w:rPr>
  </w:style>
  <w:style w:type="paragraph" w:customStyle="1" w:styleId="TableText1">
    <w:name w:val="TableText"/>
    <w:basedOn w:val="Normal"/>
    <w:qFormat/>
    <w:rsid w:val="004629D0"/>
    <w:pPr>
      <w:keepNext/>
      <w:keepLines/>
      <w:autoSpaceDE w:val="0"/>
      <w:autoSpaceDN w:val="0"/>
      <w:adjustRightInd w:val="0"/>
      <w:spacing w:before="40" w:after="80"/>
      <w:jc w:val="left"/>
    </w:pPr>
    <w:rPr>
      <w:rFonts w:ascii="Times New Roman" w:eastAsiaTheme="minorHAnsi" w:hAnsi="Times New Roman" w:cs="Times New Roman"/>
      <w:iCs/>
      <w:sz w:val="20"/>
      <w:szCs w:val="22"/>
      <w:lang w:eastAsia="en-US"/>
    </w:rPr>
  </w:style>
  <w:style w:type="paragraph" w:customStyle="1" w:styleId="Tablenotes0">
    <w:name w:val="Table notes"/>
    <w:basedOn w:val="Normal"/>
    <w:qFormat/>
    <w:rsid w:val="004629D0"/>
    <w:pPr>
      <w:spacing w:before="40" w:after="360"/>
      <w:contextualSpacing/>
      <w:jc w:val="left"/>
    </w:pPr>
    <w:rPr>
      <w:rFonts w:ascii="Arial Narrow" w:hAnsi="Arial Narrow" w:cs="Times New Roman"/>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2692">
      <w:bodyDiv w:val="1"/>
      <w:marLeft w:val="0"/>
      <w:marRight w:val="0"/>
      <w:marTop w:val="0"/>
      <w:marBottom w:val="0"/>
      <w:divBdr>
        <w:top w:val="none" w:sz="0" w:space="0" w:color="auto"/>
        <w:left w:val="none" w:sz="0" w:space="0" w:color="auto"/>
        <w:bottom w:val="none" w:sz="0" w:space="0" w:color="auto"/>
        <w:right w:val="none" w:sz="0" w:space="0" w:color="auto"/>
      </w:divBdr>
    </w:div>
    <w:div w:id="76557386">
      <w:bodyDiv w:val="1"/>
      <w:marLeft w:val="0"/>
      <w:marRight w:val="0"/>
      <w:marTop w:val="0"/>
      <w:marBottom w:val="0"/>
      <w:divBdr>
        <w:top w:val="none" w:sz="0" w:space="0" w:color="auto"/>
        <w:left w:val="none" w:sz="0" w:space="0" w:color="auto"/>
        <w:bottom w:val="none" w:sz="0" w:space="0" w:color="auto"/>
        <w:right w:val="none" w:sz="0" w:space="0" w:color="auto"/>
      </w:divBdr>
    </w:div>
    <w:div w:id="78451201">
      <w:bodyDiv w:val="1"/>
      <w:marLeft w:val="0"/>
      <w:marRight w:val="0"/>
      <w:marTop w:val="0"/>
      <w:marBottom w:val="0"/>
      <w:divBdr>
        <w:top w:val="none" w:sz="0" w:space="0" w:color="auto"/>
        <w:left w:val="none" w:sz="0" w:space="0" w:color="auto"/>
        <w:bottom w:val="none" w:sz="0" w:space="0" w:color="auto"/>
        <w:right w:val="none" w:sz="0" w:space="0" w:color="auto"/>
      </w:divBdr>
    </w:div>
    <w:div w:id="87695910">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2747095">
      <w:bodyDiv w:val="1"/>
      <w:marLeft w:val="0"/>
      <w:marRight w:val="0"/>
      <w:marTop w:val="0"/>
      <w:marBottom w:val="0"/>
      <w:divBdr>
        <w:top w:val="none" w:sz="0" w:space="0" w:color="auto"/>
        <w:left w:val="none" w:sz="0" w:space="0" w:color="auto"/>
        <w:bottom w:val="none" w:sz="0" w:space="0" w:color="auto"/>
        <w:right w:val="none" w:sz="0" w:space="0" w:color="auto"/>
      </w:divBdr>
      <w:divsChild>
        <w:div w:id="504442910">
          <w:marLeft w:val="360"/>
          <w:marRight w:val="0"/>
          <w:marTop w:val="200"/>
          <w:marBottom w:val="0"/>
          <w:divBdr>
            <w:top w:val="none" w:sz="0" w:space="0" w:color="auto"/>
            <w:left w:val="none" w:sz="0" w:space="0" w:color="auto"/>
            <w:bottom w:val="none" w:sz="0" w:space="0" w:color="auto"/>
            <w:right w:val="none" w:sz="0" w:space="0" w:color="auto"/>
          </w:divBdr>
        </w:div>
      </w:divsChild>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0170270">
      <w:bodyDiv w:val="1"/>
      <w:marLeft w:val="0"/>
      <w:marRight w:val="0"/>
      <w:marTop w:val="0"/>
      <w:marBottom w:val="0"/>
      <w:divBdr>
        <w:top w:val="none" w:sz="0" w:space="0" w:color="auto"/>
        <w:left w:val="none" w:sz="0" w:space="0" w:color="auto"/>
        <w:bottom w:val="none" w:sz="0" w:space="0" w:color="auto"/>
        <w:right w:val="none" w:sz="0" w:space="0" w:color="auto"/>
      </w:divBdr>
    </w:div>
    <w:div w:id="131024731">
      <w:bodyDiv w:val="1"/>
      <w:marLeft w:val="0"/>
      <w:marRight w:val="0"/>
      <w:marTop w:val="0"/>
      <w:marBottom w:val="0"/>
      <w:divBdr>
        <w:top w:val="none" w:sz="0" w:space="0" w:color="auto"/>
        <w:left w:val="none" w:sz="0" w:space="0" w:color="auto"/>
        <w:bottom w:val="none" w:sz="0" w:space="0" w:color="auto"/>
        <w:right w:val="none" w:sz="0" w:space="0" w:color="auto"/>
      </w:divBdr>
      <w:divsChild>
        <w:div w:id="59986399">
          <w:marLeft w:val="360"/>
          <w:marRight w:val="0"/>
          <w:marTop w:val="200"/>
          <w:marBottom w:val="0"/>
          <w:divBdr>
            <w:top w:val="none" w:sz="0" w:space="0" w:color="auto"/>
            <w:left w:val="none" w:sz="0" w:space="0" w:color="auto"/>
            <w:bottom w:val="none" w:sz="0" w:space="0" w:color="auto"/>
            <w:right w:val="none" w:sz="0" w:space="0" w:color="auto"/>
          </w:divBdr>
        </w:div>
      </w:divsChild>
    </w:div>
    <w:div w:id="135726074">
      <w:bodyDiv w:val="1"/>
      <w:marLeft w:val="0"/>
      <w:marRight w:val="0"/>
      <w:marTop w:val="0"/>
      <w:marBottom w:val="0"/>
      <w:divBdr>
        <w:top w:val="none" w:sz="0" w:space="0" w:color="auto"/>
        <w:left w:val="none" w:sz="0" w:space="0" w:color="auto"/>
        <w:bottom w:val="none" w:sz="0" w:space="0" w:color="auto"/>
        <w:right w:val="none" w:sz="0" w:space="0" w:color="auto"/>
      </w:divBdr>
    </w:div>
    <w:div w:id="208688602">
      <w:bodyDiv w:val="1"/>
      <w:marLeft w:val="0"/>
      <w:marRight w:val="0"/>
      <w:marTop w:val="0"/>
      <w:marBottom w:val="0"/>
      <w:divBdr>
        <w:top w:val="none" w:sz="0" w:space="0" w:color="auto"/>
        <w:left w:val="none" w:sz="0" w:space="0" w:color="auto"/>
        <w:bottom w:val="none" w:sz="0" w:space="0" w:color="auto"/>
        <w:right w:val="none" w:sz="0" w:space="0" w:color="auto"/>
      </w:divBdr>
    </w:div>
    <w:div w:id="31090993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0474807">
      <w:bodyDiv w:val="1"/>
      <w:marLeft w:val="0"/>
      <w:marRight w:val="0"/>
      <w:marTop w:val="0"/>
      <w:marBottom w:val="0"/>
      <w:divBdr>
        <w:top w:val="none" w:sz="0" w:space="0" w:color="auto"/>
        <w:left w:val="none" w:sz="0" w:space="0" w:color="auto"/>
        <w:bottom w:val="none" w:sz="0" w:space="0" w:color="auto"/>
        <w:right w:val="none" w:sz="0" w:space="0" w:color="auto"/>
      </w:divBdr>
      <w:divsChild>
        <w:div w:id="31654749">
          <w:marLeft w:val="1080"/>
          <w:marRight w:val="0"/>
          <w:marTop w:val="100"/>
          <w:marBottom w:val="0"/>
          <w:divBdr>
            <w:top w:val="none" w:sz="0" w:space="0" w:color="auto"/>
            <w:left w:val="none" w:sz="0" w:space="0" w:color="auto"/>
            <w:bottom w:val="none" w:sz="0" w:space="0" w:color="auto"/>
            <w:right w:val="none" w:sz="0" w:space="0" w:color="auto"/>
          </w:divBdr>
        </w:div>
        <w:div w:id="45181263">
          <w:marLeft w:val="1080"/>
          <w:marRight w:val="0"/>
          <w:marTop w:val="100"/>
          <w:marBottom w:val="0"/>
          <w:divBdr>
            <w:top w:val="none" w:sz="0" w:space="0" w:color="auto"/>
            <w:left w:val="none" w:sz="0" w:space="0" w:color="auto"/>
            <w:bottom w:val="none" w:sz="0" w:space="0" w:color="auto"/>
            <w:right w:val="none" w:sz="0" w:space="0" w:color="auto"/>
          </w:divBdr>
        </w:div>
        <w:div w:id="546381990">
          <w:marLeft w:val="1080"/>
          <w:marRight w:val="0"/>
          <w:marTop w:val="100"/>
          <w:marBottom w:val="0"/>
          <w:divBdr>
            <w:top w:val="none" w:sz="0" w:space="0" w:color="auto"/>
            <w:left w:val="none" w:sz="0" w:space="0" w:color="auto"/>
            <w:bottom w:val="none" w:sz="0" w:space="0" w:color="auto"/>
            <w:right w:val="none" w:sz="0" w:space="0" w:color="auto"/>
          </w:divBdr>
        </w:div>
        <w:div w:id="843856597">
          <w:marLeft w:val="1080"/>
          <w:marRight w:val="0"/>
          <w:marTop w:val="100"/>
          <w:marBottom w:val="0"/>
          <w:divBdr>
            <w:top w:val="none" w:sz="0" w:space="0" w:color="auto"/>
            <w:left w:val="none" w:sz="0" w:space="0" w:color="auto"/>
            <w:bottom w:val="none" w:sz="0" w:space="0" w:color="auto"/>
            <w:right w:val="none" w:sz="0" w:space="0" w:color="auto"/>
          </w:divBdr>
        </w:div>
        <w:div w:id="1795056447">
          <w:marLeft w:val="360"/>
          <w:marRight w:val="0"/>
          <w:marTop w:val="200"/>
          <w:marBottom w:val="0"/>
          <w:divBdr>
            <w:top w:val="none" w:sz="0" w:space="0" w:color="auto"/>
            <w:left w:val="none" w:sz="0" w:space="0" w:color="auto"/>
            <w:bottom w:val="none" w:sz="0" w:space="0" w:color="auto"/>
            <w:right w:val="none" w:sz="0" w:space="0" w:color="auto"/>
          </w:divBdr>
        </w:div>
        <w:div w:id="1928034448">
          <w:marLeft w:val="360"/>
          <w:marRight w:val="0"/>
          <w:marTop w:val="200"/>
          <w:marBottom w:val="0"/>
          <w:divBdr>
            <w:top w:val="none" w:sz="0" w:space="0" w:color="auto"/>
            <w:left w:val="none" w:sz="0" w:space="0" w:color="auto"/>
            <w:bottom w:val="none" w:sz="0" w:space="0" w:color="auto"/>
            <w:right w:val="none" w:sz="0" w:space="0" w:color="auto"/>
          </w:divBdr>
        </w:div>
      </w:divsChild>
    </w:div>
    <w:div w:id="332417016">
      <w:bodyDiv w:val="1"/>
      <w:marLeft w:val="0"/>
      <w:marRight w:val="0"/>
      <w:marTop w:val="0"/>
      <w:marBottom w:val="0"/>
      <w:divBdr>
        <w:top w:val="none" w:sz="0" w:space="0" w:color="auto"/>
        <w:left w:val="none" w:sz="0" w:space="0" w:color="auto"/>
        <w:bottom w:val="none" w:sz="0" w:space="0" w:color="auto"/>
        <w:right w:val="none" w:sz="0" w:space="0" w:color="auto"/>
      </w:divBdr>
      <w:divsChild>
        <w:div w:id="1357609660">
          <w:marLeft w:val="360"/>
          <w:marRight w:val="0"/>
          <w:marTop w:val="200"/>
          <w:marBottom w:val="0"/>
          <w:divBdr>
            <w:top w:val="none" w:sz="0" w:space="0" w:color="auto"/>
            <w:left w:val="none" w:sz="0" w:space="0" w:color="auto"/>
            <w:bottom w:val="none" w:sz="0" w:space="0" w:color="auto"/>
            <w:right w:val="none" w:sz="0" w:space="0" w:color="auto"/>
          </w:divBdr>
        </w:div>
        <w:div w:id="1503354670">
          <w:marLeft w:val="360"/>
          <w:marRight w:val="0"/>
          <w:marTop w:val="200"/>
          <w:marBottom w:val="0"/>
          <w:divBdr>
            <w:top w:val="none" w:sz="0" w:space="0" w:color="auto"/>
            <w:left w:val="none" w:sz="0" w:space="0" w:color="auto"/>
            <w:bottom w:val="none" w:sz="0" w:space="0" w:color="auto"/>
            <w:right w:val="none" w:sz="0" w:space="0" w:color="auto"/>
          </w:divBdr>
        </w:div>
      </w:divsChild>
    </w:div>
    <w:div w:id="358703504">
      <w:bodyDiv w:val="1"/>
      <w:marLeft w:val="0"/>
      <w:marRight w:val="0"/>
      <w:marTop w:val="0"/>
      <w:marBottom w:val="0"/>
      <w:divBdr>
        <w:top w:val="none" w:sz="0" w:space="0" w:color="auto"/>
        <w:left w:val="none" w:sz="0" w:space="0" w:color="auto"/>
        <w:bottom w:val="none" w:sz="0" w:space="0" w:color="auto"/>
        <w:right w:val="none" w:sz="0" w:space="0" w:color="auto"/>
      </w:divBdr>
    </w:div>
    <w:div w:id="376661914">
      <w:bodyDiv w:val="1"/>
      <w:marLeft w:val="0"/>
      <w:marRight w:val="0"/>
      <w:marTop w:val="0"/>
      <w:marBottom w:val="0"/>
      <w:divBdr>
        <w:top w:val="none" w:sz="0" w:space="0" w:color="auto"/>
        <w:left w:val="none" w:sz="0" w:space="0" w:color="auto"/>
        <w:bottom w:val="none" w:sz="0" w:space="0" w:color="auto"/>
        <w:right w:val="none" w:sz="0" w:space="0" w:color="auto"/>
      </w:divBdr>
    </w:div>
    <w:div w:id="415055443">
      <w:bodyDiv w:val="1"/>
      <w:marLeft w:val="0"/>
      <w:marRight w:val="0"/>
      <w:marTop w:val="0"/>
      <w:marBottom w:val="0"/>
      <w:divBdr>
        <w:top w:val="none" w:sz="0" w:space="0" w:color="auto"/>
        <w:left w:val="none" w:sz="0" w:space="0" w:color="auto"/>
        <w:bottom w:val="none" w:sz="0" w:space="0" w:color="auto"/>
        <w:right w:val="none" w:sz="0" w:space="0" w:color="auto"/>
      </w:divBdr>
    </w:div>
    <w:div w:id="416363175">
      <w:bodyDiv w:val="1"/>
      <w:marLeft w:val="0"/>
      <w:marRight w:val="0"/>
      <w:marTop w:val="0"/>
      <w:marBottom w:val="0"/>
      <w:divBdr>
        <w:top w:val="none" w:sz="0" w:space="0" w:color="auto"/>
        <w:left w:val="none" w:sz="0" w:space="0" w:color="auto"/>
        <w:bottom w:val="none" w:sz="0" w:space="0" w:color="auto"/>
        <w:right w:val="none" w:sz="0" w:space="0" w:color="auto"/>
      </w:divBdr>
      <w:divsChild>
        <w:div w:id="1025522509">
          <w:marLeft w:val="360"/>
          <w:marRight w:val="0"/>
          <w:marTop w:val="200"/>
          <w:marBottom w:val="0"/>
          <w:divBdr>
            <w:top w:val="none" w:sz="0" w:space="0" w:color="auto"/>
            <w:left w:val="none" w:sz="0" w:space="0" w:color="auto"/>
            <w:bottom w:val="none" w:sz="0" w:space="0" w:color="auto"/>
            <w:right w:val="none" w:sz="0" w:space="0" w:color="auto"/>
          </w:divBdr>
        </w:div>
      </w:divsChild>
    </w:div>
    <w:div w:id="420419683">
      <w:bodyDiv w:val="1"/>
      <w:marLeft w:val="0"/>
      <w:marRight w:val="0"/>
      <w:marTop w:val="0"/>
      <w:marBottom w:val="0"/>
      <w:divBdr>
        <w:top w:val="none" w:sz="0" w:space="0" w:color="auto"/>
        <w:left w:val="none" w:sz="0" w:space="0" w:color="auto"/>
        <w:bottom w:val="none" w:sz="0" w:space="0" w:color="auto"/>
        <w:right w:val="none" w:sz="0" w:space="0" w:color="auto"/>
      </w:divBdr>
    </w:div>
    <w:div w:id="464935012">
      <w:bodyDiv w:val="1"/>
      <w:marLeft w:val="0"/>
      <w:marRight w:val="0"/>
      <w:marTop w:val="0"/>
      <w:marBottom w:val="0"/>
      <w:divBdr>
        <w:top w:val="none" w:sz="0" w:space="0" w:color="auto"/>
        <w:left w:val="none" w:sz="0" w:space="0" w:color="auto"/>
        <w:bottom w:val="none" w:sz="0" w:space="0" w:color="auto"/>
        <w:right w:val="none" w:sz="0" w:space="0" w:color="auto"/>
      </w:divBdr>
    </w:div>
    <w:div w:id="528375796">
      <w:bodyDiv w:val="1"/>
      <w:marLeft w:val="0"/>
      <w:marRight w:val="0"/>
      <w:marTop w:val="0"/>
      <w:marBottom w:val="0"/>
      <w:divBdr>
        <w:top w:val="none" w:sz="0" w:space="0" w:color="auto"/>
        <w:left w:val="none" w:sz="0" w:space="0" w:color="auto"/>
        <w:bottom w:val="none" w:sz="0" w:space="0" w:color="auto"/>
        <w:right w:val="none" w:sz="0" w:space="0" w:color="auto"/>
      </w:divBdr>
    </w:div>
    <w:div w:id="566452856">
      <w:bodyDiv w:val="1"/>
      <w:marLeft w:val="0"/>
      <w:marRight w:val="0"/>
      <w:marTop w:val="0"/>
      <w:marBottom w:val="0"/>
      <w:divBdr>
        <w:top w:val="none" w:sz="0" w:space="0" w:color="auto"/>
        <w:left w:val="none" w:sz="0" w:space="0" w:color="auto"/>
        <w:bottom w:val="none" w:sz="0" w:space="0" w:color="auto"/>
        <w:right w:val="none" w:sz="0" w:space="0" w:color="auto"/>
      </w:divBdr>
    </w:div>
    <w:div w:id="580607462">
      <w:bodyDiv w:val="1"/>
      <w:marLeft w:val="0"/>
      <w:marRight w:val="0"/>
      <w:marTop w:val="0"/>
      <w:marBottom w:val="0"/>
      <w:divBdr>
        <w:top w:val="none" w:sz="0" w:space="0" w:color="auto"/>
        <w:left w:val="none" w:sz="0" w:space="0" w:color="auto"/>
        <w:bottom w:val="none" w:sz="0" w:space="0" w:color="auto"/>
        <w:right w:val="none" w:sz="0" w:space="0" w:color="auto"/>
      </w:divBdr>
    </w:div>
    <w:div w:id="598219523">
      <w:bodyDiv w:val="1"/>
      <w:marLeft w:val="0"/>
      <w:marRight w:val="0"/>
      <w:marTop w:val="0"/>
      <w:marBottom w:val="0"/>
      <w:divBdr>
        <w:top w:val="none" w:sz="0" w:space="0" w:color="auto"/>
        <w:left w:val="none" w:sz="0" w:space="0" w:color="auto"/>
        <w:bottom w:val="none" w:sz="0" w:space="0" w:color="auto"/>
        <w:right w:val="none" w:sz="0" w:space="0" w:color="auto"/>
      </w:divBdr>
      <w:divsChild>
        <w:div w:id="1004820998">
          <w:marLeft w:val="360"/>
          <w:marRight w:val="0"/>
          <w:marTop w:val="200"/>
          <w:marBottom w:val="0"/>
          <w:divBdr>
            <w:top w:val="none" w:sz="0" w:space="0" w:color="auto"/>
            <w:left w:val="none" w:sz="0" w:space="0" w:color="auto"/>
            <w:bottom w:val="none" w:sz="0" w:space="0" w:color="auto"/>
            <w:right w:val="none" w:sz="0" w:space="0" w:color="auto"/>
          </w:divBdr>
        </w:div>
        <w:div w:id="1502693571">
          <w:marLeft w:val="360"/>
          <w:marRight w:val="0"/>
          <w:marTop w:val="200"/>
          <w:marBottom w:val="0"/>
          <w:divBdr>
            <w:top w:val="none" w:sz="0" w:space="0" w:color="auto"/>
            <w:left w:val="none" w:sz="0" w:space="0" w:color="auto"/>
            <w:bottom w:val="none" w:sz="0" w:space="0" w:color="auto"/>
            <w:right w:val="none" w:sz="0" w:space="0" w:color="auto"/>
          </w:divBdr>
        </w:div>
        <w:div w:id="1555770809">
          <w:marLeft w:val="360"/>
          <w:marRight w:val="0"/>
          <w:marTop w:val="200"/>
          <w:marBottom w:val="0"/>
          <w:divBdr>
            <w:top w:val="none" w:sz="0" w:space="0" w:color="auto"/>
            <w:left w:val="none" w:sz="0" w:space="0" w:color="auto"/>
            <w:bottom w:val="none" w:sz="0" w:space="0" w:color="auto"/>
            <w:right w:val="none" w:sz="0" w:space="0" w:color="auto"/>
          </w:divBdr>
        </w:div>
      </w:divsChild>
    </w:div>
    <w:div w:id="621962661">
      <w:bodyDiv w:val="1"/>
      <w:marLeft w:val="0"/>
      <w:marRight w:val="0"/>
      <w:marTop w:val="0"/>
      <w:marBottom w:val="0"/>
      <w:divBdr>
        <w:top w:val="none" w:sz="0" w:space="0" w:color="auto"/>
        <w:left w:val="none" w:sz="0" w:space="0" w:color="auto"/>
        <w:bottom w:val="none" w:sz="0" w:space="0" w:color="auto"/>
        <w:right w:val="none" w:sz="0" w:space="0" w:color="auto"/>
      </w:divBdr>
      <w:divsChild>
        <w:div w:id="476070898">
          <w:marLeft w:val="360"/>
          <w:marRight w:val="0"/>
          <w:marTop w:val="200"/>
          <w:marBottom w:val="0"/>
          <w:divBdr>
            <w:top w:val="none" w:sz="0" w:space="0" w:color="auto"/>
            <w:left w:val="none" w:sz="0" w:space="0" w:color="auto"/>
            <w:bottom w:val="none" w:sz="0" w:space="0" w:color="auto"/>
            <w:right w:val="none" w:sz="0" w:space="0" w:color="auto"/>
          </w:divBdr>
        </w:div>
      </w:divsChild>
    </w:div>
    <w:div w:id="622728886">
      <w:bodyDiv w:val="1"/>
      <w:marLeft w:val="0"/>
      <w:marRight w:val="0"/>
      <w:marTop w:val="0"/>
      <w:marBottom w:val="0"/>
      <w:divBdr>
        <w:top w:val="none" w:sz="0" w:space="0" w:color="auto"/>
        <w:left w:val="none" w:sz="0" w:space="0" w:color="auto"/>
        <w:bottom w:val="none" w:sz="0" w:space="0" w:color="auto"/>
        <w:right w:val="none" w:sz="0" w:space="0" w:color="auto"/>
      </w:divBdr>
    </w:div>
    <w:div w:id="630132303">
      <w:bodyDiv w:val="1"/>
      <w:marLeft w:val="0"/>
      <w:marRight w:val="0"/>
      <w:marTop w:val="0"/>
      <w:marBottom w:val="0"/>
      <w:divBdr>
        <w:top w:val="none" w:sz="0" w:space="0" w:color="auto"/>
        <w:left w:val="none" w:sz="0" w:space="0" w:color="auto"/>
        <w:bottom w:val="none" w:sz="0" w:space="0" w:color="auto"/>
        <w:right w:val="none" w:sz="0" w:space="0" w:color="auto"/>
      </w:divBdr>
    </w:div>
    <w:div w:id="642125110">
      <w:bodyDiv w:val="1"/>
      <w:marLeft w:val="0"/>
      <w:marRight w:val="0"/>
      <w:marTop w:val="0"/>
      <w:marBottom w:val="0"/>
      <w:divBdr>
        <w:top w:val="none" w:sz="0" w:space="0" w:color="auto"/>
        <w:left w:val="none" w:sz="0" w:space="0" w:color="auto"/>
        <w:bottom w:val="none" w:sz="0" w:space="0" w:color="auto"/>
        <w:right w:val="none" w:sz="0" w:space="0" w:color="auto"/>
      </w:divBdr>
    </w:div>
    <w:div w:id="662510759">
      <w:bodyDiv w:val="1"/>
      <w:marLeft w:val="0"/>
      <w:marRight w:val="0"/>
      <w:marTop w:val="0"/>
      <w:marBottom w:val="0"/>
      <w:divBdr>
        <w:top w:val="none" w:sz="0" w:space="0" w:color="auto"/>
        <w:left w:val="none" w:sz="0" w:space="0" w:color="auto"/>
        <w:bottom w:val="none" w:sz="0" w:space="0" w:color="auto"/>
        <w:right w:val="none" w:sz="0" w:space="0" w:color="auto"/>
      </w:divBdr>
    </w:div>
    <w:div w:id="743769947">
      <w:bodyDiv w:val="1"/>
      <w:marLeft w:val="0"/>
      <w:marRight w:val="0"/>
      <w:marTop w:val="0"/>
      <w:marBottom w:val="0"/>
      <w:divBdr>
        <w:top w:val="none" w:sz="0" w:space="0" w:color="auto"/>
        <w:left w:val="none" w:sz="0" w:space="0" w:color="auto"/>
        <w:bottom w:val="none" w:sz="0" w:space="0" w:color="auto"/>
        <w:right w:val="none" w:sz="0" w:space="0" w:color="auto"/>
      </w:divBdr>
    </w:div>
    <w:div w:id="753937689">
      <w:bodyDiv w:val="1"/>
      <w:marLeft w:val="0"/>
      <w:marRight w:val="0"/>
      <w:marTop w:val="0"/>
      <w:marBottom w:val="0"/>
      <w:divBdr>
        <w:top w:val="none" w:sz="0" w:space="0" w:color="auto"/>
        <w:left w:val="none" w:sz="0" w:space="0" w:color="auto"/>
        <w:bottom w:val="none" w:sz="0" w:space="0" w:color="auto"/>
        <w:right w:val="none" w:sz="0" w:space="0" w:color="auto"/>
      </w:divBdr>
    </w:div>
    <w:div w:id="775442842">
      <w:bodyDiv w:val="1"/>
      <w:marLeft w:val="0"/>
      <w:marRight w:val="0"/>
      <w:marTop w:val="0"/>
      <w:marBottom w:val="0"/>
      <w:divBdr>
        <w:top w:val="none" w:sz="0" w:space="0" w:color="auto"/>
        <w:left w:val="none" w:sz="0" w:space="0" w:color="auto"/>
        <w:bottom w:val="none" w:sz="0" w:space="0" w:color="auto"/>
        <w:right w:val="none" w:sz="0" w:space="0" w:color="auto"/>
      </w:divBdr>
    </w:div>
    <w:div w:id="803892834">
      <w:bodyDiv w:val="1"/>
      <w:marLeft w:val="0"/>
      <w:marRight w:val="0"/>
      <w:marTop w:val="0"/>
      <w:marBottom w:val="0"/>
      <w:divBdr>
        <w:top w:val="none" w:sz="0" w:space="0" w:color="auto"/>
        <w:left w:val="none" w:sz="0" w:space="0" w:color="auto"/>
        <w:bottom w:val="none" w:sz="0" w:space="0" w:color="auto"/>
        <w:right w:val="none" w:sz="0" w:space="0" w:color="auto"/>
      </w:divBdr>
    </w:div>
    <w:div w:id="809900439">
      <w:bodyDiv w:val="1"/>
      <w:marLeft w:val="0"/>
      <w:marRight w:val="0"/>
      <w:marTop w:val="0"/>
      <w:marBottom w:val="0"/>
      <w:divBdr>
        <w:top w:val="none" w:sz="0" w:space="0" w:color="auto"/>
        <w:left w:val="none" w:sz="0" w:space="0" w:color="auto"/>
        <w:bottom w:val="none" w:sz="0" w:space="0" w:color="auto"/>
        <w:right w:val="none" w:sz="0" w:space="0" w:color="auto"/>
      </w:divBdr>
    </w:div>
    <w:div w:id="840975564">
      <w:bodyDiv w:val="1"/>
      <w:marLeft w:val="0"/>
      <w:marRight w:val="0"/>
      <w:marTop w:val="0"/>
      <w:marBottom w:val="0"/>
      <w:divBdr>
        <w:top w:val="none" w:sz="0" w:space="0" w:color="auto"/>
        <w:left w:val="none" w:sz="0" w:space="0" w:color="auto"/>
        <w:bottom w:val="none" w:sz="0" w:space="0" w:color="auto"/>
        <w:right w:val="none" w:sz="0" w:space="0" w:color="auto"/>
      </w:divBdr>
    </w:div>
    <w:div w:id="841314212">
      <w:bodyDiv w:val="1"/>
      <w:marLeft w:val="0"/>
      <w:marRight w:val="0"/>
      <w:marTop w:val="0"/>
      <w:marBottom w:val="0"/>
      <w:divBdr>
        <w:top w:val="none" w:sz="0" w:space="0" w:color="auto"/>
        <w:left w:val="none" w:sz="0" w:space="0" w:color="auto"/>
        <w:bottom w:val="none" w:sz="0" w:space="0" w:color="auto"/>
        <w:right w:val="none" w:sz="0" w:space="0" w:color="auto"/>
      </w:divBdr>
    </w:div>
    <w:div w:id="845053092">
      <w:bodyDiv w:val="1"/>
      <w:marLeft w:val="0"/>
      <w:marRight w:val="0"/>
      <w:marTop w:val="0"/>
      <w:marBottom w:val="0"/>
      <w:divBdr>
        <w:top w:val="none" w:sz="0" w:space="0" w:color="auto"/>
        <w:left w:val="none" w:sz="0" w:space="0" w:color="auto"/>
        <w:bottom w:val="none" w:sz="0" w:space="0" w:color="auto"/>
        <w:right w:val="none" w:sz="0" w:space="0" w:color="auto"/>
      </w:divBdr>
    </w:div>
    <w:div w:id="860554126">
      <w:bodyDiv w:val="1"/>
      <w:marLeft w:val="0"/>
      <w:marRight w:val="0"/>
      <w:marTop w:val="0"/>
      <w:marBottom w:val="0"/>
      <w:divBdr>
        <w:top w:val="none" w:sz="0" w:space="0" w:color="auto"/>
        <w:left w:val="none" w:sz="0" w:space="0" w:color="auto"/>
        <w:bottom w:val="none" w:sz="0" w:space="0" w:color="auto"/>
        <w:right w:val="none" w:sz="0" w:space="0" w:color="auto"/>
      </w:divBdr>
    </w:div>
    <w:div w:id="893388834">
      <w:bodyDiv w:val="1"/>
      <w:marLeft w:val="0"/>
      <w:marRight w:val="0"/>
      <w:marTop w:val="0"/>
      <w:marBottom w:val="0"/>
      <w:divBdr>
        <w:top w:val="none" w:sz="0" w:space="0" w:color="auto"/>
        <w:left w:val="none" w:sz="0" w:space="0" w:color="auto"/>
        <w:bottom w:val="none" w:sz="0" w:space="0" w:color="auto"/>
        <w:right w:val="none" w:sz="0" w:space="0" w:color="auto"/>
      </w:divBdr>
    </w:div>
    <w:div w:id="948706365">
      <w:bodyDiv w:val="1"/>
      <w:marLeft w:val="0"/>
      <w:marRight w:val="0"/>
      <w:marTop w:val="0"/>
      <w:marBottom w:val="0"/>
      <w:divBdr>
        <w:top w:val="none" w:sz="0" w:space="0" w:color="auto"/>
        <w:left w:val="none" w:sz="0" w:space="0" w:color="auto"/>
        <w:bottom w:val="none" w:sz="0" w:space="0" w:color="auto"/>
        <w:right w:val="none" w:sz="0" w:space="0" w:color="auto"/>
      </w:divBdr>
    </w:div>
    <w:div w:id="956713807">
      <w:bodyDiv w:val="1"/>
      <w:marLeft w:val="0"/>
      <w:marRight w:val="0"/>
      <w:marTop w:val="0"/>
      <w:marBottom w:val="0"/>
      <w:divBdr>
        <w:top w:val="none" w:sz="0" w:space="0" w:color="auto"/>
        <w:left w:val="none" w:sz="0" w:space="0" w:color="auto"/>
        <w:bottom w:val="none" w:sz="0" w:space="0" w:color="auto"/>
        <w:right w:val="none" w:sz="0" w:space="0" w:color="auto"/>
      </w:divBdr>
    </w:div>
    <w:div w:id="962615214">
      <w:bodyDiv w:val="1"/>
      <w:marLeft w:val="0"/>
      <w:marRight w:val="0"/>
      <w:marTop w:val="0"/>
      <w:marBottom w:val="0"/>
      <w:divBdr>
        <w:top w:val="none" w:sz="0" w:space="0" w:color="auto"/>
        <w:left w:val="none" w:sz="0" w:space="0" w:color="auto"/>
        <w:bottom w:val="none" w:sz="0" w:space="0" w:color="auto"/>
        <w:right w:val="none" w:sz="0" w:space="0" w:color="auto"/>
      </w:divBdr>
    </w:div>
    <w:div w:id="964123723">
      <w:bodyDiv w:val="1"/>
      <w:marLeft w:val="0"/>
      <w:marRight w:val="0"/>
      <w:marTop w:val="0"/>
      <w:marBottom w:val="0"/>
      <w:divBdr>
        <w:top w:val="none" w:sz="0" w:space="0" w:color="auto"/>
        <w:left w:val="none" w:sz="0" w:space="0" w:color="auto"/>
        <w:bottom w:val="none" w:sz="0" w:space="0" w:color="auto"/>
        <w:right w:val="none" w:sz="0" w:space="0" w:color="auto"/>
      </w:divBdr>
    </w:div>
    <w:div w:id="996423207">
      <w:bodyDiv w:val="1"/>
      <w:marLeft w:val="0"/>
      <w:marRight w:val="0"/>
      <w:marTop w:val="0"/>
      <w:marBottom w:val="0"/>
      <w:divBdr>
        <w:top w:val="none" w:sz="0" w:space="0" w:color="auto"/>
        <w:left w:val="none" w:sz="0" w:space="0" w:color="auto"/>
        <w:bottom w:val="none" w:sz="0" w:space="0" w:color="auto"/>
        <w:right w:val="none" w:sz="0" w:space="0" w:color="auto"/>
      </w:divBdr>
    </w:div>
    <w:div w:id="1010838660">
      <w:bodyDiv w:val="1"/>
      <w:marLeft w:val="0"/>
      <w:marRight w:val="0"/>
      <w:marTop w:val="0"/>
      <w:marBottom w:val="0"/>
      <w:divBdr>
        <w:top w:val="none" w:sz="0" w:space="0" w:color="auto"/>
        <w:left w:val="none" w:sz="0" w:space="0" w:color="auto"/>
        <w:bottom w:val="none" w:sz="0" w:space="0" w:color="auto"/>
        <w:right w:val="none" w:sz="0" w:space="0" w:color="auto"/>
      </w:divBdr>
    </w:div>
    <w:div w:id="1012293567">
      <w:bodyDiv w:val="1"/>
      <w:marLeft w:val="0"/>
      <w:marRight w:val="0"/>
      <w:marTop w:val="0"/>
      <w:marBottom w:val="0"/>
      <w:divBdr>
        <w:top w:val="none" w:sz="0" w:space="0" w:color="auto"/>
        <w:left w:val="none" w:sz="0" w:space="0" w:color="auto"/>
        <w:bottom w:val="none" w:sz="0" w:space="0" w:color="auto"/>
        <w:right w:val="none" w:sz="0" w:space="0" w:color="auto"/>
      </w:divBdr>
    </w:div>
    <w:div w:id="1025247898">
      <w:bodyDiv w:val="1"/>
      <w:marLeft w:val="0"/>
      <w:marRight w:val="0"/>
      <w:marTop w:val="0"/>
      <w:marBottom w:val="0"/>
      <w:divBdr>
        <w:top w:val="none" w:sz="0" w:space="0" w:color="auto"/>
        <w:left w:val="none" w:sz="0" w:space="0" w:color="auto"/>
        <w:bottom w:val="none" w:sz="0" w:space="0" w:color="auto"/>
        <w:right w:val="none" w:sz="0" w:space="0" w:color="auto"/>
      </w:divBdr>
    </w:div>
    <w:div w:id="1045913290">
      <w:bodyDiv w:val="1"/>
      <w:marLeft w:val="0"/>
      <w:marRight w:val="0"/>
      <w:marTop w:val="0"/>
      <w:marBottom w:val="0"/>
      <w:divBdr>
        <w:top w:val="none" w:sz="0" w:space="0" w:color="auto"/>
        <w:left w:val="none" w:sz="0" w:space="0" w:color="auto"/>
        <w:bottom w:val="none" w:sz="0" w:space="0" w:color="auto"/>
        <w:right w:val="none" w:sz="0" w:space="0" w:color="auto"/>
      </w:divBdr>
    </w:div>
    <w:div w:id="1057968471">
      <w:bodyDiv w:val="1"/>
      <w:marLeft w:val="0"/>
      <w:marRight w:val="0"/>
      <w:marTop w:val="0"/>
      <w:marBottom w:val="0"/>
      <w:divBdr>
        <w:top w:val="none" w:sz="0" w:space="0" w:color="auto"/>
        <w:left w:val="none" w:sz="0" w:space="0" w:color="auto"/>
        <w:bottom w:val="none" w:sz="0" w:space="0" w:color="auto"/>
        <w:right w:val="none" w:sz="0" w:space="0" w:color="auto"/>
      </w:divBdr>
    </w:div>
    <w:div w:id="1084691730">
      <w:bodyDiv w:val="1"/>
      <w:marLeft w:val="0"/>
      <w:marRight w:val="0"/>
      <w:marTop w:val="0"/>
      <w:marBottom w:val="0"/>
      <w:divBdr>
        <w:top w:val="none" w:sz="0" w:space="0" w:color="auto"/>
        <w:left w:val="none" w:sz="0" w:space="0" w:color="auto"/>
        <w:bottom w:val="none" w:sz="0" w:space="0" w:color="auto"/>
        <w:right w:val="none" w:sz="0" w:space="0" w:color="auto"/>
      </w:divBdr>
    </w:div>
    <w:div w:id="1092700580">
      <w:bodyDiv w:val="1"/>
      <w:marLeft w:val="0"/>
      <w:marRight w:val="0"/>
      <w:marTop w:val="0"/>
      <w:marBottom w:val="0"/>
      <w:divBdr>
        <w:top w:val="none" w:sz="0" w:space="0" w:color="auto"/>
        <w:left w:val="none" w:sz="0" w:space="0" w:color="auto"/>
        <w:bottom w:val="none" w:sz="0" w:space="0" w:color="auto"/>
        <w:right w:val="none" w:sz="0" w:space="0" w:color="auto"/>
      </w:divBdr>
    </w:div>
    <w:div w:id="111405787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9959">
      <w:bodyDiv w:val="1"/>
      <w:marLeft w:val="0"/>
      <w:marRight w:val="0"/>
      <w:marTop w:val="0"/>
      <w:marBottom w:val="0"/>
      <w:divBdr>
        <w:top w:val="none" w:sz="0" w:space="0" w:color="auto"/>
        <w:left w:val="none" w:sz="0" w:space="0" w:color="auto"/>
        <w:bottom w:val="none" w:sz="0" w:space="0" w:color="auto"/>
        <w:right w:val="none" w:sz="0" w:space="0" w:color="auto"/>
      </w:divBdr>
    </w:div>
    <w:div w:id="1203248427">
      <w:bodyDiv w:val="1"/>
      <w:marLeft w:val="0"/>
      <w:marRight w:val="0"/>
      <w:marTop w:val="0"/>
      <w:marBottom w:val="0"/>
      <w:divBdr>
        <w:top w:val="none" w:sz="0" w:space="0" w:color="auto"/>
        <w:left w:val="none" w:sz="0" w:space="0" w:color="auto"/>
        <w:bottom w:val="none" w:sz="0" w:space="0" w:color="auto"/>
        <w:right w:val="none" w:sz="0" w:space="0" w:color="auto"/>
      </w:divBdr>
    </w:div>
    <w:div w:id="1211572284">
      <w:bodyDiv w:val="1"/>
      <w:marLeft w:val="0"/>
      <w:marRight w:val="0"/>
      <w:marTop w:val="0"/>
      <w:marBottom w:val="0"/>
      <w:divBdr>
        <w:top w:val="none" w:sz="0" w:space="0" w:color="auto"/>
        <w:left w:val="none" w:sz="0" w:space="0" w:color="auto"/>
        <w:bottom w:val="none" w:sz="0" w:space="0" w:color="auto"/>
        <w:right w:val="none" w:sz="0" w:space="0" w:color="auto"/>
      </w:divBdr>
      <w:divsChild>
        <w:div w:id="1850365255">
          <w:marLeft w:val="446"/>
          <w:marRight w:val="0"/>
          <w:marTop w:val="0"/>
          <w:marBottom w:val="0"/>
          <w:divBdr>
            <w:top w:val="none" w:sz="0" w:space="0" w:color="auto"/>
            <w:left w:val="none" w:sz="0" w:space="0" w:color="auto"/>
            <w:bottom w:val="none" w:sz="0" w:space="0" w:color="auto"/>
            <w:right w:val="none" w:sz="0" w:space="0" w:color="auto"/>
          </w:divBdr>
        </w:div>
        <w:div w:id="2026130204">
          <w:marLeft w:val="446"/>
          <w:marRight w:val="0"/>
          <w:marTop w:val="0"/>
          <w:marBottom w:val="0"/>
          <w:divBdr>
            <w:top w:val="none" w:sz="0" w:space="0" w:color="auto"/>
            <w:left w:val="none" w:sz="0" w:space="0" w:color="auto"/>
            <w:bottom w:val="none" w:sz="0" w:space="0" w:color="auto"/>
            <w:right w:val="none" w:sz="0" w:space="0" w:color="auto"/>
          </w:divBdr>
        </w:div>
        <w:div w:id="145435116">
          <w:marLeft w:val="446"/>
          <w:marRight w:val="0"/>
          <w:marTop w:val="0"/>
          <w:marBottom w:val="0"/>
          <w:divBdr>
            <w:top w:val="none" w:sz="0" w:space="0" w:color="auto"/>
            <w:left w:val="none" w:sz="0" w:space="0" w:color="auto"/>
            <w:bottom w:val="none" w:sz="0" w:space="0" w:color="auto"/>
            <w:right w:val="none" w:sz="0" w:space="0" w:color="auto"/>
          </w:divBdr>
        </w:div>
      </w:divsChild>
    </w:div>
    <w:div w:id="1233733192">
      <w:bodyDiv w:val="1"/>
      <w:marLeft w:val="0"/>
      <w:marRight w:val="0"/>
      <w:marTop w:val="0"/>
      <w:marBottom w:val="0"/>
      <w:divBdr>
        <w:top w:val="none" w:sz="0" w:space="0" w:color="auto"/>
        <w:left w:val="none" w:sz="0" w:space="0" w:color="auto"/>
        <w:bottom w:val="none" w:sz="0" w:space="0" w:color="auto"/>
        <w:right w:val="none" w:sz="0" w:space="0" w:color="auto"/>
      </w:divBdr>
      <w:divsChild>
        <w:div w:id="360739761">
          <w:marLeft w:val="360"/>
          <w:marRight w:val="0"/>
          <w:marTop w:val="200"/>
          <w:marBottom w:val="0"/>
          <w:divBdr>
            <w:top w:val="none" w:sz="0" w:space="0" w:color="auto"/>
            <w:left w:val="none" w:sz="0" w:space="0" w:color="auto"/>
            <w:bottom w:val="none" w:sz="0" w:space="0" w:color="auto"/>
            <w:right w:val="none" w:sz="0" w:space="0" w:color="auto"/>
          </w:divBdr>
        </w:div>
        <w:div w:id="614601800">
          <w:marLeft w:val="360"/>
          <w:marRight w:val="0"/>
          <w:marTop w:val="200"/>
          <w:marBottom w:val="0"/>
          <w:divBdr>
            <w:top w:val="none" w:sz="0" w:space="0" w:color="auto"/>
            <w:left w:val="none" w:sz="0" w:space="0" w:color="auto"/>
            <w:bottom w:val="none" w:sz="0" w:space="0" w:color="auto"/>
            <w:right w:val="none" w:sz="0" w:space="0" w:color="auto"/>
          </w:divBdr>
        </w:div>
        <w:div w:id="738329323">
          <w:marLeft w:val="360"/>
          <w:marRight w:val="0"/>
          <w:marTop w:val="200"/>
          <w:marBottom w:val="0"/>
          <w:divBdr>
            <w:top w:val="none" w:sz="0" w:space="0" w:color="auto"/>
            <w:left w:val="none" w:sz="0" w:space="0" w:color="auto"/>
            <w:bottom w:val="none" w:sz="0" w:space="0" w:color="auto"/>
            <w:right w:val="none" w:sz="0" w:space="0" w:color="auto"/>
          </w:divBdr>
        </w:div>
        <w:div w:id="1853449432">
          <w:marLeft w:val="360"/>
          <w:marRight w:val="0"/>
          <w:marTop w:val="200"/>
          <w:marBottom w:val="0"/>
          <w:divBdr>
            <w:top w:val="none" w:sz="0" w:space="0" w:color="auto"/>
            <w:left w:val="none" w:sz="0" w:space="0" w:color="auto"/>
            <w:bottom w:val="none" w:sz="0" w:space="0" w:color="auto"/>
            <w:right w:val="none" w:sz="0" w:space="0" w:color="auto"/>
          </w:divBdr>
        </w:div>
      </w:divsChild>
    </w:div>
    <w:div w:id="1275166119">
      <w:bodyDiv w:val="1"/>
      <w:marLeft w:val="0"/>
      <w:marRight w:val="0"/>
      <w:marTop w:val="0"/>
      <w:marBottom w:val="0"/>
      <w:divBdr>
        <w:top w:val="none" w:sz="0" w:space="0" w:color="auto"/>
        <w:left w:val="none" w:sz="0" w:space="0" w:color="auto"/>
        <w:bottom w:val="none" w:sz="0" w:space="0" w:color="auto"/>
        <w:right w:val="none" w:sz="0" w:space="0" w:color="auto"/>
      </w:divBdr>
    </w:div>
    <w:div w:id="1278946922">
      <w:bodyDiv w:val="1"/>
      <w:marLeft w:val="0"/>
      <w:marRight w:val="0"/>
      <w:marTop w:val="0"/>
      <w:marBottom w:val="0"/>
      <w:divBdr>
        <w:top w:val="none" w:sz="0" w:space="0" w:color="auto"/>
        <w:left w:val="none" w:sz="0" w:space="0" w:color="auto"/>
        <w:bottom w:val="none" w:sz="0" w:space="0" w:color="auto"/>
        <w:right w:val="none" w:sz="0" w:space="0" w:color="auto"/>
      </w:divBdr>
    </w:div>
    <w:div w:id="1343705902">
      <w:bodyDiv w:val="1"/>
      <w:marLeft w:val="0"/>
      <w:marRight w:val="0"/>
      <w:marTop w:val="0"/>
      <w:marBottom w:val="0"/>
      <w:divBdr>
        <w:top w:val="none" w:sz="0" w:space="0" w:color="auto"/>
        <w:left w:val="none" w:sz="0" w:space="0" w:color="auto"/>
        <w:bottom w:val="none" w:sz="0" w:space="0" w:color="auto"/>
        <w:right w:val="none" w:sz="0" w:space="0" w:color="auto"/>
      </w:divBdr>
      <w:divsChild>
        <w:div w:id="655062987">
          <w:marLeft w:val="360"/>
          <w:marRight w:val="0"/>
          <w:marTop w:val="200"/>
          <w:marBottom w:val="0"/>
          <w:divBdr>
            <w:top w:val="none" w:sz="0" w:space="0" w:color="auto"/>
            <w:left w:val="none" w:sz="0" w:space="0" w:color="auto"/>
            <w:bottom w:val="none" w:sz="0" w:space="0" w:color="auto"/>
            <w:right w:val="none" w:sz="0" w:space="0" w:color="auto"/>
          </w:divBdr>
        </w:div>
      </w:divsChild>
    </w:div>
    <w:div w:id="1355813121">
      <w:bodyDiv w:val="1"/>
      <w:marLeft w:val="0"/>
      <w:marRight w:val="0"/>
      <w:marTop w:val="0"/>
      <w:marBottom w:val="0"/>
      <w:divBdr>
        <w:top w:val="none" w:sz="0" w:space="0" w:color="auto"/>
        <w:left w:val="none" w:sz="0" w:space="0" w:color="auto"/>
        <w:bottom w:val="none" w:sz="0" w:space="0" w:color="auto"/>
        <w:right w:val="none" w:sz="0" w:space="0" w:color="auto"/>
      </w:divBdr>
    </w:div>
    <w:div w:id="1370760078">
      <w:bodyDiv w:val="1"/>
      <w:marLeft w:val="0"/>
      <w:marRight w:val="0"/>
      <w:marTop w:val="0"/>
      <w:marBottom w:val="0"/>
      <w:divBdr>
        <w:top w:val="none" w:sz="0" w:space="0" w:color="auto"/>
        <w:left w:val="none" w:sz="0" w:space="0" w:color="auto"/>
        <w:bottom w:val="none" w:sz="0" w:space="0" w:color="auto"/>
        <w:right w:val="none" w:sz="0" w:space="0" w:color="auto"/>
      </w:divBdr>
      <w:divsChild>
        <w:div w:id="23334745">
          <w:marLeft w:val="1080"/>
          <w:marRight w:val="0"/>
          <w:marTop w:val="100"/>
          <w:marBottom w:val="0"/>
          <w:divBdr>
            <w:top w:val="none" w:sz="0" w:space="0" w:color="auto"/>
            <w:left w:val="none" w:sz="0" w:space="0" w:color="auto"/>
            <w:bottom w:val="none" w:sz="0" w:space="0" w:color="auto"/>
            <w:right w:val="none" w:sz="0" w:space="0" w:color="auto"/>
          </w:divBdr>
        </w:div>
        <w:div w:id="32661166">
          <w:marLeft w:val="1080"/>
          <w:marRight w:val="0"/>
          <w:marTop w:val="100"/>
          <w:marBottom w:val="0"/>
          <w:divBdr>
            <w:top w:val="none" w:sz="0" w:space="0" w:color="auto"/>
            <w:left w:val="none" w:sz="0" w:space="0" w:color="auto"/>
            <w:bottom w:val="none" w:sz="0" w:space="0" w:color="auto"/>
            <w:right w:val="none" w:sz="0" w:space="0" w:color="auto"/>
          </w:divBdr>
        </w:div>
        <w:div w:id="312762537">
          <w:marLeft w:val="1080"/>
          <w:marRight w:val="0"/>
          <w:marTop w:val="100"/>
          <w:marBottom w:val="0"/>
          <w:divBdr>
            <w:top w:val="none" w:sz="0" w:space="0" w:color="auto"/>
            <w:left w:val="none" w:sz="0" w:space="0" w:color="auto"/>
            <w:bottom w:val="none" w:sz="0" w:space="0" w:color="auto"/>
            <w:right w:val="none" w:sz="0" w:space="0" w:color="auto"/>
          </w:divBdr>
        </w:div>
        <w:div w:id="519048791">
          <w:marLeft w:val="1080"/>
          <w:marRight w:val="0"/>
          <w:marTop w:val="100"/>
          <w:marBottom w:val="0"/>
          <w:divBdr>
            <w:top w:val="none" w:sz="0" w:space="0" w:color="auto"/>
            <w:left w:val="none" w:sz="0" w:space="0" w:color="auto"/>
            <w:bottom w:val="none" w:sz="0" w:space="0" w:color="auto"/>
            <w:right w:val="none" w:sz="0" w:space="0" w:color="auto"/>
          </w:divBdr>
        </w:div>
        <w:div w:id="1658797567">
          <w:marLeft w:val="1080"/>
          <w:marRight w:val="0"/>
          <w:marTop w:val="100"/>
          <w:marBottom w:val="0"/>
          <w:divBdr>
            <w:top w:val="none" w:sz="0" w:space="0" w:color="auto"/>
            <w:left w:val="none" w:sz="0" w:space="0" w:color="auto"/>
            <w:bottom w:val="none" w:sz="0" w:space="0" w:color="auto"/>
            <w:right w:val="none" w:sz="0" w:space="0" w:color="auto"/>
          </w:divBdr>
        </w:div>
        <w:div w:id="1701779366">
          <w:marLeft w:val="1080"/>
          <w:marRight w:val="0"/>
          <w:marTop w:val="100"/>
          <w:marBottom w:val="0"/>
          <w:divBdr>
            <w:top w:val="none" w:sz="0" w:space="0" w:color="auto"/>
            <w:left w:val="none" w:sz="0" w:space="0" w:color="auto"/>
            <w:bottom w:val="none" w:sz="0" w:space="0" w:color="auto"/>
            <w:right w:val="none" w:sz="0" w:space="0" w:color="auto"/>
          </w:divBdr>
        </w:div>
        <w:div w:id="1719432192">
          <w:marLeft w:val="360"/>
          <w:marRight w:val="0"/>
          <w:marTop w:val="200"/>
          <w:marBottom w:val="0"/>
          <w:divBdr>
            <w:top w:val="none" w:sz="0" w:space="0" w:color="auto"/>
            <w:left w:val="none" w:sz="0" w:space="0" w:color="auto"/>
            <w:bottom w:val="none" w:sz="0" w:space="0" w:color="auto"/>
            <w:right w:val="none" w:sz="0" w:space="0" w:color="auto"/>
          </w:divBdr>
        </w:div>
        <w:div w:id="1788237199">
          <w:marLeft w:val="1080"/>
          <w:marRight w:val="0"/>
          <w:marTop w:val="100"/>
          <w:marBottom w:val="0"/>
          <w:divBdr>
            <w:top w:val="none" w:sz="0" w:space="0" w:color="auto"/>
            <w:left w:val="none" w:sz="0" w:space="0" w:color="auto"/>
            <w:bottom w:val="none" w:sz="0" w:space="0" w:color="auto"/>
            <w:right w:val="none" w:sz="0" w:space="0" w:color="auto"/>
          </w:divBdr>
        </w:div>
        <w:div w:id="1974828925">
          <w:marLeft w:val="1080"/>
          <w:marRight w:val="0"/>
          <w:marTop w:val="100"/>
          <w:marBottom w:val="0"/>
          <w:divBdr>
            <w:top w:val="none" w:sz="0" w:space="0" w:color="auto"/>
            <w:left w:val="none" w:sz="0" w:space="0" w:color="auto"/>
            <w:bottom w:val="none" w:sz="0" w:space="0" w:color="auto"/>
            <w:right w:val="none" w:sz="0" w:space="0" w:color="auto"/>
          </w:divBdr>
        </w:div>
        <w:div w:id="2100903661">
          <w:marLeft w:val="360"/>
          <w:marRight w:val="0"/>
          <w:marTop w:val="200"/>
          <w:marBottom w:val="0"/>
          <w:divBdr>
            <w:top w:val="none" w:sz="0" w:space="0" w:color="auto"/>
            <w:left w:val="none" w:sz="0" w:space="0" w:color="auto"/>
            <w:bottom w:val="none" w:sz="0" w:space="0" w:color="auto"/>
            <w:right w:val="none" w:sz="0" w:space="0" w:color="auto"/>
          </w:divBdr>
        </w:div>
      </w:divsChild>
    </w:div>
    <w:div w:id="1395663207">
      <w:bodyDiv w:val="1"/>
      <w:marLeft w:val="0"/>
      <w:marRight w:val="0"/>
      <w:marTop w:val="0"/>
      <w:marBottom w:val="0"/>
      <w:divBdr>
        <w:top w:val="none" w:sz="0" w:space="0" w:color="auto"/>
        <w:left w:val="none" w:sz="0" w:space="0" w:color="auto"/>
        <w:bottom w:val="none" w:sz="0" w:space="0" w:color="auto"/>
        <w:right w:val="none" w:sz="0" w:space="0" w:color="auto"/>
      </w:divBdr>
    </w:div>
    <w:div w:id="1413240026">
      <w:bodyDiv w:val="1"/>
      <w:marLeft w:val="0"/>
      <w:marRight w:val="0"/>
      <w:marTop w:val="0"/>
      <w:marBottom w:val="0"/>
      <w:divBdr>
        <w:top w:val="none" w:sz="0" w:space="0" w:color="auto"/>
        <w:left w:val="none" w:sz="0" w:space="0" w:color="auto"/>
        <w:bottom w:val="none" w:sz="0" w:space="0" w:color="auto"/>
        <w:right w:val="none" w:sz="0" w:space="0" w:color="auto"/>
      </w:divBdr>
    </w:div>
    <w:div w:id="1424642408">
      <w:bodyDiv w:val="1"/>
      <w:marLeft w:val="0"/>
      <w:marRight w:val="0"/>
      <w:marTop w:val="0"/>
      <w:marBottom w:val="0"/>
      <w:divBdr>
        <w:top w:val="none" w:sz="0" w:space="0" w:color="auto"/>
        <w:left w:val="none" w:sz="0" w:space="0" w:color="auto"/>
        <w:bottom w:val="none" w:sz="0" w:space="0" w:color="auto"/>
        <w:right w:val="none" w:sz="0" w:space="0" w:color="auto"/>
      </w:divBdr>
    </w:div>
    <w:div w:id="1442606391">
      <w:bodyDiv w:val="1"/>
      <w:marLeft w:val="0"/>
      <w:marRight w:val="0"/>
      <w:marTop w:val="0"/>
      <w:marBottom w:val="0"/>
      <w:divBdr>
        <w:top w:val="none" w:sz="0" w:space="0" w:color="auto"/>
        <w:left w:val="none" w:sz="0" w:space="0" w:color="auto"/>
        <w:bottom w:val="none" w:sz="0" w:space="0" w:color="auto"/>
        <w:right w:val="none" w:sz="0" w:space="0" w:color="auto"/>
      </w:divBdr>
    </w:div>
    <w:div w:id="1474788147">
      <w:bodyDiv w:val="1"/>
      <w:marLeft w:val="0"/>
      <w:marRight w:val="0"/>
      <w:marTop w:val="0"/>
      <w:marBottom w:val="0"/>
      <w:divBdr>
        <w:top w:val="none" w:sz="0" w:space="0" w:color="auto"/>
        <w:left w:val="none" w:sz="0" w:space="0" w:color="auto"/>
        <w:bottom w:val="none" w:sz="0" w:space="0" w:color="auto"/>
        <w:right w:val="none" w:sz="0" w:space="0" w:color="auto"/>
      </w:divBdr>
    </w:div>
    <w:div w:id="1481925467">
      <w:bodyDiv w:val="1"/>
      <w:marLeft w:val="0"/>
      <w:marRight w:val="0"/>
      <w:marTop w:val="0"/>
      <w:marBottom w:val="0"/>
      <w:divBdr>
        <w:top w:val="none" w:sz="0" w:space="0" w:color="auto"/>
        <w:left w:val="none" w:sz="0" w:space="0" w:color="auto"/>
        <w:bottom w:val="none" w:sz="0" w:space="0" w:color="auto"/>
        <w:right w:val="none" w:sz="0" w:space="0" w:color="auto"/>
      </w:divBdr>
    </w:div>
    <w:div w:id="1486822167">
      <w:bodyDiv w:val="1"/>
      <w:marLeft w:val="0"/>
      <w:marRight w:val="0"/>
      <w:marTop w:val="0"/>
      <w:marBottom w:val="0"/>
      <w:divBdr>
        <w:top w:val="none" w:sz="0" w:space="0" w:color="auto"/>
        <w:left w:val="none" w:sz="0" w:space="0" w:color="auto"/>
        <w:bottom w:val="none" w:sz="0" w:space="0" w:color="auto"/>
        <w:right w:val="none" w:sz="0" w:space="0" w:color="auto"/>
      </w:divBdr>
    </w:div>
    <w:div w:id="1523858518">
      <w:bodyDiv w:val="1"/>
      <w:marLeft w:val="0"/>
      <w:marRight w:val="0"/>
      <w:marTop w:val="0"/>
      <w:marBottom w:val="0"/>
      <w:divBdr>
        <w:top w:val="none" w:sz="0" w:space="0" w:color="auto"/>
        <w:left w:val="none" w:sz="0" w:space="0" w:color="auto"/>
        <w:bottom w:val="none" w:sz="0" w:space="0" w:color="auto"/>
        <w:right w:val="none" w:sz="0" w:space="0" w:color="auto"/>
      </w:divBdr>
    </w:div>
    <w:div w:id="1526137476">
      <w:bodyDiv w:val="1"/>
      <w:marLeft w:val="0"/>
      <w:marRight w:val="0"/>
      <w:marTop w:val="0"/>
      <w:marBottom w:val="0"/>
      <w:divBdr>
        <w:top w:val="none" w:sz="0" w:space="0" w:color="auto"/>
        <w:left w:val="none" w:sz="0" w:space="0" w:color="auto"/>
        <w:bottom w:val="none" w:sz="0" w:space="0" w:color="auto"/>
        <w:right w:val="none" w:sz="0" w:space="0" w:color="auto"/>
      </w:divBdr>
    </w:div>
    <w:div w:id="1539319203">
      <w:bodyDiv w:val="1"/>
      <w:marLeft w:val="0"/>
      <w:marRight w:val="0"/>
      <w:marTop w:val="0"/>
      <w:marBottom w:val="0"/>
      <w:divBdr>
        <w:top w:val="none" w:sz="0" w:space="0" w:color="auto"/>
        <w:left w:val="none" w:sz="0" w:space="0" w:color="auto"/>
        <w:bottom w:val="none" w:sz="0" w:space="0" w:color="auto"/>
        <w:right w:val="none" w:sz="0" w:space="0" w:color="auto"/>
      </w:divBdr>
    </w:div>
    <w:div w:id="1571423497">
      <w:bodyDiv w:val="1"/>
      <w:marLeft w:val="0"/>
      <w:marRight w:val="0"/>
      <w:marTop w:val="0"/>
      <w:marBottom w:val="0"/>
      <w:divBdr>
        <w:top w:val="none" w:sz="0" w:space="0" w:color="auto"/>
        <w:left w:val="none" w:sz="0" w:space="0" w:color="auto"/>
        <w:bottom w:val="none" w:sz="0" w:space="0" w:color="auto"/>
        <w:right w:val="none" w:sz="0" w:space="0" w:color="auto"/>
      </w:divBdr>
    </w:div>
    <w:div w:id="1597862165">
      <w:bodyDiv w:val="1"/>
      <w:marLeft w:val="0"/>
      <w:marRight w:val="0"/>
      <w:marTop w:val="0"/>
      <w:marBottom w:val="0"/>
      <w:divBdr>
        <w:top w:val="none" w:sz="0" w:space="0" w:color="auto"/>
        <w:left w:val="none" w:sz="0" w:space="0" w:color="auto"/>
        <w:bottom w:val="none" w:sz="0" w:space="0" w:color="auto"/>
        <w:right w:val="none" w:sz="0" w:space="0" w:color="auto"/>
      </w:divBdr>
      <w:divsChild>
        <w:div w:id="1741438481">
          <w:marLeft w:val="360"/>
          <w:marRight w:val="0"/>
          <w:marTop w:val="200"/>
          <w:marBottom w:val="0"/>
          <w:divBdr>
            <w:top w:val="none" w:sz="0" w:space="0" w:color="auto"/>
            <w:left w:val="none" w:sz="0" w:space="0" w:color="auto"/>
            <w:bottom w:val="none" w:sz="0" w:space="0" w:color="auto"/>
            <w:right w:val="none" w:sz="0" w:space="0" w:color="auto"/>
          </w:divBdr>
        </w:div>
        <w:div w:id="1982733840">
          <w:marLeft w:val="360"/>
          <w:marRight w:val="0"/>
          <w:marTop w:val="200"/>
          <w:marBottom w:val="0"/>
          <w:divBdr>
            <w:top w:val="none" w:sz="0" w:space="0" w:color="auto"/>
            <w:left w:val="none" w:sz="0" w:space="0" w:color="auto"/>
            <w:bottom w:val="none" w:sz="0" w:space="0" w:color="auto"/>
            <w:right w:val="none" w:sz="0" w:space="0" w:color="auto"/>
          </w:divBdr>
        </w:div>
        <w:div w:id="2073841746">
          <w:marLeft w:val="360"/>
          <w:marRight w:val="0"/>
          <w:marTop w:val="200"/>
          <w:marBottom w:val="0"/>
          <w:divBdr>
            <w:top w:val="none" w:sz="0" w:space="0" w:color="auto"/>
            <w:left w:val="none" w:sz="0" w:space="0" w:color="auto"/>
            <w:bottom w:val="none" w:sz="0" w:space="0" w:color="auto"/>
            <w:right w:val="none" w:sz="0" w:space="0" w:color="auto"/>
          </w:divBdr>
        </w:div>
      </w:divsChild>
    </w:div>
    <w:div w:id="1599022264">
      <w:bodyDiv w:val="1"/>
      <w:marLeft w:val="0"/>
      <w:marRight w:val="0"/>
      <w:marTop w:val="0"/>
      <w:marBottom w:val="0"/>
      <w:divBdr>
        <w:top w:val="none" w:sz="0" w:space="0" w:color="auto"/>
        <w:left w:val="none" w:sz="0" w:space="0" w:color="auto"/>
        <w:bottom w:val="none" w:sz="0" w:space="0" w:color="auto"/>
        <w:right w:val="none" w:sz="0" w:space="0" w:color="auto"/>
      </w:divBdr>
      <w:divsChild>
        <w:div w:id="460923812">
          <w:marLeft w:val="1080"/>
          <w:marRight w:val="0"/>
          <w:marTop w:val="100"/>
          <w:marBottom w:val="0"/>
          <w:divBdr>
            <w:top w:val="none" w:sz="0" w:space="0" w:color="auto"/>
            <w:left w:val="none" w:sz="0" w:space="0" w:color="auto"/>
            <w:bottom w:val="none" w:sz="0" w:space="0" w:color="auto"/>
            <w:right w:val="none" w:sz="0" w:space="0" w:color="auto"/>
          </w:divBdr>
        </w:div>
      </w:divsChild>
    </w:div>
    <w:div w:id="1600798106">
      <w:bodyDiv w:val="1"/>
      <w:marLeft w:val="0"/>
      <w:marRight w:val="0"/>
      <w:marTop w:val="0"/>
      <w:marBottom w:val="0"/>
      <w:divBdr>
        <w:top w:val="none" w:sz="0" w:space="0" w:color="auto"/>
        <w:left w:val="none" w:sz="0" w:space="0" w:color="auto"/>
        <w:bottom w:val="none" w:sz="0" w:space="0" w:color="auto"/>
        <w:right w:val="none" w:sz="0" w:space="0" w:color="auto"/>
      </w:divBdr>
    </w:div>
    <w:div w:id="1607274468">
      <w:bodyDiv w:val="1"/>
      <w:marLeft w:val="0"/>
      <w:marRight w:val="0"/>
      <w:marTop w:val="0"/>
      <w:marBottom w:val="0"/>
      <w:divBdr>
        <w:top w:val="none" w:sz="0" w:space="0" w:color="auto"/>
        <w:left w:val="none" w:sz="0" w:space="0" w:color="auto"/>
        <w:bottom w:val="none" w:sz="0" w:space="0" w:color="auto"/>
        <w:right w:val="none" w:sz="0" w:space="0" w:color="auto"/>
      </w:divBdr>
    </w:div>
    <w:div w:id="1643385058">
      <w:bodyDiv w:val="1"/>
      <w:marLeft w:val="0"/>
      <w:marRight w:val="0"/>
      <w:marTop w:val="0"/>
      <w:marBottom w:val="0"/>
      <w:divBdr>
        <w:top w:val="none" w:sz="0" w:space="0" w:color="auto"/>
        <w:left w:val="none" w:sz="0" w:space="0" w:color="auto"/>
        <w:bottom w:val="none" w:sz="0" w:space="0" w:color="auto"/>
        <w:right w:val="none" w:sz="0" w:space="0" w:color="auto"/>
      </w:divBdr>
    </w:div>
    <w:div w:id="1706980415">
      <w:bodyDiv w:val="1"/>
      <w:marLeft w:val="0"/>
      <w:marRight w:val="0"/>
      <w:marTop w:val="0"/>
      <w:marBottom w:val="0"/>
      <w:divBdr>
        <w:top w:val="none" w:sz="0" w:space="0" w:color="auto"/>
        <w:left w:val="none" w:sz="0" w:space="0" w:color="auto"/>
        <w:bottom w:val="none" w:sz="0" w:space="0" w:color="auto"/>
        <w:right w:val="none" w:sz="0" w:space="0" w:color="auto"/>
      </w:divBdr>
      <w:divsChild>
        <w:div w:id="262105385">
          <w:marLeft w:val="360"/>
          <w:marRight w:val="0"/>
          <w:marTop w:val="200"/>
          <w:marBottom w:val="0"/>
          <w:divBdr>
            <w:top w:val="none" w:sz="0" w:space="0" w:color="auto"/>
            <w:left w:val="none" w:sz="0" w:space="0" w:color="auto"/>
            <w:bottom w:val="none" w:sz="0" w:space="0" w:color="auto"/>
            <w:right w:val="none" w:sz="0" w:space="0" w:color="auto"/>
          </w:divBdr>
        </w:div>
      </w:divsChild>
    </w:div>
    <w:div w:id="1728648924">
      <w:bodyDiv w:val="1"/>
      <w:marLeft w:val="0"/>
      <w:marRight w:val="0"/>
      <w:marTop w:val="0"/>
      <w:marBottom w:val="0"/>
      <w:divBdr>
        <w:top w:val="none" w:sz="0" w:space="0" w:color="auto"/>
        <w:left w:val="none" w:sz="0" w:space="0" w:color="auto"/>
        <w:bottom w:val="none" w:sz="0" w:space="0" w:color="auto"/>
        <w:right w:val="none" w:sz="0" w:space="0" w:color="auto"/>
      </w:divBdr>
      <w:divsChild>
        <w:div w:id="850024782">
          <w:marLeft w:val="446"/>
          <w:marRight w:val="0"/>
          <w:marTop w:val="0"/>
          <w:marBottom w:val="0"/>
          <w:divBdr>
            <w:top w:val="none" w:sz="0" w:space="0" w:color="auto"/>
            <w:left w:val="none" w:sz="0" w:space="0" w:color="auto"/>
            <w:bottom w:val="none" w:sz="0" w:space="0" w:color="auto"/>
            <w:right w:val="none" w:sz="0" w:space="0" w:color="auto"/>
          </w:divBdr>
        </w:div>
        <w:div w:id="1443844006">
          <w:marLeft w:val="446"/>
          <w:marRight w:val="0"/>
          <w:marTop w:val="0"/>
          <w:marBottom w:val="0"/>
          <w:divBdr>
            <w:top w:val="none" w:sz="0" w:space="0" w:color="auto"/>
            <w:left w:val="none" w:sz="0" w:space="0" w:color="auto"/>
            <w:bottom w:val="none" w:sz="0" w:space="0" w:color="auto"/>
            <w:right w:val="none" w:sz="0" w:space="0" w:color="auto"/>
          </w:divBdr>
        </w:div>
        <w:div w:id="1472358995">
          <w:marLeft w:val="446"/>
          <w:marRight w:val="0"/>
          <w:marTop w:val="0"/>
          <w:marBottom w:val="0"/>
          <w:divBdr>
            <w:top w:val="none" w:sz="0" w:space="0" w:color="auto"/>
            <w:left w:val="none" w:sz="0" w:space="0" w:color="auto"/>
            <w:bottom w:val="none" w:sz="0" w:space="0" w:color="auto"/>
            <w:right w:val="none" w:sz="0" w:space="0" w:color="auto"/>
          </w:divBdr>
        </w:div>
        <w:div w:id="1872767637">
          <w:marLeft w:val="446"/>
          <w:marRight w:val="0"/>
          <w:marTop w:val="0"/>
          <w:marBottom w:val="0"/>
          <w:divBdr>
            <w:top w:val="none" w:sz="0" w:space="0" w:color="auto"/>
            <w:left w:val="none" w:sz="0" w:space="0" w:color="auto"/>
            <w:bottom w:val="none" w:sz="0" w:space="0" w:color="auto"/>
            <w:right w:val="none" w:sz="0" w:space="0" w:color="auto"/>
          </w:divBdr>
        </w:div>
        <w:div w:id="2051419685">
          <w:marLeft w:val="446"/>
          <w:marRight w:val="0"/>
          <w:marTop w:val="0"/>
          <w:marBottom w:val="0"/>
          <w:divBdr>
            <w:top w:val="none" w:sz="0" w:space="0" w:color="auto"/>
            <w:left w:val="none" w:sz="0" w:space="0" w:color="auto"/>
            <w:bottom w:val="none" w:sz="0" w:space="0" w:color="auto"/>
            <w:right w:val="none" w:sz="0" w:space="0" w:color="auto"/>
          </w:divBdr>
        </w:div>
      </w:divsChild>
    </w:div>
    <w:div w:id="1753965976">
      <w:bodyDiv w:val="1"/>
      <w:marLeft w:val="0"/>
      <w:marRight w:val="0"/>
      <w:marTop w:val="0"/>
      <w:marBottom w:val="0"/>
      <w:divBdr>
        <w:top w:val="none" w:sz="0" w:space="0" w:color="auto"/>
        <w:left w:val="none" w:sz="0" w:space="0" w:color="auto"/>
        <w:bottom w:val="none" w:sz="0" w:space="0" w:color="auto"/>
        <w:right w:val="none" w:sz="0" w:space="0" w:color="auto"/>
      </w:divBdr>
      <w:divsChild>
        <w:div w:id="382757478">
          <w:marLeft w:val="360"/>
          <w:marRight w:val="0"/>
          <w:marTop w:val="200"/>
          <w:marBottom w:val="0"/>
          <w:divBdr>
            <w:top w:val="none" w:sz="0" w:space="0" w:color="auto"/>
            <w:left w:val="none" w:sz="0" w:space="0" w:color="auto"/>
            <w:bottom w:val="none" w:sz="0" w:space="0" w:color="auto"/>
            <w:right w:val="none" w:sz="0" w:space="0" w:color="auto"/>
          </w:divBdr>
        </w:div>
      </w:divsChild>
    </w:div>
    <w:div w:id="1889947978">
      <w:bodyDiv w:val="1"/>
      <w:marLeft w:val="0"/>
      <w:marRight w:val="0"/>
      <w:marTop w:val="0"/>
      <w:marBottom w:val="0"/>
      <w:divBdr>
        <w:top w:val="none" w:sz="0" w:space="0" w:color="auto"/>
        <w:left w:val="none" w:sz="0" w:space="0" w:color="auto"/>
        <w:bottom w:val="none" w:sz="0" w:space="0" w:color="auto"/>
        <w:right w:val="none" w:sz="0" w:space="0" w:color="auto"/>
      </w:divBdr>
    </w:div>
    <w:div w:id="1945189769">
      <w:bodyDiv w:val="1"/>
      <w:marLeft w:val="0"/>
      <w:marRight w:val="0"/>
      <w:marTop w:val="0"/>
      <w:marBottom w:val="0"/>
      <w:divBdr>
        <w:top w:val="none" w:sz="0" w:space="0" w:color="auto"/>
        <w:left w:val="none" w:sz="0" w:space="0" w:color="auto"/>
        <w:bottom w:val="none" w:sz="0" w:space="0" w:color="auto"/>
        <w:right w:val="none" w:sz="0" w:space="0" w:color="auto"/>
      </w:divBdr>
    </w:div>
    <w:div w:id="194538324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9698596">
      <w:bodyDiv w:val="1"/>
      <w:marLeft w:val="0"/>
      <w:marRight w:val="0"/>
      <w:marTop w:val="0"/>
      <w:marBottom w:val="0"/>
      <w:divBdr>
        <w:top w:val="none" w:sz="0" w:space="0" w:color="auto"/>
        <w:left w:val="none" w:sz="0" w:space="0" w:color="auto"/>
        <w:bottom w:val="none" w:sz="0" w:space="0" w:color="auto"/>
        <w:right w:val="none" w:sz="0" w:space="0" w:color="auto"/>
      </w:divBdr>
    </w:div>
    <w:div w:id="2018774132">
      <w:bodyDiv w:val="1"/>
      <w:marLeft w:val="0"/>
      <w:marRight w:val="0"/>
      <w:marTop w:val="0"/>
      <w:marBottom w:val="0"/>
      <w:divBdr>
        <w:top w:val="none" w:sz="0" w:space="0" w:color="auto"/>
        <w:left w:val="none" w:sz="0" w:space="0" w:color="auto"/>
        <w:bottom w:val="none" w:sz="0" w:space="0" w:color="auto"/>
        <w:right w:val="none" w:sz="0" w:space="0" w:color="auto"/>
      </w:divBdr>
    </w:div>
    <w:div w:id="2085108573">
      <w:bodyDiv w:val="1"/>
      <w:marLeft w:val="0"/>
      <w:marRight w:val="0"/>
      <w:marTop w:val="0"/>
      <w:marBottom w:val="0"/>
      <w:divBdr>
        <w:top w:val="none" w:sz="0" w:space="0" w:color="auto"/>
        <w:left w:val="none" w:sz="0" w:space="0" w:color="auto"/>
        <w:bottom w:val="none" w:sz="0" w:space="0" w:color="auto"/>
        <w:right w:val="none" w:sz="0" w:space="0" w:color="auto"/>
      </w:divBdr>
    </w:div>
    <w:div w:id="212861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6AD-BCDC-4772-AA2A-706982EB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16353</Words>
  <Characters>93215</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2021-07-08T05:15:00Z</dcterms:created>
  <dcterms:modified xsi:type="dcterms:W3CDTF">2021-07-15T04:43:00Z</dcterms:modified>
</cp:coreProperties>
</file>