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2E" w:rsidRDefault="00FA0CF3" w:rsidP="0058692E">
      <w:pPr>
        <w:pStyle w:val="1-MainHeading"/>
        <w:spacing w:before="0" w:after="0"/>
        <w:contextualSpacing/>
      </w:pPr>
      <w:bookmarkStart w:id="0" w:name="_Toc72320842"/>
      <w:r w:rsidRPr="00917FFB">
        <w:t>6.02</w:t>
      </w:r>
      <w:r w:rsidR="00163F66" w:rsidRPr="00917FFB">
        <w:tab/>
      </w:r>
      <w:r w:rsidR="002D0AEC" w:rsidRPr="00917FFB">
        <w:t>BARICITINIB</w:t>
      </w:r>
      <w:r w:rsidR="00163F66" w:rsidRPr="00917FFB">
        <w:t>,</w:t>
      </w:r>
      <w:r w:rsidR="00163F66" w:rsidRPr="00917FFB">
        <w:br/>
      </w:r>
      <w:r w:rsidR="008B1B90" w:rsidRPr="00917FFB">
        <w:t>T</w:t>
      </w:r>
      <w:r w:rsidR="002D0AEC" w:rsidRPr="00917FFB">
        <w:t>ablet</w:t>
      </w:r>
      <w:r w:rsidR="008B1B90" w:rsidRPr="00917FFB">
        <w:t xml:space="preserve"> 2</w:t>
      </w:r>
      <w:r w:rsidR="003506FA" w:rsidRPr="00917FFB">
        <w:t xml:space="preserve"> </w:t>
      </w:r>
      <w:r w:rsidR="008B1B90" w:rsidRPr="00917FFB">
        <w:t>mg</w:t>
      </w:r>
      <w:bookmarkEnd w:id="0"/>
      <w:r w:rsidR="00F54CEB" w:rsidRPr="00917FFB">
        <w:t>,</w:t>
      </w:r>
      <w:r w:rsidR="008B1B90" w:rsidRPr="00917FFB">
        <w:t xml:space="preserve"> </w:t>
      </w:r>
      <w:bookmarkStart w:id="1" w:name="_Toc72320843"/>
    </w:p>
    <w:p w:rsidR="00B60939" w:rsidRPr="00917FFB" w:rsidRDefault="00124AF5" w:rsidP="00124AF5">
      <w:pPr>
        <w:pStyle w:val="1-MainHeading"/>
        <w:spacing w:before="0" w:after="0"/>
        <w:ind w:firstLine="0"/>
        <w:contextualSpacing/>
      </w:pPr>
      <w:r w:rsidRPr="00917FFB">
        <w:t xml:space="preserve">Tablet </w:t>
      </w:r>
      <w:r w:rsidR="008B1B90" w:rsidRPr="00917FFB">
        <w:t>4</w:t>
      </w:r>
      <w:r w:rsidR="003506FA" w:rsidRPr="00917FFB">
        <w:t xml:space="preserve"> </w:t>
      </w:r>
      <w:r w:rsidR="008B1B90" w:rsidRPr="00917FFB">
        <w:t>mg</w:t>
      </w:r>
      <w:r w:rsidR="00163F66" w:rsidRPr="00917FFB">
        <w:t>,</w:t>
      </w:r>
      <w:r w:rsidR="00163F66" w:rsidRPr="00917FFB">
        <w:br/>
      </w:r>
      <w:r w:rsidR="008B1B90" w:rsidRPr="00917FFB">
        <w:t>Olumiant</w:t>
      </w:r>
      <w:r w:rsidR="00B60939" w:rsidRPr="00917FFB">
        <w:rPr>
          <w:vertAlign w:val="superscript"/>
        </w:rPr>
        <w:t>®</w:t>
      </w:r>
      <w:r w:rsidR="004A6040" w:rsidRPr="00917FFB">
        <w:t>,</w:t>
      </w:r>
      <w:r w:rsidR="004A6040" w:rsidRPr="00917FFB">
        <w:br/>
      </w:r>
      <w:r w:rsidR="008B1B90" w:rsidRPr="00917FFB">
        <w:t>Eli Lilly</w:t>
      </w:r>
      <w:r w:rsidRPr="00917FFB">
        <w:t xml:space="preserve"> Australia Pty Ltd</w:t>
      </w:r>
      <w:r w:rsidR="00B60939" w:rsidRPr="00917FFB">
        <w:t>.</w:t>
      </w:r>
      <w:bookmarkEnd w:id="1"/>
    </w:p>
    <w:p w:rsidR="00B50DB8" w:rsidRPr="00917FFB" w:rsidRDefault="00B50DB8" w:rsidP="004A6040">
      <w:pPr>
        <w:pStyle w:val="2-SectionHeading"/>
      </w:pPr>
      <w:bookmarkStart w:id="2" w:name="_Toc72320845"/>
      <w:r w:rsidRPr="00917FFB">
        <w:t xml:space="preserve">Purpose of </w:t>
      </w:r>
      <w:r w:rsidR="00CD7193" w:rsidRPr="00917FFB">
        <w:t>s</w:t>
      </w:r>
      <w:r w:rsidR="00BB3A45" w:rsidRPr="00917FFB">
        <w:t>ubmission</w:t>
      </w:r>
      <w:bookmarkEnd w:id="2"/>
    </w:p>
    <w:p w:rsidR="002C2775" w:rsidRPr="00917FFB" w:rsidRDefault="008B1B90" w:rsidP="004E18E9">
      <w:pPr>
        <w:pStyle w:val="3-BodyText"/>
      </w:pPr>
      <w:r w:rsidRPr="00917FFB">
        <w:t xml:space="preserve">The </w:t>
      </w:r>
      <w:r w:rsidR="004A75CB">
        <w:t xml:space="preserve">Category 2 </w:t>
      </w:r>
      <w:r w:rsidRPr="00917FFB">
        <w:t xml:space="preserve">submission requested Authority Required (In Writing) and Authority Required (Streamlined) </w:t>
      </w:r>
      <w:r w:rsidR="009B583D" w:rsidRPr="00917FFB">
        <w:t xml:space="preserve">PBS </w:t>
      </w:r>
      <w:r w:rsidRPr="00917FFB">
        <w:t>listing of baricitinib (BARI) 2</w:t>
      </w:r>
      <w:r w:rsidR="00EF1985" w:rsidRPr="00917FFB">
        <w:t xml:space="preserve"> </w:t>
      </w:r>
      <w:r w:rsidRPr="00917FFB">
        <w:t>mg and 4</w:t>
      </w:r>
      <w:r w:rsidR="00EF1985" w:rsidRPr="00917FFB">
        <w:t xml:space="preserve"> </w:t>
      </w:r>
      <w:r w:rsidRPr="00917FFB">
        <w:t>mg tablets for initial and continuing treatment of adults with severe atopic dermatitis (AD).</w:t>
      </w:r>
      <w:r w:rsidR="00D6278A" w:rsidRPr="00917FFB">
        <w:t xml:space="preserve"> </w:t>
      </w:r>
    </w:p>
    <w:p w:rsidR="008B1B90" w:rsidRPr="00917FFB" w:rsidRDefault="005750C5" w:rsidP="00634DD0">
      <w:pPr>
        <w:pStyle w:val="3-BodyText"/>
      </w:pPr>
      <w:r w:rsidRPr="00917FFB">
        <w:t xml:space="preserve">Listing was requested on the basis of a </w:t>
      </w:r>
      <w:r w:rsidR="002450E8" w:rsidRPr="00917FFB">
        <w:t>comparison with</w:t>
      </w:r>
      <w:r w:rsidR="008B1B90" w:rsidRPr="00917FFB">
        <w:t xml:space="preserve"> dupilumab (DUPI), which is </w:t>
      </w:r>
      <w:r w:rsidR="00CA29E1" w:rsidRPr="00917FFB">
        <w:t xml:space="preserve">a subcutaneously (SC) administered </w:t>
      </w:r>
      <w:r w:rsidR="008B1B90" w:rsidRPr="00917FFB">
        <w:t>interleukin-4 (IL-4) inhibitor currently listed on the PBS for severe AD.</w:t>
      </w:r>
      <w:r w:rsidR="00CA29E1" w:rsidRPr="00917FFB">
        <w:t xml:space="preserve"> </w:t>
      </w:r>
      <w:r w:rsidR="00F9115D" w:rsidRPr="00917FFB">
        <w:t xml:space="preserve">The PBAC noted that </w:t>
      </w:r>
      <w:r w:rsidR="00CA29E1" w:rsidRPr="00917FFB">
        <w:t xml:space="preserve">BARI </w:t>
      </w:r>
      <w:r w:rsidR="00F9115D" w:rsidRPr="00917FFB">
        <w:t>is a novel medicine, as no other</w:t>
      </w:r>
      <w:r w:rsidR="00CA29E1" w:rsidRPr="00917FFB">
        <w:t xml:space="preserve"> </w:t>
      </w:r>
      <w:r w:rsidR="009D6DDD" w:rsidRPr="00917FFB">
        <w:t>J</w:t>
      </w:r>
      <w:r w:rsidR="00CA29E1" w:rsidRPr="00917FFB">
        <w:t xml:space="preserve">anus </w:t>
      </w:r>
      <w:r w:rsidR="003B629E" w:rsidRPr="00917FFB">
        <w:t>K</w:t>
      </w:r>
      <w:r w:rsidR="00CA29E1" w:rsidRPr="00917FFB">
        <w:t>inase (JAK) inhibitor</w:t>
      </w:r>
      <w:r w:rsidR="00F9115D" w:rsidRPr="00917FFB">
        <w:t xml:space="preserve"> </w:t>
      </w:r>
      <w:r w:rsidR="00F54CEB" w:rsidRPr="00917FFB">
        <w:t>is</w:t>
      </w:r>
      <w:r w:rsidR="00CA29E1" w:rsidRPr="00917FFB">
        <w:t xml:space="preserve"> available on the PBS for </w:t>
      </w:r>
      <w:r w:rsidR="00917FFB" w:rsidRPr="00917FFB">
        <w:t>AD and</w:t>
      </w:r>
      <w:r w:rsidR="00CA29E1" w:rsidRPr="00917FFB">
        <w:t xml:space="preserve"> </w:t>
      </w:r>
      <w:r w:rsidR="00F9115D" w:rsidRPr="00917FFB">
        <w:t>is an</w:t>
      </w:r>
      <w:r w:rsidR="00CA29E1" w:rsidRPr="00917FFB">
        <w:t xml:space="preserve"> oral treatment alternative </w:t>
      </w:r>
      <w:r w:rsidR="003B629E" w:rsidRPr="00917FFB">
        <w:t>for</w:t>
      </w:r>
      <w:r w:rsidR="00CA29E1" w:rsidRPr="00917FFB">
        <w:t xml:space="preserve"> patients currently eligible for treatment with DUPI</w:t>
      </w:r>
      <w:r w:rsidR="009D6DDD" w:rsidRPr="00917FFB">
        <w:t xml:space="preserve">. </w:t>
      </w:r>
      <w:r w:rsidR="00C13AA5" w:rsidRPr="00917FFB">
        <w:t>Safety concerns limit the long-term use of other oral treatments (such as c</w:t>
      </w:r>
      <w:r w:rsidR="003B629E" w:rsidRPr="00917FFB">
        <w:t>i</w:t>
      </w:r>
      <w:r w:rsidR="00C13AA5" w:rsidRPr="00917FFB">
        <w:t>closporin</w:t>
      </w:r>
      <w:r w:rsidR="001D6569" w:rsidRPr="00917FFB">
        <w:t xml:space="preserve"> A (CsA)</w:t>
      </w:r>
      <w:r w:rsidR="00C13AA5" w:rsidRPr="00917FFB">
        <w:t>) in severe AD.</w:t>
      </w:r>
      <w:r w:rsidR="000628F6" w:rsidRPr="00917FFB">
        <w:t xml:space="preserve"> </w:t>
      </w:r>
      <w:r w:rsidR="00CA29E1" w:rsidRPr="00917FFB">
        <w:t>The PBAC also consider</w:t>
      </w:r>
      <w:r w:rsidR="00D90697" w:rsidRPr="00917FFB">
        <w:t>ed</w:t>
      </w:r>
      <w:r w:rsidR="00D26953" w:rsidRPr="00917FFB">
        <w:t xml:space="preserve"> the</w:t>
      </w:r>
      <w:r w:rsidR="00CA29E1" w:rsidRPr="00917FFB">
        <w:t xml:space="preserve"> PBS listing of upadacitinib, which is another JAK inhibitor and oral treatment, for severe AD at the July 2021 meeting. Prior to the PBS listing of DUPI, the PBAC had acknowledged the high-unmet need for treatments in moderate-to-severe AD (paragraph 6.50, DUPI PDS, July 2019).</w:t>
      </w:r>
      <w:r w:rsidR="00D010FC" w:rsidRPr="00917FFB">
        <w:t xml:space="preserve"> </w:t>
      </w:r>
      <w:r w:rsidR="00634DD0" w:rsidRPr="00917FFB">
        <w:t>Since</w:t>
      </w:r>
      <w:r w:rsidR="00946D79" w:rsidRPr="00917FFB">
        <w:t xml:space="preserve"> </w:t>
      </w:r>
      <w:r w:rsidR="00D010FC" w:rsidRPr="00917FFB">
        <w:t xml:space="preserve">PBS listing of DUPI for severe AD, there </w:t>
      </w:r>
      <w:r w:rsidR="00634DD0" w:rsidRPr="00917FFB">
        <w:t xml:space="preserve">may be </w:t>
      </w:r>
      <w:r w:rsidR="00D010FC" w:rsidRPr="00917FFB">
        <w:t>high</w:t>
      </w:r>
      <w:r w:rsidR="00717AA8" w:rsidRPr="00917FFB">
        <w:t xml:space="preserve">er </w:t>
      </w:r>
      <w:r w:rsidR="00D010FC" w:rsidRPr="00917FFB">
        <w:t>unmet</w:t>
      </w:r>
      <w:r w:rsidR="00634DD0" w:rsidRPr="00917FFB">
        <w:t xml:space="preserve"> need</w:t>
      </w:r>
      <w:r w:rsidR="00D010FC" w:rsidRPr="00917FFB">
        <w:t xml:space="preserve"> </w:t>
      </w:r>
      <w:r w:rsidR="00634DD0" w:rsidRPr="00917FFB">
        <w:t>for</w:t>
      </w:r>
      <w:r w:rsidR="00D010FC" w:rsidRPr="00917FFB">
        <w:t xml:space="preserve"> patients with moderate AD. </w:t>
      </w:r>
    </w:p>
    <w:p w:rsidR="008B1757" w:rsidRPr="002E1718" w:rsidRDefault="008B1757" w:rsidP="00DD1C36">
      <w:pPr>
        <w:pStyle w:val="TableFigureHeading"/>
        <w:rPr>
          <w:rStyle w:val="CommentReference"/>
          <w:b/>
          <w:szCs w:val="24"/>
        </w:rPr>
      </w:pPr>
      <w:r w:rsidRPr="00917FFB">
        <w:rPr>
          <w:rStyle w:val="CommentReference"/>
          <w:b/>
          <w:szCs w:val="24"/>
        </w:rPr>
        <w:t xml:space="preserve">Table </w:t>
      </w:r>
      <w:r w:rsidR="00CA29E1" w:rsidRPr="00917FFB">
        <w:rPr>
          <w:rStyle w:val="CommentReference"/>
          <w:b/>
          <w:szCs w:val="24"/>
        </w:rPr>
        <w:t>1</w:t>
      </w:r>
      <w:r w:rsidRPr="00917FFB">
        <w:rPr>
          <w:rStyle w:val="CommentReference"/>
          <w:b/>
          <w:szCs w:val="24"/>
        </w:rPr>
        <w:t>:</w:t>
      </w:r>
      <w:r w:rsidR="00BC591F" w:rsidRPr="00917FFB">
        <w:rPr>
          <w:rStyle w:val="CommentReference"/>
          <w:b/>
          <w:szCs w:val="24"/>
        </w:rPr>
        <w:t xml:space="preserve"> </w:t>
      </w:r>
      <w:r w:rsidRPr="00917FFB">
        <w:rPr>
          <w:rStyle w:val="CommentReference"/>
          <w:b/>
          <w:szCs w:val="24"/>
        </w:rPr>
        <w:t>Key components of the clinical issue addressed by the submission</w:t>
      </w:r>
      <w:r w:rsidR="007170DA" w:rsidRPr="00917FFB">
        <w:rPr>
          <w:rStyle w:val="CommentReference"/>
          <w:b/>
          <w:szCs w:val="24"/>
        </w:rPr>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CA29E1" w:rsidRPr="00917FFB" w:rsidTr="00EC5560">
        <w:tc>
          <w:tcPr>
            <w:tcW w:w="1668" w:type="dxa"/>
            <w:vAlign w:val="center"/>
          </w:tcPr>
          <w:p w:rsidR="00CA29E1" w:rsidRPr="002E1718" w:rsidRDefault="00CA29E1" w:rsidP="00DD1C36">
            <w:pPr>
              <w:pStyle w:val="In-tableHeading"/>
              <w:widowControl w:val="0"/>
              <w:rPr>
                <w:lang w:val="en-AU"/>
              </w:rPr>
            </w:pPr>
            <w:r w:rsidRPr="002E1718">
              <w:rPr>
                <w:lang w:val="en-AU"/>
              </w:rPr>
              <w:t>Component</w:t>
            </w:r>
          </w:p>
        </w:tc>
        <w:tc>
          <w:tcPr>
            <w:tcW w:w="7488" w:type="dxa"/>
            <w:vAlign w:val="center"/>
          </w:tcPr>
          <w:p w:rsidR="00CA29E1" w:rsidRPr="002E1718" w:rsidRDefault="00CA29E1" w:rsidP="00DD1C36">
            <w:pPr>
              <w:pStyle w:val="In-tableHeading"/>
              <w:widowControl w:val="0"/>
              <w:rPr>
                <w:lang w:val="en-AU"/>
              </w:rPr>
            </w:pPr>
            <w:r w:rsidRPr="002E1718">
              <w:rPr>
                <w:lang w:val="en-AU"/>
              </w:rPr>
              <w:t>Description</w:t>
            </w:r>
          </w:p>
        </w:tc>
      </w:tr>
      <w:tr w:rsidR="00CA29E1" w:rsidRPr="00917FFB" w:rsidTr="00EC5560">
        <w:tc>
          <w:tcPr>
            <w:tcW w:w="1668" w:type="dxa"/>
            <w:vAlign w:val="center"/>
          </w:tcPr>
          <w:p w:rsidR="00CA29E1" w:rsidRPr="00917FFB" w:rsidRDefault="00CA29E1" w:rsidP="00DD1C36">
            <w:pPr>
              <w:pStyle w:val="TableText0"/>
              <w:widowControl w:val="0"/>
            </w:pPr>
            <w:r w:rsidRPr="00917FFB">
              <w:t>Population</w:t>
            </w:r>
          </w:p>
        </w:tc>
        <w:tc>
          <w:tcPr>
            <w:tcW w:w="7488" w:type="dxa"/>
            <w:vAlign w:val="center"/>
          </w:tcPr>
          <w:p w:rsidR="00CA29E1" w:rsidRPr="00917FFB" w:rsidRDefault="009008CE" w:rsidP="00DD1C36">
            <w:pPr>
              <w:pStyle w:val="TableText0"/>
              <w:widowControl w:val="0"/>
            </w:pPr>
            <w:r w:rsidRPr="00917FFB">
              <w:t xml:space="preserve">Adults </w:t>
            </w:r>
            <w:r w:rsidR="00CA29E1" w:rsidRPr="00917FFB">
              <w:t>with severe AD in whom an adequate response has not been achieved with TCS.</w:t>
            </w:r>
          </w:p>
        </w:tc>
      </w:tr>
      <w:tr w:rsidR="00CA29E1" w:rsidRPr="00917FFB" w:rsidTr="00EC5560">
        <w:tc>
          <w:tcPr>
            <w:tcW w:w="1668" w:type="dxa"/>
            <w:vAlign w:val="center"/>
          </w:tcPr>
          <w:p w:rsidR="00CA29E1" w:rsidRPr="00917FFB" w:rsidRDefault="00CA29E1" w:rsidP="00DD1C36">
            <w:pPr>
              <w:pStyle w:val="TableText0"/>
              <w:widowControl w:val="0"/>
            </w:pPr>
            <w:r w:rsidRPr="00917FFB">
              <w:t>Intervention</w:t>
            </w:r>
          </w:p>
        </w:tc>
        <w:tc>
          <w:tcPr>
            <w:tcW w:w="7488" w:type="dxa"/>
            <w:vAlign w:val="center"/>
          </w:tcPr>
          <w:p w:rsidR="00CA29E1" w:rsidRPr="00917FFB" w:rsidRDefault="00CA29E1" w:rsidP="00DD1C36">
            <w:pPr>
              <w:pStyle w:val="TableText0"/>
              <w:widowControl w:val="0"/>
            </w:pPr>
            <w:r w:rsidRPr="00917FFB">
              <w:t>Baricitinib 2</w:t>
            </w:r>
            <w:r w:rsidR="003506FA" w:rsidRPr="00917FFB">
              <w:t xml:space="preserve"> </w:t>
            </w:r>
            <w:r w:rsidRPr="00917FFB">
              <w:t>mg or 4</w:t>
            </w:r>
            <w:r w:rsidR="003506FA" w:rsidRPr="00917FFB">
              <w:t xml:space="preserve"> </w:t>
            </w:r>
            <w:r w:rsidRPr="00917FFB">
              <w:t>mg tablet, orally once daily</w:t>
            </w:r>
          </w:p>
        </w:tc>
      </w:tr>
      <w:tr w:rsidR="00CA29E1" w:rsidRPr="00917FFB" w:rsidTr="00EC5560">
        <w:tc>
          <w:tcPr>
            <w:tcW w:w="1668" w:type="dxa"/>
            <w:vAlign w:val="center"/>
          </w:tcPr>
          <w:p w:rsidR="00CA29E1" w:rsidRPr="00917FFB" w:rsidRDefault="00CA29E1" w:rsidP="00DD1C36">
            <w:pPr>
              <w:pStyle w:val="TableText0"/>
              <w:widowControl w:val="0"/>
            </w:pPr>
            <w:r w:rsidRPr="00917FFB">
              <w:t>Comparator</w:t>
            </w:r>
          </w:p>
        </w:tc>
        <w:tc>
          <w:tcPr>
            <w:tcW w:w="7488" w:type="dxa"/>
            <w:vAlign w:val="center"/>
          </w:tcPr>
          <w:p w:rsidR="00CA29E1" w:rsidRPr="00917FFB" w:rsidRDefault="00CA29E1" w:rsidP="00DD1C36">
            <w:pPr>
              <w:pStyle w:val="TableText0"/>
              <w:widowControl w:val="0"/>
            </w:pPr>
            <w:r w:rsidRPr="00917FFB">
              <w:t>Dupilumab 600</w:t>
            </w:r>
            <w:r w:rsidR="001A7072" w:rsidRPr="00917FFB">
              <w:t xml:space="preserve"> </w:t>
            </w:r>
            <w:r w:rsidRPr="00917FFB">
              <w:t>mg subcutaneously as an initial dose, followed by 300</w:t>
            </w:r>
            <w:r w:rsidR="003506FA" w:rsidRPr="00917FFB">
              <w:t xml:space="preserve"> </w:t>
            </w:r>
            <w:r w:rsidRPr="00917FFB">
              <w:t>mg subcutaneously every two weeks.</w:t>
            </w:r>
          </w:p>
        </w:tc>
      </w:tr>
      <w:tr w:rsidR="00CA29E1" w:rsidRPr="00917FFB" w:rsidTr="00EC5560">
        <w:tc>
          <w:tcPr>
            <w:tcW w:w="1668" w:type="dxa"/>
            <w:vAlign w:val="center"/>
          </w:tcPr>
          <w:p w:rsidR="00CA29E1" w:rsidRPr="00917FFB" w:rsidRDefault="00CA29E1" w:rsidP="00DD1C36">
            <w:pPr>
              <w:pStyle w:val="TableText0"/>
              <w:widowControl w:val="0"/>
            </w:pPr>
            <w:r w:rsidRPr="00917FFB">
              <w:t>Outcomes</w:t>
            </w:r>
          </w:p>
        </w:tc>
        <w:tc>
          <w:tcPr>
            <w:tcW w:w="7488" w:type="dxa"/>
            <w:vAlign w:val="center"/>
          </w:tcPr>
          <w:p w:rsidR="009008CE" w:rsidRPr="00917FFB" w:rsidRDefault="00CA29E1" w:rsidP="00DD1C36">
            <w:pPr>
              <w:pStyle w:val="TableText0"/>
              <w:widowControl w:val="0"/>
            </w:pPr>
            <w:r w:rsidRPr="00917FFB">
              <w:t>Primary outcomes:</w:t>
            </w:r>
          </w:p>
          <w:p w:rsidR="00CA29E1" w:rsidRPr="00917FFB" w:rsidRDefault="00CA29E1" w:rsidP="00DD1C36">
            <w:pPr>
              <w:pStyle w:val="TableText0"/>
              <w:widowControl w:val="0"/>
            </w:pPr>
            <w:r w:rsidRPr="00917FFB">
              <w:t>Proportion of patients achieving IGA of 0 or 1 with a ≥ 2-point improvement at Week 16, proportion of patients achieving EASI75 at Week 16, proportion of patients achieving EASI50 at Week 16.</w:t>
            </w:r>
          </w:p>
          <w:p w:rsidR="00D44EE1" w:rsidRPr="00917FFB" w:rsidRDefault="00CA29E1" w:rsidP="00DD1C36">
            <w:pPr>
              <w:pStyle w:val="TableText0"/>
              <w:widowControl w:val="0"/>
            </w:pPr>
            <w:r w:rsidRPr="00917FFB">
              <w:t>Secondary outcomes:</w:t>
            </w:r>
          </w:p>
          <w:p w:rsidR="00CA29E1" w:rsidRPr="00917FFB" w:rsidRDefault="00D44EE1" w:rsidP="00DD1C36">
            <w:pPr>
              <w:pStyle w:val="TableText0"/>
              <w:widowControl w:val="0"/>
            </w:pPr>
            <w:r w:rsidRPr="00917FFB">
              <w:t>C</w:t>
            </w:r>
            <w:r w:rsidR="00CA29E1" w:rsidRPr="00917FFB">
              <w:t>hange in physician and patient reported AD severity scores, including EASI, SCORAD, DLQI, POEM, itch NRS.</w:t>
            </w:r>
          </w:p>
          <w:p w:rsidR="00D44EE1" w:rsidRPr="00917FFB" w:rsidRDefault="00CA29E1" w:rsidP="00DD1C36">
            <w:pPr>
              <w:pStyle w:val="TableText0"/>
              <w:widowControl w:val="0"/>
            </w:pPr>
            <w:r w:rsidRPr="00917FFB">
              <w:t>PBS response criteria (post-hoc outcome):</w:t>
            </w:r>
          </w:p>
          <w:p w:rsidR="00CA29E1" w:rsidRPr="00917FFB" w:rsidRDefault="00D44EE1" w:rsidP="00DD1C36">
            <w:pPr>
              <w:pStyle w:val="TableText0"/>
              <w:widowControl w:val="0"/>
            </w:pPr>
            <w:r w:rsidRPr="00917FFB">
              <w:t>C</w:t>
            </w:r>
            <w:r w:rsidR="00CA29E1" w:rsidRPr="00917FFB">
              <w:t>omposite measure of response EASI-50 and improvement in DLQI≥4 (at Week 16).</w:t>
            </w:r>
          </w:p>
        </w:tc>
      </w:tr>
      <w:tr w:rsidR="00CA29E1" w:rsidRPr="00917FFB" w:rsidTr="00EC5560">
        <w:tc>
          <w:tcPr>
            <w:tcW w:w="1668" w:type="dxa"/>
            <w:vAlign w:val="center"/>
          </w:tcPr>
          <w:p w:rsidR="00CA29E1" w:rsidRPr="00917FFB" w:rsidRDefault="00CA29E1" w:rsidP="00DD1C36">
            <w:pPr>
              <w:pStyle w:val="TableText0"/>
              <w:widowControl w:val="0"/>
            </w:pPr>
            <w:r w:rsidRPr="00917FFB">
              <w:t>Clinical claim</w:t>
            </w:r>
          </w:p>
        </w:tc>
        <w:tc>
          <w:tcPr>
            <w:tcW w:w="7488" w:type="dxa"/>
            <w:vAlign w:val="center"/>
          </w:tcPr>
          <w:p w:rsidR="00CA29E1" w:rsidRPr="00917FFB" w:rsidRDefault="00CA29E1" w:rsidP="00DD1C36">
            <w:pPr>
              <w:pStyle w:val="TableText0"/>
              <w:widowControl w:val="0"/>
            </w:pPr>
            <w:r w:rsidRPr="00917FFB">
              <w:t>Baricitinib is inferior to dupilumab in terms of efficacy, and non-inferior in terms of safety, in patients with severe AD for whom an adequate response has not been achieved with TCS.</w:t>
            </w:r>
          </w:p>
        </w:tc>
      </w:tr>
    </w:tbl>
    <w:p w:rsidR="00CA29E1" w:rsidRPr="00917FFB" w:rsidRDefault="00CA29E1" w:rsidP="00CA29E1">
      <w:pPr>
        <w:pStyle w:val="TableFigureFooter"/>
        <w:widowControl w:val="0"/>
      </w:pPr>
      <w:r w:rsidRPr="00917FFB">
        <w:t>Source: Table 1.1-1, p34 of the submission.</w:t>
      </w:r>
    </w:p>
    <w:p w:rsidR="00CA29E1" w:rsidRPr="00917FFB" w:rsidRDefault="00CA29E1" w:rsidP="00CA29E1">
      <w:pPr>
        <w:pStyle w:val="TableFigureFooter"/>
        <w:widowControl w:val="0"/>
      </w:pPr>
      <w:r w:rsidRPr="00917FFB">
        <w:t>Abbreviations: AD=atopic dermatitis; TCS=topical corticosteroids; IGA=investigator’s global assessment of the patient’s overall severity of their AD; EASI=Eczema Area and Severity Index; SCORAD=Scoring Atopic Dermatitis; DLQI=Dermatology Life Quality Index; POEM=Patient Oriented Eczema Measure; NRS=Numerical Rating Scale; EASI50/75=50/75% improvement in EASI score.</w:t>
      </w:r>
    </w:p>
    <w:p w:rsidR="005C25FF" w:rsidRPr="00917FFB" w:rsidRDefault="005C25FF" w:rsidP="004A6040">
      <w:pPr>
        <w:pStyle w:val="2-SectionHeading"/>
      </w:pPr>
      <w:bookmarkStart w:id="3" w:name="_Toc72320846"/>
      <w:r w:rsidRPr="00917FFB">
        <w:lastRenderedPageBreak/>
        <w:t>Background</w:t>
      </w:r>
      <w:bookmarkEnd w:id="3"/>
    </w:p>
    <w:p w:rsidR="005C25FF" w:rsidRPr="00917FFB" w:rsidRDefault="005C25FF" w:rsidP="004A6040">
      <w:pPr>
        <w:pStyle w:val="4-SubsectionHeading"/>
      </w:pPr>
      <w:bookmarkStart w:id="4" w:name="_Toc22897638"/>
      <w:bookmarkStart w:id="5" w:name="_Toc72320847"/>
      <w:r w:rsidRPr="00917FFB">
        <w:t>Registration status</w:t>
      </w:r>
      <w:bookmarkEnd w:id="4"/>
      <w:bookmarkEnd w:id="5"/>
    </w:p>
    <w:p w:rsidR="00D44EE1" w:rsidRPr="00917FFB" w:rsidRDefault="00CA29E1" w:rsidP="00CA29E1">
      <w:pPr>
        <w:pStyle w:val="3-BodyText"/>
      </w:pPr>
      <w:r w:rsidRPr="00917FFB">
        <w:t>BARI was approved by the TGA on 11th February 2021 for the following indication:</w:t>
      </w:r>
    </w:p>
    <w:p w:rsidR="00CA29E1" w:rsidRPr="00917FFB" w:rsidRDefault="00CA29E1" w:rsidP="00D44EE1">
      <w:pPr>
        <w:pStyle w:val="3-BodyText"/>
        <w:numPr>
          <w:ilvl w:val="0"/>
          <w:numId w:val="0"/>
        </w:numPr>
        <w:ind w:left="720"/>
      </w:pPr>
      <w:r w:rsidRPr="00917FFB">
        <w:t xml:space="preserve">“Olumiant® is indicated for the treatment of moderate to severe atopic dermatitis in </w:t>
      </w:r>
      <w:r w:rsidR="002A0E1F" w:rsidRPr="00917FFB">
        <w:t xml:space="preserve">adult </w:t>
      </w:r>
      <w:r w:rsidRPr="00917FFB">
        <w:t>patients who are candidates for systemic therapy.”</w:t>
      </w:r>
    </w:p>
    <w:p w:rsidR="009E0D35" w:rsidRPr="00917FFB" w:rsidRDefault="00D44EE1" w:rsidP="009E0D35">
      <w:pPr>
        <w:pStyle w:val="3-BodyText"/>
        <w:numPr>
          <w:ilvl w:val="0"/>
          <w:numId w:val="0"/>
        </w:numPr>
        <w:ind w:left="720"/>
      </w:pPr>
      <w:r w:rsidRPr="00917FFB">
        <w:t>The TGA indication is broader than the proposed PBS listing, given treatment is approved for moderate-to-severe disease but the requested PBS criteria would restrict treatment to patients with severe disease (see definition below).</w:t>
      </w:r>
    </w:p>
    <w:p w:rsidR="00FC0547" w:rsidRPr="00917FFB" w:rsidRDefault="00FC0547" w:rsidP="001D6569">
      <w:pPr>
        <w:pStyle w:val="4-SubsectionHeading"/>
      </w:pPr>
      <w:r w:rsidRPr="00917FFB">
        <w:t>Previous PBAC consideration</w:t>
      </w:r>
    </w:p>
    <w:p w:rsidR="00FC0547" w:rsidRPr="00917FFB" w:rsidRDefault="00FC0547" w:rsidP="00FC0547">
      <w:pPr>
        <w:pStyle w:val="3-BodyText"/>
      </w:pPr>
      <w:r w:rsidRPr="00917FFB">
        <w:t>This is the first submission to the PBAC for BARI for the requested indication. BARI is currently PBS listed for rheumatoid arthritis (recommended March 2018).</w:t>
      </w:r>
    </w:p>
    <w:p w:rsidR="009E0D35" w:rsidRPr="00917FFB" w:rsidRDefault="009E0D35" w:rsidP="009E0D35">
      <w:pPr>
        <w:pStyle w:val="3-BodyText"/>
        <w:numPr>
          <w:ilvl w:val="0"/>
          <w:numId w:val="0"/>
        </w:numPr>
        <w:ind w:left="720"/>
      </w:pPr>
      <w:r w:rsidRPr="00917FFB">
        <w:rPr>
          <w:i/>
          <w:iCs/>
        </w:rPr>
        <w:t xml:space="preserve">For more detail on PBAC’s view, see Section 7 PBAC Outcome. </w:t>
      </w:r>
    </w:p>
    <w:p w:rsidR="00B60939" w:rsidRPr="00917FFB" w:rsidRDefault="00B50DB8" w:rsidP="004E18E9">
      <w:pPr>
        <w:pStyle w:val="2-SectionHeading"/>
      </w:pPr>
      <w:bookmarkStart w:id="6" w:name="_Toc72320848"/>
      <w:r w:rsidRPr="00917FFB">
        <w:t>Requested listing</w:t>
      </w:r>
      <w:bookmarkEnd w:id="6"/>
    </w:p>
    <w:p w:rsidR="00B33EEF" w:rsidRPr="00917FFB" w:rsidRDefault="00B725C8" w:rsidP="00B33EEF">
      <w:pPr>
        <w:pStyle w:val="3-BodyText"/>
      </w:pPr>
      <w:r w:rsidRPr="00917FFB">
        <w:t>T</w:t>
      </w:r>
      <w:r w:rsidR="00450323" w:rsidRPr="00917FFB">
        <w:t>he sponsor’s requested restrictions are presented below</w:t>
      </w:r>
      <w:r w:rsidR="00B33EEF" w:rsidRPr="00917FFB">
        <w:t xml:space="preserve">. </w:t>
      </w:r>
    </w:p>
    <w:tbl>
      <w:tblPr>
        <w:tblW w:w="4984" w:type="pct"/>
        <w:tblInd w:w="28" w:type="dxa"/>
        <w:tblCellMar>
          <w:left w:w="28" w:type="dxa"/>
          <w:right w:w="28" w:type="dxa"/>
        </w:tblCellMar>
        <w:tblLook w:val="0000" w:firstRow="0" w:lastRow="0" w:firstColumn="0" w:lastColumn="0" w:noHBand="0" w:noVBand="0"/>
      </w:tblPr>
      <w:tblGrid>
        <w:gridCol w:w="2059"/>
        <w:gridCol w:w="1024"/>
        <w:gridCol w:w="992"/>
        <w:gridCol w:w="813"/>
        <w:gridCol w:w="768"/>
        <w:gridCol w:w="1384"/>
        <w:gridCol w:w="1958"/>
      </w:tblGrid>
      <w:tr w:rsidR="004D62C3" w:rsidRPr="00917FFB" w:rsidTr="00EC5560">
        <w:trPr>
          <w:trHeight w:val="463"/>
        </w:trPr>
        <w:tc>
          <w:tcPr>
            <w:tcW w:w="1713" w:type="pct"/>
            <w:gridSpan w:val="2"/>
            <w:tcBorders>
              <w:top w:val="single" w:sz="4" w:space="0" w:color="auto"/>
              <w:bottom w:val="single" w:sz="4" w:space="0" w:color="auto"/>
            </w:tcBorders>
            <w:vAlign w:val="center"/>
          </w:tcPr>
          <w:p w:rsidR="004D62C3" w:rsidRPr="00917FFB" w:rsidRDefault="004D62C3" w:rsidP="00450323">
            <w:pPr>
              <w:keepNext/>
              <w:keepLines/>
              <w:widowControl w:val="0"/>
              <w:jc w:val="left"/>
              <w:rPr>
                <w:rFonts w:ascii="Arial Narrow" w:hAnsi="Arial Narrow"/>
                <w:b/>
                <w:sz w:val="20"/>
                <w:szCs w:val="20"/>
              </w:rPr>
            </w:pPr>
            <w:r w:rsidRPr="00917FFB">
              <w:rPr>
                <w:rFonts w:ascii="Arial Narrow" w:hAnsi="Arial Narrow"/>
                <w:b/>
                <w:sz w:val="20"/>
                <w:szCs w:val="20"/>
              </w:rPr>
              <w:t>Name, Restriction,</w:t>
            </w:r>
          </w:p>
          <w:p w:rsidR="004D62C3" w:rsidRPr="00917FFB" w:rsidRDefault="004D62C3" w:rsidP="00450323">
            <w:pPr>
              <w:keepNext/>
              <w:keepLines/>
              <w:widowControl w:val="0"/>
              <w:jc w:val="left"/>
              <w:rPr>
                <w:rFonts w:ascii="Arial Narrow" w:hAnsi="Arial Narrow"/>
                <w:b/>
                <w:sz w:val="20"/>
                <w:szCs w:val="20"/>
              </w:rPr>
            </w:pPr>
            <w:r w:rsidRPr="00917FFB">
              <w:rPr>
                <w:rFonts w:ascii="Arial Narrow" w:hAnsi="Arial Narrow"/>
                <w:b/>
                <w:sz w:val="20"/>
                <w:szCs w:val="20"/>
              </w:rPr>
              <w:t>Manner of administration and form</w:t>
            </w:r>
          </w:p>
        </w:tc>
        <w:tc>
          <w:tcPr>
            <w:tcW w:w="551" w:type="pct"/>
            <w:tcBorders>
              <w:top w:val="single" w:sz="4" w:space="0" w:color="auto"/>
              <w:bottom w:val="single" w:sz="4" w:space="0" w:color="auto"/>
            </w:tcBorders>
            <w:vAlign w:val="center"/>
          </w:tcPr>
          <w:p w:rsidR="004D62C3" w:rsidRPr="00917FFB" w:rsidRDefault="004D62C3" w:rsidP="00450323">
            <w:pPr>
              <w:keepNext/>
              <w:keepLines/>
              <w:widowControl w:val="0"/>
              <w:jc w:val="center"/>
              <w:rPr>
                <w:rFonts w:ascii="Arial Narrow" w:hAnsi="Arial Narrow"/>
                <w:b/>
                <w:sz w:val="20"/>
                <w:szCs w:val="20"/>
              </w:rPr>
            </w:pPr>
            <w:r w:rsidRPr="00917FFB">
              <w:rPr>
                <w:rFonts w:ascii="Arial Narrow" w:hAnsi="Arial Narrow"/>
                <w:b/>
                <w:sz w:val="20"/>
                <w:szCs w:val="20"/>
              </w:rPr>
              <w:t>Maximum</w:t>
            </w:r>
          </w:p>
          <w:p w:rsidR="004D62C3" w:rsidRPr="00917FFB" w:rsidRDefault="004D62C3" w:rsidP="00450323">
            <w:pPr>
              <w:keepNext/>
              <w:keepLines/>
              <w:widowControl w:val="0"/>
              <w:jc w:val="center"/>
              <w:rPr>
                <w:rFonts w:ascii="Arial Narrow" w:hAnsi="Arial Narrow"/>
                <w:b/>
                <w:sz w:val="20"/>
                <w:szCs w:val="20"/>
              </w:rPr>
            </w:pPr>
            <w:r w:rsidRPr="00917FFB">
              <w:rPr>
                <w:rFonts w:ascii="Arial Narrow" w:hAnsi="Arial Narrow"/>
                <w:b/>
                <w:sz w:val="20"/>
                <w:szCs w:val="20"/>
              </w:rPr>
              <w:t>quantity (packs)</w:t>
            </w:r>
          </w:p>
        </w:tc>
        <w:tc>
          <w:tcPr>
            <w:tcW w:w="452" w:type="pct"/>
            <w:tcBorders>
              <w:top w:val="single" w:sz="4" w:space="0" w:color="auto"/>
              <w:bottom w:val="single" w:sz="4" w:space="0" w:color="auto"/>
            </w:tcBorders>
            <w:vAlign w:val="center"/>
          </w:tcPr>
          <w:p w:rsidR="004D62C3" w:rsidRPr="00917FFB" w:rsidRDefault="004D62C3" w:rsidP="00450323">
            <w:pPr>
              <w:keepNext/>
              <w:keepLines/>
              <w:widowControl w:val="0"/>
              <w:jc w:val="center"/>
              <w:rPr>
                <w:rFonts w:ascii="Arial Narrow" w:hAnsi="Arial Narrow"/>
                <w:b/>
                <w:sz w:val="20"/>
                <w:szCs w:val="20"/>
              </w:rPr>
            </w:pPr>
            <w:r w:rsidRPr="00917FFB">
              <w:rPr>
                <w:rFonts w:ascii="Arial Narrow" w:hAnsi="Arial Narrow"/>
                <w:b/>
                <w:sz w:val="20"/>
                <w:szCs w:val="20"/>
              </w:rPr>
              <w:t>Maximum</w:t>
            </w:r>
          </w:p>
          <w:p w:rsidR="004D62C3" w:rsidRPr="00917FFB" w:rsidRDefault="004D62C3" w:rsidP="00450323">
            <w:pPr>
              <w:keepNext/>
              <w:keepLines/>
              <w:widowControl w:val="0"/>
              <w:jc w:val="center"/>
              <w:rPr>
                <w:rFonts w:ascii="Arial Narrow" w:hAnsi="Arial Narrow" w:cs="Times New Roman"/>
                <w:b/>
                <w:sz w:val="20"/>
                <w:szCs w:val="20"/>
              </w:rPr>
            </w:pPr>
            <w:r w:rsidRPr="00917FFB">
              <w:rPr>
                <w:rFonts w:ascii="Arial Narrow" w:hAnsi="Arial Narrow"/>
                <w:b/>
                <w:sz w:val="20"/>
                <w:szCs w:val="20"/>
              </w:rPr>
              <w:t>quantity (units)</w:t>
            </w:r>
          </w:p>
        </w:tc>
        <w:tc>
          <w:tcPr>
            <w:tcW w:w="427" w:type="pct"/>
            <w:tcBorders>
              <w:top w:val="single" w:sz="4" w:space="0" w:color="auto"/>
              <w:bottom w:val="single" w:sz="4" w:space="0" w:color="auto"/>
            </w:tcBorders>
            <w:vAlign w:val="center"/>
          </w:tcPr>
          <w:p w:rsidR="004D62C3" w:rsidRPr="00917FFB" w:rsidRDefault="004D62C3" w:rsidP="00450323">
            <w:pPr>
              <w:keepNext/>
              <w:keepLines/>
              <w:widowControl w:val="0"/>
              <w:jc w:val="center"/>
              <w:rPr>
                <w:rFonts w:ascii="Arial Narrow" w:hAnsi="Arial Narrow"/>
                <w:b/>
                <w:sz w:val="20"/>
                <w:szCs w:val="20"/>
              </w:rPr>
            </w:pPr>
            <w:r w:rsidRPr="00917FFB">
              <w:rPr>
                <w:rFonts w:ascii="Arial Narrow" w:hAnsi="Arial Narrow" w:cs="Times New Roman"/>
                <w:b/>
                <w:sz w:val="20"/>
                <w:szCs w:val="20"/>
              </w:rPr>
              <w:t>№</w:t>
            </w:r>
            <w:r w:rsidRPr="00917FFB">
              <w:rPr>
                <w:rFonts w:ascii="Arial Narrow" w:hAnsi="Arial Narrow"/>
                <w:b/>
                <w:sz w:val="20"/>
                <w:szCs w:val="20"/>
              </w:rPr>
              <w:t>.of</w:t>
            </w:r>
          </w:p>
          <w:p w:rsidR="004D62C3" w:rsidRPr="00917FFB" w:rsidRDefault="004D62C3" w:rsidP="00450323">
            <w:pPr>
              <w:keepNext/>
              <w:keepLines/>
              <w:widowControl w:val="0"/>
              <w:jc w:val="center"/>
              <w:rPr>
                <w:rFonts w:ascii="Arial Narrow" w:hAnsi="Arial Narrow"/>
                <w:b/>
                <w:sz w:val="20"/>
                <w:szCs w:val="20"/>
              </w:rPr>
            </w:pPr>
            <w:r w:rsidRPr="00917FFB">
              <w:rPr>
                <w:rFonts w:ascii="Arial Narrow" w:hAnsi="Arial Narrow"/>
                <w:b/>
                <w:sz w:val="20"/>
                <w:szCs w:val="20"/>
              </w:rPr>
              <w:t>Rpts</w:t>
            </w:r>
          </w:p>
        </w:tc>
        <w:tc>
          <w:tcPr>
            <w:tcW w:w="769" w:type="pct"/>
            <w:tcBorders>
              <w:top w:val="single" w:sz="4" w:space="0" w:color="auto"/>
              <w:bottom w:val="single" w:sz="4" w:space="0" w:color="auto"/>
            </w:tcBorders>
            <w:vAlign w:val="center"/>
          </w:tcPr>
          <w:p w:rsidR="004D62C3" w:rsidRPr="00917FFB" w:rsidRDefault="004D62C3" w:rsidP="00450323">
            <w:pPr>
              <w:keepNext/>
              <w:keepLines/>
              <w:widowControl w:val="0"/>
              <w:jc w:val="center"/>
              <w:rPr>
                <w:rFonts w:ascii="Arial Narrow" w:hAnsi="Arial Narrow"/>
                <w:b/>
                <w:sz w:val="20"/>
                <w:szCs w:val="20"/>
              </w:rPr>
            </w:pPr>
            <w:r w:rsidRPr="00917FFB">
              <w:rPr>
                <w:rFonts w:ascii="Arial Narrow" w:hAnsi="Arial Narrow"/>
                <w:b/>
                <w:sz w:val="20"/>
                <w:szCs w:val="20"/>
              </w:rPr>
              <w:t>Dispensed price for maximum quantity (DPMQ)</w:t>
            </w:r>
          </w:p>
        </w:tc>
        <w:tc>
          <w:tcPr>
            <w:tcW w:w="1088" w:type="pct"/>
            <w:tcBorders>
              <w:top w:val="single" w:sz="4" w:space="0" w:color="auto"/>
              <w:bottom w:val="single" w:sz="4" w:space="0" w:color="auto"/>
            </w:tcBorders>
            <w:vAlign w:val="center"/>
          </w:tcPr>
          <w:p w:rsidR="004D62C3" w:rsidRPr="002E1718" w:rsidRDefault="004D62C3" w:rsidP="00450323">
            <w:pPr>
              <w:keepNext/>
              <w:keepLines/>
              <w:widowControl w:val="0"/>
              <w:jc w:val="center"/>
              <w:rPr>
                <w:rFonts w:ascii="Arial Narrow" w:hAnsi="Arial Narrow"/>
                <w:b/>
                <w:sz w:val="20"/>
                <w:szCs w:val="20"/>
              </w:rPr>
            </w:pPr>
            <w:r w:rsidRPr="00917FFB">
              <w:rPr>
                <w:rFonts w:ascii="Arial Narrow" w:hAnsi="Arial Narrow"/>
                <w:b/>
                <w:sz w:val="20"/>
                <w:szCs w:val="20"/>
              </w:rPr>
              <w:t>Proprietary Name and Manufacturer</w:t>
            </w:r>
          </w:p>
        </w:tc>
      </w:tr>
      <w:tr w:rsidR="004D62C3" w:rsidRPr="00917FFB" w:rsidTr="00EC5560">
        <w:trPr>
          <w:trHeight w:val="79"/>
        </w:trPr>
        <w:tc>
          <w:tcPr>
            <w:tcW w:w="1713" w:type="pct"/>
            <w:gridSpan w:val="2"/>
            <w:vAlign w:val="center"/>
          </w:tcPr>
          <w:p w:rsidR="004D62C3" w:rsidRPr="00917FFB" w:rsidRDefault="004D62C3" w:rsidP="00450323">
            <w:pPr>
              <w:pStyle w:val="Tabletext"/>
              <w:keepNext/>
              <w:keepLines/>
              <w:rPr>
                <w:smallCaps/>
                <w:szCs w:val="20"/>
              </w:rPr>
            </w:pPr>
            <w:r w:rsidRPr="00917FFB">
              <w:rPr>
                <w:smallCaps/>
                <w:szCs w:val="20"/>
              </w:rPr>
              <w:t>Baricitinib</w:t>
            </w:r>
          </w:p>
          <w:p w:rsidR="004D62C3" w:rsidRPr="00917FFB" w:rsidRDefault="004D62C3" w:rsidP="00450323">
            <w:pPr>
              <w:keepNext/>
              <w:keepLines/>
              <w:widowControl w:val="0"/>
              <w:jc w:val="left"/>
              <w:rPr>
                <w:rFonts w:ascii="Arial Narrow" w:hAnsi="Arial Narrow"/>
                <w:sz w:val="20"/>
                <w:szCs w:val="20"/>
              </w:rPr>
            </w:pPr>
            <w:r w:rsidRPr="00917FFB">
              <w:rPr>
                <w:rFonts w:ascii="Arial Narrow" w:hAnsi="Arial Narrow"/>
                <w:b/>
                <w:bCs/>
                <w:sz w:val="20"/>
                <w:szCs w:val="20"/>
              </w:rPr>
              <w:t>Initial 1</w:t>
            </w:r>
          </w:p>
        </w:tc>
        <w:tc>
          <w:tcPr>
            <w:tcW w:w="551" w:type="pct"/>
            <w:vAlign w:val="center"/>
          </w:tcPr>
          <w:p w:rsidR="004D62C3" w:rsidRPr="00917FFB" w:rsidRDefault="004D62C3" w:rsidP="00450323">
            <w:pPr>
              <w:keepNext/>
              <w:keepLines/>
              <w:widowControl w:val="0"/>
              <w:jc w:val="center"/>
              <w:rPr>
                <w:rFonts w:ascii="Arial Narrow" w:hAnsi="Arial Narrow"/>
                <w:sz w:val="20"/>
                <w:szCs w:val="20"/>
              </w:rPr>
            </w:pPr>
          </w:p>
        </w:tc>
        <w:tc>
          <w:tcPr>
            <w:tcW w:w="452" w:type="pct"/>
            <w:vAlign w:val="center"/>
          </w:tcPr>
          <w:p w:rsidR="004D62C3" w:rsidRPr="00917FFB" w:rsidRDefault="004D62C3" w:rsidP="00450323">
            <w:pPr>
              <w:keepNext/>
              <w:keepLines/>
              <w:widowControl w:val="0"/>
              <w:jc w:val="center"/>
              <w:rPr>
                <w:rFonts w:ascii="Arial Narrow" w:hAnsi="Arial Narrow"/>
                <w:sz w:val="20"/>
                <w:szCs w:val="20"/>
              </w:rPr>
            </w:pPr>
          </w:p>
        </w:tc>
        <w:tc>
          <w:tcPr>
            <w:tcW w:w="427" w:type="pct"/>
            <w:vAlign w:val="center"/>
          </w:tcPr>
          <w:p w:rsidR="004D62C3" w:rsidRPr="00917FFB" w:rsidRDefault="004D62C3" w:rsidP="00450323">
            <w:pPr>
              <w:keepNext/>
              <w:keepLines/>
              <w:widowControl w:val="0"/>
              <w:jc w:val="center"/>
              <w:rPr>
                <w:rFonts w:ascii="Arial Narrow" w:hAnsi="Arial Narrow"/>
                <w:sz w:val="20"/>
                <w:szCs w:val="20"/>
              </w:rPr>
            </w:pPr>
          </w:p>
        </w:tc>
        <w:tc>
          <w:tcPr>
            <w:tcW w:w="769" w:type="pct"/>
            <w:vMerge w:val="restart"/>
            <w:vAlign w:val="center"/>
          </w:tcPr>
          <w:p w:rsidR="004D62C3" w:rsidRPr="00917FFB" w:rsidRDefault="004D62C3" w:rsidP="00450323">
            <w:pPr>
              <w:pStyle w:val="Tabletext"/>
              <w:keepNext/>
              <w:keepLines/>
              <w:jc w:val="center"/>
              <w:rPr>
                <w:szCs w:val="20"/>
              </w:rPr>
            </w:pPr>
            <w:r w:rsidRPr="00917FFB">
              <w:rPr>
                <w:szCs w:val="20"/>
              </w:rPr>
              <w:t>$</w:t>
            </w:r>
            <w:r w:rsidR="00B1613E">
              <w:rPr>
                <w:noProof/>
                <w:color w:val="000000"/>
                <w:szCs w:val="20"/>
                <w:highlight w:val="black"/>
              </w:rPr>
              <w:t>'''''''''''''''''''''</w:t>
            </w:r>
          </w:p>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(published price</w:t>
            </w:r>
            <w:r w:rsidRPr="00917FFB">
              <w:rPr>
                <w:rFonts w:ascii="Arial Narrow" w:hAnsi="Arial Narrow"/>
                <w:sz w:val="20"/>
                <w:szCs w:val="20"/>
                <w:vertAlign w:val="superscript"/>
              </w:rPr>
              <w:t>*</w:t>
            </w:r>
            <w:r w:rsidRPr="00917FFB">
              <w:rPr>
                <w:rFonts w:ascii="Arial Narrow" w:hAnsi="Arial Narrow"/>
                <w:sz w:val="20"/>
                <w:szCs w:val="20"/>
              </w:rPr>
              <w:t>)</w:t>
            </w:r>
          </w:p>
        </w:tc>
        <w:tc>
          <w:tcPr>
            <w:tcW w:w="1088" w:type="pct"/>
            <w:vMerge w:val="restart"/>
            <w:vAlign w:val="center"/>
          </w:tcPr>
          <w:p w:rsidR="004D62C3" w:rsidRPr="00917FFB" w:rsidRDefault="004D62C3" w:rsidP="00450323">
            <w:pPr>
              <w:pStyle w:val="Tabletext"/>
              <w:keepNext/>
              <w:keepLines/>
              <w:jc w:val="center"/>
              <w:rPr>
                <w:szCs w:val="20"/>
              </w:rPr>
            </w:pPr>
            <w:r w:rsidRPr="00917FFB">
              <w:rPr>
                <w:szCs w:val="20"/>
              </w:rPr>
              <w:t>Olumiant®</w:t>
            </w:r>
          </w:p>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Eli Lily Australia Pty Limited</w:t>
            </w:r>
          </w:p>
        </w:tc>
      </w:tr>
      <w:tr w:rsidR="004D62C3" w:rsidRPr="00917FFB" w:rsidTr="00EC5560">
        <w:trPr>
          <w:trHeight w:val="135"/>
        </w:trPr>
        <w:tc>
          <w:tcPr>
            <w:tcW w:w="1713" w:type="pct"/>
            <w:gridSpan w:val="2"/>
            <w:vAlign w:val="center"/>
          </w:tcPr>
          <w:p w:rsidR="004D62C3" w:rsidRPr="00917FFB" w:rsidRDefault="004D62C3" w:rsidP="00450323">
            <w:pPr>
              <w:keepNext/>
              <w:keepLines/>
              <w:widowControl w:val="0"/>
              <w:jc w:val="left"/>
              <w:rPr>
                <w:rFonts w:ascii="Arial Narrow" w:hAnsi="Arial Narrow"/>
                <w:sz w:val="20"/>
                <w:szCs w:val="20"/>
              </w:rPr>
            </w:pPr>
            <w:r w:rsidRPr="00917FFB">
              <w:rPr>
                <w:rFonts w:ascii="Arial Narrow" w:hAnsi="Arial Narrow"/>
                <w:sz w:val="20"/>
                <w:szCs w:val="20"/>
              </w:rPr>
              <w:t>2mg tablet, 28</w:t>
            </w:r>
          </w:p>
        </w:tc>
        <w:tc>
          <w:tcPr>
            <w:tcW w:w="551"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1</w:t>
            </w:r>
          </w:p>
        </w:tc>
        <w:tc>
          <w:tcPr>
            <w:tcW w:w="452"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28</w:t>
            </w:r>
          </w:p>
        </w:tc>
        <w:tc>
          <w:tcPr>
            <w:tcW w:w="427"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4</w:t>
            </w:r>
          </w:p>
        </w:tc>
        <w:tc>
          <w:tcPr>
            <w:tcW w:w="769" w:type="pct"/>
            <w:vMerge/>
            <w:vAlign w:val="center"/>
          </w:tcPr>
          <w:p w:rsidR="004D62C3" w:rsidRPr="00917FFB" w:rsidRDefault="004D62C3" w:rsidP="00450323">
            <w:pPr>
              <w:keepNext/>
              <w:keepLines/>
              <w:widowControl w:val="0"/>
              <w:jc w:val="center"/>
              <w:rPr>
                <w:rFonts w:ascii="Arial Narrow" w:hAnsi="Arial Narrow"/>
                <w:sz w:val="20"/>
              </w:rPr>
            </w:pPr>
          </w:p>
        </w:tc>
        <w:tc>
          <w:tcPr>
            <w:tcW w:w="1088" w:type="pct"/>
            <w:vMerge/>
            <w:vAlign w:val="center"/>
          </w:tcPr>
          <w:p w:rsidR="004D62C3" w:rsidRPr="00917FFB" w:rsidRDefault="004D62C3" w:rsidP="00450323">
            <w:pPr>
              <w:keepNext/>
              <w:keepLines/>
              <w:widowControl w:val="0"/>
              <w:jc w:val="center"/>
              <w:rPr>
                <w:rFonts w:ascii="Arial Narrow" w:hAnsi="Arial Narrow"/>
                <w:sz w:val="20"/>
              </w:rPr>
            </w:pPr>
          </w:p>
        </w:tc>
      </w:tr>
      <w:tr w:rsidR="004D62C3" w:rsidRPr="00917FFB" w:rsidTr="00EC5560">
        <w:trPr>
          <w:trHeight w:val="70"/>
        </w:trPr>
        <w:tc>
          <w:tcPr>
            <w:tcW w:w="1713" w:type="pct"/>
            <w:gridSpan w:val="2"/>
            <w:vAlign w:val="center"/>
          </w:tcPr>
          <w:p w:rsidR="004D62C3" w:rsidRPr="00917FFB" w:rsidRDefault="004D62C3" w:rsidP="00450323">
            <w:pPr>
              <w:keepNext/>
              <w:keepLines/>
              <w:widowControl w:val="0"/>
              <w:jc w:val="left"/>
              <w:rPr>
                <w:rFonts w:ascii="Arial Narrow" w:hAnsi="Arial Narrow"/>
                <w:sz w:val="20"/>
                <w:szCs w:val="20"/>
              </w:rPr>
            </w:pPr>
            <w:r w:rsidRPr="00917FFB">
              <w:rPr>
                <w:rFonts w:ascii="Arial Narrow" w:hAnsi="Arial Narrow"/>
                <w:b/>
                <w:bCs/>
                <w:sz w:val="20"/>
                <w:szCs w:val="20"/>
              </w:rPr>
              <w:t>Initial 2 – balance of supply</w:t>
            </w:r>
          </w:p>
        </w:tc>
        <w:tc>
          <w:tcPr>
            <w:tcW w:w="551" w:type="pct"/>
            <w:vAlign w:val="center"/>
          </w:tcPr>
          <w:p w:rsidR="004D62C3" w:rsidRPr="00917FFB" w:rsidRDefault="004D62C3" w:rsidP="00450323">
            <w:pPr>
              <w:keepNext/>
              <w:keepLines/>
              <w:widowControl w:val="0"/>
              <w:jc w:val="center"/>
              <w:rPr>
                <w:rFonts w:ascii="Arial Narrow" w:hAnsi="Arial Narrow"/>
                <w:sz w:val="20"/>
                <w:szCs w:val="20"/>
              </w:rPr>
            </w:pPr>
          </w:p>
        </w:tc>
        <w:tc>
          <w:tcPr>
            <w:tcW w:w="452" w:type="pct"/>
            <w:vAlign w:val="center"/>
          </w:tcPr>
          <w:p w:rsidR="004D62C3" w:rsidRPr="00917FFB" w:rsidRDefault="004D62C3" w:rsidP="00450323">
            <w:pPr>
              <w:keepNext/>
              <w:keepLines/>
              <w:widowControl w:val="0"/>
              <w:jc w:val="center"/>
              <w:rPr>
                <w:rFonts w:ascii="Arial Narrow" w:hAnsi="Arial Narrow"/>
                <w:sz w:val="20"/>
                <w:szCs w:val="20"/>
              </w:rPr>
            </w:pPr>
          </w:p>
        </w:tc>
        <w:tc>
          <w:tcPr>
            <w:tcW w:w="427" w:type="pct"/>
            <w:vAlign w:val="center"/>
          </w:tcPr>
          <w:p w:rsidR="004D62C3" w:rsidRPr="00917FFB" w:rsidRDefault="004D62C3" w:rsidP="00450323">
            <w:pPr>
              <w:keepNext/>
              <w:keepLines/>
              <w:widowControl w:val="0"/>
              <w:jc w:val="center"/>
              <w:rPr>
                <w:rFonts w:ascii="Arial Narrow" w:hAnsi="Arial Narrow"/>
                <w:sz w:val="20"/>
                <w:szCs w:val="20"/>
              </w:rPr>
            </w:pPr>
          </w:p>
        </w:tc>
        <w:tc>
          <w:tcPr>
            <w:tcW w:w="769" w:type="pct"/>
            <w:vMerge/>
            <w:vAlign w:val="center"/>
          </w:tcPr>
          <w:p w:rsidR="004D62C3" w:rsidRPr="00917FFB" w:rsidRDefault="004D62C3" w:rsidP="00450323">
            <w:pPr>
              <w:keepNext/>
              <w:keepLines/>
              <w:widowControl w:val="0"/>
              <w:jc w:val="center"/>
              <w:rPr>
                <w:rFonts w:ascii="Arial Narrow" w:hAnsi="Arial Narrow"/>
                <w:sz w:val="20"/>
              </w:rPr>
            </w:pPr>
          </w:p>
        </w:tc>
        <w:tc>
          <w:tcPr>
            <w:tcW w:w="1088" w:type="pct"/>
            <w:vMerge/>
            <w:vAlign w:val="center"/>
          </w:tcPr>
          <w:p w:rsidR="004D62C3" w:rsidRPr="00917FFB" w:rsidRDefault="004D62C3" w:rsidP="00450323">
            <w:pPr>
              <w:keepNext/>
              <w:keepLines/>
              <w:widowControl w:val="0"/>
              <w:jc w:val="center"/>
              <w:rPr>
                <w:rFonts w:ascii="Arial Narrow" w:hAnsi="Arial Narrow"/>
                <w:sz w:val="20"/>
              </w:rPr>
            </w:pPr>
          </w:p>
        </w:tc>
      </w:tr>
      <w:tr w:rsidR="004D62C3" w:rsidRPr="00917FFB" w:rsidTr="00EC5560">
        <w:trPr>
          <w:trHeight w:val="77"/>
        </w:trPr>
        <w:tc>
          <w:tcPr>
            <w:tcW w:w="1713" w:type="pct"/>
            <w:gridSpan w:val="2"/>
            <w:vAlign w:val="center"/>
          </w:tcPr>
          <w:p w:rsidR="004D62C3" w:rsidRPr="00917FFB" w:rsidRDefault="004D62C3" w:rsidP="00450323">
            <w:pPr>
              <w:keepNext/>
              <w:keepLines/>
              <w:widowControl w:val="0"/>
              <w:jc w:val="left"/>
              <w:rPr>
                <w:rFonts w:ascii="Arial Narrow" w:hAnsi="Arial Narrow"/>
                <w:sz w:val="20"/>
                <w:szCs w:val="20"/>
              </w:rPr>
            </w:pPr>
            <w:r w:rsidRPr="00917FFB">
              <w:rPr>
                <w:rFonts w:ascii="Arial Narrow" w:hAnsi="Arial Narrow"/>
                <w:sz w:val="20"/>
                <w:szCs w:val="20"/>
              </w:rPr>
              <w:t>4mg tablet, 28</w:t>
            </w:r>
          </w:p>
        </w:tc>
        <w:tc>
          <w:tcPr>
            <w:tcW w:w="551"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1</w:t>
            </w:r>
          </w:p>
        </w:tc>
        <w:tc>
          <w:tcPr>
            <w:tcW w:w="452"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28</w:t>
            </w:r>
          </w:p>
        </w:tc>
        <w:tc>
          <w:tcPr>
            <w:tcW w:w="427"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3</w:t>
            </w:r>
          </w:p>
        </w:tc>
        <w:tc>
          <w:tcPr>
            <w:tcW w:w="769" w:type="pct"/>
            <w:vMerge/>
            <w:vAlign w:val="center"/>
          </w:tcPr>
          <w:p w:rsidR="004D62C3" w:rsidRPr="00917FFB" w:rsidRDefault="004D62C3" w:rsidP="00450323">
            <w:pPr>
              <w:keepNext/>
              <w:keepLines/>
              <w:widowControl w:val="0"/>
              <w:jc w:val="center"/>
              <w:rPr>
                <w:rFonts w:ascii="Arial Narrow" w:hAnsi="Arial Narrow"/>
                <w:sz w:val="20"/>
              </w:rPr>
            </w:pPr>
          </w:p>
        </w:tc>
        <w:tc>
          <w:tcPr>
            <w:tcW w:w="1088" w:type="pct"/>
            <w:vMerge/>
            <w:vAlign w:val="center"/>
          </w:tcPr>
          <w:p w:rsidR="004D62C3" w:rsidRPr="00917FFB" w:rsidRDefault="004D62C3" w:rsidP="00450323">
            <w:pPr>
              <w:keepNext/>
              <w:keepLines/>
              <w:widowControl w:val="0"/>
              <w:jc w:val="center"/>
              <w:rPr>
                <w:rFonts w:ascii="Arial Narrow" w:hAnsi="Arial Narrow"/>
                <w:sz w:val="20"/>
              </w:rPr>
            </w:pPr>
          </w:p>
        </w:tc>
      </w:tr>
      <w:tr w:rsidR="004D62C3" w:rsidRPr="00917FFB" w:rsidTr="00EC5560">
        <w:trPr>
          <w:trHeight w:val="77"/>
        </w:trPr>
        <w:tc>
          <w:tcPr>
            <w:tcW w:w="1713" w:type="pct"/>
            <w:gridSpan w:val="2"/>
            <w:vAlign w:val="center"/>
          </w:tcPr>
          <w:p w:rsidR="004D62C3" w:rsidRPr="00917FFB" w:rsidRDefault="004D62C3" w:rsidP="00450323">
            <w:pPr>
              <w:keepNext/>
              <w:keepLines/>
              <w:widowControl w:val="0"/>
              <w:jc w:val="left"/>
              <w:rPr>
                <w:rFonts w:ascii="Arial Narrow" w:hAnsi="Arial Narrow"/>
                <w:sz w:val="20"/>
                <w:szCs w:val="20"/>
                <w:u w:val="single"/>
              </w:rPr>
            </w:pPr>
            <w:r w:rsidRPr="00917FFB">
              <w:rPr>
                <w:rFonts w:ascii="Arial Narrow" w:hAnsi="Arial Narrow"/>
                <w:b/>
                <w:bCs/>
                <w:sz w:val="20"/>
                <w:szCs w:val="20"/>
              </w:rPr>
              <w:t>Continuing 1</w:t>
            </w:r>
          </w:p>
        </w:tc>
        <w:tc>
          <w:tcPr>
            <w:tcW w:w="551" w:type="pct"/>
            <w:vAlign w:val="center"/>
          </w:tcPr>
          <w:p w:rsidR="004D62C3" w:rsidRPr="00917FFB" w:rsidRDefault="004D62C3" w:rsidP="00450323">
            <w:pPr>
              <w:keepNext/>
              <w:keepLines/>
              <w:widowControl w:val="0"/>
              <w:jc w:val="center"/>
              <w:rPr>
                <w:rFonts w:ascii="Arial Narrow" w:hAnsi="Arial Narrow"/>
                <w:sz w:val="20"/>
                <w:szCs w:val="20"/>
              </w:rPr>
            </w:pPr>
          </w:p>
        </w:tc>
        <w:tc>
          <w:tcPr>
            <w:tcW w:w="452" w:type="pct"/>
            <w:vAlign w:val="center"/>
          </w:tcPr>
          <w:p w:rsidR="004D62C3" w:rsidRPr="00917FFB" w:rsidRDefault="004D62C3" w:rsidP="00450323">
            <w:pPr>
              <w:keepNext/>
              <w:keepLines/>
              <w:widowControl w:val="0"/>
              <w:jc w:val="center"/>
              <w:rPr>
                <w:rFonts w:ascii="Arial Narrow" w:hAnsi="Arial Narrow"/>
                <w:sz w:val="20"/>
                <w:szCs w:val="20"/>
              </w:rPr>
            </w:pPr>
          </w:p>
        </w:tc>
        <w:tc>
          <w:tcPr>
            <w:tcW w:w="427" w:type="pct"/>
            <w:vAlign w:val="center"/>
          </w:tcPr>
          <w:p w:rsidR="004D62C3" w:rsidRPr="00917FFB" w:rsidRDefault="004D62C3" w:rsidP="00450323">
            <w:pPr>
              <w:keepNext/>
              <w:keepLines/>
              <w:widowControl w:val="0"/>
              <w:jc w:val="center"/>
              <w:rPr>
                <w:rFonts w:ascii="Arial Narrow" w:hAnsi="Arial Narrow"/>
                <w:sz w:val="20"/>
                <w:szCs w:val="20"/>
              </w:rPr>
            </w:pPr>
          </w:p>
        </w:tc>
        <w:tc>
          <w:tcPr>
            <w:tcW w:w="769" w:type="pct"/>
            <w:vMerge/>
            <w:vAlign w:val="center"/>
          </w:tcPr>
          <w:p w:rsidR="004D62C3" w:rsidRPr="00917FFB" w:rsidRDefault="004D62C3" w:rsidP="00450323">
            <w:pPr>
              <w:keepNext/>
              <w:keepLines/>
              <w:widowControl w:val="0"/>
              <w:jc w:val="center"/>
              <w:rPr>
                <w:rFonts w:ascii="Arial Narrow" w:hAnsi="Arial Narrow"/>
                <w:sz w:val="20"/>
              </w:rPr>
            </w:pPr>
          </w:p>
        </w:tc>
        <w:tc>
          <w:tcPr>
            <w:tcW w:w="1088" w:type="pct"/>
            <w:vMerge/>
            <w:vAlign w:val="center"/>
          </w:tcPr>
          <w:p w:rsidR="004D62C3" w:rsidRPr="00917FFB" w:rsidRDefault="004D62C3" w:rsidP="00450323">
            <w:pPr>
              <w:keepNext/>
              <w:keepLines/>
              <w:widowControl w:val="0"/>
              <w:jc w:val="center"/>
              <w:rPr>
                <w:rFonts w:ascii="Arial Narrow" w:hAnsi="Arial Narrow"/>
                <w:sz w:val="20"/>
              </w:rPr>
            </w:pPr>
          </w:p>
        </w:tc>
      </w:tr>
      <w:tr w:rsidR="004D62C3" w:rsidRPr="00917FFB" w:rsidTr="00EC5560">
        <w:trPr>
          <w:trHeight w:val="77"/>
        </w:trPr>
        <w:tc>
          <w:tcPr>
            <w:tcW w:w="1713" w:type="pct"/>
            <w:gridSpan w:val="2"/>
            <w:vAlign w:val="center"/>
          </w:tcPr>
          <w:p w:rsidR="004D62C3" w:rsidRPr="00917FFB" w:rsidRDefault="004D62C3" w:rsidP="00450323">
            <w:pPr>
              <w:keepNext/>
              <w:keepLines/>
              <w:widowControl w:val="0"/>
              <w:jc w:val="left"/>
              <w:rPr>
                <w:rFonts w:ascii="Arial Narrow" w:hAnsi="Arial Narrow"/>
                <w:sz w:val="20"/>
                <w:szCs w:val="20"/>
                <w:u w:val="single"/>
              </w:rPr>
            </w:pPr>
            <w:r w:rsidRPr="00917FFB">
              <w:rPr>
                <w:rFonts w:ascii="Arial Narrow" w:hAnsi="Arial Narrow"/>
                <w:sz w:val="20"/>
                <w:szCs w:val="20"/>
              </w:rPr>
              <w:t>2mg tablet, 28</w:t>
            </w:r>
          </w:p>
        </w:tc>
        <w:tc>
          <w:tcPr>
            <w:tcW w:w="551"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1</w:t>
            </w:r>
          </w:p>
        </w:tc>
        <w:tc>
          <w:tcPr>
            <w:tcW w:w="452"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28</w:t>
            </w:r>
          </w:p>
        </w:tc>
        <w:tc>
          <w:tcPr>
            <w:tcW w:w="427"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5</w:t>
            </w:r>
          </w:p>
        </w:tc>
        <w:tc>
          <w:tcPr>
            <w:tcW w:w="769" w:type="pct"/>
            <w:vMerge/>
            <w:vAlign w:val="center"/>
          </w:tcPr>
          <w:p w:rsidR="004D62C3" w:rsidRPr="00917FFB" w:rsidRDefault="004D62C3" w:rsidP="00450323">
            <w:pPr>
              <w:keepNext/>
              <w:keepLines/>
              <w:widowControl w:val="0"/>
              <w:jc w:val="center"/>
              <w:rPr>
                <w:rFonts w:ascii="Arial Narrow" w:hAnsi="Arial Narrow"/>
                <w:sz w:val="20"/>
              </w:rPr>
            </w:pPr>
          </w:p>
        </w:tc>
        <w:tc>
          <w:tcPr>
            <w:tcW w:w="1088" w:type="pct"/>
            <w:vMerge/>
            <w:vAlign w:val="center"/>
          </w:tcPr>
          <w:p w:rsidR="004D62C3" w:rsidRPr="00917FFB" w:rsidRDefault="004D62C3" w:rsidP="00450323">
            <w:pPr>
              <w:keepNext/>
              <w:keepLines/>
              <w:widowControl w:val="0"/>
              <w:jc w:val="center"/>
              <w:rPr>
                <w:rFonts w:ascii="Arial Narrow" w:hAnsi="Arial Narrow"/>
                <w:sz w:val="20"/>
              </w:rPr>
            </w:pPr>
          </w:p>
        </w:tc>
      </w:tr>
      <w:tr w:rsidR="004D62C3" w:rsidRPr="00917FFB" w:rsidTr="00EC5560">
        <w:trPr>
          <w:trHeight w:val="77"/>
        </w:trPr>
        <w:tc>
          <w:tcPr>
            <w:tcW w:w="1713" w:type="pct"/>
            <w:gridSpan w:val="2"/>
            <w:vAlign w:val="center"/>
          </w:tcPr>
          <w:p w:rsidR="004D62C3" w:rsidRPr="00917FFB" w:rsidRDefault="004D62C3" w:rsidP="00450323">
            <w:pPr>
              <w:keepNext/>
              <w:keepLines/>
              <w:widowControl w:val="0"/>
              <w:jc w:val="left"/>
              <w:rPr>
                <w:rFonts w:ascii="Arial Narrow" w:hAnsi="Arial Narrow"/>
                <w:sz w:val="20"/>
                <w:szCs w:val="20"/>
                <w:u w:val="single"/>
              </w:rPr>
            </w:pPr>
            <w:r w:rsidRPr="00917FFB">
              <w:rPr>
                <w:rFonts w:ascii="Arial Narrow" w:hAnsi="Arial Narrow"/>
                <w:sz w:val="20"/>
                <w:szCs w:val="20"/>
              </w:rPr>
              <w:t>4mg tablet, 28</w:t>
            </w:r>
          </w:p>
        </w:tc>
        <w:tc>
          <w:tcPr>
            <w:tcW w:w="551"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1</w:t>
            </w:r>
          </w:p>
        </w:tc>
        <w:tc>
          <w:tcPr>
            <w:tcW w:w="452"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28</w:t>
            </w:r>
          </w:p>
        </w:tc>
        <w:tc>
          <w:tcPr>
            <w:tcW w:w="427"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5</w:t>
            </w:r>
          </w:p>
        </w:tc>
        <w:tc>
          <w:tcPr>
            <w:tcW w:w="769" w:type="pct"/>
            <w:vMerge/>
            <w:vAlign w:val="center"/>
          </w:tcPr>
          <w:p w:rsidR="004D62C3" w:rsidRPr="00917FFB" w:rsidRDefault="004D62C3" w:rsidP="00450323">
            <w:pPr>
              <w:keepNext/>
              <w:keepLines/>
              <w:widowControl w:val="0"/>
              <w:jc w:val="center"/>
              <w:rPr>
                <w:rFonts w:ascii="Arial Narrow" w:hAnsi="Arial Narrow"/>
                <w:sz w:val="20"/>
              </w:rPr>
            </w:pPr>
          </w:p>
        </w:tc>
        <w:tc>
          <w:tcPr>
            <w:tcW w:w="1088" w:type="pct"/>
            <w:vMerge/>
            <w:vAlign w:val="center"/>
          </w:tcPr>
          <w:p w:rsidR="004D62C3" w:rsidRPr="00917FFB" w:rsidRDefault="004D62C3" w:rsidP="00450323">
            <w:pPr>
              <w:keepNext/>
              <w:keepLines/>
              <w:widowControl w:val="0"/>
              <w:jc w:val="center"/>
              <w:rPr>
                <w:rFonts w:ascii="Arial Narrow" w:hAnsi="Arial Narrow"/>
                <w:sz w:val="20"/>
              </w:rPr>
            </w:pPr>
          </w:p>
        </w:tc>
      </w:tr>
      <w:tr w:rsidR="004D62C3" w:rsidRPr="00917FFB" w:rsidTr="00EC5560">
        <w:trPr>
          <w:trHeight w:val="77"/>
        </w:trPr>
        <w:tc>
          <w:tcPr>
            <w:tcW w:w="1713" w:type="pct"/>
            <w:gridSpan w:val="2"/>
            <w:vAlign w:val="center"/>
          </w:tcPr>
          <w:p w:rsidR="004D62C3" w:rsidRPr="00917FFB" w:rsidRDefault="004D62C3" w:rsidP="00450323">
            <w:pPr>
              <w:keepNext/>
              <w:keepLines/>
              <w:widowControl w:val="0"/>
              <w:jc w:val="left"/>
              <w:rPr>
                <w:rFonts w:ascii="Arial Narrow" w:hAnsi="Arial Narrow"/>
                <w:sz w:val="20"/>
                <w:szCs w:val="20"/>
                <w:u w:val="single"/>
              </w:rPr>
            </w:pPr>
            <w:r w:rsidRPr="00917FFB">
              <w:rPr>
                <w:rFonts w:ascii="Arial Narrow" w:hAnsi="Arial Narrow"/>
                <w:b/>
                <w:bCs/>
                <w:sz w:val="20"/>
                <w:szCs w:val="20"/>
              </w:rPr>
              <w:t>Continuing 2 – balance of supply</w:t>
            </w:r>
          </w:p>
        </w:tc>
        <w:tc>
          <w:tcPr>
            <w:tcW w:w="551" w:type="pct"/>
            <w:vAlign w:val="center"/>
          </w:tcPr>
          <w:p w:rsidR="004D62C3" w:rsidRPr="00917FFB" w:rsidRDefault="004D62C3" w:rsidP="00450323">
            <w:pPr>
              <w:keepNext/>
              <w:keepLines/>
              <w:widowControl w:val="0"/>
              <w:jc w:val="center"/>
              <w:rPr>
                <w:rFonts w:ascii="Arial Narrow" w:hAnsi="Arial Narrow"/>
                <w:sz w:val="20"/>
                <w:szCs w:val="20"/>
              </w:rPr>
            </w:pPr>
          </w:p>
        </w:tc>
        <w:tc>
          <w:tcPr>
            <w:tcW w:w="452" w:type="pct"/>
            <w:vAlign w:val="center"/>
          </w:tcPr>
          <w:p w:rsidR="004D62C3" w:rsidRPr="00917FFB" w:rsidRDefault="004D62C3" w:rsidP="00450323">
            <w:pPr>
              <w:keepNext/>
              <w:keepLines/>
              <w:widowControl w:val="0"/>
              <w:jc w:val="center"/>
              <w:rPr>
                <w:rFonts w:ascii="Arial Narrow" w:hAnsi="Arial Narrow"/>
                <w:sz w:val="20"/>
                <w:szCs w:val="20"/>
              </w:rPr>
            </w:pPr>
          </w:p>
        </w:tc>
        <w:tc>
          <w:tcPr>
            <w:tcW w:w="427" w:type="pct"/>
            <w:vAlign w:val="center"/>
          </w:tcPr>
          <w:p w:rsidR="004D62C3" w:rsidRPr="00917FFB" w:rsidRDefault="004D62C3" w:rsidP="00450323">
            <w:pPr>
              <w:keepNext/>
              <w:keepLines/>
              <w:widowControl w:val="0"/>
              <w:jc w:val="center"/>
              <w:rPr>
                <w:rFonts w:ascii="Arial Narrow" w:hAnsi="Arial Narrow"/>
                <w:sz w:val="20"/>
                <w:szCs w:val="20"/>
              </w:rPr>
            </w:pPr>
          </w:p>
        </w:tc>
        <w:tc>
          <w:tcPr>
            <w:tcW w:w="769" w:type="pct"/>
            <w:vMerge/>
            <w:vAlign w:val="center"/>
          </w:tcPr>
          <w:p w:rsidR="004D62C3" w:rsidRPr="00917FFB" w:rsidRDefault="004D62C3" w:rsidP="00450323">
            <w:pPr>
              <w:keepNext/>
              <w:keepLines/>
              <w:widowControl w:val="0"/>
              <w:jc w:val="center"/>
              <w:rPr>
                <w:rFonts w:ascii="Arial Narrow" w:hAnsi="Arial Narrow"/>
                <w:sz w:val="20"/>
              </w:rPr>
            </w:pPr>
          </w:p>
        </w:tc>
        <w:tc>
          <w:tcPr>
            <w:tcW w:w="1088" w:type="pct"/>
            <w:vMerge/>
            <w:vAlign w:val="center"/>
          </w:tcPr>
          <w:p w:rsidR="004D62C3" w:rsidRPr="00917FFB" w:rsidRDefault="004D62C3" w:rsidP="00450323">
            <w:pPr>
              <w:keepNext/>
              <w:keepLines/>
              <w:widowControl w:val="0"/>
              <w:jc w:val="center"/>
              <w:rPr>
                <w:rFonts w:ascii="Arial Narrow" w:hAnsi="Arial Narrow"/>
                <w:sz w:val="20"/>
              </w:rPr>
            </w:pPr>
          </w:p>
        </w:tc>
      </w:tr>
      <w:tr w:rsidR="004D62C3" w:rsidRPr="00917FFB" w:rsidTr="00EC5560">
        <w:trPr>
          <w:trHeight w:val="77"/>
        </w:trPr>
        <w:tc>
          <w:tcPr>
            <w:tcW w:w="1713" w:type="pct"/>
            <w:gridSpan w:val="2"/>
            <w:vAlign w:val="center"/>
          </w:tcPr>
          <w:p w:rsidR="004D62C3" w:rsidRPr="00917FFB" w:rsidRDefault="004D62C3" w:rsidP="00450323">
            <w:pPr>
              <w:keepNext/>
              <w:keepLines/>
              <w:widowControl w:val="0"/>
              <w:jc w:val="left"/>
              <w:rPr>
                <w:rFonts w:ascii="Arial Narrow" w:hAnsi="Arial Narrow"/>
                <w:sz w:val="20"/>
                <w:szCs w:val="20"/>
                <w:u w:val="single"/>
              </w:rPr>
            </w:pPr>
            <w:r w:rsidRPr="00917FFB">
              <w:rPr>
                <w:rFonts w:ascii="Arial Narrow" w:hAnsi="Arial Narrow"/>
                <w:sz w:val="20"/>
                <w:szCs w:val="20"/>
              </w:rPr>
              <w:t>2mg tablet, 28</w:t>
            </w:r>
          </w:p>
        </w:tc>
        <w:tc>
          <w:tcPr>
            <w:tcW w:w="551"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1</w:t>
            </w:r>
          </w:p>
        </w:tc>
        <w:tc>
          <w:tcPr>
            <w:tcW w:w="452"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28</w:t>
            </w:r>
          </w:p>
        </w:tc>
        <w:tc>
          <w:tcPr>
            <w:tcW w:w="427"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4</w:t>
            </w:r>
          </w:p>
        </w:tc>
        <w:tc>
          <w:tcPr>
            <w:tcW w:w="769" w:type="pct"/>
            <w:vMerge/>
            <w:vAlign w:val="center"/>
          </w:tcPr>
          <w:p w:rsidR="004D62C3" w:rsidRPr="00917FFB" w:rsidRDefault="004D62C3" w:rsidP="00450323">
            <w:pPr>
              <w:keepNext/>
              <w:keepLines/>
              <w:widowControl w:val="0"/>
              <w:jc w:val="center"/>
              <w:rPr>
                <w:rFonts w:ascii="Arial Narrow" w:hAnsi="Arial Narrow"/>
                <w:sz w:val="20"/>
              </w:rPr>
            </w:pPr>
          </w:p>
        </w:tc>
        <w:tc>
          <w:tcPr>
            <w:tcW w:w="1088" w:type="pct"/>
            <w:vMerge/>
            <w:vAlign w:val="center"/>
          </w:tcPr>
          <w:p w:rsidR="004D62C3" w:rsidRPr="00917FFB" w:rsidRDefault="004D62C3" w:rsidP="00450323">
            <w:pPr>
              <w:keepNext/>
              <w:keepLines/>
              <w:widowControl w:val="0"/>
              <w:jc w:val="center"/>
              <w:rPr>
                <w:rFonts w:ascii="Arial Narrow" w:hAnsi="Arial Narrow"/>
                <w:sz w:val="20"/>
              </w:rPr>
            </w:pPr>
          </w:p>
        </w:tc>
      </w:tr>
      <w:tr w:rsidR="004D62C3" w:rsidRPr="00917FFB" w:rsidTr="00EC5560">
        <w:trPr>
          <w:trHeight w:val="77"/>
        </w:trPr>
        <w:tc>
          <w:tcPr>
            <w:tcW w:w="1713" w:type="pct"/>
            <w:gridSpan w:val="2"/>
            <w:vAlign w:val="center"/>
          </w:tcPr>
          <w:p w:rsidR="004D62C3" w:rsidRDefault="004D62C3" w:rsidP="00450323">
            <w:pPr>
              <w:keepNext/>
              <w:keepLines/>
              <w:widowControl w:val="0"/>
              <w:jc w:val="left"/>
              <w:rPr>
                <w:rFonts w:ascii="Arial Narrow" w:hAnsi="Arial Narrow"/>
                <w:sz w:val="20"/>
                <w:szCs w:val="20"/>
              </w:rPr>
            </w:pPr>
            <w:r w:rsidRPr="00917FFB">
              <w:rPr>
                <w:rFonts w:ascii="Arial Narrow" w:hAnsi="Arial Narrow"/>
                <w:sz w:val="20"/>
                <w:szCs w:val="20"/>
              </w:rPr>
              <w:t>4mg tablet, 28</w:t>
            </w:r>
          </w:p>
          <w:p w:rsidR="00DD1C36" w:rsidRPr="00917FFB" w:rsidRDefault="00DD1C36" w:rsidP="00450323">
            <w:pPr>
              <w:keepNext/>
              <w:keepLines/>
              <w:widowControl w:val="0"/>
              <w:jc w:val="left"/>
              <w:rPr>
                <w:rFonts w:ascii="Arial Narrow" w:hAnsi="Arial Narrow"/>
                <w:sz w:val="20"/>
                <w:szCs w:val="20"/>
                <w:u w:val="single"/>
              </w:rPr>
            </w:pPr>
          </w:p>
        </w:tc>
        <w:tc>
          <w:tcPr>
            <w:tcW w:w="551"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1</w:t>
            </w:r>
          </w:p>
        </w:tc>
        <w:tc>
          <w:tcPr>
            <w:tcW w:w="452"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28</w:t>
            </w:r>
          </w:p>
        </w:tc>
        <w:tc>
          <w:tcPr>
            <w:tcW w:w="427" w:type="pct"/>
            <w:vAlign w:val="center"/>
          </w:tcPr>
          <w:p w:rsidR="004D62C3" w:rsidRPr="00917FFB" w:rsidRDefault="004D62C3" w:rsidP="00450323">
            <w:pPr>
              <w:keepNext/>
              <w:keepLines/>
              <w:widowControl w:val="0"/>
              <w:jc w:val="center"/>
              <w:rPr>
                <w:rFonts w:ascii="Arial Narrow" w:hAnsi="Arial Narrow"/>
                <w:sz w:val="20"/>
                <w:szCs w:val="20"/>
              </w:rPr>
            </w:pPr>
            <w:r w:rsidRPr="00917FFB">
              <w:rPr>
                <w:rFonts w:ascii="Arial Narrow" w:hAnsi="Arial Narrow"/>
                <w:sz w:val="20"/>
                <w:szCs w:val="20"/>
              </w:rPr>
              <w:t>4</w:t>
            </w:r>
          </w:p>
        </w:tc>
        <w:tc>
          <w:tcPr>
            <w:tcW w:w="769" w:type="pct"/>
            <w:vMerge/>
            <w:vAlign w:val="center"/>
          </w:tcPr>
          <w:p w:rsidR="004D62C3" w:rsidRPr="00917FFB" w:rsidRDefault="004D62C3" w:rsidP="00450323">
            <w:pPr>
              <w:keepNext/>
              <w:keepLines/>
              <w:widowControl w:val="0"/>
              <w:jc w:val="center"/>
              <w:rPr>
                <w:rFonts w:ascii="Arial Narrow" w:hAnsi="Arial Narrow"/>
                <w:sz w:val="20"/>
              </w:rPr>
            </w:pPr>
          </w:p>
        </w:tc>
        <w:tc>
          <w:tcPr>
            <w:tcW w:w="1088" w:type="pct"/>
            <w:vMerge/>
            <w:vAlign w:val="center"/>
          </w:tcPr>
          <w:p w:rsidR="004D62C3" w:rsidRPr="00917FFB" w:rsidRDefault="004D62C3" w:rsidP="00450323">
            <w:pPr>
              <w:keepNext/>
              <w:keepLines/>
              <w:widowControl w:val="0"/>
              <w:jc w:val="center"/>
              <w:rPr>
                <w:rFonts w:ascii="Arial Narrow" w:hAnsi="Arial Narrow"/>
                <w:sz w:val="20"/>
              </w:rPr>
            </w:pP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pPr>
            <w:r w:rsidRPr="00917FFB">
              <w:rPr>
                <w:b/>
              </w:rPr>
              <w:t>Category / Program:</w:t>
            </w:r>
          </w:p>
        </w:tc>
        <w:tc>
          <w:tcPr>
            <w:tcW w:w="3856" w:type="pct"/>
            <w:gridSpan w:val="6"/>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pPr>
            <w:r w:rsidRPr="00917FFB">
              <w:t>GENERAL – General Schedule (Code GE)</w:t>
            </w: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pPr>
            <w:r w:rsidRPr="00917FFB">
              <w:rPr>
                <w:b/>
              </w:rPr>
              <w:t>Prescriber type:</w:t>
            </w:r>
          </w:p>
        </w:tc>
        <w:tc>
          <w:tcPr>
            <w:tcW w:w="3856" w:type="pct"/>
            <w:gridSpan w:val="6"/>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pPr>
            <w:r w:rsidRPr="00A15594">
              <w:fldChar w:fldCharType="begin">
                <w:ffData>
                  <w:name w:val=""/>
                  <w:enabled/>
                  <w:calcOnExit w:val="0"/>
                  <w:checkBox>
                    <w:sizeAuto/>
                    <w:default w:val="1"/>
                  </w:checkBox>
                </w:ffData>
              </w:fldChar>
            </w:r>
            <w:r w:rsidRPr="00917FFB">
              <w:instrText xml:space="preserve"> FORMCHECKBOX </w:instrText>
            </w:r>
            <w:r w:rsidR="007923A4">
              <w:fldChar w:fldCharType="separate"/>
            </w:r>
            <w:r w:rsidRPr="00A15594">
              <w:fldChar w:fldCharType="end"/>
            </w:r>
            <w:r w:rsidRPr="00917FFB">
              <w:t>Medical Practitioners</w:t>
            </w: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pPr>
            <w:r w:rsidRPr="00917FFB">
              <w:rPr>
                <w:b/>
              </w:rPr>
              <w:t>PBS Indication:</w:t>
            </w:r>
          </w:p>
        </w:tc>
        <w:tc>
          <w:tcPr>
            <w:tcW w:w="3856" w:type="pct"/>
            <w:gridSpan w:val="6"/>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pPr>
            <w:r w:rsidRPr="00917FFB">
              <w:t>Chronic severe atopic dermatitis</w:t>
            </w: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rPr>
                <w:b/>
              </w:rPr>
            </w:pPr>
            <w:r w:rsidRPr="00917FFB">
              <w:rPr>
                <w:b/>
              </w:rPr>
              <w:t>Treatment criteria:</w:t>
            </w:r>
          </w:p>
        </w:tc>
        <w:tc>
          <w:tcPr>
            <w:tcW w:w="3856" w:type="pct"/>
            <w:gridSpan w:val="6"/>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0"/>
              <w:keepNext w:val="0"/>
            </w:pPr>
            <w:r w:rsidRPr="00917FFB">
              <w:t>Must be treated by a dermatologist; OR</w:t>
            </w:r>
          </w:p>
          <w:p w:rsidR="004D62C3" w:rsidRPr="00917FFB" w:rsidRDefault="004D62C3" w:rsidP="004D62C3">
            <w:pPr>
              <w:pStyle w:val="Tabletext"/>
              <w:widowControl w:val="0"/>
            </w:pPr>
            <w:r w:rsidRPr="00917FFB">
              <w:t>Must be treated by a physician with expertise in treating atopic dermatitis</w:t>
            </w: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12"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pPr>
            <w:r w:rsidRPr="00917FFB">
              <w:rPr>
                <w:b/>
              </w:rPr>
              <w:t>Treatment phase:</w:t>
            </w:r>
          </w:p>
        </w:tc>
        <w:tc>
          <w:tcPr>
            <w:tcW w:w="3856" w:type="pct"/>
            <w:gridSpan w:val="6"/>
            <w:tcBorders>
              <w:top w:val="single" w:sz="12"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pPr>
            <w:r w:rsidRPr="00917FFB">
              <w:rPr>
                <w:b/>
                <w:bCs/>
              </w:rPr>
              <w:t>Initial 1</w:t>
            </w: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pPr>
            <w:r w:rsidRPr="00917FFB">
              <w:rPr>
                <w:b/>
              </w:rPr>
              <w:t>Restriction:</w:t>
            </w:r>
          </w:p>
        </w:tc>
        <w:tc>
          <w:tcPr>
            <w:tcW w:w="3856" w:type="pct"/>
            <w:gridSpan w:val="6"/>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pPr>
            <w:r w:rsidRPr="00A15594">
              <w:fldChar w:fldCharType="begin">
                <w:ffData>
                  <w:name w:val=""/>
                  <w:enabled/>
                  <w:calcOnExit w:val="0"/>
                  <w:checkBox>
                    <w:sizeAuto/>
                    <w:default w:val="1"/>
                  </w:checkBox>
                </w:ffData>
              </w:fldChar>
            </w:r>
            <w:r w:rsidRPr="00917FFB">
              <w:instrText xml:space="preserve"> FORMCHECKBOX </w:instrText>
            </w:r>
            <w:r w:rsidR="007923A4">
              <w:fldChar w:fldCharType="separate"/>
            </w:r>
            <w:r w:rsidRPr="00A15594">
              <w:fldChar w:fldCharType="end"/>
            </w:r>
            <w:r w:rsidRPr="00917FFB">
              <w:t>Authority Required - In Writing</w:t>
            </w:r>
          </w:p>
        </w:tc>
      </w:tr>
      <w:tr w:rsidR="000703DB" w:rsidRPr="00917FFB" w:rsidTr="000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0703DB" w:rsidRPr="00917FFB" w:rsidRDefault="000703DB" w:rsidP="004D62C3">
            <w:pPr>
              <w:pStyle w:val="Tabletext"/>
              <w:widowControl w:val="0"/>
            </w:pPr>
            <w:r w:rsidRPr="00917FFB">
              <w:rPr>
                <w:b/>
              </w:rPr>
              <w:t>Clinical criteria:</w:t>
            </w:r>
          </w:p>
          <w:p w:rsidR="000703DB" w:rsidRPr="00917FFB" w:rsidRDefault="000703DB" w:rsidP="004D62C3">
            <w:pPr>
              <w:pStyle w:val="TableText0"/>
              <w:keepNext w:val="0"/>
              <w:rPr>
                <w:rFonts w:cs="Arial"/>
              </w:rPr>
            </w:pPr>
            <w:r w:rsidRPr="00917FFB">
              <w:rPr>
                <w:rFonts w:cs="Arial"/>
              </w:rPr>
              <w:t>Patient must have severe atopic dermatitis with a PGA score of 4 and an EASI score ≥ 20; OR</w:t>
            </w:r>
          </w:p>
          <w:p w:rsidR="000703DB" w:rsidRPr="000D2978" w:rsidRDefault="000703DB" w:rsidP="004D62C3">
            <w:pPr>
              <w:pStyle w:val="TableText0"/>
              <w:keepNext w:val="0"/>
              <w:rPr>
                <w:rFonts w:cs="Arial"/>
              </w:rPr>
            </w:pPr>
            <w:r w:rsidRPr="000D2978">
              <w:rPr>
                <w:rFonts w:cs="Arial"/>
              </w:rPr>
              <w:t xml:space="preserve">Patient must have severe atopic dermatitis of the face or palm of hand; </w:t>
            </w:r>
          </w:p>
          <w:p w:rsidR="000703DB" w:rsidRPr="00917FFB" w:rsidRDefault="000703DB" w:rsidP="004D62C3">
            <w:pPr>
              <w:pStyle w:val="TableText0"/>
              <w:keepNext w:val="0"/>
              <w:rPr>
                <w:rFonts w:cs="Arial"/>
              </w:rPr>
            </w:pPr>
            <w:r w:rsidRPr="00917FFB">
              <w:rPr>
                <w:rFonts w:cs="Arial"/>
              </w:rPr>
              <w:t>AND</w:t>
            </w:r>
          </w:p>
          <w:p w:rsidR="000703DB" w:rsidRPr="00917FFB" w:rsidRDefault="000703DB" w:rsidP="004D62C3">
            <w:pPr>
              <w:pStyle w:val="TableText0"/>
              <w:keepNext w:val="0"/>
              <w:rPr>
                <w:rFonts w:cs="Arial"/>
              </w:rPr>
            </w:pPr>
            <w:r w:rsidRPr="00917FFB">
              <w:rPr>
                <w:rFonts w:cs="Arial"/>
              </w:rPr>
              <w:t xml:space="preserve">Patient must have failed to achieve an adequate response to topical therapies (topical corticosteroids and/or topical calcineurin inhibitors); </w:t>
            </w:r>
          </w:p>
          <w:p w:rsidR="000703DB" w:rsidRPr="00917FFB" w:rsidRDefault="000703DB" w:rsidP="004D62C3">
            <w:pPr>
              <w:pStyle w:val="TableText0"/>
              <w:keepNext w:val="0"/>
              <w:rPr>
                <w:rFonts w:cs="Arial"/>
              </w:rPr>
            </w:pPr>
            <w:r w:rsidRPr="00917FFB">
              <w:rPr>
                <w:rFonts w:cs="Arial"/>
              </w:rPr>
              <w:t>AND</w:t>
            </w:r>
          </w:p>
          <w:p w:rsidR="000703DB" w:rsidRPr="00917FFB" w:rsidRDefault="000703DB" w:rsidP="004D62C3">
            <w:pPr>
              <w:pStyle w:val="TableText0"/>
              <w:keepNext w:val="0"/>
              <w:rPr>
                <w:rFonts w:cs="Arial"/>
              </w:rPr>
            </w:pPr>
            <w:r w:rsidRPr="00917FFB">
              <w:rPr>
                <w:rFonts w:cs="Arial"/>
              </w:rPr>
              <w:t>Treatment must be as systemic monotherapy (other than oral corticosteroids);</w:t>
            </w:r>
          </w:p>
          <w:p w:rsidR="000703DB" w:rsidRPr="00917FFB" w:rsidRDefault="000703DB" w:rsidP="004D62C3">
            <w:pPr>
              <w:pStyle w:val="TableText0"/>
              <w:keepNext w:val="0"/>
              <w:rPr>
                <w:rFonts w:cs="Arial"/>
              </w:rPr>
            </w:pPr>
            <w:r w:rsidRPr="00917FFB">
              <w:rPr>
                <w:rFonts w:cs="Arial"/>
              </w:rPr>
              <w:t>AND</w:t>
            </w:r>
          </w:p>
          <w:p w:rsidR="000703DB" w:rsidRPr="00917FFB" w:rsidRDefault="000703DB" w:rsidP="004D62C3">
            <w:pPr>
              <w:pStyle w:val="Tabletext"/>
              <w:widowControl w:val="0"/>
            </w:pPr>
            <w:r w:rsidRPr="00917FFB">
              <w:rPr>
                <w:rFonts w:cs="Arial"/>
              </w:rPr>
              <w:t xml:space="preserve">Patient must not receive more than </w:t>
            </w:r>
            <w:r w:rsidRPr="00917FFB">
              <w:rPr>
                <w:rFonts w:cs="Arial"/>
                <w:b/>
                <w:bCs/>
              </w:rPr>
              <w:t>20 weeks</w:t>
            </w:r>
            <w:r w:rsidRPr="00917FFB">
              <w:rPr>
                <w:rFonts w:cs="Arial"/>
              </w:rPr>
              <w:t xml:space="preserve"> of treatment under this restriction.</w:t>
            </w:r>
          </w:p>
        </w:tc>
      </w:tr>
      <w:tr w:rsidR="000703DB" w:rsidRPr="00917FFB" w:rsidTr="000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0703DB" w:rsidRPr="00917FFB" w:rsidRDefault="000703DB" w:rsidP="004D62C3">
            <w:pPr>
              <w:pStyle w:val="Tabletext"/>
              <w:widowControl w:val="0"/>
            </w:pPr>
            <w:r w:rsidRPr="00917FFB">
              <w:rPr>
                <w:b/>
              </w:rPr>
              <w:t>Population criteria:</w:t>
            </w:r>
          </w:p>
          <w:p w:rsidR="000703DB" w:rsidRPr="00917FFB" w:rsidRDefault="000703DB" w:rsidP="004D62C3">
            <w:pPr>
              <w:pStyle w:val="Tabletext"/>
              <w:widowControl w:val="0"/>
            </w:pPr>
            <w:r w:rsidRPr="00917FFB">
              <w:t>Patient must be aged 18 years or older</w:t>
            </w: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12"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rPr>
                <w:b/>
              </w:rPr>
            </w:pPr>
            <w:r w:rsidRPr="00917FFB">
              <w:rPr>
                <w:b/>
              </w:rPr>
              <w:t>Treatment phase:</w:t>
            </w:r>
          </w:p>
        </w:tc>
        <w:tc>
          <w:tcPr>
            <w:tcW w:w="3856" w:type="pct"/>
            <w:gridSpan w:val="6"/>
            <w:tcBorders>
              <w:top w:val="single" w:sz="12"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rPr>
                <w:b/>
              </w:rPr>
            </w:pPr>
            <w:r w:rsidRPr="00917FFB">
              <w:rPr>
                <w:b/>
              </w:rPr>
              <w:t>Initial 2 – balance of supply</w:t>
            </w: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rPr>
                <w:b/>
              </w:rPr>
            </w:pPr>
            <w:r w:rsidRPr="00917FFB">
              <w:rPr>
                <w:b/>
              </w:rPr>
              <w:t>Restriction:</w:t>
            </w:r>
          </w:p>
        </w:tc>
        <w:tc>
          <w:tcPr>
            <w:tcW w:w="3856" w:type="pct"/>
            <w:gridSpan w:val="6"/>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pPr>
            <w:r w:rsidRPr="00A15594">
              <w:fldChar w:fldCharType="begin">
                <w:ffData>
                  <w:name w:val=""/>
                  <w:enabled/>
                  <w:calcOnExit w:val="0"/>
                  <w:checkBox>
                    <w:sizeAuto/>
                    <w:default w:val="1"/>
                  </w:checkBox>
                </w:ffData>
              </w:fldChar>
            </w:r>
            <w:r w:rsidRPr="00917FFB">
              <w:instrText xml:space="preserve"> FORMCHECKBOX </w:instrText>
            </w:r>
            <w:r w:rsidR="007923A4">
              <w:fldChar w:fldCharType="separate"/>
            </w:r>
            <w:r w:rsidRPr="00A15594">
              <w:fldChar w:fldCharType="end"/>
            </w:r>
            <w:r w:rsidRPr="00917FFB">
              <w:t>Streamlined</w:t>
            </w:r>
          </w:p>
        </w:tc>
      </w:tr>
      <w:tr w:rsidR="000703DB" w:rsidRPr="00917FFB" w:rsidTr="000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0703DB" w:rsidRPr="00917FFB" w:rsidRDefault="000703DB" w:rsidP="004D62C3">
            <w:pPr>
              <w:pStyle w:val="Tabletext"/>
              <w:widowControl w:val="0"/>
              <w:rPr>
                <w:b/>
              </w:rPr>
            </w:pPr>
            <w:r w:rsidRPr="00917FFB">
              <w:rPr>
                <w:b/>
              </w:rPr>
              <w:t>Clinical criteria:</w:t>
            </w:r>
          </w:p>
          <w:p w:rsidR="000703DB" w:rsidRPr="00917FFB" w:rsidRDefault="000703DB" w:rsidP="004D62C3">
            <w:pPr>
              <w:pStyle w:val="Tabletext"/>
              <w:widowControl w:val="0"/>
              <w:rPr>
                <w:color w:val="000000"/>
              </w:rPr>
            </w:pPr>
            <w:r w:rsidRPr="00917FFB">
              <w:t>Patient must have insufficient therapy with this drug under the Initial restriction to complete up to 20 weeks of treatment.</w:t>
            </w:r>
          </w:p>
        </w:tc>
      </w:tr>
      <w:tr w:rsidR="000703DB" w:rsidRPr="00917FFB" w:rsidTr="000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0703DB" w:rsidRPr="00917FFB" w:rsidRDefault="000703DB" w:rsidP="004D62C3">
            <w:pPr>
              <w:pStyle w:val="Tabletext"/>
              <w:widowControl w:val="0"/>
              <w:rPr>
                <w:b/>
              </w:rPr>
            </w:pPr>
            <w:r w:rsidRPr="00917FFB">
              <w:rPr>
                <w:b/>
              </w:rPr>
              <w:t>Prescribing instructions:</w:t>
            </w:r>
          </w:p>
          <w:p w:rsidR="000703DB" w:rsidRPr="00917FFB" w:rsidRDefault="000703DB" w:rsidP="004D62C3">
            <w:pPr>
              <w:pStyle w:val="Tabletext"/>
              <w:widowControl w:val="0"/>
              <w:rPr>
                <w:color w:val="000000"/>
              </w:rPr>
            </w:pPr>
            <w:r w:rsidRPr="00917FFB">
              <w:t>Patient must not have achieved sustained control of disease activity with baricitinib 2 mg once daily.</w:t>
            </w: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12"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rPr>
                <w:b/>
              </w:rPr>
            </w:pPr>
            <w:r w:rsidRPr="00917FFB">
              <w:rPr>
                <w:b/>
              </w:rPr>
              <w:t>Treatment phase:</w:t>
            </w:r>
          </w:p>
        </w:tc>
        <w:tc>
          <w:tcPr>
            <w:tcW w:w="3856" w:type="pct"/>
            <w:gridSpan w:val="6"/>
            <w:tcBorders>
              <w:top w:val="single" w:sz="12" w:space="0" w:color="auto"/>
              <w:left w:val="single" w:sz="4" w:space="0" w:color="auto"/>
              <w:bottom w:val="single" w:sz="4" w:space="0" w:color="auto"/>
              <w:right w:val="single" w:sz="4" w:space="0" w:color="auto"/>
            </w:tcBorders>
          </w:tcPr>
          <w:p w:rsidR="004D62C3" w:rsidRPr="00917FFB" w:rsidRDefault="004D62C3" w:rsidP="004D62C3">
            <w:pPr>
              <w:widowControl w:val="0"/>
              <w:rPr>
                <w:rFonts w:ascii="Arial Narrow" w:hAnsi="Arial Narrow"/>
                <w:sz w:val="20"/>
                <w:szCs w:val="20"/>
              </w:rPr>
            </w:pPr>
            <w:r w:rsidRPr="00917FFB">
              <w:rPr>
                <w:rFonts w:ascii="Arial Narrow" w:hAnsi="Arial Narrow"/>
                <w:b/>
                <w:bCs/>
                <w:sz w:val="20"/>
                <w:szCs w:val="20"/>
              </w:rPr>
              <w:t>Continuing 1</w:t>
            </w: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rPr>
                <w:b/>
              </w:rPr>
            </w:pPr>
            <w:r w:rsidRPr="00917FFB">
              <w:rPr>
                <w:b/>
              </w:rPr>
              <w:t>Restriction:</w:t>
            </w:r>
          </w:p>
        </w:tc>
        <w:tc>
          <w:tcPr>
            <w:tcW w:w="3856" w:type="pct"/>
            <w:gridSpan w:val="6"/>
            <w:tcBorders>
              <w:top w:val="single" w:sz="4" w:space="0" w:color="auto"/>
              <w:left w:val="single" w:sz="4" w:space="0" w:color="auto"/>
              <w:bottom w:val="single" w:sz="4" w:space="0" w:color="auto"/>
              <w:right w:val="single" w:sz="4" w:space="0" w:color="auto"/>
            </w:tcBorders>
          </w:tcPr>
          <w:p w:rsidR="004D62C3" w:rsidRPr="00917FFB" w:rsidRDefault="004D62C3" w:rsidP="004D62C3">
            <w:pPr>
              <w:widowControl w:val="0"/>
              <w:rPr>
                <w:rFonts w:ascii="Arial Narrow" w:hAnsi="Arial Narrow"/>
                <w:sz w:val="20"/>
                <w:szCs w:val="20"/>
              </w:rPr>
            </w:pPr>
            <w:r w:rsidRPr="00A15594">
              <w:rPr>
                <w:rFonts w:ascii="Arial Narrow" w:hAnsi="Arial Narrow"/>
                <w:sz w:val="20"/>
                <w:szCs w:val="20"/>
              </w:rPr>
              <w:fldChar w:fldCharType="begin">
                <w:ffData>
                  <w:name w:val=""/>
                  <w:enabled/>
                  <w:calcOnExit w:val="0"/>
                  <w:checkBox>
                    <w:sizeAuto/>
                    <w:default w:val="1"/>
                  </w:checkBox>
                </w:ffData>
              </w:fldChar>
            </w:r>
            <w:r w:rsidRPr="00917FFB">
              <w:rPr>
                <w:rFonts w:ascii="Arial Narrow" w:hAnsi="Arial Narrow"/>
                <w:sz w:val="20"/>
                <w:szCs w:val="20"/>
              </w:rPr>
              <w:instrText xml:space="preserve"> FORMCHECKBOX </w:instrText>
            </w:r>
            <w:r w:rsidR="007923A4">
              <w:rPr>
                <w:rFonts w:ascii="Arial Narrow" w:hAnsi="Arial Narrow"/>
                <w:sz w:val="20"/>
                <w:szCs w:val="20"/>
              </w:rPr>
            </w:r>
            <w:r w:rsidR="007923A4">
              <w:rPr>
                <w:rFonts w:ascii="Arial Narrow" w:hAnsi="Arial Narrow"/>
                <w:sz w:val="20"/>
                <w:szCs w:val="20"/>
              </w:rPr>
              <w:fldChar w:fldCharType="separate"/>
            </w:r>
            <w:r w:rsidRPr="00A15594">
              <w:rPr>
                <w:rFonts w:ascii="Arial Narrow" w:hAnsi="Arial Narrow"/>
                <w:sz w:val="20"/>
                <w:szCs w:val="20"/>
              </w:rPr>
              <w:fldChar w:fldCharType="end"/>
            </w:r>
            <w:r w:rsidRPr="00917FFB">
              <w:rPr>
                <w:rFonts w:ascii="Arial Narrow" w:hAnsi="Arial Narrow"/>
                <w:sz w:val="20"/>
                <w:szCs w:val="20"/>
              </w:rPr>
              <w:t>Authority Required - In Writing</w:t>
            </w:r>
          </w:p>
        </w:tc>
      </w:tr>
      <w:tr w:rsidR="000703DB" w:rsidRPr="00917FFB" w:rsidTr="000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0703DB" w:rsidRPr="00917FFB" w:rsidRDefault="000703DB" w:rsidP="004D62C3">
            <w:pPr>
              <w:pStyle w:val="Tabletext"/>
              <w:widowControl w:val="0"/>
              <w:rPr>
                <w:b/>
              </w:rPr>
            </w:pPr>
            <w:r w:rsidRPr="00917FFB">
              <w:rPr>
                <w:b/>
              </w:rPr>
              <w:t>Clinical criteria:</w:t>
            </w:r>
          </w:p>
          <w:p w:rsidR="000703DB" w:rsidRPr="00917FFB" w:rsidRDefault="000703DB" w:rsidP="004D62C3">
            <w:pPr>
              <w:pStyle w:val="TableText0"/>
              <w:keepNext w:val="0"/>
              <w:rPr>
                <w:szCs w:val="20"/>
              </w:rPr>
            </w:pPr>
            <w:r w:rsidRPr="00917FFB">
              <w:rPr>
                <w:szCs w:val="20"/>
              </w:rPr>
              <w:t xml:space="preserve">Patient must have received this drug as their most recent course of PBS subsidised treatment for this condition (with the exception of topical corticosteroids, topical calcineurin inhibitors and oral corticosteroids); </w:t>
            </w:r>
          </w:p>
          <w:p w:rsidR="000703DB" w:rsidRPr="00917FFB" w:rsidRDefault="000703DB" w:rsidP="004D62C3">
            <w:pPr>
              <w:pStyle w:val="TableText0"/>
              <w:keepNext w:val="0"/>
              <w:rPr>
                <w:szCs w:val="20"/>
              </w:rPr>
            </w:pPr>
            <w:r w:rsidRPr="00917FFB">
              <w:rPr>
                <w:szCs w:val="20"/>
              </w:rPr>
              <w:t>AND</w:t>
            </w:r>
          </w:p>
          <w:p w:rsidR="000703DB" w:rsidRPr="00917FFB" w:rsidRDefault="000703DB" w:rsidP="004D62C3">
            <w:pPr>
              <w:pStyle w:val="TableText0"/>
              <w:keepNext w:val="0"/>
              <w:rPr>
                <w:szCs w:val="20"/>
              </w:rPr>
            </w:pPr>
            <w:r w:rsidRPr="00917FFB">
              <w:rPr>
                <w:szCs w:val="20"/>
              </w:rPr>
              <w:t>Patient must have demonstrated an adequate response to their most recent course of PBS-subsidised treatment with this drug;</w:t>
            </w:r>
          </w:p>
          <w:p w:rsidR="000703DB" w:rsidRPr="00917FFB" w:rsidRDefault="000703DB" w:rsidP="004D62C3">
            <w:pPr>
              <w:pStyle w:val="TableText0"/>
              <w:keepNext w:val="0"/>
              <w:rPr>
                <w:szCs w:val="20"/>
              </w:rPr>
            </w:pPr>
            <w:r w:rsidRPr="00917FFB">
              <w:rPr>
                <w:szCs w:val="20"/>
              </w:rPr>
              <w:t>AND</w:t>
            </w:r>
          </w:p>
          <w:p w:rsidR="000703DB" w:rsidRPr="00917FFB" w:rsidRDefault="000703DB" w:rsidP="004D62C3">
            <w:pPr>
              <w:pStyle w:val="TableText0"/>
              <w:keepNext w:val="0"/>
              <w:rPr>
                <w:szCs w:val="20"/>
              </w:rPr>
            </w:pPr>
            <w:r w:rsidRPr="00917FFB">
              <w:rPr>
                <w:szCs w:val="20"/>
              </w:rPr>
              <w:t xml:space="preserve">Treatment must be as systemic monotherapy (other than oral corticosteroids); </w:t>
            </w:r>
          </w:p>
          <w:p w:rsidR="000703DB" w:rsidRPr="00917FFB" w:rsidRDefault="000703DB" w:rsidP="004D62C3">
            <w:pPr>
              <w:pStyle w:val="TableText0"/>
              <w:keepNext w:val="0"/>
              <w:rPr>
                <w:szCs w:val="20"/>
              </w:rPr>
            </w:pPr>
            <w:r w:rsidRPr="00917FFB">
              <w:rPr>
                <w:szCs w:val="20"/>
              </w:rPr>
              <w:t>AND</w:t>
            </w:r>
          </w:p>
          <w:p w:rsidR="000703DB" w:rsidRPr="00917FFB" w:rsidRDefault="000703DB" w:rsidP="004D62C3">
            <w:pPr>
              <w:widowControl w:val="0"/>
              <w:rPr>
                <w:rFonts w:ascii="Arial Narrow" w:hAnsi="Arial Narrow"/>
                <w:sz w:val="20"/>
                <w:szCs w:val="20"/>
              </w:rPr>
            </w:pPr>
            <w:r w:rsidRPr="00917FFB">
              <w:rPr>
                <w:rFonts w:ascii="Arial Narrow" w:hAnsi="Arial Narrow"/>
                <w:sz w:val="20"/>
                <w:szCs w:val="20"/>
              </w:rPr>
              <w:t xml:space="preserve">Patient must not receive more than </w:t>
            </w:r>
            <w:r w:rsidRPr="00917FFB">
              <w:rPr>
                <w:rFonts w:ascii="Arial Narrow" w:hAnsi="Arial Narrow"/>
                <w:b/>
                <w:bCs/>
                <w:sz w:val="20"/>
                <w:szCs w:val="20"/>
              </w:rPr>
              <w:t>24 weeks</w:t>
            </w:r>
            <w:r w:rsidRPr="00917FFB">
              <w:rPr>
                <w:rFonts w:ascii="Arial Narrow" w:hAnsi="Arial Narrow"/>
                <w:sz w:val="20"/>
                <w:szCs w:val="20"/>
              </w:rPr>
              <w:t xml:space="preserve"> of treatment per continuing treatment course under this restriction.</w:t>
            </w:r>
          </w:p>
        </w:tc>
      </w:tr>
      <w:tr w:rsidR="000703DB" w:rsidRPr="00917FFB" w:rsidTr="000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0703DB" w:rsidRPr="00917FFB" w:rsidRDefault="000703DB" w:rsidP="004D62C3">
            <w:pPr>
              <w:pStyle w:val="Tabletext"/>
              <w:widowControl w:val="0"/>
              <w:rPr>
                <w:b/>
              </w:rPr>
            </w:pPr>
            <w:r w:rsidRPr="00917FFB">
              <w:rPr>
                <w:b/>
              </w:rPr>
              <w:t>Prescriber Instructions:</w:t>
            </w:r>
          </w:p>
          <w:p w:rsidR="000703DB" w:rsidRPr="00917FFB" w:rsidRDefault="000703DB" w:rsidP="004D62C3">
            <w:pPr>
              <w:pStyle w:val="TableText0"/>
              <w:keepNext w:val="0"/>
              <w:rPr>
                <w:szCs w:val="20"/>
              </w:rPr>
            </w:pPr>
            <w:r w:rsidRPr="00917FFB">
              <w:rPr>
                <w:szCs w:val="20"/>
              </w:rPr>
              <w:t>An adequate response to treatment (whole body) is defined as both:</w:t>
            </w:r>
          </w:p>
          <w:p w:rsidR="000703DB" w:rsidRPr="00917FFB" w:rsidRDefault="000703DB" w:rsidP="00967196">
            <w:pPr>
              <w:pStyle w:val="TableText0"/>
              <w:keepNext w:val="0"/>
              <w:numPr>
                <w:ilvl w:val="0"/>
                <w:numId w:val="6"/>
              </w:numPr>
              <w:rPr>
                <w:szCs w:val="20"/>
              </w:rPr>
            </w:pPr>
            <w:r w:rsidRPr="00917FFB">
              <w:rPr>
                <w:szCs w:val="20"/>
              </w:rPr>
              <w:t>An improvement of the EASI score of ≥50%, or sustained at that level compared to the pre-treatment baseline value;</w:t>
            </w:r>
          </w:p>
          <w:p w:rsidR="000703DB" w:rsidRPr="00917FFB" w:rsidRDefault="000703DB" w:rsidP="00967196">
            <w:pPr>
              <w:pStyle w:val="TableText0"/>
              <w:keepNext w:val="0"/>
              <w:numPr>
                <w:ilvl w:val="0"/>
                <w:numId w:val="6"/>
              </w:numPr>
              <w:rPr>
                <w:szCs w:val="20"/>
              </w:rPr>
            </w:pPr>
            <w:r w:rsidRPr="00917FFB">
              <w:rPr>
                <w:szCs w:val="20"/>
              </w:rPr>
              <w:t>An improvement of the DLQI score of ≥ 4, or sustained at that level compared to the pre-treatment baseline value.</w:t>
            </w:r>
          </w:p>
          <w:p w:rsidR="000703DB" w:rsidRPr="00917FFB" w:rsidRDefault="000703DB" w:rsidP="004D62C3">
            <w:pPr>
              <w:pStyle w:val="TableText0"/>
              <w:keepNext w:val="0"/>
              <w:rPr>
                <w:szCs w:val="20"/>
              </w:rPr>
            </w:pPr>
            <w:r w:rsidRPr="00917FFB">
              <w:rPr>
                <w:szCs w:val="20"/>
              </w:rPr>
              <w:t>An adequate response to treatment (face and palm of hand) is defined as either:</w:t>
            </w:r>
          </w:p>
          <w:p w:rsidR="000703DB" w:rsidRPr="00917FFB" w:rsidRDefault="000703DB" w:rsidP="00967196">
            <w:pPr>
              <w:pStyle w:val="TableText0"/>
              <w:keepNext w:val="0"/>
              <w:numPr>
                <w:ilvl w:val="0"/>
                <w:numId w:val="7"/>
              </w:numPr>
              <w:rPr>
                <w:szCs w:val="20"/>
              </w:rPr>
            </w:pPr>
            <w:r w:rsidRPr="00917FFB">
              <w:rPr>
                <w:szCs w:val="20"/>
              </w:rPr>
              <w:t>An improvement of the EASI score of at least 3 of the 4 subscores for erythema, oedema/papulation, excoriation and lichenification to mild or better, or sustained at this level, as compared to the pre-treatment baseline values; OR</w:t>
            </w:r>
          </w:p>
          <w:p w:rsidR="000703DB" w:rsidRPr="00917FFB" w:rsidRDefault="000703DB" w:rsidP="00967196">
            <w:pPr>
              <w:pStyle w:val="TableText0"/>
              <w:keepNext w:val="0"/>
              <w:numPr>
                <w:ilvl w:val="0"/>
                <w:numId w:val="7"/>
              </w:numPr>
              <w:rPr>
                <w:szCs w:val="20"/>
              </w:rPr>
            </w:pPr>
            <w:r w:rsidRPr="00917FFB">
              <w:rPr>
                <w:szCs w:val="20"/>
              </w:rPr>
              <w:t>A reduction by 75% or more of the skin area affected, or sustained at this level, as compared to the pre-treatment baseline value.</w:t>
            </w: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rPr>
                <w:b/>
              </w:rPr>
            </w:pPr>
            <w:r w:rsidRPr="00917FFB">
              <w:rPr>
                <w:b/>
              </w:rPr>
              <w:t>Treatment phase:</w:t>
            </w:r>
          </w:p>
        </w:tc>
        <w:tc>
          <w:tcPr>
            <w:tcW w:w="3856" w:type="pct"/>
            <w:gridSpan w:val="6"/>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0"/>
              <w:keepNext w:val="0"/>
              <w:rPr>
                <w:szCs w:val="20"/>
              </w:rPr>
            </w:pPr>
            <w:r w:rsidRPr="00917FFB">
              <w:rPr>
                <w:b/>
                <w:bCs w:val="0"/>
              </w:rPr>
              <w:t>Continuing 2 – balance of supply</w:t>
            </w:r>
          </w:p>
        </w:tc>
      </w:tr>
      <w:tr w:rsidR="004D62C3"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
              <w:widowControl w:val="0"/>
              <w:rPr>
                <w:b/>
              </w:rPr>
            </w:pPr>
            <w:r w:rsidRPr="00917FFB">
              <w:rPr>
                <w:b/>
              </w:rPr>
              <w:t>Restriction:</w:t>
            </w:r>
          </w:p>
        </w:tc>
        <w:tc>
          <w:tcPr>
            <w:tcW w:w="3856" w:type="pct"/>
            <w:gridSpan w:val="6"/>
            <w:tcBorders>
              <w:top w:val="single" w:sz="4" w:space="0" w:color="auto"/>
              <w:left w:val="single" w:sz="4" w:space="0" w:color="auto"/>
              <w:bottom w:val="single" w:sz="4" w:space="0" w:color="auto"/>
              <w:right w:val="single" w:sz="4" w:space="0" w:color="auto"/>
            </w:tcBorders>
          </w:tcPr>
          <w:p w:rsidR="004D62C3" w:rsidRPr="00917FFB" w:rsidRDefault="004D62C3" w:rsidP="004D62C3">
            <w:pPr>
              <w:pStyle w:val="TableText0"/>
              <w:keepNext w:val="0"/>
              <w:rPr>
                <w:szCs w:val="20"/>
              </w:rPr>
            </w:pPr>
            <w:r w:rsidRPr="00A15594">
              <w:fldChar w:fldCharType="begin">
                <w:ffData>
                  <w:name w:val="Check5"/>
                  <w:enabled/>
                  <w:calcOnExit w:val="0"/>
                  <w:checkBox>
                    <w:sizeAuto/>
                    <w:default w:val="1"/>
                  </w:checkBox>
                </w:ffData>
              </w:fldChar>
            </w:r>
            <w:r w:rsidRPr="00917FFB">
              <w:instrText xml:space="preserve"> FORMCHECKBOX </w:instrText>
            </w:r>
            <w:r w:rsidR="007923A4">
              <w:fldChar w:fldCharType="separate"/>
            </w:r>
            <w:r w:rsidRPr="00A15594">
              <w:fldChar w:fldCharType="end"/>
            </w:r>
            <w:r w:rsidRPr="00917FFB">
              <w:t>Streamlined</w:t>
            </w:r>
          </w:p>
        </w:tc>
      </w:tr>
      <w:tr w:rsidR="000703DB" w:rsidRPr="00917FFB" w:rsidTr="000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0703DB" w:rsidRPr="00917FFB" w:rsidRDefault="000703DB" w:rsidP="004D62C3">
            <w:pPr>
              <w:pStyle w:val="Tabletext"/>
              <w:widowControl w:val="0"/>
              <w:rPr>
                <w:b/>
              </w:rPr>
            </w:pPr>
            <w:r w:rsidRPr="00917FFB">
              <w:rPr>
                <w:b/>
              </w:rPr>
              <w:t>Clinical criteria:</w:t>
            </w:r>
          </w:p>
          <w:p w:rsidR="000703DB" w:rsidRPr="00917FFB" w:rsidRDefault="000703DB" w:rsidP="004D62C3">
            <w:pPr>
              <w:pStyle w:val="TableText0"/>
              <w:keepNext w:val="0"/>
            </w:pPr>
            <w:r w:rsidRPr="00917FFB">
              <w:t xml:space="preserve">Patient must have received insufficient therapy with this drug for this condition under the continuing treatment restriction to complete 24 weeks of treatment; </w:t>
            </w:r>
          </w:p>
          <w:p w:rsidR="000703DB" w:rsidRPr="00917FFB" w:rsidRDefault="000703DB" w:rsidP="004D62C3">
            <w:pPr>
              <w:pStyle w:val="TableText0"/>
              <w:keepNext w:val="0"/>
            </w:pPr>
            <w:r w:rsidRPr="00917FFB">
              <w:t>AND</w:t>
            </w:r>
          </w:p>
          <w:p w:rsidR="000703DB" w:rsidRPr="00917FFB" w:rsidRDefault="000703DB" w:rsidP="004D62C3">
            <w:pPr>
              <w:pStyle w:val="TableText0"/>
              <w:keepNext w:val="0"/>
            </w:pPr>
            <w:r w:rsidRPr="00917FFB">
              <w:t xml:space="preserve">Treatment must be as systemic monotherapy (other than oral corticosteroids); </w:t>
            </w:r>
          </w:p>
          <w:p w:rsidR="000703DB" w:rsidRPr="00917FFB" w:rsidRDefault="000703DB" w:rsidP="004D62C3">
            <w:pPr>
              <w:pStyle w:val="TableText0"/>
              <w:keepNext w:val="0"/>
            </w:pPr>
            <w:r w:rsidRPr="00917FFB">
              <w:t>AND</w:t>
            </w:r>
          </w:p>
          <w:p w:rsidR="000703DB" w:rsidRPr="00917FFB" w:rsidRDefault="000703DB" w:rsidP="004D62C3">
            <w:pPr>
              <w:pStyle w:val="TableText0"/>
              <w:keepNext w:val="0"/>
              <w:rPr>
                <w:szCs w:val="20"/>
              </w:rPr>
            </w:pPr>
            <w:r w:rsidRPr="00917FFB">
              <w:t>The treatment must provide no more than the balance of up to 24 weeks of therapy</w:t>
            </w:r>
          </w:p>
        </w:tc>
      </w:tr>
      <w:tr w:rsidR="000703DB" w:rsidRPr="00917FFB" w:rsidTr="000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12" w:space="0" w:color="auto"/>
              <w:right w:val="single" w:sz="4" w:space="0" w:color="auto"/>
            </w:tcBorders>
          </w:tcPr>
          <w:p w:rsidR="000703DB" w:rsidRPr="00917FFB" w:rsidRDefault="000703DB" w:rsidP="004D62C3">
            <w:pPr>
              <w:pStyle w:val="Tabletext"/>
              <w:widowControl w:val="0"/>
              <w:rPr>
                <w:b/>
              </w:rPr>
            </w:pPr>
            <w:r w:rsidRPr="00917FFB">
              <w:rPr>
                <w:b/>
              </w:rPr>
              <w:t>Prescribing instructions:</w:t>
            </w:r>
          </w:p>
          <w:p w:rsidR="000703DB" w:rsidRPr="00917FFB" w:rsidRDefault="000703DB" w:rsidP="004D62C3">
            <w:pPr>
              <w:pStyle w:val="TableText0"/>
              <w:keepNext w:val="0"/>
              <w:rPr>
                <w:szCs w:val="20"/>
              </w:rPr>
            </w:pPr>
            <w:r w:rsidRPr="00917FFB">
              <w:t>A dose of 4 mg once daily may be considered for patients who have not achieved sustained control of disease activity with 2 mg once daily. Dose tapering to 2 mg once daily should be considered once the patient has achieved sustained control of disease with 4 mg once daily.</w:t>
            </w:r>
          </w:p>
        </w:tc>
      </w:tr>
      <w:tr w:rsidR="00915CB5" w:rsidRPr="00917FFB" w:rsidTr="00B17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12" w:space="0" w:color="auto"/>
              <w:left w:val="single" w:sz="4" w:space="0" w:color="auto"/>
              <w:bottom w:val="single" w:sz="4" w:space="0" w:color="auto"/>
              <w:right w:val="single" w:sz="4" w:space="0" w:color="auto"/>
            </w:tcBorders>
          </w:tcPr>
          <w:p w:rsidR="00915CB5" w:rsidRPr="00917FFB" w:rsidRDefault="00915CB5" w:rsidP="00915CB5">
            <w:pPr>
              <w:pStyle w:val="Tabletext"/>
              <w:widowControl w:val="0"/>
              <w:rPr>
                <w:b/>
              </w:rPr>
            </w:pPr>
            <w:r w:rsidRPr="00917FFB">
              <w:rPr>
                <w:b/>
              </w:rPr>
              <w:t>Treatment phase:</w:t>
            </w:r>
          </w:p>
        </w:tc>
        <w:tc>
          <w:tcPr>
            <w:tcW w:w="3856" w:type="pct"/>
            <w:gridSpan w:val="6"/>
            <w:tcBorders>
              <w:top w:val="single" w:sz="12" w:space="0" w:color="auto"/>
              <w:left w:val="single" w:sz="4" w:space="0" w:color="auto"/>
              <w:bottom w:val="single" w:sz="4" w:space="0" w:color="auto"/>
              <w:right w:val="single" w:sz="4" w:space="0" w:color="auto"/>
            </w:tcBorders>
            <w:vAlign w:val="center"/>
          </w:tcPr>
          <w:p w:rsidR="00915CB5" w:rsidRPr="00917FFB" w:rsidRDefault="00915CB5" w:rsidP="00915CB5">
            <w:pPr>
              <w:pStyle w:val="TableText0"/>
              <w:keepNext w:val="0"/>
              <w:rPr>
                <w:b/>
              </w:rPr>
            </w:pPr>
            <w:r w:rsidRPr="00917FFB">
              <w:rPr>
                <w:b/>
              </w:rPr>
              <w:t>Grandfather</w:t>
            </w:r>
          </w:p>
        </w:tc>
      </w:tr>
      <w:tr w:rsidR="00915CB5" w:rsidRPr="00917FFB" w:rsidTr="00EC5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44" w:type="pct"/>
            <w:tcBorders>
              <w:top w:val="single" w:sz="4" w:space="0" w:color="auto"/>
              <w:left w:val="single" w:sz="4" w:space="0" w:color="auto"/>
              <w:bottom w:val="single" w:sz="4" w:space="0" w:color="auto"/>
              <w:right w:val="single" w:sz="4" w:space="0" w:color="auto"/>
            </w:tcBorders>
          </w:tcPr>
          <w:p w:rsidR="00915CB5" w:rsidRPr="00917FFB" w:rsidRDefault="00915CB5" w:rsidP="00915CB5">
            <w:pPr>
              <w:pStyle w:val="Tabletext"/>
              <w:widowControl w:val="0"/>
              <w:rPr>
                <w:b/>
              </w:rPr>
            </w:pPr>
            <w:r w:rsidRPr="00917FFB">
              <w:rPr>
                <w:b/>
              </w:rPr>
              <w:t>Restriction:</w:t>
            </w:r>
          </w:p>
        </w:tc>
        <w:tc>
          <w:tcPr>
            <w:tcW w:w="3856" w:type="pct"/>
            <w:gridSpan w:val="6"/>
            <w:tcBorders>
              <w:top w:val="single" w:sz="4" w:space="0" w:color="auto"/>
              <w:left w:val="single" w:sz="4" w:space="0" w:color="auto"/>
              <w:bottom w:val="single" w:sz="4" w:space="0" w:color="auto"/>
              <w:right w:val="single" w:sz="4" w:space="0" w:color="auto"/>
            </w:tcBorders>
            <w:vAlign w:val="center"/>
          </w:tcPr>
          <w:p w:rsidR="00915CB5" w:rsidRPr="00917FFB" w:rsidRDefault="00915CB5" w:rsidP="00915CB5">
            <w:pPr>
              <w:pStyle w:val="TableText0"/>
              <w:keepNext w:val="0"/>
            </w:pPr>
            <w:r w:rsidRPr="00A15594">
              <w:rPr>
                <w:szCs w:val="20"/>
              </w:rPr>
              <w:fldChar w:fldCharType="begin">
                <w:ffData>
                  <w:name w:val=""/>
                  <w:enabled/>
                  <w:calcOnExit w:val="0"/>
                  <w:checkBox>
                    <w:sizeAuto/>
                    <w:default w:val="1"/>
                  </w:checkBox>
                </w:ffData>
              </w:fldChar>
            </w:r>
            <w:r w:rsidRPr="00917FFB">
              <w:rPr>
                <w:szCs w:val="20"/>
              </w:rPr>
              <w:instrText xml:space="preserve"> FORMCHECKBOX </w:instrText>
            </w:r>
            <w:r w:rsidR="007923A4">
              <w:rPr>
                <w:szCs w:val="20"/>
              </w:rPr>
            </w:r>
            <w:r w:rsidR="007923A4">
              <w:rPr>
                <w:szCs w:val="20"/>
              </w:rPr>
              <w:fldChar w:fldCharType="separate"/>
            </w:r>
            <w:r w:rsidRPr="00A15594">
              <w:rPr>
                <w:szCs w:val="20"/>
              </w:rPr>
              <w:fldChar w:fldCharType="end"/>
            </w:r>
            <w:r w:rsidRPr="00917FFB">
              <w:rPr>
                <w:szCs w:val="20"/>
              </w:rPr>
              <w:t>Authority Required - In Writing</w:t>
            </w:r>
          </w:p>
        </w:tc>
      </w:tr>
      <w:tr w:rsidR="000703DB" w:rsidRPr="00917FFB" w:rsidTr="000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0703DB" w:rsidRPr="00917FFB" w:rsidRDefault="000703DB" w:rsidP="00915CB5">
            <w:pPr>
              <w:pStyle w:val="Tabletext"/>
              <w:widowControl w:val="0"/>
              <w:rPr>
                <w:b/>
              </w:rPr>
            </w:pPr>
            <w:r w:rsidRPr="00917FFB">
              <w:rPr>
                <w:b/>
              </w:rPr>
              <w:t>Clinical criteria:</w:t>
            </w:r>
          </w:p>
          <w:p w:rsidR="000703DB" w:rsidRPr="00917FFB" w:rsidRDefault="000703DB" w:rsidP="00B17770">
            <w:pPr>
              <w:pStyle w:val="TableText0"/>
            </w:pPr>
            <w:r w:rsidRPr="00917FFB">
              <w:t xml:space="preserve">Patient must have a documented history of severe atopic dermatitis with an Eczema Area and Severity Index (EASI) score of ≥ 20 and a Physician’s Global Assessment (PGA) score of ≥ 4; Patient must have severe atopic dermatitis of the face or palm of hand; </w:t>
            </w:r>
          </w:p>
          <w:p w:rsidR="000703DB" w:rsidRPr="00917FFB" w:rsidRDefault="000703DB" w:rsidP="00B17770">
            <w:pPr>
              <w:pStyle w:val="TableText0"/>
            </w:pPr>
            <w:r w:rsidRPr="00917FFB">
              <w:t>AND</w:t>
            </w:r>
          </w:p>
          <w:p w:rsidR="000703DB" w:rsidRPr="00917FFB" w:rsidRDefault="000703DB" w:rsidP="00B17770">
            <w:pPr>
              <w:pStyle w:val="TableText0"/>
            </w:pPr>
            <w:r w:rsidRPr="00917FFB">
              <w:t xml:space="preserve">Patient must have failed to achieve an adequate response to topical therapies (topical corticosteroids and/or topical calcineurin inhibitors) prior to commencing non-PBS subsidised therapy with this drug for this condition; </w:t>
            </w:r>
          </w:p>
          <w:p w:rsidR="000703DB" w:rsidRPr="00917FFB" w:rsidRDefault="000703DB" w:rsidP="00B17770">
            <w:pPr>
              <w:pStyle w:val="TableText0"/>
            </w:pPr>
            <w:r w:rsidRPr="00917FFB">
              <w:t>AND</w:t>
            </w:r>
          </w:p>
          <w:p w:rsidR="000703DB" w:rsidRPr="00917FFB" w:rsidRDefault="000703DB" w:rsidP="00B17770">
            <w:pPr>
              <w:pStyle w:val="TableText0"/>
            </w:pPr>
            <w:r w:rsidRPr="00917FFB">
              <w:t xml:space="preserve">Patient must have received treatment with this drug for this condition prior to &lt;PBS listing date&gt;; </w:t>
            </w:r>
          </w:p>
          <w:p w:rsidR="000703DB" w:rsidRPr="00917FFB" w:rsidRDefault="000703DB" w:rsidP="00B17770">
            <w:pPr>
              <w:pStyle w:val="TableText0"/>
            </w:pPr>
            <w:r w:rsidRPr="00917FFB">
              <w:t>AND</w:t>
            </w:r>
          </w:p>
          <w:p w:rsidR="000703DB" w:rsidRPr="00917FFB" w:rsidRDefault="000703DB" w:rsidP="00B17770">
            <w:pPr>
              <w:pStyle w:val="TableText0"/>
            </w:pPr>
            <w:r w:rsidRPr="00917FFB">
              <w:t xml:space="preserve">Patient must have demonstrated an adequate response following at least 16 weeks of non-PBS-subsidised treatment with this drug; </w:t>
            </w:r>
          </w:p>
          <w:p w:rsidR="000703DB" w:rsidRPr="00917FFB" w:rsidRDefault="000703DB" w:rsidP="00B17770">
            <w:pPr>
              <w:pStyle w:val="TableText0"/>
            </w:pPr>
            <w:r w:rsidRPr="00917FFB">
              <w:t>AND</w:t>
            </w:r>
          </w:p>
          <w:p w:rsidR="000703DB" w:rsidRPr="00917FFB" w:rsidRDefault="000703DB" w:rsidP="00B17770">
            <w:pPr>
              <w:pStyle w:val="TableText0"/>
            </w:pPr>
            <w:r w:rsidRPr="00917FFB">
              <w:t xml:space="preserve">Treatment must be as systemic monotherapy (other than oral corticosteroids); </w:t>
            </w:r>
          </w:p>
          <w:p w:rsidR="000703DB" w:rsidRPr="00917FFB" w:rsidRDefault="000703DB" w:rsidP="00B17770">
            <w:pPr>
              <w:pStyle w:val="TableText0"/>
            </w:pPr>
            <w:r w:rsidRPr="00917FFB">
              <w:t>AND</w:t>
            </w:r>
          </w:p>
          <w:p w:rsidR="000703DB" w:rsidRPr="00917FFB" w:rsidRDefault="000703DB" w:rsidP="00B17770">
            <w:pPr>
              <w:pStyle w:val="TableText0"/>
              <w:keepNext w:val="0"/>
            </w:pPr>
            <w:r w:rsidRPr="00917FFB">
              <w:t>Patient must not receive more than 24 weeks of treatment under this restriction</w:t>
            </w:r>
          </w:p>
        </w:tc>
      </w:tr>
      <w:tr w:rsidR="000703DB" w:rsidRPr="00917FFB" w:rsidTr="000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0703DB" w:rsidRPr="00917FFB" w:rsidRDefault="000703DB" w:rsidP="002C5A6A">
            <w:pPr>
              <w:pStyle w:val="Tabletext"/>
              <w:widowControl w:val="0"/>
              <w:rPr>
                <w:b/>
              </w:rPr>
            </w:pPr>
            <w:r w:rsidRPr="00917FFB">
              <w:rPr>
                <w:b/>
              </w:rPr>
              <w:t>Prescribing instructions:</w:t>
            </w:r>
          </w:p>
          <w:p w:rsidR="000703DB" w:rsidRPr="00917FFB" w:rsidRDefault="000703DB" w:rsidP="00EA1578">
            <w:pPr>
              <w:pStyle w:val="TableText0"/>
            </w:pPr>
            <w:r w:rsidRPr="00917FFB">
              <w:t>An adequate response to treatment (whole body) is defined as both:</w:t>
            </w:r>
          </w:p>
          <w:p w:rsidR="000703DB" w:rsidRPr="00917FFB" w:rsidRDefault="000703DB" w:rsidP="00EA1578">
            <w:pPr>
              <w:pStyle w:val="TableText0"/>
              <w:ind w:left="360"/>
            </w:pPr>
            <w:r w:rsidRPr="00917FFB">
              <w:t>1. An improvement of the EASI score of ≥50%, or sustained at that level compared to the pre-treatment baseline value;</w:t>
            </w:r>
          </w:p>
          <w:p w:rsidR="000703DB" w:rsidRPr="00917FFB" w:rsidRDefault="000703DB" w:rsidP="00EA1578">
            <w:pPr>
              <w:pStyle w:val="TableText0"/>
              <w:ind w:left="360"/>
            </w:pPr>
            <w:r w:rsidRPr="00917FFB">
              <w:t>2. An improvement of the DLQI score of ≥ 4, or sustained at that level compared to the pre-treatment baseline value.</w:t>
            </w:r>
          </w:p>
          <w:p w:rsidR="000703DB" w:rsidRPr="00917FFB" w:rsidRDefault="000703DB" w:rsidP="00EA1578">
            <w:pPr>
              <w:pStyle w:val="TableText0"/>
            </w:pPr>
            <w:r w:rsidRPr="00917FFB">
              <w:t>An adequate response to treatment (face and palm of hand) is defined as either:</w:t>
            </w:r>
          </w:p>
          <w:p w:rsidR="000703DB" w:rsidRPr="00917FFB" w:rsidRDefault="000703DB" w:rsidP="00967196">
            <w:pPr>
              <w:pStyle w:val="TableText0"/>
              <w:numPr>
                <w:ilvl w:val="0"/>
                <w:numId w:val="36"/>
              </w:numPr>
            </w:pPr>
            <w:r w:rsidRPr="00917FFB">
              <w:t>An improvement of the EASI score of at least 3 of the 4 subscores for erythema, oedema/papulation, excoriation and lichenification to mild or better, or sustained at this level, as compared to the pre-treatment baseline values; OR</w:t>
            </w:r>
          </w:p>
          <w:p w:rsidR="000703DB" w:rsidRPr="00917FFB" w:rsidRDefault="000703DB" w:rsidP="00967196">
            <w:pPr>
              <w:pStyle w:val="TableText0"/>
              <w:numPr>
                <w:ilvl w:val="0"/>
                <w:numId w:val="36"/>
              </w:numPr>
            </w:pPr>
            <w:r w:rsidRPr="00917FFB">
              <w:t>A reduction by 75% or more of the skin area affected, or sustained at this level, as compared to the pre-treatment baseline value.</w:t>
            </w:r>
          </w:p>
        </w:tc>
      </w:tr>
    </w:tbl>
    <w:p w:rsidR="004D62C3" w:rsidRPr="00917FFB" w:rsidRDefault="004D62C3" w:rsidP="004D62C3">
      <w:pPr>
        <w:pStyle w:val="TableFooter"/>
        <w:tabs>
          <w:tab w:val="left" w:pos="142"/>
        </w:tabs>
      </w:pPr>
      <w:r w:rsidRPr="00917FFB">
        <w:rPr>
          <w:vertAlign w:val="superscript"/>
        </w:rPr>
        <w:t>*</w:t>
      </w:r>
      <w:r w:rsidRPr="00917FFB">
        <w:t xml:space="preserve"> The submission requested a special pricing arrangement to be negotiated with the Department of Health. The requested published price was derived from the published price for dupilumab less </w:t>
      </w:r>
      <w:r w:rsidR="00B1613E">
        <w:rPr>
          <w:noProof/>
          <w:color w:val="000000"/>
          <w:highlight w:val="black"/>
        </w:rPr>
        <w:t>''''''''''''</w:t>
      </w:r>
      <w:r w:rsidRPr="00917FFB">
        <w:t>% to account for the inferior effectiveness of baricitinib.</w:t>
      </w:r>
    </w:p>
    <w:p w:rsidR="004D62C3" w:rsidRPr="00917FFB" w:rsidRDefault="004D62C3" w:rsidP="00D44EE1">
      <w:pPr>
        <w:pStyle w:val="TableFooter"/>
        <w:spacing w:after="120"/>
      </w:pPr>
      <w:r w:rsidRPr="00917FFB">
        <w:t>Source: Table 1.4-1, pp50-51 of the submission &amp; Tables 1.4-2 to 1.4-6, pp 53-61 of the submission.</w:t>
      </w:r>
    </w:p>
    <w:p w:rsidR="00591957" w:rsidRPr="00917FFB" w:rsidRDefault="006E4221" w:rsidP="004E18E9">
      <w:pPr>
        <w:pStyle w:val="3-BodyText"/>
      </w:pPr>
      <w:r w:rsidRPr="00917FFB">
        <w:t>The sponsor requested Authority Required (In Writing) and Authority Required (Streamlined) listing of BARI 2</w:t>
      </w:r>
      <w:r w:rsidR="00EF1985" w:rsidRPr="00917FFB">
        <w:t xml:space="preserve"> </w:t>
      </w:r>
      <w:r w:rsidRPr="00917FFB">
        <w:t>mg and 4</w:t>
      </w:r>
      <w:r w:rsidR="00EF1985" w:rsidRPr="00917FFB">
        <w:t xml:space="preserve"> </w:t>
      </w:r>
      <w:r w:rsidRPr="00917FFB">
        <w:t xml:space="preserve">mg tablets for initial and continuing treatment of adults with severe AD, including </w:t>
      </w:r>
      <w:r w:rsidR="000703DB" w:rsidRPr="00917FFB">
        <w:t>transitioning (‘Grandfather’) arrangements</w:t>
      </w:r>
      <w:r w:rsidR="000214B0" w:rsidRPr="00917FFB">
        <w:t>. The requested listing requires patients to initiate treatment on BARI 2</w:t>
      </w:r>
      <w:r w:rsidR="00EF1985" w:rsidRPr="00917FFB">
        <w:t xml:space="preserve"> </w:t>
      </w:r>
      <w:r w:rsidR="000214B0" w:rsidRPr="00917FFB">
        <w:t>mg, and allows for up titration to BARI 4</w:t>
      </w:r>
      <w:r w:rsidR="00EF1985" w:rsidRPr="00917FFB">
        <w:t xml:space="preserve"> </w:t>
      </w:r>
      <w:r w:rsidR="000214B0" w:rsidRPr="00917FFB">
        <w:t>mg during the initial treatment period at the doctor’s discretion (after the first 4 weeks of treatment) via a streamlined (initial) balance of supply restriction. Continuing treatment on BARI 2</w:t>
      </w:r>
      <w:r w:rsidR="00EF1985" w:rsidRPr="00917FFB">
        <w:t xml:space="preserve"> </w:t>
      </w:r>
      <w:r w:rsidR="000214B0" w:rsidRPr="00917FFB">
        <w:t>mg or 4</w:t>
      </w:r>
      <w:r w:rsidR="00EF1985" w:rsidRPr="00917FFB">
        <w:t xml:space="preserve"> </w:t>
      </w:r>
      <w:r w:rsidR="000214B0" w:rsidRPr="00917FFB">
        <w:t>mg is conditional on meeting the clinical response criteria within the first 16 weeks of treatment, and a streamlined (continuing) balance of supply restriction allows for dose tapering from BARI 4</w:t>
      </w:r>
      <w:r w:rsidR="00EF1985" w:rsidRPr="00917FFB">
        <w:t xml:space="preserve"> </w:t>
      </w:r>
      <w:r w:rsidR="000214B0" w:rsidRPr="00917FFB">
        <w:t>mg to BARI 2</w:t>
      </w:r>
      <w:r w:rsidR="00EF1985" w:rsidRPr="00917FFB">
        <w:t xml:space="preserve"> </w:t>
      </w:r>
      <w:r w:rsidR="000214B0" w:rsidRPr="00917FFB">
        <w:t>mg at the doctor’s discretion.</w:t>
      </w:r>
    </w:p>
    <w:p w:rsidR="00F67A69" w:rsidRPr="00917FFB" w:rsidRDefault="000214B0" w:rsidP="00F9393E">
      <w:pPr>
        <w:pStyle w:val="3-BodyText"/>
      </w:pPr>
      <w:r w:rsidRPr="00917FFB">
        <w:t xml:space="preserve">The submission stated a </w:t>
      </w:r>
      <w:r w:rsidR="000703DB" w:rsidRPr="00917FFB">
        <w:t>transitioning (‘Grandfather’) arrangements would be</w:t>
      </w:r>
      <w:r w:rsidRPr="00917FFB">
        <w:t xml:space="preserve"> necessary to provide continuing treatment for an estimated 500 patients enrolled in an early access program. </w:t>
      </w:r>
      <w:r w:rsidR="00BB20D2" w:rsidRPr="00917FFB">
        <w:t xml:space="preserve">The pre-PBAC response stated there are currently 106 patients receiving treatment with </w:t>
      </w:r>
      <w:r w:rsidR="00DB40A1" w:rsidRPr="00917FFB">
        <w:t xml:space="preserve">BARI </w:t>
      </w:r>
      <w:r w:rsidR="00BB20D2" w:rsidRPr="00917FFB">
        <w:t>through a special access program and all are expected to meet the PBS eligibility criteria in the initial listing.</w:t>
      </w:r>
    </w:p>
    <w:p w:rsidR="00CC35EA" w:rsidRPr="00917FFB" w:rsidRDefault="000214B0" w:rsidP="00F9393E">
      <w:pPr>
        <w:pStyle w:val="3-BodyText"/>
      </w:pPr>
      <w:r w:rsidRPr="00917FFB">
        <w:t>The requested quantities would provide for 20 weeks of initial treatment (5 packs) and 24 weeks of continuing treatment (6 packs), in line with the wording of the</w:t>
      </w:r>
      <w:r w:rsidR="00717AA8" w:rsidRPr="000D2978">
        <w:t xml:space="preserve"> restrictions. The requested 20 </w:t>
      </w:r>
      <w:r w:rsidRPr="000D2978">
        <w:t xml:space="preserve">week duration for initial treatment allows for sufficient time for clinicians to up titrate </w:t>
      </w:r>
      <w:r w:rsidRPr="00917FFB">
        <w:t>from BARI 2</w:t>
      </w:r>
      <w:r w:rsidR="00EF1985" w:rsidRPr="00917FFB">
        <w:t xml:space="preserve"> </w:t>
      </w:r>
      <w:r w:rsidRPr="00917FFB">
        <w:t>mg to BARI 4</w:t>
      </w:r>
      <w:r w:rsidR="00EF1985" w:rsidRPr="00917FFB">
        <w:t xml:space="preserve"> </w:t>
      </w:r>
      <w:r w:rsidRPr="00917FFB">
        <w:t xml:space="preserve">mg if a patient does not achieve an adequate response. The requested listing </w:t>
      </w:r>
      <w:r w:rsidR="00885F82" w:rsidRPr="00917FFB">
        <w:t xml:space="preserve">would </w:t>
      </w:r>
      <w:r w:rsidRPr="00917FFB">
        <w:t>provide clinicians with maximum flexibility in how doses are up titrated and tapered through the balance of supply restriction; however, the requested number of repeats may (unintentionally) provide more than 20 weeks for initial treatment and 24 weeks of continuing treatment in patients who require dose adjustment. It may also be appropriate to limit the number of repeats for the initial balance of supply restriction for BARI 4</w:t>
      </w:r>
      <w:r w:rsidR="00EF1985" w:rsidRPr="00917FFB">
        <w:t xml:space="preserve"> </w:t>
      </w:r>
      <w:r w:rsidRPr="00917FFB">
        <w:t>mg (down from 16 weeks) given treatment discontinuation is recommended after 8 weeks in patients who fail to respond</w:t>
      </w:r>
      <w:r w:rsidR="007948CA" w:rsidRPr="00917FFB">
        <w:t xml:space="preserve"> (and presumably patients would be monitor</w:t>
      </w:r>
      <w:r w:rsidR="00C0341B" w:rsidRPr="00917FFB">
        <w:t>ed</w:t>
      </w:r>
      <w:r w:rsidR="007948CA" w:rsidRPr="00917FFB">
        <w:t xml:space="preserve"> more closely)</w:t>
      </w:r>
      <w:r w:rsidRPr="00917FFB">
        <w:t>.</w:t>
      </w:r>
    </w:p>
    <w:p w:rsidR="000214B0" w:rsidRPr="00917FFB" w:rsidRDefault="000214B0" w:rsidP="00F9393E">
      <w:pPr>
        <w:pStyle w:val="3-BodyText"/>
      </w:pPr>
      <w:r w:rsidRPr="00917FFB">
        <w:t>The sponsor requested a flat pricing structure for the 2</w:t>
      </w:r>
      <w:r w:rsidR="00EF1985" w:rsidRPr="00917FFB">
        <w:t xml:space="preserve"> </w:t>
      </w:r>
      <w:r w:rsidRPr="00917FFB">
        <w:t>mg and 4</w:t>
      </w:r>
      <w:r w:rsidR="00EF1985" w:rsidRPr="000D2978">
        <w:t xml:space="preserve"> </w:t>
      </w:r>
      <w:r w:rsidRPr="000D2978">
        <w:t>mg formulatio</w:t>
      </w:r>
      <w:r w:rsidRPr="00917FFB">
        <w:t xml:space="preserve">ns, and a special pricing arrangement (SPA) that would maintain the current published DPMQs as for rheumatoid arthritis ($1,271.34). The submission stated that without knowledge of the current effective price for DUPI, the sponsor is unable to calculate an effective price for BARI. In Section 3, the submission proposed a </w:t>
      </w:r>
      <w:r w:rsidR="00B1613E">
        <w:rPr>
          <w:noProof/>
          <w:color w:val="000000"/>
          <w:highlight w:val="black"/>
        </w:rPr>
        <w:t>''''''''''</w:t>
      </w:r>
      <w:r w:rsidRPr="00917FFB">
        <w:t xml:space="preserve">% </w:t>
      </w:r>
      <w:r w:rsidR="00A00B1D" w:rsidRPr="00917FFB">
        <w:t xml:space="preserve">relative </w:t>
      </w:r>
      <w:r w:rsidRPr="00917FFB">
        <w:t xml:space="preserve">price reduction for BARI compared to DUPI to reflect the inferior efficacy of BARI. The submission stated that the size of the discount reflects the risk difference across the efficacy outcomes. </w:t>
      </w:r>
      <w:r w:rsidR="00EB680D" w:rsidRPr="00917FFB">
        <w:t>The</w:t>
      </w:r>
      <w:r w:rsidR="00265D73" w:rsidRPr="00917FFB">
        <w:t xml:space="preserve"> sponsor proposed a </w:t>
      </w:r>
      <w:r w:rsidR="00EB680D" w:rsidRPr="00917FFB">
        <w:t>relative</w:t>
      </w:r>
      <w:r w:rsidR="00265D73" w:rsidRPr="00917FFB">
        <w:t xml:space="preserve"> </w:t>
      </w:r>
      <w:r w:rsidR="00B1613E">
        <w:rPr>
          <w:noProof/>
          <w:color w:val="000000"/>
          <w:highlight w:val="black"/>
        </w:rPr>
        <w:t>'''''''''''</w:t>
      </w:r>
      <w:r w:rsidR="00265D73" w:rsidRPr="00917FFB">
        <w:t>%</w:t>
      </w:r>
      <w:r w:rsidR="00EB680D" w:rsidRPr="00917FFB">
        <w:t xml:space="preserve"> discount based on </w:t>
      </w:r>
      <w:r w:rsidR="00265D73" w:rsidRPr="00917FFB">
        <w:t xml:space="preserve">the </w:t>
      </w:r>
      <w:r w:rsidR="006142B3">
        <w:rPr>
          <w:noProof/>
          <w:color w:val="000000"/>
          <w:highlight w:val="black"/>
        </w:rPr>
        <w:t>'''''''''''''''''</w:t>
      </w:r>
      <w:r w:rsidR="00265D73" w:rsidRPr="00917FFB">
        <w:t xml:space="preserve"> reduction in the number of treatment responders, which was less than the </w:t>
      </w:r>
      <w:r w:rsidR="00EA3594" w:rsidRPr="00917FFB">
        <w:t>approximate</w:t>
      </w:r>
      <w:r w:rsidR="00896971" w:rsidRPr="00917FFB">
        <w:t xml:space="preserve"> </w:t>
      </w:r>
      <w:r w:rsidR="00B1613E">
        <w:rPr>
          <w:noProof/>
          <w:color w:val="000000"/>
          <w:highlight w:val="black"/>
        </w:rPr>
        <w:t>''''''</w:t>
      </w:r>
      <w:r w:rsidR="00896971" w:rsidRPr="00917FFB">
        <w:t xml:space="preserve">% </w:t>
      </w:r>
      <w:r w:rsidR="006142B3">
        <w:rPr>
          <w:noProof/>
          <w:color w:val="000000"/>
          <w:highlight w:val="black"/>
        </w:rPr>
        <w:t>'''''''''''''</w:t>
      </w:r>
      <w:r w:rsidR="00265D73" w:rsidRPr="00917FFB">
        <w:t xml:space="preserve"> reduction in the number of responders </w:t>
      </w:r>
      <w:r w:rsidR="00896971" w:rsidRPr="00917FFB">
        <w:t>with BARI versus DUPI</w:t>
      </w:r>
      <w:r w:rsidR="00265D73" w:rsidRPr="00917FFB">
        <w:t xml:space="preserve">. </w:t>
      </w:r>
      <w:r w:rsidR="001D6569" w:rsidRPr="00917FFB">
        <w:t>In the pre-PBAC response the sponsor proposed a further reduced price for BARI (AEMP $</w:t>
      </w:r>
      <w:r w:rsidR="00B1613E">
        <w:rPr>
          <w:noProof/>
          <w:color w:val="000000"/>
          <w:highlight w:val="black"/>
        </w:rPr>
        <w:t>''''''''''''''</w:t>
      </w:r>
      <w:r w:rsidR="001D6569" w:rsidRPr="00917FFB">
        <w:t xml:space="preserve">, </w:t>
      </w:r>
      <w:r w:rsidR="00B1613E">
        <w:rPr>
          <w:noProof/>
          <w:color w:val="000000"/>
          <w:highlight w:val="black"/>
        </w:rPr>
        <w:t>'''''</w:t>
      </w:r>
      <w:r w:rsidR="001D6569" w:rsidRPr="00917FFB">
        <w:t xml:space="preserve">% reduction), to reflect the </w:t>
      </w:r>
      <w:r w:rsidR="00B1613E">
        <w:rPr>
          <w:noProof/>
          <w:color w:val="000000"/>
          <w:highlight w:val="black"/>
        </w:rPr>
        <w:t>''''''</w:t>
      </w:r>
      <w:r w:rsidR="001D6569" w:rsidRPr="00917FFB">
        <w:t xml:space="preserve">% </w:t>
      </w:r>
      <w:r w:rsidR="006142B3">
        <w:rPr>
          <w:noProof/>
          <w:color w:val="000000"/>
          <w:highlight w:val="black"/>
        </w:rPr>
        <w:t>'''''''''''''''</w:t>
      </w:r>
      <w:r w:rsidR="001D6569" w:rsidRPr="00917FFB">
        <w:t xml:space="preserve"> reduction in response compared to DUPI</w:t>
      </w:r>
      <w:r w:rsidR="00917FFB">
        <w:t xml:space="preserve">. </w:t>
      </w:r>
    </w:p>
    <w:p w:rsidR="000214B0" w:rsidRPr="00917FFB" w:rsidRDefault="000214B0" w:rsidP="007948CA">
      <w:pPr>
        <w:pStyle w:val="3-BodyText"/>
      </w:pPr>
      <w:r w:rsidRPr="000D2978">
        <w:t>The submission stated that the requested restrictions for BARI were base</w:t>
      </w:r>
      <w:r w:rsidRPr="00917FFB">
        <w:t>d on the ‘proposed’ restrictions for DUPI (taking into consideration PBAC feedback from July 2019). Aside from differences in the population criteria owing to the TGA indications (adolescents and adults for DUPI compared to only adults for BARI), there are notable differences compared to the approved PBS listing of DUPI (listed on 1 March 2021), including:</w:t>
      </w:r>
    </w:p>
    <w:p w:rsidR="000214B0" w:rsidRPr="00917FFB" w:rsidRDefault="000214B0" w:rsidP="00967196">
      <w:pPr>
        <w:pStyle w:val="3-BodyText"/>
        <w:numPr>
          <w:ilvl w:val="0"/>
          <w:numId w:val="29"/>
        </w:numPr>
        <w:ind w:left="1040"/>
      </w:pPr>
      <w:r w:rsidRPr="00917FFB">
        <w:t>For DUPI, there are separate restrictions for the treatment of patients with severe AD affecting the i) whole body, or ii) face/hands. In contrast, the criteria for whole body and face/hands are considered within the same restriction for BARI.</w:t>
      </w:r>
    </w:p>
    <w:p w:rsidR="000214B0" w:rsidRPr="00917FFB" w:rsidRDefault="000214B0" w:rsidP="00967196">
      <w:pPr>
        <w:pStyle w:val="3-BodyText"/>
        <w:numPr>
          <w:ilvl w:val="0"/>
          <w:numId w:val="29"/>
        </w:numPr>
        <w:ind w:left="1040"/>
      </w:pPr>
      <w:r w:rsidRPr="00917FFB">
        <w:t>For DUPI, the continuing treatment criteria allow for patients to resume treatment if patients have temporarily ceased treatment for reasons other than lack of response</w:t>
      </w:r>
      <w:r w:rsidR="007948CA" w:rsidRPr="00917FFB">
        <w:t>, but t</w:t>
      </w:r>
      <w:r w:rsidRPr="00917FFB">
        <w:t xml:space="preserve">here is no such allowance in the requested </w:t>
      </w:r>
      <w:r w:rsidR="007948CA" w:rsidRPr="00917FFB">
        <w:t xml:space="preserve">listing </w:t>
      </w:r>
      <w:r w:rsidRPr="00917FFB">
        <w:t>for BARI.</w:t>
      </w:r>
    </w:p>
    <w:p w:rsidR="005F672C" w:rsidRPr="00917FFB" w:rsidRDefault="005F672C" w:rsidP="00967196">
      <w:pPr>
        <w:pStyle w:val="ListParagraph"/>
        <w:numPr>
          <w:ilvl w:val="0"/>
          <w:numId w:val="29"/>
        </w:numPr>
        <w:ind w:left="1040"/>
      </w:pPr>
      <w:r w:rsidRPr="00917FFB">
        <w:t xml:space="preserve">For patients with severe AD </w:t>
      </w:r>
      <w:r w:rsidRPr="00917FFB">
        <w:rPr>
          <w:u w:val="single"/>
        </w:rPr>
        <w:t>affecting the face/hands</w:t>
      </w:r>
      <w:r w:rsidRPr="00917FFB">
        <w:t xml:space="preserve">, there are no disease specific criteria for initial treatment with BARI, whereas eligible patients for initial treatment with DUPI must have at least 2 of the </w:t>
      </w:r>
      <w:r w:rsidR="004D2B60" w:rsidRPr="00917FFB">
        <w:t>Eczema Area and Severity Index (</w:t>
      </w:r>
      <w:r w:rsidRPr="00917FFB">
        <w:t>EASI</w:t>
      </w:r>
      <w:r w:rsidR="004D2B60" w:rsidRPr="00917FFB">
        <w:t>)</w:t>
      </w:r>
      <w:r w:rsidRPr="00917FFB">
        <w:t xml:space="preserve"> symptom sub-scores rated as severe or ≥30% surface area of the face/hands affected.</w:t>
      </w:r>
    </w:p>
    <w:p w:rsidR="000214B0" w:rsidRPr="00917FFB" w:rsidRDefault="000214B0" w:rsidP="00967196">
      <w:pPr>
        <w:pStyle w:val="3-BodyText"/>
        <w:numPr>
          <w:ilvl w:val="0"/>
          <w:numId w:val="29"/>
        </w:numPr>
        <w:ind w:left="1040"/>
      </w:pPr>
      <w:r w:rsidRPr="00917FFB">
        <w:t xml:space="preserve">For patients with severe AD </w:t>
      </w:r>
      <w:r w:rsidRPr="00917FFB">
        <w:rPr>
          <w:u w:val="single"/>
        </w:rPr>
        <w:t>affecting the face/hands</w:t>
      </w:r>
      <w:r w:rsidRPr="00917FFB">
        <w:t>, the proposed response criteria for BARI is slightly different to the approved response criteria for DUPI.</w:t>
      </w:r>
    </w:p>
    <w:p w:rsidR="000214B0" w:rsidRPr="00917FFB" w:rsidRDefault="000214B0" w:rsidP="00D73B9D">
      <w:pPr>
        <w:pStyle w:val="3-BodyText"/>
        <w:numPr>
          <w:ilvl w:val="0"/>
          <w:numId w:val="0"/>
        </w:numPr>
        <w:ind w:left="1040"/>
      </w:pPr>
      <w:r w:rsidRPr="00917FFB">
        <w:t>For DUPI, response is defined as:</w:t>
      </w:r>
    </w:p>
    <w:p w:rsidR="000214B0" w:rsidRPr="00917FFB" w:rsidRDefault="000214B0" w:rsidP="00DD1C36">
      <w:pPr>
        <w:pStyle w:val="3-BodyText"/>
        <w:numPr>
          <w:ilvl w:val="0"/>
          <w:numId w:val="0"/>
        </w:numPr>
        <w:ind w:left="1040"/>
      </w:pPr>
      <w:r w:rsidRPr="00917FFB">
        <w:t>(a) (i) A rating of either mild (1) to none (0) on at least 3 of the assessments of erythema, oedema/papulation, excoriation and lichenification mentioned in the EASI; OR (ii) At least a 75% reduction in the skin area affected by this condition compared to baseline; AND</w:t>
      </w:r>
    </w:p>
    <w:p w:rsidR="000214B0" w:rsidRPr="00917FFB" w:rsidRDefault="000214B0" w:rsidP="00DD1C36">
      <w:pPr>
        <w:pStyle w:val="3-BodyText"/>
        <w:numPr>
          <w:ilvl w:val="0"/>
          <w:numId w:val="0"/>
        </w:numPr>
        <w:ind w:left="1040"/>
      </w:pPr>
      <w:r w:rsidRPr="00917FFB">
        <w:t>(b) An improvement in Dermatology Life Quality Index (DLQI) score of at least 4 points compared to baseline</w:t>
      </w:r>
      <w:r w:rsidR="00904AED" w:rsidRPr="00917FFB">
        <w:t>.</w:t>
      </w:r>
    </w:p>
    <w:p w:rsidR="000214B0" w:rsidRPr="00917FFB" w:rsidRDefault="000214B0" w:rsidP="00967196">
      <w:pPr>
        <w:pStyle w:val="3-BodyText"/>
        <w:numPr>
          <w:ilvl w:val="0"/>
          <w:numId w:val="29"/>
        </w:numPr>
        <w:ind w:left="1040"/>
      </w:pPr>
      <w:r w:rsidRPr="00917FFB">
        <w:t xml:space="preserve">For DUPI, prescribing is restricted to dermatologists and clinical immunologists, but the requested ‘treatment criteria’ for BARI allows prescribing by any physician with expertise in treating AD. The submission stated that the rationale for broadening this </w:t>
      </w:r>
      <w:r w:rsidR="004C2C71" w:rsidRPr="00917FFB">
        <w:t>criterion</w:t>
      </w:r>
      <w:r w:rsidRPr="00917FFB">
        <w:t xml:space="preserve"> was that clinical immunologists may not be accessible in rural and remote settings; however, access to dermatologists was not considered in this argument.</w:t>
      </w:r>
    </w:p>
    <w:p w:rsidR="00EA3594" w:rsidRPr="00917FFB" w:rsidRDefault="00EA3594" w:rsidP="003B629E">
      <w:pPr>
        <w:pStyle w:val="3-BodyText"/>
        <w:rPr>
          <w:iCs/>
        </w:rPr>
      </w:pPr>
      <w:r w:rsidRPr="00917FFB">
        <w:rPr>
          <w:iCs/>
        </w:rPr>
        <w:t xml:space="preserve">The Pre-Sub-Committee Response (PSCR) stated that the sponsor </w:t>
      </w:r>
      <w:r w:rsidR="000703DB" w:rsidRPr="00917FFB">
        <w:rPr>
          <w:iCs/>
        </w:rPr>
        <w:t>wa</w:t>
      </w:r>
      <w:r w:rsidRPr="00917FFB">
        <w:rPr>
          <w:iCs/>
        </w:rPr>
        <w:t>s amenable to revis</w:t>
      </w:r>
      <w:r w:rsidR="00B725C8" w:rsidRPr="00917FFB">
        <w:rPr>
          <w:iCs/>
        </w:rPr>
        <w:t>ing</w:t>
      </w:r>
      <w:r w:rsidRPr="00917FFB">
        <w:rPr>
          <w:iCs/>
        </w:rPr>
        <w:t xml:space="preserve"> the</w:t>
      </w:r>
      <w:r w:rsidR="00B725C8" w:rsidRPr="00917FFB">
        <w:rPr>
          <w:iCs/>
        </w:rPr>
        <w:t xml:space="preserve"> </w:t>
      </w:r>
      <w:r w:rsidRPr="00917FFB">
        <w:rPr>
          <w:iCs/>
        </w:rPr>
        <w:t>restriction (in alignment with the DUPI restrictions</w:t>
      </w:r>
      <w:r w:rsidR="002E1718">
        <w:rPr>
          <w:iCs/>
        </w:rPr>
        <w:t>)</w:t>
      </w:r>
      <w:r w:rsidRPr="00917FFB">
        <w:rPr>
          <w:iCs/>
        </w:rPr>
        <w:t xml:space="preserve">. </w:t>
      </w:r>
      <w:r w:rsidR="00AE0A01" w:rsidRPr="00917FFB">
        <w:rPr>
          <w:iCs/>
        </w:rPr>
        <w:t xml:space="preserve">The </w:t>
      </w:r>
      <w:r w:rsidR="009339E9" w:rsidRPr="00917FFB">
        <w:rPr>
          <w:iCs/>
        </w:rPr>
        <w:t>PBAC</w:t>
      </w:r>
      <w:r w:rsidR="00AE0A01" w:rsidRPr="00917FFB">
        <w:rPr>
          <w:iCs/>
        </w:rPr>
        <w:t xml:space="preserve"> </w:t>
      </w:r>
      <w:r w:rsidR="00EF1985" w:rsidRPr="00917FFB">
        <w:rPr>
          <w:iCs/>
        </w:rPr>
        <w:t xml:space="preserve">considered that it would be appropriate for the listing to align with that for </w:t>
      </w:r>
      <w:r w:rsidR="00A76ED9" w:rsidRPr="00917FFB">
        <w:rPr>
          <w:iCs/>
        </w:rPr>
        <w:t>DUPI</w:t>
      </w:r>
      <w:r w:rsidR="00EF1985" w:rsidRPr="00917FFB">
        <w:rPr>
          <w:iCs/>
        </w:rPr>
        <w:t xml:space="preserve"> in terms of allowed prescribers, and initial and continuing assessment criteria.</w:t>
      </w:r>
    </w:p>
    <w:p w:rsidR="00BE38EB" w:rsidRPr="00917FFB" w:rsidRDefault="0082191D" w:rsidP="00A34379">
      <w:pPr>
        <w:pStyle w:val="3-BodyText"/>
      </w:pPr>
      <w:r w:rsidRPr="00917FFB">
        <w:t xml:space="preserve">Based on the requested restriction, patients who fail to respond to treatment with DUPI would be eligible for BARI and vice versa. The sequential use of these two treatments (or potentially three treatments including the near-market comparator </w:t>
      </w:r>
      <w:r w:rsidR="006B50B7" w:rsidRPr="00917FFB">
        <w:t>upadacitinib</w:t>
      </w:r>
      <w:r w:rsidRPr="00917FFB">
        <w:t xml:space="preserve">, see </w:t>
      </w:r>
      <w:r w:rsidR="00CF4648" w:rsidRPr="00917FFB">
        <w:t>paragraph 1.2</w:t>
      </w:r>
      <w:r w:rsidRPr="00917FFB">
        <w:t xml:space="preserve">) is consistent with the proposed clinical management algorithm presented in the submission (but inconsistent with the financial estimates, see paragraph </w:t>
      </w:r>
      <w:r w:rsidR="00CF4648" w:rsidRPr="00917FFB">
        <w:t>6.</w:t>
      </w:r>
      <w:r w:rsidR="00C20421" w:rsidRPr="00917FFB">
        <w:t>5</w:t>
      </w:r>
      <w:r w:rsidR="002918A8">
        <w:t>3</w:t>
      </w:r>
      <w:r w:rsidRPr="00917FFB">
        <w:t>)</w:t>
      </w:r>
      <w:r w:rsidR="00917FFB">
        <w:t xml:space="preserve">. </w:t>
      </w:r>
      <w:r w:rsidR="000D5577" w:rsidRPr="00917FFB">
        <w:t>The PSCR stated that BARI has a different mechanism of action to DUPI and, as such, non-response to one medicine does not preclude a patient responding to the other medicine. The PSCR</w:t>
      </w:r>
      <w:r w:rsidR="002A5CFE" w:rsidRPr="00917FFB">
        <w:t xml:space="preserve"> also stated </w:t>
      </w:r>
      <w:r w:rsidR="000D5577" w:rsidRPr="00917FFB">
        <w:t>that sequential treatment is in the best interest of patients</w:t>
      </w:r>
      <w:r w:rsidR="002A5CFE" w:rsidRPr="00917FFB">
        <w:t>, despite the potential for increased market growth.</w:t>
      </w:r>
      <w:r w:rsidR="00EF1985" w:rsidRPr="00917FFB">
        <w:t xml:space="preserve"> The ESC noted that it may </w:t>
      </w:r>
      <w:r w:rsidR="00047DF0" w:rsidRPr="00917FFB">
        <w:t>be reasonable</w:t>
      </w:r>
      <w:r w:rsidR="00EF1985" w:rsidRPr="00917FFB">
        <w:t xml:space="preserve"> for</w:t>
      </w:r>
      <w:r w:rsidR="00047DF0" w:rsidRPr="00917FFB">
        <w:t xml:space="preserve"> </w:t>
      </w:r>
      <w:r w:rsidR="00EF1985" w:rsidRPr="00917FFB">
        <w:t>patients who fail DUPI to be treated with BARI</w:t>
      </w:r>
      <w:r w:rsidR="00047DF0" w:rsidRPr="00917FFB">
        <w:t xml:space="preserve"> based on the different mechanism of action</w:t>
      </w:r>
      <w:r w:rsidR="00EF1985" w:rsidRPr="00917FFB">
        <w:t xml:space="preserve">, </w:t>
      </w:r>
      <w:r w:rsidR="00047DF0" w:rsidRPr="00917FFB">
        <w:t xml:space="preserve">however </w:t>
      </w:r>
      <w:r w:rsidR="00EF1985" w:rsidRPr="00917FFB">
        <w:t xml:space="preserve">given the lower efficacy for BARI, the ESC considered that it is unclear whether </w:t>
      </w:r>
      <w:r w:rsidR="00047DF0" w:rsidRPr="00917FFB">
        <w:t>BARI is likely to be of benefit in these patients.</w:t>
      </w:r>
    </w:p>
    <w:p w:rsidR="009E0D35" w:rsidRPr="00917FFB" w:rsidRDefault="009E0D35" w:rsidP="009E0D35">
      <w:pPr>
        <w:pStyle w:val="3-BodyText"/>
        <w:numPr>
          <w:ilvl w:val="0"/>
          <w:numId w:val="0"/>
        </w:numPr>
        <w:ind w:left="720"/>
      </w:pPr>
      <w:r w:rsidRPr="00917FFB">
        <w:rPr>
          <w:i/>
          <w:iCs/>
        </w:rPr>
        <w:t>For more detail on PBAC’s view, see Section 7 PBAC Outcome.</w:t>
      </w:r>
    </w:p>
    <w:p w:rsidR="00B50DB8" w:rsidRPr="00917FFB" w:rsidRDefault="00203181" w:rsidP="004E18E9">
      <w:pPr>
        <w:pStyle w:val="2-SectionHeading"/>
      </w:pPr>
      <w:bookmarkStart w:id="7" w:name="_Toc72320849"/>
      <w:r w:rsidRPr="00917FFB">
        <w:t xml:space="preserve">Population and </w:t>
      </w:r>
      <w:r w:rsidR="008E0D3C" w:rsidRPr="00917FFB">
        <w:t>d</w:t>
      </w:r>
      <w:r w:rsidRPr="00917FFB">
        <w:t>isease</w:t>
      </w:r>
      <w:bookmarkEnd w:id="7"/>
    </w:p>
    <w:p w:rsidR="009234E5" w:rsidRPr="00917FFB" w:rsidRDefault="009234E5" w:rsidP="0077463D">
      <w:pPr>
        <w:pStyle w:val="3-BodyText"/>
      </w:pPr>
      <w:r w:rsidRPr="00917FFB">
        <w:t xml:space="preserve">AD is a chronic, systemic, inflammatory disease that affects skin and is characterised by persistent itch and marked redness. </w:t>
      </w:r>
      <w:r w:rsidR="004A36B9" w:rsidRPr="00917FFB">
        <w:t>A</w:t>
      </w:r>
      <w:r w:rsidRPr="00917FFB">
        <w:t>ltered immune responses render AD patients at increased risk of bacterial, viral, and fungal skin infections. AD is also associated with comorbid conditions affecting sleep, pain, psychologic domains, and physical and social functioning.</w:t>
      </w:r>
    </w:p>
    <w:p w:rsidR="00972C31" w:rsidRPr="00917FFB" w:rsidRDefault="0077463D" w:rsidP="00972C31">
      <w:pPr>
        <w:pStyle w:val="3-BodyText"/>
      </w:pPr>
      <w:r w:rsidRPr="00917FFB">
        <w:t>The requested listing would place BARI as an alternative orally administered treatment option to DUPI SC injections, for adult patients with severe AD who have failed to achieve an adequate response to topical therapy.</w:t>
      </w:r>
      <w:r w:rsidRPr="00917FFB">
        <w:rPr>
          <w:i/>
          <w:iCs/>
        </w:rPr>
        <w:t xml:space="preserve"> </w:t>
      </w:r>
      <w:r w:rsidRPr="00917FFB">
        <w:rPr>
          <w:iCs/>
        </w:rPr>
        <w:t xml:space="preserve">The </w:t>
      </w:r>
      <w:r w:rsidR="00DB2A82" w:rsidRPr="00917FFB">
        <w:rPr>
          <w:iCs/>
        </w:rPr>
        <w:t xml:space="preserve">proposed </w:t>
      </w:r>
      <w:r w:rsidRPr="00917FFB">
        <w:rPr>
          <w:iCs/>
        </w:rPr>
        <w:t xml:space="preserve">clinical management </w:t>
      </w:r>
      <w:r w:rsidR="00DB2A82" w:rsidRPr="00917FFB">
        <w:rPr>
          <w:iCs/>
        </w:rPr>
        <w:t xml:space="preserve">algorithm lists other orally administered therapies (including </w:t>
      </w:r>
      <w:r w:rsidR="001D6569" w:rsidRPr="00917FFB">
        <w:rPr>
          <w:iCs/>
        </w:rPr>
        <w:t>CsA</w:t>
      </w:r>
      <w:r w:rsidR="00DB2A82" w:rsidRPr="00917FFB">
        <w:rPr>
          <w:iCs/>
        </w:rPr>
        <w:t>, azathioprine, methotrexate and mycophenolate mofetil) at the same line of treatment, however, safety concerns limit their use in clinical practice.</w:t>
      </w:r>
      <w:r w:rsidR="008535B3" w:rsidRPr="00917FFB">
        <w:rPr>
          <w:iCs/>
        </w:rPr>
        <w:t xml:space="preserve"> </w:t>
      </w:r>
    </w:p>
    <w:p w:rsidR="00792D63" w:rsidRPr="00917FFB" w:rsidRDefault="009234E5" w:rsidP="00972C31">
      <w:pPr>
        <w:pStyle w:val="3-BodyText"/>
      </w:pPr>
      <w:r w:rsidRPr="00917FFB">
        <w:t>BARI is an oral selective inhibitor of JAK1 and JAK2, which are important in transmitting inflammatory cytokine signals in AD. The approved product information (PI) for BARI states the recommended dose for severe AD is 2</w:t>
      </w:r>
      <w:r w:rsidR="004D225C" w:rsidRPr="00917FFB">
        <w:t xml:space="preserve"> </w:t>
      </w:r>
      <w:r w:rsidRPr="00917FFB">
        <w:t>mg orally, once daily. A dose of 4</w:t>
      </w:r>
      <w:r w:rsidR="004D225C" w:rsidRPr="00917FFB">
        <w:t xml:space="preserve"> </w:t>
      </w:r>
      <w:r w:rsidRPr="00917FFB">
        <w:t>mg orally, once daily may also be considered for patients who do not achieve sustained control of disease activity with 2</w:t>
      </w:r>
      <w:r w:rsidR="004D225C" w:rsidRPr="00917FFB">
        <w:t xml:space="preserve"> </w:t>
      </w:r>
      <w:r w:rsidRPr="00917FFB">
        <w:t>mg daily. Dose tapering to 2</w:t>
      </w:r>
      <w:r w:rsidR="004D225C" w:rsidRPr="00917FFB">
        <w:t xml:space="preserve"> </w:t>
      </w:r>
      <w:r w:rsidRPr="00917FFB">
        <w:t>mg once daily is recommended and should be considered once the patient has achieved sustained control of disease with 4</w:t>
      </w:r>
      <w:r w:rsidR="004D225C" w:rsidRPr="00917FFB">
        <w:t xml:space="preserve"> </w:t>
      </w:r>
      <w:r w:rsidRPr="00917FFB">
        <w:t>mg once daily. Treatment should be discontinued in patients who do not demonstrate evidence of benefit after 8 weeks of treatment with 4</w:t>
      </w:r>
      <w:r w:rsidR="004D225C" w:rsidRPr="00917FFB">
        <w:t xml:space="preserve"> </w:t>
      </w:r>
      <w:r w:rsidRPr="00917FFB">
        <w:t>mg.</w:t>
      </w:r>
      <w:r w:rsidR="00792D63" w:rsidRPr="00917FFB">
        <w:t xml:space="preserve"> </w:t>
      </w:r>
      <w:r w:rsidR="00792D63" w:rsidRPr="00917FFB">
        <w:rPr>
          <w:iCs/>
        </w:rPr>
        <w:t>The recommended BARI 2</w:t>
      </w:r>
      <w:r w:rsidR="004D225C" w:rsidRPr="00917FFB">
        <w:rPr>
          <w:iCs/>
        </w:rPr>
        <w:t xml:space="preserve"> </w:t>
      </w:r>
      <w:r w:rsidR="00792D63" w:rsidRPr="00917FFB">
        <w:rPr>
          <w:iCs/>
        </w:rPr>
        <w:t>mg commencement dose in Australia differs from other jurisdictions</w:t>
      </w:r>
      <w:r w:rsidR="00897113" w:rsidRPr="00917FFB">
        <w:rPr>
          <w:iCs/>
        </w:rPr>
        <w:t xml:space="preserve"> such as in Europe where </w:t>
      </w:r>
      <w:r w:rsidR="00792D63" w:rsidRPr="00917FFB">
        <w:rPr>
          <w:iCs/>
        </w:rPr>
        <w:t>BARI 4</w:t>
      </w:r>
      <w:r w:rsidR="004D225C" w:rsidRPr="00917FFB">
        <w:rPr>
          <w:iCs/>
        </w:rPr>
        <w:t xml:space="preserve"> </w:t>
      </w:r>
      <w:r w:rsidR="00792D63" w:rsidRPr="00917FFB">
        <w:rPr>
          <w:iCs/>
        </w:rPr>
        <w:t xml:space="preserve">mg </w:t>
      </w:r>
      <w:r w:rsidR="00897113" w:rsidRPr="00917FFB">
        <w:rPr>
          <w:iCs/>
        </w:rPr>
        <w:t>is recommended. In making this recommendation, t</w:t>
      </w:r>
      <w:r w:rsidR="00792D63" w:rsidRPr="00917FFB">
        <w:rPr>
          <w:iCs/>
        </w:rPr>
        <w:t xml:space="preserve">he TGA adopted </w:t>
      </w:r>
      <w:r w:rsidR="00897113" w:rsidRPr="00917FFB">
        <w:rPr>
          <w:iCs/>
        </w:rPr>
        <w:t xml:space="preserve">a </w:t>
      </w:r>
      <w:r w:rsidR="00792D63" w:rsidRPr="00917FFB">
        <w:rPr>
          <w:iCs/>
        </w:rPr>
        <w:t xml:space="preserve">‘quality use of medicines’ </w:t>
      </w:r>
      <w:r w:rsidR="00251C9D" w:rsidRPr="00917FFB">
        <w:rPr>
          <w:iCs/>
        </w:rPr>
        <w:t>approach</w:t>
      </w:r>
      <w:r w:rsidR="00792D63" w:rsidRPr="00917FFB">
        <w:rPr>
          <w:iCs/>
        </w:rPr>
        <w:t xml:space="preserve"> supporting the use of the lowest effective commencement dose</w:t>
      </w:r>
      <w:r w:rsidR="00251C9D" w:rsidRPr="00917FFB">
        <w:rPr>
          <w:iCs/>
        </w:rPr>
        <w:t>.</w:t>
      </w:r>
      <w:r w:rsidR="00251C9D" w:rsidRPr="00917FFB">
        <w:rPr>
          <w:i/>
          <w:iCs/>
        </w:rPr>
        <w:t xml:space="preserve"> </w:t>
      </w:r>
      <w:r w:rsidR="005D1E1A" w:rsidRPr="00917FFB">
        <w:rPr>
          <w:iCs/>
        </w:rPr>
        <w:t xml:space="preserve">The PBAC noted </w:t>
      </w:r>
      <w:r w:rsidR="00EC1995" w:rsidRPr="00917FFB">
        <w:rPr>
          <w:iCs/>
        </w:rPr>
        <w:t>there was no clear evidence that up</w:t>
      </w:r>
      <w:r w:rsidR="00741D3D" w:rsidRPr="00917FFB">
        <w:rPr>
          <w:iCs/>
        </w:rPr>
        <w:t>-</w:t>
      </w:r>
      <w:r w:rsidR="00EC1995" w:rsidRPr="00917FFB">
        <w:rPr>
          <w:iCs/>
        </w:rPr>
        <w:t xml:space="preserve">titration from 2 mg to 4 mg for patients with inadequate response </w:t>
      </w:r>
      <w:r w:rsidR="00741D3D" w:rsidRPr="00917FFB">
        <w:rPr>
          <w:iCs/>
        </w:rPr>
        <w:t xml:space="preserve">to 2 mg, </w:t>
      </w:r>
      <w:r w:rsidR="00EC1995" w:rsidRPr="00917FFB">
        <w:rPr>
          <w:iCs/>
        </w:rPr>
        <w:t>improved outcomes (see also paragraphs 6.30</w:t>
      </w:r>
      <w:r w:rsidR="00F80535">
        <w:rPr>
          <w:iCs/>
        </w:rPr>
        <w:t xml:space="preserve"> and </w:t>
      </w:r>
      <w:r w:rsidR="00EC1995" w:rsidRPr="00917FFB">
        <w:rPr>
          <w:iCs/>
        </w:rPr>
        <w:t>6.31)</w:t>
      </w:r>
      <w:r w:rsidR="005D1E1A" w:rsidRPr="00917FFB">
        <w:rPr>
          <w:iCs/>
        </w:rPr>
        <w:t>.</w:t>
      </w:r>
    </w:p>
    <w:p w:rsidR="004A36B9" w:rsidRPr="00917FFB" w:rsidRDefault="004A36B9" w:rsidP="00EC5560">
      <w:pPr>
        <w:pStyle w:val="3-BodyText"/>
      </w:pPr>
      <w:r w:rsidRPr="00917FFB">
        <w:t>The PI states monitoring of effects on laboratory tests including ANC, ALC, Hb and hepatic enzymes, should occur before treatment initiation and then ac</w:t>
      </w:r>
      <w:r w:rsidRPr="000D2978">
        <w:t>cording to routine patient management. Lipid monitoring is recommended at Week 0 and Week 12, then according to local hyperlipidaemia guidelines thereafter.</w:t>
      </w:r>
    </w:p>
    <w:p w:rsidR="009E0D35" w:rsidRPr="00917FFB" w:rsidRDefault="009E0D35" w:rsidP="009E0D35">
      <w:pPr>
        <w:pStyle w:val="3-BodyText"/>
        <w:numPr>
          <w:ilvl w:val="0"/>
          <w:numId w:val="0"/>
        </w:numPr>
        <w:ind w:left="720"/>
        <w:rPr>
          <w:i/>
          <w:iCs/>
        </w:rPr>
      </w:pPr>
      <w:r w:rsidRPr="00917FFB">
        <w:rPr>
          <w:i/>
          <w:iCs/>
        </w:rPr>
        <w:t>For more detail on PBAC’s view, see Section 7 PBAC Outcome.</w:t>
      </w:r>
    </w:p>
    <w:p w:rsidR="00B50DB8" w:rsidRPr="00917FFB" w:rsidRDefault="00B50DB8" w:rsidP="004E18E9">
      <w:pPr>
        <w:pStyle w:val="2-SectionHeading"/>
      </w:pPr>
      <w:bookmarkStart w:id="8" w:name="_Toc72320850"/>
      <w:r w:rsidRPr="00917FFB">
        <w:t>Comparator</w:t>
      </w:r>
      <w:bookmarkEnd w:id="8"/>
    </w:p>
    <w:p w:rsidR="004A36B9" w:rsidRPr="002E1718" w:rsidRDefault="004A36B9" w:rsidP="00256E08">
      <w:pPr>
        <w:pStyle w:val="3-BodyText"/>
        <w:rPr>
          <w:snapToGrid/>
        </w:rPr>
      </w:pPr>
      <w:r w:rsidRPr="00917FFB">
        <w:t>The submission nominated DUPI 600</w:t>
      </w:r>
      <w:r w:rsidR="00047DF0" w:rsidRPr="00917FFB">
        <w:t xml:space="preserve"> </w:t>
      </w:r>
      <w:r w:rsidRPr="00917FFB">
        <w:t>mg SC as an initial dose, then 300</w:t>
      </w:r>
      <w:r w:rsidR="00047DF0" w:rsidRPr="00917FFB">
        <w:t xml:space="preserve"> </w:t>
      </w:r>
      <w:r w:rsidRPr="00917FFB">
        <w:t>mg SC every two weeks as the appropriate comparator. DUPI is the only biologic treatment currently PBS listed for severe AD in patients who have failed to achieve a response with topical therapies. The main argument provided in support of this nomination was that DUPI is the treatment most likely</w:t>
      </w:r>
      <w:r w:rsidR="00A00B1D" w:rsidRPr="00917FFB">
        <w:t xml:space="preserve"> to be</w:t>
      </w:r>
      <w:r w:rsidRPr="00917FFB">
        <w:t xml:space="preserve"> replaced by BARI.</w:t>
      </w:r>
    </w:p>
    <w:p w:rsidR="00A05472" w:rsidRPr="00917FFB" w:rsidRDefault="00256E08" w:rsidP="0035719D">
      <w:pPr>
        <w:pStyle w:val="3-BodyText"/>
        <w:rPr>
          <w:i/>
        </w:rPr>
      </w:pPr>
      <w:r w:rsidRPr="00917FFB">
        <w:t>T</w:t>
      </w:r>
      <w:r w:rsidR="003A2CAC" w:rsidRPr="00917FFB">
        <w:t xml:space="preserve">he submission </w:t>
      </w:r>
      <w:r w:rsidRPr="00917FFB">
        <w:t xml:space="preserve">also nominated </w:t>
      </w:r>
      <w:r w:rsidR="003A2CAC" w:rsidRPr="00917FFB">
        <w:t>CsA, a calcineurin inhibitor, as a potentially relevant comparator</w:t>
      </w:r>
      <w:r w:rsidRPr="000D2978">
        <w:t>,</w:t>
      </w:r>
      <w:r w:rsidR="003A2CAC" w:rsidRPr="000D2978">
        <w:t xml:space="preserve"> given it is PBS listed for severe AD i</w:t>
      </w:r>
      <w:r w:rsidR="003A2CAC" w:rsidRPr="00917FFB">
        <w:t>n patients who have failed to respond to other systemic therapies or when their use is inappropriate. When considering PBS listing of DUPI, the PBAC considered “CsA to be an additional relevant comparator given the broader proposed patient population, but acknowledged the toxicity of CsA limited its use in clinical practice, and the paucity of clinical evidence prevented a reliable indirect comparison of the efficacy of</w:t>
      </w:r>
      <w:r w:rsidR="003B629E" w:rsidRPr="00917FFB">
        <w:t xml:space="preserve"> DUPI</w:t>
      </w:r>
      <w:r w:rsidR="003A2CAC" w:rsidRPr="00917FFB">
        <w:t xml:space="preserve"> versus CsA… [and] hence was not considered informative” (paragraph 7.5, DUPI </w:t>
      </w:r>
      <w:r w:rsidR="0035719D" w:rsidRPr="0035719D">
        <w:rPr>
          <w:iCs/>
        </w:rPr>
        <w:t xml:space="preserve">Public Summary Document </w:t>
      </w:r>
      <w:r w:rsidR="0035719D">
        <w:rPr>
          <w:iCs/>
        </w:rPr>
        <w:t>(</w:t>
      </w:r>
      <w:r w:rsidR="003A2CAC" w:rsidRPr="00917FFB">
        <w:t>PSD</w:t>
      </w:r>
      <w:r w:rsidR="0035719D">
        <w:t>)</w:t>
      </w:r>
      <w:r w:rsidR="003A2CAC" w:rsidRPr="00917FFB">
        <w:t xml:space="preserve">, July 2019). The submission stated the same conclusion can be drawn with regard to a comparison between BARI and </w:t>
      </w:r>
      <w:r w:rsidR="00917FFB" w:rsidRPr="00917FFB">
        <w:t>CsA and</w:t>
      </w:r>
      <w:r w:rsidR="003A2CAC" w:rsidRPr="00917FFB">
        <w:t xml:space="preserve"> was therefore not considered in this submission.</w:t>
      </w:r>
      <w:r w:rsidRPr="00917FFB">
        <w:t xml:space="preserve"> Th</w:t>
      </w:r>
      <w:r w:rsidR="00047DF0" w:rsidRPr="00917FFB">
        <w:t xml:space="preserve">e </w:t>
      </w:r>
      <w:r w:rsidR="00C367CC" w:rsidRPr="00917FFB">
        <w:t>PBAC</w:t>
      </w:r>
      <w:r w:rsidR="00047DF0" w:rsidRPr="00917FFB">
        <w:t xml:space="preserve"> considered th</w:t>
      </w:r>
      <w:r w:rsidRPr="00917FFB">
        <w:t>is was reasonable, and a similar argument could be made for other systemic treatments, which have unrestricted listings on the PBS at recommended doses (such as methotrexate, azathioprine and mycophenolate mofetil).</w:t>
      </w:r>
    </w:p>
    <w:p w:rsidR="00B50DB8" w:rsidRPr="00917FFB" w:rsidRDefault="006B50B7" w:rsidP="006B50B7">
      <w:pPr>
        <w:pStyle w:val="3-BodyText"/>
      </w:pPr>
      <w:r w:rsidRPr="00917FFB">
        <w:t xml:space="preserve">The submission also identified two other JAK inhibitors as near-market comparators, </w:t>
      </w:r>
      <w:r w:rsidR="00B224DB" w:rsidRPr="00917FFB">
        <w:t>upadacitinib</w:t>
      </w:r>
      <w:r w:rsidRPr="00917FFB">
        <w:t xml:space="preserve"> and abrocitinib, </w:t>
      </w:r>
      <w:r w:rsidRPr="00917FFB">
        <w:rPr>
          <w:iCs/>
        </w:rPr>
        <w:t xml:space="preserve">but neither were considered due to limited </w:t>
      </w:r>
      <w:r w:rsidR="00DD1C36" w:rsidRPr="00917FFB">
        <w:rPr>
          <w:iCs/>
        </w:rPr>
        <w:t>publicly</w:t>
      </w:r>
      <w:r w:rsidR="000E779B" w:rsidRPr="00917FFB">
        <w:rPr>
          <w:iCs/>
        </w:rPr>
        <w:t xml:space="preserve"> available </w:t>
      </w:r>
      <w:r w:rsidRPr="00917FFB">
        <w:rPr>
          <w:iCs/>
        </w:rPr>
        <w:t xml:space="preserve">clinical evidence at the time of writing the submission. </w:t>
      </w:r>
      <w:r w:rsidRPr="00917FFB">
        <w:t>At the time of the</w:t>
      </w:r>
      <w:r w:rsidR="00364293" w:rsidRPr="00917FFB">
        <w:t xml:space="preserve"> evaluation</w:t>
      </w:r>
      <w:r w:rsidRPr="00917FFB">
        <w:t>, there was one published trial (NCT02925117) comparing upadacitinib versus placebo</w:t>
      </w:r>
      <w:r w:rsidR="0001324E" w:rsidRPr="00917FFB">
        <w:t xml:space="preserve"> (PBO)</w:t>
      </w:r>
      <w:r w:rsidRPr="00917FFB">
        <w:t>, which could inform an indirect comparison versus BARI. As noted above, the PBAC will also consider PBS listing of upadacitinib for the treatment of severe AD at the July 2021 meeting.</w:t>
      </w:r>
    </w:p>
    <w:p w:rsidR="009E0D35" w:rsidRPr="00917FFB" w:rsidRDefault="009E0D35" w:rsidP="009E0D35">
      <w:pPr>
        <w:pStyle w:val="3-BodyText"/>
        <w:numPr>
          <w:ilvl w:val="0"/>
          <w:numId w:val="0"/>
        </w:numPr>
        <w:ind w:left="720"/>
        <w:rPr>
          <w:i/>
          <w:iCs/>
        </w:rPr>
      </w:pPr>
      <w:r w:rsidRPr="00917FFB">
        <w:rPr>
          <w:i/>
          <w:iCs/>
        </w:rPr>
        <w:t>For more detail on PBAC’s view, see Section 7 PBAC Outcome.</w:t>
      </w:r>
    </w:p>
    <w:p w:rsidR="00223D5A" w:rsidRPr="00917FFB" w:rsidRDefault="00223D5A" w:rsidP="00223D5A">
      <w:pPr>
        <w:pStyle w:val="2-SectionHeading"/>
        <w:numPr>
          <w:ilvl w:val="0"/>
          <w:numId w:val="1"/>
        </w:numPr>
      </w:pPr>
      <w:bookmarkStart w:id="9" w:name="_Toc72320851"/>
      <w:bookmarkStart w:id="10" w:name="_Toc22897640"/>
      <w:r w:rsidRPr="00917FFB">
        <w:t>Consideration of the evidence</w:t>
      </w:r>
      <w:bookmarkEnd w:id="9"/>
    </w:p>
    <w:p w:rsidR="009E0D35" w:rsidRPr="00917FFB" w:rsidRDefault="009E0D35" w:rsidP="00B725C8">
      <w:pPr>
        <w:pStyle w:val="4-SubsectionHeading"/>
      </w:pPr>
      <w:bookmarkStart w:id="11" w:name="_Toc72320852"/>
      <w:r w:rsidRPr="00917FFB">
        <w:t>Sponsor hearing</w:t>
      </w:r>
    </w:p>
    <w:p w:rsidR="00713C68" w:rsidRPr="00917FFB" w:rsidRDefault="00713C68" w:rsidP="00713C68">
      <w:pPr>
        <w:widowControl w:val="0"/>
        <w:numPr>
          <w:ilvl w:val="1"/>
          <w:numId w:val="1"/>
        </w:numPr>
        <w:spacing w:after="120"/>
        <w:rPr>
          <w:rFonts w:asciiTheme="minorHAnsi" w:hAnsiTheme="minorHAnsi"/>
          <w:bCs/>
          <w:snapToGrid w:val="0"/>
        </w:rPr>
      </w:pPr>
      <w:r w:rsidRPr="00917FFB">
        <w:rPr>
          <w:rFonts w:asciiTheme="minorHAnsi" w:hAnsiTheme="minorHAnsi"/>
          <w:bCs/>
          <w:snapToGrid w:val="0"/>
        </w:rPr>
        <w:t>The sponsor requested a hearing for this item</w:t>
      </w:r>
      <w:r w:rsidR="005025BA" w:rsidRPr="00917FFB">
        <w:rPr>
          <w:rFonts w:asciiTheme="minorHAnsi" w:hAnsiTheme="minorHAnsi"/>
          <w:bCs/>
          <w:snapToGrid w:val="0"/>
        </w:rPr>
        <w:t xml:space="preserve"> and provided a written statement from two clinicians</w:t>
      </w:r>
      <w:r w:rsidRPr="00917FFB">
        <w:rPr>
          <w:rFonts w:asciiTheme="minorHAnsi" w:hAnsiTheme="minorHAnsi"/>
          <w:bCs/>
          <w:snapToGrid w:val="0"/>
        </w:rPr>
        <w:t xml:space="preserve">. The clinicians discussed the burden of disease in terms of itch, sleep disturbance, skin pain, and reduced quality of life; the impact of which can extend to family members, and affect education attainment, employment engagement, and the health care system in general. The clinicians emphasised the importance of </w:t>
      </w:r>
      <w:r w:rsidR="005025BA" w:rsidRPr="00917FFB">
        <w:rPr>
          <w:rFonts w:asciiTheme="minorHAnsi" w:hAnsiTheme="minorHAnsi"/>
          <w:bCs/>
          <w:snapToGrid w:val="0"/>
        </w:rPr>
        <w:t>availability of</w:t>
      </w:r>
      <w:r w:rsidRPr="00917FFB">
        <w:rPr>
          <w:rFonts w:asciiTheme="minorHAnsi" w:hAnsiTheme="minorHAnsi"/>
          <w:bCs/>
          <w:snapToGrid w:val="0"/>
        </w:rPr>
        <w:t xml:space="preserve"> multiple, safe, and effective therapeutic options for these patients. </w:t>
      </w:r>
    </w:p>
    <w:p w:rsidR="00713C68" w:rsidRPr="00917FFB" w:rsidRDefault="00713C68" w:rsidP="00713C68">
      <w:pPr>
        <w:widowControl w:val="0"/>
        <w:numPr>
          <w:ilvl w:val="1"/>
          <w:numId w:val="1"/>
        </w:numPr>
        <w:spacing w:after="120"/>
        <w:rPr>
          <w:rFonts w:asciiTheme="minorHAnsi" w:hAnsiTheme="minorHAnsi"/>
          <w:bCs/>
          <w:snapToGrid w:val="0"/>
        </w:rPr>
      </w:pPr>
      <w:r w:rsidRPr="00917FFB">
        <w:rPr>
          <w:rFonts w:asciiTheme="minorHAnsi" w:hAnsiTheme="minorHAnsi"/>
          <w:bCs/>
          <w:snapToGrid w:val="0"/>
        </w:rPr>
        <w:t xml:space="preserve">The clinicians stated that one of the key features of the phase 3 trials </w:t>
      </w:r>
      <w:r w:rsidR="000E779B" w:rsidRPr="00917FFB">
        <w:rPr>
          <w:rFonts w:asciiTheme="minorHAnsi" w:hAnsiTheme="minorHAnsi"/>
          <w:bCs/>
          <w:snapToGrid w:val="0"/>
        </w:rPr>
        <w:t>for</w:t>
      </w:r>
      <w:r w:rsidRPr="00917FFB">
        <w:rPr>
          <w:rFonts w:asciiTheme="minorHAnsi" w:hAnsiTheme="minorHAnsi"/>
          <w:bCs/>
          <w:snapToGrid w:val="0"/>
        </w:rPr>
        <w:t xml:space="preserve"> BARI is that it demonstrates an ability to rapidly improve symptoms, and that this is a distinguishing characteristic for the JAK inhibitors over DUPI, which supports the inclusion of JAK inhibitors like BARI on the PBS. </w:t>
      </w:r>
    </w:p>
    <w:p w:rsidR="00713C68" w:rsidRPr="00917FFB" w:rsidRDefault="00713C68" w:rsidP="00713C68">
      <w:pPr>
        <w:widowControl w:val="0"/>
        <w:numPr>
          <w:ilvl w:val="1"/>
          <w:numId w:val="1"/>
        </w:numPr>
        <w:spacing w:after="120"/>
        <w:rPr>
          <w:rFonts w:asciiTheme="minorHAnsi" w:hAnsiTheme="minorHAnsi"/>
          <w:bCs/>
          <w:snapToGrid w:val="0"/>
        </w:rPr>
      </w:pPr>
      <w:r w:rsidRPr="00917FFB">
        <w:rPr>
          <w:rFonts w:asciiTheme="minorHAnsi" w:hAnsiTheme="minorHAnsi"/>
          <w:bCs/>
          <w:snapToGrid w:val="0"/>
        </w:rPr>
        <w:t>One of the clinicians noted their personal clinical experience that has involved treating over 100 patients with JAK inhibitors (BARI/</w:t>
      </w:r>
      <w:r w:rsidR="00231AF6" w:rsidRPr="00917FFB">
        <w:rPr>
          <w:rFonts w:asciiTheme="minorHAnsi" w:hAnsiTheme="minorHAnsi"/>
          <w:bCs/>
          <w:snapToGrid w:val="0"/>
        </w:rPr>
        <w:t>upadac</w:t>
      </w:r>
      <w:r w:rsidR="009F363E" w:rsidRPr="00917FFB">
        <w:rPr>
          <w:rFonts w:asciiTheme="minorHAnsi" w:hAnsiTheme="minorHAnsi"/>
          <w:bCs/>
          <w:snapToGrid w:val="0"/>
        </w:rPr>
        <w:t>i</w:t>
      </w:r>
      <w:r w:rsidR="00231AF6" w:rsidRPr="00917FFB">
        <w:rPr>
          <w:rFonts w:asciiTheme="minorHAnsi" w:hAnsiTheme="minorHAnsi"/>
          <w:bCs/>
          <w:snapToGrid w:val="0"/>
        </w:rPr>
        <w:t>tinib</w:t>
      </w:r>
      <w:r w:rsidRPr="00917FFB">
        <w:rPr>
          <w:rFonts w:asciiTheme="minorHAnsi" w:hAnsiTheme="minorHAnsi"/>
          <w:bCs/>
          <w:snapToGrid w:val="0"/>
        </w:rPr>
        <w:t>/abrocitinib) and IL-4/IL-</w:t>
      </w:r>
      <w:r w:rsidR="00724F12">
        <w:rPr>
          <w:rFonts w:asciiTheme="minorHAnsi" w:hAnsiTheme="minorHAnsi"/>
          <w:bCs/>
          <w:snapToGrid w:val="0"/>
        </w:rPr>
        <w:t>1</w:t>
      </w:r>
      <w:r w:rsidRPr="00917FFB">
        <w:rPr>
          <w:rFonts w:asciiTheme="minorHAnsi" w:hAnsiTheme="minorHAnsi"/>
          <w:bCs/>
          <w:snapToGrid w:val="0"/>
        </w:rPr>
        <w:t xml:space="preserve">3 inhibitors (DUPI/tralokinumab/lebrikizumab) in Australia and the United States for severe atopic dermatitis. The clinician stated they observed more rapid remission of severe disease, and less administration burden and adverse effects (e.g. </w:t>
      </w:r>
      <w:r w:rsidRPr="00917FFB">
        <w:t>“red face” secondary to Malassezia yeast sensitisation)</w:t>
      </w:r>
      <w:r w:rsidRPr="00917FFB">
        <w:rPr>
          <w:rFonts w:asciiTheme="minorHAnsi" w:hAnsiTheme="minorHAnsi"/>
          <w:bCs/>
          <w:snapToGrid w:val="0"/>
        </w:rPr>
        <w:t xml:space="preserve"> with BARI than DUPI</w:t>
      </w:r>
      <w:r w:rsidR="00917FFB">
        <w:rPr>
          <w:rFonts w:asciiTheme="minorHAnsi" w:hAnsiTheme="minorHAnsi"/>
          <w:bCs/>
          <w:snapToGrid w:val="0"/>
        </w:rPr>
        <w:t xml:space="preserve">. </w:t>
      </w:r>
    </w:p>
    <w:p w:rsidR="009E0D35" w:rsidRPr="000D2978" w:rsidRDefault="009E0D35" w:rsidP="00713C68">
      <w:pPr>
        <w:pStyle w:val="4-SubsectionHeading"/>
      </w:pPr>
      <w:r w:rsidRPr="000D2978">
        <w:t>Consumer comments</w:t>
      </w:r>
    </w:p>
    <w:p w:rsidR="00713C68" w:rsidRPr="00917FFB" w:rsidRDefault="00713C68" w:rsidP="00713C68">
      <w:pPr>
        <w:widowControl w:val="0"/>
        <w:numPr>
          <w:ilvl w:val="1"/>
          <w:numId w:val="1"/>
        </w:numPr>
        <w:spacing w:after="120"/>
        <w:rPr>
          <w:rFonts w:asciiTheme="minorHAnsi" w:hAnsiTheme="minorHAnsi"/>
          <w:bCs/>
          <w:snapToGrid w:val="0"/>
        </w:rPr>
      </w:pPr>
      <w:r w:rsidRPr="00917FFB">
        <w:rPr>
          <w:rFonts w:asciiTheme="minorHAnsi" w:hAnsiTheme="minorHAnsi"/>
          <w:bCs/>
          <w:snapToGrid w:val="0"/>
        </w:rPr>
        <w:t>The PBAC noted and welcomed the input from individuals (13) and organisations (2) via the Consumer Comments facility on the PBS website</w:t>
      </w:r>
      <w:r w:rsidR="00917FFB">
        <w:rPr>
          <w:rFonts w:asciiTheme="minorHAnsi" w:hAnsiTheme="minorHAnsi"/>
          <w:bCs/>
          <w:snapToGrid w:val="0"/>
        </w:rPr>
        <w:t xml:space="preserve">. </w:t>
      </w:r>
    </w:p>
    <w:p w:rsidR="00713C68" w:rsidRPr="00917FFB" w:rsidRDefault="00713C68" w:rsidP="00713C68">
      <w:pPr>
        <w:widowControl w:val="0"/>
        <w:numPr>
          <w:ilvl w:val="1"/>
          <w:numId w:val="1"/>
        </w:numPr>
        <w:spacing w:after="120"/>
        <w:rPr>
          <w:rFonts w:asciiTheme="minorHAnsi" w:hAnsiTheme="minorHAnsi"/>
          <w:bCs/>
          <w:snapToGrid w:val="0"/>
        </w:rPr>
      </w:pPr>
      <w:r w:rsidRPr="000D2978">
        <w:rPr>
          <w:rFonts w:asciiTheme="minorHAnsi" w:hAnsiTheme="minorHAnsi"/>
          <w:bCs/>
          <w:snapToGrid w:val="0"/>
        </w:rPr>
        <w:t>The PBAC noted the advice received from AD support groups</w:t>
      </w:r>
      <w:r w:rsidRPr="00917FFB">
        <w:rPr>
          <w:rFonts w:asciiTheme="minorHAnsi" w:hAnsiTheme="minorHAnsi"/>
          <w:bCs/>
          <w:snapToGrid w:val="0"/>
        </w:rPr>
        <w:t xml:space="preserve">: </w:t>
      </w:r>
      <w:r w:rsidRPr="00917FFB">
        <w:rPr>
          <w:rFonts w:asciiTheme="minorHAnsi" w:hAnsiTheme="minorHAnsi"/>
          <w:snapToGrid w:val="0"/>
        </w:rPr>
        <w:t xml:space="preserve">Eczema Support Australia and Allergy &amp; Anaphylaxis Australia (A&amp;AA). The organisations </w:t>
      </w:r>
      <w:r w:rsidRPr="00917FFB">
        <w:rPr>
          <w:rFonts w:asciiTheme="minorHAnsi" w:hAnsiTheme="minorHAnsi"/>
          <w:bCs/>
          <w:snapToGrid w:val="0"/>
        </w:rPr>
        <w:t xml:space="preserve">noted that patients with AD vary in response to treatments as well as contraindications and side effects from treatments and, therefore, access to alternatives to DUPI are highly valued by patients and clinicians. </w:t>
      </w:r>
    </w:p>
    <w:p w:rsidR="00713C68" w:rsidRPr="00917FFB" w:rsidRDefault="00713C68" w:rsidP="00713C68">
      <w:pPr>
        <w:widowControl w:val="0"/>
        <w:numPr>
          <w:ilvl w:val="1"/>
          <w:numId w:val="1"/>
        </w:numPr>
        <w:spacing w:after="120"/>
        <w:rPr>
          <w:rFonts w:asciiTheme="minorHAnsi" w:hAnsiTheme="minorHAnsi"/>
          <w:bCs/>
          <w:snapToGrid w:val="0"/>
        </w:rPr>
      </w:pPr>
      <w:r w:rsidRPr="00917FFB">
        <w:rPr>
          <w:rFonts w:asciiTheme="minorHAnsi" w:hAnsiTheme="minorHAnsi"/>
          <w:snapToGrid w:val="0"/>
        </w:rPr>
        <w:t>Eczema Support Australia noted that disease management is complex, and currently patients with AD classified as moderate do not qualify for treatment with DUPI despite fluctuating disease severity</w:t>
      </w:r>
      <w:r w:rsidR="00741D3D" w:rsidRPr="00917FFB">
        <w:rPr>
          <w:rFonts w:asciiTheme="minorHAnsi" w:hAnsiTheme="minorHAnsi"/>
          <w:snapToGrid w:val="0"/>
        </w:rPr>
        <w:t>/flares</w:t>
      </w:r>
      <w:r w:rsidRPr="00917FFB">
        <w:rPr>
          <w:rFonts w:asciiTheme="minorHAnsi" w:hAnsiTheme="minorHAnsi"/>
          <w:snapToGrid w:val="0"/>
        </w:rPr>
        <w:t>. Some patients with AD classified as moderate may remain on CsA (which has a poor AE profile) or would need to cease treatment, allowing their AD to worsen, in order to qualify for treatment with DUPI. Both Eczema Support Australia and A&amp;AA</w:t>
      </w:r>
      <w:r w:rsidRPr="00917FFB">
        <w:rPr>
          <w:rFonts w:asciiTheme="minorHAnsi" w:hAnsiTheme="minorHAnsi"/>
          <w:bCs/>
          <w:snapToGrid w:val="0"/>
        </w:rPr>
        <w:t xml:space="preserve"> </w:t>
      </w:r>
      <w:r w:rsidRPr="00917FFB">
        <w:rPr>
          <w:rFonts w:asciiTheme="minorHAnsi" w:hAnsiTheme="minorHAnsi"/>
          <w:snapToGrid w:val="0"/>
        </w:rPr>
        <w:t>requested that the PBAC consider the issues involved in living with AD and consider including patients with moderate to severe AD, noting the disease burden and unmet need for patients with moderate AD.</w:t>
      </w:r>
      <w:r w:rsidRPr="00917FFB">
        <w:rPr>
          <w:rFonts w:asciiTheme="minorHAnsi" w:hAnsiTheme="minorHAnsi"/>
          <w:bCs/>
          <w:snapToGrid w:val="0"/>
        </w:rPr>
        <w:t xml:space="preserve"> The PBAC noted that advice from both groups was supportive of the evidence provided in the submission.</w:t>
      </w:r>
    </w:p>
    <w:p w:rsidR="00713C68" w:rsidRPr="00917FFB" w:rsidRDefault="00713C68" w:rsidP="00713C68">
      <w:pPr>
        <w:widowControl w:val="0"/>
        <w:numPr>
          <w:ilvl w:val="1"/>
          <w:numId w:val="1"/>
        </w:numPr>
        <w:spacing w:after="120"/>
        <w:rPr>
          <w:rFonts w:asciiTheme="minorHAnsi" w:hAnsiTheme="minorHAnsi"/>
          <w:bCs/>
          <w:snapToGrid w:val="0"/>
        </w:rPr>
      </w:pPr>
      <w:r w:rsidRPr="00917FFB">
        <w:rPr>
          <w:rFonts w:asciiTheme="minorHAnsi" w:hAnsiTheme="minorHAnsi"/>
          <w:bCs/>
          <w:snapToGrid w:val="0"/>
        </w:rPr>
        <w:t>Comments from consumers noted the impact of AD on their quality of life. Consumers reported having inadequate response to DUPI, not being eligible for DUPI via the PBS, or experiencing side effects from treatment with DUPI, and were therefore keen to trial a JAK inhibitor such as BARI. One individual described an improvement in their appearance and condition after recently starting treatment with BARI.</w:t>
      </w:r>
    </w:p>
    <w:p w:rsidR="00B60939" w:rsidRPr="00917FFB" w:rsidRDefault="00B60939" w:rsidP="00713C68">
      <w:pPr>
        <w:pStyle w:val="4-SubsectionHeading"/>
      </w:pPr>
      <w:r w:rsidRPr="00917FFB">
        <w:t>Clinical trials</w:t>
      </w:r>
      <w:bookmarkEnd w:id="10"/>
      <w:bookmarkEnd w:id="11"/>
    </w:p>
    <w:p w:rsidR="00E31210" w:rsidRPr="00853F7A" w:rsidRDefault="00476170" w:rsidP="00FB7C19">
      <w:pPr>
        <w:pStyle w:val="3-BodyText"/>
        <w:rPr>
          <w:snapToGrid/>
        </w:rPr>
      </w:pPr>
      <w:r w:rsidRPr="00853F7A">
        <w:rPr>
          <w:snapToGrid/>
        </w:rPr>
        <w:t>The submission was based on six head-to-head randomised trials comparing BARI to PBO and six trials comparing DUPI to PBO</w:t>
      </w:r>
      <w:r w:rsidR="00FB7C19" w:rsidRPr="00853F7A">
        <w:rPr>
          <w:snapToGrid/>
        </w:rPr>
        <w:t>, which informed an indirect treatment comparison between BARI vs DUPI</w:t>
      </w:r>
      <w:r w:rsidRPr="00853F7A">
        <w:rPr>
          <w:snapToGrid/>
        </w:rPr>
        <w:t>:</w:t>
      </w:r>
    </w:p>
    <w:p w:rsidR="00E31210" w:rsidRPr="00853F7A" w:rsidRDefault="00E31210" w:rsidP="00DD1C36">
      <w:pPr>
        <w:pStyle w:val="3-BodyText"/>
        <w:numPr>
          <w:ilvl w:val="1"/>
          <w:numId w:val="29"/>
        </w:numPr>
        <w:ind w:left="1077" w:hanging="357"/>
        <w:rPr>
          <w:snapToGrid/>
        </w:rPr>
      </w:pPr>
      <w:r w:rsidRPr="00853F7A">
        <w:rPr>
          <w:snapToGrid/>
        </w:rPr>
        <w:t>BARI vs PBO, as monotherapy: BREEZE-AD1, BREEZE-AD2, BREEZE-AD5.</w:t>
      </w:r>
    </w:p>
    <w:p w:rsidR="00E31210" w:rsidRPr="00853F7A" w:rsidRDefault="00E31210" w:rsidP="00DD1C36">
      <w:pPr>
        <w:pStyle w:val="3-BodyText"/>
        <w:numPr>
          <w:ilvl w:val="1"/>
          <w:numId w:val="29"/>
        </w:numPr>
        <w:ind w:left="1077" w:hanging="357"/>
        <w:rPr>
          <w:snapToGrid/>
        </w:rPr>
      </w:pPr>
      <w:r w:rsidRPr="00853F7A">
        <w:rPr>
          <w:snapToGrid/>
        </w:rPr>
        <w:t>BARI vs PBO, in combination with TCS: BREEZE-AD4, BREEZE-AD7, JAHG.</w:t>
      </w:r>
    </w:p>
    <w:p w:rsidR="00E31210" w:rsidRPr="00853F7A" w:rsidRDefault="00E31210" w:rsidP="00DD1C36">
      <w:pPr>
        <w:pStyle w:val="3-BodyText"/>
        <w:numPr>
          <w:ilvl w:val="1"/>
          <w:numId w:val="29"/>
        </w:numPr>
        <w:ind w:left="1077" w:hanging="357"/>
        <w:rPr>
          <w:snapToGrid/>
        </w:rPr>
      </w:pPr>
      <w:r w:rsidRPr="00853F7A">
        <w:rPr>
          <w:snapToGrid/>
        </w:rPr>
        <w:t>DUPI vs PBO, as monotherapy: Study 1021, SOLO 1, SOLO 2</w:t>
      </w:r>
    </w:p>
    <w:p w:rsidR="00E31210" w:rsidRPr="00853F7A" w:rsidRDefault="00E31210" w:rsidP="00DD1C36">
      <w:pPr>
        <w:pStyle w:val="3-BodyText"/>
        <w:numPr>
          <w:ilvl w:val="1"/>
          <w:numId w:val="29"/>
        </w:numPr>
        <w:ind w:left="1077" w:hanging="357"/>
        <w:rPr>
          <w:snapToGrid/>
        </w:rPr>
      </w:pPr>
      <w:r w:rsidRPr="00853F7A">
        <w:rPr>
          <w:snapToGrid/>
        </w:rPr>
        <w:t>DUPI vs PBO, in combination with TCS: CAFÉ, CHRONOS, JADE-COMPARE</w:t>
      </w:r>
    </w:p>
    <w:p w:rsidR="00D03AC0" w:rsidRPr="00917FFB" w:rsidRDefault="00D03AC0" w:rsidP="00E63D65">
      <w:pPr>
        <w:pStyle w:val="3-BodyText"/>
        <w:numPr>
          <w:ilvl w:val="0"/>
          <w:numId w:val="0"/>
        </w:numPr>
        <w:ind w:left="720"/>
      </w:pPr>
      <w:r w:rsidRPr="00917FFB">
        <w:t xml:space="preserve">The PBAC has previously considered evidence from five of the six DUPI trials included in this submission (SOLO 1, SOLO 2, CAFÉ, CHRONOS and Study 1021 (referred to as ‘Phase IIb’ in previous submissions)) during consideration of DUPI in July 2018, July 2019 and March 2020. JADE Compare provides new evidence for DUPI not previously </w:t>
      </w:r>
      <w:r w:rsidRPr="000D2978">
        <w:t>considered by the PBAC, however results for this trial are not yet published (interim results ava</w:t>
      </w:r>
      <w:r w:rsidR="00F646AC" w:rsidRPr="000D2978">
        <w:t>ilable via clinicaltrials.gov).</w:t>
      </w:r>
    </w:p>
    <w:p w:rsidR="00E63D65" w:rsidRPr="00917FFB" w:rsidRDefault="00E63D65" w:rsidP="00E63D65">
      <w:pPr>
        <w:pStyle w:val="3-BodyText"/>
        <w:rPr>
          <w:i/>
        </w:rPr>
      </w:pPr>
      <w:r w:rsidRPr="00917FFB">
        <w:rPr>
          <w:iCs/>
        </w:rPr>
        <w:t>In addition, the submission also presented available results from an on-going long-term extension study of BARI (BREEZE-AD3) as supportive evidence to inform the maintenance of response over time and the up-titration from BARI 2</w:t>
      </w:r>
      <w:r w:rsidR="00C16AFE" w:rsidRPr="00917FFB">
        <w:rPr>
          <w:iCs/>
        </w:rPr>
        <w:t xml:space="preserve"> </w:t>
      </w:r>
      <w:r w:rsidRPr="00917FFB">
        <w:rPr>
          <w:iCs/>
        </w:rPr>
        <w:t>mg to 4</w:t>
      </w:r>
      <w:r w:rsidR="00C16AFE" w:rsidRPr="00917FFB">
        <w:rPr>
          <w:iCs/>
        </w:rPr>
        <w:t xml:space="preserve"> </w:t>
      </w:r>
      <w:r w:rsidRPr="00917FFB">
        <w:rPr>
          <w:iCs/>
        </w:rPr>
        <w:t>mg</w:t>
      </w:r>
      <w:r w:rsidR="001156BF" w:rsidRPr="00917FFB">
        <w:rPr>
          <w:iCs/>
        </w:rPr>
        <w:t xml:space="preserve">, </w:t>
      </w:r>
      <w:r w:rsidRPr="00917FFB">
        <w:rPr>
          <w:iCs/>
        </w:rPr>
        <w:t xml:space="preserve">for BARI vs PBO. </w:t>
      </w:r>
      <w:r w:rsidRPr="00917FFB">
        <w:t>The main evidence presented in the submission was for patients who commenced and remained on either BARI 2</w:t>
      </w:r>
      <w:r w:rsidR="00C16AFE" w:rsidRPr="00917FFB">
        <w:t xml:space="preserve"> </w:t>
      </w:r>
      <w:r w:rsidRPr="00917FFB">
        <w:t>mg or BARI 4</w:t>
      </w:r>
      <w:r w:rsidR="00C16AFE" w:rsidRPr="00917FFB">
        <w:t xml:space="preserve"> </w:t>
      </w:r>
      <w:r w:rsidRPr="00917FFB">
        <w:t>mg, rather than the recommended titrating and tapering of doses.</w:t>
      </w:r>
    </w:p>
    <w:p w:rsidR="007F1017" w:rsidRPr="00917FFB" w:rsidRDefault="00F646AC" w:rsidP="00F646AC">
      <w:pPr>
        <w:pStyle w:val="3-BodyText"/>
      </w:pPr>
      <w:r w:rsidRPr="00853F7A">
        <w:rPr>
          <w:snapToGrid/>
        </w:rPr>
        <w:t>Table 2 provides citation d</w:t>
      </w:r>
      <w:r w:rsidR="00D03AC0" w:rsidRPr="00853F7A">
        <w:rPr>
          <w:snapToGrid/>
        </w:rPr>
        <w:t>etails of the trials presented in the submission.</w:t>
      </w:r>
    </w:p>
    <w:p w:rsidR="008E0D3C" w:rsidRPr="00853F7A" w:rsidRDefault="008E0D3C" w:rsidP="00DD1C36">
      <w:pPr>
        <w:pStyle w:val="TableFigureHeading"/>
        <w:rPr>
          <w:rStyle w:val="CommentReference"/>
          <w:b/>
          <w:szCs w:val="24"/>
        </w:rPr>
      </w:pPr>
      <w:r w:rsidRPr="00917FFB">
        <w:rPr>
          <w:rStyle w:val="CommentReference"/>
          <w:b/>
          <w:szCs w:val="24"/>
        </w:rPr>
        <w:t xml:space="preserve">Table </w:t>
      </w:r>
      <w:r w:rsidR="00D03AC0" w:rsidRPr="00917FFB">
        <w:rPr>
          <w:rStyle w:val="CommentReference"/>
          <w:b/>
          <w:szCs w:val="24"/>
        </w:rPr>
        <w:t>2</w:t>
      </w:r>
      <w:r w:rsidRPr="00917FFB">
        <w:rPr>
          <w:rStyle w:val="CommentReference"/>
          <w:b/>
          <w:szCs w:val="24"/>
        </w:rPr>
        <w:t>:</w:t>
      </w:r>
      <w:r w:rsidR="00BC591F" w:rsidRPr="000D2978">
        <w:rPr>
          <w:rStyle w:val="CommentReference"/>
          <w:b/>
          <w:szCs w:val="24"/>
        </w:rPr>
        <w:t xml:space="preserve"> </w:t>
      </w:r>
      <w:r w:rsidRPr="000D2978">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3"/>
        <w:gridCol w:w="5389"/>
        <w:gridCol w:w="2215"/>
      </w:tblGrid>
      <w:tr w:rsidR="007A694C" w:rsidRPr="00917FFB" w:rsidTr="00DD1C36">
        <w:trPr>
          <w:tblHeader/>
        </w:trPr>
        <w:tc>
          <w:tcPr>
            <w:tcW w:w="784" w:type="pct"/>
            <w:vAlign w:val="center"/>
          </w:tcPr>
          <w:p w:rsidR="007A694C" w:rsidRPr="00853F7A" w:rsidRDefault="007A694C" w:rsidP="00DD1C36">
            <w:pPr>
              <w:pStyle w:val="In-tableHeading"/>
              <w:rPr>
                <w:szCs w:val="20"/>
                <w:lang w:val="en-AU"/>
              </w:rPr>
            </w:pPr>
            <w:r w:rsidRPr="00853F7A">
              <w:rPr>
                <w:szCs w:val="20"/>
                <w:lang w:val="en-AU"/>
              </w:rPr>
              <w:t>Trial ID</w:t>
            </w:r>
          </w:p>
        </w:tc>
        <w:tc>
          <w:tcPr>
            <w:tcW w:w="2988" w:type="pct"/>
            <w:vAlign w:val="center"/>
          </w:tcPr>
          <w:p w:rsidR="007A694C" w:rsidRPr="00853F7A" w:rsidRDefault="007A694C" w:rsidP="00DD1C36">
            <w:pPr>
              <w:pStyle w:val="In-tableHeading"/>
              <w:rPr>
                <w:szCs w:val="20"/>
                <w:lang w:val="en-AU"/>
              </w:rPr>
            </w:pPr>
            <w:r w:rsidRPr="00853F7A">
              <w:rPr>
                <w:szCs w:val="20"/>
                <w:lang w:val="en-AU"/>
              </w:rPr>
              <w:t>Protocol title/ Publication title</w:t>
            </w:r>
          </w:p>
        </w:tc>
        <w:tc>
          <w:tcPr>
            <w:tcW w:w="1229" w:type="pct"/>
            <w:vAlign w:val="center"/>
          </w:tcPr>
          <w:p w:rsidR="007A694C" w:rsidRPr="00853F7A" w:rsidRDefault="007A694C" w:rsidP="00DD1C36">
            <w:pPr>
              <w:pStyle w:val="In-tableHeading"/>
              <w:rPr>
                <w:szCs w:val="20"/>
                <w:lang w:val="en-AU"/>
              </w:rPr>
            </w:pPr>
            <w:r w:rsidRPr="00853F7A">
              <w:rPr>
                <w:szCs w:val="20"/>
                <w:lang w:val="en-AU"/>
              </w:rPr>
              <w:t>Publication citation</w:t>
            </w:r>
          </w:p>
        </w:tc>
      </w:tr>
      <w:tr w:rsidR="007A694C" w:rsidRPr="00917FFB" w:rsidTr="00FD2777">
        <w:tc>
          <w:tcPr>
            <w:tcW w:w="5000" w:type="pct"/>
            <w:gridSpan w:val="3"/>
            <w:vAlign w:val="center"/>
          </w:tcPr>
          <w:p w:rsidR="007A694C" w:rsidRPr="00917FFB" w:rsidRDefault="007A694C" w:rsidP="00DD1C36">
            <w:pPr>
              <w:pStyle w:val="TableText0"/>
              <w:rPr>
                <w:b/>
                <w:szCs w:val="20"/>
              </w:rPr>
            </w:pPr>
            <w:r w:rsidRPr="00917FFB">
              <w:rPr>
                <w:b/>
                <w:szCs w:val="20"/>
              </w:rPr>
              <w:t>Baricitinib trials</w:t>
            </w:r>
          </w:p>
        </w:tc>
      </w:tr>
      <w:tr w:rsidR="007A694C" w:rsidRPr="00917FFB" w:rsidTr="00DD1C36">
        <w:tc>
          <w:tcPr>
            <w:tcW w:w="784" w:type="pct"/>
            <w:vMerge w:val="restart"/>
            <w:vAlign w:val="center"/>
          </w:tcPr>
          <w:p w:rsidR="007A694C" w:rsidRPr="00917FFB" w:rsidRDefault="007A694C" w:rsidP="00DD1C36">
            <w:pPr>
              <w:pStyle w:val="Table"/>
              <w:keepNext/>
              <w:rPr>
                <w:rFonts w:ascii="Arial Narrow" w:hAnsi="Arial Narrow"/>
                <w:szCs w:val="20"/>
              </w:rPr>
            </w:pPr>
            <w:r w:rsidRPr="00917FFB">
              <w:rPr>
                <w:rFonts w:ascii="Arial Narrow" w:hAnsi="Arial Narrow"/>
                <w:szCs w:val="20"/>
              </w:rPr>
              <w:t>BREEZE-AD1</w:t>
            </w:r>
          </w:p>
          <w:p w:rsidR="007A694C" w:rsidRPr="00917FFB" w:rsidRDefault="007A694C" w:rsidP="00DD1C36">
            <w:pPr>
              <w:pStyle w:val="Table"/>
              <w:keepNext/>
              <w:rPr>
                <w:rFonts w:ascii="Arial Narrow" w:hAnsi="Arial Narrow"/>
                <w:szCs w:val="20"/>
              </w:rPr>
            </w:pPr>
            <w:r w:rsidRPr="00917FFB">
              <w:rPr>
                <w:rFonts w:ascii="Arial Narrow" w:hAnsi="Arial Narrow"/>
                <w:szCs w:val="20"/>
              </w:rPr>
              <w:t>NCT03334396</w:t>
            </w:r>
          </w:p>
          <w:p w:rsidR="007A694C" w:rsidRPr="00917FFB" w:rsidRDefault="007A694C" w:rsidP="00DD1C36">
            <w:pPr>
              <w:pStyle w:val="TableText0"/>
              <w:rPr>
                <w:szCs w:val="20"/>
              </w:rPr>
            </w:pPr>
            <w:r w:rsidRPr="00917FFB">
              <w:rPr>
                <w:szCs w:val="20"/>
              </w:rPr>
              <w:t>(I4V-MC-JAHL)</w:t>
            </w:r>
          </w:p>
          <w:p w:rsidR="007A694C" w:rsidRPr="00917FFB" w:rsidRDefault="007A694C" w:rsidP="00DD1C36">
            <w:pPr>
              <w:pStyle w:val="TableText0"/>
              <w:rPr>
                <w:szCs w:val="20"/>
              </w:rPr>
            </w:pPr>
            <w:r w:rsidRPr="00917FFB">
              <w:rPr>
                <w:szCs w:val="20"/>
              </w:rPr>
              <w:t>&amp;</w:t>
            </w:r>
          </w:p>
          <w:p w:rsidR="007A694C" w:rsidRPr="00917FFB" w:rsidRDefault="007A694C" w:rsidP="00DD1C36">
            <w:pPr>
              <w:pStyle w:val="Table"/>
              <w:keepNext/>
              <w:rPr>
                <w:rFonts w:ascii="Arial Narrow" w:hAnsi="Arial Narrow"/>
                <w:szCs w:val="20"/>
              </w:rPr>
            </w:pPr>
            <w:r w:rsidRPr="00917FFB">
              <w:rPr>
                <w:rFonts w:ascii="Arial Narrow" w:hAnsi="Arial Narrow"/>
                <w:szCs w:val="20"/>
              </w:rPr>
              <w:t>BREEZE-AD2</w:t>
            </w:r>
          </w:p>
          <w:p w:rsidR="007A694C" w:rsidRPr="00917FFB" w:rsidRDefault="007A694C" w:rsidP="00DD1C36">
            <w:pPr>
              <w:pStyle w:val="Table"/>
              <w:keepNext/>
              <w:rPr>
                <w:rFonts w:ascii="Arial Narrow" w:hAnsi="Arial Narrow"/>
                <w:szCs w:val="20"/>
              </w:rPr>
            </w:pPr>
            <w:r w:rsidRPr="00917FFB">
              <w:rPr>
                <w:rFonts w:ascii="Arial Narrow" w:hAnsi="Arial Narrow"/>
                <w:szCs w:val="20"/>
              </w:rPr>
              <w:t>NCT03334422</w:t>
            </w:r>
          </w:p>
          <w:p w:rsidR="007A694C" w:rsidRPr="00917FFB" w:rsidRDefault="007A694C" w:rsidP="00DD1C36">
            <w:pPr>
              <w:pStyle w:val="TableText0"/>
              <w:rPr>
                <w:szCs w:val="20"/>
              </w:rPr>
            </w:pPr>
            <w:r w:rsidRPr="00917FFB">
              <w:rPr>
                <w:szCs w:val="20"/>
              </w:rPr>
              <w:t>(I4V-MC-JAHM)</w:t>
            </w:r>
          </w:p>
        </w:tc>
        <w:tc>
          <w:tcPr>
            <w:tcW w:w="2988" w:type="pct"/>
            <w:tcBorders>
              <w:bottom w:val="single" w:sz="4" w:space="0" w:color="auto"/>
            </w:tcBorders>
            <w:vAlign w:val="center"/>
          </w:tcPr>
          <w:p w:rsidR="007A694C" w:rsidRPr="00917FFB" w:rsidRDefault="007A694C" w:rsidP="00DD1C36">
            <w:pPr>
              <w:pStyle w:val="TableText0"/>
              <w:rPr>
                <w:szCs w:val="20"/>
              </w:rPr>
            </w:pPr>
            <w:r w:rsidRPr="00917FFB">
              <w:rPr>
                <w:szCs w:val="20"/>
              </w:rPr>
              <w:t>A multicenter, randomised, double-blind, placebo-controlled, Phase 3 study to evaluate the efficacy and safety of baricitinib in adult patients with moderate to severe atopic dermatitis (BREEZE-AD1).</w:t>
            </w:r>
          </w:p>
        </w:tc>
        <w:tc>
          <w:tcPr>
            <w:tcW w:w="1229" w:type="pct"/>
            <w:tcBorders>
              <w:bottom w:val="single" w:sz="4" w:space="0" w:color="auto"/>
            </w:tcBorders>
            <w:vAlign w:val="center"/>
          </w:tcPr>
          <w:p w:rsidR="007A694C" w:rsidRPr="00917FFB" w:rsidRDefault="007A694C" w:rsidP="00DD1C36">
            <w:pPr>
              <w:pStyle w:val="TableText0"/>
              <w:rPr>
                <w:szCs w:val="20"/>
              </w:rPr>
            </w:pPr>
            <w:r w:rsidRPr="00917FFB">
              <w:rPr>
                <w:szCs w:val="20"/>
              </w:rPr>
              <w:t>CSR, September 2019</w:t>
            </w:r>
          </w:p>
        </w:tc>
      </w:tr>
      <w:tr w:rsidR="007A694C" w:rsidRPr="00917FFB" w:rsidTr="00DD1C36">
        <w:tc>
          <w:tcPr>
            <w:tcW w:w="784" w:type="pct"/>
            <w:vMerge/>
            <w:vAlign w:val="center"/>
          </w:tcPr>
          <w:p w:rsidR="007A694C" w:rsidRPr="00917FFB" w:rsidRDefault="007A694C" w:rsidP="00DD1C36">
            <w:pPr>
              <w:pStyle w:val="Table"/>
              <w:keepNext/>
              <w:rPr>
                <w:rFonts w:ascii="Arial Narrow" w:hAnsi="Arial Narrow"/>
                <w:szCs w:val="20"/>
              </w:rPr>
            </w:pPr>
          </w:p>
        </w:tc>
        <w:tc>
          <w:tcPr>
            <w:tcW w:w="2988" w:type="pct"/>
            <w:tcBorders>
              <w:bottom w:val="single" w:sz="4" w:space="0" w:color="auto"/>
            </w:tcBorders>
            <w:vAlign w:val="center"/>
          </w:tcPr>
          <w:p w:rsidR="007A694C" w:rsidRPr="00917FFB" w:rsidRDefault="007A694C" w:rsidP="00DD1C36">
            <w:pPr>
              <w:pStyle w:val="TableText0"/>
              <w:rPr>
                <w:szCs w:val="20"/>
              </w:rPr>
            </w:pPr>
            <w:r w:rsidRPr="00917FFB">
              <w:rPr>
                <w:szCs w:val="20"/>
              </w:rPr>
              <w:t>A multicenter, randomised, double blind, placebo controlled, Phase 3 study to evaluate the efficacy and safety of baricitinib in patients with moderate to severe atopic dermatitis (BREEZE-AD2).</w:t>
            </w:r>
          </w:p>
        </w:tc>
        <w:tc>
          <w:tcPr>
            <w:tcW w:w="1229" w:type="pct"/>
            <w:tcBorders>
              <w:bottom w:val="single" w:sz="4" w:space="0" w:color="auto"/>
            </w:tcBorders>
            <w:vAlign w:val="center"/>
          </w:tcPr>
          <w:p w:rsidR="007A694C" w:rsidRPr="00917FFB" w:rsidRDefault="007A694C" w:rsidP="00DD1C36">
            <w:pPr>
              <w:pStyle w:val="TableText0"/>
              <w:rPr>
                <w:szCs w:val="20"/>
              </w:rPr>
            </w:pPr>
            <w:r w:rsidRPr="00917FFB">
              <w:rPr>
                <w:szCs w:val="20"/>
              </w:rPr>
              <w:t>CSR, October 2019</w:t>
            </w:r>
          </w:p>
        </w:tc>
      </w:tr>
      <w:tr w:rsidR="007A694C" w:rsidRPr="00917FFB" w:rsidTr="00DD1C36">
        <w:tc>
          <w:tcPr>
            <w:tcW w:w="784" w:type="pct"/>
            <w:vMerge/>
            <w:vAlign w:val="center"/>
          </w:tcPr>
          <w:p w:rsidR="007A694C" w:rsidRPr="00917FFB" w:rsidRDefault="007A694C" w:rsidP="00DD1C36">
            <w:pPr>
              <w:pStyle w:val="TableText0"/>
              <w:rPr>
                <w:szCs w:val="20"/>
              </w:rPr>
            </w:pPr>
          </w:p>
        </w:tc>
        <w:tc>
          <w:tcPr>
            <w:tcW w:w="2988" w:type="pct"/>
            <w:tcBorders>
              <w:top w:val="single" w:sz="4" w:space="0" w:color="auto"/>
              <w:bottom w:val="single" w:sz="4" w:space="0" w:color="auto"/>
            </w:tcBorders>
            <w:vAlign w:val="center"/>
          </w:tcPr>
          <w:p w:rsidR="007A694C" w:rsidRPr="00917FFB" w:rsidRDefault="007A694C" w:rsidP="00DD1C36">
            <w:pPr>
              <w:keepNext/>
              <w:jc w:val="left"/>
              <w:rPr>
                <w:rFonts w:ascii="Arial Narrow" w:hAnsi="Arial Narrow" w:cstheme="majorBidi"/>
                <w:sz w:val="20"/>
                <w:szCs w:val="20"/>
                <w:lang w:eastAsia="en-US" w:bidi="en-US"/>
              </w:rPr>
            </w:pPr>
            <w:r w:rsidRPr="00853F7A">
              <w:rPr>
                <w:rFonts w:ascii="Arial Narrow" w:hAnsi="Arial Narrow" w:cstheme="majorBidi"/>
                <w:sz w:val="20"/>
                <w:szCs w:val="20"/>
                <w:lang w:eastAsia="en-US" w:bidi="en-US"/>
              </w:rPr>
              <w:t xml:space="preserve">Simpson EL, Lacour JP, Spelman L et al. </w:t>
            </w:r>
            <w:r w:rsidRPr="00917FFB">
              <w:rPr>
                <w:rFonts w:ascii="Arial Narrow" w:hAnsi="Arial Narrow" w:cstheme="majorBidi"/>
                <w:sz w:val="20"/>
                <w:szCs w:val="20"/>
                <w:lang w:eastAsia="en-US" w:bidi="en-US"/>
              </w:rPr>
              <w:t xml:space="preserve">Baricitinib in patients with moderate to severe atopic dermatitis and inadequate response to topical corticosteroids: results from two randomised monotherapy phase III trials. </w:t>
            </w:r>
          </w:p>
        </w:tc>
        <w:tc>
          <w:tcPr>
            <w:tcW w:w="1229" w:type="pct"/>
            <w:tcBorders>
              <w:top w:val="single" w:sz="4" w:space="0" w:color="auto"/>
              <w:bottom w:val="single" w:sz="4" w:space="0" w:color="auto"/>
            </w:tcBorders>
            <w:vAlign w:val="center"/>
          </w:tcPr>
          <w:p w:rsidR="007A694C" w:rsidRPr="000D2978" w:rsidRDefault="007A694C" w:rsidP="00DD1C36">
            <w:pPr>
              <w:pStyle w:val="TableText0"/>
              <w:rPr>
                <w:szCs w:val="20"/>
              </w:rPr>
            </w:pPr>
            <w:r w:rsidRPr="000D2978">
              <w:rPr>
                <w:bCs w:val="0"/>
                <w:szCs w:val="20"/>
                <w:lang w:eastAsia="en-US" w:bidi="en-US"/>
              </w:rPr>
              <w:t>Br J Dermatol 2020; 183: 242-255</w:t>
            </w:r>
          </w:p>
        </w:tc>
      </w:tr>
      <w:tr w:rsidR="007A694C" w:rsidRPr="00917FFB" w:rsidTr="00DD1C36">
        <w:tc>
          <w:tcPr>
            <w:tcW w:w="784" w:type="pct"/>
            <w:vMerge w:val="restart"/>
            <w:tcBorders>
              <w:top w:val="single" w:sz="4" w:space="0" w:color="auto"/>
            </w:tcBorders>
            <w:vAlign w:val="center"/>
          </w:tcPr>
          <w:p w:rsidR="007A694C" w:rsidRPr="00917FFB" w:rsidRDefault="007A694C" w:rsidP="00DD1C36">
            <w:pPr>
              <w:pStyle w:val="Table"/>
              <w:keepNext/>
              <w:rPr>
                <w:rFonts w:ascii="Arial Narrow" w:hAnsi="Arial Narrow"/>
                <w:szCs w:val="20"/>
              </w:rPr>
            </w:pPr>
            <w:r w:rsidRPr="00917FFB">
              <w:rPr>
                <w:rFonts w:ascii="Arial Narrow" w:hAnsi="Arial Narrow"/>
                <w:szCs w:val="20"/>
              </w:rPr>
              <w:t>BREEZE-AD5</w:t>
            </w:r>
          </w:p>
          <w:p w:rsidR="007A694C" w:rsidRPr="00917FFB" w:rsidRDefault="007A694C" w:rsidP="00DD1C36">
            <w:pPr>
              <w:pStyle w:val="Table"/>
              <w:keepNext/>
              <w:rPr>
                <w:rFonts w:ascii="Arial Narrow" w:hAnsi="Arial Narrow"/>
                <w:szCs w:val="20"/>
              </w:rPr>
            </w:pPr>
            <w:r w:rsidRPr="00917FFB">
              <w:rPr>
                <w:rFonts w:ascii="Arial Narrow" w:hAnsi="Arial Narrow"/>
                <w:szCs w:val="20"/>
              </w:rPr>
              <w:t>NCT03435081</w:t>
            </w:r>
          </w:p>
          <w:p w:rsidR="007A694C" w:rsidRPr="00917FFB" w:rsidRDefault="007A694C" w:rsidP="00DD1C36">
            <w:pPr>
              <w:pStyle w:val="TableText0"/>
              <w:rPr>
                <w:szCs w:val="20"/>
              </w:rPr>
            </w:pPr>
            <w:r w:rsidRPr="00917FFB">
              <w:rPr>
                <w:szCs w:val="20"/>
              </w:rPr>
              <w:t>(I4V-MC-JAIW)</w:t>
            </w:r>
          </w:p>
        </w:tc>
        <w:tc>
          <w:tcPr>
            <w:tcW w:w="2988" w:type="pct"/>
            <w:tcBorders>
              <w:top w:val="single" w:sz="4" w:space="0" w:color="auto"/>
              <w:bottom w:val="single" w:sz="4" w:space="0" w:color="auto"/>
            </w:tcBorders>
            <w:vAlign w:val="center"/>
          </w:tcPr>
          <w:p w:rsidR="007A694C" w:rsidRPr="00917FFB" w:rsidRDefault="007A694C" w:rsidP="00DD1C36">
            <w:pPr>
              <w:pStyle w:val="TableText0"/>
              <w:rPr>
                <w:szCs w:val="20"/>
              </w:rPr>
            </w:pPr>
            <w:r w:rsidRPr="00917FFB">
              <w:rPr>
                <w:szCs w:val="20"/>
              </w:rPr>
              <w:t>A multicenter, randomised, double-blind, placebo-controlled, Phase 3 study to evaluate the efficacy and safety of baricitinib in adult patients with moderate to severe atopic dermatitis.</w:t>
            </w:r>
          </w:p>
        </w:tc>
        <w:tc>
          <w:tcPr>
            <w:tcW w:w="1229" w:type="pct"/>
            <w:tcBorders>
              <w:top w:val="single" w:sz="4" w:space="0" w:color="auto"/>
              <w:bottom w:val="single" w:sz="4" w:space="0" w:color="auto"/>
            </w:tcBorders>
            <w:vAlign w:val="center"/>
          </w:tcPr>
          <w:p w:rsidR="007A694C" w:rsidRPr="00917FFB" w:rsidRDefault="007A694C" w:rsidP="00DD1C36">
            <w:pPr>
              <w:pStyle w:val="TableText0"/>
              <w:rPr>
                <w:szCs w:val="20"/>
              </w:rPr>
            </w:pPr>
            <w:r w:rsidRPr="00917FFB">
              <w:rPr>
                <w:szCs w:val="20"/>
              </w:rPr>
              <w:t>CSR, May 2020</w:t>
            </w:r>
          </w:p>
        </w:tc>
      </w:tr>
      <w:tr w:rsidR="007A694C" w:rsidRPr="00917FFB" w:rsidTr="00DD1C36">
        <w:tc>
          <w:tcPr>
            <w:tcW w:w="784" w:type="pct"/>
            <w:vMerge/>
            <w:tcBorders>
              <w:bottom w:val="single" w:sz="4" w:space="0" w:color="auto"/>
            </w:tcBorders>
            <w:vAlign w:val="center"/>
          </w:tcPr>
          <w:p w:rsidR="007A694C" w:rsidRPr="00917FFB" w:rsidRDefault="007A694C" w:rsidP="00DD1C36">
            <w:pPr>
              <w:pStyle w:val="Table"/>
              <w:keepNext/>
              <w:rPr>
                <w:rFonts w:ascii="Arial Narrow" w:hAnsi="Arial Narrow"/>
                <w:szCs w:val="20"/>
              </w:rPr>
            </w:pPr>
          </w:p>
        </w:tc>
        <w:tc>
          <w:tcPr>
            <w:tcW w:w="2988" w:type="pct"/>
            <w:tcBorders>
              <w:top w:val="single" w:sz="4" w:space="0" w:color="auto"/>
              <w:bottom w:val="single" w:sz="4" w:space="0" w:color="auto"/>
            </w:tcBorders>
            <w:vAlign w:val="center"/>
          </w:tcPr>
          <w:p w:rsidR="007A694C" w:rsidRPr="00917FFB" w:rsidRDefault="007A694C" w:rsidP="00DD1C36">
            <w:pPr>
              <w:pStyle w:val="TableText0"/>
              <w:rPr>
                <w:szCs w:val="20"/>
              </w:rPr>
            </w:pPr>
            <w:r w:rsidRPr="00917FFB">
              <w:rPr>
                <w:szCs w:val="20"/>
              </w:rPr>
              <w:t>Simpson EL, Forman S, Silverberg JI et al. Baricitinib in patients with moderate-to-severe atopic dermatitis: Results from a randomized monotherapy Phase 3 trial in the United States and Canada (BREEZE-AD5).</w:t>
            </w:r>
          </w:p>
        </w:tc>
        <w:tc>
          <w:tcPr>
            <w:tcW w:w="1229" w:type="pct"/>
            <w:tcBorders>
              <w:top w:val="single" w:sz="4" w:space="0" w:color="auto"/>
              <w:bottom w:val="single" w:sz="4" w:space="0" w:color="auto"/>
            </w:tcBorders>
            <w:vAlign w:val="center"/>
          </w:tcPr>
          <w:p w:rsidR="007A694C" w:rsidRPr="00917FFB" w:rsidRDefault="007A694C" w:rsidP="00DD1C36">
            <w:pPr>
              <w:pStyle w:val="TableText0"/>
              <w:rPr>
                <w:szCs w:val="20"/>
              </w:rPr>
            </w:pPr>
            <w:r w:rsidRPr="00917FFB">
              <w:rPr>
                <w:szCs w:val="20"/>
              </w:rPr>
              <w:t>J Amer Acad Dermatol. Online ahead of print: https://</w:t>
            </w:r>
          </w:p>
          <w:p w:rsidR="007A694C" w:rsidRPr="00917FFB" w:rsidRDefault="007A694C" w:rsidP="00DD1C36">
            <w:pPr>
              <w:pStyle w:val="TableText0"/>
              <w:rPr>
                <w:szCs w:val="20"/>
              </w:rPr>
            </w:pPr>
            <w:r w:rsidRPr="00917FFB">
              <w:rPr>
                <w:szCs w:val="20"/>
              </w:rPr>
              <w:t>doi.org/10.1016/j.jaad.2021.02.028</w:t>
            </w:r>
          </w:p>
        </w:tc>
      </w:tr>
      <w:tr w:rsidR="007A694C" w:rsidRPr="00917FFB" w:rsidTr="00DD1C36">
        <w:tc>
          <w:tcPr>
            <w:tcW w:w="784" w:type="pct"/>
            <w:tcBorders>
              <w:top w:val="single" w:sz="4" w:space="0" w:color="auto"/>
              <w:bottom w:val="single" w:sz="4" w:space="0" w:color="auto"/>
            </w:tcBorders>
            <w:vAlign w:val="center"/>
          </w:tcPr>
          <w:p w:rsidR="007A694C" w:rsidRPr="00917FFB" w:rsidRDefault="007A694C" w:rsidP="00DD1C36">
            <w:pPr>
              <w:pStyle w:val="Table"/>
              <w:keepNext/>
              <w:rPr>
                <w:rFonts w:ascii="Arial Narrow" w:hAnsi="Arial Narrow"/>
                <w:szCs w:val="20"/>
              </w:rPr>
            </w:pPr>
            <w:r w:rsidRPr="00917FFB">
              <w:rPr>
                <w:rFonts w:ascii="Arial Narrow" w:hAnsi="Arial Narrow"/>
                <w:szCs w:val="20"/>
              </w:rPr>
              <w:t>BREEZE-AD4</w:t>
            </w:r>
          </w:p>
          <w:p w:rsidR="007A694C" w:rsidRPr="00917FFB" w:rsidRDefault="007A694C" w:rsidP="00DD1C36">
            <w:pPr>
              <w:pStyle w:val="Table"/>
              <w:keepNext/>
              <w:rPr>
                <w:rFonts w:ascii="Arial Narrow" w:hAnsi="Arial Narrow"/>
                <w:szCs w:val="20"/>
              </w:rPr>
            </w:pPr>
            <w:r w:rsidRPr="00917FFB">
              <w:rPr>
                <w:rFonts w:ascii="Arial Narrow" w:hAnsi="Arial Narrow"/>
                <w:szCs w:val="20"/>
              </w:rPr>
              <w:t>NCT03428100</w:t>
            </w:r>
          </w:p>
          <w:p w:rsidR="007A694C" w:rsidRPr="00917FFB" w:rsidRDefault="007A694C" w:rsidP="00DD1C36">
            <w:pPr>
              <w:pStyle w:val="TableText0"/>
              <w:rPr>
                <w:szCs w:val="20"/>
              </w:rPr>
            </w:pPr>
            <w:r w:rsidRPr="00917FFB">
              <w:rPr>
                <w:szCs w:val="20"/>
              </w:rPr>
              <w:t>(I4V-MC-JAIN)</w:t>
            </w:r>
          </w:p>
        </w:tc>
        <w:tc>
          <w:tcPr>
            <w:tcW w:w="2988" w:type="pct"/>
            <w:tcBorders>
              <w:top w:val="single" w:sz="4" w:space="0" w:color="auto"/>
              <w:bottom w:val="single" w:sz="4" w:space="0" w:color="auto"/>
            </w:tcBorders>
            <w:vAlign w:val="center"/>
          </w:tcPr>
          <w:p w:rsidR="007A694C" w:rsidRPr="00917FFB" w:rsidRDefault="007A694C" w:rsidP="00DD1C36">
            <w:pPr>
              <w:pStyle w:val="TableText0"/>
              <w:rPr>
                <w:szCs w:val="20"/>
              </w:rPr>
            </w:pPr>
            <w:r w:rsidRPr="00917FFB">
              <w:rPr>
                <w:szCs w:val="20"/>
              </w:rPr>
              <w:t>A Phase 3, multicenter, double blind, randomized, placebo-controlled study evaluating the safety and efficacy of baricitinib in combination with topical corticosteroids in adult patients with moderate to severe atopic dermatitis who have experienced failure to cyclosporine or are intolerant to, or have contraindication to, cyclosporine.</w:t>
            </w:r>
          </w:p>
        </w:tc>
        <w:tc>
          <w:tcPr>
            <w:tcW w:w="1229" w:type="pct"/>
            <w:tcBorders>
              <w:top w:val="single" w:sz="4" w:space="0" w:color="auto"/>
              <w:bottom w:val="single" w:sz="4" w:space="0" w:color="auto"/>
            </w:tcBorders>
            <w:vAlign w:val="center"/>
          </w:tcPr>
          <w:p w:rsidR="007A694C" w:rsidRPr="00917FFB" w:rsidRDefault="007A694C" w:rsidP="00DD1C36">
            <w:pPr>
              <w:pStyle w:val="TableText0"/>
              <w:rPr>
                <w:szCs w:val="20"/>
              </w:rPr>
            </w:pPr>
            <w:r w:rsidRPr="00917FFB">
              <w:rPr>
                <w:szCs w:val="20"/>
              </w:rPr>
              <w:t>CSR, April 2020</w:t>
            </w:r>
          </w:p>
        </w:tc>
      </w:tr>
      <w:tr w:rsidR="007A694C" w:rsidRPr="00917FFB" w:rsidTr="00DD1C36">
        <w:tc>
          <w:tcPr>
            <w:tcW w:w="784" w:type="pct"/>
            <w:tcBorders>
              <w:top w:val="single" w:sz="4" w:space="0" w:color="auto"/>
              <w:bottom w:val="single" w:sz="4" w:space="0" w:color="auto"/>
            </w:tcBorders>
            <w:vAlign w:val="center"/>
          </w:tcPr>
          <w:p w:rsidR="007A694C" w:rsidRPr="00917FFB" w:rsidRDefault="007A694C" w:rsidP="00DD1C36">
            <w:pPr>
              <w:pStyle w:val="Table"/>
              <w:keepNext/>
              <w:rPr>
                <w:rFonts w:ascii="Arial Narrow" w:hAnsi="Arial Narrow"/>
                <w:szCs w:val="20"/>
              </w:rPr>
            </w:pPr>
            <w:r w:rsidRPr="00917FFB">
              <w:rPr>
                <w:rFonts w:ascii="Arial Narrow" w:hAnsi="Arial Narrow"/>
                <w:szCs w:val="20"/>
              </w:rPr>
              <w:t>BREEZE-AD7</w:t>
            </w:r>
          </w:p>
          <w:p w:rsidR="007A694C" w:rsidRPr="00917FFB" w:rsidRDefault="007A694C" w:rsidP="00DD1C36">
            <w:pPr>
              <w:pStyle w:val="Table"/>
              <w:keepNext/>
              <w:rPr>
                <w:rFonts w:ascii="Arial Narrow" w:hAnsi="Arial Narrow"/>
                <w:szCs w:val="20"/>
              </w:rPr>
            </w:pPr>
            <w:r w:rsidRPr="00917FFB">
              <w:rPr>
                <w:rFonts w:ascii="Arial Narrow" w:hAnsi="Arial Narrow"/>
                <w:szCs w:val="20"/>
              </w:rPr>
              <w:t>NCT03733301</w:t>
            </w:r>
          </w:p>
          <w:p w:rsidR="007A694C" w:rsidRPr="00917FFB" w:rsidRDefault="007A694C" w:rsidP="00DD1C36">
            <w:pPr>
              <w:pStyle w:val="TableText0"/>
              <w:rPr>
                <w:szCs w:val="20"/>
              </w:rPr>
            </w:pPr>
            <w:r w:rsidRPr="00917FFB">
              <w:rPr>
                <w:szCs w:val="20"/>
              </w:rPr>
              <w:t>(I4V-MC-JAIY)</w:t>
            </w:r>
          </w:p>
        </w:tc>
        <w:tc>
          <w:tcPr>
            <w:tcW w:w="2988" w:type="pct"/>
            <w:tcBorders>
              <w:top w:val="single" w:sz="4" w:space="0" w:color="auto"/>
              <w:bottom w:val="single" w:sz="4" w:space="0" w:color="auto"/>
            </w:tcBorders>
            <w:vAlign w:val="center"/>
          </w:tcPr>
          <w:p w:rsidR="007A694C" w:rsidRPr="00917FFB" w:rsidRDefault="007A694C" w:rsidP="00DD1C36">
            <w:pPr>
              <w:pStyle w:val="TableText0"/>
              <w:rPr>
                <w:szCs w:val="20"/>
              </w:rPr>
            </w:pPr>
            <w:r w:rsidRPr="00917FFB">
              <w:rPr>
                <w:szCs w:val="20"/>
              </w:rPr>
              <w:t>A multicenter, randomized, double-blind, placebo-controlled, Phase 3 study to evaluate the efficacy and safety of baricitinib in combination with topical corticosteroids in adult patients with moderate to severe atopic dermatitis.</w:t>
            </w:r>
          </w:p>
        </w:tc>
        <w:tc>
          <w:tcPr>
            <w:tcW w:w="1229" w:type="pct"/>
            <w:tcBorders>
              <w:top w:val="single" w:sz="4" w:space="0" w:color="auto"/>
              <w:bottom w:val="single" w:sz="4" w:space="0" w:color="auto"/>
            </w:tcBorders>
            <w:vAlign w:val="center"/>
          </w:tcPr>
          <w:p w:rsidR="007A694C" w:rsidRPr="00917FFB" w:rsidRDefault="007A694C" w:rsidP="00DD1C36">
            <w:pPr>
              <w:pStyle w:val="TableText0"/>
              <w:rPr>
                <w:szCs w:val="20"/>
              </w:rPr>
            </w:pPr>
            <w:r w:rsidRPr="00917FFB">
              <w:rPr>
                <w:szCs w:val="20"/>
              </w:rPr>
              <w:t>CSR, October 2019</w:t>
            </w:r>
          </w:p>
        </w:tc>
      </w:tr>
      <w:tr w:rsidR="007A694C" w:rsidRPr="00917FFB" w:rsidTr="00DD1C36">
        <w:tc>
          <w:tcPr>
            <w:tcW w:w="784" w:type="pct"/>
            <w:vMerge w:val="restart"/>
            <w:tcBorders>
              <w:top w:val="single" w:sz="4" w:space="0" w:color="auto"/>
            </w:tcBorders>
            <w:vAlign w:val="center"/>
          </w:tcPr>
          <w:p w:rsidR="007A694C" w:rsidRPr="00917FFB" w:rsidRDefault="007A694C" w:rsidP="0019155D">
            <w:pPr>
              <w:pStyle w:val="Table"/>
              <w:rPr>
                <w:rFonts w:ascii="Arial Narrow" w:hAnsi="Arial Narrow"/>
                <w:szCs w:val="20"/>
              </w:rPr>
            </w:pPr>
            <w:r w:rsidRPr="00917FFB">
              <w:rPr>
                <w:rFonts w:ascii="Arial Narrow" w:hAnsi="Arial Narrow"/>
                <w:szCs w:val="20"/>
              </w:rPr>
              <w:t>JAHG</w:t>
            </w:r>
          </w:p>
          <w:p w:rsidR="007A694C" w:rsidRPr="00917FFB" w:rsidRDefault="007A694C" w:rsidP="0019155D">
            <w:pPr>
              <w:pStyle w:val="Table"/>
              <w:rPr>
                <w:rFonts w:ascii="Arial Narrow" w:hAnsi="Arial Narrow"/>
                <w:szCs w:val="20"/>
              </w:rPr>
            </w:pPr>
            <w:r w:rsidRPr="00917FFB">
              <w:rPr>
                <w:rFonts w:ascii="Arial Narrow" w:hAnsi="Arial Narrow"/>
                <w:szCs w:val="20"/>
              </w:rPr>
              <w:t>NCT02576938</w:t>
            </w:r>
          </w:p>
          <w:p w:rsidR="007A694C" w:rsidRPr="00917FFB" w:rsidRDefault="007A694C" w:rsidP="0019155D">
            <w:pPr>
              <w:rPr>
                <w:rFonts w:ascii="Arial Narrow" w:hAnsi="Arial Narrow"/>
                <w:sz w:val="20"/>
                <w:szCs w:val="20"/>
              </w:rPr>
            </w:pPr>
            <w:r w:rsidRPr="00917FFB">
              <w:rPr>
                <w:rFonts w:ascii="Arial Narrow" w:hAnsi="Arial Narrow"/>
                <w:sz w:val="20"/>
                <w:szCs w:val="20"/>
              </w:rPr>
              <w:t>(I4V-MC-JAHG)</w:t>
            </w:r>
          </w:p>
        </w:tc>
        <w:tc>
          <w:tcPr>
            <w:tcW w:w="2988" w:type="pct"/>
            <w:tcBorders>
              <w:top w:val="single" w:sz="4" w:space="0" w:color="auto"/>
              <w:bottom w:val="single" w:sz="4" w:space="0" w:color="auto"/>
            </w:tcBorders>
            <w:vAlign w:val="center"/>
          </w:tcPr>
          <w:p w:rsidR="007A694C" w:rsidRPr="00917FFB" w:rsidRDefault="007A694C" w:rsidP="0019155D">
            <w:pPr>
              <w:pStyle w:val="TableText0"/>
              <w:rPr>
                <w:szCs w:val="20"/>
              </w:rPr>
            </w:pPr>
            <w:r w:rsidRPr="00917FFB">
              <w:rPr>
                <w:szCs w:val="20"/>
              </w:rPr>
              <w:t>A randomized, double-blind, placebo-controlled, Phase 2 study to evaluate the safety and efficacy of baricitinib in patients with moderate-to-severe atopic dermatitis.</w:t>
            </w:r>
          </w:p>
        </w:tc>
        <w:tc>
          <w:tcPr>
            <w:tcW w:w="1229" w:type="pct"/>
            <w:tcBorders>
              <w:top w:val="single" w:sz="4" w:space="0" w:color="auto"/>
              <w:bottom w:val="single" w:sz="4" w:space="0" w:color="auto"/>
            </w:tcBorders>
            <w:vAlign w:val="center"/>
          </w:tcPr>
          <w:p w:rsidR="007A694C" w:rsidRPr="00917FFB" w:rsidRDefault="007A694C" w:rsidP="0019155D">
            <w:pPr>
              <w:pStyle w:val="TableText0"/>
              <w:rPr>
                <w:szCs w:val="20"/>
              </w:rPr>
            </w:pPr>
            <w:r w:rsidRPr="00917FFB">
              <w:rPr>
                <w:szCs w:val="20"/>
              </w:rPr>
              <w:t>CSR, October 2017</w:t>
            </w:r>
          </w:p>
        </w:tc>
      </w:tr>
      <w:tr w:rsidR="007A694C" w:rsidRPr="00917FFB" w:rsidTr="00DD1C36">
        <w:tc>
          <w:tcPr>
            <w:tcW w:w="784" w:type="pct"/>
            <w:vMerge/>
            <w:tcBorders>
              <w:bottom w:val="single" w:sz="4" w:space="0" w:color="auto"/>
            </w:tcBorders>
            <w:vAlign w:val="center"/>
          </w:tcPr>
          <w:p w:rsidR="007A694C" w:rsidRPr="00917FFB" w:rsidRDefault="007A694C" w:rsidP="0019155D">
            <w:pPr>
              <w:pStyle w:val="Table"/>
              <w:rPr>
                <w:rFonts w:ascii="Arial Narrow" w:hAnsi="Arial Narrow"/>
                <w:szCs w:val="20"/>
              </w:rPr>
            </w:pPr>
          </w:p>
        </w:tc>
        <w:tc>
          <w:tcPr>
            <w:tcW w:w="2988" w:type="pct"/>
            <w:tcBorders>
              <w:top w:val="single" w:sz="4" w:space="0" w:color="auto"/>
              <w:bottom w:val="single" w:sz="4" w:space="0" w:color="auto"/>
            </w:tcBorders>
            <w:vAlign w:val="center"/>
          </w:tcPr>
          <w:p w:rsidR="007A694C" w:rsidRPr="00917FFB" w:rsidRDefault="007A694C" w:rsidP="0019155D">
            <w:pPr>
              <w:pStyle w:val="TableText0"/>
              <w:rPr>
                <w:szCs w:val="20"/>
              </w:rPr>
            </w:pPr>
            <w:r w:rsidRPr="00853F7A">
              <w:rPr>
                <w:szCs w:val="20"/>
              </w:rPr>
              <w:t xml:space="preserve">Guttman-Yassky E, Silverberg JI, Nemoto O et al. </w:t>
            </w:r>
            <w:r w:rsidRPr="00917FFB">
              <w:rPr>
                <w:szCs w:val="20"/>
              </w:rPr>
              <w:t>Baricitinib in adult patients with moderate to severe atopic dermatitis: A phase 2 parallel, double-blinded, randomised placebo-controlled multiple-dose study.</w:t>
            </w:r>
          </w:p>
        </w:tc>
        <w:tc>
          <w:tcPr>
            <w:tcW w:w="1229" w:type="pct"/>
            <w:tcBorders>
              <w:top w:val="single" w:sz="4" w:space="0" w:color="auto"/>
              <w:bottom w:val="single" w:sz="4" w:space="0" w:color="auto"/>
            </w:tcBorders>
            <w:vAlign w:val="center"/>
          </w:tcPr>
          <w:p w:rsidR="007A694C" w:rsidRPr="00853F7A" w:rsidRDefault="007A694C" w:rsidP="0019155D">
            <w:pPr>
              <w:pStyle w:val="TableText0"/>
              <w:rPr>
                <w:szCs w:val="20"/>
              </w:rPr>
            </w:pPr>
            <w:r w:rsidRPr="00853F7A">
              <w:rPr>
                <w:szCs w:val="20"/>
              </w:rPr>
              <w:t>J Am Acad Dermatol 2019; 80 (4): 913-921.e9.</w:t>
            </w:r>
          </w:p>
        </w:tc>
      </w:tr>
      <w:tr w:rsidR="007A694C" w:rsidRPr="00917FFB" w:rsidTr="00DD1C36">
        <w:tc>
          <w:tcPr>
            <w:tcW w:w="784" w:type="pct"/>
            <w:tcBorders>
              <w:top w:val="single" w:sz="4" w:space="0" w:color="auto"/>
              <w:bottom w:val="single" w:sz="4" w:space="0" w:color="auto"/>
            </w:tcBorders>
            <w:vAlign w:val="center"/>
          </w:tcPr>
          <w:p w:rsidR="007A694C" w:rsidRPr="00917FFB" w:rsidRDefault="007A694C" w:rsidP="0019155D">
            <w:pPr>
              <w:pStyle w:val="Table"/>
              <w:rPr>
                <w:rFonts w:ascii="Arial Narrow" w:hAnsi="Arial Narrow"/>
                <w:szCs w:val="20"/>
              </w:rPr>
            </w:pPr>
            <w:r w:rsidRPr="00917FFB">
              <w:rPr>
                <w:rFonts w:ascii="Arial Narrow" w:hAnsi="Arial Narrow"/>
                <w:szCs w:val="20"/>
              </w:rPr>
              <w:t>BREEZE-AD3</w:t>
            </w:r>
          </w:p>
          <w:p w:rsidR="007A694C" w:rsidRPr="00917FFB" w:rsidRDefault="007A694C" w:rsidP="0019155D">
            <w:pPr>
              <w:pStyle w:val="Table"/>
              <w:rPr>
                <w:rFonts w:ascii="Arial Narrow" w:hAnsi="Arial Narrow"/>
                <w:szCs w:val="20"/>
              </w:rPr>
            </w:pPr>
            <w:r w:rsidRPr="00917FFB">
              <w:rPr>
                <w:rFonts w:ascii="Arial Narrow" w:hAnsi="Arial Narrow"/>
                <w:szCs w:val="20"/>
              </w:rPr>
              <w:t>NCT03334435</w:t>
            </w:r>
          </w:p>
          <w:p w:rsidR="007A694C" w:rsidRPr="00917FFB" w:rsidRDefault="007A694C" w:rsidP="0019155D">
            <w:pPr>
              <w:rPr>
                <w:rFonts w:ascii="Arial Narrow" w:hAnsi="Arial Narrow"/>
                <w:sz w:val="20"/>
                <w:szCs w:val="20"/>
              </w:rPr>
            </w:pPr>
            <w:r w:rsidRPr="00917FFB">
              <w:rPr>
                <w:rFonts w:ascii="Arial Narrow" w:hAnsi="Arial Narrow"/>
                <w:sz w:val="20"/>
                <w:szCs w:val="20"/>
              </w:rPr>
              <w:t>(I4V-MC-JAHN)</w:t>
            </w:r>
          </w:p>
        </w:tc>
        <w:tc>
          <w:tcPr>
            <w:tcW w:w="2988" w:type="pct"/>
            <w:tcBorders>
              <w:top w:val="single" w:sz="4" w:space="0" w:color="auto"/>
              <w:bottom w:val="single" w:sz="4" w:space="0" w:color="auto"/>
            </w:tcBorders>
            <w:vAlign w:val="center"/>
          </w:tcPr>
          <w:p w:rsidR="007A694C" w:rsidRPr="00917FFB" w:rsidRDefault="007A694C" w:rsidP="0019155D">
            <w:pPr>
              <w:pStyle w:val="TableText0"/>
              <w:rPr>
                <w:szCs w:val="20"/>
              </w:rPr>
            </w:pPr>
            <w:r w:rsidRPr="00917FFB">
              <w:rPr>
                <w:szCs w:val="20"/>
              </w:rPr>
              <w:t xml:space="preserve">A Phase 3 multicenter, double-blind study to evaluate the long-term safety and efficacy of baricitinib in adult patients with atopic dermatitis. </w:t>
            </w:r>
          </w:p>
        </w:tc>
        <w:tc>
          <w:tcPr>
            <w:tcW w:w="1229" w:type="pct"/>
            <w:tcBorders>
              <w:top w:val="single" w:sz="4" w:space="0" w:color="auto"/>
              <w:bottom w:val="single" w:sz="4" w:space="0" w:color="auto"/>
            </w:tcBorders>
            <w:vAlign w:val="center"/>
          </w:tcPr>
          <w:p w:rsidR="007A694C" w:rsidRPr="00917FFB" w:rsidRDefault="007A694C" w:rsidP="0019155D">
            <w:pPr>
              <w:pStyle w:val="TableText0"/>
              <w:rPr>
                <w:szCs w:val="20"/>
              </w:rPr>
            </w:pPr>
            <w:r w:rsidRPr="00917FFB">
              <w:rPr>
                <w:szCs w:val="20"/>
              </w:rPr>
              <w:t>CSR, April 2020</w:t>
            </w:r>
          </w:p>
        </w:tc>
      </w:tr>
      <w:tr w:rsidR="007A694C" w:rsidRPr="00917FFB" w:rsidTr="00FD2777">
        <w:tc>
          <w:tcPr>
            <w:tcW w:w="5000" w:type="pct"/>
            <w:gridSpan w:val="3"/>
            <w:tcBorders>
              <w:top w:val="single" w:sz="4" w:space="0" w:color="auto"/>
              <w:bottom w:val="single" w:sz="4" w:space="0" w:color="auto"/>
            </w:tcBorders>
            <w:vAlign w:val="center"/>
          </w:tcPr>
          <w:p w:rsidR="007A694C" w:rsidRPr="00917FFB" w:rsidRDefault="007A694C" w:rsidP="0019155D">
            <w:pPr>
              <w:pStyle w:val="TableText0"/>
              <w:rPr>
                <w:szCs w:val="20"/>
              </w:rPr>
            </w:pPr>
            <w:r w:rsidRPr="00917FFB">
              <w:rPr>
                <w:b/>
                <w:szCs w:val="20"/>
              </w:rPr>
              <w:t>Dupilumab trials</w:t>
            </w:r>
          </w:p>
        </w:tc>
      </w:tr>
      <w:tr w:rsidR="007A694C" w:rsidRPr="00917FFB" w:rsidTr="00DD1C36">
        <w:trPr>
          <w:trHeight w:val="768"/>
        </w:trPr>
        <w:tc>
          <w:tcPr>
            <w:tcW w:w="784" w:type="pct"/>
            <w:tcBorders>
              <w:top w:val="single" w:sz="4" w:space="0" w:color="auto"/>
            </w:tcBorders>
            <w:vAlign w:val="center"/>
          </w:tcPr>
          <w:p w:rsidR="007A694C" w:rsidRPr="00917FFB" w:rsidRDefault="007A694C" w:rsidP="0019155D">
            <w:pPr>
              <w:pStyle w:val="Table"/>
              <w:rPr>
                <w:rFonts w:ascii="Arial Narrow" w:hAnsi="Arial Narrow"/>
                <w:szCs w:val="20"/>
              </w:rPr>
            </w:pPr>
            <w:r w:rsidRPr="00917FFB">
              <w:rPr>
                <w:rFonts w:ascii="Arial Narrow" w:hAnsi="Arial Narrow"/>
                <w:szCs w:val="20"/>
              </w:rPr>
              <w:t>Study 1021</w:t>
            </w:r>
          </w:p>
          <w:p w:rsidR="007A694C" w:rsidRPr="00917FFB" w:rsidRDefault="007A694C" w:rsidP="0019155D">
            <w:pPr>
              <w:pStyle w:val="Table"/>
              <w:rPr>
                <w:rFonts w:ascii="Arial Narrow" w:hAnsi="Arial Narrow"/>
                <w:szCs w:val="20"/>
              </w:rPr>
            </w:pPr>
            <w:r w:rsidRPr="00917FFB">
              <w:rPr>
                <w:rFonts w:ascii="Arial Narrow" w:hAnsi="Arial Narrow"/>
                <w:szCs w:val="20"/>
              </w:rPr>
              <w:t>NCT01859988</w:t>
            </w:r>
          </w:p>
          <w:p w:rsidR="007A694C" w:rsidRPr="00917FFB" w:rsidRDefault="007A694C" w:rsidP="0019155D">
            <w:pPr>
              <w:pStyle w:val="Table"/>
              <w:rPr>
                <w:rFonts w:ascii="Arial Narrow" w:hAnsi="Arial Narrow"/>
                <w:szCs w:val="20"/>
              </w:rPr>
            </w:pPr>
            <w:r w:rsidRPr="00917FFB">
              <w:rPr>
                <w:rFonts w:ascii="Arial Narrow" w:hAnsi="Arial Narrow"/>
                <w:szCs w:val="20"/>
              </w:rPr>
              <w:t>(R668-AD-1021)</w:t>
            </w:r>
          </w:p>
        </w:tc>
        <w:tc>
          <w:tcPr>
            <w:tcW w:w="2988" w:type="pct"/>
            <w:tcBorders>
              <w:top w:val="single" w:sz="4" w:space="0" w:color="auto"/>
            </w:tcBorders>
            <w:vAlign w:val="center"/>
          </w:tcPr>
          <w:p w:rsidR="007A694C" w:rsidRPr="00917FFB" w:rsidRDefault="007A694C" w:rsidP="0019155D">
            <w:pPr>
              <w:pStyle w:val="Table"/>
              <w:rPr>
                <w:rFonts w:ascii="Arial Narrow" w:hAnsi="Arial Narrow"/>
                <w:szCs w:val="20"/>
              </w:rPr>
            </w:pPr>
            <w:r w:rsidRPr="00853F7A">
              <w:rPr>
                <w:rFonts w:ascii="Arial Narrow" w:hAnsi="Arial Narrow"/>
                <w:szCs w:val="20"/>
              </w:rPr>
              <w:t xml:space="preserve">Thaçi D, Simpson EL, Beck LA et al. </w:t>
            </w:r>
            <w:r w:rsidRPr="00917FFB">
              <w:rPr>
                <w:rFonts w:ascii="Arial Narrow" w:hAnsi="Arial Narrow"/>
                <w:szCs w:val="20"/>
              </w:rPr>
              <w:t xml:space="preserve">Efficacy and safety of dupilumab in adults with moderate to severe atopic dermatitis inadequately controlled by topical treatments: A randomised, placebo-controlled, dose-ranging phase 2b trial. Lancet 2016; 387 (10013): 40-52. </w:t>
            </w:r>
          </w:p>
        </w:tc>
        <w:tc>
          <w:tcPr>
            <w:tcW w:w="1229" w:type="pct"/>
            <w:tcBorders>
              <w:top w:val="single" w:sz="4" w:space="0" w:color="auto"/>
              <w:bottom w:val="single" w:sz="4" w:space="0" w:color="auto"/>
            </w:tcBorders>
            <w:vAlign w:val="center"/>
          </w:tcPr>
          <w:p w:rsidR="007A694C" w:rsidRPr="000D2978" w:rsidRDefault="007A694C" w:rsidP="0019155D">
            <w:pPr>
              <w:pStyle w:val="Table"/>
              <w:rPr>
                <w:rFonts w:ascii="Arial Narrow" w:hAnsi="Arial Narrow"/>
                <w:szCs w:val="20"/>
              </w:rPr>
            </w:pPr>
            <w:r w:rsidRPr="000D2978">
              <w:rPr>
                <w:rFonts w:ascii="Arial Narrow" w:hAnsi="Arial Narrow"/>
                <w:szCs w:val="20"/>
              </w:rPr>
              <w:t>Lancet 2016; 387 (10013): 40-52.</w:t>
            </w:r>
          </w:p>
        </w:tc>
      </w:tr>
      <w:tr w:rsidR="007A694C" w:rsidRPr="00917FFB" w:rsidTr="00DD1C36">
        <w:tc>
          <w:tcPr>
            <w:tcW w:w="784" w:type="pct"/>
            <w:tcBorders>
              <w:top w:val="single" w:sz="4" w:space="0" w:color="auto"/>
              <w:bottom w:val="single" w:sz="4" w:space="0" w:color="auto"/>
            </w:tcBorders>
            <w:vAlign w:val="center"/>
          </w:tcPr>
          <w:p w:rsidR="007A694C" w:rsidRPr="00853F7A" w:rsidRDefault="007A694C" w:rsidP="0019155D">
            <w:pPr>
              <w:pStyle w:val="Table"/>
              <w:rPr>
                <w:rFonts w:ascii="Arial Narrow" w:hAnsi="Arial Narrow"/>
                <w:szCs w:val="20"/>
              </w:rPr>
            </w:pPr>
            <w:r w:rsidRPr="00853F7A">
              <w:rPr>
                <w:rFonts w:ascii="Arial Narrow" w:hAnsi="Arial Narrow"/>
                <w:szCs w:val="20"/>
              </w:rPr>
              <w:t>SOLO 1</w:t>
            </w:r>
          </w:p>
          <w:p w:rsidR="007A694C" w:rsidRPr="00853F7A" w:rsidRDefault="007A694C" w:rsidP="0019155D">
            <w:pPr>
              <w:jc w:val="left"/>
              <w:rPr>
                <w:rFonts w:ascii="Arial Narrow" w:hAnsi="Arial Narrow" w:cstheme="majorBidi"/>
                <w:sz w:val="20"/>
                <w:szCs w:val="20"/>
                <w:lang w:eastAsia="en-US" w:bidi="en-US"/>
              </w:rPr>
            </w:pPr>
            <w:r w:rsidRPr="00853F7A">
              <w:rPr>
                <w:rFonts w:ascii="Arial Narrow" w:hAnsi="Arial Narrow" w:cstheme="majorBidi"/>
                <w:sz w:val="20"/>
                <w:szCs w:val="20"/>
                <w:lang w:eastAsia="en-US" w:bidi="en-US"/>
              </w:rPr>
              <w:t>NCT02277743</w:t>
            </w:r>
          </w:p>
          <w:p w:rsidR="007A694C" w:rsidRPr="00853F7A" w:rsidRDefault="007A694C" w:rsidP="0019155D">
            <w:pPr>
              <w:pStyle w:val="Table"/>
              <w:rPr>
                <w:rFonts w:ascii="Arial Narrow" w:hAnsi="Arial Narrow"/>
                <w:szCs w:val="20"/>
              </w:rPr>
            </w:pPr>
            <w:r w:rsidRPr="00853F7A">
              <w:rPr>
                <w:rFonts w:ascii="Arial Narrow" w:hAnsi="Arial Narrow"/>
                <w:szCs w:val="20"/>
              </w:rPr>
              <w:t xml:space="preserve">(R668-AD-1334) </w:t>
            </w:r>
          </w:p>
          <w:p w:rsidR="007A694C" w:rsidRPr="00853F7A" w:rsidRDefault="007A694C" w:rsidP="0019155D">
            <w:pPr>
              <w:pStyle w:val="Table"/>
              <w:rPr>
                <w:rFonts w:ascii="Arial Narrow" w:hAnsi="Arial Narrow"/>
                <w:szCs w:val="20"/>
              </w:rPr>
            </w:pPr>
            <w:r w:rsidRPr="00853F7A">
              <w:rPr>
                <w:rFonts w:ascii="Arial Narrow" w:hAnsi="Arial Narrow"/>
                <w:szCs w:val="20"/>
              </w:rPr>
              <w:t>&amp;</w:t>
            </w:r>
          </w:p>
          <w:p w:rsidR="007A694C" w:rsidRPr="00853F7A" w:rsidRDefault="007A694C" w:rsidP="0019155D">
            <w:pPr>
              <w:pStyle w:val="Table"/>
              <w:rPr>
                <w:rFonts w:ascii="Arial Narrow" w:hAnsi="Arial Narrow"/>
                <w:szCs w:val="20"/>
              </w:rPr>
            </w:pPr>
            <w:r w:rsidRPr="00853F7A">
              <w:rPr>
                <w:rFonts w:ascii="Arial Narrow" w:hAnsi="Arial Narrow"/>
                <w:szCs w:val="20"/>
              </w:rPr>
              <w:t>SOLO 2</w:t>
            </w:r>
          </w:p>
          <w:p w:rsidR="007A694C" w:rsidRPr="00917FFB" w:rsidRDefault="007A694C" w:rsidP="0019155D">
            <w:pPr>
              <w:pStyle w:val="Table"/>
              <w:rPr>
                <w:rFonts w:ascii="Arial Narrow" w:hAnsi="Arial Narrow"/>
                <w:szCs w:val="20"/>
              </w:rPr>
            </w:pPr>
            <w:r w:rsidRPr="00917FFB">
              <w:rPr>
                <w:rFonts w:ascii="Arial Narrow" w:eastAsiaTheme="minorHAnsi" w:hAnsi="Arial Narrow" w:cstheme="minorBidi"/>
                <w:szCs w:val="20"/>
                <w:lang w:bidi="ar-SA"/>
              </w:rPr>
              <w:t>NCT02277769</w:t>
            </w:r>
          </w:p>
          <w:p w:rsidR="007A694C" w:rsidRPr="00917FFB" w:rsidRDefault="007A694C" w:rsidP="0019155D">
            <w:pPr>
              <w:pStyle w:val="Table"/>
              <w:rPr>
                <w:rFonts w:ascii="Arial Narrow" w:hAnsi="Arial Narrow"/>
                <w:szCs w:val="20"/>
              </w:rPr>
            </w:pPr>
            <w:r w:rsidRPr="00917FFB">
              <w:rPr>
                <w:rFonts w:ascii="Arial Narrow" w:hAnsi="Arial Narrow"/>
                <w:szCs w:val="20"/>
              </w:rPr>
              <w:t>(R668-AD-1416)</w:t>
            </w:r>
          </w:p>
        </w:tc>
        <w:tc>
          <w:tcPr>
            <w:tcW w:w="2988" w:type="pct"/>
            <w:tcBorders>
              <w:top w:val="single" w:sz="4" w:space="0" w:color="auto"/>
              <w:bottom w:val="single" w:sz="4" w:space="0" w:color="auto"/>
            </w:tcBorders>
            <w:vAlign w:val="center"/>
          </w:tcPr>
          <w:p w:rsidR="007A694C" w:rsidRPr="00917FFB" w:rsidRDefault="007A694C" w:rsidP="0019155D">
            <w:pPr>
              <w:pStyle w:val="TableText0"/>
              <w:rPr>
                <w:szCs w:val="20"/>
              </w:rPr>
            </w:pPr>
            <w:r w:rsidRPr="000D2978">
              <w:rPr>
                <w:szCs w:val="20"/>
              </w:rPr>
              <w:t>Simpson EL, Bieber T, Guttman-Yassky E</w:t>
            </w:r>
            <w:r w:rsidRPr="00917FFB">
              <w:rPr>
                <w:szCs w:val="20"/>
              </w:rPr>
              <w:t xml:space="preserve"> et al. Two Phase 3 Trials of dupilumab versus placebo in atopic dermatitis. </w:t>
            </w:r>
          </w:p>
        </w:tc>
        <w:tc>
          <w:tcPr>
            <w:tcW w:w="1229" w:type="pct"/>
            <w:tcBorders>
              <w:top w:val="single" w:sz="4" w:space="0" w:color="auto"/>
              <w:bottom w:val="single" w:sz="4" w:space="0" w:color="auto"/>
            </w:tcBorders>
            <w:vAlign w:val="center"/>
          </w:tcPr>
          <w:p w:rsidR="007A694C" w:rsidRPr="00917FFB" w:rsidRDefault="007A694C" w:rsidP="0019155D">
            <w:pPr>
              <w:pStyle w:val="TableText0"/>
              <w:rPr>
                <w:szCs w:val="20"/>
              </w:rPr>
            </w:pPr>
            <w:r w:rsidRPr="00917FFB">
              <w:rPr>
                <w:szCs w:val="20"/>
              </w:rPr>
              <w:t>New Engl J Med 2016; 375 (24): 2335-2348.</w:t>
            </w:r>
          </w:p>
        </w:tc>
      </w:tr>
      <w:tr w:rsidR="007A694C" w:rsidRPr="00917FFB" w:rsidTr="00DD1C36">
        <w:trPr>
          <w:trHeight w:val="918"/>
        </w:trPr>
        <w:tc>
          <w:tcPr>
            <w:tcW w:w="784" w:type="pct"/>
            <w:tcBorders>
              <w:top w:val="single" w:sz="4" w:space="0" w:color="auto"/>
            </w:tcBorders>
            <w:vAlign w:val="center"/>
          </w:tcPr>
          <w:p w:rsidR="007A694C" w:rsidRPr="00917FFB" w:rsidRDefault="007A694C" w:rsidP="0019155D">
            <w:pPr>
              <w:pStyle w:val="Table"/>
              <w:rPr>
                <w:rFonts w:ascii="Arial Narrow" w:hAnsi="Arial Narrow"/>
                <w:szCs w:val="20"/>
              </w:rPr>
            </w:pPr>
            <w:r w:rsidRPr="00917FFB">
              <w:rPr>
                <w:rFonts w:ascii="Arial Narrow" w:hAnsi="Arial Narrow"/>
                <w:szCs w:val="20"/>
              </w:rPr>
              <w:t>CHRONOS</w:t>
            </w:r>
          </w:p>
          <w:p w:rsidR="007A694C" w:rsidRPr="00917FFB" w:rsidRDefault="007A694C" w:rsidP="0019155D">
            <w:pPr>
              <w:pStyle w:val="Table"/>
              <w:rPr>
                <w:rFonts w:ascii="Arial Narrow" w:hAnsi="Arial Narrow"/>
                <w:szCs w:val="20"/>
              </w:rPr>
            </w:pPr>
            <w:r w:rsidRPr="00917FFB">
              <w:rPr>
                <w:rFonts w:ascii="Arial Narrow" w:hAnsi="Arial Narrow"/>
                <w:szCs w:val="20"/>
              </w:rPr>
              <w:t>NCT02260986</w:t>
            </w:r>
          </w:p>
          <w:p w:rsidR="007A694C" w:rsidRPr="00917FFB" w:rsidRDefault="007A694C" w:rsidP="0019155D">
            <w:pPr>
              <w:pStyle w:val="Table"/>
              <w:rPr>
                <w:rFonts w:ascii="Arial Narrow" w:hAnsi="Arial Narrow"/>
                <w:szCs w:val="20"/>
              </w:rPr>
            </w:pPr>
            <w:r w:rsidRPr="00917FFB">
              <w:rPr>
                <w:rFonts w:ascii="Arial Narrow" w:hAnsi="Arial Narrow"/>
                <w:szCs w:val="20"/>
              </w:rPr>
              <w:t>(R668-AD-1224)</w:t>
            </w:r>
          </w:p>
        </w:tc>
        <w:tc>
          <w:tcPr>
            <w:tcW w:w="2988" w:type="pct"/>
            <w:tcBorders>
              <w:top w:val="single" w:sz="4" w:space="0" w:color="auto"/>
            </w:tcBorders>
            <w:vAlign w:val="center"/>
          </w:tcPr>
          <w:p w:rsidR="007A694C" w:rsidRPr="000D2978" w:rsidRDefault="007A694C" w:rsidP="0019155D">
            <w:pPr>
              <w:pStyle w:val="TableText0"/>
              <w:rPr>
                <w:szCs w:val="20"/>
              </w:rPr>
            </w:pPr>
            <w:r w:rsidRPr="00853F7A">
              <w:rPr>
                <w:szCs w:val="20"/>
              </w:rPr>
              <w:t xml:space="preserve">Blauvelt A, de Bruin-Weller M, Gooderman M et al. </w:t>
            </w:r>
            <w:r w:rsidRPr="00917FFB">
              <w:rPr>
                <w:szCs w:val="20"/>
              </w:rPr>
              <w:t>Long-term management of moderate to severe atopic dermatitis with dupilumab and concomitant topical corticosteroids (LIBERTY AD CHRONOS): a 1-year, randomised, double-blinded, placebo-controlled, phase 3 trial</w:t>
            </w:r>
            <w:r w:rsidRPr="000D2978">
              <w:rPr>
                <w:szCs w:val="20"/>
              </w:rPr>
              <w:t>.</w:t>
            </w:r>
          </w:p>
        </w:tc>
        <w:tc>
          <w:tcPr>
            <w:tcW w:w="1229" w:type="pct"/>
            <w:tcBorders>
              <w:top w:val="single" w:sz="4" w:space="0" w:color="auto"/>
            </w:tcBorders>
            <w:vAlign w:val="center"/>
          </w:tcPr>
          <w:p w:rsidR="007A694C" w:rsidRPr="00917FFB" w:rsidRDefault="007A694C" w:rsidP="0019155D">
            <w:pPr>
              <w:pStyle w:val="TableText0"/>
              <w:rPr>
                <w:szCs w:val="20"/>
              </w:rPr>
            </w:pPr>
            <w:r w:rsidRPr="00917FFB">
              <w:rPr>
                <w:szCs w:val="20"/>
              </w:rPr>
              <w:t>Lancet 2017; 389 (10086): 2287-2303</w:t>
            </w:r>
          </w:p>
        </w:tc>
      </w:tr>
      <w:tr w:rsidR="007A694C" w:rsidRPr="00917FFB" w:rsidTr="00DD1C36">
        <w:tc>
          <w:tcPr>
            <w:tcW w:w="784" w:type="pct"/>
            <w:tcBorders>
              <w:top w:val="single" w:sz="4" w:space="0" w:color="auto"/>
              <w:bottom w:val="single" w:sz="4" w:space="0" w:color="auto"/>
            </w:tcBorders>
            <w:vAlign w:val="center"/>
          </w:tcPr>
          <w:p w:rsidR="007A694C" w:rsidRPr="00917FFB" w:rsidRDefault="007A694C" w:rsidP="0019155D">
            <w:pPr>
              <w:pStyle w:val="Table"/>
              <w:rPr>
                <w:rFonts w:ascii="Arial Narrow" w:hAnsi="Arial Narrow"/>
                <w:szCs w:val="20"/>
              </w:rPr>
            </w:pPr>
            <w:r w:rsidRPr="00917FFB">
              <w:rPr>
                <w:rFonts w:ascii="Arial Narrow" w:hAnsi="Arial Narrow"/>
                <w:szCs w:val="20"/>
              </w:rPr>
              <w:t xml:space="preserve">CAFÉ </w:t>
            </w:r>
          </w:p>
          <w:p w:rsidR="007A694C" w:rsidRPr="00917FFB" w:rsidRDefault="007A694C" w:rsidP="0019155D">
            <w:pPr>
              <w:pStyle w:val="Table"/>
              <w:rPr>
                <w:rFonts w:ascii="Arial Narrow" w:hAnsi="Arial Narrow"/>
                <w:szCs w:val="20"/>
              </w:rPr>
            </w:pPr>
            <w:r w:rsidRPr="00917FFB">
              <w:rPr>
                <w:rFonts w:ascii="Arial Narrow" w:hAnsi="Arial Narrow"/>
                <w:szCs w:val="20"/>
              </w:rPr>
              <w:t>NCT02755649</w:t>
            </w:r>
          </w:p>
          <w:p w:rsidR="007A694C" w:rsidRPr="00917FFB" w:rsidRDefault="007A694C" w:rsidP="0019155D">
            <w:pPr>
              <w:pStyle w:val="Table"/>
              <w:rPr>
                <w:rFonts w:ascii="Arial Narrow" w:hAnsi="Arial Narrow"/>
                <w:szCs w:val="20"/>
              </w:rPr>
            </w:pPr>
            <w:r w:rsidRPr="00917FFB">
              <w:rPr>
                <w:rFonts w:ascii="Arial Narrow" w:hAnsi="Arial Narrow"/>
                <w:szCs w:val="20"/>
              </w:rPr>
              <w:t>(R668-AD-1424)</w:t>
            </w:r>
          </w:p>
        </w:tc>
        <w:tc>
          <w:tcPr>
            <w:tcW w:w="2988" w:type="pct"/>
            <w:tcBorders>
              <w:top w:val="single" w:sz="4" w:space="0" w:color="auto"/>
              <w:bottom w:val="single" w:sz="4" w:space="0" w:color="auto"/>
            </w:tcBorders>
            <w:vAlign w:val="center"/>
          </w:tcPr>
          <w:p w:rsidR="007A694C" w:rsidRPr="00917FFB" w:rsidRDefault="007A694C" w:rsidP="0019155D">
            <w:pPr>
              <w:pStyle w:val="TableText0"/>
              <w:rPr>
                <w:szCs w:val="20"/>
              </w:rPr>
            </w:pPr>
            <w:r w:rsidRPr="00917FFB">
              <w:rPr>
                <w:szCs w:val="20"/>
              </w:rPr>
              <w:t>de Bruin-Weller M, Thaçi D, Smith CH et al. Dupilumab with concomitant topical corticosteroid treatment in adults with atopic dermatitis with an inadequate response or intolerance to ciclosporin A or when this treatment is medically inadvisable: a placebo-controlled, randomized phase III clinical trial (LIBERTY AD CAFÉ).</w:t>
            </w:r>
          </w:p>
        </w:tc>
        <w:tc>
          <w:tcPr>
            <w:tcW w:w="1229" w:type="pct"/>
            <w:tcBorders>
              <w:top w:val="single" w:sz="4" w:space="0" w:color="auto"/>
              <w:bottom w:val="single" w:sz="4" w:space="0" w:color="auto"/>
            </w:tcBorders>
            <w:vAlign w:val="center"/>
          </w:tcPr>
          <w:p w:rsidR="007A694C" w:rsidRPr="00917FFB" w:rsidRDefault="007A694C" w:rsidP="0019155D">
            <w:pPr>
              <w:pStyle w:val="TableText0"/>
              <w:rPr>
                <w:szCs w:val="20"/>
              </w:rPr>
            </w:pPr>
            <w:r w:rsidRPr="00917FFB">
              <w:rPr>
                <w:szCs w:val="20"/>
              </w:rPr>
              <w:t>Br J Dermatol 2018; 178 (5): 1083-1101.</w:t>
            </w:r>
          </w:p>
        </w:tc>
      </w:tr>
      <w:tr w:rsidR="007A694C" w:rsidRPr="00917FFB" w:rsidTr="00DD1C36">
        <w:tc>
          <w:tcPr>
            <w:tcW w:w="784" w:type="pct"/>
            <w:tcBorders>
              <w:top w:val="single" w:sz="4" w:space="0" w:color="auto"/>
              <w:bottom w:val="single" w:sz="4" w:space="0" w:color="auto"/>
            </w:tcBorders>
            <w:vAlign w:val="center"/>
          </w:tcPr>
          <w:p w:rsidR="007A694C" w:rsidRPr="00917FFB" w:rsidRDefault="007A694C" w:rsidP="0019155D">
            <w:pPr>
              <w:pStyle w:val="Table"/>
              <w:rPr>
                <w:rFonts w:ascii="Arial Narrow" w:hAnsi="Arial Narrow"/>
                <w:szCs w:val="20"/>
              </w:rPr>
            </w:pPr>
            <w:r w:rsidRPr="00917FFB">
              <w:rPr>
                <w:rFonts w:ascii="Arial Narrow" w:hAnsi="Arial Narrow"/>
                <w:szCs w:val="20"/>
              </w:rPr>
              <w:t>JADE Compare</w:t>
            </w:r>
          </w:p>
          <w:p w:rsidR="007A694C" w:rsidRPr="00917FFB" w:rsidRDefault="007A694C" w:rsidP="0019155D">
            <w:pPr>
              <w:pStyle w:val="Table"/>
              <w:rPr>
                <w:rFonts w:ascii="Arial Narrow" w:hAnsi="Arial Narrow"/>
                <w:szCs w:val="20"/>
              </w:rPr>
            </w:pPr>
            <w:r w:rsidRPr="00917FFB">
              <w:rPr>
                <w:rFonts w:ascii="Arial Narrow" w:hAnsi="Arial Narrow"/>
                <w:szCs w:val="20"/>
              </w:rPr>
              <w:t>NCT03720470</w:t>
            </w:r>
          </w:p>
          <w:p w:rsidR="007A694C" w:rsidRPr="00917FFB" w:rsidRDefault="007A694C" w:rsidP="0019155D">
            <w:pPr>
              <w:pStyle w:val="Table"/>
              <w:rPr>
                <w:rFonts w:ascii="Arial Narrow" w:hAnsi="Arial Narrow"/>
                <w:szCs w:val="20"/>
              </w:rPr>
            </w:pPr>
            <w:r w:rsidRPr="00917FFB">
              <w:rPr>
                <w:rFonts w:ascii="Arial Narrow" w:hAnsi="Arial Narrow"/>
                <w:szCs w:val="20"/>
              </w:rPr>
              <w:t>(B7451029)</w:t>
            </w:r>
          </w:p>
        </w:tc>
        <w:tc>
          <w:tcPr>
            <w:tcW w:w="2988" w:type="pct"/>
            <w:tcBorders>
              <w:top w:val="single" w:sz="4" w:space="0" w:color="auto"/>
              <w:bottom w:val="single" w:sz="4" w:space="0" w:color="auto"/>
            </w:tcBorders>
            <w:vAlign w:val="center"/>
          </w:tcPr>
          <w:p w:rsidR="007A694C" w:rsidRPr="00917FFB" w:rsidRDefault="007A694C" w:rsidP="0019155D">
            <w:pPr>
              <w:pStyle w:val="TableText0"/>
              <w:rPr>
                <w:szCs w:val="20"/>
              </w:rPr>
            </w:pPr>
            <w:r w:rsidRPr="00917FFB">
              <w:rPr>
                <w:szCs w:val="20"/>
              </w:rPr>
              <w:t>Study Evaluating Efficacy and Safety of PF-04965842 and Dupilumab in Adult Subjects With Moderate to Severe Atopic Dermatitis on Background Topical Therapy (JADE Compare).</w:t>
            </w:r>
          </w:p>
        </w:tc>
        <w:tc>
          <w:tcPr>
            <w:tcW w:w="1229" w:type="pct"/>
            <w:tcBorders>
              <w:top w:val="single" w:sz="4" w:space="0" w:color="auto"/>
              <w:bottom w:val="single" w:sz="4" w:space="0" w:color="auto"/>
            </w:tcBorders>
            <w:vAlign w:val="center"/>
          </w:tcPr>
          <w:p w:rsidR="007A694C" w:rsidRPr="00917FFB" w:rsidRDefault="007A694C" w:rsidP="0019155D">
            <w:pPr>
              <w:pStyle w:val="TableText0"/>
              <w:rPr>
                <w:szCs w:val="20"/>
              </w:rPr>
            </w:pPr>
            <w:r w:rsidRPr="00917FFB">
              <w:rPr>
                <w:szCs w:val="20"/>
              </w:rPr>
              <w:t>No publication, results available from ClinicalTrials.gov: NCT03720470</w:t>
            </w:r>
          </w:p>
        </w:tc>
      </w:tr>
    </w:tbl>
    <w:p w:rsidR="00D03AC0" w:rsidRPr="00917FFB" w:rsidRDefault="00D03AC0" w:rsidP="00D03AC0">
      <w:pPr>
        <w:pStyle w:val="TableFigureFooter"/>
        <w:rPr>
          <w:szCs w:val="18"/>
        </w:rPr>
      </w:pPr>
      <w:r w:rsidRPr="00917FFB">
        <w:rPr>
          <w:szCs w:val="18"/>
        </w:rPr>
        <w:t xml:space="preserve">Source: Table 2.2-1, pp78-81 of the submission. </w:t>
      </w:r>
    </w:p>
    <w:p w:rsidR="007F1017" w:rsidRPr="00917FFB" w:rsidRDefault="003B1D24" w:rsidP="00E63D65">
      <w:pPr>
        <w:pStyle w:val="3-BodyText"/>
      </w:pPr>
      <w:r w:rsidRPr="00917FFB">
        <w:t>Table 3 presents t</w:t>
      </w:r>
      <w:r w:rsidR="008F120A" w:rsidRPr="00917FFB">
        <w:t xml:space="preserve">he key features of the </w:t>
      </w:r>
      <w:r w:rsidR="00647EC7" w:rsidRPr="00917FFB">
        <w:t xml:space="preserve">included </w:t>
      </w:r>
      <w:r w:rsidR="008F120A" w:rsidRPr="00917FFB">
        <w:t>randomised trial</w:t>
      </w:r>
      <w:r w:rsidR="00647EC7" w:rsidRPr="00917FFB">
        <w:t>s</w:t>
      </w:r>
      <w:r w:rsidR="0076393C" w:rsidRPr="00917FFB">
        <w:t xml:space="preserve">. </w:t>
      </w:r>
      <w:r w:rsidR="00647EC7" w:rsidRPr="00917FFB">
        <w:t xml:space="preserve">The submission presented </w:t>
      </w:r>
      <w:r w:rsidR="00F646AC" w:rsidRPr="00917FFB">
        <w:t xml:space="preserve">data </w:t>
      </w:r>
      <w:r w:rsidR="00357FD6" w:rsidRPr="00917FFB">
        <w:t xml:space="preserve">only </w:t>
      </w:r>
      <w:r w:rsidR="00F646AC" w:rsidRPr="00917FFB">
        <w:t xml:space="preserve">for </w:t>
      </w:r>
      <w:r w:rsidR="00357FD6" w:rsidRPr="00917FFB">
        <w:t xml:space="preserve">the </w:t>
      </w:r>
      <w:r w:rsidR="00F646AC" w:rsidRPr="00917FFB">
        <w:t>treatment</w:t>
      </w:r>
      <w:r w:rsidR="00647EC7" w:rsidRPr="00917FFB">
        <w:t xml:space="preserve"> arms </w:t>
      </w:r>
      <w:r w:rsidR="00357FD6" w:rsidRPr="00917FFB">
        <w:t>at</w:t>
      </w:r>
      <w:r w:rsidR="00647EC7" w:rsidRPr="00917FFB">
        <w:t xml:space="preserve"> the relevant</w:t>
      </w:r>
      <w:r w:rsidR="00F646AC" w:rsidRPr="00917FFB">
        <w:t>/approved</w:t>
      </w:r>
      <w:r w:rsidR="00647EC7" w:rsidRPr="00917FFB">
        <w:t xml:space="preserve"> doses (excluding data for BARI 1</w:t>
      </w:r>
      <w:r w:rsidR="001A7072" w:rsidRPr="00917FFB">
        <w:t xml:space="preserve"> </w:t>
      </w:r>
      <w:r w:rsidR="00647EC7" w:rsidRPr="00917FFB">
        <w:t>mg daily, DUPI 300</w:t>
      </w:r>
      <w:r w:rsidR="001A7072" w:rsidRPr="00917FFB">
        <w:t xml:space="preserve"> </w:t>
      </w:r>
      <w:r w:rsidR="00647EC7" w:rsidRPr="00917FFB">
        <w:t>mg weekly/200</w:t>
      </w:r>
      <w:r w:rsidR="001A7072" w:rsidRPr="00917FFB">
        <w:t xml:space="preserve"> </w:t>
      </w:r>
      <w:r w:rsidR="00647EC7" w:rsidRPr="00917FFB">
        <w:t>mg every 2 weeks/100</w:t>
      </w:r>
      <w:r w:rsidR="001A7072" w:rsidRPr="00917FFB">
        <w:t xml:space="preserve"> </w:t>
      </w:r>
      <w:r w:rsidR="00647EC7" w:rsidRPr="00917FFB">
        <w:t>mg every 4 weeks).</w:t>
      </w:r>
    </w:p>
    <w:p w:rsidR="007F1017" w:rsidRPr="00853F7A" w:rsidRDefault="007F1017" w:rsidP="00DD1C36">
      <w:pPr>
        <w:pStyle w:val="TableFigureHeading"/>
        <w:keepLines/>
        <w:rPr>
          <w:rStyle w:val="CommentReference"/>
          <w:b/>
          <w:szCs w:val="24"/>
        </w:rPr>
      </w:pPr>
      <w:r w:rsidRPr="00917FFB">
        <w:rPr>
          <w:rStyle w:val="CommentReference"/>
          <w:b/>
          <w:szCs w:val="24"/>
        </w:rPr>
        <w:t xml:space="preserve">Table </w:t>
      </w:r>
      <w:r w:rsidR="00647EC7" w:rsidRPr="00917FFB">
        <w:rPr>
          <w:rStyle w:val="CommentReference"/>
          <w:b/>
          <w:szCs w:val="24"/>
        </w:rPr>
        <w:t>3</w:t>
      </w:r>
      <w:r w:rsidRPr="00917FFB">
        <w:rPr>
          <w:rStyle w:val="CommentReference"/>
          <w:b/>
          <w:szCs w:val="24"/>
        </w:rPr>
        <w:t>: Key features of the included evidence</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9"/>
        <w:gridCol w:w="842"/>
        <w:gridCol w:w="1976"/>
        <w:gridCol w:w="558"/>
        <w:gridCol w:w="2018"/>
        <w:gridCol w:w="998"/>
        <w:gridCol w:w="1686"/>
      </w:tblGrid>
      <w:tr w:rsidR="00261F09" w:rsidRPr="00917FFB" w:rsidTr="00F80535">
        <w:trPr>
          <w:cantSplit/>
          <w:trHeight w:val="446"/>
        </w:trPr>
        <w:tc>
          <w:tcPr>
            <w:tcW w:w="540" w:type="pct"/>
            <w:shd w:val="clear" w:color="auto" w:fill="auto"/>
            <w:vAlign w:val="center"/>
          </w:tcPr>
          <w:p w:rsidR="002B19AC" w:rsidRPr="00853F7A" w:rsidRDefault="002B19AC" w:rsidP="00DD1C36">
            <w:pPr>
              <w:pStyle w:val="In-tableHeading"/>
              <w:keepLines/>
              <w:widowControl w:val="0"/>
              <w:rPr>
                <w:lang w:val="en-AU"/>
              </w:rPr>
            </w:pPr>
            <w:r w:rsidRPr="00853F7A">
              <w:rPr>
                <w:lang w:val="en-AU"/>
              </w:rPr>
              <w:t>Trial</w:t>
            </w:r>
          </w:p>
        </w:tc>
        <w:tc>
          <w:tcPr>
            <w:tcW w:w="465" w:type="pct"/>
            <w:shd w:val="clear" w:color="auto" w:fill="auto"/>
            <w:vAlign w:val="center"/>
          </w:tcPr>
          <w:p w:rsidR="002B19AC" w:rsidRPr="00853F7A" w:rsidRDefault="002B19AC" w:rsidP="00DD1C36">
            <w:pPr>
              <w:pStyle w:val="In-tableHeading"/>
              <w:keepLines/>
              <w:widowControl w:val="0"/>
              <w:jc w:val="center"/>
              <w:rPr>
                <w:lang w:val="en-AU"/>
              </w:rPr>
            </w:pPr>
            <w:r w:rsidRPr="00853F7A">
              <w:rPr>
                <w:lang w:val="en-AU"/>
              </w:rPr>
              <w:t>N</w:t>
            </w:r>
          </w:p>
        </w:tc>
        <w:tc>
          <w:tcPr>
            <w:tcW w:w="1091" w:type="pct"/>
            <w:shd w:val="clear" w:color="auto" w:fill="auto"/>
            <w:vAlign w:val="center"/>
          </w:tcPr>
          <w:p w:rsidR="002B19AC" w:rsidRPr="00853F7A" w:rsidRDefault="002B19AC" w:rsidP="00DD1C36">
            <w:pPr>
              <w:pStyle w:val="In-tableHeading"/>
              <w:keepLines/>
              <w:widowControl w:val="0"/>
              <w:jc w:val="center"/>
              <w:rPr>
                <w:lang w:val="en-AU"/>
              </w:rPr>
            </w:pPr>
            <w:r w:rsidRPr="00853F7A">
              <w:rPr>
                <w:lang w:val="en-AU"/>
              </w:rPr>
              <w:t>Design/duration</w:t>
            </w:r>
          </w:p>
        </w:tc>
        <w:tc>
          <w:tcPr>
            <w:tcW w:w="308" w:type="pct"/>
            <w:shd w:val="clear" w:color="auto" w:fill="auto"/>
            <w:vAlign w:val="center"/>
          </w:tcPr>
          <w:p w:rsidR="002B19AC" w:rsidRPr="00853F7A" w:rsidRDefault="002B19AC" w:rsidP="00DD1C36">
            <w:pPr>
              <w:pStyle w:val="In-tableHeading"/>
              <w:keepLines/>
              <w:widowControl w:val="0"/>
              <w:jc w:val="center"/>
              <w:rPr>
                <w:lang w:val="en-AU"/>
              </w:rPr>
            </w:pPr>
            <w:r w:rsidRPr="00853F7A">
              <w:rPr>
                <w:lang w:val="en-AU"/>
              </w:rPr>
              <w:t>Bias</w:t>
            </w:r>
          </w:p>
        </w:tc>
        <w:tc>
          <w:tcPr>
            <w:tcW w:w="1114" w:type="pct"/>
            <w:shd w:val="clear" w:color="auto" w:fill="auto"/>
            <w:vAlign w:val="center"/>
          </w:tcPr>
          <w:p w:rsidR="002B19AC" w:rsidRPr="00853F7A" w:rsidRDefault="002B19AC" w:rsidP="00DD1C36">
            <w:pPr>
              <w:pStyle w:val="In-tableHeading"/>
              <w:keepLines/>
              <w:widowControl w:val="0"/>
              <w:jc w:val="center"/>
              <w:rPr>
                <w:lang w:val="en-AU"/>
              </w:rPr>
            </w:pPr>
            <w:r w:rsidRPr="00853F7A">
              <w:rPr>
                <w:lang w:val="en-AU"/>
              </w:rPr>
              <w:t>Relevant comparison</w:t>
            </w:r>
          </w:p>
        </w:tc>
        <w:tc>
          <w:tcPr>
            <w:tcW w:w="551" w:type="pct"/>
            <w:shd w:val="clear" w:color="auto" w:fill="auto"/>
            <w:vAlign w:val="center"/>
          </w:tcPr>
          <w:p w:rsidR="002B19AC" w:rsidRPr="00853F7A" w:rsidRDefault="002B19AC" w:rsidP="00DD1C36">
            <w:pPr>
              <w:pStyle w:val="In-tableHeading"/>
              <w:keepLines/>
              <w:widowControl w:val="0"/>
              <w:jc w:val="center"/>
              <w:rPr>
                <w:lang w:val="en-AU"/>
              </w:rPr>
            </w:pPr>
            <w:r w:rsidRPr="00853F7A">
              <w:rPr>
                <w:lang w:val="en-AU"/>
              </w:rPr>
              <w:t>Patient population</w:t>
            </w:r>
          </w:p>
        </w:tc>
        <w:tc>
          <w:tcPr>
            <w:tcW w:w="930" w:type="pct"/>
            <w:shd w:val="clear" w:color="auto" w:fill="auto"/>
            <w:vAlign w:val="center"/>
          </w:tcPr>
          <w:p w:rsidR="002B19AC" w:rsidRPr="00853F7A" w:rsidRDefault="002B19AC" w:rsidP="00DD1C36">
            <w:pPr>
              <w:pStyle w:val="In-tableHeading"/>
              <w:keepLines/>
              <w:widowControl w:val="0"/>
              <w:jc w:val="center"/>
              <w:rPr>
                <w:lang w:val="en-AU"/>
              </w:rPr>
            </w:pPr>
            <w:r w:rsidRPr="00853F7A">
              <w:rPr>
                <w:lang w:val="en-AU"/>
              </w:rPr>
              <w:t>Primary outcome(s)</w:t>
            </w:r>
          </w:p>
        </w:tc>
      </w:tr>
      <w:tr w:rsidR="002B19AC" w:rsidRPr="00917FFB" w:rsidTr="005A699A">
        <w:trPr>
          <w:cantSplit/>
          <w:trHeight w:val="210"/>
        </w:trPr>
        <w:tc>
          <w:tcPr>
            <w:tcW w:w="5000" w:type="pct"/>
            <w:gridSpan w:val="7"/>
            <w:shd w:val="clear" w:color="auto" w:fill="auto"/>
            <w:vAlign w:val="center"/>
          </w:tcPr>
          <w:p w:rsidR="002B19AC" w:rsidRPr="00853F7A" w:rsidRDefault="002B19AC" w:rsidP="00DD1C36">
            <w:pPr>
              <w:pStyle w:val="In-tableHeading"/>
              <w:keepLines/>
              <w:widowControl w:val="0"/>
              <w:rPr>
                <w:lang w:val="en-AU"/>
              </w:rPr>
            </w:pPr>
            <w:r w:rsidRPr="00853F7A">
              <w:rPr>
                <w:lang w:val="en-AU"/>
              </w:rPr>
              <w:t>BARI trials</w:t>
            </w:r>
          </w:p>
        </w:tc>
      </w:tr>
      <w:tr w:rsidR="00261F09" w:rsidRPr="00917FFB" w:rsidTr="00F80535">
        <w:trPr>
          <w:cantSplit/>
          <w:trHeight w:val="229"/>
        </w:trPr>
        <w:tc>
          <w:tcPr>
            <w:tcW w:w="540" w:type="pct"/>
            <w:vMerge w:val="restart"/>
            <w:shd w:val="clear" w:color="auto" w:fill="auto"/>
            <w:vAlign w:val="center"/>
          </w:tcPr>
          <w:p w:rsidR="002B19AC" w:rsidRPr="00853F7A" w:rsidRDefault="002B19AC" w:rsidP="00DD1C36">
            <w:pPr>
              <w:pStyle w:val="TableText0"/>
              <w:keepLines/>
              <w:widowControl w:val="0"/>
            </w:pPr>
            <w:r w:rsidRPr="00917FFB">
              <w:rPr>
                <w:iCs/>
                <w:szCs w:val="18"/>
              </w:rPr>
              <w:t>BREEZE-AD1</w:t>
            </w:r>
          </w:p>
        </w:tc>
        <w:tc>
          <w:tcPr>
            <w:tcW w:w="465" w:type="pct"/>
            <w:vMerge w:val="restart"/>
            <w:shd w:val="clear" w:color="auto" w:fill="auto"/>
            <w:vAlign w:val="center"/>
          </w:tcPr>
          <w:p w:rsidR="002B19AC" w:rsidRPr="00853F7A" w:rsidRDefault="002B19AC" w:rsidP="00DD1C36">
            <w:pPr>
              <w:pStyle w:val="TableText0"/>
              <w:keepLines/>
              <w:widowControl w:val="0"/>
              <w:jc w:val="center"/>
            </w:pPr>
            <w:r w:rsidRPr="00853F7A">
              <w:t>497*</w:t>
            </w:r>
          </w:p>
        </w:tc>
        <w:tc>
          <w:tcPr>
            <w:tcW w:w="1091" w:type="pct"/>
            <w:vMerge w:val="restart"/>
            <w:shd w:val="clear" w:color="auto" w:fill="auto"/>
            <w:vAlign w:val="center"/>
          </w:tcPr>
          <w:p w:rsidR="002B19AC" w:rsidRPr="00853F7A" w:rsidRDefault="002B19AC" w:rsidP="00DD1C36">
            <w:pPr>
              <w:pStyle w:val="TableText0"/>
              <w:keepLines/>
              <w:widowControl w:val="0"/>
              <w:jc w:val="center"/>
            </w:pPr>
            <w:r w:rsidRPr="00853F7A">
              <w:t>P3, R, MC, DB, PC 16wk, rescue therapy allowed^</w:t>
            </w:r>
          </w:p>
        </w:tc>
        <w:tc>
          <w:tcPr>
            <w:tcW w:w="308" w:type="pct"/>
            <w:vMerge w:val="restart"/>
            <w:shd w:val="clear" w:color="auto" w:fill="auto"/>
            <w:vAlign w:val="center"/>
          </w:tcPr>
          <w:p w:rsidR="002B19AC" w:rsidRPr="00853F7A" w:rsidRDefault="002B19AC" w:rsidP="00DD1C36">
            <w:pPr>
              <w:pStyle w:val="TableText0"/>
              <w:keepLines/>
              <w:widowControl w:val="0"/>
              <w:jc w:val="center"/>
            </w:pPr>
            <w:r w:rsidRPr="00853F7A">
              <w:t>Low</w:t>
            </w:r>
          </w:p>
        </w:tc>
        <w:tc>
          <w:tcPr>
            <w:tcW w:w="1114" w:type="pct"/>
            <w:tcBorders>
              <w:bottom w:val="dashSmallGap" w:sz="4" w:space="0" w:color="auto"/>
            </w:tcBorders>
            <w:shd w:val="clear" w:color="auto" w:fill="auto"/>
            <w:vAlign w:val="center"/>
          </w:tcPr>
          <w:p w:rsidR="002B19AC" w:rsidRPr="00853F7A" w:rsidRDefault="002B19AC" w:rsidP="00DD1C36">
            <w:pPr>
              <w:pStyle w:val="TableText0"/>
              <w:keepLines/>
              <w:widowControl w:val="0"/>
              <w:jc w:val="center"/>
            </w:pPr>
            <w:r w:rsidRPr="00853F7A">
              <w:t>BARI 2</w:t>
            </w:r>
            <w:r w:rsidR="003506FA" w:rsidRPr="00853F7A">
              <w:t xml:space="preserve"> </w:t>
            </w:r>
            <w:r w:rsidRPr="00853F7A">
              <w:t>mg D</w:t>
            </w:r>
          </w:p>
        </w:tc>
        <w:tc>
          <w:tcPr>
            <w:tcW w:w="551" w:type="pct"/>
            <w:vMerge w:val="restart"/>
            <w:shd w:val="clear" w:color="auto" w:fill="auto"/>
            <w:vAlign w:val="center"/>
          </w:tcPr>
          <w:p w:rsidR="002B19AC" w:rsidRPr="00853F7A" w:rsidRDefault="002B19AC" w:rsidP="00DD1C36">
            <w:pPr>
              <w:pStyle w:val="TableText0"/>
              <w:keepLines/>
              <w:widowControl w:val="0"/>
              <w:jc w:val="center"/>
            </w:pPr>
            <w:r w:rsidRPr="00853F7A">
              <w:t>Moderate to severe AD</w:t>
            </w:r>
          </w:p>
        </w:tc>
        <w:tc>
          <w:tcPr>
            <w:tcW w:w="930" w:type="pct"/>
            <w:vMerge w:val="restart"/>
            <w:shd w:val="clear" w:color="auto" w:fill="auto"/>
            <w:vAlign w:val="center"/>
          </w:tcPr>
          <w:p w:rsidR="002B19AC" w:rsidRPr="00853F7A" w:rsidRDefault="002B19AC" w:rsidP="00DD1C36">
            <w:pPr>
              <w:pStyle w:val="TableText0"/>
              <w:keepLines/>
              <w:widowControl w:val="0"/>
              <w:jc w:val="center"/>
            </w:pPr>
            <w:r w:rsidRPr="00853F7A">
              <w:t>IGA of 0 or 1 at Wk16</w:t>
            </w:r>
            <w:r w:rsidRPr="00853F7A">
              <w:rPr>
                <w:vertAlign w:val="superscript"/>
              </w:rPr>
              <w:t>a</w:t>
            </w:r>
          </w:p>
        </w:tc>
      </w:tr>
      <w:tr w:rsidR="00261F09" w:rsidRPr="00917FFB" w:rsidTr="00F80535">
        <w:trPr>
          <w:cantSplit/>
          <w:trHeight w:val="229"/>
        </w:trPr>
        <w:tc>
          <w:tcPr>
            <w:tcW w:w="540" w:type="pct"/>
            <w:vMerge/>
            <w:shd w:val="clear" w:color="auto" w:fill="auto"/>
            <w:vAlign w:val="center"/>
          </w:tcPr>
          <w:p w:rsidR="002B19AC" w:rsidRPr="00853F7A" w:rsidRDefault="002B19AC" w:rsidP="00DD1C36">
            <w:pPr>
              <w:pStyle w:val="TableText0"/>
              <w:keepLines/>
              <w:widowControl w:val="0"/>
            </w:pPr>
          </w:p>
        </w:tc>
        <w:tc>
          <w:tcPr>
            <w:tcW w:w="465" w:type="pct"/>
            <w:vMerge/>
            <w:shd w:val="clear" w:color="auto" w:fill="auto"/>
            <w:vAlign w:val="center"/>
          </w:tcPr>
          <w:p w:rsidR="002B19AC" w:rsidRPr="00853F7A" w:rsidRDefault="002B19AC" w:rsidP="00DD1C36">
            <w:pPr>
              <w:pStyle w:val="TableText0"/>
              <w:keepLines/>
              <w:widowControl w:val="0"/>
              <w:jc w:val="center"/>
            </w:pPr>
          </w:p>
        </w:tc>
        <w:tc>
          <w:tcPr>
            <w:tcW w:w="1091" w:type="pct"/>
            <w:vMerge/>
            <w:shd w:val="clear" w:color="auto" w:fill="auto"/>
            <w:vAlign w:val="center"/>
          </w:tcPr>
          <w:p w:rsidR="002B19AC" w:rsidRPr="00853F7A" w:rsidRDefault="002B19AC" w:rsidP="00DD1C36">
            <w:pPr>
              <w:pStyle w:val="TableText0"/>
              <w:keepLines/>
              <w:widowControl w:val="0"/>
              <w:jc w:val="center"/>
            </w:pPr>
          </w:p>
        </w:tc>
        <w:tc>
          <w:tcPr>
            <w:tcW w:w="308" w:type="pct"/>
            <w:vMerge/>
            <w:tcBorders>
              <w:bottom w:val="single" w:sz="4" w:space="0" w:color="auto"/>
            </w:tcBorders>
            <w:shd w:val="clear" w:color="auto" w:fill="auto"/>
            <w:vAlign w:val="center"/>
          </w:tcPr>
          <w:p w:rsidR="002B19AC" w:rsidRPr="00853F7A" w:rsidRDefault="002B19AC" w:rsidP="00DD1C36">
            <w:pPr>
              <w:pStyle w:val="TableText0"/>
              <w:keepLines/>
              <w:widowControl w:val="0"/>
              <w:jc w:val="center"/>
            </w:pPr>
          </w:p>
        </w:tc>
        <w:tc>
          <w:tcPr>
            <w:tcW w:w="1114" w:type="pct"/>
            <w:vMerge w:val="restart"/>
            <w:tcBorders>
              <w:top w:val="dashSmallGap" w:sz="4" w:space="0" w:color="auto"/>
            </w:tcBorders>
            <w:shd w:val="clear" w:color="auto" w:fill="auto"/>
            <w:vAlign w:val="center"/>
          </w:tcPr>
          <w:p w:rsidR="002B19AC" w:rsidRPr="00853F7A" w:rsidRDefault="002B19AC" w:rsidP="00DD1C36">
            <w:pPr>
              <w:pStyle w:val="TableText0"/>
              <w:keepLines/>
              <w:widowControl w:val="0"/>
              <w:jc w:val="center"/>
            </w:pPr>
            <w:r w:rsidRPr="00853F7A">
              <w:t>BARI 4</w:t>
            </w:r>
            <w:r w:rsidR="001A7072" w:rsidRPr="00853F7A">
              <w:t xml:space="preserve"> </w:t>
            </w:r>
            <w:r w:rsidRPr="00853F7A">
              <w:t>mg D</w:t>
            </w:r>
          </w:p>
        </w:tc>
        <w:tc>
          <w:tcPr>
            <w:tcW w:w="551" w:type="pct"/>
            <w:vMerge/>
            <w:shd w:val="clear" w:color="auto" w:fill="auto"/>
            <w:vAlign w:val="center"/>
          </w:tcPr>
          <w:p w:rsidR="002B19AC" w:rsidRPr="00853F7A" w:rsidRDefault="002B19AC" w:rsidP="00DD1C36">
            <w:pPr>
              <w:pStyle w:val="TableText0"/>
              <w:keepLines/>
              <w:widowControl w:val="0"/>
              <w:jc w:val="center"/>
            </w:pPr>
          </w:p>
        </w:tc>
        <w:tc>
          <w:tcPr>
            <w:tcW w:w="930" w:type="pct"/>
            <w:vMerge/>
            <w:shd w:val="clear" w:color="auto" w:fill="auto"/>
            <w:vAlign w:val="center"/>
          </w:tcPr>
          <w:p w:rsidR="002B19AC" w:rsidRPr="00853F7A" w:rsidRDefault="002B19AC" w:rsidP="00DD1C36">
            <w:pPr>
              <w:pStyle w:val="TableText0"/>
              <w:keepLines/>
              <w:widowControl w:val="0"/>
              <w:jc w:val="center"/>
            </w:pPr>
          </w:p>
        </w:tc>
      </w:tr>
      <w:tr w:rsidR="00261F09" w:rsidRPr="00917FFB" w:rsidTr="00F80535">
        <w:trPr>
          <w:cantSplit/>
          <w:trHeight w:val="229"/>
        </w:trPr>
        <w:tc>
          <w:tcPr>
            <w:tcW w:w="540" w:type="pct"/>
            <w:vMerge w:val="restart"/>
            <w:shd w:val="clear" w:color="auto" w:fill="auto"/>
            <w:vAlign w:val="center"/>
          </w:tcPr>
          <w:p w:rsidR="002B19AC" w:rsidRPr="00917FFB" w:rsidRDefault="002B19AC" w:rsidP="00DD1C36">
            <w:pPr>
              <w:pStyle w:val="TableText0"/>
              <w:keepLines/>
              <w:widowControl w:val="0"/>
              <w:rPr>
                <w:iCs/>
                <w:szCs w:val="18"/>
              </w:rPr>
            </w:pPr>
            <w:r w:rsidRPr="00917FFB">
              <w:rPr>
                <w:iCs/>
                <w:szCs w:val="18"/>
              </w:rPr>
              <w:t>BREEZE-AD2</w:t>
            </w:r>
          </w:p>
        </w:tc>
        <w:tc>
          <w:tcPr>
            <w:tcW w:w="465" w:type="pct"/>
            <w:vMerge w:val="restart"/>
            <w:shd w:val="clear" w:color="auto" w:fill="auto"/>
            <w:vAlign w:val="center"/>
          </w:tcPr>
          <w:p w:rsidR="002B19AC" w:rsidRPr="00853F7A" w:rsidRDefault="002B19AC" w:rsidP="00DD1C36">
            <w:pPr>
              <w:pStyle w:val="TableText0"/>
              <w:keepLines/>
              <w:widowControl w:val="0"/>
              <w:jc w:val="center"/>
            </w:pPr>
            <w:r w:rsidRPr="00853F7A">
              <w:t>490*</w:t>
            </w:r>
          </w:p>
        </w:tc>
        <w:tc>
          <w:tcPr>
            <w:tcW w:w="1091" w:type="pct"/>
            <w:vMerge/>
            <w:shd w:val="clear" w:color="auto" w:fill="auto"/>
            <w:vAlign w:val="center"/>
          </w:tcPr>
          <w:p w:rsidR="002B19AC" w:rsidRPr="00853F7A" w:rsidRDefault="002B19AC" w:rsidP="00DD1C36">
            <w:pPr>
              <w:pStyle w:val="TableText0"/>
              <w:keepLines/>
              <w:widowControl w:val="0"/>
              <w:jc w:val="center"/>
            </w:pPr>
          </w:p>
        </w:tc>
        <w:tc>
          <w:tcPr>
            <w:tcW w:w="308" w:type="pct"/>
            <w:vMerge w:val="restart"/>
            <w:shd w:val="clear" w:color="auto" w:fill="auto"/>
            <w:vAlign w:val="center"/>
          </w:tcPr>
          <w:p w:rsidR="002B19AC" w:rsidRPr="00853F7A" w:rsidRDefault="002B19AC" w:rsidP="00DD1C36">
            <w:pPr>
              <w:pStyle w:val="TableText0"/>
              <w:keepLines/>
              <w:widowControl w:val="0"/>
              <w:jc w:val="center"/>
            </w:pPr>
            <w:r w:rsidRPr="00853F7A">
              <w:t>Low</w:t>
            </w:r>
          </w:p>
        </w:tc>
        <w:tc>
          <w:tcPr>
            <w:tcW w:w="1114" w:type="pct"/>
            <w:vMerge/>
            <w:tcBorders>
              <w:bottom w:val="dashSmallGap" w:sz="4" w:space="0" w:color="auto"/>
            </w:tcBorders>
            <w:shd w:val="clear" w:color="auto" w:fill="auto"/>
            <w:vAlign w:val="center"/>
          </w:tcPr>
          <w:p w:rsidR="002B19AC" w:rsidRPr="00853F7A" w:rsidRDefault="002B19AC" w:rsidP="00DD1C36">
            <w:pPr>
              <w:pStyle w:val="TableText0"/>
              <w:keepLines/>
              <w:widowControl w:val="0"/>
              <w:jc w:val="center"/>
            </w:pPr>
          </w:p>
        </w:tc>
        <w:tc>
          <w:tcPr>
            <w:tcW w:w="551" w:type="pct"/>
            <w:vMerge/>
            <w:shd w:val="clear" w:color="auto" w:fill="auto"/>
            <w:vAlign w:val="center"/>
          </w:tcPr>
          <w:p w:rsidR="002B19AC" w:rsidRPr="00853F7A" w:rsidRDefault="002B19AC" w:rsidP="00DD1C36">
            <w:pPr>
              <w:pStyle w:val="TableText0"/>
              <w:keepLines/>
              <w:widowControl w:val="0"/>
              <w:jc w:val="center"/>
            </w:pPr>
          </w:p>
        </w:tc>
        <w:tc>
          <w:tcPr>
            <w:tcW w:w="930" w:type="pct"/>
            <w:vMerge/>
            <w:shd w:val="clear" w:color="auto" w:fill="auto"/>
            <w:vAlign w:val="center"/>
          </w:tcPr>
          <w:p w:rsidR="002B19AC" w:rsidRPr="00853F7A" w:rsidRDefault="002B19AC" w:rsidP="00DD1C36">
            <w:pPr>
              <w:pStyle w:val="TableText0"/>
              <w:keepLines/>
              <w:widowControl w:val="0"/>
              <w:jc w:val="center"/>
            </w:pPr>
          </w:p>
        </w:tc>
      </w:tr>
      <w:tr w:rsidR="00261F09" w:rsidRPr="00917FFB" w:rsidTr="00F80535">
        <w:trPr>
          <w:cantSplit/>
          <w:trHeight w:val="70"/>
        </w:trPr>
        <w:tc>
          <w:tcPr>
            <w:tcW w:w="540" w:type="pct"/>
            <w:vMerge/>
            <w:shd w:val="clear" w:color="auto" w:fill="auto"/>
            <w:vAlign w:val="center"/>
          </w:tcPr>
          <w:p w:rsidR="002B19AC" w:rsidRPr="00917FFB" w:rsidRDefault="002B19AC" w:rsidP="00DD1C36">
            <w:pPr>
              <w:pStyle w:val="TableText0"/>
              <w:widowControl w:val="0"/>
              <w:rPr>
                <w:iCs/>
                <w:szCs w:val="18"/>
              </w:rPr>
            </w:pPr>
          </w:p>
        </w:tc>
        <w:tc>
          <w:tcPr>
            <w:tcW w:w="465" w:type="pct"/>
            <w:vMerge/>
            <w:shd w:val="clear" w:color="auto" w:fill="auto"/>
            <w:vAlign w:val="center"/>
          </w:tcPr>
          <w:p w:rsidR="002B19AC" w:rsidRPr="00853F7A" w:rsidRDefault="002B19AC" w:rsidP="00DD1C36">
            <w:pPr>
              <w:pStyle w:val="TableText0"/>
              <w:widowControl w:val="0"/>
              <w:jc w:val="center"/>
            </w:pPr>
          </w:p>
        </w:tc>
        <w:tc>
          <w:tcPr>
            <w:tcW w:w="1091" w:type="pct"/>
            <w:vMerge/>
            <w:shd w:val="clear" w:color="auto" w:fill="auto"/>
            <w:vAlign w:val="center"/>
          </w:tcPr>
          <w:p w:rsidR="002B19AC" w:rsidRPr="00853F7A" w:rsidRDefault="002B19AC" w:rsidP="00DD1C36">
            <w:pPr>
              <w:pStyle w:val="TableText0"/>
              <w:widowControl w:val="0"/>
              <w:jc w:val="center"/>
            </w:pPr>
          </w:p>
        </w:tc>
        <w:tc>
          <w:tcPr>
            <w:tcW w:w="308" w:type="pct"/>
            <w:vMerge/>
            <w:shd w:val="clear" w:color="auto" w:fill="auto"/>
            <w:vAlign w:val="center"/>
          </w:tcPr>
          <w:p w:rsidR="002B19AC" w:rsidRPr="00853F7A" w:rsidRDefault="002B19AC" w:rsidP="00DD1C36">
            <w:pPr>
              <w:pStyle w:val="TableText0"/>
              <w:widowControl w:val="0"/>
              <w:jc w:val="center"/>
            </w:pPr>
          </w:p>
        </w:tc>
        <w:tc>
          <w:tcPr>
            <w:tcW w:w="1114" w:type="pct"/>
            <w:tcBorders>
              <w:top w:val="dashSmallGap" w:sz="4" w:space="0" w:color="auto"/>
            </w:tcBorders>
            <w:shd w:val="clear" w:color="auto" w:fill="auto"/>
            <w:vAlign w:val="center"/>
          </w:tcPr>
          <w:p w:rsidR="002B19AC" w:rsidRPr="00853F7A" w:rsidRDefault="002B19AC" w:rsidP="00DD1C36">
            <w:pPr>
              <w:pStyle w:val="TableText0"/>
              <w:widowControl w:val="0"/>
              <w:jc w:val="center"/>
            </w:pPr>
            <w:r w:rsidRPr="00853F7A">
              <w:t>PBO</w:t>
            </w:r>
          </w:p>
        </w:tc>
        <w:tc>
          <w:tcPr>
            <w:tcW w:w="551" w:type="pct"/>
            <w:vMerge/>
            <w:shd w:val="clear" w:color="auto" w:fill="auto"/>
            <w:vAlign w:val="center"/>
          </w:tcPr>
          <w:p w:rsidR="002B19AC" w:rsidRPr="00853F7A" w:rsidRDefault="002B19AC" w:rsidP="00DD1C36">
            <w:pPr>
              <w:pStyle w:val="TableText0"/>
              <w:widowControl w:val="0"/>
              <w:jc w:val="center"/>
            </w:pPr>
          </w:p>
        </w:tc>
        <w:tc>
          <w:tcPr>
            <w:tcW w:w="930" w:type="pct"/>
            <w:vMerge/>
            <w:shd w:val="clear" w:color="auto" w:fill="auto"/>
            <w:vAlign w:val="center"/>
          </w:tcPr>
          <w:p w:rsidR="002B19AC" w:rsidRPr="00853F7A" w:rsidRDefault="002B19AC" w:rsidP="00DD1C36">
            <w:pPr>
              <w:pStyle w:val="TableText0"/>
              <w:widowControl w:val="0"/>
              <w:jc w:val="center"/>
            </w:pPr>
          </w:p>
        </w:tc>
      </w:tr>
      <w:tr w:rsidR="00261F09" w:rsidRPr="00917FFB" w:rsidTr="00F80535">
        <w:trPr>
          <w:cantSplit/>
          <w:trHeight w:val="327"/>
        </w:trPr>
        <w:tc>
          <w:tcPr>
            <w:tcW w:w="540" w:type="pct"/>
            <w:vMerge w:val="restart"/>
            <w:shd w:val="clear" w:color="auto" w:fill="auto"/>
            <w:vAlign w:val="center"/>
          </w:tcPr>
          <w:p w:rsidR="002B19AC" w:rsidRPr="00853F7A" w:rsidRDefault="002B19AC" w:rsidP="00DD1C36">
            <w:pPr>
              <w:pStyle w:val="TableText0"/>
              <w:widowControl w:val="0"/>
            </w:pPr>
            <w:r w:rsidRPr="00917FFB">
              <w:rPr>
                <w:iCs/>
                <w:szCs w:val="18"/>
              </w:rPr>
              <w:t>BREEZE-AD5</w:t>
            </w:r>
          </w:p>
        </w:tc>
        <w:tc>
          <w:tcPr>
            <w:tcW w:w="465" w:type="pct"/>
            <w:vMerge w:val="restart"/>
            <w:shd w:val="clear" w:color="auto" w:fill="auto"/>
            <w:vAlign w:val="center"/>
          </w:tcPr>
          <w:p w:rsidR="002B19AC" w:rsidRPr="00853F7A" w:rsidRDefault="002B19AC" w:rsidP="00DD1C36">
            <w:pPr>
              <w:pStyle w:val="TableText0"/>
              <w:widowControl w:val="0"/>
              <w:jc w:val="center"/>
            </w:pPr>
            <w:r w:rsidRPr="00853F7A">
              <w:t>293*</w:t>
            </w:r>
          </w:p>
        </w:tc>
        <w:tc>
          <w:tcPr>
            <w:tcW w:w="1091" w:type="pct"/>
            <w:vMerge w:val="restart"/>
            <w:shd w:val="clear" w:color="auto" w:fill="auto"/>
            <w:vAlign w:val="center"/>
          </w:tcPr>
          <w:p w:rsidR="002B19AC" w:rsidRPr="00853F7A" w:rsidRDefault="002B19AC" w:rsidP="00DD1C36">
            <w:pPr>
              <w:pStyle w:val="TableText0"/>
              <w:widowControl w:val="0"/>
              <w:jc w:val="center"/>
            </w:pPr>
            <w:r w:rsidRPr="00853F7A">
              <w:t>P3, R, MC, DB 104wk, PC 16wk, rescue therapy allowed^ up until wk16</w:t>
            </w:r>
          </w:p>
        </w:tc>
        <w:tc>
          <w:tcPr>
            <w:tcW w:w="308" w:type="pct"/>
            <w:vMerge w:val="restart"/>
            <w:shd w:val="clear" w:color="auto" w:fill="auto"/>
            <w:vAlign w:val="center"/>
          </w:tcPr>
          <w:p w:rsidR="002B19AC" w:rsidRPr="00853F7A" w:rsidRDefault="002B19AC" w:rsidP="00DD1C36">
            <w:pPr>
              <w:pStyle w:val="TableText0"/>
              <w:widowControl w:val="0"/>
              <w:jc w:val="center"/>
            </w:pPr>
            <w:r w:rsidRPr="00853F7A">
              <w:t>Low</w:t>
            </w:r>
          </w:p>
        </w:tc>
        <w:tc>
          <w:tcPr>
            <w:tcW w:w="1114" w:type="pct"/>
            <w:tcBorders>
              <w:bottom w:val="dashSmallGap" w:sz="4" w:space="0" w:color="auto"/>
            </w:tcBorders>
            <w:shd w:val="clear" w:color="auto" w:fill="auto"/>
            <w:vAlign w:val="center"/>
          </w:tcPr>
          <w:p w:rsidR="002B19AC" w:rsidRPr="00853F7A" w:rsidRDefault="002B19AC" w:rsidP="00DD1C36">
            <w:pPr>
              <w:pStyle w:val="TableText0"/>
              <w:widowControl w:val="0"/>
              <w:jc w:val="center"/>
            </w:pPr>
            <w:r w:rsidRPr="00853F7A">
              <w:t>BARI 2</w:t>
            </w:r>
            <w:r w:rsidR="003506FA" w:rsidRPr="00853F7A">
              <w:t xml:space="preserve"> </w:t>
            </w:r>
            <w:r w:rsidRPr="00853F7A">
              <w:t>mg D</w:t>
            </w:r>
          </w:p>
        </w:tc>
        <w:tc>
          <w:tcPr>
            <w:tcW w:w="551" w:type="pct"/>
            <w:vMerge w:val="restart"/>
            <w:shd w:val="clear" w:color="auto" w:fill="auto"/>
            <w:vAlign w:val="center"/>
          </w:tcPr>
          <w:p w:rsidR="002B19AC" w:rsidRPr="00853F7A" w:rsidRDefault="002B19AC" w:rsidP="00DD1C36">
            <w:pPr>
              <w:pStyle w:val="TableText0"/>
              <w:widowControl w:val="0"/>
              <w:jc w:val="center"/>
            </w:pPr>
            <w:r w:rsidRPr="00853F7A">
              <w:t>Moderate to severe AD</w:t>
            </w:r>
          </w:p>
        </w:tc>
        <w:tc>
          <w:tcPr>
            <w:tcW w:w="930" w:type="pct"/>
            <w:vMerge w:val="restart"/>
            <w:shd w:val="clear" w:color="auto" w:fill="auto"/>
            <w:vAlign w:val="center"/>
          </w:tcPr>
          <w:p w:rsidR="002B19AC" w:rsidRPr="00853F7A" w:rsidRDefault="002B19AC" w:rsidP="00DD1C36">
            <w:pPr>
              <w:pStyle w:val="TableText0"/>
              <w:widowControl w:val="0"/>
              <w:jc w:val="center"/>
            </w:pPr>
            <w:r w:rsidRPr="00853F7A">
              <w:t>EASI75 at wk16</w:t>
            </w:r>
            <w:r w:rsidRPr="00853F7A">
              <w:rPr>
                <w:vertAlign w:val="superscript"/>
              </w:rPr>
              <w:t>b</w:t>
            </w:r>
          </w:p>
        </w:tc>
      </w:tr>
      <w:tr w:rsidR="00261F09" w:rsidRPr="00917FFB" w:rsidTr="00F80535">
        <w:trPr>
          <w:cantSplit/>
          <w:trHeight w:val="70"/>
        </w:trPr>
        <w:tc>
          <w:tcPr>
            <w:tcW w:w="540" w:type="pct"/>
            <w:vMerge/>
            <w:shd w:val="clear" w:color="auto" w:fill="auto"/>
            <w:vAlign w:val="center"/>
          </w:tcPr>
          <w:p w:rsidR="002B19AC" w:rsidRPr="00917FFB" w:rsidRDefault="002B19AC" w:rsidP="00DD1C36">
            <w:pPr>
              <w:pStyle w:val="TableText0"/>
              <w:widowControl w:val="0"/>
              <w:rPr>
                <w:iCs/>
                <w:szCs w:val="18"/>
              </w:rPr>
            </w:pPr>
          </w:p>
        </w:tc>
        <w:tc>
          <w:tcPr>
            <w:tcW w:w="465" w:type="pct"/>
            <w:vMerge/>
            <w:shd w:val="clear" w:color="auto" w:fill="auto"/>
            <w:vAlign w:val="center"/>
          </w:tcPr>
          <w:p w:rsidR="002B19AC" w:rsidRPr="00853F7A" w:rsidRDefault="002B19AC" w:rsidP="00DD1C36">
            <w:pPr>
              <w:pStyle w:val="TableText0"/>
              <w:widowControl w:val="0"/>
              <w:jc w:val="center"/>
            </w:pPr>
          </w:p>
        </w:tc>
        <w:tc>
          <w:tcPr>
            <w:tcW w:w="1091" w:type="pct"/>
            <w:vMerge/>
            <w:shd w:val="clear" w:color="auto" w:fill="auto"/>
            <w:vAlign w:val="center"/>
          </w:tcPr>
          <w:p w:rsidR="002B19AC" w:rsidRPr="00853F7A" w:rsidRDefault="002B19AC" w:rsidP="00DD1C36">
            <w:pPr>
              <w:pStyle w:val="TableText0"/>
              <w:widowControl w:val="0"/>
              <w:jc w:val="center"/>
            </w:pPr>
          </w:p>
        </w:tc>
        <w:tc>
          <w:tcPr>
            <w:tcW w:w="308" w:type="pct"/>
            <w:vMerge/>
            <w:shd w:val="clear" w:color="auto" w:fill="auto"/>
            <w:vAlign w:val="center"/>
          </w:tcPr>
          <w:p w:rsidR="002B19AC" w:rsidRPr="00853F7A" w:rsidRDefault="002B19AC" w:rsidP="00DD1C36">
            <w:pPr>
              <w:pStyle w:val="TableText0"/>
              <w:widowControl w:val="0"/>
              <w:jc w:val="center"/>
            </w:pPr>
          </w:p>
        </w:tc>
        <w:tc>
          <w:tcPr>
            <w:tcW w:w="1114" w:type="pct"/>
            <w:tcBorders>
              <w:top w:val="dashSmallGap" w:sz="4" w:space="0" w:color="auto"/>
            </w:tcBorders>
            <w:shd w:val="clear" w:color="auto" w:fill="auto"/>
            <w:vAlign w:val="center"/>
          </w:tcPr>
          <w:p w:rsidR="002B19AC" w:rsidRPr="00853F7A" w:rsidRDefault="002B19AC" w:rsidP="00DD1C36">
            <w:pPr>
              <w:pStyle w:val="TableText0"/>
              <w:widowControl w:val="0"/>
              <w:jc w:val="center"/>
            </w:pPr>
            <w:r w:rsidRPr="00853F7A">
              <w:t>PBO</w:t>
            </w:r>
          </w:p>
        </w:tc>
        <w:tc>
          <w:tcPr>
            <w:tcW w:w="551" w:type="pct"/>
            <w:vMerge/>
            <w:shd w:val="clear" w:color="auto" w:fill="auto"/>
            <w:vAlign w:val="center"/>
          </w:tcPr>
          <w:p w:rsidR="002B19AC" w:rsidRPr="00853F7A" w:rsidRDefault="002B19AC" w:rsidP="00DD1C36">
            <w:pPr>
              <w:pStyle w:val="TableText0"/>
              <w:widowControl w:val="0"/>
              <w:jc w:val="center"/>
            </w:pPr>
          </w:p>
        </w:tc>
        <w:tc>
          <w:tcPr>
            <w:tcW w:w="930" w:type="pct"/>
            <w:vMerge/>
            <w:shd w:val="clear" w:color="auto" w:fill="auto"/>
            <w:vAlign w:val="center"/>
          </w:tcPr>
          <w:p w:rsidR="002B19AC" w:rsidRPr="00853F7A" w:rsidRDefault="002B19AC" w:rsidP="00DD1C36">
            <w:pPr>
              <w:pStyle w:val="TableText0"/>
              <w:widowControl w:val="0"/>
              <w:jc w:val="center"/>
            </w:pPr>
          </w:p>
        </w:tc>
      </w:tr>
      <w:tr w:rsidR="00261F09" w:rsidRPr="00917FFB" w:rsidTr="00F80535">
        <w:trPr>
          <w:cantSplit/>
          <w:trHeight w:val="70"/>
        </w:trPr>
        <w:tc>
          <w:tcPr>
            <w:tcW w:w="540" w:type="pct"/>
            <w:vMerge w:val="restart"/>
            <w:shd w:val="clear" w:color="auto" w:fill="auto"/>
            <w:vAlign w:val="center"/>
          </w:tcPr>
          <w:p w:rsidR="00261F09" w:rsidRPr="00917FFB" w:rsidRDefault="00261F09" w:rsidP="00DD1C36">
            <w:pPr>
              <w:pStyle w:val="TableText0"/>
              <w:widowControl w:val="0"/>
              <w:rPr>
                <w:iCs/>
                <w:szCs w:val="18"/>
              </w:rPr>
            </w:pPr>
            <w:r w:rsidRPr="00917FFB">
              <w:rPr>
                <w:iCs/>
                <w:szCs w:val="18"/>
              </w:rPr>
              <w:t>BREEZE-AD4</w:t>
            </w:r>
          </w:p>
        </w:tc>
        <w:tc>
          <w:tcPr>
            <w:tcW w:w="465" w:type="pct"/>
            <w:vMerge w:val="restart"/>
            <w:shd w:val="clear" w:color="auto" w:fill="auto"/>
            <w:vAlign w:val="center"/>
          </w:tcPr>
          <w:p w:rsidR="00261F09" w:rsidRPr="00853F7A" w:rsidRDefault="00261F09" w:rsidP="00DD1C36">
            <w:pPr>
              <w:pStyle w:val="TableText0"/>
              <w:widowControl w:val="0"/>
              <w:jc w:val="center"/>
            </w:pPr>
            <w:r w:rsidRPr="00853F7A">
              <w:t>370*</w:t>
            </w:r>
          </w:p>
        </w:tc>
        <w:tc>
          <w:tcPr>
            <w:tcW w:w="1091" w:type="pct"/>
            <w:vMerge w:val="restart"/>
            <w:shd w:val="clear" w:color="auto" w:fill="auto"/>
            <w:vAlign w:val="center"/>
          </w:tcPr>
          <w:p w:rsidR="00261F09" w:rsidRPr="00853F7A" w:rsidRDefault="00261F09" w:rsidP="00DD1C36">
            <w:pPr>
              <w:pStyle w:val="TableText0"/>
              <w:widowControl w:val="0"/>
              <w:jc w:val="center"/>
            </w:pPr>
            <w:r w:rsidRPr="00853F7A">
              <w:t>P3, R, MC, DB 52wk, PC 16wk, rescue therapy allowed^</w:t>
            </w:r>
          </w:p>
        </w:tc>
        <w:tc>
          <w:tcPr>
            <w:tcW w:w="308" w:type="pct"/>
            <w:vMerge w:val="restart"/>
            <w:shd w:val="clear" w:color="auto" w:fill="auto"/>
            <w:vAlign w:val="center"/>
          </w:tcPr>
          <w:p w:rsidR="00261F09" w:rsidRPr="00853F7A" w:rsidRDefault="00261F09" w:rsidP="00DD1C36">
            <w:pPr>
              <w:pStyle w:val="TableText0"/>
              <w:widowControl w:val="0"/>
              <w:jc w:val="center"/>
            </w:pPr>
            <w:r w:rsidRPr="00853F7A">
              <w:t>Lo</w:t>
            </w:r>
            <w:r w:rsidR="00B224DB" w:rsidRPr="00853F7A">
              <w:t>w</w:t>
            </w:r>
          </w:p>
          <w:p w:rsidR="00261F09" w:rsidRPr="00853F7A" w:rsidRDefault="00261F09" w:rsidP="00DD1C36">
            <w:pPr>
              <w:pStyle w:val="TableText0"/>
              <w:widowControl w:val="0"/>
              <w:jc w:val="center"/>
            </w:pPr>
          </w:p>
        </w:tc>
        <w:tc>
          <w:tcPr>
            <w:tcW w:w="1114" w:type="pct"/>
            <w:tcBorders>
              <w:top w:val="single" w:sz="4" w:space="0" w:color="auto"/>
              <w:bottom w:val="dashSmallGap" w:sz="4" w:space="0" w:color="auto"/>
            </w:tcBorders>
            <w:shd w:val="clear" w:color="auto" w:fill="auto"/>
            <w:vAlign w:val="center"/>
          </w:tcPr>
          <w:p w:rsidR="00261F09" w:rsidRPr="00853F7A" w:rsidRDefault="00261F09" w:rsidP="00DD1C36">
            <w:pPr>
              <w:pStyle w:val="TableText0"/>
              <w:widowControl w:val="0"/>
              <w:jc w:val="center"/>
            </w:pPr>
            <w:r w:rsidRPr="00853F7A">
              <w:t>BARI 2</w:t>
            </w:r>
            <w:r w:rsidR="003506FA" w:rsidRPr="00853F7A">
              <w:t xml:space="preserve"> </w:t>
            </w:r>
            <w:r w:rsidRPr="00853F7A">
              <w:t xml:space="preserve">mg D </w:t>
            </w:r>
            <w:r w:rsidRPr="00917FFB">
              <w:rPr>
                <w:rFonts w:eastAsia="Times New Roman" w:cs="Arial"/>
                <w:iCs/>
                <w:szCs w:val="18"/>
              </w:rPr>
              <w:t>+TCS</w:t>
            </w:r>
          </w:p>
        </w:tc>
        <w:tc>
          <w:tcPr>
            <w:tcW w:w="551" w:type="pct"/>
            <w:vMerge w:val="restart"/>
            <w:shd w:val="clear" w:color="auto" w:fill="auto"/>
            <w:vAlign w:val="center"/>
          </w:tcPr>
          <w:p w:rsidR="00261F09" w:rsidRPr="00853F7A" w:rsidRDefault="00261F09" w:rsidP="00DD1C36">
            <w:pPr>
              <w:pStyle w:val="TableText0"/>
              <w:widowControl w:val="0"/>
              <w:jc w:val="center"/>
            </w:pPr>
            <w:r w:rsidRPr="00853F7A">
              <w:t>Moderate to severe AD</w:t>
            </w:r>
          </w:p>
        </w:tc>
        <w:tc>
          <w:tcPr>
            <w:tcW w:w="930" w:type="pct"/>
            <w:vMerge w:val="restart"/>
            <w:shd w:val="clear" w:color="auto" w:fill="auto"/>
            <w:vAlign w:val="center"/>
          </w:tcPr>
          <w:p w:rsidR="00261F09" w:rsidRPr="00853F7A" w:rsidRDefault="00261F09" w:rsidP="00DD1C36">
            <w:pPr>
              <w:pStyle w:val="TableText0"/>
              <w:widowControl w:val="0"/>
              <w:jc w:val="center"/>
            </w:pPr>
            <w:r w:rsidRPr="00853F7A">
              <w:t>EASI75 at wk16</w:t>
            </w:r>
            <w:r w:rsidRPr="00853F7A">
              <w:rPr>
                <w:vertAlign w:val="superscript"/>
              </w:rPr>
              <w:t>b</w:t>
            </w:r>
          </w:p>
        </w:tc>
      </w:tr>
      <w:tr w:rsidR="00261F09" w:rsidRPr="00917FFB" w:rsidTr="00F80535">
        <w:trPr>
          <w:cantSplit/>
          <w:trHeight w:val="288"/>
        </w:trPr>
        <w:tc>
          <w:tcPr>
            <w:tcW w:w="540" w:type="pct"/>
            <w:vMerge/>
            <w:shd w:val="clear" w:color="auto" w:fill="auto"/>
            <w:vAlign w:val="center"/>
          </w:tcPr>
          <w:p w:rsidR="00261F09" w:rsidRPr="00917FFB" w:rsidRDefault="00261F09" w:rsidP="00DD1C36">
            <w:pPr>
              <w:pStyle w:val="TableText0"/>
              <w:widowControl w:val="0"/>
              <w:rPr>
                <w:iCs/>
                <w:szCs w:val="18"/>
              </w:rPr>
            </w:pPr>
          </w:p>
        </w:tc>
        <w:tc>
          <w:tcPr>
            <w:tcW w:w="465" w:type="pct"/>
            <w:vMerge/>
            <w:shd w:val="clear" w:color="auto" w:fill="auto"/>
            <w:vAlign w:val="center"/>
          </w:tcPr>
          <w:p w:rsidR="00261F09" w:rsidRPr="00853F7A" w:rsidRDefault="00261F09" w:rsidP="00DD1C36">
            <w:pPr>
              <w:pStyle w:val="TableText0"/>
              <w:widowControl w:val="0"/>
              <w:jc w:val="center"/>
            </w:pPr>
          </w:p>
        </w:tc>
        <w:tc>
          <w:tcPr>
            <w:tcW w:w="1091" w:type="pct"/>
            <w:vMerge/>
            <w:shd w:val="clear" w:color="auto" w:fill="auto"/>
            <w:vAlign w:val="center"/>
          </w:tcPr>
          <w:p w:rsidR="00261F09" w:rsidRPr="00853F7A" w:rsidRDefault="00261F09" w:rsidP="00DD1C36">
            <w:pPr>
              <w:pStyle w:val="TableText0"/>
              <w:widowControl w:val="0"/>
              <w:jc w:val="center"/>
            </w:pPr>
          </w:p>
        </w:tc>
        <w:tc>
          <w:tcPr>
            <w:tcW w:w="308" w:type="pct"/>
            <w:vMerge/>
            <w:shd w:val="clear" w:color="auto" w:fill="auto"/>
            <w:vAlign w:val="center"/>
          </w:tcPr>
          <w:p w:rsidR="00261F09" w:rsidRPr="00853F7A" w:rsidRDefault="00261F09" w:rsidP="00DD1C36">
            <w:pPr>
              <w:pStyle w:val="TableText0"/>
              <w:widowControl w:val="0"/>
              <w:jc w:val="center"/>
            </w:pPr>
          </w:p>
        </w:tc>
        <w:tc>
          <w:tcPr>
            <w:tcW w:w="1114" w:type="pct"/>
            <w:tcBorders>
              <w:top w:val="dashSmallGap" w:sz="4" w:space="0" w:color="auto"/>
              <w:bottom w:val="dashSmallGap" w:sz="4" w:space="0" w:color="auto"/>
            </w:tcBorders>
            <w:shd w:val="clear" w:color="auto" w:fill="auto"/>
            <w:vAlign w:val="center"/>
          </w:tcPr>
          <w:p w:rsidR="00261F09" w:rsidRPr="00853F7A" w:rsidRDefault="00261F09" w:rsidP="00DD1C36">
            <w:pPr>
              <w:pStyle w:val="TableText0"/>
              <w:widowControl w:val="0"/>
              <w:jc w:val="center"/>
            </w:pPr>
            <w:r w:rsidRPr="00853F7A">
              <w:t>BARI 4</w:t>
            </w:r>
            <w:r w:rsidR="003506FA" w:rsidRPr="00853F7A">
              <w:t xml:space="preserve"> </w:t>
            </w:r>
            <w:r w:rsidRPr="00853F7A">
              <w:t xml:space="preserve">mg D </w:t>
            </w:r>
            <w:r w:rsidRPr="00917FFB">
              <w:rPr>
                <w:rFonts w:eastAsia="Times New Roman" w:cs="Arial"/>
                <w:iCs/>
                <w:szCs w:val="18"/>
              </w:rPr>
              <w:t>+TCS</w:t>
            </w:r>
          </w:p>
        </w:tc>
        <w:tc>
          <w:tcPr>
            <w:tcW w:w="551" w:type="pct"/>
            <w:vMerge/>
            <w:shd w:val="clear" w:color="auto" w:fill="auto"/>
            <w:vAlign w:val="center"/>
          </w:tcPr>
          <w:p w:rsidR="00261F09" w:rsidRPr="00853F7A" w:rsidRDefault="00261F09" w:rsidP="00DD1C36">
            <w:pPr>
              <w:pStyle w:val="TableText0"/>
              <w:widowControl w:val="0"/>
              <w:jc w:val="center"/>
            </w:pPr>
          </w:p>
        </w:tc>
        <w:tc>
          <w:tcPr>
            <w:tcW w:w="930" w:type="pct"/>
            <w:vMerge/>
            <w:shd w:val="clear" w:color="auto" w:fill="auto"/>
            <w:vAlign w:val="center"/>
          </w:tcPr>
          <w:p w:rsidR="00261F09" w:rsidRPr="00853F7A" w:rsidRDefault="00261F09" w:rsidP="00DD1C36">
            <w:pPr>
              <w:pStyle w:val="TableText0"/>
              <w:widowControl w:val="0"/>
              <w:jc w:val="center"/>
            </w:pPr>
          </w:p>
        </w:tc>
      </w:tr>
      <w:tr w:rsidR="00261F09" w:rsidRPr="00917FFB" w:rsidTr="00F80535">
        <w:trPr>
          <w:cantSplit/>
          <w:trHeight w:val="70"/>
        </w:trPr>
        <w:tc>
          <w:tcPr>
            <w:tcW w:w="540" w:type="pct"/>
            <w:vMerge/>
            <w:shd w:val="clear" w:color="auto" w:fill="auto"/>
            <w:vAlign w:val="center"/>
          </w:tcPr>
          <w:p w:rsidR="00261F09" w:rsidRPr="00917FFB" w:rsidRDefault="00261F09" w:rsidP="00DD1C36">
            <w:pPr>
              <w:pStyle w:val="TableText0"/>
              <w:widowControl w:val="0"/>
              <w:rPr>
                <w:iCs/>
                <w:szCs w:val="18"/>
              </w:rPr>
            </w:pPr>
          </w:p>
        </w:tc>
        <w:tc>
          <w:tcPr>
            <w:tcW w:w="465" w:type="pct"/>
            <w:vMerge/>
            <w:shd w:val="clear" w:color="auto" w:fill="auto"/>
            <w:vAlign w:val="center"/>
          </w:tcPr>
          <w:p w:rsidR="00261F09" w:rsidRPr="00853F7A" w:rsidRDefault="00261F09" w:rsidP="00DD1C36">
            <w:pPr>
              <w:pStyle w:val="TableText0"/>
              <w:widowControl w:val="0"/>
              <w:jc w:val="center"/>
            </w:pPr>
          </w:p>
        </w:tc>
        <w:tc>
          <w:tcPr>
            <w:tcW w:w="1091" w:type="pct"/>
            <w:vMerge/>
            <w:shd w:val="clear" w:color="auto" w:fill="auto"/>
            <w:vAlign w:val="center"/>
          </w:tcPr>
          <w:p w:rsidR="00261F09" w:rsidRPr="00853F7A" w:rsidRDefault="00261F09" w:rsidP="00DD1C36">
            <w:pPr>
              <w:pStyle w:val="TableText0"/>
              <w:widowControl w:val="0"/>
              <w:jc w:val="center"/>
            </w:pPr>
          </w:p>
        </w:tc>
        <w:tc>
          <w:tcPr>
            <w:tcW w:w="308" w:type="pct"/>
            <w:vMerge/>
            <w:shd w:val="clear" w:color="auto" w:fill="auto"/>
            <w:vAlign w:val="center"/>
          </w:tcPr>
          <w:p w:rsidR="00261F09" w:rsidRPr="00853F7A" w:rsidRDefault="00261F09" w:rsidP="00DD1C36">
            <w:pPr>
              <w:pStyle w:val="TableText0"/>
              <w:widowControl w:val="0"/>
              <w:jc w:val="center"/>
            </w:pPr>
          </w:p>
        </w:tc>
        <w:tc>
          <w:tcPr>
            <w:tcW w:w="1114" w:type="pct"/>
            <w:tcBorders>
              <w:top w:val="dashSmallGap" w:sz="4" w:space="0" w:color="auto"/>
            </w:tcBorders>
            <w:shd w:val="clear" w:color="auto" w:fill="auto"/>
            <w:vAlign w:val="center"/>
          </w:tcPr>
          <w:p w:rsidR="00261F09" w:rsidRPr="00853F7A" w:rsidRDefault="00261F09" w:rsidP="00DD1C36">
            <w:pPr>
              <w:pStyle w:val="TableText0"/>
              <w:widowControl w:val="0"/>
              <w:jc w:val="center"/>
            </w:pPr>
            <w:r w:rsidRPr="00853F7A">
              <w:t xml:space="preserve">PBO </w:t>
            </w:r>
            <w:r w:rsidRPr="00917FFB">
              <w:rPr>
                <w:rFonts w:eastAsia="Times New Roman" w:cs="Arial"/>
                <w:iCs/>
                <w:szCs w:val="18"/>
              </w:rPr>
              <w:t>+TCS</w:t>
            </w:r>
          </w:p>
        </w:tc>
        <w:tc>
          <w:tcPr>
            <w:tcW w:w="551" w:type="pct"/>
            <w:vMerge/>
            <w:shd w:val="clear" w:color="auto" w:fill="auto"/>
            <w:vAlign w:val="center"/>
          </w:tcPr>
          <w:p w:rsidR="00261F09" w:rsidRPr="00853F7A" w:rsidRDefault="00261F09" w:rsidP="00DD1C36">
            <w:pPr>
              <w:pStyle w:val="TableText0"/>
              <w:widowControl w:val="0"/>
              <w:jc w:val="center"/>
            </w:pPr>
          </w:p>
        </w:tc>
        <w:tc>
          <w:tcPr>
            <w:tcW w:w="930" w:type="pct"/>
            <w:vMerge/>
            <w:shd w:val="clear" w:color="auto" w:fill="auto"/>
            <w:vAlign w:val="center"/>
          </w:tcPr>
          <w:p w:rsidR="00261F09" w:rsidRPr="00853F7A" w:rsidRDefault="00261F09" w:rsidP="00DD1C36">
            <w:pPr>
              <w:pStyle w:val="TableText0"/>
              <w:widowControl w:val="0"/>
              <w:jc w:val="center"/>
            </w:pPr>
          </w:p>
        </w:tc>
      </w:tr>
      <w:tr w:rsidR="00261F09" w:rsidRPr="00917FFB" w:rsidTr="00F80535">
        <w:trPr>
          <w:cantSplit/>
          <w:trHeight w:val="288"/>
        </w:trPr>
        <w:tc>
          <w:tcPr>
            <w:tcW w:w="540" w:type="pct"/>
            <w:vMerge w:val="restart"/>
            <w:shd w:val="clear" w:color="auto" w:fill="auto"/>
            <w:vAlign w:val="center"/>
          </w:tcPr>
          <w:p w:rsidR="002B19AC" w:rsidRPr="00917FFB" w:rsidRDefault="002B19AC" w:rsidP="00DD1C36">
            <w:pPr>
              <w:pStyle w:val="TableText0"/>
              <w:widowControl w:val="0"/>
              <w:rPr>
                <w:iCs/>
                <w:szCs w:val="18"/>
              </w:rPr>
            </w:pPr>
            <w:r w:rsidRPr="00917FFB">
              <w:rPr>
                <w:iCs/>
                <w:szCs w:val="18"/>
              </w:rPr>
              <w:t>BREEZE-AD7</w:t>
            </w:r>
          </w:p>
        </w:tc>
        <w:tc>
          <w:tcPr>
            <w:tcW w:w="465" w:type="pct"/>
            <w:vMerge w:val="restart"/>
            <w:shd w:val="clear" w:color="auto" w:fill="auto"/>
            <w:vAlign w:val="center"/>
          </w:tcPr>
          <w:p w:rsidR="002B19AC" w:rsidRPr="00853F7A" w:rsidRDefault="002B19AC" w:rsidP="00DD1C36">
            <w:pPr>
              <w:pStyle w:val="TableText0"/>
              <w:widowControl w:val="0"/>
              <w:jc w:val="center"/>
            </w:pPr>
            <w:r w:rsidRPr="00853F7A">
              <w:t>329</w:t>
            </w:r>
          </w:p>
        </w:tc>
        <w:tc>
          <w:tcPr>
            <w:tcW w:w="1091" w:type="pct"/>
            <w:vMerge w:val="restart"/>
            <w:shd w:val="clear" w:color="auto" w:fill="auto"/>
            <w:vAlign w:val="center"/>
          </w:tcPr>
          <w:p w:rsidR="002B19AC" w:rsidRPr="00853F7A" w:rsidRDefault="002B19AC" w:rsidP="00DD1C36">
            <w:pPr>
              <w:pStyle w:val="TableText0"/>
              <w:widowControl w:val="0"/>
              <w:jc w:val="center"/>
            </w:pPr>
            <w:r w:rsidRPr="00853F7A">
              <w:t>P3, R, MC, DB, PC 16wk, rescue therapy allowed^</w:t>
            </w:r>
          </w:p>
        </w:tc>
        <w:tc>
          <w:tcPr>
            <w:tcW w:w="308" w:type="pct"/>
            <w:vMerge w:val="restart"/>
            <w:shd w:val="clear" w:color="auto" w:fill="auto"/>
            <w:vAlign w:val="center"/>
          </w:tcPr>
          <w:p w:rsidR="002B19AC" w:rsidRPr="00853F7A" w:rsidRDefault="002B19AC" w:rsidP="00DD1C36">
            <w:pPr>
              <w:pStyle w:val="TableText0"/>
              <w:widowControl w:val="0"/>
              <w:jc w:val="center"/>
            </w:pPr>
            <w:r w:rsidRPr="00853F7A">
              <w:t>Low</w:t>
            </w:r>
          </w:p>
        </w:tc>
        <w:tc>
          <w:tcPr>
            <w:tcW w:w="1114" w:type="pct"/>
            <w:tcBorders>
              <w:top w:val="single" w:sz="4" w:space="0" w:color="auto"/>
              <w:bottom w:val="dashSmallGap" w:sz="4" w:space="0" w:color="auto"/>
            </w:tcBorders>
            <w:shd w:val="clear" w:color="auto" w:fill="auto"/>
            <w:vAlign w:val="center"/>
          </w:tcPr>
          <w:p w:rsidR="002B19AC" w:rsidRPr="00853F7A" w:rsidRDefault="002B19AC" w:rsidP="00DD1C36">
            <w:pPr>
              <w:pStyle w:val="TableText0"/>
              <w:widowControl w:val="0"/>
              <w:jc w:val="center"/>
            </w:pPr>
            <w:r w:rsidRPr="00853F7A">
              <w:t>BARI 2</w:t>
            </w:r>
            <w:r w:rsidR="003506FA" w:rsidRPr="00853F7A">
              <w:t xml:space="preserve"> </w:t>
            </w:r>
            <w:r w:rsidRPr="00853F7A">
              <w:t xml:space="preserve">mg D </w:t>
            </w:r>
            <w:r w:rsidRPr="00917FFB">
              <w:rPr>
                <w:rFonts w:eastAsia="Times New Roman" w:cs="Arial"/>
                <w:iCs/>
                <w:szCs w:val="18"/>
              </w:rPr>
              <w:t>+TCS</w:t>
            </w:r>
          </w:p>
        </w:tc>
        <w:tc>
          <w:tcPr>
            <w:tcW w:w="551" w:type="pct"/>
            <w:vMerge w:val="restart"/>
            <w:shd w:val="clear" w:color="auto" w:fill="auto"/>
            <w:vAlign w:val="center"/>
          </w:tcPr>
          <w:p w:rsidR="002B19AC" w:rsidRPr="00853F7A" w:rsidRDefault="002B19AC" w:rsidP="00DD1C36">
            <w:pPr>
              <w:pStyle w:val="TableText0"/>
              <w:widowControl w:val="0"/>
              <w:jc w:val="center"/>
            </w:pPr>
            <w:r w:rsidRPr="00853F7A">
              <w:t>Moderate to severe AD</w:t>
            </w:r>
          </w:p>
        </w:tc>
        <w:tc>
          <w:tcPr>
            <w:tcW w:w="930" w:type="pct"/>
            <w:vMerge w:val="restart"/>
            <w:shd w:val="clear" w:color="auto" w:fill="auto"/>
            <w:vAlign w:val="center"/>
          </w:tcPr>
          <w:p w:rsidR="002B19AC" w:rsidRPr="00853F7A" w:rsidRDefault="002B19AC" w:rsidP="00DD1C36">
            <w:pPr>
              <w:pStyle w:val="TableText0"/>
              <w:widowControl w:val="0"/>
              <w:jc w:val="center"/>
            </w:pPr>
            <w:r w:rsidRPr="00853F7A">
              <w:t>IGA of 0 or 1 at Wk16</w:t>
            </w:r>
            <w:r w:rsidRPr="00853F7A">
              <w:rPr>
                <w:vertAlign w:val="superscript"/>
              </w:rPr>
              <w:t>a</w:t>
            </w:r>
          </w:p>
        </w:tc>
      </w:tr>
      <w:tr w:rsidR="00261F09" w:rsidRPr="00917FFB" w:rsidTr="00F80535">
        <w:trPr>
          <w:cantSplit/>
          <w:trHeight w:val="288"/>
        </w:trPr>
        <w:tc>
          <w:tcPr>
            <w:tcW w:w="540" w:type="pct"/>
            <w:vMerge/>
            <w:shd w:val="clear" w:color="auto" w:fill="auto"/>
            <w:vAlign w:val="center"/>
          </w:tcPr>
          <w:p w:rsidR="002B19AC" w:rsidRPr="00917FFB" w:rsidRDefault="002B19AC" w:rsidP="00DD1C36">
            <w:pPr>
              <w:pStyle w:val="TableText0"/>
              <w:widowControl w:val="0"/>
              <w:rPr>
                <w:iCs/>
                <w:szCs w:val="18"/>
              </w:rPr>
            </w:pPr>
          </w:p>
        </w:tc>
        <w:tc>
          <w:tcPr>
            <w:tcW w:w="465" w:type="pct"/>
            <w:vMerge/>
            <w:shd w:val="clear" w:color="auto" w:fill="auto"/>
            <w:vAlign w:val="center"/>
          </w:tcPr>
          <w:p w:rsidR="002B19AC" w:rsidRPr="00853F7A" w:rsidRDefault="002B19AC" w:rsidP="00DD1C36">
            <w:pPr>
              <w:pStyle w:val="TableText0"/>
              <w:widowControl w:val="0"/>
              <w:jc w:val="center"/>
            </w:pPr>
          </w:p>
        </w:tc>
        <w:tc>
          <w:tcPr>
            <w:tcW w:w="1091" w:type="pct"/>
            <w:vMerge/>
            <w:shd w:val="clear" w:color="auto" w:fill="auto"/>
            <w:vAlign w:val="center"/>
          </w:tcPr>
          <w:p w:rsidR="002B19AC" w:rsidRPr="00853F7A" w:rsidRDefault="002B19AC" w:rsidP="00DD1C36">
            <w:pPr>
              <w:pStyle w:val="TableText0"/>
              <w:widowControl w:val="0"/>
              <w:jc w:val="center"/>
            </w:pPr>
          </w:p>
        </w:tc>
        <w:tc>
          <w:tcPr>
            <w:tcW w:w="308" w:type="pct"/>
            <w:vMerge/>
            <w:shd w:val="clear" w:color="auto" w:fill="auto"/>
            <w:vAlign w:val="center"/>
          </w:tcPr>
          <w:p w:rsidR="002B19AC" w:rsidRPr="00853F7A" w:rsidRDefault="002B19AC" w:rsidP="00DD1C36">
            <w:pPr>
              <w:pStyle w:val="TableText0"/>
              <w:widowControl w:val="0"/>
              <w:jc w:val="center"/>
            </w:pPr>
          </w:p>
        </w:tc>
        <w:tc>
          <w:tcPr>
            <w:tcW w:w="1114" w:type="pct"/>
            <w:tcBorders>
              <w:top w:val="dashSmallGap" w:sz="4" w:space="0" w:color="auto"/>
              <w:bottom w:val="dashSmallGap" w:sz="4" w:space="0" w:color="auto"/>
            </w:tcBorders>
            <w:shd w:val="clear" w:color="auto" w:fill="auto"/>
            <w:vAlign w:val="center"/>
          </w:tcPr>
          <w:p w:rsidR="002B19AC" w:rsidRPr="00853F7A" w:rsidRDefault="002B19AC" w:rsidP="00DD1C36">
            <w:pPr>
              <w:pStyle w:val="TableText0"/>
              <w:widowControl w:val="0"/>
              <w:jc w:val="center"/>
            </w:pPr>
            <w:r w:rsidRPr="00853F7A">
              <w:t>BARI 4</w:t>
            </w:r>
            <w:r w:rsidR="003506FA" w:rsidRPr="00853F7A">
              <w:t xml:space="preserve"> </w:t>
            </w:r>
            <w:r w:rsidRPr="00853F7A">
              <w:t xml:space="preserve">mg D </w:t>
            </w:r>
            <w:r w:rsidRPr="00917FFB">
              <w:rPr>
                <w:rFonts w:eastAsia="Times New Roman" w:cs="Arial"/>
                <w:iCs/>
                <w:szCs w:val="18"/>
              </w:rPr>
              <w:t>+TCS</w:t>
            </w:r>
          </w:p>
        </w:tc>
        <w:tc>
          <w:tcPr>
            <w:tcW w:w="551" w:type="pct"/>
            <w:vMerge/>
            <w:shd w:val="clear" w:color="auto" w:fill="auto"/>
            <w:vAlign w:val="center"/>
          </w:tcPr>
          <w:p w:rsidR="002B19AC" w:rsidRPr="00853F7A" w:rsidRDefault="002B19AC" w:rsidP="00DD1C36">
            <w:pPr>
              <w:pStyle w:val="TableText0"/>
              <w:widowControl w:val="0"/>
              <w:jc w:val="center"/>
            </w:pPr>
          </w:p>
        </w:tc>
        <w:tc>
          <w:tcPr>
            <w:tcW w:w="930" w:type="pct"/>
            <w:vMerge/>
            <w:shd w:val="clear" w:color="auto" w:fill="auto"/>
            <w:vAlign w:val="center"/>
          </w:tcPr>
          <w:p w:rsidR="002B19AC" w:rsidRPr="00853F7A" w:rsidRDefault="002B19AC" w:rsidP="00DD1C36">
            <w:pPr>
              <w:pStyle w:val="TableText0"/>
              <w:widowControl w:val="0"/>
              <w:jc w:val="center"/>
            </w:pPr>
          </w:p>
        </w:tc>
      </w:tr>
      <w:tr w:rsidR="00261F09" w:rsidRPr="00917FFB" w:rsidTr="00F80535">
        <w:trPr>
          <w:cantSplit/>
          <w:trHeight w:val="70"/>
        </w:trPr>
        <w:tc>
          <w:tcPr>
            <w:tcW w:w="540" w:type="pct"/>
            <w:vMerge/>
            <w:shd w:val="clear" w:color="auto" w:fill="auto"/>
            <w:vAlign w:val="center"/>
          </w:tcPr>
          <w:p w:rsidR="002B19AC" w:rsidRPr="00917FFB" w:rsidRDefault="002B19AC" w:rsidP="00DD1C36">
            <w:pPr>
              <w:pStyle w:val="TableText0"/>
              <w:widowControl w:val="0"/>
              <w:rPr>
                <w:iCs/>
                <w:szCs w:val="18"/>
              </w:rPr>
            </w:pPr>
          </w:p>
        </w:tc>
        <w:tc>
          <w:tcPr>
            <w:tcW w:w="465" w:type="pct"/>
            <w:vMerge/>
            <w:shd w:val="clear" w:color="auto" w:fill="auto"/>
            <w:vAlign w:val="center"/>
          </w:tcPr>
          <w:p w:rsidR="002B19AC" w:rsidRPr="00853F7A" w:rsidRDefault="002B19AC" w:rsidP="00DD1C36">
            <w:pPr>
              <w:pStyle w:val="TableText0"/>
              <w:widowControl w:val="0"/>
              <w:jc w:val="center"/>
            </w:pPr>
          </w:p>
        </w:tc>
        <w:tc>
          <w:tcPr>
            <w:tcW w:w="1091" w:type="pct"/>
            <w:vMerge/>
            <w:shd w:val="clear" w:color="auto" w:fill="auto"/>
            <w:vAlign w:val="center"/>
          </w:tcPr>
          <w:p w:rsidR="002B19AC" w:rsidRPr="00853F7A" w:rsidRDefault="002B19AC" w:rsidP="00DD1C36">
            <w:pPr>
              <w:pStyle w:val="TableText0"/>
              <w:widowControl w:val="0"/>
              <w:jc w:val="center"/>
            </w:pPr>
          </w:p>
        </w:tc>
        <w:tc>
          <w:tcPr>
            <w:tcW w:w="308" w:type="pct"/>
            <w:vMerge/>
            <w:shd w:val="clear" w:color="auto" w:fill="auto"/>
            <w:vAlign w:val="center"/>
          </w:tcPr>
          <w:p w:rsidR="002B19AC" w:rsidRPr="00853F7A" w:rsidRDefault="002B19AC" w:rsidP="00DD1C36">
            <w:pPr>
              <w:pStyle w:val="TableText0"/>
              <w:widowControl w:val="0"/>
              <w:jc w:val="center"/>
            </w:pPr>
          </w:p>
        </w:tc>
        <w:tc>
          <w:tcPr>
            <w:tcW w:w="1114" w:type="pct"/>
            <w:tcBorders>
              <w:top w:val="dashSmallGap" w:sz="4" w:space="0" w:color="auto"/>
            </w:tcBorders>
            <w:shd w:val="clear" w:color="auto" w:fill="auto"/>
            <w:vAlign w:val="center"/>
          </w:tcPr>
          <w:p w:rsidR="002B19AC" w:rsidRPr="00853F7A" w:rsidRDefault="002B19AC" w:rsidP="00DD1C36">
            <w:pPr>
              <w:pStyle w:val="TableText0"/>
              <w:widowControl w:val="0"/>
              <w:jc w:val="center"/>
            </w:pPr>
            <w:r w:rsidRPr="00853F7A">
              <w:t xml:space="preserve">PBO </w:t>
            </w:r>
            <w:r w:rsidRPr="00917FFB">
              <w:rPr>
                <w:rFonts w:eastAsia="Times New Roman" w:cs="Arial"/>
                <w:iCs/>
                <w:szCs w:val="18"/>
              </w:rPr>
              <w:t>+TCS</w:t>
            </w:r>
          </w:p>
        </w:tc>
        <w:tc>
          <w:tcPr>
            <w:tcW w:w="551" w:type="pct"/>
            <w:vMerge/>
            <w:shd w:val="clear" w:color="auto" w:fill="auto"/>
            <w:vAlign w:val="center"/>
          </w:tcPr>
          <w:p w:rsidR="002B19AC" w:rsidRPr="00853F7A" w:rsidRDefault="002B19AC" w:rsidP="00DD1C36">
            <w:pPr>
              <w:pStyle w:val="TableText0"/>
              <w:widowControl w:val="0"/>
              <w:jc w:val="center"/>
            </w:pPr>
          </w:p>
        </w:tc>
        <w:tc>
          <w:tcPr>
            <w:tcW w:w="930" w:type="pct"/>
            <w:vMerge/>
            <w:shd w:val="clear" w:color="auto" w:fill="auto"/>
            <w:vAlign w:val="center"/>
          </w:tcPr>
          <w:p w:rsidR="002B19AC" w:rsidRPr="00853F7A" w:rsidRDefault="002B19AC" w:rsidP="00DD1C36">
            <w:pPr>
              <w:pStyle w:val="TableText0"/>
              <w:widowControl w:val="0"/>
              <w:jc w:val="center"/>
            </w:pPr>
          </w:p>
        </w:tc>
      </w:tr>
      <w:tr w:rsidR="00261F09" w:rsidRPr="00917FFB" w:rsidTr="00F80535">
        <w:trPr>
          <w:cantSplit/>
          <w:trHeight w:val="288"/>
        </w:trPr>
        <w:tc>
          <w:tcPr>
            <w:tcW w:w="540" w:type="pct"/>
            <w:vMerge w:val="restart"/>
            <w:shd w:val="clear" w:color="auto" w:fill="auto"/>
            <w:vAlign w:val="center"/>
          </w:tcPr>
          <w:p w:rsidR="002B19AC" w:rsidRPr="00917FFB" w:rsidRDefault="002B19AC" w:rsidP="00DD1C36">
            <w:pPr>
              <w:pStyle w:val="TableText0"/>
              <w:widowControl w:val="0"/>
              <w:rPr>
                <w:iCs/>
                <w:szCs w:val="18"/>
              </w:rPr>
            </w:pPr>
            <w:r w:rsidRPr="00917FFB">
              <w:rPr>
                <w:iCs/>
                <w:szCs w:val="18"/>
              </w:rPr>
              <w:t>JAHG</w:t>
            </w:r>
          </w:p>
        </w:tc>
        <w:tc>
          <w:tcPr>
            <w:tcW w:w="465" w:type="pct"/>
            <w:vMerge w:val="restart"/>
            <w:shd w:val="clear" w:color="auto" w:fill="auto"/>
            <w:vAlign w:val="center"/>
          </w:tcPr>
          <w:p w:rsidR="002B19AC" w:rsidRPr="00853F7A" w:rsidRDefault="002B19AC" w:rsidP="00DD1C36">
            <w:pPr>
              <w:pStyle w:val="TableText0"/>
              <w:widowControl w:val="0"/>
              <w:jc w:val="center"/>
            </w:pPr>
            <w:r w:rsidRPr="00853F7A">
              <w:t>124</w:t>
            </w:r>
          </w:p>
        </w:tc>
        <w:tc>
          <w:tcPr>
            <w:tcW w:w="1091" w:type="pct"/>
            <w:vMerge w:val="restart"/>
            <w:shd w:val="clear" w:color="auto" w:fill="auto"/>
            <w:vAlign w:val="center"/>
          </w:tcPr>
          <w:p w:rsidR="002B19AC" w:rsidRPr="00853F7A" w:rsidRDefault="002B19AC" w:rsidP="00DD1C36">
            <w:pPr>
              <w:pStyle w:val="TableText0"/>
              <w:widowControl w:val="0"/>
              <w:jc w:val="center"/>
            </w:pPr>
            <w:r w:rsidRPr="00853F7A">
              <w:t>P2, R, MC, DB, PC 16wk, use of rescue therapy not specified in protocol</w:t>
            </w:r>
          </w:p>
        </w:tc>
        <w:tc>
          <w:tcPr>
            <w:tcW w:w="308" w:type="pct"/>
            <w:vMerge w:val="restart"/>
            <w:shd w:val="clear" w:color="auto" w:fill="auto"/>
            <w:vAlign w:val="center"/>
          </w:tcPr>
          <w:p w:rsidR="002B19AC" w:rsidRPr="00853F7A" w:rsidRDefault="002B19AC" w:rsidP="00DD1C36">
            <w:pPr>
              <w:pStyle w:val="TableText0"/>
              <w:widowControl w:val="0"/>
              <w:jc w:val="center"/>
            </w:pPr>
            <w:r w:rsidRPr="00853F7A">
              <w:t>Low</w:t>
            </w:r>
          </w:p>
        </w:tc>
        <w:tc>
          <w:tcPr>
            <w:tcW w:w="1114" w:type="pct"/>
            <w:tcBorders>
              <w:top w:val="single" w:sz="4" w:space="0" w:color="auto"/>
              <w:bottom w:val="dashSmallGap" w:sz="4" w:space="0" w:color="auto"/>
            </w:tcBorders>
            <w:shd w:val="clear" w:color="auto" w:fill="auto"/>
            <w:vAlign w:val="center"/>
          </w:tcPr>
          <w:p w:rsidR="002B19AC" w:rsidRPr="00853F7A" w:rsidRDefault="002B19AC" w:rsidP="00DD1C36">
            <w:pPr>
              <w:pStyle w:val="TableText0"/>
              <w:widowControl w:val="0"/>
              <w:jc w:val="center"/>
            </w:pPr>
            <w:r w:rsidRPr="00853F7A">
              <w:t>BARI 2</w:t>
            </w:r>
            <w:r w:rsidR="003506FA" w:rsidRPr="00853F7A">
              <w:t xml:space="preserve"> </w:t>
            </w:r>
            <w:r w:rsidRPr="00853F7A">
              <w:t xml:space="preserve">mg D </w:t>
            </w:r>
            <w:r w:rsidRPr="00917FFB">
              <w:rPr>
                <w:rFonts w:eastAsia="Times New Roman" w:cs="Arial"/>
                <w:iCs/>
                <w:szCs w:val="18"/>
              </w:rPr>
              <w:t>+TCS</w:t>
            </w:r>
          </w:p>
        </w:tc>
        <w:tc>
          <w:tcPr>
            <w:tcW w:w="551" w:type="pct"/>
            <w:vMerge w:val="restart"/>
            <w:shd w:val="clear" w:color="auto" w:fill="auto"/>
            <w:vAlign w:val="center"/>
          </w:tcPr>
          <w:p w:rsidR="002B19AC" w:rsidRPr="00853F7A" w:rsidRDefault="002B19AC" w:rsidP="00DD1C36">
            <w:pPr>
              <w:pStyle w:val="TableText0"/>
              <w:widowControl w:val="0"/>
              <w:jc w:val="center"/>
            </w:pPr>
            <w:r w:rsidRPr="00853F7A">
              <w:t>Moderate to severe AD</w:t>
            </w:r>
          </w:p>
        </w:tc>
        <w:tc>
          <w:tcPr>
            <w:tcW w:w="930" w:type="pct"/>
            <w:vMerge w:val="restart"/>
            <w:shd w:val="clear" w:color="auto" w:fill="auto"/>
            <w:vAlign w:val="center"/>
          </w:tcPr>
          <w:p w:rsidR="002B19AC" w:rsidRPr="00853F7A" w:rsidRDefault="002B19AC" w:rsidP="00DD1C36">
            <w:pPr>
              <w:pStyle w:val="TableText0"/>
              <w:widowControl w:val="0"/>
              <w:jc w:val="center"/>
            </w:pPr>
            <w:r w:rsidRPr="00853F7A">
              <w:t>EASI50 at wk16</w:t>
            </w:r>
            <w:r w:rsidRPr="00853F7A">
              <w:rPr>
                <w:vertAlign w:val="superscript"/>
              </w:rPr>
              <w:t>b</w:t>
            </w:r>
          </w:p>
        </w:tc>
      </w:tr>
      <w:tr w:rsidR="00261F09" w:rsidRPr="00917FFB" w:rsidTr="00F80535">
        <w:trPr>
          <w:cantSplit/>
          <w:trHeight w:val="288"/>
        </w:trPr>
        <w:tc>
          <w:tcPr>
            <w:tcW w:w="540" w:type="pct"/>
            <w:vMerge/>
            <w:shd w:val="clear" w:color="auto" w:fill="auto"/>
            <w:vAlign w:val="center"/>
          </w:tcPr>
          <w:p w:rsidR="002B19AC" w:rsidRPr="00917FFB" w:rsidRDefault="002B19AC" w:rsidP="00DD1C36">
            <w:pPr>
              <w:pStyle w:val="TableText0"/>
              <w:widowControl w:val="0"/>
              <w:rPr>
                <w:iCs/>
                <w:szCs w:val="18"/>
              </w:rPr>
            </w:pPr>
          </w:p>
        </w:tc>
        <w:tc>
          <w:tcPr>
            <w:tcW w:w="465" w:type="pct"/>
            <w:vMerge/>
            <w:shd w:val="clear" w:color="auto" w:fill="auto"/>
            <w:vAlign w:val="center"/>
          </w:tcPr>
          <w:p w:rsidR="002B19AC" w:rsidRPr="00853F7A" w:rsidRDefault="002B19AC" w:rsidP="00DD1C36">
            <w:pPr>
              <w:pStyle w:val="TableText0"/>
              <w:widowControl w:val="0"/>
              <w:jc w:val="center"/>
            </w:pPr>
          </w:p>
        </w:tc>
        <w:tc>
          <w:tcPr>
            <w:tcW w:w="1091" w:type="pct"/>
            <w:vMerge/>
            <w:shd w:val="clear" w:color="auto" w:fill="auto"/>
            <w:vAlign w:val="center"/>
          </w:tcPr>
          <w:p w:rsidR="002B19AC" w:rsidRPr="00853F7A" w:rsidRDefault="002B19AC" w:rsidP="00DD1C36">
            <w:pPr>
              <w:pStyle w:val="TableText0"/>
              <w:widowControl w:val="0"/>
              <w:jc w:val="center"/>
            </w:pPr>
          </w:p>
        </w:tc>
        <w:tc>
          <w:tcPr>
            <w:tcW w:w="308" w:type="pct"/>
            <w:vMerge/>
            <w:shd w:val="clear" w:color="auto" w:fill="auto"/>
            <w:vAlign w:val="center"/>
          </w:tcPr>
          <w:p w:rsidR="002B19AC" w:rsidRPr="00853F7A" w:rsidRDefault="002B19AC" w:rsidP="00DD1C36">
            <w:pPr>
              <w:pStyle w:val="TableText0"/>
              <w:widowControl w:val="0"/>
              <w:jc w:val="center"/>
            </w:pPr>
          </w:p>
        </w:tc>
        <w:tc>
          <w:tcPr>
            <w:tcW w:w="1114" w:type="pct"/>
            <w:tcBorders>
              <w:top w:val="dashSmallGap" w:sz="4" w:space="0" w:color="auto"/>
              <w:bottom w:val="dashSmallGap" w:sz="4" w:space="0" w:color="auto"/>
            </w:tcBorders>
            <w:shd w:val="clear" w:color="auto" w:fill="auto"/>
            <w:vAlign w:val="center"/>
          </w:tcPr>
          <w:p w:rsidR="002B19AC" w:rsidRPr="00853F7A" w:rsidRDefault="002B19AC" w:rsidP="00DD1C36">
            <w:pPr>
              <w:pStyle w:val="TableText0"/>
              <w:widowControl w:val="0"/>
              <w:jc w:val="center"/>
            </w:pPr>
            <w:r w:rsidRPr="00853F7A">
              <w:t>BARI 4</w:t>
            </w:r>
            <w:r w:rsidR="003506FA" w:rsidRPr="00853F7A">
              <w:t xml:space="preserve"> </w:t>
            </w:r>
            <w:r w:rsidRPr="00853F7A">
              <w:t xml:space="preserve">mg D </w:t>
            </w:r>
            <w:r w:rsidRPr="00917FFB">
              <w:rPr>
                <w:rFonts w:eastAsia="Times New Roman" w:cs="Arial"/>
                <w:iCs/>
                <w:szCs w:val="18"/>
              </w:rPr>
              <w:t>+TCS</w:t>
            </w:r>
          </w:p>
        </w:tc>
        <w:tc>
          <w:tcPr>
            <w:tcW w:w="551" w:type="pct"/>
            <w:vMerge/>
            <w:shd w:val="clear" w:color="auto" w:fill="auto"/>
            <w:vAlign w:val="center"/>
          </w:tcPr>
          <w:p w:rsidR="002B19AC" w:rsidRPr="00853F7A" w:rsidRDefault="002B19AC" w:rsidP="00DD1C36">
            <w:pPr>
              <w:pStyle w:val="TableText0"/>
              <w:widowControl w:val="0"/>
              <w:jc w:val="center"/>
            </w:pPr>
          </w:p>
        </w:tc>
        <w:tc>
          <w:tcPr>
            <w:tcW w:w="930" w:type="pct"/>
            <w:vMerge/>
            <w:shd w:val="clear" w:color="auto" w:fill="auto"/>
            <w:vAlign w:val="center"/>
          </w:tcPr>
          <w:p w:rsidR="002B19AC" w:rsidRPr="00853F7A" w:rsidRDefault="002B19AC" w:rsidP="00DD1C36">
            <w:pPr>
              <w:pStyle w:val="TableText0"/>
              <w:widowControl w:val="0"/>
              <w:jc w:val="center"/>
            </w:pPr>
          </w:p>
        </w:tc>
      </w:tr>
      <w:tr w:rsidR="00261F09" w:rsidRPr="00917FFB" w:rsidTr="00F80535">
        <w:trPr>
          <w:cantSplit/>
          <w:trHeight w:val="70"/>
        </w:trPr>
        <w:tc>
          <w:tcPr>
            <w:tcW w:w="540" w:type="pct"/>
            <w:vMerge/>
            <w:shd w:val="clear" w:color="auto" w:fill="auto"/>
            <w:vAlign w:val="center"/>
          </w:tcPr>
          <w:p w:rsidR="002B19AC" w:rsidRPr="00917FFB" w:rsidRDefault="002B19AC" w:rsidP="00DD1C36">
            <w:pPr>
              <w:pStyle w:val="TableText0"/>
              <w:widowControl w:val="0"/>
              <w:rPr>
                <w:iCs/>
                <w:szCs w:val="18"/>
              </w:rPr>
            </w:pPr>
          </w:p>
        </w:tc>
        <w:tc>
          <w:tcPr>
            <w:tcW w:w="465" w:type="pct"/>
            <w:vMerge/>
            <w:shd w:val="clear" w:color="auto" w:fill="auto"/>
            <w:vAlign w:val="center"/>
          </w:tcPr>
          <w:p w:rsidR="002B19AC" w:rsidRPr="00853F7A" w:rsidRDefault="002B19AC" w:rsidP="00DD1C36">
            <w:pPr>
              <w:pStyle w:val="TableText0"/>
              <w:widowControl w:val="0"/>
              <w:jc w:val="center"/>
            </w:pPr>
          </w:p>
        </w:tc>
        <w:tc>
          <w:tcPr>
            <w:tcW w:w="1091" w:type="pct"/>
            <w:vMerge/>
            <w:shd w:val="clear" w:color="auto" w:fill="auto"/>
            <w:vAlign w:val="center"/>
          </w:tcPr>
          <w:p w:rsidR="002B19AC" w:rsidRPr="00853F7A" w:rsidRDefault="002B19AC" w:rsidP="00DD1C36">
            <w:pPr>
              <w:pStyle w:val="TableText0"/>
              <w:widowControl w:val="0"/>
              <w:jc w:val="center"/>
            </w:pPr>
          </w:p>
        </w:tc>
        <w:tc>
          <w:tcPr>
            <w:tcW w:w="308" w:type="pct"/>
            <w:vMerge/>
            <w:shd w:val="clear" w:color="auto" w:fill="auto"/>
            <w:vAlign w:val="center"/>
          </w:tcPr>
          <w:p w:rsidR="002B19AC" w:rsidRPr="00853F7A" w:rsidRDefault="002B19AC" w:rsidP="00DD1C36">
            <w:pPr>
              <w:pStyle w:val="TableText0"/>
              <w:widowControl w:val="0"/>
              <w:jc w:val="center"/>
            </w:pPr>
          </w:p>
        </w:tc>
        <w:tc>
          <w:tcPr>
            <w:tcW w:w="1114" w:type="pct"/>
            <w:tcBorders>
              <w:top w:val="dashSmallGap" w:sz="4" w:space="0" w:color="auto"/>
            </w:tcBorders>
            <w:shd w:val="clear" w:color="auto" w:fill="auto"/>
            <w:vAlign w:val="center"/>
          </w:tcPr>
          <w:p w:rsidR="002B19AC" w:rsidRPr="00853F7A" w:rsidRDefault="002B19AC" w:rsidP="00DD1C36">
            <w:pPr>
              <w:pStyle w:val="TableText0"/>
              <w:widowControl w:val="0"/>
              <w:jc w:val="center"/>
            </w:pPr>
            <w:r w:rsidRPr="00853F7A">
              <w:t xml:space="preserve">PBO </w:t>
            </w:r>
            <w:r w:rsidRPr="00917FFB">
              <w:rPr>
                <w:rFonts w:eastAsia="Times New Roman" w:cs="Arial"/>
                <w:iCs/>
                <w:szCs w:val="18"/>
              </w:rPr>
              <w:t>+TCS</w:t>
            </w:r>
          </w:p>
        </w:tc>
        <w:tc>
          <w:tcPr>
            <w:tcW w:w="551" w:type="pct"/>
            <w:vMerge/>
            <w:shd w:val="clear" w:color="auto" w:fill="auto"/>
            <w:vAlign w:val="center"/>
          </w:tcPr>
          <w:p w:rsidR="002B19AC" w:rsidRPr="00853F7A" w:rsidRDefault="002B19AC" w:rsidP="00DD1C36">
            <w:pPr>
              <w:pStyle w:val="TableText0"/>
              <w:widowControl w:val="0"/>
              <w:jc w:val="center"/>
            </w:pPr>
          </w:p>
        </w:tc>
        <w:tc>
          <w:tcPr>
            <w:tcW w:w="930" w:type="pct"/>
            <w:vMerge/>
            <w:shd w:val="clear" w:color="auto" w:fill="auto"/>
            <w:vAlign w:val="center"/>
          </w:tcPr>
          <w:p w:rsidR="002B19AC" w:rsidRPr="00853F7A" w:rsidRDefault="002B19AC" w:rsidP="00DD1C36">
            <w:pPr>
              <w:pStyle w:val="TableText0"/>
              <w:widowControl w:val="0"/>
              <w:jc w:val="center"/>
            </w:pPr>
          </w:p>
        </w:tc>
      </w:tr>
      <w:tr w:rsidR="002B19AC" w:rsidRPr="00917FFB" w:rsidTr="005A699A">
        <w:trPr>
          <w:cantSplit/>
          <w:trHeight w:val="288"/>
        </w:trPr>
        <w:tc>
          <w:tcPr>
            <w:tcW w:w="5000" w:type="pct"/>
            <w:gridSpan w:val="7"/>
            <w:shd w:val="clear" w:color="auto" w:fill="auto"/>
            <w:vAlign w:val="center"/>
          </w:tcPr>
          <w:p w:rsidR="002B19AC" w:rsidRPr="00853F7A" w:rsidRDefault="002B19AC" w:rsidP="00DD1C36">
            <w:pPr>
              <w:pStyle w:val="TableText0"/>
              <w:widowControl w:val="0"/>
              <w:rPr>
                <w:b/>
              </w:rPr>
            </w:pPr>
            <w:r w:rsidRPr="00917FFB">
              <w:rPr>
                <w:b/>
                <w:iCs/>
                <w:szCs w:val="18"/>
              </w:rPr>
              <w:t>DUPI trials</w:t>
            </w:r>
          </w:p>
        </w:tc>
      </w:tr>
      <w:tr w:rsidR="00261F09" w:rsidRPr="00917FFB" w:rsidTr="00F80535">
        <w:trPr>
          <w:cantSplit/>
          <w:trHeight w:val="149"/>
        </w:trPr>
        <w:tc>
          <w:tcPr>
            <w:tcW w:w="540" w:type="pct"/>
            <w:vMerge w:val="restart"/>
            <w:shd w:val="clear" w:color="auto" w:fill="auto"/>
            <w:vAlign w:val="center"/>
          </w:tcPr>
          <w:p w:rsidR="002B19AC" w:rsidRPr="00853F7A" w:rsidRDefault="002B19AC" w:rsidP="00DD1C36">
            <w:pPr>
              <w:pStyle w:val="TableText0"/>
              <w:widowControl w:val="0"/>
            </w:pPr>
            <w:r w:rsidRPr="00917FFB">
              <w:rPr>
                <w:iCs/>
                <w:szCs w:val="18"/>
              </w:rPr>
              <w:t>Study 1021</w:t>
            </w:r>
          </w:p>
        </w:tc>
        <w:tc>
          <w:tcPr>
            <w:tcW w:w="465" w:type="pct"/>
            <w:vMerge w:val="restart"/>
            <w:shd w:val="clear" w:color="auto" w:fill="auto"/>
            <w:vAlign w:val="center"/>
          </w:tcPr>
          <w:p w:rsidR="002B19AC" w:rsidRPr="00853F7A" w:rsidRDefault="002B19AC" w:rsidP="00DD1C36">
            <w:pPr>
              <w:pStyle w:val="TableText0"/>
              <w:widowControl w:val="0"/>
              <w:jc w:val="center"/>
            </w:pPr>
            <w:r w:rsidRPr="00853F7A">
              <w:t>125*</w:t>
            </w:r>
          </w:p>
        </w:tc>
        <w:tc>
          <w:tcPr>
            <w:tcW w:w="1091" w:type="pct"/>
            <w:vMerge w:val="restart"/>
            <w:shd w:val="clear" w:color="auto" w:fill="auto"/>
            <w:vAlign w:val="center"/>
          </w:tcPr>
          <w:p w:rsidR="002B19AC" w:rsidRPr="00853F7A" w:rsidRDefault="002B19AC" w:rsidP="00DD1C36">
            <w:pPr>
              <w:pStyle w:val="TableText0"/>
              <w:widowControl w:val="0"/>
              <w:jc w:val="center"/>
            </w:pPr>
            <w:r w:rsidRPr="00853F7A">
              <w:t>P2b, R, MC, DB, PC 16wk, rescue therapy allowed^</w:t>
            </w:r>
          </w:p>
        </w:tc>
        <w:tc>
          <w:tcPr>
            <w:tcW w:w="308" w:type="pct"/>
            <w:vMerge w:val="restart"/>
            <w:shd w:val="clear" w:color="auto" w:fill="auto"/>
            <w:vAlign w:val="center"/>
          </w:tcPr>
          <w:p w:rsidR="002B19AC" w:rsidRPr="00853F7A" w:rsidRDefault="002B19AC" w:rsidP="00DD1C36">
            <w:pPr>
              <w:pStyle w:val="TableText0"/>
              <w:widowControl w:val="0"/>
              <w:jc w:val="center"/>
            </w:pPr>
            <w:r w:rsidRPr="00853F7A">
              <w:t>Low</w:t>
            </w:r>
          </w:p>
        </w:tc>
        <w:tc>
          <w:tcPr>
            <w:tcW w:w="1114" w:type="pct"/>
            <w:tcBorders>
              <w:bottom w:val="dashSmallGap" w:sz="4" w:space="0" w:color="auto"/>
            </w:tcBorders>
            <w:shd w:val="clear" w:color="auto" w:fill="auto"/>
            <w:vAlign w:val="center"/>
          </w:tcPr>
          <w:p w:rsidR="002B19AC" w:rsidRPr="00853F7A" w:rsidRDefault="002B19AC" w:rsidP="00DD1C36">
            <w:pPr>
              <w:pStyle w:val="TableText0"/>
              <w:widowControl w:val="0"/>
              <w:jc w:val="center"/>
              <w:rPr>
                <w:vertAlign w:val="superscript"/>
              </w:rPr>
            </w:pPr>
            <w:r w:rsidRPr="00853F7A">
              <w:t>DUPI 300</w:t>
            </w:r>
            <w:r w:rsidR="003506FA" w:rsidRPr="00853F7A">
              <w:t xml:space="preserve"> </w:t>
            </w:r>
            <w:r w:rsidRPr="00853F7A">
              <w:t>mg Q2W</w:t>
            </w:r>
            <w:r w:rsidRPr="00917FFB">
              <w:rPr>
                <w:vertAlign w:val="superscript"/>
              </w:rPr>
              <w:t>†</w:t>
            </w:r>
          </w:p>
        </w:tc>
        <w:tc>
          <w:tcPr>
            <w:tcW w:w="551" w:type="pct"/>
            <w:vMerge w:val="restart"/>
            <w:shd w:val="clear" w:color="auto" w:fill="auto"/>
            <w:vAlign w:val="center"/>
          </w:tcPr>
          <w:p w:rsidR="002B19AC" w:rsidRPr="00853F7A" w:rsidRDefault="002B19AC" w:rsidP="00DD1C36">
            <w:pPr>
              <w:pStyle w:val="TableText0"/>
              <w:widowControl w:val="0"/>
              <w:jc w:val="center"/>
            </w:pPr>
            <w:r w:rsidRPr="00853F7A">
              <w:t>Moderate to severe AD</w:t>
            </w:r>
          </w:p>
        </w:tc>
        <w:tc>
          <w:tcPr>
            <w:tcW w:w="930" w:type="pct"/>
            <w:vMerge w:val="restart"/>
            <w:shd w:val="clear" w:color="auto" w:fill="auto"/>
            <w:vAlign w:val="center"/>
          </w:tcPr>
          <w:p w:rsidR="002B19AC" w:rsidRPr="00853F7A" w:rsidRDefault="002B19AC" w:rsidP="00DD1C36">
            <w:pPr>
              <w:pStyle w:val="TableText0"/>
              <w:widowControl w:val="0"/>
              <w:jc w:val="center"/>
            </w:pPr>
            <w:r w:rsidRPr="00853F7A">
              <w:t>% change in investigator reported EASI at wk16</w:t>
            </w:r>
          </w:p>
        </w:tc>
      </w:tr>
      <w:tr w:rsidR="00261F09" w:rsidRPr="00917FFB" w:rsidTr="00F80535">
        <w:trPr>
          <w:cantSplit/>
          <w:trHeight w:val="357"/>
        </w:trPr>
        <w:tc>
          <w:tcPr>
            <w:tcW w:w="540" w:type="pct"/>
            <w:vMerge/>
            <w:shd w:val="clear" w:color="auto" w:fill="auto"/>
            <w:vAlign w:val="center"/>
          </w:tcPr>
          <w:p w:rsidR="002B19AC" w:rsidRPr="00917FFB" w:rsidRDefault="002B19AC" w:rsidP="00DD1C36">
            <w:pPr>
              <w:pStyle w:val="TableText0"/>
              <w:widowControl w:val="0"/>
              <w:rPr>
                <w:iCs/>
                <w:szCs w:val="18"/>
              </w:rPr>
            </w:pPr>
          </w:p>
        </w:tc>
        <w:tc>
          <w:tcPr>
            <w:tcW w:w="465" w:type="pct"/>
            <w:vMerge/>
            <w:shd w:val="clear" w:color="auto" w:fill="auto"/>
            <w:vAlign w:val="center"/>
          </w:tcPr>
          <w:p w:rsidR="002B19AC" w:rsidRPr="00853F7A" w:rsidRDefault="002B19AC" w:rsidP="00DD1C36">
            <w:pPr>
              <w:pStyle w:val="TableText0"/>
              <w:widowControl w:val="0"/>
              <w:jc w:val="center"/>
            </w:pPr>
          </w:p>
        </w:tc>
        <w:tc>
          <w:tcPr>
            <w:tcW w:w="1091" w:type="pct"/>
            <w:vMerge/>
            <w:shd w:val="clear" w:color="auto" w:fill="auto"/>
            <w:vAlign w:val="center"/>
          </w:tcPr>
          <w:p w:rsidR="002B19AC" w:rsidRPr="00853F7A" w:rsidRDefault="002B19AC" w:rsidP="00DD1C36">
            <w:pPr>
              <w:pStyle w:val="TableText0"/>
              <w:widowControl w:val="0"/>
              <w:jc w:val="center"/>
            </w:pPr>
          </w:p>
        </w:tc>
        <w:tc>
          <w:tcPr>
            <w:tcW w:w="308" w:type="pct"/>
            <w:vMerge/>
            <w:shd w:val="clear" w:color="auto" w:fill="auto"/>
            <w:vAlign w:val="center"/>
          </w:tcPr>
          <w:p w:rsidR="002B19AC" w:rsidRPr="00853F7A" w:rsidRDefault="002B19AC" w:rsidP="00DD1C36">
            <w:pPr>
              <w:pStyle w:val="TableText0"/>
              <w:widowControl w:val="0"/>
              <w:jc w:val="center"/>
            </w:pPr>
          </w:p>
        </w:tc>
        <w:tc>
          <w:tcPr>
            <w:tcW w:w="1114" w:type="pct"/>
            <w:tcBorders>
              <w:top w:val="dashSmallGap" w:sz="4" w:space="0" w:color="auto"/>
            </w:tcBorders>
            <w:shd w:val="clear" w:color="auto" w:fill="auto"/>
            <w:vAlign w:val="center"/>
          </w:tcPr>
          <w:p w:rsidR="002B19AC" w:rsidRPr="00853F7A" w:rsidRDefault="002B19AC" w:rsidP="00DD1C36">
            <w:pPr>
              <w:pStyle w:val="TableText0"/>
              <w:widowControl w:val="0"/>
              <w:jc w:val="center"/>
            </w:pPr>
            <w:r w:rsidRPr="00853F7A">
              <w:t>PBO</w:t>
            </w:r>
          </w:p>
        </w:tc>
        <w:tc>
          <w:tcPr>
            <w:tcW w:w="551" w:type="pct"/>
            <w:vMerge/>
            <w:shd w:val="clear" w:color="auto" w:fill="auto"/>
            <w:vAlign w:val="center"/>
          </w:tcPr>
          <w:p w:rsidR="002B19AC" w:rsidRPr="00853F7A" w:rsidRDefault="002B19AC" w:rsidP="00DD1C36">
            <w:pPr>
              <w:pStyle w:val="TableText0"/>
              <w:widowControl w:val="0"/>
              <w:jc w:val="center"/>
            </w:pPr>
          </w:p>
        </w:tc>
        <w:tc>
          <w:tcPr>
            <w:tcW w:w="930" w:type="pct"/>
            <w:vMerge/>
            <w:shd w:val="clear" w:color="auto" w:fill="auto"/>
            <w:vAlign w:val="center"/>
          </w:tcPr>
          <w:p w:rsidR="002B19AC" w:rsidRPr="00853F7A" w:rsidRDefault="002B19AC" w:rsidP="00DD1C36">
            <w:pPr>
              <w:pStyle w:val="TableText0"/>
              <w:widowControl w:val="0"/>
              <w:jc w:val="center"/>
            </w:pPr>
          </w:p>
        </w:tc>
      </w:tr>
      <w:tr w:rsidR="00261F09" w:rsidRPr="00917FFB" w:rsidTr="00F80535">
        <w:trPr>
          <w:cantSplit/>
          <w:trHeight w:val="125"/>
        </w:trPr>
        <w:tc>
          <w:tcPr>
            <w:tcW w:w="540" w:type="pct"/>
            <w:shd w:val="clear" w:color="auto" w:fill="auto"/>
            <w:vAlign w:val="center"/>
          </w:tcPr>
          <w:p w:rsidR="002B19AC" w:rsidRPr="00853F7A" w:rsidRDefault="002B19AC" w:rsidP="00DD1C36">
            <w:pPr>
              <w:pStyle w:val="TableText0"/>
              <w:widowControl w:val="0"/>
            </w:pPr>
            <w:r w:rsidRPr="00917FFB">
              <w:rPr>
                <w:iCs/>
                <w:szCs w:val="18"/>
              </w:rPr>
              <w:t>SOLO 1</w:t>
            </w:r>
          </w:p>
        </w:tc>
        <w:tc>
          <w:tcPr>
            <w:tcW w:w="465" w:type="pct"/>
            <w:shd w:val="clear" w:color="auto" w:fill="auto"/>
            <w:vAlign w:val="center"/>
          </w:tcPr>
          <w:p w:rsidR="002B19AC" w:rsidRPr="00853F7A" w:rsidRDefault="002B19AC" w:rsidP="00DD1C36">
            <w:pPr>
              <w:pStyle w:val="TableText0"/>
              <w:widowControl w:val="0"/>
              <w:jc w:val="center"/>
            </w:pPr>
            <w:r w:rsidRPr="00853F7A">
              <w:t>448*</w:t>
            </w:r>
          </w:p>
        </w:tc>
        <w:tc>
          <w:tcPr>
            <w:tcW w:w="1091" w:type="pct"/>
            <w:vMerge w:val="restart"/>
            <w:shd w:val="clear" w:color="auto" w:fill="auto"/>
            <w:vAlign w:val="center"/>
          </w:tcPr>
          <w:p w:rsidR="002B19AC" w:rsidRPr="00853F7A" w:rsidRDefault="002B19AC" w:rsidP="00DD1C36">
            <w:pPr>
              <w:pStyle w:val="TableText0"/>
              <w:widowControl w:val="0"/>
              <w:jc w:val="center"/>
            </w:pPr>
            <w:r w:rsidRPr="00853F7A">
              <w:t>P3, R, MC, DB, PC 16wk, rescue therapy allowed^</w:t>
            </w:r>
          </w:p>
        </w:tc>
        <w:tc>
          <w:tcPr>
            <w:tcW w:w="308" w:type="pct"/>
            <w:shd w:val="clear" w:color="auto" w:fill="auto"/>
            <w:vAlign w:val="center"/>
          </w:tcPr>
          <w:p w:rsidR="002B19AC" w:rsidRPr="00853F7A" w:rsidRDefault="002B19AC" w:rsidP="00DD1C36">
            <w:pPr>
              <w:pStyle w:val="TableText0"/>
              <w:widowControl w:val="0"/>
              <w:jc w:val="center"/>
            </w:pPr>
            <w:r w:rsidRPr="00853F7A">
              <w:t>Low</w:t>
            </w:r>
          </w:p>
        </w:tc>
        <w:tc>
          <w:tcPr>
            <w:tcW w:w="1114" w:type="pct"/>
            <w:tcBorders>
              <w:bottom w:val="dashSmallGap" w:sz="4" w:space="0" w:color="auto"/>
            </w:tcBorders>
            <w:shd w:val="clear" w:color="auto" w:fill="auto"/>
            <w:vAlign w:val="center"/>
          </w:tcPr>
          <w:p w:rsidR="002B19AC" w:rsidRPr="00853F7A" w:rsidRDefault="002B19AC" w:rsidP="00DD1C36">
            <w:pPr>
              <w:pStyle w:val="TableText0"/>
              <w:widowControl w:val="0"/>
              <w:jc w:val="center"/>
            </w:pPr>
            <w:r w:rsidRPr="00853F7A">
              <w:t>DUPI 300</w:t>
            </w:r>
            <w:r w:rsidR="003506FA" w:rsidRPr="00853F7A">
              <w:t xml:space="preserve"> </w:t>
            </w:r>
            <w:r w:rsidRPr="00853F7A">
              <w:t>mg Q2W</w:t>
            </w:r>
            <w:r w:rsidRPr="00917FFB">
              <w:rPr>
                <w:vertAlign w:val="superscript"/>
              </w:rPr>
              <w:t>†</w:t>
            </w:r>
          </w:p>
        </w:tc>
        <w:tc>
          <w:tcPr>
            <w:tcW w:w="551" w:type="pct"/>
            <w:vMerge w:val="restart"/>
            <w:shd w:val="clear" w:color="auto" w:fill="auto"/>
            <w:vAlign w:val="center"/>
          </w:tcPr>
          <w:p w:rsidR="002B19AC" w:rsidRPr="00853F7A" w:rsidRDefault="002B19AC" w:rsidP="00DD1C36">
            <w:pPr>
              <w:pStyle w:val="TableText0"/>
              <w:widowControl w:val="0"/>
              <w:jc w:val="center"/>
            </w:pPr>
            <w:r w:rsidRPr="00853F7A">
              <w:t>Moderate to severe AD</w:t>
            </w:r>
          </w:p>
        </w:tc>
        <w:tc>
          <w:tcPr>
            <w:tcW w:w="930" w:type="pct"/>
            <w:vMerge w:val="restart"/>
            <w:shd w:val="clear" w:color="auto" w:fill="auto"/>
            <w:vAlign w:val="center"/>
          </w:tcPr>
          <w:p w:rsidR="002B19AC" w:rsidRPr="00853F7A" w:rsidRDefault="002B19AC" w:rsidP="00DD1C36">
            <w:pPr>
              <w:pStyle w:val="TableText0"/>
              <w:widowControl w:val="0"/>
              <w:jc w:val="center"/>
            </w:pPr>
            <w:r w:rsidRPr="00853F7A">
              <w:t>IGA of 0 or 1</w:t>
            </w:r>
            <w:r w:rsidRPr="00853F7A">
              <w:rPr>
                <w:vertAlign w:val="superscript"/>
              </w:rPr>
              <w:t>a</w:t>
            </w:r>
            <w:r w:rsidRPr="00853F7A">
              <w:t xml:space="preserve"> and </w:t>
            </w:r>
          </w:p>
          <w:p w:rsidR="002B19AC" w:rsidRPr="00853F7A" w:rsidRDefault="002B19AC" w:rsidP="00DD1C36">
            <w:pPr>
              <w:pStyle w:val="TableText0"/>
              <w:widowControl w:val="0"/>
              <w:jc w:val="center"/>
            </w:pPr>
            <w:r w:rsidRPr="00853F7A">
              <w:t>EASI75</w:t>
            </w:r>
            <w:r w:rsidRPr="00853F7A">
              <w:rPr>
                <w:vertAlign w:val="superscript"/>
              </w:rPr>
              <w:t>§</w:t>
            </w:r>
            <w:r w:rsidRPr="00853F7A">
              <w:t xml:space="preserve"> at wk16</w:t>
            </w:r>
            <w:r w:rsidRPr="00853F7A">
              <w:rPr>
                <w:vertAlign w:val="superscript"/>
              </w:rPr>
              <w:t xml:space="preserve">b </w:t>
            </w:r>
          </w:p>
        </w:tc>
      </w:tr>
      <w:tr w:rsidR="00261F09" w:rsidRPr="00917FFB" w:rsidTr="00F80535">
        <w:trPr>
          <w:cantSplit/>
          <w:trHeight w:val="70"/>
        </w:trPr>
        <w:tc>
          <w:tcPr>
            <w:tcW w:w="540" w:type="pct"/>
            <w:shd w:val="clear" w:color="auto" w:fill="auto"/>
            <w:vAlign w:val="center"/>
          </w:tcPr>
          <w:p w:rsidR="002B19AC" w:rsidRPr="00853F7A" w:rsidRDefault="002B19AC" w:rsidP="00DD1C36">
            <w:pPr>
              <w:pStyle w:val="TableText0"/>
              <w:widowControl w:val="0"/>
            </w:pPr>
            <w:r w:rsidRPr="00917FFB">
              <w:rPr>
                <w:iCs/>
                <w:szCs w:val="18"/>
              </w:rPr>
              <w:t>SOLO 2</w:t>
            </w:r>
          </w:p>
        </w:tc>
        <w:tc>
          <w:tcPr>
            <w:tcW w:w="465" w:type="pct"/>
            <w:shd w:val="clear" w:color="auto" w:fill="auto"/>
            <w:vAlign w:val="center"/>
          </w:tcPr>
          <w:p w:rsidR="002B19AC" w:rsidRPr="00853F7A" w:rsidRDefault="002B19AC" w:rsidP="00DD1C36">
            <w:pPr>
              <w:pStyle w:val="TableText0"/>
              <w:widowControl w:val="0"/>
              <w:jc w:val="center"/>
            </w:pPr>
            <w:r w:rsidRPr="00853F7A">
              <w:t>469*</w:t>
            </w:r>
          </w:p>
        </w:tc>
        <w:tc>
          <w:tcPr>
            <w:tcW w:w="1091" w:type="pct"/>
            <w:vMerge/>
            <w:shd w:val="clear" w:color="auto" w:fill="auto"/>
            <w:vAlign w:val="center"/>
          </w:tcPr>
          <w:p w:rsidR="002B19AC" w:rsidRPr="00853F7A" w:rsidRDefault="002B19AC" w:rsidP="00DD1C36">
            <w:pPr>
              <w:pStyle w:val="TableText0"/>
              <w:widowControl w:val="0"/>
              <w:jc w:val="center"/>
            </w:pPr>
          </w:p>
        </w:tc>
        <w:tc>
          <w:tcPr>
            <w:tcW w:w="308" w:type="pct"/>
            <w:shd w:val="clear" w:color="auto" w:fill="auto"/>
            <w:vAlign w:val="center"/>
          </w:tcPr>
          <w:p w:rsidR="002B19AC" w:rsidRPr="00853F7A" w:rsidRDefault="002B19AC" w:rsidP="00DD1C36">
            <w:pPr>
              <w:pStyle w:val="TableText0"/>
              <w:widowControl w:val="0"/>
              <w:jc w:val="center"/>
            </w:pPr>
            <w:r w:rsidRPr="00853F7A">
              <w:t>Low</w:t>
            </w:r>
          </w:p>
        </w:tc>
        <w:tc>
          <w:tcPr>
            <w:tcW w:w="1114" w:type="pct"/>
            <w:tcBorders>
              <w:top w:val="dashSmallGap" w:sz="4" w:space="0" w:color="auto"/>
            </w:tcBorders>
            <w:shd w:val="clear" w:color="auto" w:fill="auto"/>
            <w:vAlign w:val="center"/>
          </w:tcPr>
          <w:p w:rsidR="002B19AC" w:rsidRPr="00853F7A" w:rsidRDefault="002B19AC" w:rsidP="00DD1C36">
            <w:pPr>
              <w:pStyle w:val="TableText0"/>
              <w:widowControl w:val="0"/>
              <w:jc w:val="center"/>
            </w:pPr>
            <w:r w:rsidRPr="00853F7A">
              <w:t>PBO</w:t>
            </w:r>
          </w:p>
        </w:tc>
        <w:tc>
          <w:tcPr>
            <w:tcW w:w="551" w:type="pct"/>
            <w:vMerge/>
            <w:shd w:val="clear" w:color="auto" w:fill="auto"/>
            <w:vAlign w:val="center"/>
          </w:tcPr>
          <w:p w:rsidR="002B19AC" w:rsidRPr="00853F7A" w:rsidRDefault="002B19AC" w:rsidP="00DD1C36">
            <w:pPr>
              <w:pStyle w:val="TableText0"/>
              <w:widowControl w:val="0"/>
              <w:jc w:val="center"/>
            </w:pPr>
          </w:p>
        </w:tc>
        <w:tc>
          <w:tcPr>
            <w:tcW w:w="930" w:type="pct"/>
            <w:vMerge/>
            <w:shd w:val="clear" w:color="auto" w:fill="auto"/>
            <w:vAlign w:val="center"/>
          </w:tcPr>
          <w:p w:rsidR="002B19AC" w:rsidRPr="00853F7A" w:rsidRDefault="002B19AC" w:rsidP="00DD1C36">
            <w:pPr>
              <w:pStyle w:val="TableText0"/>
              <w:widowControl w:val="0"/>
              <w:jc w:val="center"/>
            </w:pPr>
          </w:p>
        </w:tc>
      </w:tr>
      <w:tr w:rsidR="00261F09" w:rsidRPr="00917FFB" w:rsidTr="00F80535">
        <w:trPr>
          <w:cantSplit/>
          <w:trHeight w:val="70"/>
        </w:trPr>
        <w:tc>
          <w:tcPr>
            <w:tcW w:w="540" w:type="pct"/>
            <w:vMerge w:val="restart"/>
            <w:shd w:val="clear" w:color="auto" w:fill="auto"/>
            <w:vAlign w:val="center"/>
          </w:tcPr>
          <w:p w:rsidR="002B19AC" w:rsidRPr="00853F7A" w:rsidRDefault="002B19AC" w:rsidP="00DD1C36">
            <w:pPr>
              <w:pStyle w:val="TableText0"/>
              <w:widowControl w:val="0"/>
            </w:pPr>
            <w:r w:rsidRPr="00917FFB">
              <w:rPr>
                <w:iCs/>
                <w:szCs w:val="18"/>
              </w:rPr>
              <w:t xml:space="preserve">CAFÉ </w:t>
            </w:r>
          </w:p>
        </w:tc>
        <w:tc>
          <w:tcPr>
            <w:tcW w:w="465" w:type="pct"/>
            <w:vMerge w:val="restart"/>
            <w:shd w:val="clear" w:color="auto" w:fill="auto"/>
            <w:vAlign w:val="center"/>
          </w:tcPr>
          <w:p w:rsidR="002B19AC" w:rsidRPr="00853F7A" w:rsidRDefault="002B19AC" w:rsidP="00DD1C36">
            <w:pPr>
              <w:pStyle w:val="TableText0"/>
              <w:widowControl w:val="0"/>
              <w:jc w:val="center"/>
            </w:pPr>
            <w:r w:rsidRPr="00853F7A">
              <w:t>215</w:t>
            </w:r>
          </w:p>
        </w:tc>
        <w:tc>
          <w:tcPr>
            <w:tcW w:w="1091" w:type="pct"/>
            <w:vMerge w:val="restart"/>
            <w:shd w:val="clear" w:color="auto" w:fill="auto"/>
            <w:vAlign w:val="center"/>
          </w:tcPr>
          <w:p w:rsidR="002B19AC" w:rsidRPr="00853F7A" w:rsidRDefault="002B19AC" w:rsidP="00DD1C36">
            <w:pPr>
              <w:pStyle w:val="TableText0"/>
              <w:widowControl w:val="0"/>
              <w:jc w:val="center"/>
            </w:pPr>
            <w:r w:rsidRPr="00853F7A">
              <w:t>P3, R, MC, DB, PC 16wk, rescue therapy allowed^</w:t>
            </w:r>
          </w:p>
        </w:tc>
        <w:tc>
          <w:tcPr>
            <w:tcW w:w="308" w:type="pct"/>
            <w:vMerge w:val="restart"/>
            <w:shd w:val="clear" w:color="auto" w:fill="auto"/>
            <w:vAlign w:val="center"/>
          </w:tcPr>
          <w:p w:rsidR="002B19AC" w:rsidRPr="00853F7A" w:rsidRDefault="002B19AC" w:rsidP="00DD1C36">
            <w:pPr>
              <w:pStyle w:val="TableText0"/>
              <w:widowControl w:val="0"/>
              <w:jc w:val="center"/>
              <w:rPr>
                <w:highlight w:val="yellow"/>
              </w:rPr>
            </w:pPr>
            <w:r w:rsidRPr="00853F7A">
              <w:t>Low</w:t>
            </w:r>
          </w:p>
        </w:tc>
        <w:tc>
          <w:tcPr>
            <w:tcW w:w="1114" w:type="pct"/>
            <w:tcBorders>
              <w:top w:val="single" w:sz="4" w:space="0" w:color="auto"/>
              <w:bottom w:val="dashSmallGap" w:sz="4" w:space="0" w:color="auto"/>
            </w:tcBorders>
            <w:shd w:val="clear" w:color="auto" w:fill="auto"/>
            <w:vAlign w:val="center"/>
          </w:tcPr>
          <w:p w:rsidR="002B19AC" w:rsidRPr="00853F7A" w:rsidRDefault="002B19AC" w:rsidP="00DD1C36">
            <w:pPr>
              <w:pStyle w:val="TableText0"/>
              <w:widowControl w:val="0"/>
              <w:jc w:val="center"/>
            </w:pPr>
            <w:r w:rsidRPr="00853F7A">
              <w:t>DUPI 300</w:t>
            </w:r>
            <w:r w:rsidR="003506FA" w:rsidRPr="00853F7A">
              <w:t xml:space="preserve"> </w:t>
            </w:r>
            <w:r w:rsidRPr="00853F7A">
              <w:t>mg Q2W</w:t>
            </w:r>
            <w:r w:rsidRPr="00917FFB">
              <w:rPr>
                <w:vertAlign w:val="superscript"/>
              </w:rPr>
              <w:t>†</w:t>
            </w:r>
            <w:r w:rsidRPr="00853F7A">
              <w:t xml:space="preserve"> </w:t>
            </w:r>
            <w:r w:rsidRPr="00917FFB">
              <w:rPr>
                <w:rFonts w:eastAsia="Times New Roman" w:cs="Arial"/>
                <w:iCs/>
                <w:szCs w:val="18"/>
              </w:rPr>
              <w:t>+TCS</w:t>
            </w:r>
          </w:p>
        </w:tc>
        <w:tc>
          <w:tcPr>
            <w:tcW w:w="551" w:type="pct"/>
            <w:vMerge w:val="restart"/>
            <w:shd w:val="clear" w:color="auto" w:fill="auto"/>
            <w:vAlign w:val="center"/>
          </w:tcPr>
          <w:p w:rsidR="002B19AC" w:rsidRPr="00853F7A" w:rsidRDefault="002B19AC" w:rsidP="00DD1C36">
            <w:pPr>
              <w:pStyle w:val="TableText0"/>
              <w:widowControl w:val="0"/>
              <w:jc w:val="center"/>
            </w:pPr>
            <w:r w:rsidRPr="00853F7A">
              <w:t>Moderate to severe AD</w:t>
            </w:r>
          </w:p>
        </w:tc>
        <w:tc>
          <w:tcPr>
            <w:tcW w:w="930" w:type="pct"/>
            <w:vMerge w:val="restart"/>
            <w:shd w:val="clear" w:color="auto" w:fill="auto"/>
            <w:vAlign w:val="center"/>
          </w:tcPr>
          <w:p w:rsidR="002B19AC" w:rsidRPr="00853F7A" w:rsidRDefault="002B19AC" w:rsidP="00DD1C36">
            <w:pPr>
              <w:pStyle w:val="TableText0"/>
              <w:widowControl w:val="0"/>
              <w:jc w:val="center"/>
            </w:pPr>
            <w:r w:rsidRPr="00853F7A">
              <w:t>EASI75 at wk16</w:t>
            </w:r>
            <w:r w:rsidRPr="00853F7A">
              <w:rPr>
                <w:vertAlign w:val="superscript"/>
              </w:rPr>
              <w:t>b</w:t>
            </w:r>
          </w:p>
        </w:tc>
      </w:tr>
      <w:tr w:rsidR="00261F09" w:rsidRPr="00917FFB" w:rsidTr="00F80535">
        <w:trPr>
          <w:cantSplit/>
          <w:trHeight w:val="70"/>
        </w:trPr>
        <w:tc>
          <w:tcPr>
            <w:tcW w:w="540" w:type="pct"/>
            <w:vMerge/>
            <w:shd w:val="clear" w:color="auto" w:fill="auto"/>
            <w:vAlign w:val="center"/>
          </w:tcPr>
          <w:p w:rsidR="002B19AC" w:rsidRPr="00917FFB" w:rsidRDefault="002B19AC" w:rsidP="00DD1C36">
            <w:pPr>
              <w:pStyle w:val="TableText0"/>
              <w:widowControl w:val="0"/>
              <w:rPr>
                <w:iCs/>
                <w:szCs w:val="18"/>
              </w:rPr>
            </w:pPr>
          </w:p>
        </w:tc>
        <w:tc>
          <w:tcPr>
            <w:tcW w:w="465" w:type="pct"/>
            <w:vMerge/>
            <w:shd w:val="clear" w:color="auto" w:fill="auto"/>
            <w:vAlign w:val="center"/>
          </w:tcPr>
          <w:p w:rsidR="002B19AC" w:rsidRPr="00853F7A" w:rsidRDefault="002B19AC" w:rsidP="00DD1C36">
            <w:pPr>
              <w:pStyle w:val="TableText0"/>
              <w:widowControl w:val="0"/>
              <w:jc w:val="center"/>
            </w:pPr>
          </w:p>
        </w:tc>
        <w:tc>
          <w:tcPr>
            <w:tcW w:w="1091" w:type="pct"/>
            <w:vMerge/>
            <w:shd w:val="clear" w:color="auto" w:fill="auto"/>
            <w:vAlign w:val="center"/>
          </w:tcPr>
          <w:p w:rsidR="002B19AC" w:rsidRPr="00853F7A" w:rsidRDefault="002B19AC" w:rsidP="00DD1C36">
            <w:pPr>
              <w:pStyle w:val="TableText0"/>
              <w:widowControl w:val="0"/>
              <w:jc w:val="center"/>
            </w:pPr>
          </w:p>
        </w:tc>
        <w:tc>
          <w:tcPr>
            <w:tcW w:w="308" w:type="pct"/>
            <w:vMerge/>
            <w:shd w:val="clear" w:color="auto" w:fill="auto"/>
            <w:vAlign w:val="center"/>
          </w:tcPr>
          <w:p w:rsidR="002B19AC" w:rsidRPr="00853F7A" w:rsidRDefault="002B19AC" w:rsidP="00DD1C36">
            <w:pPr>
              <w:pStyle w:val="TableText0"/>
              <w:widowControl w:val="0"/>
              <w:jc w:val="center"/>
              <w:rPr>
                <w:highlight w:val="yellow"/>
              </w:rPr>
            </w:pPr>
          </w:p>
        </w:tc>
        <w:tc>
          <w:tcPr>
            <w:tcW w:w="1114" w:type="pct"/>
            <w:tcBorders>
              <w:top w:val="dashSmallGap" w:sz="4" w:space="0" w:color="auto"/>
              <w:bottom w:val="single" w:sz="4" w:space="0" w:color="auto"/>
            </w:tcBorders>
            <w:shd w:val="clear" w:color="auto" w:fill="auto"/>
            <w:vAlign w:val="center"/>
          </w:tcPr>
          <w:p w:rsidR="002B19AC" w:rsidRPr="00853F7A" w:rsidRDefault="002B19AC" w:rsidP="00DD1C36">
            <w:pPr>
              <w:pStyle w:val="TableText0"/>
              <w:widowControl w:val="0"/>
              <w:jc w:val="center"/>
            </w:pPr>
            <w:r w:rsidRPr="00853F7A">
              <w:t xml:space="preserve">PBO </w:t>
            </w:r>
            <w:r w:rsidRPr="00917FFB">
              <w:rPr>
                <w:rFonts w:eastAsia="Times New Roman" w:cs="Arial"/>
                <w:iCs/>
                <w:szCs w:val="18"/>
              </w:rPr>
              <w:t>+TCS</w:t>
            </w:r>
          </w:p>
        </w:tc>
        <w:tc>
          <w:tcPr>
            <w:tcW w:w="551" w:type="pct"/>
            <w:vMerge/>
            <w:shd w:val="clear" w:color="auto" w:fill="auto"/>
            <w:vAlign w:val="center"/>
          </w:tcPr>
          <w:p w:rsidR="002B19AC" w:rsidRPr="00853F7A" w:rsidRDefault="002B19AC" w:rsidP="00DD1C36">
            <w:pPr>
              <w:pStyle w:val="TableText0"/>
              <w:widowControl w:val="0"/>
              <w:jc w:val="center"/>
            </w:pPr>
          </w:p>
        </w:tc>
        <w:tc>
          <w:tcPr>
            <w:tcW w:w="930" w:type="pct"/>
            <w:vMerge/>
            <w:shd w:val="clear" w:color="auto" w:fill="auto"/>
            <w:vAlign w:val="center"/>
          </w:tcPr>
          <w:p w:rsidR="002B19AC" w:rsidRPr="00853F7A" w:rsidRDefault="002B19AC" w:rsidP="00DD1C36">
            <w:pPr>
              <w:pStyle w:val="TableText0"/>
              <w:widowControl w:val="0"/>
              <w:jc w:val="center"/>
            </w:pPr>
          </w:p>
        </w:tc>
      </w:tr>
      <w:tr w:rsidR="00261F09" w:rsidRPr="00917FFB" w:rsidTr="00F80535">
        <w:trPr>
          <w:cantSplit/>
          <w:trHeight w:val="70"/>
        </w:trPr>
        <w:tc>
          <w:tcPr>
            <w:tcW w:w="540" w:type="pct"/>
            <w:vMerge w:val="restart"/>
            <w:shd w:val="clear" w:color="auto" w:fill="auto"/>
            <w:vAlign w:val="center"/>
          </w:tcPr>
          <w:p w:rsidR="002B19AC" w:rsidRPr="00853F7A" w:rsidRDefault="002B19AC" w:rsidP="00DD1C36">
            <w:pPr>
              <w:pStyle w:val="TableText0"/>
              <w:widowControl w:val="0"/>
            </w:pPr>
            <w:r w:rsidRPr="00917FFB">
              <w:rPr>
                <w:iCs/>
                <w:szCs w:val="18"/>
              </w:rPr>
              <w:t>CHRONOS</w:t>
            </w:r>
          </w:p>
        </w:tc>
        <w:tc>
          <w:tcPr>
            <w:tcW w:w="465" w:type="pct"/>
            <w:vMerge w:val="restart"/>
            <w:shd w:val="clear" w:color="auto" w:fill="auto"/>
            <w:vAlign w:val="center"/>
          </w:tcPr>
          <w:p w:rsidR="002B19AC" w:rsidRPr="00853F7A" w:rsidRDefault="002B19AC" w:rsidP="00DD1C36">
            <w:pPr>
              <w:pStyle w:val="TableText0"/>
              <w:widowControl w:val="0"/>
              <w:jc w:val="center"/>
            </w:pPr>
            <w:r w:rsidRPr="00853F7A">
              <w:t>421</w:t>
            </w:r>
          </w:p>
        </w:tc>
        <w:tc>
          <w:tcPr>
            <w:tcW w:w="1091" w:type="pct"/>
            <w:vMerge w:val="restart"/>
            <w:shd w:val="clear" w:color="auto" w:fill="auto"/>
            <w:vAlign w:val="center"/>
          </w:tcPr>
          <w:p w:rsidR="002B19AC" w:rsidRPr="00853F7A" w:rsidRDefault="002B19AC" w:rsidP="00DD1C36">
            <w:pPr>
              <w:pStyle w:val="TableText0"/>
              <w:widowControl w:val="0"/>
              <w:jc w:val="center"/>
            </w:pPr>
            <w:r w:rsidRPr="00853F7A">
              <w:t>P3, R, MC, DB, PC 52wk, rescue therapy allowed &gt; wk 2</w:t>
            </w:r>
            <w:r w:rsidRPr="00853F7A">
              <w:rPr>
                <w:vertAlign w:val="superscript"/>
              </w:rPr>
              <w:t>#</w:t>
            </w:r>
          </w:p>
        </w:tc>
        <w:tc>
          <w:tcPr>
            <w:tcW w:w="308" w:type="pct"/>
            <w:vMerge w:val="restart"/>
            <w:shd w:val="clear" w:color="auto" w:fill="auto"/>
            <w:vAlign w:val="center"/>
          </w:tcPr>
          <w:p w:rsidR="002B19AC" w:rsidRPr="00853F7A" w:rsidRDefault="002B19AC" w:rsidP="00DD1C36">
            <w:pPr>
              <w:pStyle w:val="TableText0"/>
              <w:widowControl w:val="0"/>
              <w:jc w:val="center"/>
              <w:rPr>
                <w:highlight w:val="yellow"/>
              </w:rPr>
            </w:pPr>
            <w:r w:rsidRPr="00853F7A">
              <w:t>Low</w:t>
            </w:r>
          </w:p>
        </w:tc>
        <w:tc>
          <w:tcPr>
            <w:tcW w:w="1114" w:type="pct"/>
            <w:tcBorders>
              <w:top w:val="single" w:sz="4" w:space="0" w:color="auto"/>
              <w:bottom w:val="dashSmallGap" w:sz="4" w:space="0" w:color="auto"/>
            </w:tcBorders>
            <w:shd w:val="clear" w:color="auto" w:fill="auto"/>
            <w:vAlign w:val="center"/>
          </w:tcPr>
          <w:p w:rsidR="002B19AC" w:rsidRPr="00853F7A" w:rsidRDefault="002B19AC" w:rsidP="00DD1C36">
            <w:pPr>
              <w:pStyle w:val="TableText0"/>
              <w:widowControl w:val="0"/>
              <w:jc w:val="center"/>
            </w:pPr>
            <w:r w:rsidRPr="00853F7A">
              <w:t>DUPI 300</w:t>
            </w:r>
            <w:r w:rsidR="003506FA" w:rsidRPr="00853F7A">
              <w:t xml:space="preserve"> </w:t>
            </w:r>
            <w:r w:rsidRPr="00853F7A">
              <w:t>mg Q2W</w:t>
            </w:r>
            <w:r w:rsidRPr="00917FFB">
              <w:rPr>
                <w:vertAlign w:val="superscript"/>
              </w:rPr>
              <w:t>†</w:t>
            </w:r>
            <w:r w:rsidRPr="00853F7A">
              <w:t xml:space="preserve"> </w:t>
            </w:r>
            <w:r w:rsidRPr="00917FFB">
              <w:rPr>
                <w:rFonts w:eastAsia="Times New Roman" w:cs="Arial"/>
                <w:iCs/>
                <w:szCs w:val="18"/>
              </w:rPr>
              <w:t>+TCS</w:t>
            </w:r>
          </w:p>
        </w:tc>
        <w:tc>
          <w:tcPr>
            <w:tcW w:w="551" w:type="pct"/>
            <w:vMerge w:val="restart"/>
            <w:shd w:val="clear" w:color="auto" w:fill="auto"/>
            <w:vAlign w:val="center"/>
          </w:tcPr>
          <w:p w:rsidR="002B19AC" w:rsidRPr="00853F7A" w:rsidRDefault="002B19AC" w:rsidP="00DD1C36">
            <w:pPr>
              <w:pStyle w:val="TableText0"/>
              <w:widowControl w:val="0"/>
              <w:jc w:val="center"/>
            </w:pPr>
            <w:r w:rsidRPr="00853F7A">
              <w:t>Moderate to severe AD</w:t>
            </w:r>
          </w:p>
        </w:tc>
        <w:tc>
          <w:tcPr>
            <w:tcW w:w="930" w:type="pct"/>
            <w:vMerge w:val="restart"/>
            <w:shd w:val="clear" w:color="auto" w:fill="auto"/>
            <w:vAlign w:val="center"/>
          </w:tcPr>
          <w:p w:rsidR="002B19AC" w:rsidRPr="00853F7A" w:rsidRDefault="002B19AC" w:rsidP="00DD1C36">
            <w:pPr>
              <w:pStyle w:val="TableText0"/>
              <w:widowControl w:val="0"/>
              <w:jc w:val="center"/>
            </w:pPr>
            <w:r w:rsidRPr="00853F7A">
              <w:t>IGA of 0 or 1</w:t>
            </w:r>
            <w:r w:rsidRPr="00853F7A">
              <w:rPr>
                <w:vertAlign w:val="superscript"/>
              </w:rPr>
              <w:t>a</w:t>
            </w:r>
            <w:r w:rsidRPr="00853F7A">
              <w:t xml:space="preserve"> and </w:t>
            </w:r>
          </w:p>
          <w:p w:rsidR="002B19AC" w:rsidRPr="00853F7A" w:rsidRDefault="002B19AC" w:rsidP="00DD1C36">
            <w:pPr>
              <w:pStyle w:val="TableText0"/>
              <w:widowControl w:val="0"/>
              <w:jc w:val="center"/>
            </w:pPr>
            <w:r w:rsidRPr="00853F7A">
              <w:t>EASI75 at wk16</w:t>
            </w:r>
            <w:r w:rsidRPr="00853F7A">
              <w:rPr>
                <w:vertAlign w:val="superscript"/>
              </w:rPr>
              <w:t>b</w:t>
            </w:r>
          </w:p>
        </w:tc>
      </w:tr>
      <w:tr w:rsidR="00261F09" w:rsidRPr="00917FFB" w:rsidTr="00F80535">
        <w:trPr>
          <w:cantSplit/>
          <w:trHeight w:val="70"/>
        </w:trPr>
        <w:tc>
          <w:tcPr>
            <w:tcW w:w="540" w:type="pct"/>
            <w:vMerge/>
            <w:shd w:val="clear" w:color="auto" w:fill="auto"/>
            <w:vAlign w:val="center"/>
          </w:tcPr>
          <w:p w:rsidR="002B19AC" w:rsidRPr="00917FFB" w:rsidRDefault="002B19AC" w:rsidP="00DD1C36">
            <w:pPr>
              <w:pStyle w:val="TableText0"/>
              <w:widowControl w:val="0"/>
              <w:rPr>
                <w:iCs/>
                <w:szCs w:val="18"/>
              </w:rPr>
            </w:pPr>
          </w:p>
        </w:tc>
        <w:tc>
          <w:tcPr>
            <w:tcW w:w="465" w:type="pct"/>
            <w:vMerge/>
            <w:shd w:val="clear" w:color="auto" w:fill="auto"/>
            <w:vAlign w:val="center"/>
          </w:tcPr>
          <w:p w:rsidR="002B19AC" w:rsidRPr="00853F7A" w:rsidRDefault="002B19AC" w:rsidP="00DD1C36">
            <w:pPr>
              <w:pStyle w:val="TableText0"/>
              <w:widowControl w:val="0"/>
              <w:jc w:val="center"/>
            </w:pPr>
          </w:p>
        </w:tc>
        <w:tc>
          <w:tcPr>
            <w:tcW w:w="1091" w:type="pct"/>
            <w:vMerge/>
            <w:shd w:val="clear" w:color="auto" w:fill="auto"/>
            <w:vAlign w:val="center"/>
          </w:tcPr>
          <w:p w:rsidR="002B19AC" w:rsidRPr="00853F7A" w:rsidRDefault="002B19AC" w:rsidP="00DD1C36">
            <w:pPr>
              <w:pStyle w:val="TableText0"/>
              <w:widowControl w:val="0"/>
              <w:jc w:val="center"/>
            </w:pPr>
          </w:p>
        </w:tc>
        <w:tc>
          <w:tcPr>
            <w:tcW w:w="308" w:type="pct"/>
            <w:vMerge/>
            <w:shd w:val="clear" w:color="auto" w:fill="auto"/>
            <w:vAlign w:val="center"/>
          </w:tcPr>
          <w:p w:rsidR="002B19AC" w:rsidRPr="00853F7A" w:rsidRDefault="002B19AC" w:rsidP="00DD1C36">
            <w:pPr>
              <w:pStyle w:val="TableText0"/>
              <w:widowControl w:val="0"/>
              <w:jc w:val="center"/>
              <w:rPr>
                <w:highlight w:val="yellow"/>
              </w:rPr>
            </w:pPr>
          </w:p>
        </w:tc>
        <w:tc>
          <w:tcPr>
            <w:tcW w:w="1114" w:type="pct"/>
            <w:tcBorders>
              <w:top w:val="dashSmallGap" w:sz="4" w:space="0" w:color="auto"/>
              <w:bottom w:val="single" w:sz="4" w:space="0" w:color="auto"/>
            </w:tcBorders>
            <w:shd w:val="clear" w:color="auto" w:fill="auto"/>
            <w:vAlign w:val="center"/>
          </w:tcPr>
          <w:p w:rsidR="002B19AC" w:rsidRPr="00853F7A" w:rsidRDefault="002B19AC" w:rsidP="00DD1C36">
            <w:pPr>
              <w:pStyle w:val="TableText0"/>
              <w:widowControl w:val="0"/>
              <w:jc w:val="center"/>
            </w:pPr>
            <w:r w:rsidRPr="00853F7A">
              <w:t xml:space="preserve">PBO </w:t>
            </w:r>
            <w:r w:rsidRPr="00917FFB">
              <w:rPr>
                <w:rFonts w:eastAsia="Times New Roman" w:cs="Arial"/>
                <w:iCs/>
                <w:szCs w:val="18"/>
              </w:rPr>
              <w:t>+TCS</w:t>
            </w:r>
          </w:p>
        </w:tc>
        <w:tc>
          <w:tcPr>
            <w:tcW w:w="551" w:type="pct"/>
            <w:vMerge/>
            <w:shd w:val="clear" w:color="auto" w:fill="auto"/>
            <w:vAlign w:val="center"/>
          </w:tcPr>
          <w:p w:rsidR="002B19AC" w:rsidRPr="00853F7A" w:rsidRDefault="002B19AC" w:rsidP="00DD1C36">
            <w:pPr>
              <w:pStyle w:val="TableText0"/>
              <w:widowControl w:val="0"/>
              <w:jc w:val="center"/>
            </w:pPr>
          </w:p>
        </w:tc>
        <w:tc>
          <w:tcPr>
            <w:tcW w:w="930" w:type="pct"/>
            <w:vMerge/>
            <w:shd w:val="clear" w:color="auto" w:fill="auto"/>
            <w:vAlign w:val="center"/>
          </w:tcPr>
          <w:p w:rsidR="002B19AC" w:rsidRPr="00853F7A" w:rsidRDefault="002B19AC" w:rsidP="00DD1C36">
            <w:pPr>
              <w:pStyle w:val="TableText0"/>
              <w:widowControl w:val="0"/>
              <w:jc w:val="center"/>
            </w:pPr>
          </w:p>
        </w:tc>
      </w:tr>
      <w:tr w:rsidR="00261F09" w:rsidRPr="00917FFB" w:rsidTr="00F80535">
        <w:trPr>
          <w:cantSplit/>
          <w:trHeight w:val="70"/>
        </w:trPr>
        <w:tc>
          <w:tcPr>
            <w:tcW w:w="540" w:type="pct"/>
            <w:vMerge w:val="restart"/>
            <w:shd w:val="clear" w:color="auto" w:fill="auto"/>
            <w:vAlign w:val="center"/>
          </w:tcPr>
          <w:p w:rsidR="002B19AC" w:rsidRPr="00853F7A" w:rsidRDefault="002B19AC" w:rsidP="00DD1C36">
            <w:pPr>
              <w:pStyle w:val="TableText0"/>
              <w:widowControl w:val="0"/>
            </w:pPr>
            <w:r w:rsidRPr="00917FFB">
              <w:rPr>
                <w:iCs/>
                <w:szCs w:val="18"/>
              </w:rPr>
              <w:t>JADE Compare</w:t>
            </w:r>
          </w:p>
        </w:tc>
        <w:tc>
          <w:tcPr>
            <w:tcW w:w="465" w:type="pct"/>
            <w:vMerge w:val="restart"/>
            <w:shd w:val="clear" w:color="auto" w:fill="auto"/>
            <w:vAlign w:val="center"/>
          </w:tcPr>
          <w:p w:rsidR="002B19AC" w:rsidRPr="00853F7A" w:rsidRDefault="002B19AC" w:rsidP="00DD1C36">
            <w:pPr>
              <w:pStyle w:val="TableText0"/>
              <w:widowControl w:val="0"/>
              <w:jc w:val="center"/>
            </w:pPr>
            <w:r w:rsidRPr="00853F7A">
              <w:t>373*</w:t>
            </w:r>
          </w:p>
        </w:tc>
        <w:tc>
          <w:tcPr>
            <w:tcW w:w="1091" w:type="pct"/>
            <w:vMerge w:val="restart"/>
            <w:shd w:val="clear" w:color="auto" w:fill="auto"/>
            <w:vAlign w:val="center"/>
          </w:tcPr>
          <w:p w:rsidR="002B19AC" w:rsidRPr="00853F7A" w:rsidRDefault="002B19AC" w:rsidP="00DD1C36">
            <w:pPr>
              <w:pStyle w:val="TableText0"/>
              <w:widowControl w:val="0"/>
              <w:jc w:val="center"/>
            </w:pPr>
            <w:r w:rsidRPr="00853F7A">
              <w:t>P3, R, MC, DB, DD, PC, AC 16wk, use of rescue therapy not specified in protocol</w:t>
            </w:r>
          </w:p>
        </w:tc>
        <w:tc>
          <w:tcPr>
            <w:tcW w:w="308" w:type="pct"/>
            <w:vMerge w:val="restart"/>
            <w:shd w:val="clear" w:color="auto" w:fill="auto"/>
            <w:vAlign w:val="center"/>
          </w:tcPr>
          <w:p w:rsidR="002B19AC" w:rsidRPr="00853F7A" w:rsidRDefault="002B19AC" w:rsidP="00DD1C36">
            <w:pPr>
              <w:pStyle w:val="TableText0"/>
              <w:widowControl w:val="0"/>
              <w:jc w:val="center"/>
            </w:pPr>
            <w:r w:rsidRPr="00853F7A">
              <w:t>Low</w:t>
            </w:r>
          </w:p>
        </w:tc>
        <w:tc>
          <w:tcPr>
            <w:tcW w:w="1114" w:type="pct"/>
            <w:tcBorders>
              <w:top w:val="single" w:sz="4" w:space="0" w:color="auto"/>
              <w:bottom w:val="dashSmallGap" w:sz="4" w:space="0" w:color="auto"/>
            </w:tcBorders>
            <w:shd w:val="clear" w:color="auto" w:fill="auto"/>
            <w:vAlign w:val="center"/>
          </w:tcPr>
          <w:p w:rsidR="002B19AC" w:rsidRPr="00853F7A" w:rsidRDefault="002B19AC" w:rsidP="00DD1C36">
            <w:pPr>
              <w:pStyle w:val="TableText0"/>
              <w:widowControl w:val="0"/>
              <w:jc w:val="center"/>
            </w:pPr>
            <w:r w:rsidRPr="00853F7A">
              <w:t>DUPI 300</w:t>
            </w:r>
            <w:r w:rsidR="003506FA" w:rsidRPr="00853F7A">
              <w:t xml:space="preserve"> </w:t>
            </w:r>
            <w:r w:rsidRPr="00853F7A">
              <w:t>mg Q2W</w:t>
            </w:r>
            <w:r w:rsidRPr="00917FFB">
              <w:rPr>
                <w:vertAlign w:val="superscript"/>
              </w:rPr>
              <w:t>†</w:t>
            </w:r>
            <w:r w:rsidRPr="00853F7A">
              <w:t xml:space="preserve"> </w:t>
            </w:r>
            <w:r w:rsidRPr="00917FFB">
              <w:rPr>
                <w:rFonts w:eastAsia="Times New Roman" w:cs="Arial"/>
                <w:iCs/>
                <w:szCs w:val="18"/>
              </w:rPr>
              <w:t>+TCS</w:t>
            </w:r>
          </w:p>
        </w:tc>
        <w:tc>
          <w:tcPr>
            <w:tcW w:w="551" w:type="pct"/>
            <w:vMerge w:val="restart"/>
            <w:shd w:val="clear" w:color="auto" w:fill="auto"/>
            <w:vAlign w:val="center"/>
          </w:tcPr>
          <w:p w:rsidR="002B19AC" w:rsidRPr="00853F7A" w:rsidRDefault="002B19AC" w:rsidP="00DD1C36">
            <w:pPr>
              <w:pStyle w:val="TableText0"/>
              <w:widowControl w:val="0"/>
              <w:jc w:val="center"/>
            </w:pPr>
            <w:r w:rsidRPr="00853F7A">
              <w:t>Moderate to severe AD</w:t>
            </w:r>
          </w:p>
        </w:tc>
        <w:tc>
          <w:tcPr>
            <w:tcW w:w="930" w:type="pct"/>
            <w:vMerge w:val="restart"/>
            <w:shd w:val="clear" w:color="auto" w:fill="auto"/>
            <w:vAlign w:val="center"/>
          </w:tcPr>
          <w:p w:rsidR="002B19AC" w:rsidRPr="00853F7A" w:rsidRDefault="002B19AC" w:rsidP="00DD1C36">
            <w:pPr>
              <w:pStyle w:val="TableText0"/>
              <w:widowControl w:val="0"/>
              <w:jc w:val="center"/>
            </w:pPr>
            <w:r w:rsidRPr="00853F7A">
              <w:t>IGA of 0 or 1</w:t>
            </w:r>
            <w:r w:rsidRPr="00853F7A">
              <w:rPr>
                <w:vertAlign w:val="superscript"/>
              </w:rPr>
              <w:t>a</w:t>
            </w:r>
            <w:r w:rsidRPr="00853F7A">
              <w:t xml:space="preserve"> and </w:t>
            </w:r>
          </w:p>
          <w:p w:rsidR="002B19AC" w:rsidRPr="00853F7A" w:rsidRDefault="002B19AC" w:rsidP="00DD1C36">
            <w:pPr>
              <w:pStyle w:val="TableText0"/>
              <w:widowControl w:val="0"/>
              <w:jc w:val="center"/>
            </w:pPr>
            <w:r w:rsidRPr="00853F7A">
              <w:t>EASI75 at wk12</w:t>
            </w:r>
            <w:r w:rsidRPr="00853F7A">
              <w:rPr>
                <w:vertAlign w:val="superscript"/>
              </w:rPr>
              <w:t>b</w:t>
            </w:r>
          </w:p>
        </w:tc>
      </w:tr>
      <w:tr w:rsidR="00261F09" w:rsidRPr="00917FFB" w:rsidTr="00F80535">
        <w:trPr>
          <w:cantSplit/>
          <w:trHeight w:val="70"/>
        </w:trPr>
        <w:tc>
          <w:tcPr>
            <w:tcW w:w="540" w:type="pct"/>
            <w:vMerge/>
            <w:shd w:val="clear" w:color="auto" w:fill="auto"/>
            <w:vAlign w:val="center"/>
          </w:tcPr>
          <w:p w:rsidR="002B19AC" w:rsidRPr="00917FFB" w:rsidRDefault="002B19AC" w:rsidP="0019155D">
            <w:pPr>
              <w:pStyle w:val="TableText0"/>
              <w:keepNext w:val="0"/>
              <w:widowControl w:val="0"/>
              <w:rPr>
                <w:iCs/>
                <w:szCs w:val="18"/>
              </w:rPr>
            </w:pPr>
          </w:p>
        </w:tc>
        <w:tc>
          <w:tcPr>
            <w:tcW w:w="465" w:type="pct"/>
            <w:vMerge/>
            <w:shd w:val="clear" w:color="auto" w:fill="auto"/>
            <w:vAlign w:val="center"/>
          </w:tcPr>
          <w:p w:rsidR="002B19AC" w:rsidRPr="00853F7A" w:rsidRDefault="002B19AC" w:rsidP="0019155D">
            <w:pPr>
              <w:pStyle w:val="TableText0"/>
              <w:keepNext w:val="0"/>
              <w:widowControl w:val="0"/>
              <w:jc w:val="center"/>
            </w:pPr>
          </w:p>
        </w:tc>
        <w:tc>
          <w:tcPr>
            <w:tcW w:w="1091" w:type="pct"/>
            <w:vMerge/>
            <w:shd w:val="clear" w:color="auto" w:fill="auto"/>
            <w:vAlign w:val="center"/>
          </w:tcPr>
          <w:p w:rsidR="002B19AC" w:rsidRPr="00853F7A" w:rsidRDefault="002B19AC" w:rsidP="0019155D">
            <w:pPr>
              <w:pStyle w:val="TableText0"/>
              <w:keepNext w:val="0"/>
              <w:widowControl w:val="0"/>
              <w:jc w:val="center"/>
            </w:pPr>
          </w:p>
        </w:tc>
        <w:tc>
          <w:tcPr>
            <w:tcW w:w="308" w:type="pct"/>
            <w:vMerge/>
            <w:shd w:val="clear" w:color="auto" w:fill="auto"/>
            <w:vAlign w:val="center"/>
          </w:tcPr>
          <w:p w:rsidR="002B19AC" w:rsidRPr="00853F7A" w:rsidRDefault="002B19AC" w:rsidP="0019155D">
            <w:pPr>
              <w:pStyle w:val="TableText0"/>
              <w:keepNext w:val="0"/>
              <w:widowControl w:val="0"/>
              <w:jc w:val="center"/>
            </w:pPr>
          </w:p>
        </w:tc>
        <w:tc>
          <w:tcPr>
            <w:tcW w:w="1114" w:type="pct"/>
            <w:tcBorders>
              <w:top w:val="dashSmallGap" w:sz="4" w:space="0" w:color="auto"/>
              <w:bottom w:val="single" w:sz="4" w:space="0" w:color="auto"/>
            </w:tcBorders>
            <w:shd w:val="clear" w:color="auto" w:fill="auto"/>
            <w:vAlign w:val="center"/>
          </w:tcPr>
          <w:p w:rsidR="002B19AC" w:rsidRPr="00853F7A" w:rsidRDefault="002B19AC" w:rsidP="0019155D">
            <w:pPr>
              <w:pStyle w:val="TableText0"/>
              <w:keepNext w:val="0"/>
              <w:widowControl w:val="0"/>
              <w:jc w:val="center"/>
            </w:pPr>
            <w:r w:rsidRPr="00853F7A">
              <w:t xml:space="preserve">PBO </w:t>
            </w:r>
            <w:r w:rsidRPr="00917FFB">
              <w:rPr>
                <w:rFonts w:eastAsia="Times New Roman" w:cs="Arial"/>
                <w:iCs/>
                <w:szCs w:val="18"/>
              </w:rPr>
              <w:t>+TCS</w:t>
            </w:r>
          </w:p>
        </w:tc>
        <w:tc>
          <w:tcPr>
            <w:tcW w:w="551" w:type="pct"/>
            <w:vMerge/>
            <w:shd w:val="clear" w:color="auto" w:fill="auto"/>
            <w:vAlign w:val="center"/>
          </w:tcPr>
          <w:p w:rsidR="002B19AC" w:rsidRPr="00853F7A" w:rsidRDefault="002B19AC" w:rsidP="0019155D">
            <w:pPr>
              <w:pStyle w:val="TableText0"/>
              <w:keepNext w:val="0"/>
              <w:widowControl w:val="0"/>
              <w:jc w:val="center"/>
            </w:pPr>
          </w:p>
        </w:tc>
        <w:tc>
          <w:tcPr>
            <w:tcW w:w="930" w:type="pct"/>
            <w:vMerge/>
            <w:shd w:val="clear" w:color="auto" w:fill="auto"/>
            <w:vAlign w:val="center"/>
          </w:tcPr>
          <w:p w:rsidR="002B19AC" w:rsidRPr="00853F7A" w:rsidRDefault="002B19AC" w:rsidP="0019155D">
            <w:pPr>
              <w:pStyle w:val="TableText0"/>
              <w:keepNext w:val="0"/>
              <w:widowControl w:val="0"/>
              <w:jc w:val="center"/>
            </w:pPr>
          </w:p>
        </w:tc>
      </w:tr>
    </w:tbl>
    <w:p w:rsidR="002B19AC" w:rsidRPr="00917FFB" w:rsidRDefault="002B19AC" w:rsidP="002B19AC">
      <w:pPr>
        <w:pStyle w:val="TableFigureFooter"/>
        <w:widowControl w:val="0"/>
      </w:pPr>
      <w:r w:rsidRPr="00917FFB">
        <w:t>Source: Tables 2.2-2, 2.2-3 &amp; 2.2-4, pp83-87 &amp; 90-92, text on pp81,</w:t>
      </w:r>
      <w:r w:rsidR="00B80BEF" w:rsidRPr="00917FFB">
        <w:t xml:space="preserve"> </w:t>
      </w:r>
      <w:r w:rsidRPr="00917FFB">
        <w:t>85,</w:t>
      </w:r>
      <w:r w:rsidR="00B80BEF" w:rsidRPr="00917FFB">
        <w:t xml:space="preserve"> </w:t>
      </w:r>
      <w:r w:rsidRPr="00917FFB">
        <w:t>88-89 of the submission and related publications/CSRs/protocols.</w:t>
      </w:r>
    </w:p>
    <w:p w:rsidR="002B19AC" w:rsidRPr="00917FFB" w:rsidRDefault="004C2C71" w:rsidP="002B19AC">
      <w:pPr>
        <w:pStyle w:val="TableFigureFooter"/>
        <w:widowControl w:val="0"/>
      </w:pPr>
      <w:r>
        <w:t xml:space="preserve">Abbreviations: </w:t>
      </w:r>
      <w:r w:rsidR="002B19AC" w:rsidRPr="00917FFB">
        <w:t>P2/3=phase 2 or 3; DB=double blind; DD=double dummy; MC=multi-centre; R=randomised; PC=placebo-controlled; AC=active control; SOC=standard-of-care; TCS=topical corticosteroids; wk=week; BARI=baricitinib; DUPI=dupilumab; TCS=topical corticosteroids; PBO=placebo; D=once daily; Q2W=once every 2 weeks; IGA =</w:t>
      </w:r>
      <w:r w:rsidR="007E2360">
        <w:t>I</w:t>
      </w:r>
      <w:r w:rsidR="002B19AC" w:rsidRPr="00917FFB">
        <w:t xml:space="preserve">nvestigator’s </w:t>
      </w:r>
      <w:r w:rsidR="007E2360">
        <w:t>G</w:t>
      </w:r>
      <w:r w:rsidR="002B19AC" w:rsidRPr="00917FFB">
        <w:t xml:space="preserve">lobal </w:t>
      </w:r>
      <w:r w:rsidR="007E2360">
        <w:t>A</w:t>
      </w:r>
      <w:r w:rsidR="002B19AC" w:rsidRPr="00917FFB">
        <w:t>ssessment; EASI=Eczema Area and Severity Index; EASI50/75 = improvement of at least 50/75% from baseline in Eczema Area and Severity Index.</w:t>
      </w:r>
    </w:p>
    <w:p w:rsidR="002B19AC" w:rsidRPr="00917FFB" w:rsidRDefault="002B19AC" w:rsidP="002B19AC">
      <w:pPr>
        <w:pStyle w:val="TableFigureFooter"/>
        <w:widowControl w:val="0"/>
      </w:pPr>
      <w:r w:rsidRPr="00917FFB">
        <w:rPr>
          <w:vertAlign w:val="superscript"/>
        </w:rPr>
        <w:t>a</w:t>
      </w:r>
      <w:r w:rsidRPr="00917FFB">
        <w:t xml:space="preserve"> Proportion of patients achieving IGA of 0 or 1 with a ≥2-point improvement (i.e.: from a baseline of 3 or 4 on the 5-point IGA scale)</w:t>
      </w:r>
    </w:p>
    <w:p w:rsidR="002B19AC" w:rsidRPr="00917FFB" w:rsidRDefault="002B19AC" w:rsidP="002B19AC">
      <w:pPr>
        <w:pStyle w:val="TableFigureFooter"/>
        <w:widowControl w:val="0"/>
        <w:rPr>
          <w:vertAlign w:val="superscript"/>
        </w:rPr>
      </w:pPr>
      <w:r w:rsidRPr="00917FFB">
        <w:rPr>
          <w:vertAlign w:val="superscript"/>
        </w:rPr>
        <w:t xml:space="preserve">b </w:t>
      </w:r>
      <w:r w:rsidRPr="00917FFB">
        <w:t xml:space="preserve">At least 50/75% improvement/reduction from baseline in EASI score. </w:t>
      </w:r>
    </w:p>
    <w:p w:rsidR="002B19AC" w:rsidRPr="00917FFB" w:rsidRDefault="002B19AC" w:rsidP="002B19AC">
      <w:pPr>
        <w:pStyle w:val="TableFigureFooter"/>
        <w:widowControl w:val="0"/>
      </w:pPr>
      <w:r w:rsidRPr="00917FFB">
        <w:t>* Excluding patients randomised to the following treatment arms: BARI 1mg, DUPI 300</w:t>
      </w:r>
      <w:r w:rsidR="001A7072" w:rsidRPr="00917FFB">
        <w:t xml:space="preserve"> </w:t>
      </w:r>
      <w:r w:rsidRPr="00917FFB">
        <w:t>mg weekly/200</w:t>
      </w:r>
      <w:r w:rsidR="001A7072" w:rsidRPr="00917FFB">
        <w:t xml:space="preserve"> </w:t>
      </w:r>
      <w:r w:rsidRPr="00917FFB">
        <w:t>mg every 2 weeks/100</w:t>
      </w:r>
      <w:r w:rsidR="001A7072" w:rsidRPr="00917FFB">
        <w:t xml:space="preserve"> </w:t>
      </w:r>
      <w:r w:rsidRPr="00917FFB">
        <w:t>mg every 4 weeks or abrocitinib 100 or 200</w:t>
      </w:r>
      <w:r w:rsidR="001A7072" w:rsidRPr="00917FFB">
        <w:t xml:space="preserve"> </w:t>
      </w:r>
      <w:r w:rsidRPr="00917FFB">
        <w:t xml:space="preserve">mg daily. </w:t>
      </w:r>
    </w:p>
    <w:p w:rsidR="002B19AC" w:rsidRPr="00917FFB" w:rsidRDefault="002B19AC" w:rsidP="002B19AC">
      <w:pPr>
        <w:pStyle w:val="TableFigureFooter"/>
        <w:widowControl w:val="0"/>
      </w:pPr>
      <w:r w:rsidRPr="00917FFB">
        <w:rPr>
          <w:vertAlign w:val="superscript"/>
        </w:rPr>
        <w:t>†</w:t>
      </w:r>
      <w:r w:rsidRPr="00917FFB">
        <w:t xml:space="preserve"> DUPI dosing comprised 600</w:t>
      </w:r>
      <w:r w:rsidR="001A7072" w:rsidRPr="00917FFB">
        <w:t xml:space="preserve"> </w:t>
      </w:r>
      <w:r w:rsidRPr="00917FFB">
        <w:t>mg loading, then 300</w:t>
      </w:r>
      <w:r w:rsidR="001A7072" w:rsidRPr="00917FFB">
        <w:t xml:space="preserve"> </w:t>
      </w:r>
      <w:r w:rsidRPr="00917FFB">
        <w:t>mg every 2 weeks thereafter.</w:t>
      </w:r>
    </w:p>
    <w:p w:rsidR="002B19AC" w:rsidRPr="00917FFB" w:rsidRDefault="002B19AC" w:rsidP="002B19AC">
      <w:pPr>
        <w:pStyle w:val="TableFigureFooter"/>
        <w:widowControl w:val="0"/>
      </w:pPr>
      <w:r w:rsidRPr="00917FFB">
        <w:t xml:space="preserve">^ Protocols allowed investigators to rescue patients who were experiencing unacceptable or worsening of symptoms at any time (time frames from study start not specified). Patients who received rescue therapy were discontinued from study treatment and considered non-responders. </w:t>
      </w:r>
    </w:p>
    <w:p w:rsidR="002B19AC" w:rsidRPr="00917FFB" w:rsidRDefault="002B19AC" w:rsidP="002B19AC">
      <w:pPr>
        <w:pStyle w:val="TableFigureFooter"/>
        <w:widowControl w:val="0"/>
      </w:pPr>
      <w:r w:rsidRPr="00853F7A">
        <w:rPr>
          <w:vertAlign w:val="superscript"/>
        </w:rPr>
        <w:t>§</w:t>
      </w:r>
      <w:r w:rsidRPr="00853F7A">
        <w:t xml:space="preserve"> EASI 75 was a coprimary outcome in EU and Japan and a key secondary outcome elsewhere.</w:t>
      </w:r>
    </w:p>
    <w:p w:rsidR="002B19AC" w:rsidRPr="00917FFB" w:rsidRDefault="002B19AC" w:rsidP="002B19AC">
      <w:pPr>
        <w:pStyle w:val="TableFigureFooter"/>
        <w:widowControl w:val="0"/>
      </w:pPr>
      <w:r w:rsidRPr="00917FFB">
        <w:rPr>
          <w:vertAlign w:val="superscript"/>
        </w:rPr>
        <w:t>#</w:t>
      </w:r>
      <w:r w:rsidRPr="00917FFB">
        <w:t xml:space="preserve"> Rescue medication was imputed using a multiple imputation model with ANCOVA.</w:t>
      </w:r>
      <w:r w:rsidRPr="000D2978">
        <w:t xml:space="preserve"> D</w:t>
      </w:r>
      <w:r w:rsidRPr="00917FFB">
        <w:t>ata after rescue treatment were set to missing and then imputed with treatment, randomisation strata, and the corresponding baseline value of the endpoint included in the model.</w:t>
      </w:r>
    </w:p>
    <w:p w:rsidR="00FD0AD8" w:rsidRPr="00917FFB" w:rsidRDefault="00647EC7" w:rsidP="00E63D65">
      <w:pPr>
        <w:pStyle w:val="3-BodyText"/>
        <w:rPr>
          <w:i/>
        </w:rPr>
      </w:pPr>
      <w:r w:rsidRPr="00917FFB">
        <w:rPr>
          <w:iCs/>
        </w:rPr>
        <w:t xml:space="preserve">All trials were phase 2/2b or 3, multicentre, randomised, </w:t>
      </w:r>
      <w:r w:rsidR="0001324E" w:rsidRPr="00917FFB">
        <w:rPr>
          <w:iCs/>
        </w:rPr>
        <w:t>PBO</w:t>
      </w:r>
      <w:r w:rsidRPr="00917FFB">
        <w:rPr>
          <w:iCs/>
        </w:rPr>
        <w:t xml:space="preserve"> and/or active controlled (JADE Compare only), parallel group with a double-blind phase of at least 16 weeks. Patients had moderate-to-severe AD and were required to have experienced an inadequate response to TCS</w:t>
      </w:r>
      <w:r w:rsidR="001D58B4" w:rsidRPr="00917FFB">
        <w:rPr>
          <w:iCs/>
        </w:rPr>
        <w:t xml:space="preserve"> (at least 6 months)</w:t>
      </w:r>
      <w:r w:rsidR="00A7591B" w:rsidRPr="00917FFB">
        <w:rPr>
          <w:iCs/>
        </w:rPr>
        <w:t>.</w:t>
      </w:r>
      <w:r w:rsidR="00FD0AD8" w:rsidRPr="00917FFB">
        <w:rPr>
          <w:i/>
        </w:rPr>
        <w:t xml:space="preserve"> </w:t>
      </w:r>
      <w:r w:rsidR="00F646AC" w:rsidRPr="00917FFB">
        <w:rPr>
          <w:rFonts w:eastAsia="TimesNewRoman"/>
          <w:iCs/>
        </w:rPr>
        <w:t xml:space="preserve">Concomitant use of daily emollients was allowed and encouraged in all trials, but concomitant use of TCS was allowed in the three BARI trials (BREEZE-AD4, BREEZE-AD7 and JAHG) and three DUPI trials (CAFÉ, CHRONOS and JADE Compare). </w:t>
      </w:r>
      <w:r w:rsidR="00594C77" w:rsidRPr="00917FFB">
        <w:rPr>
          <w:iCs/>
        </w:rPr>
        <w:t xml:space="preserve">Rescue therapy was allowed prior to the primary endpoint in most trials, but patients who received rescue therapy were considered non-responders for categorical endpoints. </w:t>
      </w:r>
      <w:r w:rsidR="00FD0AD8" w:rsidRPr="00917FFB">
        <w:t>There was some variability in selection criteria across trials with respect to the definitions of moderate-to-severe AD</w:t>
      </w:r>
      <w:r w:rsidR="003B1D24" w:rsidRPr="00917FFB">
        <w:t xml:space="preserve">, but </w:t>
      </w:r>
      <w:r w:rsidR="00F646AC" w:rsidRPr="00917FFB">
        <w:t>baseline</w:t>
      </w:r>
      <w:r w:rsidR="003B1D24" w:rsidRPr="00917FFB">
        <w:t xml:space="preserve"> characteristics</w:t>
      </w:r>
      <w:r w:rsidR="00F646AC" w:rsidRPr="00917FFB">
        <w:t xml:space="preserve"> of enrolled patients</w:t>
      </w:r>
      <w:r w:rsidR="003B1D24" w:rsidRPr="00917FFB">
        <w:t xml:space="preserve"> were generally similar across the trials</w:t>
      </w:r>
      <w:r w:rsidR="00594C77" w:rsidRPr="00917FFB">
        <w:t>.</w:t>
      </w:r>
      <w:r w:rsidR="00C16AFE" w:rsidRPr="00917FFB">
        <w:t xml:space="preserve"> The ESC </w:t>
      </w:r>
      <w:r w:rsidR="001A50B9" w:rsidRPr="00917FFB">
        <w:t xml:space="preserve">recalled that the PBAC previously considered standard of care includes concomitant TCS, (para 5.1, DUPI PSD, July 2018 PBAC meeting) and </w:t>
      </w:r>
      <w:r w:rsidR="00C16AFE" w:rsidRPr="00917FFB">
        <w:t>considered that the trials that allowed ongoing use of TCS were the most relevant to Australian clinical practice, where TCS would be expected to be continued in combination with BARI.</w:t>
      </w:r>
      <w:r w:rsidR="001A50B9" w:rsidRPr="00917FFB">
        <w:rPr>
          <w:i/>
        </w:rPr>
        <w:t xml:space="preserve"> </w:t>
      </w:r>
    </w:p>
    <w:p w:rsidR="003B1D24" w:rsidRPr="00917FFB" w:rsidRDefault="00F646AC" w:rsidP="003D7F94">
      <w:pPr>
        <w:pStyle w:val="3-BodyText"/>
      </w:pPr>
      <w:r w:rsidRPr="00917FFB">
        <w:t>Patients who completed the 16-week treatment period of BREEZE-AD1, BREEZE-AD2 or BREEZE-AD7 were eligible to enrol in the long-term extension trial BREEZE-AD3. In an open-label addendum to the trial protocol, patients who did not complete the treatment period of an originating trial were also eligible to receive open-label BARI 2</w:t>
      </w:r>
      <w:r w:rsidR="003506FA" w:rsidRPr="00917FFB">
        <w:t> </w:t>
      </w:r>
      <w:r w:rsidRPr="00917FFB">
        <w:t>mg for 52 weeks.</w:t>
      </w:r>
      <w:r w:rsidR="003D7F94" w:rsidRPr="00917FFB">
        <w:t xml:space="preserve"> R</w:t>
      </w:r>
      <w:r w:rsidR="003D7F94" w:rsidRPr="00917FFB">
        <w:rPr>
          <w:iCs/>
        </w:rPr>
        <w:t>esponders or partial responders (defined by Investigator’s Global Assessment, IGA) in the originating trials continued the same BARI dose, and non-responders were re-randomised to BARI 2</w:t>
      </w:r>
      <w:r w:rsidR="00C16AFE" w:rsidRPr="00917FFB">
        <w:rPr>
          <w:iCs/>
        </w:rPr>
        <w:t xml:space="preserve"> </w:t>
      </w:r>
      <w:r w:rsidR="003D7F94" w:rsidRPr="00917FFB">
        <w:rPr>
          <w:iCs/>
        </w:rPr>
        <w:t>mg or 4</w:t>
      </w:r>
      <w:r w:rsidR="00C16AFE" w:rsidRPr="00917FFB">
        <w:rPr>
          <w:iCs/>
        </w:rPr>
        <w:t xml:space="preserve"> </w:t>
      </w:r>
      <w:r w:rsidR="003D7F94" w:rsidRPr="00917FFB">
        <w:rPr>
          <w:iCs/>
        </w:rPr>
        <w:t xml:space="preserve">mg. </w:t>
      </w:r>
      <w:r w:rsidRPr="00917FFB">
        <w:t xml:space="preserve">At the time of the submission, the extension trial was still on-going with results at Week 52 available for patients enrolled from BREEZE-AD1 and BREEZE-AD2, and results at Week 16 for patients from BREEZE-AD7 </w:t>
      </w:r>
      <w:r w:rsidR="003D7F94" w:rsidRPr="00917FFB">
        <w:t xml:space="preserve">and </w:t>
      </w:r>
      <w:r w:rsidRPr="00917FFB">
        <w:t>open-label patients.</w:t>
      </w:r>
    </w:p>
    <w:p w:rsidR="004D2B60" w:rsidRPr="00917FFB" w:rsidRDefault="004D2B60" w:rsidP="00395BA7">
      <w:pPr>
        <w:pStyle w:val="3-BodyText"/>
      </w:pPr>
      <w:r w:rsidRPr="00917FFB">
        <w:t>Under the current PBS listing for DUPI, patients face different eligibility and response criteria depending on the affected area.</w:t>
      </w:r>
    </w:p>
    <w:p w:rsidR="004D2B60" w:rsidRPr="00917FFB" w:rsidRDefault="004D2B60" w:rsidP="00F80535">
      <w:pPr>
        <w:pStyle w:val="3-BodyText"/>
        <w:numPr>
          <w:ilvl w:val="1"/>
          <w:numId w:val="29"/>
        </w:numPr>
        <w:ind w:left="1077" w:hanging="357"/>
      </w:pPr>
      <w:r w:rsidRPr="00917FFB">
        <w:t xml:space="preserve">For patients with severe AD affecting the whole body, initial treatment requires a PGA score of 4 and an EASI score </w:t>
      </w:r>
      <w:r w:rsidRPr="00917FFB">
        <w:rPr>
          <w:rFonts w:cs="Calibri"/>
        </w:rPr>
        <w:t>≥</w:t>
      </w:r>
      <w:r w:rsidRPr="00917FFB">
        <w:t xml:space="preserve">20, and continuing treatment requires </w:t>
      </w:r>
      <w:r w:rsidRPr="00917FFB">
        <w:rPr>
          <w:rFonts w:cs="Calibri"/>
        </w:rPr>
        <w:t>a ≥</w:t>
      </w:r>
      <w:r w:rsidRPr="00917FFB">
        <w:t xml:space="preserve">50% improvement from baseline in EASI (i.e. EASI50) and an improvement from baseline in DLQI </w:t>
      </w:r>
      <w:r w:rsidRPr="00917FFB">
        <w:rPr>
          <w:rFonts w:cs="Calibri"/>
        </w:rPr>
        <w:t>≥</w:t>
      </w:r>
      <w:r w:rsidRPr="00917FFB">
        <w:t>4 points.</w:t>
      </w:r>
    </w:p>
    <w:p w:rsidR="004D2B60" w:rsidRPr="00917FFB" w:rsidRDefault="004D2B60" w:rsidP="00F80535">
      <w:pPr>
        <w:pStyle w:val="3-BodyText"/>
        <w:numPr>
          <w:ilvl w:val="1"/>
          <w:numId w:val="29"/>
        </w:numPr>
        <w:ind w:left="1077" w:hanging="357"/>
      </w:pPr>
      <w:r w:rsidRPr="00917FFB">
        <w:t xml:space="preserve">For patients with severe AD affecting the face/palm of hands, initial treatment requires </w:t>
      </w:r>
      <w:r w:rsidRPr="00917FFB">
        <w:rPr>
          <w:rFonts w:cstheme="minorHAnsi"/>
        </w:rPr>
        <w:t>≥</w:t>
      </w:r>
      <w:r w:rsidRPr="00917FFB">
        <w:t xml:space="preserve">2 of the EASI symptom sub-scores rated as severe or ≥30% surface area of the face/hands affected, and continuing treatment requires </w:t>
      </w:r>
      <w:r w:rsidRPr="00917FFB">
        <w:rPr>
          <w:rFonts w:cstheme="minorHAnsi"/>
        </w:rPr>
        <w:t>≥</w:t>
      </w:r>
      <w:r w:rsidRPr="00917FFB">
        <w:t xml:space="preserve">3 of the EASI symptom sub-scores rated as mild or none or </w:t>
      </w:r>
      <w:r w:rsidRPr="00917FFB">
        <w:rPr>
          <w:rFonts w:cstheme="minorHAnsi"/>
        </w:rPr>
        <w:t>≥</w:t>
      </w:r>
      <w:r w:rsidRPr="00917FFB">
        <w:t xml:space="preserve">75% reduction in the skin area affected compared to baseline, and an improvement from baseline in DLQI </w:t>
      </w:r>
      <w:r w:rsidRPr="00917FFB">
        <w:rPr>
          <w:rFonts w:cs="Calibri"/>
        </w:rPr>
        <w:t>≥</w:t>
      </w:r>
      <w:r w:rsidRPr="00917FFB">
        <w:t xml:space="preserve">4 points. </w:t>
      </w:r>
    </w:p>
    <w:p w:rsidR="004D2B60" w:rsidRPr="00917FFB" w:rsidRDefault="004D2B60" w:rsidP="004D2B60">
      <w:pPr>
        <w:pStyle w:val="3-BodyText"/>
        <w:rPr>
          <w:iCs/>
        </w:rPr>
      </w:pPr>
      <w:r w:rsidRPr="00917FFB">
        <w:rPr>
          <w:iCs/>
        </w:rPr>
        <w:t xml:space="preserve">The PBAC has previously considered EASI (marker of lesions) and DLQI outcomes (patient impact) as being key patient relevant outcomes for the treatment of AD; and accepted that [for patients with AD affecting the whole body] an EASI 50 response combined with a DLQI improvement of </w:t>
      </w:r>
      <w:r w:rsidRPr="00917FFB">
        <w:rPr>
          <w:rFonts w:cs="Calibri"/>
          <w:iCs/>
        </w:rPr>
        <w:t>≥</w:t>
      </w:r>
      <w:r w:rsidRPr="00917FFB">
        <w:rPr>
          <w:iCs/>
        </w:rPr>
        <w:t xml:space="preserve">4 points are likely to be clinically reasonable and able to capture patients with a meaningful response to treatment (para 7.4, DUPI PSD March 2020 PBAC meeting). The PBAC also considered that it would be clinically appropriate for a separate listing in patients with AD affecting the face and hands, who would not be eligible under the whole body criteria due to the relatively small body surface area involved. The PBAC </w:t>
      </w:r>
      <w:r w:rsidR="00C16AFE" w:rsidRPr="00917FFB">
        <w:rPr>
          <w:iCs/>
        </w:rPr>
        <w:t xml:space="preserve">considered </w:t>
      </w:r>
      <w:r w:rsidRPr="00917FFB">
        <w:rPr>
          <w:iCs/>
        </w:rPr>
        <w:t>that listing for these patients should include improvement in DLQI as a criterion for continuing treatment (para 7.5, DUPI PSD March 2020 PBAC meeting).</w:t>
      </w:r>
    </w:p>
    <w:p w:rsidR="008C30BE" w:rsidRPr="00917FFB" w:rsidRDefault="00974546" w:rsidP="00A23922">
      <w:pPr>
        <w:pStyle w:val="3-BodyText"/>
        <w:rPr>
          <w:i/>
        </w:rPr>
      </w:pPr>
      <w:r w:rsidRPr="00917FFB">
        <w:rPr>
          <w:iCs/>
        </w:rPr>
        <w:t>Table 4 summarises t</w:t>
      </w:r>
      <w:r w:rsidR="00FD0AD8" w:rsidRPr="00917FFB">
        <w:rPr>
          <w:iCs/>
        </w:rPr>
        <w:t xml:space="preserve">he primary and </w:t>
      </w:r>
      <w:r w:rsidRPr="00917FFB">
        <w:rPr>
          <w:iCs/>
        </w:rPr>
        <w:t xml:space="preserve">key </w:t>
      </w:r>
      <w:r w:rsidR="00FD0AD8" w:rsidRPr="00917FFB">
        <w:rPr>
          <w:iCs/>
        </w:rPr>
        <w:t>secondary</w:t>
      </w:r>
      <w:r w:rsidRPr="00917FFB">
        <w:rPr>
          <w:iCs/>
        </w:rPr>
        <w:t>/exploratory</w:t>
      </w:r>
      <w:r w:rsidR="00FD0AD8" w:rsidRPr="00917FFB">
        <w:rPr>
          <w:iCs/>
        </w:rPr>
        <w:t xml:space="preserve"> endpoints </w:t>
      </w:r>
      <w:r w:rsidRPr="00917FFB">
        <w:rPr>
          <w:iCs/>
        </w:rPr>
        <w:t xml:space="preserve">measured </w:t>
      </w:r>
      <w:r w:rsidR="00FD0AD8" w:rsidRPr="00917FFB">
        <w:rPr>
          <w:iCs/>
        </w:rPr>
        <w:t>across trials</w:t>
      </w:r>
      <w:r w:rsidRPr="00917FFB">
        <w:rPr>
          <w:iCs/>
        </w:rPr>
        <w:t xml:space="preserve">, which included EASI50 response and DLQI </w:t>
      </w:r>
      <w:r w:rsidRPr="00917FFB">
        <w:rPr>
          <w:rFonts w:cstheme="minorHAnsi"/>
          <w:iCs/>
        </w:rPr>
        <w:t>≥</w:t>
      </w:r>
      <w:r w:rsidRPr="00917FFB">
        <w:rPr>
          <w:iCs/>
        </w:rPr>
        <w:t>4</w:t>
      </w:r>
      <w:r w:rsidR="003A77EA" w:rsidRPr="00917FFB">
        <w:rPr>
          <w:iCs/>
        </w:rPr>
        <w:t xml:space="preserve"> at 16 weeks</w:t>
      </w:r>
      <w:r w:rsidRPr="00917FFB">
        <w:rPr>
          <w:iCs/>
        </w:rPr>
        <w:t>.</w:t>
      </w:r>
    </w:p>
    <w:p w:rsidR="00275024" w:rsidRPr="00917FFB" w:rsidRDefault="00275024" w:rsidP="00A34379">
      <w:pPr>
        <w:pStyle w:val="3-BodyText"/>
        <w:keepNext/>
        <w:keepLines/>
        <w:numPr>
          <w:ilvl w:val="0"/>
          <w:numId w:val="0"/>
        </w:numPr>
        <w:spacing w:after="0"/>
        <w:rPr>
          <w:rFonts w:ascii="Arial Narrow" w:hAnsi="Arial Narrow"/>
          <w:b/>
          <w:sz w:val="20"/>
          <w:szCs w:val="20"/>
        </w:rPr>
      </w:pPr>
      <w:r w:rsidRPr="00917FFB">
        <w:rPr>
          <w:rStyle w:val="CommentReference"/>
          <w:szCs w:val="20"/>
        </w:rPr>
        <w:t>Table 4:</w:t>
      </w:r>
      <w:r w:rsidRPr="00917FFB">
        <w:rPr>
          <w:rStyle w:val="CommentReference"/>
          <w:b w:val="0"/>
          <w:szCs w:val="20"/>
        </w:rPr>
        <w:t xml:space="preserve"> </w:t>
      </w:r>
      <w:r w:rsidRPr="00917FFB">
        <w:rPr>
          <w:rFonts w:ascii="Arial Narrow" w:hAnsi="Arial Narrow" w:cs="Times New Roman"/>
          <w:b/>
          <w:iCs/>
          <w:sz w:val="20"/>
          <w:szCs w:val="20"/>
          <w:lang w:eastAsia="en-US"/>
        </w:rPr>
        <w:t>Primary (1°), key secondary (2°) and other secondary/exploratory/post-hoc (</w:t>
      </w:r>
      <w:r w:rsidRPr="00917FFB">
        <w:rPr>
          <w:rFonts w:ascii="Arial Narrow" w:hAnsi="Arial Narrow"/>
          <w:b/>
          <w:sz w:val="20"/>
          <w:szCs w:val="20"/>
        </w:rPr>
        <w:sym w:font="Wingdings" w:char="F0FC"/>
      </w:r>
      <w:r w:rsidR="00851832" w:rsidRPr="00917FFB">
        <w:rPr>
          <w:rFonts w:ascii="Arial Narrow" w:hAnsi="Arial Narrow" w:cs="Times New Roman"/>
          <w:b/>
          <w:iCs/>
          <w:sz w:val="20"/>
          <w:szCs w:val="20"/>
          <w:lang w:eastAsia="en-US"/>
        </w:rPr>
        <w:t>) outcomes reported at Week </w:t>
      </w:r>
      <w:r w:rsidRPr="00917FFB">
        <w:rPr>
          <w:rFonts w:ascii="Arial Narrow" w:hAnsi="Arial Narrow" w:cs="Times New Roman"/>
          <w:b/>
          <w:iCs/>
          <w:sz w:val="20"/>
          <w:szCs w:val="20"/>
          <w:lang w:eastAsia="en-US"/>
        </w:rPr>
        <w:t xml:space="preserve">16 (unless otherwise indicated) across BARI and DUPI trials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4"/>
        <w:gridCol w:w="980"/>
        <w:gridCol w:w="977"/>
        <w:gridCol w:w="979"/>
        <w:gridCol w:w="979"/>
        <w:gridCol w:w="979"/>
        <w:gridCol w:w="979"/>
        <w:gridCol w:w="979"/>
        <w:gridCol w:w="891"/>
      </w:tblGrid>
      <w:tr w:rsidR="00E107F2" w:rsidRPr="00917FFB" w:rsidTr="003F07A8">
        <w:trPr>
          <w:trHeight w:val="299"/>
          <w:jc w:val="center"/>
        </w:trPr>
        <w:tc>
          <w:tcPr>
            <w:tcW w:w="706" w:type="pct"/>
            <w:vAlign w:val="center"/>
          </w:tcPr>
          <w:p w:rsidR="00E107F2" w:rsidRPr="000D2978" w:rsidRDefault="00E107F2" w:rsidP="00A34379">
            <w:pPr>
              <w:keepNext/>
              <w:keepLines/>
              <w:jc w:val="left"/>
              <w:rPr>
                <w:rFonts w:ascii="Arial Narrow" w:hAnsi="Arial Narrow" w:cs="Times New Roman"/>
                <w:b/>
                <w:iCs/>
                <w:sz w:val="20"/>
                <w:szCs w:val="20"/>
                <w:lang w:eastAsia="en-US"/>
              </w:rPr>
            </w:pPr>
            <w:r w:rsidRPr="000D2978">
              <w:rPr>
                <w:rFonts w:ascii="Arial Narrow" w:hAnsi="Arial Narrow" w:cs="Times New Roman"/>
                <w:b/>
                <w:iCs/>
                <w:sz w:val="20"/>
                <w:szCs w:val="20"/>
                <w:lang w:eastAsia="en-US"/>
              </w:rPr>
              <w:t>Trials</w:t>
            </w:r>
          </w:p>
        </w:tc>
        <w:tc>
          <w:tcPr>
            <w:tcW w:w="543" w:type="pct"/>
            <w:vAlign w:val="center"/>
          </w:tcPr>
          <w:p w:rsidR="00E107F2" w:rsidRPr="00917FFB" w:rsidRDefault="00E107F2" w:rsidP="00A34379">
            <w:pPr>
              <w:keepNext/>
              <w:keepLines/>
              <w:jc w:val="center"/>
              <w:rPr>
                <w:rFonts w:ascii="Arial Narrow" w:hAnsi="Arial Narrow" w:cs="Times New Roman"/>
                <w:b/>
                <w:iCs/>
                <w:sz w:val="20"/>
                <w:szCs w:val="20"/>
                <w:lang w:eastAsia="en-US"/>
              </w:rPr>
            </w:pPr>
            <w:r w:rsidRPr="00917FFB">
              <w:rPr>
                <w:rFonts w:ascii="Arial Narrow" w:hAnsi="Arial Narrow"/>
                <w:b/>
                <w:sz w:val="20"/>
                <w:szCs w:val="20"/>
              </w:rPr>
              <w:t>EASI 50</w:t>
            </w:r>
            <w:r w:rsidRPr="00917FFB">
              <w:rPr>
                <w:rFonts w:ascii="Arial Narrow" w:hAnsi="Arial Narrow"/>
                <w:b/>
                <w:sz w:val="20"/>
                <w:szCs w:val="20"/>
                <w:vertAlign w:val="superscript"/>
              </w:rPr>
              <w:t>a</w:t>
            </w:r>
          </w:p>
        </w:tc>
        <w:tc>
          <w:tcPr>
            <w:tcW w:w="542" w:type="pct"/>
            <w:vAlign w:val="center"/>
          </w:tcPr>
          <w:p w:rsidR="00E107F2" w:rsidRPr="00917FFB" w:rsidRDefault="00E107F2" w:rsidP="00A34379">
            <w:pPr>
              <w:keepNext/>
              <w:keepLines/>
              <w:jc w:val="center"/>
              <w:rPr>
                <w:rFonts w:ascii="Arial Narrow" w:hAnsi="Arial Narrow" w:cs="Times New Roman"/>
                <w:b/>
                <w:iCs/>
                <w:sz w:val="20"/>
                <w:szCs w:val="20"/>
                <w:lang w:eastAsia="en-US"/>
              </w:rPr>
            </w:pPr>
            <w:r w:rsidRPr="00917FFB">
              <w:rPr>
                <w:rFonts w:ascii="Arial Narrow" w:hAnsi="Arial Narrow"/>
                <w:b/>
                <w:sz w:val="20"/>
                <w:szCs w:val="20"/>
              </w:rPr>
              <w:t>EASI 75</w:t>
            </w:r>
            <w:r w:rsidRPr="00917FFB">
              <w:rPr>
                <w:rFonts w:ascii="Arial Narrow" w:hAnsi="Arial Narrow"/>
                <w:b/>
                <w:sz w:val="20"/>
                <w:szCs w:val="20"/>
                <w:vertAlign w:val="superscript"/>
              </w:rPr>
              <w:t>a</w:t>
            </w:r>
          </w:p>
        </w:tc>
        <w:tc>
          <w:tcPr>
            <w:tcW w:w="543" w:type="pct"/>
            <w:vAlign w:val="center"/>
          </w:tcPr>
          <w:p w:rsidR="00E107F2" w:rsidRPr="00917FFB" w:rsidRDefault="00E107F2" w:rsidP="00A34379">
            <w:pPr>
              <w:keepNext/>
              <w:keepLines/>
              <w:jc w:val="center"/>
              <w:rPr>
                <w:rFonts w:ascii="Arial Narrow" w:hAnsi="Arial Narrow"/>
                <w:b/>
                <w:sz w:val="20"/>
                <w:szCs w:val="20"/>
              </w:rPr>
            </w:pPr>
            <w:r w:rsidRPr="00917FFB">
              <w:rPr>
                <w:rFonts w:ascii="Arial Narrow" w:hAnsi="Arial Narrow"/>
                <w:b/>
                <w:sz w:val="20"/>
                <w:szCs w:val="20"/>
              </w:rPr>
              <w:t>EASI 90</w:t>
            </w:r>
            <w:r w:rsidRPr="00917FFB">
              <w:rPr>
                <w:rFonts w:ascii="Arial Narrow" w:hAnsi="Arial Narrow"/>
                <w:b/>
                <w:sz w:val="20"/>
                <w:szCs w:val="20"/>
                <w:vertAlign w:val="superscript"/>
              </w:rPr>
              <w:t>a</w:t>
            </w:r>
          </w:p>
        </w:tc>
        <w:tc>
          <w:tcPr>
            <w:tcW w:w="543" w:type="pct"/>
            <w:vAlign w:val="center"/>
          </w:tcPr>
          <w:p w:rsidR="00E107F2" w:rsidRPr="00917FFB" w:rsidRDefault="00E107F2" w:rsidP="00A34379">
            <w:pPr>
              <w:keepNext/>
              <w:keepLines/>
              <w:jc w:val="center"/>
              <w:rPr>
                <w:rFonts w:ascii="Arial Narrow" w:hAnsi="Arial Narrow"/>
                <w:b/>
                <w:sz w:val="20"/>
                <w:szCs w:val="20"/>
              </w:rPr>
            </w:pPr>
            <w:r w:rsidRPr="00917FFB">
              <w:rPr>
                <w:rFonts w:ascii="Arial Narrow" w:hAnsi="Arial Narrow" w:cs="Times New Roman"/>
                <w:b/>
                <w:iCs/>
                <w:sz w:val="20"/>
                <w:szCs w:val="20"/>
                <w:lang w:eastAsia="en-US"/>
              </w:rPr>
              <w:t>% change EASI</w:t>
            </w:r>
            <w:r w:rsidRPr="00917FFB">
              <w:rPr>
                <w:rFonts w:ascii="Arial Narrow" w:hAnsi="Arial Narrow" w:cs="Times New Roman"/>
                <w:b/>
                <w:iCs/>
                <w:sz w:val="20"/>
                <w:szCs w:val="20"/>
                <w:vertAlign w:val="superscript"/>
                <w:lang w:eastAsia="en-US"/>
              </w:rPr>
              <w:t>b</w:t>
            </w:r>
          </w:p>
        </w:tc>
        <w:tc>
          <w:tcPr>
            <w:tcW w:w="543" w:type="pct"/>
            <w:vAlign w:val="center"/>
          </w:tcPr>
          <w:p w:rsidR="00E107F2" w:rsidRPr="00917FFB" w:rsidRDefault="00E107F2" w:rsidP="00A34379">
            <w:pPr>
              <w:keepNext/>
              <w:keepLines/>
              <w:jc w:val="center"/>
              <w:rPr>
                <w:rFonts w:ascii="Arial Narrow" w:hAnsi="Arial Narrow" w:cs="Times New Roman"/>
                <w:b/>
                <w:iCs/>
                <w:sz w:val="20"/>
                <w:szCs w:val="20"/>
                <w:lang w:eastAsia="en-US"/>
              </w:rPr>
            </w:pPr>
            <w:r w:rsidRPr="00917FFB">
              <w:rPr>
                <w:rFonts w:ascii="Arial Narrow" w:hAnsi="Arial Narrow"/>
                <w:b/>
                <w:sz w:val="20"/>
                <w:szCs w:val="20"/>
              </w:rPr>
              <w:t>IGA of 0 or 1</w:t>
            </w:r>
            <w:r w:rsidRPr="00917FFB">
              <w:rPr>
                <w:rFonts w:ascii="Arial Narrow" w:hAnsi="Arial Narrow"/>
                <w:b/>
                <w:sz w:val="20"/>
                <w:szCs w:val="20"/>
                <w:vertAlign w:val="superscript"/>
              </w:rPr>
              <w:t>c</w:t>
            </w:r>
          </w:p>
        </w:tc>
        <w:tc>
          <w:tcPr>
            <w:tcW w:w="543" w:type="pct"/>
            <w:vAlign w:val="center"/>
          </w:tcPr>
          <w:p w:rsidR="00E107F2" w:rsidRPr="00917FFB" w:rsidRDefault="00E107F2" w:rsidP="00A34379">
            <w:pPr>
              <w:keepNext/>
              <w:keepLines/>
              <w:jc w:val="center"/>
              <w:rPr>
                <w:rFonts w:ascii="Arial Narrow" w:hAnsi="Arial Narrow" w:cs="Times New Roman"/>
                <w:b/>
                <w:iCs/>
                <w:sz w:val="20"/>
                <w:szCs w:val="20"/>
                <w:lang w:eastAsia="en-US"/>
              </w:rPr>
            </w:pPr>
            <w:r w:rsidRPr="00917FFB">
              <w:rPr>
                <w:rFonts w:ascii="Arial Narrow" w:hAnsi="Arial Narrow" w:cs="Times New Roman"/>
                <w:b/>
                <w:iCs/>
                <w:sz w:val="20"/>
                <w:szCs w:val="20"/>
                <w:lang w:eastAsia="en-US"/>
              </w:rPr>
              <w:t>DLQI ≥ 4</w:t>
            </w:r>
            <w:r w:rsidRPr="00917FFB">
              <w:rPr>
                <w:rFonts w:ascii="Arial Narrow" w:hAnsi="Arial Narrow" w:cs="Times New Roman"/>
                <w:b/>
                <w:iCs/>
                <w:sz w:val="20"/>
                <w:szCs w:val="20"/>
                <w:vertAlign w:val="superscript"/>
                <w:lang w:eastAsia="en-US"/>
              </w:rPr>
              <w:t>d</w:t>
            </w:r>
          </w:p>
        </w:tc>
        <w:tc>
          <w:tcPr>
            <w:tcW w:w="543" w:type="pct"/>
            <w:vAlign w:val="center"/>
          </w:tcPr>
          <w:p w:rsidR="00E107F2" w:rsidRPr="00917FFB" w:rsidRDefault="00E107F2" w:rsidP="00A34379">
            <w:pPr>
              <w:keepNext/>
              <w:keepLines/>
              <w:jc w:val="center"/>
              <w:rPr>
                <w:rFonts w:ascii="Arial Narrow" w:hAnsi="Arial Narrow" w:cs="Times New Roman"/>
                <w:b/>
                <w:iCs/>
                <w:sz w:val="20"/>
                <w:szCs w:val="20"/>
                <w:lang w:eastAsia="en-US"/>
              </w:rPr>
            </w:pPr>
            <w:r w:rsidRPr="00917FFB">
              <w:rPr>
                <w:rFonts w:ascii="Arial Narrow" w:hAnsi="Arial Narrow" w:cs="Times New Roman"/>
                <w:b/>
                <w:iCs/>
                <w:sz w:val="20"/>
                <w:szCs w:val="20"/>
                <w:lang w:eastAsia="en-US"/>
              </w:rPr>
              <w:t>DLQI 0/1</w:t>
            </w:r>
            <w:r w:rsidRPr="00917FFB">
              <w:rPr>
                <w:rFonts w:ascii="Arial Narrow" w:hAnsi="Arial Narrow" w:cs="Times New Roman"/>
                <w:b/>
                <w:iCs/>
                <w:sz w:val="20"/>
                <w:szCs w:val="20"/>
                <w:vertAlign w:val="superscript"/>
                <w:lang w:eastAsia="en-US"/>
              </w:rPr>
              <w:t>e</w:t>
            </w:r>
          </w:p>
        </w:tc>
        <w:tc>
          <w:tcPr>
            <w:tcW w:w="495" w:type="pct"/>
            <w:vAlign w:val="center"/>
          </w:tcPr>
          <w:p w:rsidR="00E107F2" w:rsidRPr="00917FFB" w:rsidRDefault="00E107F2" w:rsidP="00A34379">
            <w:pPr>
              <w:keepNext/>
              <w:keepLines/>
              <w:jc w:val="center"/>
              <w:rPr>
                <w:rFonts w:ascii="Arial Narrow" w:hAnsi="Arial Narrow" w:cs="Times New Roman"/>
                <w:b/>
                <w:iCs/>
                <w:sz w:val="20"/>
                <w:szCs w:val="20"/>
                <w:lang w:eastAsia="en-US"/>
              </w:rPr>
            </w:pPr>
            <w:r w:rsidRPr="00917FFB">
              <w:rPr>
                <w:rFonts w:ascii="Arial Narrow" w:hAnsi="Arial Narrow" w:cs="Times New Roman"/>
                <w:b/>
                <w:iCs/>
                <w:sz w:val="20"/>
                <w:szCs w:val="20"/>
                <w:lang w:eastAsia="en-US"/>
              </w:rPr>
              <w:t>Change DLQI</w:t>
            </w:r>
            <w:r w:rsidRPr="00917FFB">
              <w:rPr>
                <w:rFonts w:ascii="Arial Narrow" w:hAnsi="Arial Narrow" w:cs="Times New Roman"/>
                <w:b/>
                <w:iCs/>
                <w:sz w:val="20"/>
                <w:szCs w:val="20"/>
                <w:vertAlign w:val="superscript"/>
                <w:lang w:eastAsia="en-US"/>
              </w:rPr>
              <w:t>f</w:t>
            </w:r>
          </w:p>
        </w:tc>
      </w:tr>
      <w:tr w:rsidR="00E107F2" w:rsidRPr="00917FFB" w:rsidTr="003F07A8">
        <w:trPr>
          <w:trHeight w:val="105"/>
          <w:jc w:val="center"/>
        </w:trPr>
        <w:tc>
          <w:tcPr>
            <w:tcW w:w="5000" w:type="pct"/>
            <w:gridSpan w:val="9"/>
            <w:vAlign w:val="center"/>
          </w:tcPr>
          <w:p w:rsidR="00E107F2" w:rsidRPr="00917FFB" w:rsidRDefault="00E107F2" w:rsidP="00A34379">
            <w:pPr>
              <w:keepNext/>
              <w:keepLines/>
              <w:jc w:val="left"/>
              <w:rPr>
                <w:rFonts w:ascii="Arial Narrow" w:hAnsi="Arial Narrow"/>
                <w:sz w:val="20"/>
                <w:szCs w:val="20"/>
              </w:rPr>
            </w:pPr>
            <w:r w:rsidRPr="00917FFB">
              <w:rPr>
                <w:rFonts w:ascii="Arial Narrow" w:hAnsi="Arial Narrow"/>
                <w:b/>
                <w:bCs/>
                <w:iCs/>
                <w:snapToGrid w:val="0"/>
                <w:sz w:val="20"/>
                <w:szCs w:val="20"/>
                <w:lang w:eastAsia="en-US"/>
              </w:rPr>
              <w:t>Baricitinib trials</w:t>
            </w:r>
          </w:p>
        </w:tc>
      </w:tr>
      <w:tr w:rsidR="00E107F2" w:rsidRPr="00917FFB" w:rsidTr="003F07A8">
        <w:trPr>
          <w:trHeight w:val="229"/>
          <w:jc w:val="center"/>
        </w:trPr>
        <w:tc>
          <w:tcPr>
            <w:tcW w:w="706" w:type="pct"/>
            <w:vMerge w:val="restart"/>
            <w:vAlign w:val="center"/>
          </w:tcPr>
          <w:p w:rsidR="00E107F2" w:rsidRPr="00917FFB" w:rsidRDefault="00E107F2" w:rsidP="00A34379">
            <w:pPr>
              <w:keepNext/>
              <w:keepLines/>
              <w:jc w:val="left"/>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BREEZE-AD1</w:t>
            </w:r>
          </w:p>
          <w:p w:rsidR="00E107F2" w:rsidRPr="00917FFB" w:rsidRDefault="00E107F2" w:rsidP="00A34379">
            <w:pPr>
              <w:keepNext/>
              <w:keepLines/>
              <w:widowControl w:val="0"/>
              <w:jc w:val="left"/>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BREEZE-AD2</w:t>
            </w:r>
          </w:p>
        </w:tc>
        <w:tc>
          <w:tcPr>
            <w:tcW w:w="543"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2"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Merge w:val="restart"/>
            <w:vAlign w:val="center"/>
          </w:tcPr>
          <w:p w:rsidR="00E107F2" w:rsidRPr="000D2978" w:rsidRDefault="00E107F2" w:rsidP="00A34379">
            <w:pPr>
              <w:keepNext/>
              <w:keepLines/>
              <w:jc w:val="center"/>
              <w:rPr>
                <w:rFonts w:ascii="Arial Narrow" w:hAnsi="Arial Narrow" w:cs="Times New Roman"/>
                <w:iCs/>
                <w:sz w:val="20"/>
                <w:szCs w:val="20"/>
                <w:lang w:eastAsia="en-US"/>
              </w:rPr>
            </w:pPr>
            <w:r w:rsidRPr="000D2978">
              <w:rPr>
                <w:rFonts w:ascii="Arial Narrow" w:hAnsi="Arial Narrow" w:cs="Times New Roman"/>
                <w:iCs/>
                <w:sz w:val="20"/>
                <w:szCs w:val="20"/>
                <w:lang w:eastAsia="en-US"/>
              </w:rPr>
              <w:t>2°</w:t>
            </w:r>
          </w:p>
        </w:tc>
        <w:tc>
          <w:tcPr>
            <w:tcW w:w="543" w:type="pct"/>
            <w:vMerge w:val="restart"/>
            <w:vAlign w:val="center"/>
          </w:tcPr>
          <w:p w:rsidR="00E107F2" w:rsidRPr="00917FFB" w:rsidRDefault="00E107F2" w:rsidP="00A34379">
            <w:pPr>
              <w:keepNext/>
              <w:keepLines/>
              <w:jc w:val="center"/>
              <w:rPr>
                <w:rFonts w:ascii="Arial Narrow" w:hAnsi="Arial Narrow"/>
                <w:sz w:val="20"/>
                <w:szCs w:val="20"/>
              </w:rPr>
            </w:pPr>
            <w:r w:rsidRPr="00917FFB">
              <w:rPr>
                <w:rFonts w:ascii="Arial Narrow" w:hAnsi="Arial Narrow" w:cs="Times New Roman"/>
                <w:iCs/>
                <w:sz w:val="20"/>
                <w:szCs w:val="20"/>
                <w:lang w:eastAsia="en-US"/>
              </w:rPr>
              <w:t>2°</w:t>
            </w:r>
          </w:p>
        </w:tc>
        <w:tc>
          <w:tcPr>
            <w:tcW w:w="543"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1°</w:t>
            </w:r>
          </w:p>
        </w:tc>
        <w:tc>
          <w:tcPr>
            <w:tcW w:w="543"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3" w:type="pct"/>
            <w:vMerge w:val="restart"/>
            <w:vAlign w:val="center"/>
          </w:tcPr>
          <w:p w:rsidR="00E107F2" w:rsidRPr="00917FFB" w:rsidRDefault="00E107F2" w:rsidP="00A34379">
            <w:pPr>
              <w:keepNext/>
              <w:keepLines/>
              <w:jc w:val="center"/>
              <w:rPr>
                <w:rFonts w:ascii="Arial Narrow" w:hAnsi="Arial Narrow"/>
                <w:sz w:val="20"/>
                <w:szCs w:val="20"/>
              </w:rPr>
            </w:pPr>
            <w:r w:rsidRPr="00917FFB">
              <w:rPr>
                <w:rFonts w:ascii="Arial Narrow" w:hAnsi="Arial Narrow"/>
                <w:sz w:val="20"/>
                <w:szCs w:val="20"/>
              </w:rPr>
              <w:sym w:font="Wingdings" w:char="F0FC"/>
            </w:r>
          </w:p>
        </w:tc>
        <w:tc>
          <w:tcPr>
            <w:tcW w:w="495"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r>
      <w:tr w:rsidR="00E107F2" w:rsidRPr="00917FFB" w:rsidTr="003F07A8">
        <w:trPr>
          <w:trHeight w:val="229"/>
          <w:jc w:val="center"/>
        </w:trPr>
        <w:tc>
          <w:tcPr>
            <w:tcW w:w="706" w:type="pct"/>
            <w:vMerge/>
            <w:vAlign w:val="center"/>
          </w:tcPr>
          <w:p w:rsidR="00E107F2" w:rsidRPr="00917FFB" w:rsidRDefault="00E107F2" w:rsidP="00A34379">
            <w:pPr>
              <w:keepNext/>
              <w:keepLines/>
              <w:widowControl w:val="0"/>
              <w:jc w:val="left"/>
              <w:rPr>
                <w:rFonts w:ascii="Arial Narrow" w:hAnsi="Arial Narrow" w:cs="Times New Roman"/>
                <w:iCs/>
                <w:sz w:val="20"/>
                <w:szCs w:val="20"/>
                <w:lang w:eastAsia="en-US"/>
              </w:rPr>
            </w:pPr>
          </w:p>
        </w:tc>
        <w:tc>
          <w:tcPr>
            <w:tcW w:w="543"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2"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3"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3" w:type="pct"/>
            <w:vMerge/>
            <w:vAlign w:val="center"/>
          </w:tcPr>
          <w:p w:rsidR="00E107F2" w:rsidRPr="00917FFB" w:rsidRDefault="00E107F2" w:rsidP="00A34379">
            <w:pPr>
              <w:keepNext/>
              <w:keepLines/>
              <w:jc w:val="center"/>
              <w:rPr>
                <w:rFonts w:ascii="Arial Narrow" w:hAnsi="Arial Narrow"/>
                <w:sz w:val="20"/>
                <w:szCs w:val="20"/>
              </w:rPr>
            </w:pPr>
          </w:p>
        </w:tc>
        <w:tc>
          <w:tcPr>
            <w:tcW w:w="543"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3"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3" w:type="pct"/>
            <w:vMerge/>
            <w:vAlign w:val="center"/>
          </w:tcPr>
          <w:p w:rsidR="00E107F2" w:rsidRPr="00917FFB" w:rsidRDefault="00E107F2" w:rsidP="00A34379">
            <w:pPr>
              <w:keepNext/>
              <w:keepLines/>
              <w:jc w:val="center"/>
              <w:rPr>
                <w:rFonts w:ascii="Arial Narrow" w:hAnsi="Arial Narrow"/>
                <w:sz w:val="20"/>
                <w:szCs w:val="20"/>
              </w:rPr>
            </w:pPr>
          </w:p>
        </w:tc>
        <w:tc>
          <w:tcPr>
            <w:tcW w:w="495"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r>
      <w:tr w:rsidR="00E107F2" w:rsidRPr="00917FFB" w:rsidTr="003F07A8">
        <w:trPr>
          <w:trHeight w:val="80"/>
          <w:jc w:val="center"/>
        </w:trPr>
        <w:tc>
          <w:tcPr>
            <w:tcW w:w="706" w:type="pct"/>
            <w:vAlign w:val="center"/>
          </w:tcPr>
          <w:p w:rsidR="00E107F2" w:rsidRPr="00917FFB" w:rsidRDefault="00E107F2" w:rsidP="00A34379">
            <w:pPr>
              <w:keepNext/>
              <w:keepLines/>
              <w:jc w:val="left"/>
              <w:rPr>
                <w:rFonts w:ascii="Arial Narrow" w:hAnsi="Arial Narrow" w:cs="Times New Roman"/>
                <w:iCs/>
                <w:sz w:val="20"/>
                <w:szCs w:val="20"/>
                <w:lang w:eastAsia="en-US"/>
              </w:rPr>
            </w:pPr>
            <w:r w:rsidRPr="00917FFB">
              <w:rPr>
                <w:rFonts w:ascii="Arial Narrow" w:hAnsi="Arial Narrow"/>
                <w:bCs/>
                <w:iCs/>
                <w:snapToGrid w:val="0"/>
                <w:sz w:val="20"/>
                <w:szCs w:val="20"/>
                <w:lang w:eastAsia="en-US"/>
              </w:rPr>
              <w:t>BREEZE-AD5</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2"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 xml:space="preserve">1° </w:t>
            </w:r>
          </w:p>
        </w:tc>
        <w:tc>
          <w:tcPr>
            <w:tcW w:w="543" w:type="pct"/>
            <w:vAlign w:val="center"/>
          </w:tcPr>
          <w:p w:rsidR="00E107F2" w:rsidRPr="000D2978" w:rsidRDefault="00E107F2" w:rsidP="00A34379">
            <w:pPr>
              <w:keepNext/>
              <w:keepLines/>
              <w:jc w:val="center"/>
              <w:rPr>
                <w:rFonts w:ascii="Arial Narrow" w:hAnsi="Arial Narrow" w:cs="Times New Roman"/>
                <w:iCs/>
                <w:sz w:val="20"/>
                <w:szCs w:val="20"/>
                <w:lang w:eastAsia="en-US"/>
              </w:rPr>
            </w:pPr>
            <w:r w:rsidRPr="000D2978">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sz w:val="20"/>
                <w:szCs w:val="20"/>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495"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r>
      <w:tr w:rsidR="00E107F2" w:rsidRPr="00917FFB" w:rsidTr="003F07A8">
        <w:trPr>
          <w:trHeight w:val="103"/>
          <w:jc w:val="center"/>
        </w:trPr>
        <w:tc>
          <w:tcPr>
            <w:tcW w:w="706" w:type="pct"/>
            <w:vAlign w:val="center"/>
          </w:tcPr>
          <w:p w:rsidR="00E107F2" w:rsidRPr="00917FFB" w:rsidRDefault="00E107F2" w:rsidP="00A34379">
            <w:pPr>
              <w:keepNext/>
              <w:keepLines/>
              <w:jc w:val="left"/>
              <w:rPr>
                <w:rFonts w:ascii="Arial Narrow" w:hAnsi="Arial Narrow" w:cs="Times New Roman"/>
                <w:iCs/>
                <w:sz w:val="20"/>
                <w:szCs w:val="20"/>
                <w:lang w:eastAsia="en-US"/>
              </w:rPr>
            </w:pPr>
            <w:r w:rsidRPr="00917FFB">
              <w:rPr>
                <w:rFonts w:ascii="Arial Narrow" w:hAnsi="Arial Narrow"/>
                <w:bCs/>
                <w:iCs/>
                <w:snapToGrid w:val="0"/>
                <w:sz w:val="20"/>
                <w:szCs w:val="20"/>
                <w:lang w:eastAsia="en-US"/>
              </w:rPr>
              <w:t>BREEZE-AD4</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2"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1°</w:t>
            </w:r>
          </w:p>
        </w:tc>
        <w:tc>
          <w:tcPr>
            <w:tcW w:w="543" w:type="pct"/>
            <w:vAlign w:val="center"/>
          </w:tcPr>
          <w:p w:rsidR="00E107F2" w:rsidRPr="000D2978" w:rsidRDefault="00E107F2" w:rsidP="00A34379">
            <w:pPr>
              <w:keepNext/>
              <w:keepLines/>
              <w:jc w:val="center"/>
              <w:rPr>
                <w:rFonts w:ascii="Arial Narrow" w:hAnsi="Arial Narrow" w:cs="Times New Roman"/>
                <w:iCs/>
                <w:sz w:val="20"/>
                <w:szCs w:val="20"/>
                <w:lang w:eastAsia="en-US"/>
              </w:rPr>
            </w:pPr>
            <w:r w:rsidRPr="000D2978">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sz w:val="20"/>
                <w:szCs w:val="20"/>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495"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r>
      <w:tr w:rsidR="00E107F2" w:rsidRPr="00917FFB" w:rsidTr="003F07A8">
        <w:trPr>
          <w:trHeight w:val="57"/>
          <w:jc w:val="center"/>
        </w:trPr>
        <w:tc>
          <w:tcPr>
            <w:tcW w:w="706" w:type="pct"/>
            <w:vAlign w:val="center"/>
          </w:tcPr>
          <w:p w:rsidR="00E107F2" w:rsidRPr="00917FFB" w:rsidRDefault="00E107F2" w:rsidP="00A34379">
            <w:pPr>
              <w:keepNext/>
              <w:keepLines/>
              <w:jc w:val="left"/>
              <w:rPr>
                <w:rFonts w:ascii="Arial Narrow" w:hAnsi="Arial Narrow" w:cs="Times New Roman"/>
                <w:iCs/>
                <w:sz w:val="20"/>
                <w:szCs w:val="20"/>
                <w:lang w:eastAsia="en-US"/>
              </w:rPr>
            </w:pPr>
            <w:r w:rsidRPr="00917FFB">
              <w:rPr>
                <w:rFonts w:ascii="Arial Narrow" w:hAnsi="Arial Narrow"/>
                <w:bCs/>
                <w:iCs/>
                <w:snapToGrid w:val="0"/>
                <w:sz w:val="20"/>
                <w:szCs w:val="20"/>
                <w:lang w:eastAsia="en-US"/>
              </w:rPr>
              <w:t>BREEZE-AD7</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2"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0D2978" w:rsidRDefault="00E107F2" w:rsidP="00A34379">
            <w:pPr>
              <w:keepNext/>
              <w:keepLines/>
              <w:jc w:val="center"/>
              <w:rPr>
                <w:rFonts w:ascii="Arial Narrow" w:hAnsi="Arial Narrow" w:cs="Times New Roman"/>
                <w:iCs/>
                <w:sz w:val="20"/>
                <w:szCs w:val="20"/>
                <w:lang w:eastAsia="en-US"/>
              </w:rPr>
            </w:pPr>
            <w:r w:rsidRPr="000D2978">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sz w:val="20"/>
                <w:szCs w:val="20"/>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1°</w:t>
            </w:r>
          </w:p>
        </w:tc>
        <w:tc>
          <w:tcPr>
            <w:tcW w:w="543" w:type="pct"/>
            <w:vAlign w:val="center"/>
          </w:tcPr>
          <w:p w:rsidR="00E107F2" w:rsidRPr="00853F7A" w:rsidRDefault="00E107F2" w:rsidP="00A34379">
            <w:pPr>
              <w:keepNext/>
              <w:keepLines/>
              <w:jc w:val="center"/>
              <w:rPr>
                <w:rFonts w:ascii="Arial Narrow" w:eastAsia="MS Gothic" w:hAnsi="Arial Narrow" w:cs="Times New Roman"/>
                <w:bCs/>
                <w:sz w:val="20"/>
              </w:rPr>
            </w:pPr>
            <w:r w:rsidRPr="00917FFB">
              <w:rPr>
                <w:rFonts w:ascii="Arial Narrow" w:hAnsi="Arial Narrow"/>
                <w:sz w:val="20"/>
                <w:szCs w:val="20"/>
              </w:rPr>
              <w:sym w:font="Wingdings" w:char="F0FC"/>
            </w:r>
          </w:p>
        </w:tc>
        <w:tc>
          <w:tcPr>
            <w:tcW w:w="543" w:type="pct"/>
            <w:vAlign w:val="center"/>
          </w:tcPr>
          <w:p w:rsidR="00E107F2" w:rsidRPr="00853F7A" w:rsidRDefault="00E107F2" w:rsidP="00A34379">
            <w:pPr>
              <w:keepNext/>
              <w:keepLines/>
              <w:jc w:val="center"/>
              <w:rPr>
                <w:rFonts w:ascii="Arial Narrow" w:eastAsia="MS Gothic" w:hAnsi="Arial Narrow" w:cs="Times New Roman"/>
                <w:bCs/>
                <w:sz w:val="20"/>
              </w:rPr>
            </w:pPr>
            <w:r w:rsidRPr="00917FFB">
              <w:rPr>
                <w:rFonts w:ascii="Arial Narrow" w:hAnsi="Arial Narrow"/>
                <w:sz w:val="20"/>
                <w:szCs w:val="20"/>
              </w:rPr>
              <w:sym w:font="Wingdings" w:char="F0FC"/>
            </w:r>
          </w:p>
        </w:tc>
        <w:tc>
          <w:tcPr>
            <w:tcW w:w="495"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r>
      <w:tr w:rsidR="00E107F2" w:rsidRPr="00917FFB" w:rsidTr="003F07A8">
        <w:trPr>
          <w:trHeight w:val="94"/>
          <w:jc w:val="center"/>
        </w:trPr>
        <w:tc>
          <w:tcPr>
            <w:tcW w:w="706" w:type="pct"/>
            <w:vAlign w:val="center"/>
          </w:tcPr>
          <w:p w:rsidR="00E107F2" w:rsidRPr="00917FFB" w:rsidRDefault="00E107F2" w:rsidP="00A34379">
            <w:pPr>
              <w:keepNext/>
              <w:keepLines/>
              <w:jc w:val="left"/>
              <w:rPr>
                <w:rFonts w:ascii="Arial Narrow" w:hAnsi="Arial Narrow" w:cs="Times New Roman"/>
                <w:iCs/>
                <w:sz w:val="20"/>
                <w:szCs w:val="20"/>
                <w:lang w:eastAsia="en-US"/>
              </w:rPr>
            </w:pPr>
            <w:r w:rsidRPr="00917FFB">
              <w:rPr>
                <w:rFonts w:ascii="Arial Narrow" w:hAnsi="Arial Narrow"/>
                <w:bCs/>
                <w:iCs/>
                <w:snapToGrid w:val="0"/>
                <w:sz w:val="20"/>
                <w:szCs w:val="20"/>
                <w:lang w:eastAsia="en-US"/>
              </w:rPr>
              <w:t>JAHG</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1°</w:t>
            </w:r>
          </w:p>
        </w:tc>
        <w:tc>
          <w:tcPr>
            <w:tcW w:w="542" w:type="pct"/>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853F7A" w:rsidRDefault="00E107F2" w:rsidP="00A34379">
            <w:pPr>
              <w:keepNext/>
              <w:keepLines/>
              <w:jc w:val="center"/>
              <w:rPr>
                <w:rFonts w:ascii="Arial Narrow" w:eastAsia="MS Gothic" w:hAnsi="Arial Narrow" w:cs="Times New Roman"/>
                <w:bCs/>
                <w:sz w:val="20"/>
              </w:rPr>
            </w:pPr>
            <w:r w:rsidRPr="00917FFB">
              <w:rPr>
                <w:rFonts w:ascii="Arial Narrow" w:hAnsi="Arial Narrow" w:cs="Times New Roman"/>
                <w:iCs/>
                <w:sz w:val="20"/>
                <w:szCs w:val="20"/>
                <w:lang w:eastAsia="en-US"/>
              </w:rPr>
              <w:t>2°</w:t>
            </w:r>
          </w:p>
        </w:tc>
        <w:tc>
          <w:tcPr>
            <w:tcW w:w="543" w:type="pct"/>
            <w:vAlign w:val="center"/>
          </w:tcPr>
          <w:p w:rsidR="00E107F2" w:rsidRPr="00853F7A" w:rsidRDefault="00E107F2" w:rsidP="00A34379">
            <w:pPr>
              <w:keepNext/>
              <w:keepLines/>
              <w:jc w:val="center"/>
              <w:rPr>
                <w:rFonts w:ascii="Arial Narrow" w:eastAsia="MS Gothic" w:hAnsi="Arial Narrow" w:cs="Times New Roman"/>
                <w:bCs/>
                <w:sz w:val="20"/>
              </w:rPr>
            </w:pPr>
            <w:r w:rsidRPr="00917FFB">
              <w:rPr>
                <w:rFonts w:ascii="Arial Narrow" w:hAnsi="Arial Narrow" w:cs="Times New Roman"/>
                <w:iCs/>
                <w:sz w:val="20"/>
                <w:szCs w:val="20"/>
                <w:lang w:eastAsia="en-US"/>
              </w:rPr>
              <w:t>2°</w:t>
            </w:r>
          </w:p>
        </w:tc>
        <w:tc>
          <w:tcPr>
            <w:tcW w:w="495"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r>
      <w:tr w:rsidR="00E107F2" w:rsidRPr="00917FFB" w:rsidTr="003F07A8">
        <w:trPr>
          <w:trHeight w:val="94"/>
          <w:jc w:val="center"/>
        </w:trPr>
        <w:tc>
          <w:tcPr>
            <w:tcW w:w="5000" w:type="pct"/>
            <w:gridSpan w:val="9"/>
            <w:vAlign w:val="center"/>
          </w:tcPr>
          <w:p w:rsidR="00E107F2" w:rsidRPr="00917FFB" w:rsidRDefault="00E107F2" w:rsidP="00A34379">
            <w:pPr>
              <w:keepNext/>
              <w:keepLines/>
              <w:jc w:val="left"/>
              <w:rPr>
                <w:rFonts w:ascii="Arial Narrow" w:hAnsi="Arial Narrow"/>
                <w:sz w:val="20"/>
                <w:szCs w:val="20"/>
              </w:rPr>
            </w:pPr>
            <w:r w:rsidRPr="00917FFB">
              <w:rPr>
                <w:rFonts w:ascii="Arial Narrow" w:hAnsi="Arial Narrow"/>
                <w:b/>
                <w:bCs/>
                <w:iCs/>
                <w:snapToGrid w:val="0"/>
                <w:sz w:val="20"/>
                <w:szCs w:val="20"/>
                <w:lang w:eastAsia="en-US"/>
              </w:rPr>
              <w:t>Dupilumab trials</w:t>
            </w:r>
          </w:p>
        </w:tc>
      </w:tr>
      <w:tr w:rsidR="00E107F2" w:rsidRPr="00917FFB" w:rsidTr="003F07A8">
        <w:trPr>
          <w:trHeight w:val="94"/>
          <w:jc w:val="center"/>
        </w:trPr>
        <w:tc>
          <w:tcPr>
            <w:tcW w:w="706" w:type="pct"/>
            <w:vAlign w:val="center"/>
          </w:tcPr>
          <w:p w:rsidR="00E107F2" w:rsidRPr="00917FFB" w:rsidRDefault="00E107F2" w:rsidP="00A34379">
            <w:pPr>
              <w:keepNext/>
              <w:keepLines/>
              <w:jc w:val="left"/>
              <w:rPr>
                <w:rFonts w:ascii="Arial Narrow" w:hAnsi="Arial Narrow" w:cs="Times New Roman"/>
                <w:iCs/>
                <w:sz w:val="20"/>
                <w:szCs w:val="20"/>
                <w:lang w:eastAsia="en-US"/>
              </w:rPr>
            </w:pPr>
            <w:r w:rsidRPr="00917FFB">
              <w:rPr>
                <w:rFonts w:ascii="Arial Narrow" w:hAnsi="Arial Narrow"/>
                <w:iCs/>
                <w:sz w:val="20"/>
                <w:szCs w:val="20"/>
                <w:lang w:eastAsia="en-US"/>
              </w:rPr>
              <w:t>Study 1021</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2"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sz w:val="20"/>
                <w:szCs w:val="20"/>
              </w:rPr>
            </w:pPr>
            <w:r w:rsidRPr="00917FFB">
              <w:rPr>
                <w:rFonts w:ascii="Arial Narrow" w:hAnsi="Arial Narrow" w:cs="Times New Roman"/>
                <w:iCs/>
                <w:sz w:val="20"/>
                <w:szCs w:val="20"/>
                <w:lang w:eastAsia="en-US"/>
              </w:rPr>
              <w:t>1°</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495"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r>
      <w:tr w:rsidR="00E107F2" w:rsidRPr="00917FFB" w:rsidTr="003F07A8">
        <w:trPr>
          <w:trHeight w:val="229"/>
          <w:jc w:val="center"/>
        </w:trPr>
        <w:tc>
          <w:tcPr>
            <w:tcW w:w="706" w:type="pct"/>
            <w:vMerge w:val="restart"/>
            <w:vAlign w:val="center"/>
          </w:tcPr>
          <w:p w:rsidR="00E107F2" w:rsidRPr="00917FFB" w:rsidRDefault="00E107F2" w:rsidP="00A34379">
            <w:pPr>
              <w:keepNext/>
              <w:keepLines/>
              <w:jc w:val="left"/>
              <w:rPr>
                <w:rFonts w:ascii="Arial Narrow" w:hAnsi="Arial Narrow" w:cs="Times New Roman"/>
                <w:iCs/>
                <w:sz w:val="20"/>
                <w:szCs w:val="20"/>
                <w:lang w:eastAsia="en-US"/>
              </w:rPr>
            </w:pPr>
            <w:r w:rsidRPr="00917FFB">
              <w:rPr>
                <w:rFonts w:ascii="Arial Narrow" w:hAnsi="Arial Narrow"/>
                <w:iCs/>
                <w:snapToGrid w:val="0"/>
                <w:sz w:val="20"/>
                <w:szCs w:val="20"/>
                <w:lang w:eastAsia="en-US"/>
              </w:rPr>
              <w:t>SOLO 1</w:t>
            </w:r>
          </w:p>
          <w:p w:rsidR="00E107F2" w:rsidRPr="00917FFB" w:rsidRDefault="00E107F2" w:rsidP="00A34379">
            <w:pPr>
              <w:keepNext/>
              <w:keepLines/>
              <w:jc w:val="left"/>
              <w:rPr>
                <w:rFonts w:ascii="Arial Narrow" w:hAnsi="Arial Narrow" w:cs="Times New Roman"/>
                <w:iCs/>
                <w:sz w:val="20"/>
                <w:szCs w:val="20"/>
                <w:lang w:eastAsia="en-US"/>
              </w:rPr>
            </w:pPr>
            <w:r w:rsidRPr="00917FFB">
              <w:rPr>
                <w:rFonts w:ascii="Arial Narrow" w:hAnsi="Arial Narrow"/>
                <w:iCs/>
                <w:snapToGrid w:val="0"/>
                <w:sz w:val="20"/>
                <w:szCs w:val="20"/>
                <w:lang w:eastAsia="en-US"/>
              </w:rPr>
              <w:t>SOLO 2</w:t>
            </w:r>
          </w:p>
        </w:tc>
        <w:tc>
          <w:tcPr>
            <w:tcW w:w="543"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2"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1° / 2°</w:t>
            </w:r>
            <w:r w:rsidRPr="00917FFB">
              <w:rPr>
                <w:rFonts w:ascii="Arial Narrow" w:hAnsi="Arial Narrow" w:cs="Times New Roman"/>
                <w:iCs/>
                <w:sz w:val="20"/>
                <w:szCs w:val="20"/>
                <w:vertAlign w:val="superscript"/>
                <w:lang w:eastAsia="en-US"/>
              </w:rPr>
              <w:t>g</w:t>
            </w:r>
          </w:p>
        </w:tc>
        <w:tc>
          <w:tcPr>
            <w:tcW w:w="543"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3" w:type="pct"/>
            <w:vMerge w:val="restart"/>
            <w:vAlign w:val="center"/>
          </w:tcPr>
          <w:p w:rsidR="00E107F2" w:rsidRPr="00917FFB" w:rsidRDefault="00E107F2" w:rsidP="00A34379">
            <w:pPr>
              <w:keepNext/>
              <w:keepLines/>
              <w:jc w:val="center"/>
              <w:rPr>
                <w:rFonts w:ascii="Arial Narrow" w:hAnsi="Arial Narrow"/>
                <w:sz w:val="20"/>
                <w:szCs w:val="20"/>
              </w:rPr>
            </w:pPr>
            <w:r w:rsidRPr="00917FFB">
              <w:rPr>
                <w:rFonts w:ascii="Arial Narrow" w:hAnsi="Arial Narrow"/>
                <w:sz w:val="20"/>
                <w:szCs w:val="20"/>
              </w:rPr>
              <w:sym w:font="Wingdings" w:char="F0FC"/>
            </w:r>
          </w:p>
        </w:tc>
        <w:tc>
          <w:tcPr>
            <w:tcW w:w="543"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1° / 2°</w:t>
            </w:r>
            <w:r w:rsidRPr="00917FFB">
              <w:rPr>
                <w:rFonts w:ascii="Arial Narrow" w:hAnsi="Arial Narrow" w:cs="Times New Roman"/>
                <w:iCs/>
                <w:sz w:val="20"/>
                <w:szCs w:val="20"/>
                <w:vertAlign w:val="superscript"/>
                <w:lang w:eastAsia="en-US"/>
              </w:rPr>
              <w:t>g</w:t>
            </w:r>
          </w:p>
        </w:tc>
        <w:tc>
          <w:tcPr>
            <w:tcW w:w="543"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3"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495" w:type="pct"/>
            <w:vMerge w:val="restar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r>
      <w:tr w:rsidR="00E107F2" w:rsidRPr="00917FFB" w:rsidTr="003F07A8">
        <w:trPr>
          <w:trHeight w:val="229"/>
          <w:jc w:val="center"/>
        </w:trPr>
        <w:tc>
          <w:tcPr>
            <w:tcW w:w="706" w:type="pct"/>
            <w:vMerge/>
            <w:vAlign w:val="center"/>
          </w:tcPr>
          <w:p w:rsidR="00E107F2" w:rsidRPr="00917FFB" w:rsidRDefault="00E107F2" w:rsidP="00A34379">
            <w:pPr>
              <w:keepNext/>
              <w:keepLines/>
              <w:jc w:val="left"/>
              <w:rPr>
                <w:rFonts w:ascii="Arial Narrow" w:hAnsi="Arial Narrow" w:cs="Times New Roman"/>
                <w:iCs/>
                <w:sz w:val="20"/>
                <w:szCs w:val="20"/>
                <w:lang w:eastAsia="en-US"/>
              </w:rPr>
            </w:pPr>
          </w:p>
        </w:tc>
        <w:tc>
          <w:tcPr>
            <w:tcW w:w="543"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2"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3"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3" w:type="pct"/>
            <w:vMerge/>
            <w:vAlign w:val="center"/>
          </w:tcPr>
          <w:p w:rsidR="00E107F2" w:rsidRPr="00917FFB" w:rsidRDefault="00E107F2" w:rsidP="00A34379">
            <w:pPr>
              <w:keepNext/>
              <w:keepLines/>
              <w:jc w:val="center"/>
              <w:rPr>
                <w:rFonts w:ascii="Arial Narrow" w:hAnsi="Arial Narrow"/>
                <w:sz w:val="20"/>
                <w:szCs w:val="20"/>
              </w:rPr>
            </w:pPr>
          </w:p>
        </w:tc>
        <w:tc>
          <w:tcPr>
            <w:tcW w:w="543"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3"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543"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c>
          <w:tcPr>
            <w:tcW w:w="495" w:type="pct"/>
            <w:vMerge/>
            <w:vAlign w:val="center"/>
          </w:tcPr>
          <w:p w:rsidR="00E107F2" w:rsidRPr="00917FFB" w:rsidRDefault="00E107F2" w:rsidP="00A34379">
            <w:pPr>
              <w:keepNext/>
              <w:keepLines/>
              <w:jc w:val="center"/>
              <w:rPr>
                <w:rFonts w:ascii="Arial Narrow" w:hAnsi="Arial Narrow" w:cs="Times New Roman"/>
                <w:iCs/>
                <w:sz w:val="20"/>
                <w:szCs w:val="20"/>
                <w:lang w:eastAsia="en-US"/>
              </w:rPr>
            </w:pPr>
          </w:p>
        </w:tc>
      </w:tr>
      <w:tr w:rsidR="00E107F2" w:rsidRPr="00917FFB" w:rsidTr="003F07A8">
        <w:trPr>
          <w:trHeight w:val="94"/>
          <w:jc w:val="center"/>
        </w:trPr>
        <w:tc>
          <w:tcPr>
            <w:tcW w:w="706" w:type="pct"/>
            <w:vAlign w:val="center"/>
          </w:tcPr>
          <w:p w:rsidR="00E107F2" w:rsidRPr="00917FFB" w:rsidRDefault="00E107F2" w:rsidP="00A34379">
            <w:pPr>
              <w:keepNext/>
              <w:keepLines/>
              <w:jc w:val="left"/>
              <w:rPr>
                <w:rFonts w:ascii="Arial Narrow" w:hAnsi="Arial Narrow" w:cs="Times New Roman"/>
                <w:iCs/>
                <w:sz w:val="20"/>
                <w:szCs w:val="20"/>
                <w:lang w:eastAsia="en-US"/>
              </w:rPr>
            </w:pPr>
            <w:r w:rsidRPr="00917FFB">
              <w:rPr>
                <w:rFonts w:ascii="Arial Narrow" w:hAnsi="Arial Narrow"/>
                <w:iCs/>
                <w:snapToGrid w:val="0"/>
                <w:sz w:val="20"/>
                <w:szCs w:val="20"/>
                <w:lang w:eastAsia="en-US"/>
              </w:rPr>
              <w:t xml:space="preserve">CAFÉ </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2"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1°</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c>
          <w:tcPr>
            <w:tcW w:w="543" w:type="pct"/>
            <w:vAlign w:val="center"/>
          </w:tcPr>
          <w:p w:rsidR="00E107F2" w:rsidRPr="00853F7A" w:rsidRDefault="00E107F2" w:rsidP="00A34379">
            <w:pPr>
              <w:keepNext/>
              <w:keepLines/>
              <w:jc w:val="center"/>
              <w:rPr>
                <w:rFonts w:ascii="Arial Narrow" w:eastAsia="MS Gothic" w:hAnsi="Arial Narrow" w:cs="Times New Roman"/>
                <w:bCs/>
                <w:sz w:val="20"/>
              </w:rPr>
            </w:pPr>
            <w:r w:rsidRPr="00917FFB">
              <w:rPr>
                <w:rFonts w:ascii="Arial Narrow" w:hAnsi="Arial Narrow"/>
                <w:sz w:val="20"/>
                <w:szCs w:val="20"/>
              </w:rPr>
              <w:sym w:font="Wingdings" w:char="F0FC"/>
            </w:r>
          </w:p>
        </w:tc>
        <w:tc>
          <w:tcPr>
            <w:tcW w:w="543" w:type="pct"/>
            <w:vAlign w:val="center"/>
          </w:tcPr>
          <w:p w:rsidR="00E107F2" w:rsidRPr="00853F7A" w:rsidRDefault="00E107F2" w:rsidP="00A34379">
            <w:pPr>
              <w:keepNext/>
              <w:keepLines/>
              <w:jc w:val="center"/>
              <w:rPr>
                <w:rFonts w:ascii="Arial Narrow" w:eastAsia="MS Gothic" w:hAnsi="Arial Narrow" w:cs="Times New Roman"/>
                <w:bCs/>
                <w:sz w:val="20"/>
              </w:rPr>
            </w:pPr>
          </w:p>
        </w:tc>
        <w:tc>
          <w:tcPr>
            <w:tcW w:w="495"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p>
        </w:tc>
      </w:tr>
      <w:tr w:rsidR="00E107F2" w:rsidRPr="00917FFB" w:rsidTr="003F07A8">
        <w:trPr>
          <w:trHeight w:val="201"/>
          <w:jc w:val="center"/>
        </w:trPr>
        <w:tc>
          <w:tcPr>
            <w:tcW w:w="706" w:type="pct"/>
            <w:vAlign w:val="center"/>
          </w:tcPr>
          <w:p w:rsidR="00E107F2" w:rsidRPr="00917FFB" w:rsidRDefault="00E107F2" w:rsidP="00A34379">
            <w:pPr>
              <w:keepNext/>
              <w:keepLines/>
              <w:jc w:val="left"/>
              <w:rPr>
                <w:rFonts w:ascii="Arial Narrow" w:hAnsi="Arial Narrow" w:cs="Times New Roman"/>
                <w:iCs/>
                <w:sz w:val="20"/>
                <w:szCs w:val="20"/>
                <w:lang w:eastAsia="en-US"/>
              </w:rPr>
            </w:pPr>
            <w:r w:rsidRPr="00917FFB">
              <w:rPr>
                <w:rFonts w:ascii="Arial Narrow" w:hAnsi="Arial Narrow" w:cs="Times New Roman"/>
                <w:iCs/>
                <w:sz w:val="20"/>
                <w:szCs w:val="20"/>
                <w:lang w:eastAsia="en-US"/>
              </w:rPr>
              <w:t xml:space="preserve">CHRONOS </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2"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1°</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3" w:type="pct"/>
            <w:vAlign w:val="center"/>
          </w:tcPr>
          <w:p w:rsidR="00E107F2" w:rsidRPr="00917FFB" w:rsidRDefault="00E107F2" w:rsidP="00A34379">
            <w:pPr>
              <w:keepNext/>
              <w:keepLines/>
              <w:jc w:val="center"/>
              <w:rPr>
                <w:rFonts w:ascii="Arial Narrow" w:hAnsi="Arial Narrow"/>
                <w:sz w:val="20"/>
                <w:szCs w:val="20"/>
              </w:rPr>
            </w:pPr>
            <w:r w:rsidRPr="00917FFB">
              <w:rPr>
                <w:rFonts w:ascii="Arial Narrow" w:hAnsi="Arial Narrow"/>
                <w:sz w:val="20"/>
                <w:szCs w:val="20"/>
              </w:rPr>
              <w:sym w:font="Wingdings" w:char="F0FC"/>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1°</w:t>
            </w:r>
          </w:p>
        </w:tc>
        <w:tc>
          <w:tcPr>
            <w:tcW w:w="543" w:type="pct"/>
            <w:vAlign w:val="center"/>
          </w:tcPr>
          <w:p w:rsidR="00E107F2" w:rsidRPr="00853F7A" w:rsidRDefault="00E107F2" w:rsidP="00A34379">
            <w:pPr>
              <w:keepNext/>
              <w:keepLines/>
              <w:widowControl w:val="0"/>
              <w:jc w:val="center"/>
              <w:rPr>
                <w:rFonts w:ascii="Arial Narrow" w:eastAsia="MS Gothic" w:hAnsi="Arial Narrow" w:cs="Times New Roman"/>
                <w:bCs/>
                <w:sz w:val="20"/>
              </w:rPr>
            </w:pPr>
            <w:r w:rsidRPr="00917FFB">
              <w:rPr>
                <w:rFonts w:ascii="Arial Narrow" w:hAnsi="Arial Narrow"/>
                <w:sz w:val="20"/>
                <w:szCs w:val="20"/>
              </w:rPr>
              <w:sym w:font="Wingdings" w:char="F0FC"/>
            </w:r>
          </w:p>
        </w:tc>
        <w:tc>
          <w:tcPr>
            <w:tcW w:w="543" w:type="pct"/>
            <w:vAlign w:val="center"/>
          </w:tcPr>
          <w:p w:rsidR="00E107F2" w:rsidRPr="00853F7A" w:rsidRDefault="00E107F2" w:rsidP="00A34379">
            <w:pPr>
              <w:keepNext/>
              <w:keepLines/>
              <w:widowControl w:val="0"/>
              <w:jc w:val="center"/>
              <w:rPr>
                <w:rFonts w:ascii="Arial Narrow" w:eastAsia="MS Gothic" w:hAnsi="Arial Narrow" w:cs="Times New Roman"/>
                <w:bCs/>
                <w:sz w:val="20"/>
              </w:rPr>
            </w:pPr>
          </w:p>
        </w:tc>
        <w:tc>
          <w:tcPr>
            <w:tcW w:w="495" w:type="pct"/>
            <w:vAlign w:val="center"/>
          </w:tcPr>
          <w:p w:rsidR="00E107F2" w:rsidRPr="00917FFB" w:rsidRDefault="00E107F2" w:rsidP="00A34379">
            <w:pPr>
              <w:keepNext/>
              <w:keepLines/>
              <w:jc w:val="center"/>
              <w:rPr>
                <w:rFonts w:ascii="Arial Narrow" w:hAnsi="Arial Narrow" w:cs="Times New Roman"/>
                <w:iCs/>
                <w:sz w:val="20"/>
                <w:szCs w:val="20"/>
                <w:lang w:eastAsia="en-US"/>
              </w:rPr>
            </w:pPr>
          </w:p>
        </w:tc>
      </w:tr>
      <w:tr w:rsidR="00E107F2" w:rsidRPr="00917FFB" w:rsidTr="003F07A8">
        <w:trPr>
          <w:trHeight w:val="201"/>
          <w:jc w:val="center"/>
        </w:trPr>
        <w:tc>
          <w:tcPr>
            <w:tcW w:w="706" w:type="pct"/>
            <w:vAlign w:val="center"/>
          </w:tcPr>
          <w:p w:rsidR="00E107F2" w:rsidRPr="00917FFB" w:rsidRDefault="00E107F2" w:rsidP="00A34379">
            <w:pPr>
              <w:keepNext/>
              <w:keepLines/>
              <w:jc w:val="left"/>
              <w:rPr>
                <w:rFonts w:ascii="Arial Narrow" w:hAnsi="Arial Narrow" w:cs="Times New Roman"/>
                <w:iCs/>
                <w:sz w:val="20"/>
                <w:szCs w:val="20"/>
                <w:lang w:eastAsia="en-US"/>
              </w:rPr>
            </w:pPr>
            <w:r w:rsidRPr="00917FFB">
              <w:rPr>
                <w:rFonts w:ascii="Arial Narrow" w:hAnsi="Arial Narrow" w:cs="Times New Roman"/>
                <w:iCs/>
                <w:sz w:val="20"/>
                <w:szCs w:val="20"/>
                <w:lang w:eastAsia="en-US"/>
              </w:rPr>
              <w:t>JADE Compare</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2" w:type="pct"/>
            <w:vAlign w:val="center"/>
          </w:tcPr>
          <w:p w:rsidR="00E107F2" w:rsidRPr="00917FFB" w:rsidRDefault="00E107F2" w:rsidP="00A34379">
            <w:pPr>
              <w:keepNext/>
              <w:keepLines/>
              <w:jc w:val="center"/>
              <w:rPr>
                <w:rFonts w:ascii="Arial Narrow" w:hAnsi="Arial Narrow"/>
                <w:sz w:val="16"/>
                <w:szCs w:val="20"/>
              </w:rPr>
            </w:pPr>
            <w:r w:rsidRPr="00917FFB">
              <w:rPr>
                <w:rFonts w:ascii="Arial Narrow" w:hAnsi="Arial Narrow" w:cs="Times New Roman"/>
                <w:iCs/>
                <w:sz w:val="20"/>
                <w:szCs w:val="20"/>
                <w:lang w:eastAsia="en-US"/>
              </w:rPr>
              <w:t>1°</w:t>
            </w:r>
            <w:r w:rsidRPr="00917FFB">
              <w:rPr>
                <w:rFonts w:ascii="Arial Narrow" w:hAnsi="Arial Narrow"/>
                <w:sz w:val="20"/>
                <w:szCs w:val="20"/>
              </w:rPr>
              <w:t xml:space="preserve"> </w:t>
            </w:r>
            <w:r w:rsidRPr="00917FFB">
              <w:rPr>
                <w:rFonts w:ascii="Arial Narrow" w:hAnsi="Arial Narrow"/>
                <w:sz w:val="16"/>
                <w:szCs w:val="20"/>
              </w:rPr>
              <w:t>(Wk12)</w:t>
            </w:r>
          </w:p>
          <w:p w:rsidR="00E107F2" w:rsidRPr="00917FFB" w:rsidRDefault="00E107F2" w:rsidP="00A34379">
            <w:pPr>
              <w:keepNext/>
              <w:keepLines/>
              <w:jc w:val="center"/>
              <w:rPr>
                <w:rFonts w:ascii="Arial Narrow" w:hAnsi="Arial Narrow"/>
                <w:sz w:val="16"/>
                <w:szCs w:val="20"/>
              </w:rPr>
            </w:pPr>
            <w:r w:rsidRPr="000D2978">
              <w:rPr>
                <w:rFonts w:ascii="Arial Narrow" w:hAnsi="Arial Narrow" w:cs="Times New Roman"/>
                <w:iCs/>
                <w:sz w:val="20"/>
                <w:szCs w:val="20"/>
                <w:lang w:eastAsia="en-US"/>
              </w:rPr>
              <w:t>2°</w:t>
            </w:r>
            <w:r w:rsidRPr="000D2978">
              <w:rPr>
                <w:rFonts w:ascii="Arial Narrow" w:hAnsi="Arial Narrow"/>
                <w:sz w:val="20"/>
                <w:szCs w:val="20"/>
              </w:rPr>
              <w:t xml:space="preserve"> </w:t>
            </w:r>
            <w:r w:rsidRPr="00917FFB">
              <w:rPr>
                <w:rFonts w:ascii="Arial Narrow" w:hAnsi="Arial Narrow"/>
                <w:sz w:val="16"/>
                <w:szCs w:val="20"/>
              </w:rPr>
              <w:t>(Wk16)</w:t>
            </w:r>
          </w:p>
        </w:tc>
        <w:tc>
          <w:tcPr>
            <w:tcW w:w="543"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c>
          <w:tcPr>
            <w:tcW w:w="543" w:type="pct"/>
            <w:vAlign w:val="center"/>
          </w:tcPr>
          <w:p w:rsidR="00E107F2" w:rsidRPr="00917FFB" w:rsidRDefault="00E107F2" w:rsidP="00A34379">
            <w:pPr>
              <w:keepNext/>
              <w:keepLines/>
              <w:jc w:val="center"/>
              <w:rPr>
                <w:rFonts w:ascii="Arial Narrow" w:hAnsi="Arial Narrow"/>
                <w:sz w:val="20"/>
                <w:szCs w:val="20"/>
              </w:rPr>
            </w:pPr>
          </w:p>
        </w:tc>
        <w:tc>
          <w:tcPr>
            <w:tcW w:w="543" w:type="pct"/>
            <w:vAlign w:val="center"/>
          </w:tcPr>
          <w:p w:rsidR="00E107F2" w:rsidRPr="00917FFB" w:rsidRDefault="00E107F2" w:rsidP="00A34379">
            <w:pPr>
              <w:keepNext/>
              <w:keepLines/>
              <w:jc w:val="center"/>
              <w:rPr>
                <w:rFonts w:ascii="Arial Narrow" w:hAnsi="Arial Narrow"/>
                <w:sz w:val="16"/>
                <w:szCs w:val="20"/>
              </w:rPr>
            </w:pPr>
            <w:r w:rsidRPr="000D2978">
              <w:rPr>
                <w:rFonts w:ascii="Arial Narrow" w:hAnsi="Arial Narrow" w:cs="Times New Roman"/>
                <w:iCs/>
                <w:sz w:val="20"/>
                <w:szCs w:val="20"/>
                <w:lang w:eastAsia="en-US"/>
              </w:rPr>
              <w:t>1°</w:t>
            </w:r>
            <w:r w:rsidRPr="000D2978">
              <w:rPr>
                <w:rFonts w:ascii="Arial Narrow" w:hAnsi="Arial Narrow"/>
                <w:sz w:val="20"/>
                <w:szCs w:val="20"/>
              </w:rPr>
              <w:t xml:space="preserve"> </w:t>
            </w:r>
            <w:r w:rsidRPr="00917FFB">
              <w:rPr>
                <w:rFonts w:ascii="Arial Narrow" w:hAnsi="Arial Narrow"/>
                <w:sz w:val="16"/>
                <w:szCs w:val="20"/>
              </w:rPr>
              <w:t>(Wk12)</w:t>
            </w:r>
          </w:p>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cs="Times New Roman"/>
                <w:iCs/>
                <w:sz w:val="20"/>
                <w:szCs w:val="20"/>
                <w:lang w:eastAsia="en-US"/>
              </w:rPr>
              <w:t>2°</w:t>
            </w:r>
            <w:r w:rsidRPr="00917FFB">
              <w:rPr>
                <w:rFonts w:ascii="Arial Narrow" w:hAnsi="Arial Narrow"/>
                <w:sz w:val="20"/>
                <w:szCs w:val="20"/>
              </w:rPr>
              <w:t xml:space="preserve"> </w:t>
            </w:r>
            <w:r w:rsidRPr="00917FFB">
              <w:rPr>
                <w:rFonts w:ascii="Arial Narrow" w:hAnsi="Arial Narrow"/>
                <w:sz w:val="16"/>
                <w:szCs w:val="20"/>
              </w:rPr>
              <w:t>(Wk16)</w:t>
            </w:r>
          </w:p>
        </w:tc>
        <w:tc>
          <w:tcPr>
            <w:tcW w:w="543" w:type="pct"/>
            <w:vAlign w:val="center"/>
          </w:tcPr>
          <w:p w:rsidR="00E107F2" w:rsidRPr="00853F7A" w:rsidRDefault="00E107F2" w:rsidP="00A34379">
            <w:pPr>
              <w:keepNext/>
              <w:keepLines/>
              <w:widowControl w:val="0"/>
              <w:jc w:val="center"/>
              <w:rPr>
                <w:rFonts w:ascii="Arial Narrow" w:eastAsia="MS Gothic" w:hAnsi="Arial Narrow" w:cs="Times New Roman"/>
                <w:bCs/>
                <w:sz w:val="20"/>
              </w:rPr>
            </w:pPr>
          </w:p>
        </w:tc>
        <w:tc>
          <w:tcPr>
            <w:tcW w:w="543" w:type="pct"/>
            <w:vAlign w:val="center"/>
          </w:tcPr>
          <w:p w:rsidR="00E107F2" w:rsidRPr="00853F7A" w:rsidRDefault="00E107F2" w:rsidP="00A34379">
            <w:pPr>
              <w:keepNext/>
              <w:keepLines/>
              <w:widowControl w:val="0"/>
              <w:jc w:val="center"/>
              <w:rPr>
                <w:rFonts w:ascii="Arial Narrow" w:eastAsia="MS Gothic" w:hAnsi="Arial Narrow" w:cs="Times New Roman"/>
                <w:bCs/>
                <w:sz w:val="20"/>
              </w:rPr>
            </w:pPr>
          </w:p>
        </w:tc>
        <w:tc>
          <w:tcPr>
            <w:tcW w:w="495" w:type="pct"/>
            <w:vAlign w:val="center"/>
          </w:tcPr>
          <w:p w:rsidR="00E107F2" w:rsidRPr="00917FFB" w:rsidRDefault="00E107F2" w:rsidP="00A34379">
            <w:pPr>
              <w:keepNext/>
              <w:keepLines/>
              <w:jc w:val="center"/>
              <w:rPr>
                <w:rFonts w:ascii="Arial Narrow" w:hAnsi="Arial Narrow" w:cs="Times New Roman"/>
                <w:iCs/>
                <w:sz w:val="20"/>
                <w:szCs w:val="20"/>
                <w:lang w:eastAsia="en-US"/>
              </w:rPr>
            </w:pPr>
            <w:r w:rsidRPr="00917FFB">
              <w:rPr>
                <w:rFonts w:ascii="Arial Narrow" w:hAnsi="Arial Narrow"/>
                <w:sz w:val="20"/>
                <w:szCs w:val="20"/>
              </w:rPr>
              <w:sym w:font="Wingdings" w:char="F0FC"/>
            </w:r>
          </w:p>
        </w:tc>
      </w:tr>
    </w:tbl>
    <w:p w:rsidR="00275024" w:rsidRPr="007E2360" w:rsidRDefault="00275024" w:rsidP="00A34379">
      <w:pPr>
        <w:keepNext/>
        <w:keepLines/>
        <w:widowControl w:val="0"/>
        <w:rPr>
          <w:rFonts w:ascii="Arial Narrow" w:hAnsi="Arial Narrow"/>
          <w:iCs/>
          <w:snapToGrid w:val="0"/>
          <w:sz w:val="18"/>
          <w:szCs w:val="18"/>
          <w:lang w:eastAsia="en-US"/>
        </w:rPr>
      </w:pPr>
      <w:r w:rsidRPr="007E2360">
        <w:rPr>
          <w:rFonts w:ascii="Arial Narrow" w:hAnsi="Arial Narrow"/>
          <w:iCs/>
          <w:snapToGrid w:val="0"/>
          <w:sz w:val="18"/>
          <w:szCs w:val="18"/>
          <w:lang w:eastAsia="en-US"/>
        </w:rPr>
        <w:t>Source: Compiled during evaluation with reference to Table 2.4-8 of the submission and related CSRs/protocols.</w:t>
      </w:r>
    </w:p>
    <w:p w:rsidR="00275024" w:rsidRPr="007E2360" w:rsidRDefault="00275024" w:rsidP="00A34379">
      <w:pPr>
        <w:keepNext/>
        <w:keepLines/>
        <w:rPr>
          <w:rFonts w:ascii="Arial Narrow" w:hAnsi="Arial Narrow"/>
          <w:sz w:val="18"/>
          <w:szCs w:val="18"/>
        </w:rPr>
      </w:pPr>
      <w:r w:rsidRPr="007E2360">
        <w:rPr>
          <w:rFonts w:ascii="Arial Narrow" w:hAnsi="Arial Narrow"/>
          <w:sz w:val="18"/>
          <w:szCs w:val="18"/>
        </w:rPr>
        <w:t>Abbreviations: EASI=Eczema Area and Severity Index; IGA=Investigator’s Global Assessment; DLQI=Dermatology Life Quality Index.</w:t>
      </w:r>
    </w:p>
    <w:p w:rsidR="00275024" w:rsidRPr="007E2360" w:rsidRDefault="00275024" w:rsidP="00A34379">
      <w:pPr>
        <w:keepNext/>
        <w:keepLines/>
        <w:widowControl w:val="0"/>
        <w:spacing w:after="120"/>
        <w:contextualSpacing/>
        <w:rPr>
          <w:rFonts w:ascii="Arial Narrow" w:hAnsi="Arial Narrow"/>
          <w:snapToGrid w:val="0"/>
          <w:sz w:val="18"/>
          <w:szCs w:val="18"/>
        </w:rPr>
      </w:pPr>
      <w:r w:rsidRPr="007E2360">
        <w:rPr>
          <w:rFonts w:ascii="Arial Narrow" w:hAnsi="Arial Narrow"/>
          <w:snapToGrid w:val="0"/>
          <w:sz w:val="18"/>
          <w:szCs w:val="18"/>
          <w:vertAlign w:val="superscript"/>
        </w:rPr>
        <w:t xml:space="preserve">a </w:t>
      </w:r>
      <w:r w:rsidRPr="007E2360">
        <w:rPr>
          <w:rFonts w:ascii="Arial Narrow" w:hAnsi="Arial Narrow"/>
          <w:snapToGrid w:val="0"/>
          <w:sz w:val="18"/>
          <w:szCs w:val="18"/>
        </w:rPr>
        <w:t xml:space="preserve">At least 50/75/90% improvement/reduction from baseline in EASI score. </w:t>
      </w:r>
    </w:p>
    <w:p w:rsidR="00275024" w:rsidRPr="007E2360" w:rsidRDefault="00275024" w:rsidP="00A34379">
      <w:pPr>
        <w:keepNext/>
        <w:keepLines/>
        <w:widowControl w:val="0"/>
        <w:spacing w:after="120"/>
        <w:contextualSpacing/>
        <w:rPr>
          <w:rFonts w:ascii="Arial Narrow" w:hAnsi="Arial Narrow"/>
          <w:snapToGrid w:val="0"/>
          <w:sz w:val="18"/>
          <w:szCs w:val="18"/>
          <w:vertAlign w:val="superscript"/>
        </w:rPr>
      </w:pPr>
      <w:r w:rsidRPr="007E2360">
        <w:rPr>
          <w:rFonts w:ascii="Arial Narrow" w:hAnsi="Arial Narrow"/>
          <w:snapToGrid w:val="0"/>
          <w:sz w:val="18"/>
          <w:szCs w:val="18"/>
          <w:vertAlign w:val="superscript"/>
        </w:rPr>
        <w:t xml:space="preserve">b </w:t>
      </w:r>
      <w:r w:rsidRPr="007E2360">
        <w:rPr>
          <w:rFonts w:ascii="Arial Narrow" w:hAnsi="Arial Narrow"/>
          <w:snapToGrid w:val="0"/>
          <w:sz w:val="18"/>
          <w:szCs w:val="18"/>
        </w:rPr>
        <w:t>% change from baseline in EASI score.</w:t>
      </w:r>
      <w:r w:rsidRPr="007E2360">
        <w:rPr>
          <w:rFonts w:ascii="Arial Narrow" w:hAnsi="Arial Narrow"/>
          <w:snapToGrid w:val="0"/>
          <w:sz w:val="18"/>
          <w:szCs w:val="18"/>
          <w:vertAlign w:val="superscript"/>
        </w:rPr>
        <w:t xml:space="preserve"> </w:t>
      </w:r>
    </w:p>
    <w:p w:rsidR="00275024" w:rsidRPr="007E2360" w:rsidRDefault="00275024" w:rsidP="00A34379">
      <w:pPr>
        <w:keepNext/>
        <w:keepLines/>
        <w:widowControl w:val="0"/>
        <w:spacing w:after="120"/>
        <w:contextualSpacing/>
        <w:rPr>
          <w:rFonts w:ascii="Arial Narrow" w:hAnsi="Arial Narrow"/>
          <w:snapToGrid w:val="0"/>
          <w:sz w:val="18"/>
          <w:szCs w:val="18"/>
        </w:rPr>
      </w:pPr>
      <w:r w:rsidRPr="007E2360">
        <w:rPr>
          <w:rFonts w:ascii="Arial Narrow" w:hAnsi="Arial Narrow"/>
          <w:snapToGrid w:val="0"/>
          <w:sz w:val="18"/>
          <w:szCs w:val="18"/>
          <w:vertAlign w:val="superscript"/>
        </w:rPr>
        <w:t>c</w:t>
      </w:r>
      <w:r w:rsidRPr="007E2360">
        <w:rPr>
          <w:rFonts w:ascii="Arial Narrow" w:hAnsi="Arial Narrow"/>
          <w:snapToGrid w:val="0"/>
          <w:sz w:val="18"/>
          <w:szCs w:val="18"/>
        </w:rPr>
        <w:t xml:space="preserve"> Proportion of patients achieving IGA of 0 or 1 with a ≥2-point improvement (i.e.: from a baseline of 3 or 4 on the 5-point IGA scale).</w:t>
      </w:r>
    </w:p>
    <w:p w:rsidR="00275024" w:rsidRPr="007E2360" w:rsidRDefault="00275024" w:rsidP="00A34379">
      <w:pPr>
        <w:keepNext/>
        <w:keepLines/>
        <w:widowControl w:val="0"/>
        <w:spacing w:after="120"/>
        <w:contextualSpacing/>
        <w:rPr>
          <w:rFonts w:ascii="Arial Narrow" w:hAnsi="Arial Narrow"/>
          <w:snapToGrid w:val="0"/>
          <w:sz w:val="18"/>
          <w:szCs w:val="18"/>
          <w:vertAlign w:val="superscript"/>
        </w:rPr>
      </w:pPr>
      <w:r w:rsidRPr="007E2360">
        <w:rPr>
          <w:rFonts w:ascii="Arial Narrow" w:hAnsi="Arial Narrow"/>
          <w:snapToGrid w:val="0"/>
          <w:sz w:val="18"/>
          <w:szCs w:val="18"/>
          <w:vertAlign w:val="superscript"/>
        </w:rPr>
        <w:t xml:space="preserve">d </w:t>
      </w:r>
      <w:r w:rsidRPr="007E2360">
        <w:rPr>
          <w:rFonts w:ascii="Arial Narrow" w:hAnsi="Arial Narrow"/>
          <w:snapToGrid w:val="0"/>
          <w:sz w:val="18"/>
          <w:szCs w:val="18"/>
        </w:rPr>
        <w:t xml:space="preserve">Proportion of patients achieving an improvement (reduction) in DLQI ≥ 4. </w:t>
      </w:r>
    </w:p>
    <w:p w:rsidR="00275024" w:rsidRPr="007E2360" w:rsidRDefault="00275024" w:rsidP="00A34379">
      <w:pPr>
        <w:keepNext/>
        <w:keepLines/>
        <w:widowControl w:val="0"/>
        <w:spacing w:after="120"/>
        <w:contextualSpacing/>
        <w:rPr>
          <w:rFonts w:ascii="Arial Narrow" w:hAnsi="Arial Narrow"/>
          <w:snapToGrid w:val="0"/>
          <w:sz w:val="18"/>
          <w:szCs w:val="18"/>
        </w:rPr>
      </w:pPr>
      <w:r w:rsidRPr="007E2360">
        <w:rPr>
          <w:rFonts w:ascii="Arial Narrow" w:hAnsi="Arial Narrow"/>
          <w:snapToGrid w:val="0"/>
          <w:sz w:val="18"/>
          <w:szCs w:val="18"/>
          <w:vertAlign w:val="superscript"/>
        </w:rPr>
        <w:t>e</w:t>
      </w:r>
      <w:r w:rsidRPr="007E2360">
        <w:rPr>
          <w:rFonts w:ascii="Arial Narrow" w:hAnsi="Arial Narrow"/>
          <w:snapToGrid w:val="0"/>
          <w:sz w:val="18"/>
          <w:szCs w:val="18"/>
        </w:rPr>
        <w:t xml:space="preserve"> Proportion of patients achieving DLQI score of 0/1 for patients with a DLQI score &gt; 1 at baseline.</w:t>
      </w:r>
    </w:p>
    <w:p w:rsidR="00275024" w:rsidRPr="007E2360" w:rsidRDefault="00275024" w:rsidP="00A34379">
      <w:pPr>
        <w:keepNext/>
        <w:keepLines/>
        <w:widowControl w:val="0"/>
        <w:spacing w:after="120"/>
        <w:contextualSpacing/>
        <w:rPr>
          <w:rFonts w:ascii="Arial Narrow" w:hAnsi="Arial Narrow"/>
          <w:snapToGrid w:val="0"/>
          <w:sz w:val="18"/>
          <w:szCs w:val="18"/>
        </w:rPr>
      </w:pPr>
      <w:r w:rsidRPr="007E2360">
        <w:rPr>
          <w:rFonts w:ascii="Arial Narrow" w:hAnsi="Arial Narrow"/>
          <w:snapToGrid w:val="0"/>
          <w:sz w:val="18"/>
          <w:szCs w:val="18"/>
          <w:vertAlign w:val="superscript"/>
        </w:rPr>
        <w:t xml:space="preserve">f  </w:t>
      </w:r>
      <w:r w:rsidRPr="007E2360">
        <w:rPr>
          <w:rFonts w:ascii="Arial Narrow" w:hAnsi="Arial Narrow"/>
          <w:snapToGrid w:val="0"/>
          <w:sz w:val="18"/>
          <w:szCs w:val="18"/>
        </w:rPr>
        <w:t>Mean change or absolute and percentage change from baseline in the DLQI total scores.</w:t>
      </w:r>
    </w:p>
    <w:p w:rsidR="00275024" w:rsidRPr="007E2360" w:rsidRDefault="00275024" w:rsidP="00A34379">
      <w:pPr>
        <w:keepNext/>
        <w:keepLines/>
        <w:widowControl w:val="0"/>
        <w:spacing w:after="120"/>
        <w:contextualSpacing/>
        <w:rPr>
          <w:rFonts w:ascii="Arial Narrow" w:eastAsia="Calibri" w:hAnsi="Arial Narrow" w:cs="Times New Roman"/>
          <w:sz w:val="18"/>
          <w:szCs w:val="18"/>
          <w:lang w:eastAsia="en-US"/>
        </w:rPr>
      </w:pPr>
      <w:r w:rsidRPr="007E2360">
        <w:rPr>
          <w:rFonts w:ascii="Arial Narrow" w:eastAsia="Calibri" w:hAnsi="Arial Narrow" w:cs="Times New Roman"/>
          <w:sz w:val="18"/>
          <w:szCs w:val="18"/>
          <w:vertAlign w:val="superscript"/>
          <w:lang w:eastAsia="en-US"/>
        </w:rPr>
        <w:t>g</w:t>
      </w:r>
      <w:r w:rsidRPr="007E2360">
        <w:rPr>
          <w:rFonts w:ascii="Arial Narrow" w:eastAsia="Calibri" w:hAnsi="Arial Narrow" w:cs="Times New Roman"/>
          <w:sz w:val="18"/>
          <w:szCs w:val="18"/>
          <w:lang w:eastAsia="en-US"/>
        </w:rPr>
        <w:t xml:space="preserve"> EASI 75 was a coprimary outcome in Europe and Japan and a key secondary outcome elsewhere.</w:t>
      </w:r>
    </w:p>
    <w:p w:rsidR="00DB40A1" w:rsidRPr="000D2978" w:rsidRDefault="00A4278B" w:rsidP="00DB40A1">
      <w:pPr>
        <w:pStyle w:val="3-BodyText"/>
        <w:rPr>
          <w:iCs/>
        </w:rPr>
      </w:pPr>
      <w:r w:rsidRPr="00917FFB">
        <w:rPr>
          <w:iCs/>
        </w:rPr>
        <w:t>The trials provide clinical evidence for patients with AD affecting the whole body (as none of the trial</w:t>
      </w:r>
      <w:r w:rsidR="00C16AFE" w:rsidRPr="000D2978">
        <w:rPr>
          <w:iCs/>
        </w:rPr>
        <w:t>s</w:t>
      </w:r>
      <w:r w:rsidRPr="000D2978">
        <w:rPr>
          <w:iCs/>
        </w:rPr>
        <w:t xml:space="preserve"> enrolled patients with AD exclusively affecting the face and hands), but neither the PBS respon</w:t>
      </w:r>
      <w:r w:rsidRPr="00917FFB">
        <w:rPr>
          <w:iCs/>
        </w:rPr>
        <w:t xml:space="preserve">se criteria (i.e. EASI 50 </w:t>
      </w:r>
      <w:r w:rsidRPr="00853F7A">
        <w:rPr>
          <w:b/>
          <w:bCs/>
          <w:iCs/>
        </w:rPr>
        <w:t>and</w:t>
      </w:r>
      <w:r w:rsidRPr="00917FFB">
        <w:rPr>
          <w:iCs/>
        </w:rPr>
        <w:t xml:space="preserve"> DLQI </w:t>
      </w:r>
      <w:r w:rsidRPr="00917FFB">
        <w:rPr>
          <w:rFonts w:cstheme="minorHAnsi"/>
          <w:iCs/>
        </w:rPr>
        <w:t>≥</w:t>
      </w:r>
      <w:r w:rsidRPr="00917FFB">
        <w:rPr>
          <w:iCs/>
        </w:rPr>
        <w:t xml:space="preserve">4) nor the PBS population (i.e. severe AD, defined as EASI score ≥20 </w:t>
      </w:r>
      <w:r w:rsidRPr="00853F7A">
        <w:rPr>
          <w:b/>
          <w:bCs/>
          <w:iCs/>
        </w:rPr>
        <w:t>and</w:t>
      </w:r>
      <w:r w:rsidRPr="00917FFB">
        <w:rPr>
          <w:iCs/>
        </w:rPr>
        <w:t xml:space="preserve"> PGA score = 4) were pre-specified analyses in any of the trials.</w:t>
      </w:r>
    </w:p>
    <w:p w:rsidR="00A4278B" w:rsidRPr="00853F7A" w:rsidRDefault="00A4278B" w:rsidP="00DB40A1">
      <w:pPr>
        <w:pStyle w:val="3-BodyText"/>
        <w:rPr>
          <w:iCs/>
        </w:rPr>
      </w:pPr>
      <w:r w:rsidRPr="000D2978">
        <w:rPr>
          <w:iCs/>
        </w:rPr>
        <w:t xml:space="preserve">The submission did not provide any evidence to support listing of BARI in patients with severe AD affecting the face </w:t>
      </w:r>
      <w:r w:rsidRPr="00917FFB">
        <w:rPr>
          <w:iCs/>
        </w:rPr>
        <w:t>and hands. For DUPI, the decision to extend listing to patients with disease affecting the face and hands was based on a post-hoc analysis indicating similar and statistically significant improvements in EASI score for all body areas assessed, including head &amp; neck, trunk, upper limbs, lower limbs (para 3.4, DUPI PSD March 2020 PBAC meeting).</w:t>
      </w:r>
      <w:r w:rsidR="0041337B" w:rsidRPr="00917FFB">
        <w:rPr>
          <w:iCs/>
        </w:rPr>
        <w:t xml:space="preserve"> The PSCR </w:t>
      </w:r>
      <w:r w:rsidR="00C16AFE" w:rsidRPr="00917FFB">
        <w:rPr>
          <w:iCs/>
        </w:rPr>
        <w:t>provided</w:t>
      </w:r>
      <w:r w:rsidR="0041337B" w:rsidRPr="00917FFB">
        <w:rPr>
          <w:iCs/>
        </w:rPr>
        <w:t xml:space="preserve"> a post-hoc analysis for the head and neck region </w:t>
      </w:r>
      <w:r w:rsidR="00C16AFE" w:rsidRPr="00917FFB">
        <w:rPr>
          <w:iCs/>
        </w:rPr>
        <w:t>EASI 50 and EASI 74 score</w:t>
      </w:r>
      <w:r w:rsidR="00AB403F" w:rsidRPr="00917FFB">
        <w:rPr>
          <w:iCs/>
        </w:rPr>
        <w:t>s</w:t>
      </w:r>
      <w:r w:rsidR="00C16AFE" w:rsidRPr="00917FFB">
        <w:rPr>
          <w:iCs/>
        </w:rPr>
        <w:t xml:space="preserve"> in</w:t>
      </w:r>
      <w:r w:rsidR="0041337B" w:rsidRPr="00917FFB">
        <w:rPr>
          <w:iCs/>
        </w:rPr>
        <w:t xml:space="preserve"> the BARI trials (BREEZE-AD1 and BREEZE-AD2). </w:t>
      </w:r>
      <w:r w:rsidR="0041337B" w:rsidRPr="00917FFB">
        <w:rPr>
          <w:rFonts w:cstheme="minorHAnsi"/>
          <w:iCs/>
        </w:rPr>
        <w:t>In the pooled BREEZE-AD1 and BREEZE-AD2 trials, there were 1</w:t>
      </w:r>
      <w:r w:rsidR="00C16AFE" w:rsidRPr="00917FFB">
        <w:rPr>
          <w:rFonts w:cstheme="minorHAnsi"/>
          <w:iCs/>
        </w:rPr>
        <w:t>,</w:t>
      </w:r>
      <w:r w:rsidR="0041337B" w:rsidRPr="00917FFB">
        <w:rPr>
          <w:rFonts w:cstheme="minorHAnsi"/>
          <w:iCs/>
        </w:rPr>
        <w:t xml:space="preserve">239 patients of </w:t>
      </w:r>
      <w:r w:rsidR="00AB403F" w:rsidRPr="00917FFB">
        <w:rPr>
          <w:rFonts w:cstheme="minorHAnsi"/>
          <w:iCs/>
        </w:rPr>
        <w:t>whom</w:t>
      </w:r>
      <w:r w:rsidR="0041337B" w:rsidRPr="00917FFB">
        <w:rPr>
          <w:rFonts w:cstheme="minorHAnsi"/>
          <w:iCs/>
        </w:rPr>
        <w:t xml:space="preserve"> 1</w:t>
      </w:r>
      <w:r w:rsidR="00C16AFE" w:rsidRPr="00917FFB">
        <w:rPr>
          <w:rFonts w:cstheme="minorHAnsi"/>
          <w:iCs/>
        </w:rPr>
        <w:t>,</w:t>
      </w:r>
      <w:r w:rsidR="0041337B" w:rsidRPr="00917FFB">
        <w:rPr>
          <w:rFonts w:cstheme="minorHAnsi"/>
          <w:iCs/>
        </w:rPr>
        <w:t xml:space="preserve">215 (98.1%) had head and neck involvement. The PSCR claimed that the response to BARI in the head and neck region is consistent </w:t>
      </w:r>
      <w:r w:rsidR="001A50B9" w:rsidRPr="00917FFB">
        <w:rPr>
          <w:rFonts w:cstheme="minorHAnsi"/>
          <w:iCs/>
        </w:rPr>
        <w:t>with</w:t>
      </w:r>
      <w:r w:rsidR="0041337B" w:rsidRPr="00917FFB">
        <w:rPr>
          <w:rFonts w:cstheme="minorHAnsi"/>
          <w:iCs/>
        </w:rPr>
        <w:t xml:space="preserve"> the response to BARI in the whole body.</w:t>
      </w:r>
      <w:r w:rsidR="0097030A" w:rsidRPr="00917FFB">
        <w:rPr>
          <w:rFonts w:cstheme="minorHAnsi"/>
          <w:iCs/>
        </w:rPr>
        <w:t xml:space="preserve"> The ESC considered this was in line with the evidence presented for DUPI to justify the additional restriction.</w:t>
      </w:r>
      <w:r w:rsidR="0097030A" w:rsidRPr="00917FFB">
        <w:rPr>
          <w:rFonts w:cstheme="minorHAnsi"/>
          <w:i/>
        </w:rPr>
        <w:t xml:space="preserve"> </w:t>
      </w:r>
    </w:p>
    <w:p w:rsidR="00B60939" w:rsidRPr="00917FFB" w:rsidRDefault="00B60939" w:rsidP="00EC5836">
      <w:pPr>
        <w:pStyle w:val="4-SubsectionHeading"/>
      </w:pPr>
      <w:bookmarkStart w:id="12" w:name="_Toc22897641"/>
      <w:bookmarkStart w:id="13" w:name="_Toc72320853"/>
      <w:r w:rsidRPr="00917FFB">
        <w:t>Comparative effectiveness</w:t>
      </w:r>
      <w:bookmarkEnd w:id="12"/>
      <w:bookmarkEnd w:id="13"/>
    </w:p>
    <w:p w:rsidR="00C36F08" w:rsidRPr="00917FFB" w:rsidRDefault="00C36F08" w:rsidP="00C36F08">
      <w:pPr>
        <w:spacing w:before="120" w:after="120"/>
        <w:rPr>
          <w:u w:val="single"/>
        </w:rPr>
      </w:pPr>
      <w:r w:rsidRPr="00917FFB">
        <w:rPr>
          <w:u w:val="single"/>
        </w:rPr>
        <w:t>Treatment response at Week 16</w:t>
      </w:r>
    </w:p>
    <w:p w:rsidR="005A699A" w:rsidRPr="00917FFB" w:rsidRDefault="005A699A" w:rsidP="005A699A">
      <w:pPr>
        <w:pStyle w:val="3-BodyText"/>
      </w:pPr>
      <w:r w:rsidRPr="00917FFB">
        <w:t>The submission presented a series of indirect treatment comparisons between BARI 2</w:t>
      </w:r>
      <w:r w:rsidR="00AB403F" w:rsidRPr="00917FFB">
        <w:t> </w:t>
      </w:r>
      <w:r w:rsidRPr="00917FFB">
        <w:t>mg and BARI 4</w:t>
      </w:r>
      <w:r w:rsidR="00AB403F" w:rsidRPr="00917FFB">
        <w:t xml:space="preserve"> </w:t>
      </w:r>
      <w:r w:rsidRPr="00917FFB">
        <w:t>mg versus DUPI 300</w:t>
      </w:r>
      <w:r w:rsidR="00AB403F" w:rsidRPr="00917FFB">
        <w:t xml:space="preserve"> </w:t>
      </w:r>
      <w:r w:rsidRPr="00917FFB">
        <w:t xml:space="preserve">mg, using PBO as a common comparator, for different outcomes at Week 16 in the PBS subgroup (i.e. severe AD) and the ITT population (i.e. moderate and severe AD). For the PBS subgroup, severe AD was defined as </w:t>
      </w:r>
      <w:r w:rsidRPr="00917FFB">
        <w:rPr>
          <w:iCs/>
        </w:rPr>
        <w:t>EASI score ≥20 and IGA score = 4 at baseline.</w:t>
      </w:r>
    </w:p>
    <w:p w:rsidR="008F6880" w:rsidRPr="00917FFB" w:rsidRDefault="005A699A" w:rsidP="008F6880">
      <w:pPr>
        <w:pStyle w:val="3-BodyText"/>
      </w:pPr>
      <w:r w:rsidRPr="00917FFB">
        <w:t>For the PBS response outcome</w:t>
      </w:r>
      <w:r w:rsidR="008F6880" w:rsidRPr="00917FFB">
        <w:t xml:space="preserve"> in the PBS subgroup</w:t>
      </w:r>
      <w:r w:rsidRPr="00917FFB">
        <w:t xml:space="preserve">, the submission presented </w:t>
      </w:r>
      <w:r w:rsidRPr="00917FFB">
        <w:rPr>
          <w:iCs/>
        </w:rPr>
        <w:t>post</w:t>
      </w:r>
      <w:r w:rsidR="00AB403F" w:rsidRPr="00917FFB">
        <w:rPr>
          <w:iCs/>
        </w:rPr>
        <w:noBreakHyphen/>
      </w:r>
      <w:r w:rsidRPr="00917FFB">
        <w:rPr>
          <w:iCs/>
        </w:rPr>
        <w:t>hoc</w:t>
      </w:r>
      <w:r w:rsidRPr="00917FFB">
        <w:rPr>
          <w:i/>
          <w:iCs/>
        </w:rPr>
        <w:t xml:space="preserve"> </w:t>
      </w:r>
      <w:r w:rsidRPr="00917FFB">
        <w:t xml:space="preserve">results from the BARI trials and relied on limited </w:t>
      </w:r>
      <w:r w:rsidR="008F6880" w:rsidRPr="00917FFB">
        <w:t>data reported in the DUPI PSD (March 2020, Table 10). For the DUPI trials, however, data was only available for CsA-naïve and CsA-experienced patients pooled across monotherapy and combination therapy trials, rather than the outcomes in each trial. Hence, it was not possible to assess or control for the heterogeneity of treatment effect across the different DUPI trials (i.e. monotherapy versus combination therapy trials). Given these limitations and the post-hoc nature of the PBS response outcome, the submission also presented indirect comparisons for other efficacy outcomes in the ITT populations, to have a more complete view of the comparative efficacy between BARI and DUPI.</w:t>
      </w:r>
    </w:p>
    <w:p w:rsidR="005222D0" w:rsidRPr="00917FFB" w:rsidRDefault="008F6880" w:rsidP="0041337B">
      <w:pPr>
        <w:pStyle w:val="3-BodyText"/>
      </w:pPr>
      <w:r w:rsidRPr="00917FFB">
        <w:t>Table 5 presents results of the PBS response outcome in the PBS subgroup across the trials.</w:t>
      </w:r>
    </w:p>
    <w:p w:rsidR="00E36289" w:rsidRPr="00917FFB" w:rsidRDefault="00E36289" w:rsidP="00B568BA">
      <w:pPr>
        <w:widowControl w:val="0"/>
        <w:rPr>
          <w:rFonts w:ascii="Arial Narrow" w:hAnsi="Arial Narrow"/>
          <w:b/>
          <w:bCs/>
          <w:snapToGrid w:val="0"/>
          <w:sz w:val="20"/>
          <w:szCs w:val="20"/>
          <w:lang w:eastAsia="en-US"/>
        </w:rPr>
      </w:pPr>
    </w:p>
    <w:p w:rsidR="008F6880" w:rsidRPr="00917FFB" w:rsidRDefault="008F6880" w:rsidP="00851832">
      <w:pPr>
        <w:keepNext/>
        <w:keepLines/>
        <w:widowControl w:val="0"/>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 xml:space="preserve">Table 5: </w:t>
      </w:r>
      <w:r w:rsidR="00CD5F61" w:rsidRPr="00917FFB">
        <w:rPr>
          <w:rFonts w:ascii="Arial Narrow" w:hAnsi="Arial Narrow"/>
          <w:b/>
          <w:bCs/>
          <w:snapToGrid w:val="0"/>
          <w:sz w:val="20"/>
          <w:szCs w:val="20"/>
          <w:lang w:eastAsia="en-US"/>
        </w:rPr>
        <w:t>T</w:t>
      </w:r>
      <w:r w:rsidR="00B568BA" w:rsidRPr="00917FFB">
        <w:rPr>
          <w:rFonts w:ascii="Arial Narrow" w:hAnsi="Arial Narrow"/>
          <w:b/>
          <w:bCs/>
          <w:snapToGrid w:val="0"/>
          <w:sz w:val="20"/>
          <w:szCs w:val="20"/>
          <w:lang w:eastAsia="en-US"/>
        </w:rPr>
        <w:t xml:space="preserve">rial results and indirect treatment comparison for </w:t>
      </w:r>
      <w:r w:rsidRPr="00917FFB">
        <w:rPr>
          <w:rFonts w:ascii="Arial Narrow" w:hAnsi="Arial Narrow"/>
          <w:b/>
          <w:bCs/>
          <w:snapToGrid w:val="0"/>
          <w:sz w:val="20"/>
          <w:szCs w:val="20"/>
          <w:lang w:eastAsia="en-US"/>
        </w:rPr>
        <w:t xml:space="preserve">PBS response </w:t>
      </w:r>
      <w:r w:rsidR="00B568BA" w:rsidRPr="00917FFB">
        <w:rPr>
          <w:rFonts w:ascii="Arial Narrow" w:hAnsi="Arial Narrow"/>
          <w:b/>
          <w:bCs/>
          <w:snapToGrid w:val="0"/>
          <w:sz w:val="20"/>
          <w:szCs w:val="20"/>
          <w:lang w:eastAsia="en-US"/>
        </w:rPr>
        <w:t xml:space="preserve">outcome </w:t>
      </w:r>
      <w:r w:rsidRPr="00917FFB">
        <w:rPr>
          <w:rFonts w:ascii="Arial Narrow" w:hAnsi="Arial Narrow"/>
          <w:b/>
          <w:bCs/>
          <w:snapToGrid w:val="0"/>
          <w:sz w:val="20"/>
          <w:szCs w:val="20"/>
          <w:lang w:eastAsia="en-US"/>
        </w:rPr>
        <w:t>(EASI-50 AND DLQI ≥4) at Week 16</w:t>
      </w:r>
      <w:r w:rsidR="00B568BA" w:rsidRPr="00917FFB">
        <w:rPr>
          <w:rFonts w:ascii="Arial Narrow" w:hAnsi="Arial Narrow"/>
          <w:b/>
          <w:bCs/>
          <w:snapToGrid w:val="0"/>
          <w:sz w:val="20"/>
          <w:szCs w:val="20"/>
          <w:lang w:eastAsia="en-US"/>
        </w:rPr>
        <w:t>,</w:t>
      </w:r>
      <w:r w:rsidRPr="00917FFB">
        <w:rPr>
          <w:rFonts w:ascii="Arial Narrow" w:hAnsi="Arial Narrow"/>
          <w:b/>
          <w:bCs/>
          <w:snapToGrid w:val="0"/>
          <w:sz w:val="20"/>
          <w:szCs w:val="20"/>
          <w:lang w:eastAsia="en-US"/>
        </w:rPr>
        <w:t xml:space="preserve"> in PBS population (</w:t>
      </w:r>
      <w:r w:rsidR="00CD5F61" w:rsidRPr="00917FFB">
        <w:rPr>
          <w:rFonts w:ascii="Arial Narrow" w:hAnsi="Arial Narrow"/>
          <w:b/>
          <w:bCs/>
          <w:snapToGrid w:val="0"/>
          <w:sz w:val="20"/>
          <w:szCs w:val="20"/>
          <w:lang w:eastAsia="en-US"/>
        </w:rPr>
        <w:t xml:space="preserve">severe AD, defined as: </w:t>
      </w:r>
      <w:r w:rsidRPr="00917FFB">
        <w:rPr>
          <w:rFonts w:ascii="Arial Narrow" w:hAnsi="Arial Narrow"/>
          <w:b/>
          <w:bCs/>
          <w:snapToGrid w:val="0"/>
          <w:sz w:val="20"/>
          <w:szCs w:val="20"/>
          <w:lang w:eastAsia="en-US"/>
        </w:rPr>
        <w:t>IGA=4 AND EASI ≥20 at baseline)</w:t>
      </w:r>
    </w:p>
    <w:tbl>
      <w:tblPr>
        <w:tblStyle w:val="ASDTable1"/>
        <w:tblW w:w="5000" w:type="pct"/>
        <w:tblCellMar>
          <w:left w:w="28" w:type="dxa"/>
          <w:right w:w="28" w:type="dxa"/>
        </w:tblCellMar>
        <w:tblLook w:val="04A0" w:firstRow="1" w:lastRow="0" w:firstColumn="1" w:lastColumn="0" w:noHBand="0" w:noVBand="1"/>
        <w:tblCaption w:val="Table 5: Trial results and indirect treatment comparison for PBS response outcome (EASI-50 AND DLQI ≥4) at Week 16, in PBS population (severe AD, defined as: IGA=4 AND EASI ≥20 at baseline)"/>
      </w:tblPr>
      <w:tblGrid>
        <w:gridCol w:w="3117"/>
        <w:gridCol w:w="1232"/>
        <w:gridCol w:w="1116"/>
        <w:gridCol w:w="1399"/>
        <w:gridCol w:w="1336"/>
        <w:gridCol w:w="817"/>
      </w:tblGrid>
      <w:tr w:rsidR="008F6880" w:rsidRPr="00917FFB" w:rsidTr="007923A4">
        <w:trPr>
          <w:trHeight w:val="450"/>
          <w:tblHeader/>
        </w:trPr>
        <w:tc>
          <w:tcPr>
            <w:tcW w:w="1728" w:type="pct"/>
            <w:tcBorders>
              <w:top w:val="sing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Trial</w:t>
            </w:r>
          </w:p>
        </w:tc>
        <w:tc>
          <w:tcPr>
            <w:tcW w:w="683" w:type="pct"/>
            <w:tcBorders>
              <w:top w:val="sing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Drug</w:t>
            </w:r>
          </w:p>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n/N (%)</w:t>
            </w:r>
          </w:p>
        </w:tc>
        <w:tc>
          <w:tcPr>
            <w:tcW w:w="619" w:type="pct"/>
            <w:tcBorders>
              <w:top w:val="sing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Control</w:t>
            </w:r>
          </w:p>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n/N (%)</w:t>
            </w:r>
          </w:p>
        </w:tc>
        <w:tc>
          <w:tcPr>
            <w:tcW w:w="776" w:type="pct"/>
            <w:tcBorders>
              <w:top w:val="sing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vertAlign w:val="superscript"/>
                <w:lang w:eastAsia="en-US"/>
              </w:rPr>
            </w:pPr>
            <w:r w:rsidRPr="00917FFB">
              <w:rPr>
                <w:rFonts w:ascii="Arial Narrow" w:hAnsi="Arial Narrow"/>
                <w:b/>
                <w:bCs/>
                <w:snapToGrid w:val="0"/>
                <w:sz w:val="20"/>
                <w:szCs w:val="20"/>
                <w:lang w:eastAsia="en-US"/>
              </w:rPr>
              <w:t>RR</w:t>
            </w:r>
            <w:r w:rsidRPr="00917FFB">
              <w:rPr>
                <w:rFonts w:ascii="Arial Narrow" w:hAnsi="Arial Narrow"/>
                <w:b/>
                <w:bCs/>
                <w:snapToGrid w:val="0"/>
                <w:sz w:val="20"/>
                <w:szCs w:val="20"/>
                <w:vertAlign w:val="superscript"/>
                <w:lang w:eastAsia="en-US"/>
              </w:rPr>
              <w:t>#</w:t>
            </w:r>
          </w:p>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(95%CI)</w:t>
            </w:r>
          </w:p>
        </w:tc>
        <w:tc>
          <w:tcPr>
            <w:tcW w:w="741" w:type="pct"/>
            <w:tcBorders>
              <w:top w:val="sing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vertAlign w:val="superscript"/>
                <w:lang w:eastAsia="en-US"/>
              </w:rPr>
            </w:pPr>
            <w:r w:rsidRPr="00917FFB">
              <w:rPr>
                <w:rFonts w:ascii="Arial Narrow" w:hAnsi="Arial Narrow"/>
                <w:b/>
                <w:bCs/>
                <w:snapToGrid w:val="0"/>
                <w:sz w:val="20"/>
                <w:szCs w:val="20"/>
                <w:lang w:eastAsia="en-US"/>
              </w:rPr>
              <w:t>RD</w:t>
            </w:r>
            <w:r w:rsidRPr="00917FFB">
              <w:rPr>
                <w:rFonts w:ascii="Arial Narrow" w:hAnsi="Arial Narrow"/>
                <w:b/>
                <w:bCs/>
                <w:snapToGrid w:val="0"/>
                <w:sz w:val="20"/>
                <w:szCs w:val="20"/>
                <w:vertAlign w:val="superscript"/>
                <w:lang w:eastAsia="en-US"/>
              </w:rPr>
              <w:t>#</w:t>
            </w:r>
          </w:p>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(95%CI)</w:t>
            </w:r>
          </w:p>
        </w:tc>
        <w:tc>
          <w:tcPr>
            <w:tcW w:w="453" w:type="pct"/>
            <w:tcBorders>
              <w:top w:val="sing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vertAlign w:val="superscript"/>
                <w:lang w:eastAsia="en-US"/>
              </w:rPr>
            </w:pPr>
            <w:r w:rsidRPr="00917FFB">
              <w:rPr>
                <w:rFonts w:ascii="Arial Narrow" w:hAnsi="Arial Narrow"/>
                <w:b/>
                <w:bCs/>
                <w:snapToGrid w:val="0"/>
                <w:sz w:val="20"/>
                <w:szCs w:val="20"/>
                <w:lang w:eastAsia="en-US"/>
              </w:rPr>
              <w:t>NNT*</w:t>
            </w:r>
          </w:p>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(95%CI)</w:t>
            </w:r>
          </w:p>
        </w:tc>
      </w:tr>
      <w:tr w:rsidR="008F6880" w:rsidRPr="00917FFB" w:rsidTr="00851832">
        <w:trPr>
          <w:trHeight w:val="225"/>
        </w:trPr>
        <w:tc>
          <w:tcPr>
            <w:tcW w:w="1728" w:type="pct"/>
            <w:tcBorders>
              <w:top w:val="single" w:sz="4" w:space="0" w:color="auto"/>
              <w:left w:val="single" w:sz="4" w:space="0" w:color="auto"/>
              <w:bottom w:val="nil"/>
              <w:right w:val="single" w:sz="4" w:space="0" w:color="auto"/>
            </w:tcBorders>
          </w:tcPr>
          <w:p w:rsidR="008F6880" w:rsidRPr="00917FFB" w:rsidRDefault="008F6880" w:rsidP="00851832">
            <w:pPr>
              <w:keepNext/>
              <w:keepLines/>
              <w:widowControl w:val="0"/>
              <w:rPr>
                <w:rFonts w:ascii="Arial Narrow" w:hAnsi="Arial Narrow"/>
                <w:b/>
                <w:bCs/>
                <w:snapToGrid w:val="0"/>
                <w:sz w:val="20"/>
                <w:szCs w:val="20"/>
                <w:lang w:eastAsia="en-US"/>
              </w:rPr>
            </w:pPr>
            <w:r w:rsidRPr="00917FFB">
              <w:rPr>
                <w:rFonts w:ascii="Arial Narrow" w:hAnsi="Arial Narrow"/>
                <w:b/>
                <w:bCs/>
                <w:snapToGrid w:val="0"/>
                <w:color w:val="ED7D31"/>
                <w:sz w:val="20"/>
                <w:szCs w:val="20"/>
                <w:lang w:eastAsia="en-US"/>
              </w:rPr>
              <w:t>Monotherapy</w:t>
            </w:r>
          </w:p>
        </w:tc>
        <w:tc>
          <w:tcPr>
            <w:tcW w:w="683"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741"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453"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240"/>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rPr>
                <w:rFonts w:ascii="Arial Narrow" w:hAnsi="Arial Narrow"/>
                <w:snapToGrid w:val="0"/>
                <w:sz w:val="20"/>
                <w:szCs w:val="20"/>
                <w:lang w:eastAsia="en-US"/>
              </w:rPr>
            </w:pPr>
            <w:r w:rsidRPr="00917FFB">
              <w:rPr>
                <w:rFonts w:ascii="Arial Narrow" w:hAnsi="Arial Narrow"/>
                <w:b/>
                <w:bCs/>
                <w:snapToGrid w:val="0"/>
                <w:sz w:val="20"/>
                <w:szCs w:val="20"/>
                <w:lang w:eastAsia="en-US"/>
              </w:rPr>
              <w:t>BARI 2</w:t>
            </w:r>
            <w:r w:rsidR="003506FA" w:rsidRPr="00917FFB">
              <w:rPr>
                <w:rFonts w:ascii="Arial Narrow" w:hAnsi="Arial Narrow"/>
                <w:b/>
                <w:bCs/>
                <w:snapToGrid w:val="0"/>
                <w:sz w:val="20"/>
                <w:szCs w:val="20"/>
                <w:lang w:eastAsia="en-US"/>
              </w:rPr>
              <w:t xml:space="preserve"> </w:t>
            </w:r>
            <w:r w:rsidRPr="00917FFB">
              <w:rPr>
                <w:rFonts w:ascii="Arial Narrow" w:hAnsi="Arial Narrow"/>
                <w:b/>
                <w:bCs/>
                <w:snapToGrid w:val="0"/>
                <w:sz w:val="20"/>
                <w:szCs w:val="20"/>
                <w:lang w:eastAsia="en-US"/>
              </w:rPr>
              <w:t>mg v PBO</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snapToGrid w:val="0"/>
                <w:sz w:val="20"/>
                <w:szCs w:val="20"/>
                <w:lang w:eastAsia="en-US"/>
              </w:rPr>
            </w:pPr>
            <w:r w:rsidRPr="00917FFB">
              <w:rPr>
                <w:rFonts w:ascii="Arial Narrow" w:hAnsi="Arial Narrow"/>
                <w:snapToGrid w:val="0"/>
                <w:sz w:val="20"/>
                <w:szCs w:val="20"/>
                <w:lang w:eastAsia="en-US"/>
              </w:rPr>
              <w:t>BREEZE-AD1</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8/48 (16.7)</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9/100 (9.0)</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1.85 (0.76,4.50)</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0.08 (-0.04,0.20)</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snapToGrid w:val="0"/>
                <w:sz w:val="20"/>
                <w:szCs w:val="20"/>
                <w:lang w:eastAsia="en-US"/>
              </w:rPr>
            </w:pPr>
            <w:r w:rsidRPr="00917FFB">
              <w:rPr>
                <w:rFonts w:ascii="Arial Narrow" w:hAnsi="Arial Narrow"/>
                <w:snapToGrid w:val="0"/>
                <w:sz w:val="20"/>
                <w:szCs w:val="20"/>
                <w:lang w:eastAsia="en-US"/>
              </w:rPr>
              <w:t>BREEZE-AD2</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13/58 (22.4)</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6/116 (5.2)</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4.33 (1.74,10.81)</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0.17 (0.06,0.29)</w:t>
            </w: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6 (4,17)</w:t>
            </w: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bCs/>
                <w:iCs/>
                <w:snapToGrid w:val="0"/>
                <w:sz w:val="20"/>
                <w:szCs w:val="20"/>
                <w:lang w:eastAsia="en-US"/>
              </w:rPr>
            </w:pPr>
            <w:r w:rsidRPr="00917FFB">
              <w:rPr>
                <w:rFonts w:ascii="Arial Narrow" w:hAnsi="Arial Narrow"/>
                <w:snapToGrid w:val="0"/>
                <w:sz w:val="20"/>
                <w:szCs w:val="20"/>
                <w:lang w:eastAsia="en-US"/>
              </w:rPr>
              <w:t>BREEZE-AD5</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10/49 (20.4)</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3/55 (5.5)</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r w:rsidRPr="00917FFB">
              <w:rPr>
                <w:rFonts w:ascii="Arial Narrow" w:hAnsi="Arial Narrow"/>
                <w:b/>
                <w:bCs/>
                <w:iCs/>
                <w:snapToGrid w:val="0"/>
                <w:sz w:val="20"/>
                <w:szCs w:val="20"/>
                <w:lang w:eastAsia="en-US"/>
              </w:rPr>
              <w:t>3.74 (1.09,12.82)</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r w:rsidRPr="00917FFB">
              <w:rPr>
                <w:rFonts w:ascii="Arial Narrow" w:hAnsi="Arial Narrow"/>
                <w:b/>
                <w:bCs/>
                <w:iCs/>
                <w:snapToGrid w:val="0"/>
                <w:sz w:val="20"/>
                <w:szCs w:val="20"/>
                <w:lang w:eastAsia="en-US"/>
              </w:rPr>
              <w:t>0.15 (0.02,0.28)</w:t>
            </w: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r w:rsidRPr="00917FFB">
              <w:rPr>
                <w:rFonts w:ascii="Arial Narrow" w:hAnsi="Arial Narrow"/>
                <w:b/>
                <w:snapToGrid w:val="0"/>
                <w:sz w:val="20"/>
                <w:szCs w:val="20"/>
                <w:lang w:eastAsia="en-US"/>
              </w:rPr>
              <w:t>7 (4,50)</w:t>
            </w:r>
          </w:p>
        </w:tc>
      </w:tr>
      <w:tr w:rsidR="008F6880" w:rsidRPr="00917FFB" w:rsidTr="00851832">
        <w:trPr>
          <w:trHeight w:val="240"/>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iCs/>
                <w:snapToGrid w:val="0"/>
                <w:sz w:val="20"/>
                <w:szCs w:val="20"/>
                <w:lang w:eastAsia="en-US"/>
              </w:rPr>
            </w:pPr>
            <w:r w:rsidRPr="00917FFB">
              <w:rPr>
                <w:rFonts w:ascii="Arial Narrow" w:hAnsi="Arial Narrow"/>
                <w:iCs/>
                <w:snapToGrid w:val="0"/>
                <w:sz w:val="20"/>
                <w:szCs w:val="20"/>
                <w:lang w:eastAsia="en-US"/>
              </w:rPr>
              <w:t>MA</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31/155 (20.0)</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18/271 (6.6)</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r w:rsidRPr="00917FFB">
              <w:rPr>
                <w:rFonts w:ascii="Arial Narrow" w:hAnsi="Arial Narrow"/>
                <w:b/>
                <w:bCs/>
                <w:iCs/>
                <w:snapToGrid w:val="0"/>
                <w:sz w:val="20"/>
                <w:szCs w:val="20"/>
                <w:lang w:eastAsia="en-US"/>
              </w:rPr>
              <w:t>2.97 (1.69,5.24)</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r w:rsidRPr="00917FFB">
              <w:rPr>
                <w:rFonts w:ascii="Arial Narrow" w:hAnsi="Arial Narrow"/>
                <w:b/>
                <w:bCs/>
                <w:iCs/>
                <w:snapToGrid w:val="0"/>
                <w:sz w:val="20"/>
                <w:szCs w:val="20"/>
                <w:lang w:eastAsia="en-US"/>
              </w:rPr>
              <w:t>0.13 (0.06,0.20)</w:t>
            </w: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r w:rsidRPr="00917FFB">
              <w:rPr>
                <w:rFonts w:ascii="Arial Narrow" w:hAnsi="Arial Narrow"/>
                <w:b/>
                <w:snapToGrid w:val="0"/>
                <w:sz w:val="20"/>
                <w:szCs w:val="20"/>
                <w:lang w:eastAsia="en-US"/>
              </w:rPr>
              <w:t>8 (5,17)</w:t>
            </w: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rPr>
                <w:rFonts w:ascii="Arial Narrow" w:hAnsi="Arial Narrow"/>
                <w:b/>
                <w:iCs/>
                <w:snapToGrid w:val="0"/>
                <w:sz w:val="20"/>
                <w:szCs w:val="20"/>
                <w:lang w:eastAsia="en-US"/>
              </w:rPr>
            </w:pPr>
            <w:r w:rsidRPr="00917FFB">
              <w:rPr>
                <w:rFonts w:ascii="Arial Narrow" w:hAnsi="Arial Narrow"/>
                <w:b/>
                <w:iCs/>
                <w:snapToGrid w:val="0"/>
                <w:sz w:val="20"/>
                <w:szCs w:val="20"/>
                <w:lang w:eastAsia="en-US"/>
              </w:rPr>
              <w:t>BARI 4</w:t>
            </w:r>
            <w:r w:rsidR="003506FA" w:rsidRPr="00917FFB">
              <w:rPr>
                <w:rFonts w:ascii="Arial Narrow" w:hAnsi="Arial Narrow"/>
                <w:b/>
                <w:iCs/>
                <w:snapToGrid w:val="0"/>
                <w:sz w:val="20"/>
                <w:szCs w:val="20"/>
                <w:lang w:eastAsia="en-US"/>
              </w:rPr>
              <w:t xml:space="preserve"> </w:t>
            </w:r>
            <w:r w:rsidRPr="00917FFB">
              <w:rPr>
                <w:rFonts w:ascii="Arial Narrow" w:hAnsi="Arial Narrow"/>
                <w:b/>
                <w:iCs/>
                <w:snapToGrid w:val="0"/>
                <w:sz w:val="20"/>
                <w:szCs w:val="20"/>
                <w:lang w:eastAsia="en-US"/>
              </w:rPr>
              <w:t>mg v PBO</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snapToGrid w:val="0"/>
                <w:sz w:val="20"/>
                <w:szCs w:val="20"/>
                <w:lang w:eastAsia="en-US"/>
              </w:rPr>
            </w:pPr>
            <w:r w:rsidRPr="00917FFB">
              <w:rPr>
                <w:rFonts w:ascii="Arial Narrow" w:hAnsi="Arial Narrow"/>
                <w:snapToGrid w:val="0"/>
                <w:sz w:val="20"/>
                <w:szCs w:val="20"/>
                <w:lang w:eastAsia="en-US"/>
              </w:rPr>
              <w:t>BREEZE-AD1</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15/51 (29.4)</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9/100 (9.0)</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3.27 (1.54,6.95)</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0.20 (0.07,0.34)</w:t>
            </w: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r w:rsidRPr="00917FFB">
              <w:rPr>
                <w:rFonts w:ascii="Arial Narrow" w:hAnsi="Arial Narrow"/>
                <w:b/>
                <w:snapToGrid w:val="0"/>
                <w:sz w:val="20"/>
                <w:szCs w:val="20"/>
                <w:lang w:eastAsia="en-US"/>
              </w:rPr>
              <w:t>5 (3,15)</w:t>
            </w:r>
          </w:p>
        </w:tc>
      </w:tr>
      <w:tr w:rsidR="008F6880" w:rsidRPr="00917FFB" w:rsidTr="00851832">
        <w:trPr>
          <w:trHeight w:val="151"/>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snapToGrid w:val="0"/>
                <w:sz w:val="20"/>
                <w:szCs w:val="20"/>
                <w:lang w:eastAsia="en-US"/>
              </w:rPr>
            </w:pPr>
            <w:r w:rsidRPr="00917FFB">
              <w:rPr>
                <w:rFonts w:ascii="Arial Narrow" w:hAnsi="Arial Narrow"/>
                <w:snapToGrid w:val="0"/>
                <w:sz w:val="20"/>
                <w:szCs w:val="20"/>
                <w:lang w:eastAsia="en-US"/>
              </w:rPr>
              <w:t>BREEZE-AD2</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10/60 (16.7)</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6/116 (5.2)</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3.22 (1.23,8.44)</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0.11 (0.01,0.22)</w:t>
            </w: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r w:rsidRPr="00917FFB">
              <w:rPr>
                <w:rFonts w:ascii="Arial Narrow" w:hAnsi="Arial Narrow"/>
                <w:b/>
                <w:snapToGrid w:val="0"/>
                <w:sz w:val="20"/>
                <w:szCs w:val="20"/>
                <w:lang w:eastAsia="en-US"/>
              </w:rPr>
              <w:t>10 (5,100)</w:t>
            </w: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iCs/>
                <w:snapToGrid w:val="0"/>
                <w:sz w:val="20"/>
                <w:szCs w:val="20"/>
                <w:lang w:eastAsia="en-US"/>
              </w:rPr>
            </w:pPr>
            <w:r w:rsidRPr="00917FFB">
              <w:rPr>
                <w:rFonts w:ascii="Arial Narrow" w:hAnsi="Arial Narrow"/>
                <w:iCs/>
                <w:snapToGrid w:val="0"/>
                <w:sz w:val="20"/>
                <w:szCs w:val="20"/>
                <w:lang w:eastAsia="en-US"/>
              </w:rPr>
              <w:t>MA</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25/111 (22.5)</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15/216 (6.9)</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r w:rsidRPr="00917FFB">
              <w:rPr>
                <w:rFonts w:ascii="Arial Narrow" w:hAnsi="Arial Narrow"/>
                <w:b/>
                <w:bCs/>
                <w:iCs/>
                <w:snapToGrid w:val="0"/>
                <w:sz w:val="20"/>
                <w:szCs w:val="20"/>
                <w:lang w:eastAsia="en-US"/>
              </w:rPr>
              <w:t>3.25 (1.79,5.89)</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r w:rsidRPr="00917FFB">
              <w:rPr>
                <w:rFonts w:ascii="Arial Narrow" w:hAnsi="Arial Narrow"/>
                <w:b/>
                <w:bCs/>
                <w:iCs/>
                <w:snapToGrid w:val="0"/>
                <w:sz w:val="20"/>
                <w:szCs w:val="20"/>
                <w:lang w:eastAsia="en-US"/>
              </w:rPr>
              <w:t>0.15 (0.06,0.23)</w:t>
            </w: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r w:rsidRPr="00917FFB">
              <w:rPr>
                <w:rFonts w:ascii="Arial Narrow" w:hAnsi="Arial Narrow"/>
                <w:b/>
                <w:snapToGrid w:val="0"/>
                <w:sz w:val="20"/>
                <w:szCs w:val="20"/>
                <w:lang w:eastAsia="en-US"/>
              </w:rPr>
              <w:t>7 (5,17)</w:t>
            </w:r>
          </w:p>
        </w:tc>
      </w:tr>
      <w:tr w:rsidR="008F6880" w:rsidRPr="00917FFB" w:rsidTr="00851832">
        <w:trPr>
          <w:trHeight w:val="240"/>
        </w:trPr>
        <w:tc>
          <w:tcPr>
            <w:tcW w:w="1728" w:type="pct"/>
            <w:tcBorders>
              <w:top w:val="nil"/>
              <w:left w:val="single" w:sz="4" w:space="0" w:color="auto"/>
              <w:bottom w:val="nil"/>
              <w:right w:val="single" w:sz="4" w:space="0" w:color="auto"/>
            </w:tcBorders>
          </w:tcPr>
          <w:p w:rsidR="008F6880" w:rsidRPr="00853F7A" w:rsidRDefault="008F6880" w:rsidP="00851832">
            <w:pPr>
              <w:keepNext/>
              <w:keepLines/>
              <w:widowControl w:val="0"/>
              <w:rPr>
                <w:rFonts w:ascii="Arial Narrow" w:hAnsi="Arial Narrow"/>
                <w:b/>
                <w:bCs/>
                <w:iCs/>
                <w:snapToGrid w:val="0"/>
                <w:sz w:val="20"/>
                <w:szCs w:val="20"/>
                <w:lang w:eastAsia="en-US"/>
              </w:rPr>
            </w:pPr>
            <w:r w:rsidRPr="00853F7A">
              <w:rPr>
                <w:rFonts w:ascii="Arial Narrow" w:hAnsi="Arial Narrow"/>
                <w:b/>
                <w:bCs/>
                <w:iCs/>
                <w:snapToGrid w:val="0"/>
                <w:sz w:val="20"/>
                <w:szCs w:val="20"/>
                <w:lang w:eastAsia="en-US"/>
              </w:rPr>
              <w:t>BARI 4</w:t>
            </w:r>
            <w:r w:rsidR="003506FA" w:rsidRPr="00853F7A">
              <w:rPr>
                <w:rFonts w:ascii="Arial Narrow" w:hAnsi="Arial Narrow"/>
                <w:b/>
                <w:bCs/>
                <w:iCs/>
                <w:snapToGrid w:val="0"/>
                <w:sz w:val="20"/>
                <w:szCs w:val="20"/>
                <w:lang w:eastAsia="en-US"/>
              </w:rPr>
              <w:t xml:space="preserve"> </w:t>
            </w:r>
            <w:r w:rsidRPr="00853F7A">
              <w:rPr>
                <w:rFonts w:ascii="Arial Narrow" w:hAnsi="Arial Narrow"/>
                <w:b/>
                <w:bCs/>
                <w:iCs/>
                <w:snapToGrid w:val="0"/>
                <w:sz w:val="20"/>
                <w:szCs w:val="20"/>
                <w:lang w:eastAsia="en-US"/>
              </w:rPr>
              <w:t>mg v BARI 2</w:t>
            </w:r>
            <w:r w:rsidR="003506FA" w:rsidRPr="00853F7A">
              <w:rPr>
                <w:rFonts w:ascii="Arial Narrow" w:hAnsi="Arial Narrow"/>
                <w:b/>
                <w:bCs/>
                <w:iCs/>
                <w:snapToGrid w:val="0"/>
                <w:sz w:val="20"/>
                <w:szCs w:val="20"/>
                <w:lang w:eastAsia="en-US"/>
              </w:rPr>
              <w:t xml:space="preserve"> </w:t>
            </w:r>
            <w:r w:rsidRPr="00853F7A">
              <w:rPr>
                <w:rFonts w:ascii="Arial Narrow" w:hAnsi="Arial Narrow"/>
                <w:b/>
                <w:bCs/>
                <w:iCs/>
                <w:snapToGrid w:val="0"/>
                <w:sz w:val="20"/>
                <w:szCs w:val="20"/>
                <w:lang w:eastAsia="en-US"/>
              </w:rPr>
              <w:t>mg</w:t>
            </w:r>
          </w:p>
        </w:tc>
        <w:tc>
          <w:tcPr>
            <w:tcW w:w="683" w:type="pct"/>
            <w:tcBorders>
              <w:top w:val="nil"/>
              <w:left w:val="single" w:sz="4" w:space="0" w:color="auto"/>
              <w:bottom w:val="nil"/>
              <w:right w:val="single" w:sz="4" w:space="0" w:color="auto"/>
            </w:tcBorders>
            <w:vAlign w:val="center"/>
          </w:tcPr>
          <w:p w:rsidR="008F6880" w:rsidRPr="00853F7A" w:rsidRDefault="008F6880" w:rsidP="00851832">
            <w:pPr>
              <w:keepNext/>
              <w:keepLines/>
              <w:widowControl w:val="0"/>
              <w:jc w:val="center"/>
              <w:rPr>
                <w:rFonts w:ascii="Arial Narrow" w:hAnsi="Arial Narrow"/>
                <w:iCs/>
                <w:snapToGrid w:val="0"/>
                <w:sz w:val="20"/>
                <w:szCs w:val="20"/>
                <w:lang w:eastAsia="en-US"/>
              </w:rPr>
            </w:pPr>
          </w:p>
        </w:tc>
        <w:tc>
          <w:tcPr>
            <w:tcW w:w="619" w:type="pct"/>
            <w:tcBorders>
              <w:top w:val="nil"/>
              <w:left w:val="single" w:sz="4" w:space="0" w:color="auto"/>
              <w:bottom w:val="nil"/>
              <w:right w:val="single" w:sz="4" w:space="0" w:color="auto"/>
            </w:tcBorders>
            <w:vAlign w:val="center"/>
          </w:tcPr>
          <w:p w:rsidR="008F6880" w:rsidRPr="00853F7A" w:rsidRDefault="008F6880" w:rsidP="00851832">
            <w:pPr>
              <w:keepNext/>
              <w:keepLines/>
              <w:widowControl w:val="0"/>
              <w:jc w:val="center"/>
              <w:rPr>
                <w:rFonts w:ascii="Arial Narrow" w:hAnsi="Arial Narrow"/>
                <w:iCs/>
                <w:snapToGrid w:val="0"/>
                <w:sz w:val="20"/>
                <w:szCs w:val="20"/>
                <w:lang w:eastAsia="en-US"/>
              </w:rPr>
            </w:pPr>
          </w:p>
        </w:tc>
        <w:tc>
          <w:tcPr>
            <w:tcW w:w="776" w:type="pct"/>
            <w:tcBorders>
              <w:top w:val="nil"/>
              <w:left w:val="single" w:sz="4" w:space="0" w:color="auto"/>
              <w:bottom w:val="nil"/>
              <w:right w:val="single" w:sz="4" w:space="0" w:color="auto"/>
            </w:tcBorders>
            <w:vAlign w:val="center"/>
          </w:tcPr>
          <w:p w:rsidR="008F6880" w:rsidRPr="00853F7A" w:rsidRDefault="008F6880" w:rsidP="00851832">
            <w:pPr>
              <w:keepNext/>
              <w:keepLines/>
              <w:widowControl w:val="0"/>
              <w:jc w:val="center"/>
              <w:rPr>
                <w:rFonts w:ascii="Arial Narrow" w:hAnsi="Arial Narrow"/>
                <w:b/>
                <w:bCs/>
                <w:iCs/>
                <w:snapToGrid w:val="0"/>
                <w:sz w:val="20"/>
                <w:szCs w:val="20"/>
                <w:lang w:eastAsia="en-US"/>
              </w:rPr>
            </w:pPr>
          </w:p>
        </w:tc>
        <w:tc>
          <w:tcPr>
            <w:tcW w:w="741" w:type="pct"/>
            <w:tcBorders>
              <w:top w:val="nil"/>
              <w:left w:val="single" w:sz="4" w:space="0" w:color="auto"/>
              <w:bottom w:val="nil"/>
              <w:right w:val="single" w:sz="4" w:space="0" w:color="auto"/>
            </w:tcBorders>
            <w:vAlign w:val="center"/>
          </w:tcPr>
          <w:p w:rsidR="008F6880" w:rsidRPr="00853F7A" w:rsidRDefault="008F6880" w:rsidP="00851832">
            <w:pPr>
              <w:keepNext/>
              <w:keepLines/>
              <w:widowControl w:val="0"/>
              <w:jc w:val="center"/>
              <w:rPr>
                <w:rFonts w:ascii="Arial Narrow" w:hAnsi="Arial Narrow"/>
                <w:b/>
                <w:bCs/>
                <w:iCs/>
                <w:snapToGrid w:val="0"/>
                <w:sz w:val="20"/>
                <w:szCs w:val="20"/>
                <w:lang w:eastAsia="en-US"/>
              </w:rPr>
            </w:pPr>
          </w:p>
        </w:tc>
        <w:tc>
          <w:tcPr>
            <w:tcW w:w="453" w:type="pct"/>
            <w:tcBorders>
              <w:top w:val="nil"/>
              <w:left w:val="single" w:sz="4" w:space="0" w:color="auto"/>
              <w:bottom w:val="nil"/>
              <w:right w:val="single" w:sz="4" w:space="0" w:color="auto"/>
            </w:tcBorders>
            <w:vAlign w:val="center"/>
          </w:tcPr>
          <w:p w:rsidR="008F6880" w:rsidRPr="00853F7A"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iCs/>
                <w:snapToGrid w:val="0"/>
                <w:sz w:val="20"/>
                <w:szCs w:val="20"/>
                <w:lang w:eastAsia="en-US"/>
              </w:rPr>
            </w:pPr>
            <w:r w:rsidRPr="00917FFB">
              <w:rPr>
                <w:rFonts w:ascii="Arial Narrow" w:hAnsi="Arial Narrow"/>
                <w:snapToGrid w:val="0"/>
                <w:sz w:val="20"/>
                <w:szCs w:val="20"/>
                <w:lang w:eastAsia="en-US"/>
              </w:rPr>
              <w:t>BREEZE-AD1</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snapToGrid w:val="0"/>
                <w:sz w:val="20"/>
                <w:szCs w:val="20"/>
                <w:lang w:eastAsia="en-US"/>
              </w:rPr>
              <w:t>15/51 (29.4)</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snapToGrid w:val="0"/>
                <w:sz w:val="20"/>
                <w:szCs w:val="20"/>
                <w:lang w:eastAsia="en-US"/>
              </w:rPr>
              <w:t>8/48 (16.7)</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1.76 (0.82,3.78)</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0.13 (-0.04,0.29)</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66"/>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iCs/>
                <w:snapToGrid w:val="0"/>
                <w:sz w:val="20"/>
                <w:szCs w:val="20"/>
                <w:lang w:eastAsia="en-US"/>
              </w:rPr>
            </w:pPr>
            <w:r w:rsidRPr="00917FFB">
              <w:rPr>
                <w:rFonts w:ascii="Arial Narrow" w:hAnsi="Arial Narrow"/>
                <w:snapToGrid w:val="0"/>
                <w:sz w:val="20"/>
                <w:szCs w:val="20"/>
                <w:lang w:eastAsia="en-US"/>
              </w:rPr>
              <w:t>BREEZE-AD2</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snapToGrid w:val="0"/>
                <w:sz w:val="20"/>
                <w:szCs w:val="20"/>
                <w:lang w:eastAsia="en-US"/>
              </w:rPr>
              <w:t>10/60 (16.7)</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snapToGrid w:val="0"/>
                <w:sz w:val="20"/>
                <w:szCs w:val="20"/>
                <w:lang w:eastAsia="en-US"/>
              </w:rPr>
              <w:t>13/58 (22.4)</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0.74 (0.35,1.56)</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-0.06 (-0.20,0.09)</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80"/>
        </w:trPr>
        <w:tc>
          <w:tcPr>
            <w:tcW w:w="1728" w:type="pct"/>
            <w:tcBorders>
              <w:top w:val="nil"/>
              <w:left w:val="single" w:sz="4" w:space="0" w:color="auto"/>
              <w:bottom w:val="single" w:sz="4" w:space="0" w:color="auto"/>
              <w:right w:val="single" w:sz="4" w:space="0" w:color="auto"/>
            </w:tcBorders>
          </w:tcPr>
          <w:p w:rsidR="008F6880" w:rsidRPr="00917FFB" w:rsidRDefault="008F6880" w:rsidP="00851832">
            <w:pPr>
              <w:keepNext/>
              <w:keepLines/>
              <w:widowControl w:val="0"/>
              <w:ind w:left="112"/>
              <w:rPr>
                <w:rFonts w:ascii="Arial Narrow" w:hAnsi="Arial Narrow"/>
                <w:iCs/>
                <w:snapToGrid w:val="0"/>
                <w:sz w:val="20"/>
                <w:szCs w:val="20"/>
                <w:lang w:eastAsia="en-US"/>
              </w:rPr>
            </w:pPr>
            <w:r w:rsidRPr="00917FFB">
              <w:rPr>
                <w:rFonts w:ascii="Arial Narrow" w:hAnsi="Arial Narrow"/>
                <w:iCs/>
                <w:snapToGrid w:val="0"/>
                <w:sz w:val="20"/>
                <w:szCs w:val="20"/>
                <w:lang w:eastAsia="en-US"/>
              </w:rPr>
              <w:t>MA</w:t>
            </w:r>
          </w:p>
        </w:tc>
        <w:tc>
          <w:tcPr>
            <w:tcW w:w="683"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25/111 (22.5)</w:t>
            </w:r>
          </w:p>
        </w:tc>
        <w:tc>
          <w:tcPr>
            <w:tcW w:w="619"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21/106 (19.8)</w:t>
            </w:r>
          </w:p>
        </w:tc>
        <w:tc>
          <w:tcPr>
            <w:tcW w:w="776"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1.14 (0.49,2.66)</w:t>
            </w:r>
          </w:p>
        </w:tc>
        <w:tc>
          <w:tcPr>
            <w:tcW w:w="741"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0.03 (-0.15,0.21)</w:t>
            </w:r>
          </w:p>
        </w:tc>
        <w:tc>
          <w:tcPr>
            <w:tcW w:w="453" w:type="pct"/>
            <w:tcBorders>
              <w:top w:val="nil"/>
              <w:left w:val="single" w:sz="4" w:space="0" w:color="auto"/>
              <w:bottom w:val="single" w:sz="4" w:space="0" w:color="auto"/>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25"/>
        </w:trPr>
        <w:tc>
          <w:tcPr>
            <w:tcW w:w="1728" w:type="pct"/>
            <w:tcBorders>
              <w:top w:val="single" w:sz="4" w:space="0" w:color="auto"/>
              <w:left w:val="single" w:sz="4" w:space="0" w:color="auto"/>
              <w:bottom w:val="nil"/>
              <w:right w:val="single" w:sz="4" w:space="0" w:color="auto"/>
            </w:tcBorders>
          </w:tcPr>
          <w:p w:rsidR="008F6880" w:rsidRPr="00917FFB" w:rsidRDefault="008F6880" w:rsidP="00851832">
            <w:pPr>
              <w:keepNext/>
              <w:keepLines/>
              <w:widowControl w:val="0"/>
              <w:rPr>
                <w:rFonts w:ascii="Arial Narrow" w:hAnsi="Arial Narrow"/>
                <w:bCs/>
                <w:snapToGrid w:val="0"/>
                <w:sz w:val="20"/>
                <w:szCs w:val="20"/>
                <w:lang w:eastAsia="en-US"/>
              </w:rPr>
            </w:pPr>
            <w:r w:rsidRPr="00917FFB">
              <w:rPr>
                <w:rFonts w:ascii="Arial Narrow" w:hAnsi="Arial Narrow"/>
                <w:b/>
                <w:bCs/>
                <w:snapToGrid w:val="0"/>
                <w:color w:val="00B050"/>
                <w:sz w:val="20"/>
                <w:szCs w:val="20"/>
                <w:lang w:eastAsia="en-US"/>
              </w:rPr>
              <w:t>Combination therapy</w:t>
            </w:r>
          </w:p>
        </w:tc>
        <w:tc>
          <w:tcPr>
            <w:tcW w:w="683"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p>
        </w:tc>
        <w:tc>
          <w:tcPr>
            <w:tcW w:w="741"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iCs/>
                <w:snapToGrid w:val="0"/>
                <w:sz w:val="20"/>
                <w:szCs w:val="20"/>
                <w:lang w:eastAsia="en-US"/>
              </w:rPr>
            </w:pPr>
          </w:p>
        </w:tc>
        <w:tc>
          <w:tcPr>
            <w:tcW w:w="453"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rPr>
                <w:rFonts w:ascii="Arial Narrow" w:hAnsi="Arial Narrow"/>
                <w:snapToGrid w:val="0"/>
                <w:sz w:val="20"/>
                <w:szCs w:val="20"/>
                <w:lang w:eastAsia="en-US"/>
              </w:rPr>
            </w:pPr>
            <w:r w:rsidRPr="00917FFB">
              <w:rPr>
                <w:rFonts w:ascii="Arial Narrow" w:hAnsi="Arial Narrow"/>
                <w:b/>
                <w:bCs/>
                <w:snapToGrid w:val="0"/>
                <w:sz w:val="20"/>
                <w:szCs w:val="20"/>
                <w:lang w:eastAsia="en-US"/>
              </w:rPr>
              <w:t>BARI 2</w:t>
            </w:r>
            <w:r w:rsidR="003506FA" w:rsidRPr="00917FFB">
              <w:rPr>
                <w:rFonts w:ascii="Arial Narrow" w:hAnsi="Arial Narrow"/>
                <w:b/>
                <w:bCs/>
                <w:snapToGrid w:val="0"/>
                <w:sz w:val="20"/>
                <w:szCs w:val="20"/>
                <w:lang w:eastAsia="en-US"/>
              </w:rPr>
              <w:t xml:space="preserve"> </w:t>
            </w:r>
            <w:r w:rsidRPr="00917FFB">
              <w:rPr>
                <w:rFonts w:ascii="Arial Narrow" w:hAnsi="Arial Narrow"/>
                <w:b/>
                <w:bCs/>
                <w:snapToGrid w:val="0"/>
                <w:sz w:val="20"/>
                <w:szCs w:val="20"/>
                <w:lang w:eastAsia="en-US"/>
              </w:rPr>
              <w:t>mg +TCS v PBO +TCS</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iCs/>
                <w:snapToGrid w:val="0"/>
                <w:sz w:val="20"/>
                <w:szCs w:val="20"/>
                <w:lang w:eastAsia="en-US"/>
              </w:rPr>
            </w:pP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bCs/>
                <w:snapToGrid w:val="0"/>
                <w:sz w:val="20"/>
                <w:szCs w:val="20"/>
                <w:lang w:eastAsia="en-US"/>
              </w:rPr>
            </w:pPr>
            <w:r w:rsidRPr="00917FFB">
              <w:rPr>
                <w:rFonts w:ascii="Arial Narrow" w:hAnsi="Arial Narrow"/>
                <w:snapToGrid w:val="0"/>
                <w:sz w:val="20"/>
                <w:szCs w:val="20"/>
                <w:lang w:eastAsia="en-US"/>
              </w:rPr>
              <w:t>BREEZE-AD4</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29/83 (34.9)</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13/49 (26.5)</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snapToGrid w:val="0"/>
                <w:sz w:val="20"/>
                <w:szCs w:val="20"/>
                <w:lang w:eastAsia="en-US"/>
              </w:rPr>
            </w:pPr>
            <w:r w:rsidRPr="00917FFB">
              <w:rPr>
                <w:rFonts w:ascii="Arial Narrow" w:hAnsi="Arial Narrow"/>
                <w:bCs/>
                <w:snapToGrid w:val="0"/>
                <w:sz w:val="20"/>
                <w:szCs w:val="20"/>
                <w:lang w:eastAsia="en-US"/>
              </w:rPr>
              <w:t>1.32 (0.76,2.28)</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0.08 (-0.08,0.24)</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40"/>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snapToGrid w:val="0"/>
                <w:sz w:val="20"/>
                <w:szCs w:val="20"/>
                <w:lang w:eastAsia="en-US"/>
              </w:rPr>
            </w:pPr>
            <w:r w:rsidRPr="00917FFB">
              <w:rPr>
                <w:rFonts w:ascii="Arial Narrow" w:hAnsi="Arial Narrow"/>
                <w:snapToGrid w:val="0"/>
                <w:sz w:val="20"/>
                <w:szCs w:val="20"/>
                <w:lang w:eastAsia="en-US"/>
              </w:rPr>
              <w:t>BREEZE-AD7</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22/49 (44.9)</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16/44 (36.4)</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1.23 (0.75,2.03)</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0.09 (-0.11,0.28)</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snapToGrid w:val="0"/>
                <w:sz w:val="20"/>
                <w:szCs w:val="20"/>
                <w:lang w:eastAsia="en-US"/>
              </w:rPr>
            </w:pPr>
            <w:r w:rsidRPr="00917FFB">
              <w:rPr>
                <w:rFonts w:ascii="Arial Narrow" w:hAnsi="Arial Narrow"/>
                <w:snapToGrid w:val="0"/>
                <w:sz w:val="20"/>
                <w:szCs w:val="20"/>
                <w:lang w:eastAsia="en-US"/>
              </w:rPr>
              <w:t>JAHG</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8/16 (50.0)</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3/16 (18.8)</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snapToGrid w:val="0"/>
                <w:sz w:val="20"/>
                <w:szCs w:val="20"/>
                <w:lang w:eastAsia="en-US"/>
              </w:rPr>
            </w:pPr>
            <w:r w:rsidRPr="00917FFB">
              <w:rPr>
                <w:rFonts w:ascii="Arial Narrow" w:hAnsi="Arial Narrow"/>
                <w:bCs/>
                <w:snapToGrid w:val="0"/>
                <w:sz w:val="20"/>
                <w:szCs w:val="20"/>
                <w:lang w:eastAsia="en-US"/>
              </w:rPr>
              <w:t>2.67 (0.86,8.27)</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snapToGrid w:val="0"/>
                <w:sz w:val="20"/>
                <w:szCs w:val="20"/>
                <w:lang w:eastAsia="en-US"/>
              </w:rPr>
            </w:pPr>
            <w:r w:rsidRPr="00917FFB">
              <w:rPr>
                <w:rFonts w:ascii="Arial Narrow" w:hAnsi="Arial Narrow"/>
                <w:bCs/>
                <w:snapToGrid w:val="0"/>
                <w:sz w:val="20"/>
                <w:szCs w:val="20"/>
                <w:lang w:eastAsia="en-US"/>
              </w:rPr>
              <w:t>0.31 (0.00,0.62)</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iCs/>
                <w:snapToGrid w:val="0"/>
                <w:sz w:val="20"/>
                <w:szCs w:val="20"/>
                <w:lang w:eastAsia="en-US"/>
              </w:rPr>
            </w:pPr>
            <w:r w:rsidRPr="00917FFB">
              <w:rPr>
                <w:rFonts w:ascii="Arial Narrow" w:hAnsi="Arial Narrow"/>
                <w:iCs/>
                <w:snapToGrid w:val="0"/>
                <w:sz w:val="20"/>
                <w:szCs w:val="20"/>
                <w:lang w:eastAsia="en-US"/>
              </w:rPr>
              <w:t>MA</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59/148 (39.9)</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32/109 (29.4)</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1.37 (0.96,1.94)</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0.12 (0.00,0.23)</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rPr>
                <w:rFonts w:ascii="Arial Narrow" w:hAnsi="Arial Narrow"/>
                <w:snapToGrid w:val="0"/>
                <w:sz w:val="20"/>
                <w:szCs w:val="20"/>
                <w:lang w:eastAsia="en-US"/>
              </w:rPr>
            </w:pPr>
            <w:r w:rsidRPr="00917FFB">
              <w:rPr>
                <w:rFonts w:ascii="Arial Narrow" w:hAnsi="Arial Narrow"/>
                <w:b/>
                <w:iCs/>
                <w:snapToGrid w:val="0"/>
                <w:sz w:val="20"/>
                <w:szCs w:val="20"/>
                <w:lang w:eastAsia="en-US"/>
              </w:rPr>
              <w:t>BARI 4</w:t>
            </w:r>
            <w:r w:rsidR="003506FA" w:rsidRPr="00917FFB">
              <w:rPr>
                <w:rFonts w:ascii="Arial Narrow" w:hAnsi="Arial Narrow"/>
                <w:b/>
                <w:iCs/>
                <w:snapToGrid w:val="0"/>
                <w:sz w:val="20"/>
                <w:szCs w:val="20"/>
                <w:lang w:eastAsia="en-US"/>
              </w:rPr>
              <w:t xml:space="preserve"> </w:t>
            </w:r>
            <w:r w:rsidRPr="00917FFB">
              <w:rPr>
                <w:rFonts w:ascii="Arial Narrow" w:hAnsi="Arial Narrow"/>
                <w:b/>
                <w:iCs/>
                <w:snapToGrid w:val="0"/>
                <w:sz w:val="20"/>
                <w:szCs w:val="20"/>
                <w:lang w:eastAsia="en-US"/>
              </w:rPr>
              <w:t>mg + TCS v PBO + TCS</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snapToGrid w:val="0"/>
                <w:sz w:val="20"/>
                <w:szCs w:val="20"/>
                <w:lang w:eastAsia="en-US"/>
              </w:rPr>
            </w:pP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240"/>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snapToGrid w:val="0"/>
                <w:sz w:val="20"/>
                <w:szCs w:val="20"/>
                <w:lang w:eastAsia="en-US"/>
              </w:rPr>
            </w:pPr>
            <w:r w:rsidRPr="00917FFB">
              <w:rPr>
                <w:rFonts w:ascii="Arial Narrow" w:hAnsi="Arial Narrow"/>
                <w:snapToGrid w:val="0"/>
                <w:sz w:val="20"/>
                <w:szCs w:val="20"/>
                <w:lang w:eastAsia="en-US"/>
              </w:rPr>
              <w:t>BREEZE-AD4</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17/44 (38.6)</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13/49 (26.5)</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1.46 (0.80,2.64)</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0.12 (-0.07,0.31)</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snapToGrid w:val="0"/>
                <w:sz w:val="20"/>
                <w:szCs w:val="20"/>
                <w:lang w:eastAsia="en-US"/>
              </w:rPr>
            </w:pPr>
            <w:r w:rsidRPr="00917FFB">
              <w:rPr>
                <w:rFonts w:ascii="Arial Narrow" w:hAnsi="Arial Narrow"/>
                <w:snapToGrid w:val="0"/>
                <w:sz w:val="20"/>
                <w:szCs w:val="20"/>
                <w:lang w:eastAsia="en-US"/>
              </w:rPr>
              <w:t>BREEZE-AD7</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30/49 (61.2)</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16/44 (36.4)</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1.68 (1.07,2.64)</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0.25 (0.05,0.45)</w:t>
            </w: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r w:rsidRPr="00917FFB">
              <w:rPr>
                <w:rFonts w:ascii="Arial Narrow" w:hAnsi="Arial Narrow"/>
                <w:b/>
                <w:snapToGrid w:val="0"/>
                <w:sz w:val="20"/>
                <w:szCs w:val="20"/>
                <w:lang w:eastAsia="en-US"/>
              </w:rPr>
              <w:t>4 (3,20)</w:t>
            </w: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snapToGrid w:val="0"/>
                <w:sz w:val="20"/>
                <w:szCs w:val="20"/>
                <w:lang w:eastAsia="en-US"/>
              </w:rPr>
            </w:pPr>
            <w:r w:rsidRPr="00917FFB">
              <w:rPr>
                <w:rFonts w:ascii="Arial Narrow" w:hAnsi="Arial Narrow"/>
                <w:snapToGrid w:val="0"/>
                <w:sz w:val="20"/>
                <w:szCs w:val="20"/>
                <w:lang w:eastAsia="en-US"/>
              </w:rPr>
              <w:t>JAHG</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4/9 (44.4)</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3/16 (18.8)</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2.37 (0.68,8.31)</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0.26 (-0.12,0.63)</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40"/>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iCs/>
                <w:snapToGrid w:val="0"/>
                <w:sz w:val="20"/>
                <w:szCs w:val="20"/>
                <w:lang w:eastAsia="en-US"/>
              </w:rPr>
            </w:pPr>
            <w:r w:rsidRPr="00917FFB">
              <w:rPr>
                <w:rFonts w:ascii="Arial Narrow" w:hAnsi="Arial Narrow"/>
                <w:iCs/>
                <w:snapToGrid w:val="0"/>
                <w:sz w:val="20"/>
                <w:szCs w:val="20"/>
                <w:lang w:eastAsia="en-US"/>
              </w:rPr>
              <w:t>MA</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51/102 (50.0)</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32/109 (29.4)</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b/>
                <w:bCs/>
                <w:iCs/>
                <w:snapToGrid w:val="0"/>
                <w:sz w:val="20"/>
                <w:szCs w:val="20"/>
                <w:lang w:eastAsia="en-US"/>
              </w:rPr>
              <w:t>1.65 (1.17,2.32)</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b/>
                <w:bCs/>
                <w:iCs/>
                <w:snapToGrid w:val="0"/>
                <w:sz w:val="20"/>
                <w:szCs w:val="20"/>
                <w:lang w:eastAsia="en-US"/>
              </w:rPr>
              <w:t>0.19 (0.06,0.32)</w:t>
            </w: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r w:rsidRPr="00917FFB">
              <w:rPr>
                <w:rFonts w:ascii="Arial Narrow" w:hAnsi="Arial Narrow"/>
                <w:b/>
                <w:snapToGrid w:val="0"/>
                <w:sz w:val="20"/>
                <w:szCs w:val="20"/>
                <w:lang w:eastAsia="en-US"/>
              </w:rPr>
              <w:t>6 (4,17)</w:t>
            </w: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853F7A" w:rsidRDefault="008F6880" w:rsidP="00851832">
            <w:pPr>
              <w:keepNext/>
              <w:keepLines/>
              <w:widowControl w:val="0"/>
              <w:rPr>
                <w:rFonts w:ascii="Arial Narrow" w:hAnsi="Arial Narrow"/>
                <w:snapToGrid w:val="0"/>
                <w:sz w:val="20"/>
                <w:szCs w:val="20"/>
                <w:lang w:eastAsia="en-US"/>
              </w:rPr>
            </w:pPr>
            <w:r w:rsidRPr="00853F7A">
              <w:rPr>
                <w:rFonts w:ascii="Arial Narrow" w:hAnsi="Arial Narrow"/>
                <w:b/>
                <w:bCs/>
                <w:snapToGrid w:val="0"/>
                <w:sz w:val="20"/>
                <w:szCs w:val="20"/>
                <w:lang w:eastAsia="en-US"/>
              </w:rPr>
              <w:t>BARI 4</w:t>
            </w:r>
            <w:r w:rsidR="003506FA" w:rsidRPr="00853F7A">
              <w:rPr>
                <w:rFonts w:ascii="Arial Narrow" w:hAnsi="Arial Narrow"/>
                <w:b/>
                <w:bCs/>
                <w:snapToGrid w:val="0"/>
                <w:sz w:val="20"/>
                <w:szCs w:val="20"/>
                <w:lang w:eastAsia="en-US"/>
              </w:rPr>
              <w:t xml:space="preserve"> </w:t>
            </w:r>
            <w:r w:rsidRPr="00853F7A">
              <w:rPr>
                <w:rFonts w:ascii="Arial Narrow" w:hAnsi="Arial Narrow"/>
                <w:b/>
                <w:bCs/>
                <w:snapToGrid w:val="0"/>
                <w:sz w:val="20"/>
                <w:szCs w:val="20"/>
                <w:lang w:eastAsia="en-US"/>
              </w:rPr>
              <w:t>mg v BARI 2</w:t>
            </w:r>
            <w:r w:rsidR="003506FA" w:rsidRPr="00853F7A">
              <w:rPr>
                <w:rFonts w:ascii="Arial Narrow" w:hAnsi="Arial Narrow"/>
                <w:b/>
                <w:bCs/>
                <w:snapToGrid w:val="0"/>
                <w:sz w:val="20"/>
                <w:szCs w:val="20"/>
                <w:lang w:eastAsia="en-US"/>
              </w:rPr>
              <w:t xml:space="preserve"> </w:t>
            </w:r>
            <w:r w:rsidRPr="00853F7A">
              <w:rPr>
                <w:rFonts w:ascii="Arial Narrow" w:hAnsi="Arial Narrow"/>
                <w:b/>
                <w:bCs/>
                <w:snapToGrid w:val="0"/>
                <w:sz w:val="20"/>
                <w:szCs w:val="20"/>
                <w:lang w:eastAsia="en-US"/>
              </w:rPr>
              <w:t>mg</w:t>
            </w:r>
          </w:p>
        </w:tc>
        <w:tc>
          <w:tcPr>
            <w:tcW w:w="683" w:type="pct"/>
            <w:tcBorders>
              <w:top w:val="nil"/>
              <w:left w:val="single" w:sz="4" w:space="0" w:color="auto"/>
              <w:bottom w:val="nil"/>
              <w:right w:val="single" w:sz="4" w:space="0" w:color="auto"/>
            </w:tcBorders>
            <w:vAlign w:val="center"/>
          </w:tcPr>
          <w:p w:rsidR="008F6880" w:rsidRPr="00853F7A" w:rsidRDefault="008F6880" w:rsidP="00851832">
            <w:pPr>
              <w:keepNext/>
              <w:keepLines/>
              <w:widowControl w:val="0"/>
              <w:jc w:val="center"/>
              <w:rPr>
                <w:rFonts w:ascii="Arial Narrow" w:hAnsi="Arial Narrow"/>
                <w:iCs/>
                <w:snapToGrid w:val="0"/>
                <w:sz w:val="20"/>
                <w:szCs w:val="20"/>
                <w:lang w:eastAsia="en-US"/>
              </w:rPr>
            </w:pPr>
          </w:p>
        </w:tc>
        <w:tc>
          <w:tcPr>
            <w:tcW w:w="619" w:type="pct"/>
            <w:tcBorders>
              <w:top w:val="nil"/>
              <w:left w:val="single" w:sz="4" w:space="0" w:color="auto"/>
              <w:bottom w:val="nil"/>
              <w:right w:val="single" w:sz="4" w:space="0" w:color="auto"/>
            </w:tcBorders>
            <w:vAlign w:val="center"/>
          </w:tcPr>
          <w:p w:rsidR="008F6880" w:rsidRPr="00853F7A" w:rsidRDefault="008F6880" w:rsidP="00851832">
            <w:pPr>
              <w:keepNext/>
              <w:keepLines/>
              <w:widowControl w:val="0"/>
              <w:jc w:val="center"/>
              <w:rPr>
                <w:rFonts w:ascii="Arial Narrow" w:hAnsi="Arial Narrow"/>
                <w:iCs/>
                <w:snapToGrid w:val="0"/>
                <w:sz w:val="20"/>
                <w:szCs w:val="20"/>
                <w:lang w:eastAsia="en-US"/>
              </w:rPr>
            </w:pPr>
          </w:p>
        </w:tc>
        <w:tc>
          <w:tcPr>
            <w:tcW w:w="776" w:type="pct"/>
            <w:tcBorders>
              <w:top w:val="nil"/>
              <w:left w:val="single" w:sz="4" w:space="0" w:color="auto"/>
              <w:bottom w:val="nil"/>
              <w:right w:val="single" w:sz="4" w:space="0" w:color="auto"/>
            </w:tcBorders>
            <w:vAlign w:val="center"/>
          </w:tcPr>
          <w:p w:rsidR="008F6880" w:rsidRPr="00853F7A" w:rsidRDefault="008F6880" w:rsidP="00851832">
            <w:pPr>
              <w:keepNext/>
              <w:keepLines/>
              <w:widowControl w:val="0"/>
              <w:jc w:val="center"/>
              <w:rPr>
                <w:rFonts w:ascii="Arial Narrow" w:hAnsi="Arial Narrow"/>
                <w:b/>
                <w:bCs/>
                <w:iCs/>
                <w:snapToGrid w:val="0"/>
                <w:sz w:val="20"/>
                <w:szCs w:val="20"/>
                <w:lang w:eastAsia="en-US"/>
              </w:rPr>
            </w:pPr>
          </w:p>
        </w:tc>
        <w:tc>
          <w:tcPr>
            <w:tcW w:w="741" w:type="pct"/>
            <w:tcBorders>
              <w:top w:val="nil"/>
              <w:left w:val="single" w:sz="4" w:space="0" w:color="auto"/>
              <w:bottom w:val="nil"/>
              <w:right w:val="single" w:sz="4" w:space="0" w:color="auto"/>
            </w:tcBorders>
            <w:vAlign w:val="center"/>
          </w:tcPr>
          <w:p w:rsidR="008F6880" w:rsidRPr="00853F7A" w:rsidRDefault="008F6880" w:rsidP="00851832">
            <w:pPr>
              <w:keepNext/>
              <w:keepLines/>
              <w:widowControl w:val="0"/>
              <w:jc w:val="center"/>
              <w:rPr>
                <w:rFonts w:ascii="Arial Narrow" w:hAnsi="Arial Narrow"/>
                <w:b/>
                <w:bCs/>
                <w:iCs/>
                <w:snapToGrid w:val="0"/>
                <w:sz w:val="20"/>
                <w:szCs w:val="20"/>
                <w:lang w:eastAsia="en-US"/>
              </w:rPr>
            </w:pPr>
          </w:p>
        </w:tc>
        <w:tc>
          <w:tcPr>
            <w:tcW w:w="453" w:type="pct"/>
            <w:tcBorders>
              <w:top w:val="nil"/>
              <w:left w:val="single" w:sz="4" w:space="0" w:color="auto"/>
              <w:bottom w:val="nil"/>
              <w:right w:val="single" w:sz="4" w:space="0" w:color="auto"/>
            </w:tcBorders>
            <w:vAlign w:val="center"/>
          </w:tcPr>
          <w:p w:rsidR="008F6880" w:rsidRPr="00853F7A"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iCs/>
                <w:snapToGrid w:val="0"/>
                <w:sz w:val="20"/>
                <w:szCs w:val="20"/>
                <w:lang w:eastAsia="en-US"/>
              </w:rPr>
            </w:pPr>
            <w:r w:rsidRPr="00917FFB">
              <w:rPr>
                <w:rFonts w:ascii="Arial Narrow" w:hAnsi="Arial Narrow"/>
                <w:snapToGrid w:val="0"/>
                <w:sz w:val="20"/>
                <w:szCs w:val="20"/>
                <w:lang w:eastAsia="en-US"/>
              </w:rPr>
              <w:t>BREEZE-AD4</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snapToGrid w:val="0"/>
                <w:sz w:val="20"/>
                <w:szCs w:val="20"/>
                <w:lang w:eastAsia="en-US"/>
              </w:rPr>
              <w:t>17/44 (38.6)</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snapToGrid w:val="0"/>
                <w:sz w:val="20"/>
                <w:szCs w:val="20"/>
                <w:lang w:eastAsia="en-US"/>
              </w:rPr>
              <w:t>29/83 (34.9)</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1.11 (0.68,1.75)</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0.04 (-0.13,0.22)</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40"/>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iCs/>
                <w:snapToGrid w:val="0"/>
                <w:sz w:val="20"/>
                <w:szCs w:val="20"/>
                <w:lang w:eastAsia="en-US"/>
              </w:rPr>
            </w:pPr>
            <w:r w:rsidRPr="00917FFB">
              <w:rPr>
                <w:rFonts w:ascii="Arial Narrow" w:hAnsi="Arial Narrow"/>
                <w:snapToGrid w:val="0"/>
                <w:sz w:val="20"/>
                <w:szCs w:val="20"/>
                <w:lang w:eastAsia="en-US"/>
              </w:rPr>
              <w:t>BREEZE-AD7</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30/49 (61.2)</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snapToGrid w:val="0"/>
                <w:sz w:val="20"/>
                <w:szCs w:val="20"/>
                <w:lang w:eastAsia="en-US"/>
              </w:rPr>
              <w:t>22/49 (44.9)</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1.36 (0.94,2.03)</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0.16 (-0.04,0.35)</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ind w:left="112"/>
              <w:rPr>
                <w:rFonts w:ascii="Arial Narrow" w:hAnsi="Arial Narrow"/>
                <w:iCs/>
                <w:snapToGrid w:val="0"/>
                <w:sz w:val="20"/>
                <w:szCs w:val="20"/>
                <w:lang w:eastAsia="en-US"/>
              </w:rPr>
            </w:pPr>
            <w:r w:rsidRPr="00917FFB">
              <w:rPr>
                <w:rFonts w:ascii="Arial Narrow" w:hAnsi="Arial Narrow"/>
                <w:snapToGrid w:val="0"/>
                <w:sz w:val="20"/>
                <w:szCs w:val="20"/>
                <w:lang w:eastAsia="en-US"/>
              </w:rPr>
              <w:t>JAHG</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snapToGrid w:val="0"/>
                <w:sz w:val="20"/>
                <w:szCs w:val="20"/>
                <w:lang w:eastAsia="en-US"/>
              </w:rPr>
              <w:t>4/9 (44.4)</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snapToGrid w:val="0"/>
                <w:sz w:val="20"/>
                <w:szCs w:val="20"/>
                <w:lang w:eastAsia="en-US"/>
              </w:rPr>
              <w:t>8/16 (50.0)</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0.89 (0.34,1.99)</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-0.06 (-0.42,0.33)</w:t>
            </w:r>
          </w:p>
        </w:tc>
        <w:tc>
          <w:tcPr>
            <w:tcW w:w="453" w:type="pct"/>
            <w:tcBorders>
              <w:top w:val="nil"/>
              <w:left w:val="single" w:sz="4" w:space="0" w:color="auto"/>
              <w:bottom w:val="nil"/>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25"/>
        </w:trPr>
        <w:tc>
          <w:tcPr>
            <w:tcW w:w="1728" w:type="pct"/>
            <w:tcBorders>
              <w:top w:val="nil"/>
              <w:left w:val="single" w:sz="4" w:space="0" w:color="auto"/>
              <w:bottom w:val="single" w:sz="4" w:space="0" w:color="auto"/>
              <w:right w:val="single" w:sz="4" w:space="0" w:color="auto"/>
            </w:tcBorders>
          </w:tcPr>
          <w:p w:rsidR="008F6880" w:rsidRPr="00917FFB" w:rsidRDefault="008F6880" w:rsidP="00851832">
            <w:pPr>
              <w:keepNext/>
              <w:keepLines/>
              <w:widowControl w:val="0"/>
              <w:ind w:left="112"/>
              <w:rPr>
                <w:rFonts w:ascii="Arial Narrow" w:hAnsi="Arial Narrow"/>
                <w:iCs/>
                <w:snapToGrid w:val="0"/>
                <w:sz w:val="20"/>
                <w:szCs w:val="20"/>
                <w:lang w:eastAsia="en-US"/>
              </w:rPr>
            </w:pPr>
            <w:r w:rsidRPr="00917FFB">
              <w:rPr>
                <w:rFonts w:ascii="Arial Narrow" w:hAnsi="Arial Narrow"/>
                <w:iCs/>
                <w:snapToGrid w:val="0"/>
                <w:sz w:val="20"/>
                <w:szCs w:val="20"/>
                <w:lang w:eastAsia="en-US"/>
              </w:rPr>
              <w:t>MA</w:t>
            </w:r>
          </w:p>
        </w:tc>
        <w:tc>
          <w:tcPr>
            <w:tcW w:w="683"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51/102 (50.0)</w:t>
            </w:r>
          </w:p>
        </w:tc>
        <w:tc>
          <w:tcPr>
            <w:tcW w:w="619"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59/148 (39.9)</w:t>
            </w:r>
          </w:p>
        </w:tc>
        <w:tc>
          <w:tcPr>
            <w:tcW w:w="776"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1.25 (0.95,1.65)</w:t>
            </w:r>
          </w:p>
        </w:tc>
        <w:tc>
          <w:tcPr>
            <w:tcW w:w="741"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Cs/>
                <w:iCs/>
                <w:snapToGrid w:val="0"/>
                <w:sz w:val="20"/>
                <w:szCs w:val="20"/>
                <w:lang w:eastAsia="en-US"/>
              </w:rPr>
            </w:pPr>
            <w:r w:rsidRPr="00917FFB">
              <w:rPr>
                <w:rFonts w:ascii="Arial Narrow" w:hAnsi="Arial Narrow"/>
                <w:bCs/>
                <w:iCs/>
                <w:snapToGrid w:val="0"/>
                <w:sz w:val="20"/>
                <w:szCs w:val="20"/>
                <w:lang w:eastAsia="en-US"/>
              </w:rPr>
              <w:t>0.10 (-0.02,0.22)</w:t>
            </w:r>
          </w:p>
        </w:tc>
        <w:tc>
          <w:tcPr>
            <w:tcW w:w="453" w:type="pct"/>
            <w:tcBorders>
              <w:top w:val="nil"/>
              <w:left w:val="single" w:sz="4" w:space="0" w:color="auto"/>
              <w:bottom w:val="single" w:sz="4" w:space="0" w:color="auto"/>
              <w:right w:val="single" w:sz="4" w:space="0" w:color="auto"/>
            </w:tcBorders>
            <w:vAlign w:val="center"/>
          </w:tcPr>
          <w:p w:rsidR="008F6880" w:rsidRPr="00917FFB" w:rsidRDefault="00DA4FC3"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25"/>
        </w:trPr>
        <w:tc>
          <w:tcPr>
            <w:tcW w:w="1728" w:type="pct"/>
            <w:tcBorders>
              <w:top w:val="single" w:sz="4" w:space="0" w:color="auto"/>
              <w:left w:val="single" w:sz="4" w:space="0" w:color="auto"/>
              <w:bottom w:val="nil"/>
              <w:right w:val="single" w:sz="4" w:space="0" w:color="auto"/>
            </w:tcBorders>
          </w:tcPr>
          <w:p w:rsidR="008F6880" w:rsidRPr="00917FFB" w:rsidRDefault="008F6880" w:rsidP="00851832">
            <w:pPr>
              <w:keepNext/>
              <w:keepLines/>
              <w:widowControl w:val="0"/>
              <w:rPr>
                <w:rFonts w:ascii="Arial Narrow" w:hAnsi="Arial Narrow"/>
                <w:snapToGrid w:val="0"/>
                <w:sz w:val="20"/>
                <w:szCs w:val="20"/>
                <w:lang w:eastAsia="en-US"/>
              </w:rPr>
            </w:pPr>
            <w:r w:rsidRPr="00917FFB">
              <w:rPr>
                <w:rFonts w:ascii="Arial Narrow" w:hAnsi="Arial Narrow"/>
                <w:b/>
                <w:bCs/>
                <w:iCs/>
                <w:snapToGrid w:val="0"/>
                <w:color w:val="0070C0"/>
                <w:sz w:val="20"/>
                <w:szCs w:val="20"/>
                <w:lang w:eastAsia="en-US"/>
              </w:rPr>
              <w:t>Monotherapy + combination therapy</w:t>
            </w:r>
          </w:p>
        </w:tc>
        <w:tc>
          <w:tcPr>
            <w:tcW w:w="683"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741"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453"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225"/>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rPr>
                <w:rFonts w:ascii="Arial Narrow" w:hAnsi="Arial Narrow"/>
                <w:snapToGrid w:val="0"/>
                <w:sz w:val="20"/>
                <w:szCs w:val="20"/>
                <w:lang w:eastAsia="en-US"/>
              </w:rPr>
            </w:pPr>
            <w:r w:rsidRPr="00917FFB">
              <w:rPr>
                <w:rFonts w:ascii="Arial Narrow" w:hAnsi="Arial Narrow"/>
                <w:b/>
                <w:bCs/>
                <w:iCs/>
                <w:snapToGrid w:val="0"/>
                <w:sz w:val="20"/>
                <w:szCs w:val="20"/>
                <w:lang w:eastAsia="en-US"/>
              </w:rPr>
              <w:t>BARI 2</w:t>
            </w:r>
            <w:r w:rsidR="003506FA" w:rsidRPr="00917FFB">
              <w:rPr>
                <w:rFonts w:ascii="Arial Narrow" w:hAnsi="Arial Narrow"/>
                <w:b/>
                <w:bCs/>
                <w:iCs/>
                <w:snapToGrid w:val="0"/>
                <w:sz w:val="20"/>
                <w:szCs w:val="20"/>
                <w:lang w:eastAsia="en-US"/>
              </w:rPr>
              <w:t xml:space="preserve"> </w:t>
            </w:r>
            <w:r w:rsidRPr="00917FFB">
              <w:rPr>
                <w:rFonts w:ascii="Arial Narrow" w:hAnsi="Arial Narrow"/>
                <w:b/>
                <w:bCs/>
                <w:iCs/>
                <w:snapToGrid w:val="0"/>
                <w:sz w:val="20"/>
                <w:szCs w:val="20"/>
                <w:lang w:eastAsia="en-US"/>
              </w:rPr>
              <w:t>mg ± TCS v PBO ± TCS</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690"/>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jc w:val="left"/>
              <w:rPr>
                <w:rFonts w:ascii="Arial Narrow" w:hAnsi="Arial Narrow"/>
                <w:snapToGrid w:val="0"/>
                <w:sz w:val="20"/>
                <w:szCs w:val="20"/>
                <w:lang w:eastAsia="en-US"/>
              </w:rPr>
            </w:pPr>
            <w:r w:rsidRPr="00917FFB">
              <w:rPr>
                <w:rFonts w:ascii="Arial Narrow" w:hAnsi="Arial Narrow"/>
                <w:iCs/>
                <w:snapToGrid w:val="0"/>
                <w:sz w:val="20"/>
                <w:szCs w:val="20"/>
                <w:lang w:eastAsia="en-US"/>
              </w:rPr>
              <w:t>BREEZE-AD1, BREEZE-AD2, BREEZE-AD5, BREEZE-AD4, BREEZE-AD7, JAHG</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90/303 (29.7)</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50/380 (13.2)</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1.92 (1.25,2.95)</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0.13 (0.07,0.19)</w:t>
            </w: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r w:rsidRPr="00917FFB">
              <w:rPr>
                <w:rFonts w:ascii="Arial Narrow" w:hAnsi="Arial Narrow"/>
                <w:b/>
                <w:snapToGrid w:val="0"/>
                <w:sz w:val="20"/>
                <w:szCs w:val="20"/>
                <w:lang w:eastAsia="en-US"/>
              </w:rPr>
              <w:t>8 (6,15)</w:t>
            </w:r>
          </w:p>
        </w:tc>
      </w:tr>
      <w:tr w:rsidR="008F6880" w:rsidRPr="00917FFB" w:rsidTr="00851832">
        <w:trPr>
          <w:trHeight w:val="240"/>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rPr>
                <w:rFonts w:ascii="Arial Narrow" w:hAnsi="Arial Narrow"/>
                <w:snapToGrid w:val="0"/>
                <w:sz w:val="20"/>
                <w:szCs w:val="20"/>
                <w:lang w:eastAsia="en-US"/>
              </w:rPr>
            </w:pPr>
            <w:r w:rsidRPr="00917FFB">
              <w:rPr>
                <w:rFonts w:ascii="Arial Narrow" w:hAnsi="Arial Narrow"/>
                <w:b/>
                <w:iCs/>
                <w:snapToGrid w:val="0"/>
                <w:sz w:val="20"/>
                <w:szCs w:val="20"/>
                <w:lang w:eastAsia="en-US"/>
              </w:rPr>
              <w:t>BARI 4</w:t>
            </w:r>
            <w:r w:rsidR="003506FA" w:rsidRPr="00917FFB">
              <w:rPr>
                <w:rFonts w:ascii="Arial Narrow" w:hAnsi="Arial Narrow"/>
                <w:b/>
                <w:iCs/>
                <w:snapToGrid w:val="0"/>
                <w:sz w:val="20"/>
                <w:szCs w:val="20"/>
                <w:lang w:eastAsia="en-US"/>
              </w:rPr>
              <w:t xml:space="preserve"> </w:t>
            </w:r>
            <w:r w:rsidRPr="00917FFB">
              <w:rPr>
                <w:rFonts w:ascii="Arial Narrow" w:hAnsi="Arial Narrow"/>
                <w:b/>
                <w:iCs/>
                <w:snapToGrid w:val="0"/>
                <w:sz w:val="20"/>
                <w:szCs w:val="20"/>
                <w:lang w:eastAsia="en-US"/>
              </w:rPr>
              <w:t xml:space="preserve">mg </w:t>
            </w:r>
            <w:r w:rsidRPr="00917FFB">
              <w:rPr>
                <w:rFonts w:ascii="Arial Narrow" w:hAnsi="Arial Narrow"/>
                <w:b/>
                <w:bCs/>
                <w:iCs/>
                <w:snapToGrid w:val="0"/>
                <w:sz w:val="20"/>
                <w:szCs w:val="20"/>
                <w:lang w:eastAsia="en-US"/>
              </w:rPr>
              <w:t>± TCS</w:t>
            </w:r>
            <w:r w:rsidRPr="00917FFB">
              <w:rPr>
                <w:rFonts w:ascii="Arial Narrow" w:hAnsi="Arial Narrow"/>
                <w:b/>
                <w:iCs/>
                <w:snapToGrid w:val="0"/>
                <w:sz w:val="20"/>
                <w:szCs w:val="20"/>
                <w:lang w:eastAsia="en-US"/>
              </w:rPr>
              <w:t xml:space="preserve"> v PBO </w:t>
            </w:r>
            <w:r w:rsidRPr="00917FFB">
              <w:rPr>
                <w:rFonts w:ascii="Arial Narrow" w:hAnsi="Arial Narrow"/>
                <w:b/>
                <w:bCs/>
                <w:iCs/>
                <w:snapToGrid w:val="0"/>
                <w:sz w:val="20"/>
                <w:szCs w:val="20"/>
                <w:lang w:eastAsia="en-US"/>
              </w:rPr>
              <w:t>± TCS</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p>
        </w:tc>
      </w:tr>
      <w:tr w:rsidR="008F6880" w:rsidRPr="00917FFB" w:rsidTr="00851832">
        <w:trPr>
          <w:trHeight w:val="450"/>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jc w:val="left"/>
              <w:rPr>
                <w:rFonts w:ascii="Arial Narrow" w:hAnsi="Arial Narrow"/>
                <w:snapToGrid w:val="0"/>
                <w:sz w:val="20"/>
                <w:szCs w:val="20"/>
                <w:lang w:eastAsia="en-US"/>
              </w:rPr>
            </w:pPr>
            <w:r w:rsidRPr="00917FFB">
              <w:rPr>
                <w:rFonts w:ascii="Arial Narrow" w:hAnsi="Arial Narrow"/>
                <w:iCs/>
                <w:snapToGrid w:val="0"/>
                <w:sz w:val="20"/>
                <w:szCs w:val="20"/>
                <w:lang w:eastAsia="en-US"/>
              </w:rPr>
              <w:t>BREEZE-AD1, BREEZE-AD2, BREEZE-AD4, BREEZE-AD7, JAHG</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76/213 (35.7)</w:t>
            </w: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47/325 (14.5)</w:t>
            </w: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1.98 (1.44,2.72)</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0.16 (0.09,0.23)</w:t>
            </w: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r w:rsidRPr="00917FFB">
              <w:rPr>
                <w:rFonts w:ascii="Arial Narrow" w:hAnsi="Arial Narrow"/>
                <w:b/>
                <w:snapToGrid w:val="0"/>
                <w:sz w:val="20"/>
                <w:szCs w:val="20"/>
                <w:lang w:eastAsia="en-US"/>
              </w:rPr>
              <w:t>7 (5,12)</w:t>
            </w:r>
          </w:p>
        </w:tc>
      </w:tr>
      <w:tr w:rsidR="008F6880" w:rsidRPr="00917FFB" w:rsidTr="00851832">
        <w:trPr>
          <w:trHeight w:val="240"/>
        </w:trPr>
        <w:tc>
          <w:tcPr>
            <w:tcW w:w="1728" w:type="pct"/>
            <w:tcBorders>
              <w:top w:val="nil"/>
              <w:left w:val="single" w:sz="4" w:space="0" w:color="auto"/>
              <w:bottom w:val="nil"/>
              <w:right w:val="single" w:sz="4" w:space="0" w:color="auto"/>
            </w:tcBorders>
          </w:tcPr>
          <w:p w:rsidR="008F6880" w:rsidRPr="00917FFB" w:rsidRDefault="008F6880" w:rsidP="00851832">
            <w:pPr>
              <w:keepNext/>
              <w:keepLines/>
              <w:widowControl w:val="0"/>
              <w:rPr>
                <w:rFonts w:ascii="Arial Narrow" w:hAnsi="Arial Narrow"/>
                <w:snapToGrid w:val="0"/>
                <w:sz w:val="20"/>
                <w:szCs w:val="20"/>
                <w:lang w:eastAsia="en-US"/>
              </w:rPr>
            </w:pPr>
            <w:r w:rsidRPr="00917FFB">
              <w:rPr>
                <w:rFonts w:ascii="Arial Narrow" w:hAnsi="Arial Narrow"/>
                <w:b/>
                <w:bCs/>
                <w:iCs/>
                <w:snapToGrid w:val="0"/>
                <w:sz w:val="20"/>
                <w:szCs w:val="20"/>
                <w:lang w:eastAsia="en-US"/>
              </w:rPr>
              <w:t>DUPI 300</w:t>
            </w:r>
            <w:r w:rsidR="003506FA" w:rsidRPr="00917FFB">
              <w:rPr>
                <w:rFonts w:ascii="Arial Narrow" w:hAnsi="Arial Narrow"/>
                <w:b/>
                <w:bCs/>
                <w:iCs/>
                <w:snapToGrid w:val="0"/>
                <w:sz w:val="20"/>
                <w:szCs w:val="20"/>
                <w:lang w:eastAsia="en-US"/>
              </w:rPr>
              <w:t xml:space="preserve"> </w:t>
            </w:r>
            <w:r w:rsidRPr="00917FFB">
              <w:rPr>
                <w:rFonts w:ascii="Arial Narrow" w:hAnsi="Arial Narrow"/>
                <w:b/>
                <w:bCs/>
                <w:iCs/>
                <w:snapToGrid w:val="0"/>
                <w:sz w:val="20"/>
                <w:szCs w:val="20"/>
                <w:lang w:eastAsia="en-US"/>
              </w:rPr>
              <w:t>mg</w:t>
            </w:r>
            <w:r w:rsidRPr="00917FFB">
              <w:rPr>
                <w:rFonts w:ascii="Arial Narrow" w:hAnsi="Arial Narrow"/>
                <w:b/>
                <w:bCs/>
                <w:iCs/>
                <w:snapToGrid w:val="0"/>
                <w:sz w:val="20"/>
                <w:szCs w:val="20"/>
                <w:vertAlign w:val="superscript"/>
                <w:lang w:eastAsia="en-US"/>
              </w:rPr>
              <w:t>†</w:t>
            </w:r>
            <w:r w:rsidRPr="00917FFB">
              <w:rPr>
                <w:rFonts w:ascii="Arial Narrow" w:hAnsi="Arial Narrow"/>
                <w:b/>
                <w:bCs/>
                <w:iCs/>
                <w:snapToGrid w:val="0"/>
                <w:sz w:val="20"/>
                <w:szCs w:val="20"/>
                <w:lang w:eastAsia="en-US"/>
              </w:rPr>
              <w:t xml:space="preserve"> ± TCS v PBO ± TCS</w:t>
            </w:r>
            <w:r w:rsidRPr="00917FFB">
              <w:rPr>
                <w:rFonts w:ascii="Arial Narrow" w:hAnsi="Arial Narrow"/>
                <w:b/>
                <w:bCs/>
                <w:iCs/>
                <w:snapToGrid w:val="0"/>
                <w:sz w:val="20"/>
                <w:szCs w:val="20"/>
                <w:vertAlign w:val="superscript"/>
                <w:lang w:eastAsia="en-US"/>
              </w:rPr>
              <w:t>#</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p>
        </w:tc>
      </w:tr>
      <w:tr w:rsidR="008F6880" w:rsidRPr="00917FFB" w:rsidTr="00851832">
        <w:trPr>
          <w:trHeight w:val="225"/>
        </w:trPr>
        <w:tc>
          <w:tcPr>
            <w:tcW w:w="1728" w:type="pct"/>
            <w:tcBorders>
              <w:top w:val="nil"/>
              <w:left w:val="single" w:sz="4" w:space="0" w:color="auto"/>
              <w:bottom w:val="double" w:sz="4" w:space="0" w:color="auto"/>
              <w:right w:val="single" w:sz="4" w:space="0" w:color="auto"/>
            </w:tcBorders>
          </w:tcPr>
          <w:p w:rsidR="008F6880" w:rsidRPr="00917FFB" w:rsidRDefault="008F6880" w:rsidP="00851832">
            <w:pPr>
              <w:keepNext/>
              <w:keepLines/>
              <w:widowControl w:val="0"/>
              <w:rPr>
                <w:rFonts w:ascii="Arial Narrow" w:hAnsi="Arial Narrow"/>
                <w:iCs/>
                <w:snapToGrid w:val="0"/>
                <w:sz w:val="20"/>
                <w:szCs w:val="20"/>
                <w:lang w:eastAsia="en-US"/>
              </w:rPr>
            </w:pPr>
            <w:r w:rsidRPr="00917FFB">
              <w:rPr>
                <w:rFonts w:ascii="Arial Narrow" w:hAnsi="Arial Narrow"/>
                <w:iCs/>
                <w:snapToGrid w:val="0"/>
                <w:sz w:val="20"/>
                <w:szCs w:val="20"/>
                <w:lang w:eastAsia="en-US"/>
              </w:rPr>
              <w:t>1021, SOLO 1, SOLO 2, CHRONOS</w:t>
            </w:r>
          </w:p>
        </w:tc>
        <w:tc>
          <w:tcPr>
            <w:tcW w:w="683" w:type="pct"/>
            <w:tcBorders>
              <w:top w:val="nil"/>
              <w:left w:val="single" w:sz="4" w:space="0" w:color="auto"/>
              <w:bottom w:val="doub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190/318 (59.7)</w:t>
            </w:r>
          </w:p>
        </w:tc>
        <w:tc>
          <w:tcPr>
            <w:tcW w:w="619" w:type="pct"/>
            <w:tcBorders>
              <w:top w:val="nil"/>
              <w:left w:val="single" w:sz="4" w:space="0" w:color="auto"/>
              <w:bottom w:val="doub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iCs/>
                <w:snapToGrid w:val="0"/>
                <w:sz w:val="20"/>
                <w:szCs w:val="20"/>
                <w:lang w:eastAsia="en-US"/>
              </w:rPr>
            </w:pPr>
            <w:r w:rsidRPr="00917FFB">
              <w:rPr>
                <w:rFonts w:ascii="Arial Narrow" w:hAnsi="Arial Narrow"/>
                <w:iCs/>
                <w:snapToGrid w:val="0"/>
                <w:sz w:val="20"/>
                <w:szCs w:val="20"/>
                <w:lang w:eastAsia="en-US"/>
              </w:rPr>
              <w:t>74/424 (17.5)</w:t>
            </w:r>
          </w:p>
        </w:tc>
        <w:tc>
          <w:tcPr>
            <w:tcW w:w="776" w:type="pct"/>
            <w:tcBorders>
              <w:top w:val="nil"/>
              <w:left w:val="single" w:sz="4" w:space="0" w:color="auto"/>
              <w:bottom w:val="doub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r w:rsidRPr="00917FFB">
              <w:rPr>
                <w:rFonts w:ascii="Arial Narrow" w:hAnsi="Arial Narrow"/>
                <w:b/>
                <w:bCs/>
                <w:iCs/>
                <w:snapToGrid w:val="0"/>
                <w:sz w:val="20"/>
                <w:szCs w:val="20"/>
                <w:lang w:eastAsia="en-US"/>
              </w:rPr>
              <w:t>3.42 (2.73,4.29)</w:t>
            </w:r>
          </w:p>
        </w:tc>
        <w:tc>
          <w:tcPr>
            <w:tcW w:w="741" w:type="pct"/>
            <w:tcBorders>
              <w:top w:val="nil"/>
              <w:left w:val="single" w:sz="4" w:space="0" w:color="auto"/>
              <w:bottom w:val="doub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r w:rsidRPr="00917FFB">
              <w:rPr>
                <w:rFonts w:ascii="Arial Narrow" w:hAnsi="Arial Narrow"/>
                <w:b/>
                <w:bCs/>
                <w:iCs/>
                <w:snapToGrid w:val="0"/>
                <w:sz w:val="20"/>
                <w:szCs w:val="20"/>
                <w:lang w:eastAsia="en-US"/>
              </w:rPr>
              <w:t>0.42 (0.36,0.49)</w:t>
            </w:r>
          </w:p>
        </w:tc>
        <w:tc>
          <w:tcPr>
            <w:tcW w:w="453" w:type="pct"/>
            <w:tcBorders>
              <w:top w:val="nil"/>
              <w:left w:val="single" w:sz="4" w:space="0" w:color="auto"/>
              <w:bottom w:val="doub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snapToGrid w:val="0"/>
                <w:sz w:val="20"/>
                <w:szCs w:val="20"/>
                <w:lang w:eastAsia="en-US"/>
              </w:rPr>
            </w:pPr>
            <w:r w:rsidRPr="00917FFB">
              <w:rPr>
                <w:rFonts w:ascii="Arial Narrow" w:hAnsi="Arial Narrow"/>
                <w:b/>
                <w:snapToGrid w:val="0"/>
                <w:sz w:val="20"/>
                <w:szCs w:val="20"/>
                <w:lang w:eastAsia="en-US"/>
              </w:rPr>
              <w:t>3 (3,3)</w:t>
            </w:r>
          </w:p>
        </w:tc>
      </w:tr>
      <w:tr w:rsidR="008F6880" w:rsidRPr="00917FFB" w:rsidTr="00851832">
        <w:trPr>
          <w:trHeight w:val="225"/>
        </w:trPr>
        <w:tc>
          <w:tcPr>
            <w:tcW w:w="1728" w:type="pct"/>
            <w:tcBorders>
              <w:top w:val="doub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rPr>
                <w:rFonts w:ascii="Arial Narrow" w:hAnsi="Arial Narrow"/>
                <w:iCs/>
                <w:snapToGrid w:val="0"/>
                <w:sz w:val="20"/>
                <w:szCs w:val="20"/>
                <w:lang w:eastAsia="en-US"/>
              </w:rPr>
            </w:pPr>
            <w:r w:rsidRPr="00917FFB">
              <w:rPr>
                <w:rFonts w:ascii="Arial Narrow" w:hAnsi="Arial Narrow"/>
                <w:b/>
                <w:bCs/>
                <w:iCs/>
                <w:snapToGrid w:val="0"/>
                <w:sz w:val="20"/>
                <w:szCs w:val="20"/>
                <w:lang w:eastAsia="en-US"/>
              </w:rPr>
              <w:t>Indirect comparisons</w:t>
            </w:r>
          </w:p>
        </w:tc>
        <w:tc>
          <w:tcPr>
            <w:tcW w:w="683" w:type="pct"/>
            <w:tcBorders>
              <w:top w:val="doub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doub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doub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741" w:type="pct"/>
            <w:tcBorders>
              <w:top w:val="doub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453" w:type="pct"/>
            <w:tcBorders>
              <w:top w:val="double" w:sz="4" w:space="0" w:color="auto"/>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225"/>
        </w:trPr>
        <w:tc>
          <w:tcPr>
            <w:tcW w:w="1728" w:type="pct"/>
            <w:tcBorders>
              <w:top w:val="single" w:sz="4" w:space="0" w:color="auto"/>
              <w:left w:val="single" w:sz="4" w:space="0" w:color="auto"/>
              <w:bottom w:val="nil"/>
              <w:right w:val="single" w:sz="4" w:space="0" w:color="auto"/>
            </w:tcBorders>
          </w:tcPr>
          <w:p w:rsidR="008F6880" w:rsidRPr="00917FFB" w:rsidRDefault="008F6880" w:rsidP="00851832">
            <w:pPr>
              <w:keepNext/>
              <w:keepLines/>
              <w:widowControl w:val="0"/>
              <w:rPr>
                <w:rFonts w:ascii="Arial Narrow" w:hAnsi="Arial Narrow"/>
                <w:iCs/>
                <w:snapToGrid w:val="0"/>
                <w:sz w:val="20"/>
                <w:szCs w:val="20"/>
                <w:lang w:eastAsia="en-US"/>
              </w:rPr>
            </w:pPr>
            <w:r w:rsidRPr="00917FFB">
              <w:rPr>
                <w:rFonts w:ascii="Arial Narrow" w:hAnsi="Arial Narrow"/>
                <w:b/>
                <w:bCs/>
                <w:iCs/>
                <w:snapToGrid w:val="0"/>
                <w:color w:val="0070C0"/>
                <w:sz w:val="20"/>
                <w:szCs w:val="20"/>
                <w:lang w:eastAsia="en-US"/>
              </w:rPr>
              <w:t>Monotherapy + combination therapy</w:t>
            </w:r>
          </w:p>
        </w:tc>
        <w:tc>
          <w:tcPr>
            <w:tcW w:w="683"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741"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p>
        </w:tc>
        <w:tc>
          <w:tcPr>
            <w:tcW w:w="453" w:type="pct"/>
            <w:tcBorders>
              <w:top w:val="single" w:sz="4" w:space="0" w:color="auto"/>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r>
      <w:tr w:rsidR="008F6880" w:rsidRPr="00917FFB" w:rsidTr="00851832">
        <w:trPr>
          <w:trHeight w:val="243"/>
        </w:trPr>
        <w:tc>
          <w:tcPr>
            <w:tcW w:w="1728"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rPr>
                <w:rFonts w:ascii="Arial Narrow" w:hAnsi="Arial Narrow"/>
                <w:iCs/>
                <w:snapToGrid w:val="0"/>
                <w:sz w:val="20"/>
                <w:szCs w:val="20"/>
                <w:lang w:eastAsia="en-US"/>
              </w:rPr>
            </w:pPr>
            <w:r w:rsidRPr="00917FFB">
              <w:rPr>
                <w:rFonts w:ascii="Arial Narrow" w:hAnsi="Arial Narrow"/>
                <w:iCs/>
                <w:snapToGrid w:val="0"/>
                <w:sz w:val="20"/>
                <w:szCs w:val="20"/>
                <w:lang w:eastAsia="en-US"/>
              </w:rPr>
              <w:t>BARI 2</w:t>
            </w:r>
            <w:r w:rsidR="00152647" w:rsidRPr="00917FFB">
              <w:rPr>
                <w:rFonts w:ascii="Arial Narrow" w:hAnsi="Arial Narrow"/>
                <w:iCs/>
                <w:snapToGrid w:val="0"/>
                <w:sz w:val="20"/>
                <w:szCs w:val="20"/>
                <w:lang w:eastAsia="en-US"/>
              </w:rPr>
              <w:t xml:space="preserve"> </w:t>
            </w:r>
            <w:r w:rsidRPr="00917FFB">
              <w:rPr>
                <w:rFonts w:ascii="Arial Narrow" w:hAnsi="Arial Narrow"/>
                <w:iCs/>
                <w:snapToGrid w:val="0"/>
                <w:sz w:val="20"/>
                <w:szCs w:val="20"/>
                <w:lang w:eastAsia="en-US"/>
              </w:rPr>
              <w:t>mg ± TCS v DUPI 300</w:t>
            </w:r>
            <w:r w:rsidR="003506FA" w:rsidRPr="00917FFB">
              <w:rPr>
                <w:rFonts w:ascii="Arial Narrow" w:hAnsi="Arial Narrow"/>
                <w:iCs/>
                <w:snapToGrid w:val="0"/>
                <w:sz w:val="20"/>
                <w:szCs w:val="20"/>
                <w:lang w:eastAsia="en-US"/>
              </w:rPr>
              <w:t xml:space="preserve"> </w:t>
            </w:r>
            <w:r w:rsidRPr="00917FFB">
              <w:rPr>
                <w:rFonts w:ascii="Arial Narrow" w:hAnsi="Arial Narrow"/>
                <w:iCs/>
                <w:snapToGrid w:val="0"/>
                <w:sz w:val="20"/>
                <w:szCs w:val="20"/>
                <w:lang w:eastAsia="en-US"/>
              </w:rPr>
              <w:t>mg ± TCS</w:t>
            </w:r>
          </w:p>
        </w:tc>
        <w:tc>
          <w:tcPr>
            <w:tcW w:w="68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0.56 (0.35,0.91)</w:t>
            </w:r>
          </w:p>
        </w:tc>
        <w:tc>
          <w:tcPr>
            <w:tcW w:w="741"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r w:rsidRPr="00917FFB">
              <w:rPr>
                <w:rFonts w:ascii="Arial Narrow" w:hAnsi="Arial Narrow"/>
                <w:b/>
                <w:bCs/>
                <w:iCs/>
                <w:snapToGrid w:val="0"/>
                <w:sz w:val="20"/>
                <w:szCs w:val="20"/>
                <w:lang w:eastAsia="en-US"/>
              </w:rPr>
              <w:t>-0.29(-0.38,-0.20)</w:t>
            </w:r>
          </w:p>
        </w:tc>
        <w:tc>
          <w:tcPr>
            <w:tcW w:w="453" w:type="pct"/>
            <w:tcBorders>
              <w:top w:val="nil"/>
              <w:left w:val="single" w:sz="4" w:space="0" w:color="auto"/>
              <w:bottom w:val="nil"/>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r w:rsidR="008F6880" w:rsidRPr="00917FFB" w:rsidTr="00851832">
        <w:trPr>
          <w:trHeight w:val="277"/>
        </w:trPr>
        <w:tc>
          <w:tcPr>
            <w:tcW w:w="1728"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rPr>
                <w:rFonts w:ascii="Arial Narrow" w:hAnsi="Arial Narrow"/>
                <w:iCs/>
                <w:snapToGrid w:val="0"/>
                <w:sz w:val="20"/>
                <w:szCs w:val="20"/>
                <w:lang w:eastAsia="en-US"/>
              </w:rPr>
            </w:pPr>
            <w:r w:rsidRPr="00917FFB">
              <w:rPr>
                <w:rFonts w:ascii="Arial Narrow" w:hAnsi="Arial Narrow"/>
                <w:iCs/>
                <w:snapToGrid w:val="0"/>
                <w:sz w:val="20"/>
                <w:szCs w:val="20"/>
                <w:lang w:eastAsia="en-US"/>
              </w:rPr>
              <w:t>BARI 4</w:t>
            </w:r>
            <w:r w:rsidR="00152647" w:rsidRPr="00917FFB">
              <w:rPr>
                <w:rFonts w:ascii="Arial Narrow" w:hAnsi="Arial Narrow"/>
                <w:iCs/>
                <w:snapToGrid w:val="0"/>
                <w:sz w:val="20"/>
                <w:szCs w:val="20"/>
                <w:lang w:eastAsia="en-US"/>
              </w:rPr>
              <w:t xml:space="preserve"> </w:t>
            </w:r>
            <w:r w:rsidRPr="00917FFB">
              <w:rPr>
                <w:rFonts w:ascii="Arial Narrow" w:hAnsi="Arial Narrow"/>
                <w:iCs/>
                <w:snapToGrid w:val="0"/>
                <w:sz w:val="20"/>
                <w:szCs w:val="20"/>
                <w:lang w:eastAsia="en-US"/>
              </w:rPr>
              <w:t>mg ± TCS v DUPI 300</w:t>
            </w:r>
            <w:r w:rsidR="003506FA" w:rsidRPr="00917FFB">
              <w:rPr>
                <w:rFonts w:ascii="Arial Narrow" w:hAnsi="Arial Narrow"/>
                <w:iCs/>
                <w:snapToGrid w:val="0"/>
                <w:sz w:val="20"/>
                <w:szCs w:val="20"/>
                <w:lang w:eastAsia="en-US"/>
              </w:rPr>
              <w:t xml:space="preserve"> </w:t>
            </w:r>
            <w:r w:rsidRPr="00917FFB">
              <w:rPr>
                <w:rFonts w:ascii="Arial Narrow" w:hAnsi="Arial Narrow"/>
                <w:iCs/>
                <w:snapToGrid w:val="0"/>
                <w:sz w:val="20"/>
                <w:szCs w:val="20"/>
                <w:lang w:eastAsia="en-US"/>
              </w:rPr>
              <w:t>mg ± TCS</w:t>
            </w:r>
          </w:p>
        </w:tc>
        <w:tc>
          <w:tcPr>
            <w:tcW w:w="683"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619"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p>
        </w:tc>
        <w:tc>
          <w:tcPr>
            <w:tcW w:w="776"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bCs/>
                <w:snapToGrid w:val="0"/>
                <w:sz w:val="20"/>
                <w:szCs w:val="20"/>
                <w:lang w:eastAsia="en-US"/>
              </w:rPr>
            </w:pPr>
            <w:r w:rsidRPr="00917FFB">
              <w:rPr>
                <w:rFonts w:ascii="Arial Narrow" w:hAnsi="Arial Narrow"/>
                <w:b/>
                <w:bCs/>
                <w:snapToGrid w:val="0"/>
                <w:sz w:val="20"/>
                <w:szCs w:val="20"/>
                <w:lang w:eastAsia="en-US"/>
              </w:rPr>
              <w:t>0.58 (0.39,0.86)</w:t>
            </w:r>
          </w:p>
        </w:tc>
        <w:tc>
          <w:tcPr>
            <w:tcW w:w="741"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b/>
                <w:bCs/>
                <w:iCs/>
                <w:snapToGrid w:val="0"/>
                <w:sz w:val="20"/>
                <w:szCs w:val="20"/>
                <w:lang w:eastAsia="en-US"/>
              </w:rPr>
            </w:pPr>
            <w:r w:rsidRPr="00917FFB">
              <w:rPr>
                <w:rFonts w:ascii="Arial Narrow" w:hAnsi="Arial Narrow"/>
                <w:b/>
                <w:bCs/>
                <w:iCs/>
                <w:snapToGrid w:val="0"/>
                <w:sz w:val="20"/>
                <w:szCs w:val="20"/>
                <w:lang w:eastAsia="en-US"/>
              </w:rPr>
              <w:t>-0.26(-0.36,-0.16)</w:t>
            </w:r>
          </w:p>
        </w:tc>
        <w:tc>
          <w:tcPr>
            <w:tcW w:w="453" w:type="pct"/>
            <w:tcBorders>
              <w:top w:val="nil"/>
              <w:left w:val="single" w:sz="4" w:space="0" w:color="auto"/>
              <w:bottom w:val="single" w:sz="4" w:space="0" w:color="auto"/>
              <w:right w:val="single" w:sz="4" w:space="0" w:color="auto"/>
            </w:tcBorders>
            <w:vAlign w:val="center"/>
          </w:tcPr>
          <w:p w:rsidR="008F6880" w:rsidRPr="00917FFB" w:rsidRDefault="008F6880" w:rsidP="00851832">
            <w:pPr>
              <w:keepNext/>
              <w:keepLines/>
              <w:widowControl w:val="0"/>
              <w:jc w:val="center"/>
              <w:rPr>
                <w:rFonts w:ascii="Arial Narrow" w:hAnsi="Arial Narrow"/>
                <w:snapToGrid w:val="0"/>
                <w:sz w:val="20"/>
                <w:szCs w:val="20"/>
                <w:lang w:eastAsia="en-US"/>
              </w:rPr>
            </w:pPr>
            <w:r w:rsidRPr="00917FFB">
              <w:rPr>
                <w:rFonts w:ascii="Arial Narrow" w:hAnsi="Arial Narrow"/>
                <w:snapToGrid w:val="0"/>
                <w:sz w:val="20"/>
                <w:szCs w:val="20"/>
                <w:lang w:eastAsia="en-US"/>
              </w:rPr>
              <w:t>-</w:t>
            </w:r>
          </w:p>
        </w:tc>
      </w:tr>
    </w:tbl>
    <w:p w:rsidR="008F6880" w:rsidRPr="00917FFB" w:rsidRDefault="008F6880" w:rsidP="00851832">
      <w:pPr>
        <w:keepNext/>
        <w:keepLines/>
        <w:widowControl w:val="0"/>
        <w:rPr>
          <w:rFonts w:ascii="Arial Narrow" w:hAnsi="Arial Narrow"/>
          <w:snapToGrid w:val="0"/>
          <w:sz w:val="18"/>
          <w:szCs w:val="18"/>
          <w:lang w:eastAsia="en-US"/>
        </w:rPr>
      </w:pPr>
      <w:r w:rsidRPr="00917FFB">
        <w:rPr>
          <w:rFonts w:ascii="Arial Narrow" w:hAnsi="Arial Narrow"/>
          <w:snapToGrid w:val="0"/>
          <w:sz w:val="18"/>
          <w:szCs w:val="18"/>
          <w:lang w:eastAsia="en-US"/>
        </w:rPr>
        <w:t>Source: Table 2.6.1, pp237-240 of the submission; Table 2.6.4, pp251-252 of the submission</w:t>
      </w:r>
    </w:p>
    <w:p w:rsidR="008F6880" w:rsidRPr="00917FFB" w:rsidRDefault="008F6880" w:rsidP="00851832">
      <w:pPr>
        <w:keepNext/>
        <w:keepLines/>
        <w:widowControl w:val="0"/>
        <w:rPr>
          <w:rFonts w:ascii="Arial Narrow" w:eastAsia="Calibri" w:hAnsi="Arial Narrow"/>
          <w:sz w:val="18"/>
          <w:szCs w:val="18"/>
        </w:rPr>
      </w:pPr>
      <w:r w:rsidRPr="00917FFB">
        <w:rPr>
          <w:rFonts w:ascii="Arial Narrow" w:hAnsi="Arial Narrow"/>
          <w:snapToGrid w:val="0"/>
          <w:sz w:val="18"/>
          <w:szCs w:val="18"/>
          <w:lang w:eastAsia="en-US"/>
        </w:rPr>
        <w:t xml:space="preserve">Abbreviations: BARI=baricitinib; DUPI=dupilumab; PBO=placebo; TCS=topical corticosteroids; RR=risk ratio; RD=risk difference; NNT=number needed to treat; </w:t>
      </w:r>
      <w:r w:rsidRPr="00917FFB">
        <w:rPr>
          <w:rFonts w:ascii="Arial Narrow" w:eastAsia="Calibri" w:hAnsi="Arial Narrow"/>
          <w:sz w:val="18"/>
          <w:szCs w:val="18"/>
        </w:rPr>
        <w:t>CI=confidence interval; n=number of participants with event; N=total participants in group; MA=meta-analysis; EASI=</w:t>
      </w:r>
      <w:r w:rsidRPr="00917FFB">
        <w:rPr>
          <w:sz w:val="18"/>
          <w:szCs w:val="18"/>
        </w:rPr>
        <w:t xml:space="preserve"> </w:t>
      </w:r>
      <w:r w:rsidRPr="00917FFB">
        <w:rPr>
          <w:rFonts w:ascii="Arial Narrow" w:eastAsia="Calibri" w:hAnsi="Arial Narrow"/>
          <w:sz w:val="18"/>
          <w:szCs w:val="18"/>
        </w:rPr>
        <w:t xml:space="preserve">Eczema Area and Severity Index; IGA=Investigator’s </w:t>
      </w:r>
      <w:r w:rsidR="007E2360">
        <w:rPr>
          <w:rFonts w:ascii="Arial Narrow" w:eastAsia="Calibri" w:hAnsi="Arial Narrow"/>
          <w:sz w:val="18"/>
          <w:szCs w:val="18"/>
        </w:rPr>
        <w:t>G</w:t>
      </w:r>
      <w:r w:rsidRPr="00917FFB">
        <w:rPr>
          <w:rFonts w:ascii="Arial Narrow" w:eastAsia="Calibri" w:hAnsi="Arial Narrow"/>
          <w:sz w:val="18"/>
          <w:szCs w:val="18"/>
        </w:rPr>
        <w:t>lobal Assessment</w:t>
      </w:r>
      <w:r w:rsidRPr="00917FFB">
        <w:rPr>
          <w:rFonts w:ascii="Arial Narrow" w:hAnsi="Arial Narrow"/>
          <w:snapToGrid w:val="0"/>
          <w:sz w:val="18"/>
          <w:szCs w:val="18"/>
          <w:lang w:eastAsia="en-US"/>
        </w:rPr>
        <w:t xml:space="preserve">. </w:t>
      </w:r>
      <w:r w:rsidRPr="00917FFB">
        <w:rPr>
          <w:rFonts w:ascii="Arial Narrow" w:hAnsi="Arial Narrow"/>
          <w:b/>
          <w:snapToGrid w:val="0"/>
          <w:sz w:val="18"/>
          <w:szCs w:val="18"/>
          <w:lang w:eastAsia="en-US"/>
        </w:rPr>
        <w:t>B</w:t>
      </w:r>
      <w:r w:rsidRPr="00917FFB">
        <w:rPr>
          <w:rFonts w:ascii="Arial Narrow" w:eastAsia="Calibri" w:hAnsi="Arial Narrow"/>
          <w:b/>
          <w:sz w:val="18"/>
          <w:szCs w:val="18"/>
        </w:rPr>
        <w:t>old</w:t>
      </w:r>
      <w:r w:rsidRPr="00917FFB">
        <w:rPr>
          <w:rFonts w:ascii="Arial Narrow" w:eastAsia="Calibri" w:hAnsi="Arial Narrow"/>
          <w:sz w:val="18"/>
          <w:szCs w:val="18"/>
        </w:rPr>
        <w:t>=statistically significant results.</w:t>
      </w:r>
    </w:p>
    <w:p w:rsidR="008F6880" w:rsidRPr="00917FFB" w:rsidRDefault="008F6880" w:rsidP="00851832">
      <w:pPr>
        <w:keepNext/>
        <w:keepLines/>
        <w:widowControl w:val="0"/>
        <w:spacing w:after="120"/>
        <w:contextualSpacing/>
        <w:rPr>
          <w:rFonts w:ascii="Arial Narrow" w:hAnsi="Arial Narrow"/>
          <w:snapToGrid w:val="0"/>
          <w:sz w:val="18"/>
          <w:szCs w:val="18"/>
        </w:rPr>
      </w:pPr>
      <w:r w:rsidRPr="00917FFB">
        <w:rPr>
          <w:rFonts w:ascii="Arial Narrow" w:hAnsi="Arial Narrow"/>
          <w:snapToGrid w:val="0"/>
          <w:sz w:val="18"/>
          <w:szCs w:val="18"/>
          <w:vertAlign w:val="superscript"/>
        </w:rPr>
        <w:t>†</w:t>
      </w:r>
      <w:r w:rsidRPr="00917FFB">
        <w:rPr>
          <w:rFonts w:ascii="Arial Narrow" w:hAnsi="Arial Narrow"/>
          <w:snapToGrid w:val="0"/>
          <w:sz w:val="18"/>
          <w:szCs w:val="18"/>
        </w:rPr>
        <w:t xml:space="preserve"> DUPI dosing comprised 600</w:t>
      </w:r>
      <w:r w:rsidR="001A7072" w:rsidRPr="00917FFB">
        <w:rPr>
          <w:rFonts w:ascii="Arial Narrow" w:hAnsi="Arial Narrow"/>
          <w:snapToGrid w:val="0"/>
          <w:sz w:val="18"/>
          <w:szCs w:val="18"/>
        </w:rPr>
        <w:t xml:space="preserve"> </w:t>
      </w:r>
      <w:r w:rsidRPr="00917FFB">
        <w:rPr>
          <w:rFonts w:ascii="Arial Narrow" w:hAnsi="Arial Narrow"/>
          <w:snapToGrid w:val="0"/>
          <w:sz w:val="18"/>
          <w:szCs w:val="18"/>
        </w:rPr>
        <w:t>mg loading, then 300</w:t>
      </w:r>
      <w:r w:rsidR="001A7072" w:rsidRPr="00917FFB">
        <w:rPr>
          <w:rFonts w:ascii="Arial Narrow" w:hAnsi="Arial Narrow"/>
          <w:snapToGrid w:val="0"/>
          <w:sz w:val="18"/>
          <w:szCs w:val="18"/>
        </w:rPr>
        <w:t xml:space="preserve"> </w:t>
      </w:r>
      <w:r w:rsidRPr="00917FFB">
        <w:rPr>
          <w:rFonts w:ascii="Arial Narrow" w:hAnsi="Arial Narrow"/>
          <w:snapToGrid w:val="0"/>
          <w:sz w:val="18"/>
          <w:szCs w:val="18"/>
        </w:rPr>
        <w:t>mg every 2 weeks thereafter.</w:t>
      </w:r>
    </w:p>
    <w:p w:rsidR="008F6880" w:rsidRPr="00917FFB" w:rsidRDefault="008F6880" w:rsidP="00851832">
      <w:pPr>
        <w:keepNext/>
        <w:keepLines/>
        <w:widowControl w:val="0"/>
        <w:spacing w:after="120"/>
        <w:contextualSpacing/>
        <w:rPr>
          <w:rFonts w:ascii="Arial Narrow" w:hAnsi="Arial Narrow"/>
          <w:snapToGrid w:val="0"/>
          <w:sz w:val="18"/>
          <w:szCs w:val="18"/>
          <w:lang w:eastAsia="en-US"/>
        </w:rPr>
      </w:pPr>
      <w:r w:rsidRPr="00917FFB">
        <w:rPr>
          <w:rFonts w:ascii="Arial Narrow" w:hAnsi="Arial Narrow"/>
          <w:snapToGrid w:val="0"/>
          <w:sz w:val="18"/>
          <w:szCs w:val="18"/>
          <w:vertAlign w:val="superscript"/>
          <w:lang w:eastAsia="en-US"/>
        </w:rPr>
        <w:t>#</w:t>
      </w:r>
      <w:r w:rsidRPr="00917FFB">
        <w:rPr>
          <w:rFonts w:ascii="Arial Narrow" w:hAnsi="Arial Narrow"/>
          <w:snapToGrid w:val="0"/>
          <w:sz w:val="18"/>
          <w:szCs w:val="18"/>
          <w:lang w:eastAsia="en-US"/>
        </w:rPr>
        <w:t xml:space="preserve"> Individual results were not available for monotherapy or combination therapy for DUPI trials, therefore the combined MA result only is provided.</w:t>
      </w:r>
    </w:p>
    <w:p w:rsidR="00C36F08" w:rsidRPr="00917FFB" w:rsidRDefault="00C36F08" w:rsidP="00C36F08">
      <w:pPr>
        <w:pStyle w:val="3-BodyText"/>
      </w:pPr>
      <w:r w:rsidRPr="00917FFB">
        <w:t>The results demonstrated that a significantly larger proportion of patients in the PBS subgroup achieved the PBS response outcome at Week 16 with active treatment (</w:t>
      </w:r>
      <w:r w:rsidR="00AB403F" w:rsidRPr="00917FFB">
        <w:t xml:space="preserve">BARI </w:t>
      </w:r>
      <w:r w:rsidRPr="00917FFB">
        <w:t>4</w:t>
      </w:r>
      <w:r w:rsidR="00AB403F" w:rsidRPr="00917FFB">
        <w:t xml:space="preserve"> </w:t>
      </w:r>
      <w:r w:rsidRPr="00917FFB">
        <w:t xml:space="preserve">mg or DUPI) compared to PBO, either as monotherapy or in combination with TCS. </w:t>
      </w:r>
      <w:r w:rsidR="00AB403F" w:rsidRPr="00917FFB">
        <w:t>The ESC noted that for the 2 mg BARI dose</w:t>
      </w:r>
      <w:r w:rsidR="001A50B9" w:rsidRPr="00917FFB">
        <w:t>,</w:t>
      </w:r>
      <w:r w:rsidR="00AB403F" w:rsidRPr="00917FFB">
        <w:t xml:space="preserve"> </w:t>
      </w:r>
      <w:r w:rsidR="001A50B9" w:rsidRPr="00917FFB">
        <w:t xml:space="preserve">compared with PBO, </w:t>
      </w:r>
      <w:r w:rsidR="00AB403F" w:rsidRPr="00917FFB">
        <w:t xml:space="preserve">a significantly larger proportion of patients achieved the PBS response outcome in the monotherapy trials but </w:t>
      </w:r>
      <w:r w:rsidR="0093077B" w:rsidRPr="00917FFB">
        <w:t xml:space="preserve">for the combination trials for 2 mg BARI </w:t>
      </w:r>
      <w:r w:rsidR="00AB403F" w:rsidRPr="00917FFB">
        <w:t xml:space="preserve">the result was not statistically significant in </w:t>
      </w:r>
      <w:r w:rsidR="0093077B" w:rsidRPr="00917FFB">
        <w:t xml:space="preserve">any individual trials or </w:t>
      </w:r>
      <w:r w:rsidR="00AB403F" w:rsidRPr="00917FFB">
        <w:t>the meta-analysis. Overall</w:t>
      </w:r>
      <w:r w:rsidR="006450E3" w:rsidRPr="00917FFB">
        <w:t>,</w:t>
      </w:r>
      <w:r w:rsidR="00AB403F" w:rsidRPr="00917FFB">
        <w:t xml:space="preserve"> t</w:t>
      </w:r>
      <w:r w:rsidRPr="00917FFB">
        <w:t>he magnitude of the treatment effect was similar for both doses of BARI, but considerably larger with DUPI. The results of indirect treatment comparisons showed statistically significant differences in favour of DUPI compared to BARI 2</w:t>
      </w:r>
      <w:r w:rsidR="00AB403F" w:rsidRPr="00917FFB">
        <w:t> </w:t>
      </w:r>
      <w:r w:rsidRPr="00917FFB">
        <w:t>mg (RD: -0.29, 95% CI: -0.38, -0.20) and BARI 4</w:t>
      </w:r>
      <w:r w:rsidR="00AA137C" w:rsidRPr="00917FFB">
        <w:t xml:space="preserve"> </w:t>
      </w:r>
      <w:r w:rsidRPr="00917FFB">
        <w:t>mg (RD: -0.26, 95% CI: -0.36, -0.16).</w:t>
      </w:r>
    </w:p>
    <w:p w:rsidR="00FA2CA7" w:rsidRPr="00917FFB" w:rsidRDefault="00FA2CA7" w:rsidP="0055407F">
      <w:pPr>
        <w:pStyle w:val="3-BodyText"/>
      </w:pPr>
      <w:r w:rsidRPr="00917FFB">
        <w:rPr>
          <w:rFonts w:cstheme="minorHAnsi"/>
        </w:rPr>
        <w:t xml:space="preserve">The ESC noted </w:t>
      </w:r>
      <w:r w:rsidR="00AA137C" w:rsidRPr="00917FFB">
        <w:rPr>
          <w:rFonts w:cstheme="minorHAnsi"/>
        </w:rPr>
        <w:t>that the benefit for BARI appeared to be somewhat attenuated in the trials that allowed concomitant TCS</w:t>
      </w:r>
      <w:r w:rsidRPr="00917FFB">
        <w:rPr>
          <w:rFonts w:cstheme="minorHAnsi"/>
        </w:rPr>
        <w:t xml:space="preserve">. The </w:t>
      </w:r>
      <w:r w:rsidR="00DB4E9D" w:rsidRPr="00917FFB">
        <w:rPr>
          <w:rFonts w:cstheme="minorHAnsi"/>
        </w:rPr>
        <w:t>risk ratio (RR)</w:t>
      </w:r>
      <w:r w:rsidRPr="00917FFB">
        <w:rPr>
          <w:rFonts w:cstheme="minorHAnsi"/>
        </w:rPr>
        <w:t xml:space="preserve"> for BARI 2</w:t>
      </w:r>
      <w:r w:rsidR="003506FA" w:rsidRPr="00917FFB">
        <w:rPr>
          <w:rFonts w:cstheme="minorHAnsi"/>
        </w:rPr>
        <w:t xml:space="preserve"> </w:t>
      </w:r>
      <w:r w:rsidRPr="00917FFB">
        <w:rPr>
          <w:rFonts w:cstheme="minorHAnsi"/>
        </w:rPr>
        <w:t xml:space="preserve">mg monotherapy compared to </w:t>
      </w:r>
      <w:r w:rsidR="0001324E" w:rsidRPr="00917FFB">
        <w:rPr>
          <w:rFonts w:cstheme="minorHAnsi"/>
        </w:rPr>
        <w:t>PBO</w:t>
      </w:r>
      <w:r w:rsidRPr="00917FFB">
        <w:rPr>
          <w:rFonts w:cstheme="minorHAnsi"/>
        </w:rPr>
        <w:t xml:space="preserve"> was RR: 2.97 (95% CI: 1.69, 5.24) versus RR: 1.37 (95% CI: 0.96, 1.94) for combination therapy</w:t>
      </w:r>
      <w:r w:rsidR="00DB271F" w:rsidRPr="00917FFB">
        <w:rPr>
          <w:rFonts w:cstheme="minorHAnsi"/>
        </w:rPr>
        <w:t xml:space="preserve"> (</w:t>
      </w:r>
      <w:r w:rsidR="00726E55" w:rsidRPr="00917FFB">
        <w:rPr>
          <w:rFonts w:cstheme="minorHAnsi"/>
        </w:rPr>
        <w:t>which was not statistically significant</w:t>
      </w:r>
      <w:r w:rsidR="00DB271F" w:rsidRPr="00917FFB">
        <w:rPr>
          <w:rFonts w:cstheme="minorHAnsi"/>
        </w:rPr>
        <w:t>)</w:t>
      </w:r>
      <w:r w:rsidRPr="00917FFB">
        <w:rPr>
          <w:rFonts w:cstheme="minorHAnsi"/>
        </w:rPr>
        <w:t>.</w:t>
      </w:r>
      <w:r w:rsidR="00726E55" w:rsidRPr="00917FFB">
        <w:rPr>
          <w:rFonts w:cstheme="minorHAnsi"/>
        </w:rPr>
        <w:t xml:space="preserve"> The ESC considered</w:t>
      </w:r>
      <w:r w:rsidR="00F14DF2" w:rsidRPr="00917FFB">
        <w:rPr>
          <w:rFonts w:cstheme="minorHAnsi"/>
        </w:rPr>
        <w:t xml:space="preserve"> these results</w:t>
      </w:r>
      <w:r w:rsidR="00726E55" w:rsidRPr="00917FFB">
        <w:rPr>
          <w:rFonts w:cstheme="minorHAnsi"/>
        </w:rPr>
        <w:t xml:space="preserve"> indicate that BARI 2</w:t>
      </w:r>
      <w:r w:rsidR="0093077B" w:rsidRPr="00917FFB">
        <w:rPr>
          <w:rFonts w:cstheme="minorHAnsi"/>
        </w:rPr>
        <w:t> </w:t>
      </w:r>
      <w:r w:rsidR="00726E55" w:rsidRPr="00917FFB">
        <w:rPr>
          <w:rFonts w:cstheme="minorHAnsi"/>
        </w:rPr>
        <w:t xml:space="preserve">mg </w:t>
      </w:r>
      <w:r w:rsidR="00AA137C" w:rsidRPr="00917FFB">
        <w:rPr>
          <w:rFonts w:cstheme="minorHAnsi"/>
        </w:rPr>
        <w:t>may be</w:t>
      </w:r>
      <w:r w:rsidR="00F14DF2" w:rsidRPr="00917FFB">
        <w:rPr>
          <w:rFonts w:cstheme="minorHAnsi"/>
        </w:rPr>
        <w:t xml:space="preserve"> no</w:t>
      </w:r>
      <w:r w:rsidR="00726E55" w:rsidRPr="00917FFB">
        <w:rPr>
          <w:rFonts w:cstheme="minorHAnsi"/>
        </w:rPr>
        <w:t xml:space="preserve"> more effective than </w:t>
      </w:r>
      <w:r w:rsidR="0001324E" w:rsidRPr="00917FFB">
        <w:rPr>
          <w:rFonts w:cstheme="minorHAnsi"/>
        </w:rPr>
        <w:t>PBO</w:t>
      </w:r>
      <w:r w:rsidR="00726E55" w:rsidRPr="00917FFB">
        <w:rPr>
          <w:rFonts w:cstheme="minorHAnsi"/>
        </w:rPr>
        <w:t xml:space="preserve"> when</w:t>
      </w:r>
      <w:r w:rsidR="00AA137C" w:rsidRPr="00917FFB">
        <w:rPr>
          <w:rFonts w:cstheme="minorHAnsi"/>
        </w:rPr>
        <w:t xml:space="preserve"> concomitant</w:t>
      </w:r>
      <w:r w:rsidR="00726E55" w:rsidRPr="00917FFB">
        <w:rPr>
          <w:rFonts w:cstheme="minorHAnsi"/>
        </w:rPr>
        <w:t xml:space="preserve"> TCS are used.</w:t>
      </w:r>
      <w:r w:rsidR="003033C1" w:rsidRPr="00917FFB">
        <w:rPr>
          <w:rFonts w:cstheme="minorHAnsi"/>
        </w:rPr>
        <w:t xml:space="preserve"> </w:t>
      </w:r>
      <w:r w:rsidR="00A31DD1" w:rsidRPr="00917FFB">
        <w:rPr>
          <w:rFonts w:cstheme="minorHAnsi"/>
        </w:rPr>
        <w:t xml:space="preserve">The pre-PBAC response stated that </w:t>
      </w:r>
      <w:r w:rsidR="00A31DD1" w:rsidRPr="00853F7A">
        <w:rPr>
          <w:bCs/>
        </w:rPr>
        <w:t>most</w:t>
      </w:r>
      <w:r w:rsidR="00A31DD1" w:rsidRPr="00917FFB">
        <w:t xml:space="preserve"> patients are expected to receive treatment with BARI 4 mg + TCS in Australian clinical practice and hence the BARI 2 mg results are less relevant.</w:t>
      </w:r>
      <w:r w:rsidR="006D6B6F" w:rsidRPr="00917FFB">
        <w:t xml:space="preserve"> </w:t>
      </w:r>
    </w:p>
    <w:p w:rsidR="0055407F" w:rsidRPr="000D2978" w:rsidRDefault="0055407F" w:rsidP="0055407F">
      <w:pPr>
        <w:pStyle w:val="3-BodyText"/>
      </w:pPr>
      <w:r w:rsidRPr="000D2978">
        <w:t>Table 6 presents a summary of results for the indirect treatment comparisons between BARI and DUPI in the ITT population.</w:t>
      </w:r>
    </w:p>
    <w:p w:rsidR="0061549B" w:rsidRPr="00853F7A" w:rsidRDefault="0061549B" w:rsidP="008072B0">
      <w:pPr>
        <w:pStyle w:val="TableFigureHeading"/>
        <w:keepLines/>
        <w:rPr>
          <w:rStyle w:val="CommentReference"/>
          <w:szCs w:val="24"/>
        </w:rPr>
      </w:pPr>
      <w:r w:rsidRPr="00917FFB">
        <w:rPr>
          <w:rStyle w:val="CommentReference"/>
          <w:b/>
          <w:szCs w:val="24"/>
        </w:rPr>
        <w:t xml:space="preserve">Table </w:t>
      </w:r>
      <w:r w:rsidR="008F6880" w:rsidRPr="00917FFB">
        <w:rPr>
          <w:rStyle w:val="CommentReference"/>
          <w:b/>
          <w:szCs w:val="24"/>
        </w:rPr>
        <w:t>6</w:t>
      </w:r>
      <w:r w:rsidRPr="00917FFB">
        <w:rPr>
          <w:rStyle w:val="CommentReference"/>
          <w:b/>
          <w:szCs w:val="24"/>
        </w:rPr>
        <w:t>:</w:t>
      </w:r>
      <w:r w:rsidRPr="00917FFB">
        <w:rPr>
          <w:rStyle w:val="CommentReference"/>
          <w:szCs w:val="24"/>
        </w:rPr>
        <w:t xml:space="preserve"> </w:t>
      </w:r>
      <w:r w:rsidR="005F707A" w:rsidRPr="00917FFB">
        <w:rPr>
          <w:szCs w:val="20"/>
        </w:rPr>
        <w:t>Summary of results for indirect treatment comparisons for BARI vs DUPI via PBO</w:t>
      </w:r>
      <w:r w:rsidR="008F6880" w:rsidRPr="00917FFB">
        <w:rPr>
          <w:szCs w:val="20"/>
        </w:rPr>
        <w:t>, in the ITT population</w:t>
      </w:r>
    </w:p>
    <w:tbl>
      <w:tblPr>
        <w:tblStyle w:val="TableGrid7"/>
        <w:tblW w:w="5000" w:type="pct"/>
        <w:jc w:val="center"/>
        <w:tblLook w:val="04A0" w:firstRow="1" w:lastRow="0" w:firstColumn="1" w:lastColumn="0" w:noHBand="0" w:noVBand="1"/>
        <w:tblCaption w:val="Table 6: Summary of results for indirect treatment comparisons for BARI vs DUPI via PBO, in the ITT population"/>
      </w:tblPr>
      <w:tblGrid>
        <w:gridCol w:w="4157"/>
        <w:gridCol w:w="2310"/>
        <w:gridCol w:w="2550"/>
      </w:tblGrid>
      <w:tr w:rsidR="005F707A" w:rsidRPr="00917FFB" w:rsidTr="007923A4">
        <w:trPr>
          <w:trHeight w:val="224"/>
          <w:tblHeader/>
          <w:jc w:val="center"/>
        </w:trPr>
        <w:tc>
          <w:tcPr>
            <w:tcW w:w="2305" w:type="pct"/>
            <w:vAlign w:val="center"/>
          </w:tcPr>
          <w:p w:rsidR="005F707A" w:rsidRPr="00917FFB" w:rsidRDefault="005F707A" w:rsidP="008072B0">
            <w:pPr>
              <w:keepNext/>
              <w:keepLines/>
              <w:widowControl w:val="0"/>
              <w:jc w:val="left"/>
              <w:rPr>
                <w:rFonts w:ascii="Arial Narrow" w:hAnsi="Arial Narrow" w:cs="Times New Roman"/>
                <w:b/>
                <w:bCs/>
                <w:iCs/>
                <w:snapToGrid w:val="0"/>
                <w:sz w:val="20"/>
                <w:szCs w:val="20"/>
              </w:rPr>
            </w:pPr>
            <w:r w:rsidRPr="00917FFB">
              <w:rPr>
                <w:rFonts w:ascii="Arial Narrow" w:hAnsi="Arial Narrow" w:cs="Times New Roman"/>
                <w:b/>
                <w:bCs/>
                <w:iCs/>
                <w:snapToGrid w:val="0"/>
                <w:sz w:val="20"/>
                <w:szCs w:val="20"/>
              </w:rPr>
              <w:t>Outcome &amp; population</w:t>
            </w:r>
          </w:p>
        </w:tc>
        <w:tc>
          <w:tcPr>
            <w:tcW w:w="1281" w:type="pct"/>
            <w:vAlign w:val="center"/>
          </w:tcPr>
          <w:p w:rsidR="005F707A" w:rsidRPr="00917FFB" w:rsidRDefault="005F707A" w:rsidP="008072B0">
            <w:pPr>
              <w:keepNext/>
              <w:keepLines/>
              <w:widowControl w:val="0"/>
              <w:jc w:val="center"/>
              <w:rPr>
                <w:rFonts w:ascii="Arial Narrow" w:hAnsi="Arial Narrow" w:cs="Times New Roman"/>
                <w:b/>
                <w:bCs/>
                <w:snapToGrid w:val="0"/>
                <w:sz w:val="20"/>
                <w:szCs w:val="20"/>
                <w:vertAlign w:val="superscript"/>
              </w:rPr>
            </w:pPr>
            <w:r w:rsidRPr="00917FFB">
              <w:rPr>
                <w:rFonts w:ascii="Arial Narrow" w:hAnsi="Arial Narrow" w:cs="Times New Roman"/>
                <w:b/>
                <w:bCs/>
                <w:snapToGrid w:val="0"/>
                <w:sz w:val="20"/>
                <w:szCs w:val="20"/>
              </w:rPr>
              <w:t>RR</w:t>
            </w:r>
          </w:p>
          <w:p w:rsidR="005F707A" w:rsidRPr="00917FFB" w:rsidRDefault="005F707A" w:rsidP="008072B0">
            <w:pPr>
              <w:keepNext/>
              <w:keepLines/>
              <w:widowControl w:val="0"/>
              <w:jc w:val="center"/>
              <w:rPr>
                <w:rFonts w:ascii="Arial Narrow" w:hAnsi="Arial Narrow" w:cs="Times New Roman"/>
                <w:b/>
                <w:bCs/>
                <w:snapToGrid w:val="0"/>
                <w:sz w:val="20"/>
                <w:szCs w:val="20"/>
              </w:rPr>
            </w:pPr>
            <w:r w:rsidRPr="00917FFB">
              <w:rPr>
                <w:rFonts w:ascii="Arial Narrow" w:hAnsi="Arial Narrow" w:cs="Times New Roman"/>
                <w:b/>
                <w:bCs/>
                <w:snapToGrid w:val="0"/>
                <w:sz w:val="20"/>
                <w:szCs w:val="20"/>
              </w:rPr>
              <w:t>(95%CI)</w:t>
            </w:r>
          </w:p>
        </w:tc>
        <w:tc>
          <w:tcPr>
            <w:tcW w:w="1414" w:type="pct"/>
            <w:vAlign w:val="center"/>
          </w:tcPr>
          <w:p w:rsidR="005F707A" w:rsidRPr="00917FFB" w:rsidRDefault="005F707A" w:rsidP="008072B0">
            <w:pPr>
              <w:keepNext/>
              <w:keepLines/>
              <w:widowControl w:val="0"/>
              <w:jc w:val="center"/>
              <w:rPr>
                <w:rFonts w:ascii="Arial Narrow" w:hAnsi="Arial Narrow" w:cs="Times New Roman"/>
                <w:b/>
                <w:bCs/>
                <w:snapToGrid w:val="0"/>
                <w:sz w:val="20"/>
                <w:szCs w:val="20"/>
                <w:vertAlign w:val="superscript"/>
              </w:rPr>
            </w:pPr>
            <w:r w:rsidRPr="00917FFB">
              <w:rPr>
                <w:rFonts w:ascii="Arial Narrow" w:hAnsi="Arial Narrow" w:cs="Times New Roman"/>
                <w:b/>
                <w:bCs/>
                <w:snapToGrid w:val="0"/>
                <w:sz w:val="20"/>
                <w:szCs w:val="20"/>
              </w:rPr>
              <w:t>RD</w:t>
            </w:r>
          </w:p>
          <w:p w:rsidR="005F707A" w:rsidRPr="00917FFB" w:rsidRDefault="005F707A" w:rsidP="008072B0">
            <w:pPr>
              <w:keepNext/>
              <w:keepLines/>
              <w:widowControl w:val="0"/>
              <w:jc w:val="center"/>
              <w:rPr>
                <w:rFonts w:ascii="Arial Narrow" w:hAnsi="Arial Narrow" w:cs="Times New Roman"/>
                <w:b/>
                <w:bCs/>
                <w:snapToGrid w:val="0"/>
                <w:sz w:val="20"/>
                <w:szCs w:val="20"/>
              </w:rPr>
            </w:pPr>
            <w:r w:rsidRPr="00917FFB">
              <w:rPr>
                <w:rFonts w:ascii="Arial Narrow" w:hAnsi="Arial Narrow" w:cs="Times New Roman"/>
                <w:b/>
                <w:bCs/>
                <w:snapToGrid w:val="0"/>
                <w:sz w:val="20"/>
                <w:szCs w:val="20"/>
              </w:rPr>
              <w:t>(95%CI)</w:t>
            </w:r>
          </w:p>
        </w:tc>
      </w:tr>
      <w:tr w:rsidR="005F707A" w:rsidRPr="00917FFB" w:rsidTr="00AD37BE">
        <w:trPr>
          <w:trHeight w:val="222"/>
          <w:jc w:val="center"/>
        </w:trPr>
        <w:tc>
          <w:tcPr>
            <w:tcW w:w="5000" w:type="pct"/>
            <w:gridSpan w:val="3"/>
            <w:tcBorders>
              <w:bottom w:val="single" w:sz="4" w:space="0" w:color="auto"/>
            </w:tcBorders>
            <w:vAlign w:val="center"/>
          </w:tcPr>
          <w:p w:rsidR="005F707A" w:rsidRPr="00917FFB" w:rsidRDefault="00F435D9" w:rsidP="008072B0">
            <w:pPr>
              <w:keepNext/>
              <w:keepLines/>
              <w:widowControl w:val="0"/>
              <w:jc w:val="left"/>
              <w:rPr>
                <w:rFonts w:ascii="Arial Narrow" w:hAnsi="Arial Narrow" w:cs="Times New Roman"/>
                <w:snapToGrid w:val="0"/>
                <w:sz w:val="20"/>
                <w:szCs w:val="20"/>
              </w:rPr>
            </w:pPr>
            <w:r w:rsidRPr="00917FFB">
              <w:rPr>
                <w:rFonts w:ascii="Arial Narrow" w:hAnsi="Arial Narrow" w:cs="Times New Roman"/>
                <w:b/>
                <w:bCs/>
                <w:iCs/>
                <w:snapToGrid w:val="0"/>
                <w:sz w:val="20"/>
                <w:szCs w:val="20"/>
              </w:rPr>
              <w:t>EASI-75 response at Week 16</w:t>
            </w:r>
          </w:p>
        </w:tc>
      </w:tr>
      <w:tr w:rsidR="005F707A" w:rsidRPr="00917FFB" w:rsidTr="00AD37BE">
        <w:trPr>
          <w:trHeight w:val="232"/>
          <w:jc w:val="center"/>
        </w:trPr>
        <w:tc>
          <w:tcPr>
            <w:tcW w:w="2305" w:type="pct"/>
            <w:tcBorders>
              <w:bottom w:val="nil"/>
            </w:tcBorders>
            <w:vAlign w:val="center"/>
          </w:tcPr>
          <w:p w:rsidR="005F707A" w:rsidRPr="00917FFB" w:rsidRDefault="005F707A" w:rsidP="008072B0">
            <w:pPr>
              <w:keepNext/>
              <w:keepLines/>
              <w:widowControl w:val="0"/>
              <w:jc w:val="left"/>
              <w:rPr>
                <w:rFonts w:ascii="Arial Narrow" w:hAnsi="Arial Narrow" w:cs="Times New Roman"/>
                <w:snapToGrid w:val="0"/>
                <w:sz w:val="20"/>
                <w:szCs w:val="20"/>
              </w:rPr>
            </w:pPr>
            <w:r w:rsidRPr="00917FFB">
              <w:rPr>
                <w:rFonts w:ascii="Arial Narrow" w:hAnsi="Arial Narrow" w:cs="Times New Roman"/>
                <w:b/>
                <w:bCs/>
                <w:iCs/>
                <w:snapToGrid w:val="0"/>
                <w:color w:val="ED7D31"/>
                <w:sz w:val="20"/>
                <w:szCs w:val="20"/>
              </w:rPr>
              <w:t>Monotherapy</w:t>
            </w:r>
          </w:p>
        </w:tc>
        <w:tc>
          <w:tcPr>
            <w:tcW w:w="1281" w:type="pct"/>
            <w:tcBorders>
              <w:bottom w:val="nil"/>
            </w:tcBorders>
            <w:vAlign w:val="center"/>
          </w:tcPr>
          <w:p w:rsidR="005F707A" w:rsidRPr="00917FFB" w:rsidRDefault="005F707A" w:rsidP="008072B0">
            <w:pPr>
              <w:keepNext/>
              <w:keepLines/>
              <w:widowControl w:val="0"/>
              <w:jc w:val="center"/>
              <w:rPr>
                <w:rFonts w:ascii="Arial Narrow" w:hAnsi="Arial Narrow" w:cs="Times New Roman"/>
                <w:snapToGrid w:val="0"/>
                <w:sz w:val="20"/>
                <w:szCs w:val="20"/>
              </w:rPr>
            </w:pPr>
          </w:p>
        </w:tc>
        <w:tc>
          <w:tcPr>
            <w:tcW w:w="1414" w:type="pct"/>
            <w:tcBorders>
              <w:bottom w:val="nil"/>
            </w:tcBorders>
            <w:vAlign w:val="center"/>
          </w:tcPr>
          <w:p w:rsidR="005F707A" w:rsidRPr="00917FFB" w:rsidRDefault="005F707A" w:rsidP="008072B0">
            <w:pPr>
              <w:keepNext/>
              <w:keepLines/>
              <w:widowControl w:val="0"/>
              <w:jc w:val="center"/>
              <w:rPr>
                <w:rFonts w:ascii="Arial Narrow" w:hAnsi="Arial Narrow" w:cs="Times New Roman"/>
                <w:snapToGrid w:val="0"/>
                <w:sz w:val="20"/>
                <w:szCs w:val="20"/>
              </w:rPr>
            </w:pPr>
          </w:p>
        </w:tc>
      </w:tr>
      <w:tr w:rsidR="005F707A" w:rsidRPr="00917FFB" w:rsidTr="00AD37BE">
        <w:trPr>
          <w:trHeight w:val="222"/>
          <w:jc w:val="center"/>
        </w:trPr>
        <w:tc>
          <w:tcPr>
            <w:tcW w:w="2305" w:type="pct"/>
            <w:tcBorders>
              <w:top w:val="nil"/>
              <w:bottom w:val="nil"/>
            </w:tcBorders>
            <w:vAlign w:val="center"/>
          </w:tcPr>
          <w:p w:rsidR="005F707A" w:rsidRPr="00853F7A" w:rsidRDefault="005F707A" w:rsidP="008072B0">
            <w:pPr>
              <w:keepNext/>
              <w:keepLines/>
              <w:widowControl w:val="0"/>
              <w:jc w:val="left"/>
              <w:rPr>
                <w:rFonts w:ascii="Arial Narrow" w:hAnsi="Arial Narrow" w:cs="Times New Roman"/>
                <w:snapToGrid w:val="0"/>
                <w:sz w:val="20"/>
                <w:szCs w:val="20"/>
              </w:rPr>
            </w:pPr>
            <w:r w:rsidRPr="00853F7A">
              <w:rPr>
                <w:rFonts w:ascii="Arial Narrow" w:hAnsi="Arial Narrow" w:cs="Times New Roman"/>
                <w:snapToGrid w:val="0"/>
                <w:sz w:val="20"/>
                <w:szCs w:val="20"/>
              </w:rPr>
              <w:t>BARI 2</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 v DUPI 300</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w:t>
            </w:r>
            <w:r w:rsidRPr="00853F7A">
              <w:rPr>
                <w:rFonts w:ascii="Arial Narrow" w:hAnsi="Arial Narrow"/>
                <w:snapToGrid w:val="0"/>
                <w:sz w:val="20"/>
                <w:szCs w:val="20"/>
                <w:vertAlign w:val="superscript"/>
              </w:rPr>
              <w:t>†</w:t>
            </w:r>
          </w:p>
        </w:tc>
        <w:tc>
          <w:tcPr>
            <w:tcW w:w="1281" w:type="pct"/>
            <w:tcBorders>
              <w:top w:val="nil"/>
              <w:bottom w:val="nil"/>
            </w:tcBorders>
            <w:vAlign w:val="center"/>
          </w:tcPr>
          <w:p w:rsidR="005F707A" w:rsidRPr="00917FFB" w:rsidRDefault="005F707A" w:rsidP="008072B0">
            <w:pPr>
              <w:keepNext/>
              <w:keepLines/>
              <w:widowControl w:val="0"/>
              <w:jc w:val="center"/>
              <w:rPr>
                <w:rFonts w:ascii="Arial Narrow" w:hAnsi="Arial Narrow" w:cs="Times New Roman"/>
                <w:snapToGrid w:val="0"/>
                <w:sz w:val="20"/>
                <w:szCs w:val="20"/>
              </w:rPr>
            </w:pPr>
            <w:r w:rsidRPr="00917FFB">
              <w:rPr>
                <w:rFonts w:ascii="Arial Narrow" w:hAnsi="Arial Narrow" w:cs="Times New Roman"/>
                <w:snapToGrid w:val="0"/>
                <w:sz w:val="20"/>
                <w:szCs w:val="20"/>
              </w:rPr>
              <w:t>0.79 (0.53,</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1.18)</w:t>
            </w:r>
          </w:p>
        </w:tc>
        <w:tc>
          <w:tcPr>
            <w:tcW w:w="1414" w:type="pct"/>
            <w:tcBorders>
              <w:top w:val="nil"/>
              <w:bottom w:val="nil"/>
            </w:tcBorders>
            <w:vAlign w:val="center"/>
          </w:tcPr>
          <w:p w:rsidR="005F707A" w:rsidRPr="000D2978" w:rsidRDefault="005F707A" w:rsidP="008072B0">
            <w:pPr>
              <w:keepNext/>
              <w:keepLines/>
              <w:widowControl w:val="0"/>
              <w:jc w:val="center"/>
              <w:rPr>
                <w:rFonts w:ascii="Arial Narrow" w:hAnsi="Arial Narrow" w:cs="Times New Roman"/>
                <w:b/>
                <w:snapToGrid w:val="0"/>
                <w:sz w:val="20"/>
                <w:szCs w:val="20"/>
              </w:rPr>
            </w:pPr>
            <w:r w:rsidRPr="000D2978">
              <w:rPr>
                <w:rFonts w:ascii="Arial Narrow" w:hAnsi="Arial Narrow" w:cs="Times New Roman"/>
                <w:b/>
                <w:snapToGrid w:val="0"/>
                <w:sz w:val="20"/>
                <w:szCs w:val="20"/>
              </w:rPr>
              <w:t>-0.20 (-0.27,</w:t>
            </w:r>
            <w:r w:rsidR="00F80535">
              <w:rPr>
                <w:rFonts w:ascii="Arial Narrow" w:hAnsi="Arial Narrow" w:cs="Times New Roman"/>
                <w:b/>
                <w:snapToGrid w:val="0"/>
                <w:sz w:val="20"/>
                <w:szCs w:val="20"/>
              </w:rPr>
              <w:t xml:space="preserve"> </w:t>
            </w:r>
            <w:r w:rsidRPr="000D2978">
              <w:rPr>
                <w:rFonts w:ascii="Arial Narrow" w:hAnsi="Arial Narrow" w:cs="Times New Roman"/>
                <w:b/>
                <w:snapToGrid w:val="0"/>
                <w:sz w:val="20"/>
                <w:szCs w:val="20"/>
              </w:rPr>
              <w:t>-0.13)</w:t>
            </w:r>
          </w:p>
        </w:tc>
      </w:tr>
      <w:tr w:rsidR="005F707A" w:rsidRPr="00917FFB" w:rsidTr="00AD37BE">
        <w:trPr>
          <w:trHeight w:val="222"/>
          <w:jc w:val="center"/>
        </w:trPr>
        <w:tc>
          <w:tcPr>
            <w:tcW w:w="2305" w:type="pct"/>
            <w:tcBorders>
              <w:top w:val="nil"/>
              <w:bottom w:val="single" w:sz="4" w:space="0" w:color="auto"/>
            </w:tcBorders>
            <w:vAlign w:val="center"/>
          </w:tcPr>
          <w:p w:rsidR="005F707A" w:rsidRPr="00853F7A" w:rsidRDefault="005F707A" w:rsidP="008072B0">
            <w:pPr>
              <w:keepNext/>
              <w:keepLines/>
              <w:widowControl w:val="0"/>
              <w:jc w:val="left"/>
              <w:rPr>
                <w:rFonts w:ascii="Arial Narrow" w:hAnsi="Arial Narrow" w:cs="Times New Roman"/>
                <w:snapToGrid w:val="0"/>
                <w:sz w:val="20"/>
                <w:szCs w:val="20"/>
              </w:rPr>
            </w:pPr>
            <w:r w:rsidRPr="00853F7A">
              <w:rPr>
                <w:rFonts w:ascii="Arial Narrow" w:hAnsi="Arial Narrow" w:cs="Times New Roman"/>
                <w:snapToGrid w:val="0"/>
                <w:sz w:val="20"/>
                <w:szCs w:val="20"/>
              </w:rPr>
              <w:t>BARI 4</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 v DUPI 300</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w:t>
            </w:r>
            <w:r w:rsidRPr="00853F7A">
              <w:rPr>
                <w:rFonts w:ascii="Arial Narrow" w:hAnsi="Arial Narrow"/>
                <w:snapToGrid w:val="0"/>
                <w:sz w:val="20"/>
                <w:szCs w:val="20"/>
                <w:vertAlign w:val="superscript"/>
              </w:rPr>
              <w:t>†</w:t>
            </w:r>
          </w:p>
        </w:tc>
        <w:tc>
          <w:tcPr>
            <w:tcW w:w="1281" w:type="pct"/>
            <w:tcBorders>
              <w:top w:val="nil"/>
              <w:bottom w:val="single" w:sz="4" w:space="0" w:color="auto"/>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snapToGrid w:val="0"/>
                <w:sz w:val="20"/>
                <w:szCs w:val="20"/>
              </w:rPr>
              <w:t>0.83 (0.53,</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1.29)</w:t>
            </w:r>
          </w:p>
        </w:tc>
        <w:tc>
          <w:tcPr>
            <w:tcW w:w="1414" w:type="pct"/>
            <w:tcBorders>
              <w:top w:val="nil"/>
              <w:bottom w:val="single" w:sz="4" w:space="0" w:color="auto"/>
            </w:tcBorders>
            <w:vAlign w:val="center"/>
          </w:tcPr>
          <w:p w:rsidR="005F707A" w:rsidRPr="000D2978" w:rsidRDefault="005F707A" w:rsidP="008072B0">
            <w:pPr>
              <w:keepNext/>
              <w:keepLines/>
              <w:widowControl w:val="0"/>
              <w:jc w:val="center"/>
              <w:rPr>
                <w:rFonts w:ascii="Arial Narrow" w:hAnsi="Arial Narrow" w:cs="Times New Roman"/>
                <w:b/>
                <w:snapToGrid w:val="0"/>
                <w:sz w:val="20"/>
                <w:szCs w:val="20"/>
              </w:rPr>
            </w:pPr>
            <w:r w:rsidRPr="000D2978">
              <w:rPr>
                <w:rFonts w:ascii="Arial Narrow" w:hAnsi="Arial Narrow" w:cs="Times New Roman"/>
                <w:b/>
                <w:snapToGrid w:val="0"/>
                <w:sz w:val="20"/>
                <w:szCs w:val="20"/>
              </w:rPr>
              <w:t>-0.20 (-0.28,</w:t>
            </w:r>
            <w:r w:rsidR="00F80535">
              <w:rPr>
                <w:rFonts w:ascii="Arial Narrow" w:hAnsi="Arial Narrow" w:cs="Times New Roman"/>
                <w:b/>
                <w:snapToGrid w:val="0"/>
                <w:sz w:val="20"/>
                <w:szCs w:val="20"/>
              </w:rPr>
              <w:t xml:space="preserve"> </w:t>
            </w:r>
            <w:r w:rsidRPr="000D2978">
              <w:rPr>
                <w:rFonts w:ascii="Arial Narrow" w:hAnsi="Arial Narrow" w:cs="Times New Roman"/>
                <w:b/>
                <w:snapToGrid w:val="0"/>
                <w:sz w:val="20"/>
                <w:szCs w:val="20"/>
              </w:rPr>
              <w:t>-0.12)</w:t>
            </w:r>
          </w:p>
        </w:tc>
      </w:tr>
      <w:tr w:rsidR="005F707A" w:rsidRPr="00917FFB" w:rsidTr="00AD37BE">
        <w:trPr>
          <w:trHeight w:val="232"/>
          <w:jc w:val="center"/>
        </w:trPr>
        <w:tc>
          <w:tcPr>
            <w:tcW w:w="2305" w:type="pct"/>
            <w:tcBorders>
              <w:bottom w:val="nil"/>
            </w:tcBorders>
            <w:vAlign w:val="center"/>
          </w:tcPr>
          <w:p w:rsidR="005F707A" w:rsidRPr="00917FFB" w:rsidRDefault="005F707A" w:rsidP="008072B0">
            <w:pPr>
              <w:keepNext/>
              <w:keepLines/>
              <w:widowControl w:val="0"/>
              <w:jc w:val="left"/>
              <w:rPr>
                <w:rFonts w:ascii="Arial Narrow" w:hAnsi="Arial Narrow" w:cs="Times New Roman"/>
                <w:snapToGrid w:val="0"/>
                <w:sz w:val="20"/>
                <w:szCs w:val="20"/>
              </w:rPr>
            </w:pPr>
            <w:r w:rsidRPr="00917FFB">
              <w:rPr>
                <w:rFonts w:ascii="Arial Narrow" w:hAnsi="Arial Narrow" w:cs="Times New Roman"/>
                <w:b/>
                <w:bCs/>
                <w:iCs/>
                <w:snapToGrid w:val="0"/>
                <w:color w:val="00B050"/>
                <w:sz w:val="20"/>
                <w:szCs w:val="20"/>
              </w:rPr>
              <w:t>Combination therapy</w:t>
            </w:r>
          </w:p>
        </w:tc>
        <w:tc>
          <w:tcPr>
            <w:tcW w:w="1281" w:type="pct"/>
            <w:tcBorders>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p>
        </w:tc>
        <w:tc>
          <w:tcPr>
            <w:tcW w:w="1414" w:type="pct"/>
            <w:tcBorders>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p>
        </w:tc>
      </w:tr>
      <w:tr w:rsidR="005F707A" w:rsidRPr="00917FFB" w:rsidTr="00AD37BE">
        <w:trPr>
          <w:trHeight w:val="249"/>
          <w:jc w:val="center"/>
        </w:trPr>
        <w:tc>
          <w:tcPr>
            <w:tcW w:w="2305" w:type="pct"/>
            <w:tcBorders>
              <w:top w:val="nil"/>
              <w:bottom w:val="nil"/>
            </w:tcBorders>
            <w:vAlign w:val="center"/>
          </w:tcPr>
          <w:p w:rsidR="005F707A" w:rsidRPr="00917FFB" w:rsidRDefault="005F707A" w:rsidP="008072B0">
            <w:pPr>
              <w:keepNext/>
              <w:keepLines/>
              <w:widowControl w:val="0"/>
              <w:jc w:val="left"/>
              <w:rPr>
                <w:rFonts w:ascii="Arial Narrow" w:hAnsi="Arial Narrow" w:cs="Times New Roman"/>
                <w:snapToGrid w:val="0"/>
                <w:sz w:val="20"/>
                <w:szCs w:val="20"/>
              </w:rPr>
            </w:pPr>
            <w:r w:rsidRPr="00917FFB">
              <w:rPr>
                <w:rFonts w:ascii="Arial Narrow" w:hAnsi="Arial Narrow" w:cs="Times New Roman"/>
                <w:snapToGrid w:val="0"/>
                <w:sz w:val="20"/>
                <w:szCs w:val="20"/>
              </w:rPr>
              <w:t>BARI 2</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 +TCS v DUPI 300</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w:t>
            </w:r>
            <w:r w:rsidRPr="00917FFB">
              <w:rPr>
                <w:rFonts w:ascii="Arial Narrow" w:hAnsi="Arial Narrow"/>
                <w:snapToGrid w:val="0"/>
                <w:sz w:val="20"/>
                <w:szCs w:val="20"/>
                <w:vertAlign w:val="superscript"/>
              </w:rPr>
              <w:t xml:space="preserve">† </w:t>
            </w:r>
            <w:r w:rsidRPr="00917FFB">
              <w:rPr>
                <w:rFonts w:ascii="Arial Narrow" w:hAnsi="Arial Narrow" w:cs="Times New Roman"/>
                <w:snapToGrid w:val="0"/>
                <w:sz w:val="20"/>
                <w:szCs w:val="20"/>
              </w:rPr>
              <w:t>+TCS</w:t>
            </w:r>
          </w:p>
        </w:tc>
        <w:tc>
          <w:tcPr>
            <w:tcW w:w="1281" w:type="pct"/>
            <w:tcBorders>
              <w:top w:val="nil"/>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b/>
                <w:snapToGrid w:val="0"/>
                <w:sz w:val="20"/>
                <w:szCs w:val="20"/>
              </w:rPr>
              <w:t>0.59 (0.40,</w:t>
            </w:r>
            <w:r w:rsidR="00F80535">
              <w:rPr>
                <w:rFonts w:ascii="Arial Narrow" w:hAnsi="Arial Narrow" w:cs="Times New Roman"/>
                <w:b/>
                <w:snapToGrid w:val="0"/>
                <w:sz w:val="20"/>
                <w:szCs w:val="20"/>
              </w:rPr>
              <w:t xml:space="preserve"> </w:t>
            </w:r>
            <w:r w:rsidRPr="00917FFB">
              <w:rPr>
                <w:rFonts w:ascii="Arial Narrow" w:hAnsi="Arial Narrow" w:cs="Times New Roman"/>
                <w:b/>
                <w:snapToGrid w:val="0"/>
                <w:sz w:val="20"/>
                <w:szCs w:val="20"/>
              </w:rPr>
              <w:t>0.89)</w:t>
            </w:r>
          </w:p>
        </w:tc>
        <w:tc>
          <w:tcPr>
            <w:tcW w:w="1414" w:type="pct"/>
            <w:tcBorders>
              <w:top w:val="nil"/>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b/>
                <w:snapToGrid w:val="0"/>
                <w:sz w:val="20"/>
                <w:szCs w:val="20"/>
              </w:rPr>
              <w:t>-0.29 (-0.40,</w:t>
            </w:r>
            <w:r w:rsidR="00F80535">
              <w:rPr>
                <w:rFonts w:ascii="Arial Narrow" w:hAnsi="Arial Narrow" w:cs="Times New Roman"/>
                <w:b/>
                <w:snapToGrid w:val="0"/>
                <w:sz w:val="20"/>
                <w:szCs w:val="20"/>
              </w:rPr>
              <w:t xml:space="preserve"> </w:t>
            </w:r>
            <w:r w:rsidRPr="00917FFB">
              <w:rPr>
                <w:rFonts w:ascii="Arial Narrow" w:hAnsi="Arial Narrow" w:cs="Times New Roman"/>
                <w:b/>
                <w:snapToGrid w:val="0"/>
                <w:sz w:val="20"/>
                <w:szCs w:val="20"/>
              </w:rPr>
              <w:t>-0.18)</w:t>
            </w:r>
          </w:p>
        </w:tc>
      </w:tr>
      <w:tr w:rsidR="005F707A" w:rsidRPr="00917FFB" w:rsidTr="00AD37BE">
        <w:trPr>
          <w:trHeight w:val="267"/>
          <w:jc w:val="center"/>
        </w:trPr>
        <w:tc>
          <w:tcPr>
            <w:tcW w:w="2305" w:type="pct"/>
            <w:tcBorders>
              <w:top w:val="nil"/>
            </w:tcBorders>
            <w:vAlign w:val="center"/>
          </w:tcPr>
          <w:p w:rsidR="005F707A" w:rsidRPr="00917FFB" w:rsidRDefault="005F707A" w:rsidP="008072B0">
            <w:pPr>
              <w:keepNext/>
              <w:keepLines/>
              <w:widowControl w:val="0"/>
              <w:jc w:val="left"/>
              <w:rPr>
                <w:rFonts w:ascii="Arial Narrow" w:hAnsi="Arial Narrow" w:cs="Times New Roman"/>
                <w:snapToGrid w:val="0"/>
                <w:sz w:val="20"/>
                <w:szCs w:val="20"/>
              </w:rPr>
            </w:pPr>
            <w:r w:rsidRPr="00917FFB">
              <w:rPr>
                <w:rFonts w:ascii="Arial Narrow" w:hAnsi="Arial Narrow" w:cs="Times New Roman"/>
                <w:snapToGrid w:val="0"/>
                <w:sz w:val="20"/>
                <w:szCs w:val="20"/>
              </w:rPr>
              <w:t>BARI 4</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 +TCS v DUPI 300</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w:t>
            </w:r>
            <w:r w:rsidRPr="00917FFB">
              <w:rPr>
                <w:rFonts w:ascii="Arial Narrow" w:hAnsi="Arial Narrow"/>
                <w:snapToGrid w:val="0"/>
                <w:sz w:val="20"/>
                <w:szCs w:val="20"/>
                <w:vertAlign w:val="superscript"/>
              </w:rPr>
              <w:t>†</w:t>
            </w:r>
            <w:r w:rsidRPr="00917FFB">
              <w:rPr>
                <w:rFonts w:ascii="Arial Narrow" w:hAnsi="Arial Narrow"/>
                <w:snapToGrid w:val="0"/>
                <w:sz w:val="20"/>
                <w:szCs w:val="20"/>
              </w:rPr>
              <w:t xml:space="preserve"> </w:t>
            </w:r>
            <w:r w:rsidRPr="00917FFB">
              <w:rPr>
                <w:rFonts w:ascii="Arial Narrow" w:hAnsi="Arial Narrow" w:cs="Times New Roman"/>
                <w:snapToGrid w:val="0"/>
                <w:sz w:val="20"/>
                <w:szCs w:val="20"/>
              </w:rPr>
              <w:t>+TCS</w:t>
            </w:r>
          </w:p>
        </w:tc>
        <w:tc>
          <w:tcPr>
            <w:tcW w:w="1281" w:type="pct"/>
            <w:tcBorders>
              <w:top w:val="nil"/>
            </w:tcBorders>
            <w:vAlign w:val="center"/>
          </w:tcPr>
          <w:p w:rsidR="005F707A" w:rsidRPr="00917FFB" w:rsidRDefault="005F707A" w:rsidP="008072B0">
            <w:pPr>
              <w:keepNext/>
              <w:keepLines/>
              <w:widowControl w:val="0"/>
              <w:jc w:val="center"/>
              <w:rPr>
                <w:rFonts w:ascii="Arial Narrow" w:hAnsi="Arial Narrow" w:cs="Times New Roman"/>
                <w:snapToGrid w:val="0"/>
                <w:sz w:val="20"/>
                <w:szCs w:val="20"/>
              </w:rPr>
            </w:pPr>
            <w:r w:rsidRPr="00917FFB">
              <w:rPr>
                <w:rFonts w:ascii="Arial Narrow" w:hAnsi="Arial Narrow" w:cs="Times New Roman"/>
                <w:snapToGrid w:val="0"/>
                <w:sz w:val="20"/>
                <w:szCs w:val="20"/>
              </w:rPr>
              <w:t>0.77 (0.56,</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1.07)</w:t>
            </w:r>
          </w:p>
        </w:tc>
        <w:tc>
          <w:tcPr>
            <w:tcW w:w="1414" w:type="pct"/>
            <w:tcBorders>
              <w:top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b/>
                <w:snapToGrid w:val="0"/>
                <w:sz w:val="20"/>
                <w:szCs w:val="20"/>
              </w:rPr>
              <w:t>-0.20 (-0.30,</w:t>
            </w:r>
            <w:r w:rsidR="00F80535">
              <w:rPr>
                <w:rFonts w:ascii="Arial Narrow" w:hAnsi="Arial Narrow" w:cs="Times New Roman"/>
                <w:b/>
                <w:snapToGrid w:val="0"/>
                <w:sz w:val="20"/>
                <w:szCs w:val="20"/>
              </w:rPr>
              <w:t xml:space="preserve"> </w:t>
            </w:r>
            <w:r w:rsidRPr="00917FFB">
              <w:rPr>
                <w:rFonts w:ascii="Arial Narrow" w:hAnsi="Arial Narrow" w:cs="Times New Roman"/>
                <w:b/>
                <w:snapToGrid w:val="0"/>
                <w:sz w:val="20"/>
                <w:szCs w:val="20"/>
              </w:rPr>
              <w:t>-0.10)</w:t>
            </w:r>
          </w:p>
        </w:tc>
      </w:tr>
      <w:tr w:rsidR="005F707A" w:rsidRPr="00917FFB" w:rsidTr="00AD37BE">
        <w:trPr>
          <w:trHeight w:val="222"/>
          <w:jc w:val="center"/>
        </w:trPr>
        <w:tc>
          <w:tcPr>
            <w:tcW w:w="5000" w:type="pct"/>
            <w:gridSpan w:val="3"/>
            <w:tcBorders>
              <w:bottom w:val="single" w:sz="4" w:space="0" w:color="auto"/>
            </w:tcBorders>
            <w:vAlign w:val="center"/>
          </w:tcPr>
          <w:p w:rsidR="005F707A" w:rsidRPr="00917FFB" w:rsidRDefault="00F435D9" w:rsidP="008072B0">
            <w:pPr>
              <w:keepNext/>
              <w:keepLines/>
              <w:widowControl w:val="0"/>
              <w:jc w:val="left"/>
              <w:rPr>
                <w:rFonts w:ascii="Arial Narrow" w:hAnsi="Arial Narrow" w:cs="Times New Roman"/>
                <w:b/>
                <w:iCs/>
                <w:snapToGrid w:val="0"/>
                <w:sz w:val="20"/>
                <w:szCs w:val="20"/>
              </w:rPr>
            </w:pPr>
            <w:r w:rsidRPr="00917FFB">
              <w:rPr>
                <w:rFonts w:ascii="Arial Narrow" w:hAnsi="Arial Narrow" w:cs="Times New Roman"/>
                <w:b/>
                <w:bCs/>
                <w:iCs/>
                <w:snapToGrid w:val="0"/>
                <w:sz w:val="20"/>
                <w:szCs w:val="20"/>
              </w:rPr>
              <w:t>EASI-50 response at Week 16</w:t>
            </w:r>
          </w:p>
        </w:tc>
      </w:tr>
      <w:tr w:rsidR="005F707A" w:rsidRPr="00917FFB" w:rsidTr="00AD37BE">
        <w:trPr>
          <w:trHeight w:val="222"/>
          <w:jc w:val="center"/>
        </w:trPr>
        <w:tc>
          <w:tcPr>
            <w:tcW w:w="2305" w:type="pct"/>
            <w:tcBorders>
              <w:bottom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r w:rsidRPr="00917FFB">
              <w:rPr>
                <w:rFonts w:ascii="Arial Narrow" w:hAnsi="Arial Narrow" w:cs="Times New Roman"/>
                <w:b/>
                <w:bCs/>
                <w:iCs/>
                <w:snapToGrid w:val="0"/>
                <w:color w:val="ED7D31"/>
                <w:sz w:val="20"/>
                <w:szCs w:val="20"/>
              </w:rPr>
              <w:t>Monotherapy</w:t>
            </w:r>
          </w:p>
        </w:tc>
        <w:tc>
          <w:tcPr>
            <w:tcW w:w="1281" w:type="pct"/>
            <w:tcBorders>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p>
        </w:tc>
        <w:tc>
          <w:tcPr>
            <w:tcW w:w="1414" w:type="pct"/>
            <w:tcBorders>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p>
        </w:tc>
      </w:tr>
      <w:tr w:rsidR="000A24F1" w:rsidRPr="00917FFB" w:rsidTr="00AD37BE">
        <w:trPr>
          <w:trHeight w:val="232"/>
          <w:jc w:val="center"/>
        </w:trPr>
        <w:tc>
          <w:tcPr>
            <w:tcW w:w="2305" w:type="pct"/>
            <w:tcBorders>
              <w:top w:val="nil"/>
              <w:bottom w:val="nil"/>
            </w:tcBorders>
            <w:vAlign w:val="center"/>
          </w:tcPr>
          <w:p w:rsidR="000A24F1" w:rsidRPr="00853F7A" w:rsidRDefault="000A24F1" w:rsidP="008072B0">
            <w:pPr>
              <w:keepNext/>
              <w:keepLines/>
              <w:widowControl w:val="0"/>
              <w:jc w:val="left"/>
              <w:rPr>
                <w:rFonts w:ascii="Arial Narrow" w:hAnsi="Arial Narrow" w:cs="Times New Roman"/>
                <w:sz w:val="20"/>
                <w:szCs w:val="20"/>
              </w:rPr>
            </w:pPr>
            <w:r w:rsidRPr="00853F7A">
              <w:rPr>
                <w:rFonts w:ascii="Arial Narrow" w:hAnsi="Arial Narrow" w:cs="Times New Roman"/>
                <w:snapToGrid w:val="0"/>
                <w:sz w:val="20"/>
                <w:szCs w:val="20"/>
              </w:rPr>
              <w:t>BARI 2</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 v DUPI 300</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w:t>
            </w:r>
            <w:r w:rsidRPr="00853F7A">
              <w:rPr>
                <w:rFonts w:ascii="Arial Narrow" w:hAnsi="Arial Narrow"/>
                <w:snapToGrid w:val="0"/>
                <w:sz w:val="20"/>
                <w:szCs w:val="20"/>
                <w:vertAlign w:val="superscript"/>
              </w:rPr>
              <w:t>†</w:t>
            </w:r>
          </w:p>
        </w:tc>
        <w:tc>
          <w:tcPr>
            <w:tcW w:w="1281" w:type="pct"/>
            <w:tcBorders>
              <w:top w:val="nil"/>
              <w:bottom w:val="nil"/>
            </w:tcBorders>
            <w:vAlign w:val="center"/>
          </w:tcPr>
          <w:p w:rsidR="000A24F1" w:rsidRPr="00917FFB" w:rsidRDefault="000A24F1"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snapToGrid w:val="0"/>
                <w:sz w:val="20"/>
                <w:szCs w:val="20"/>
              </w:rPr>
              <w:t>0.80 (0.59,</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1.07)</w:t>
            </w:r>
          </w:p>
        </w:tc>
        <w:tc>
          <w:tcPr>
            <w:tcW w:w="1414" w:type="pct"/>
            <w:tcBorders>
              <w:top w:val="nil"/>
              <w:bottom w:val="nil"/>
            </w:tcBorders>
            <w:vAlign w:val="center"/>
          </w:tcPr>
          <w:p w:rsidR="000A24F1" w:rsidRPr="000D2978" w:rsidRDefault="000A24F1" w:rsidP="008072B0">
            <w:pPr>
              <w:keepNext/>
              <w:keepLines/>
              <w:widowControl w:val="0"/>
              <w:jc w:val="center"/>
              <w:rPr>
                <w:rFonts w:ascii="Arial Narrow" w:hAnsi="Arial Narrow" w:cs="Times New Roman"/>
                <w:b/>
                <w:snapToGrid w:val="0"/>
                <w:sz w:val="20"/>
                <w:szCs w:val="20"/>
              </w:rPr>
            </w:pPr>
            <w:r w:rsidRPr="000D2978">
              <w:rPr>
                <w:rFonts w:ascii="Arial Narrow" w:hAnsi="Arial Narrow" w:cs="Times New Roman"/>
                <w:b/>
                <w:iCs/>
                <w:snapToGrid w:val="0"/>
                <w:sz w:val="20"/>
                <w:szCs w:val="20"/>
              </w:rPr>
              <w:t>-0.27 (-0.35,</w:t>
            </w:r>
            <w:r w:rsidR="00F80535">
              <w:rPr>
                <w:rFonts w:ascii="Arial Narrow" w:hAnsi="Arial Narrow" w:cs="Times New Roman"/>
                <w:b/>
                <w:iCs/>
                <w:snapToGrid w:val="0"/>
                <w:sz w:val="20"/>
                <w:szCs w:val="20"/>
              </w:rPr>
              <w:t xml:space="preserve"> </w:t>
            </w:r>
            <w:r w:rsidRPr="000D2978">
              <w:rPr>
                <w:rFonts w:ascii="Arial Narrow" w:hAnsi="Arial Narrow" w:cs="Times New Roman"/>
                <w:b/>
                <w:iCs/>
                <w:snapToGrid w:val="0"/>
                <w:sz w:val="20"/>
                <w:szCs w:val="20"/>
              </w:rPr>
              <w:t>-0.19)</w:t>
            </w:r>
          </w:p>
        </w:tc>
      </w:tr>
      <w:tr w:rsidR="000A24F1" w:rsidRPr="00917FFB" w:rsidTr="00AD37BE">
        <w:trPr>
          <w:trHeight w:val="222"/>
          <w:jc w:val="center"/>
        </w:trPr>
        <w:tc>
          <w:tcPr>
            <w:tcW w:w="2305" w:type="pct"/>
            <w:tcBorders>
              <w:top w:val="nil"/>
              <w:bottom w:val="single" w:sz="4" w:space="0" w:color="auto"/>
            </w:tcBorders>
            <w:vAlign w:val="center"/>
          </w:tcPr>
          <w:p w:rsidR="000A24F1" w:rsidRPr="00853F7A" w:rsidRDefault="000A24F1" w:rsidP="008072B0">
            <w:pPr>
              <w:keepNext/>
              <w:keepLines/>
              <w:widowControl w:val="0"/>
              <w:jc w:val="left"/>
              <w:rPr>
                <w:rFonts w:ascii="Arial Narrow" w:hAnsi="Arial Narrow" w:cs="Times New Roman"/>
                <w:sz w:val="20"/>
                <w:szCs w:val="20"/>
              </w:rPr>
            </w:pPr>
            <w:r w:rsidRPr="00853F7A">
              <w:rPr>
                <w:rFonts w:ascii="Arial Narrow" w:hAnsi="Arial Narrow" w:cs="Times New Roman"/>
                <w:snapToGrid w:val="0"/>
                <w:sz w:val="20"/>
                <w:szCs w:val="20"/>
              </w:rPr>
              <w:t>BARI 4</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 v DUPI 300</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w:t>
            </w:r>
            <w:r w:rsidRPr="00853F7A">
              <w:rPr>
                <w:rFonts w:ascii="Arial Narrow" w:hAnsi="Arial Narrow"/>
                <w:snapToGrid w:val="0"/>
                <w:sz w:val="20"/>
                <w:szCs w:val="20"/>
                <w:vertAlign w:val="superscript"/>
              </w:rPr>
              <w:t>†</w:t>
            </w:r>
          </w:p>
        </w:tc>
        <w:tc>
          <w:tcPr>
            <w:tcW w:w="1281" w:type="pct"/>
            <w:tcBorders>
              <w:top w:val="nil"/>
              <w:bottom w:val="single" w:sz="4" w:space="0" w:color="auto"/>
            </w:tcBorders>
            <w:vAlign w:val="center"/>
          </w:tcPr>
          <w:p w:rsidR="000A24F1" w:rsidRPr="00917FFB" w:rsidRDefault="000A24F1"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snapToGrid w:val="0"/>
                <w:sz w:val="20"/>
                <w:szCs w:val="20"/>
              </w:rPr>
              <w:t>0.91 (0.66,</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1.26)</w:t>
            </w:r>
          </w:p>
        </w:tc>
        <w:tc>
          <w:tcPr>
            <w:tcW w:w="1414" w:type="pct"/>
            <w:tcBorders>
              <w:top w:val="nil"/>
              <w:bottom w:val="single" w:sz="4" w:space="0" w:color="auto"/>
            </w:tcBorders>
            <w:vAlign w:val="center"/>
          </w:tcPr>
          <w:p w:rsidR="000A24F1" w:rsidRPr="000D2978" w:rsidRDefault="000A24F1" w:rsidP="008072B0">
            <w:pPr>
              <w:keepNext/>
              <w:keepLines/>
              <w:widowControl w:val="0"/>
              <w:jc w:val="center"/>
              <w:rPr>
                <w:rFonts w:ascii="Arial Narrow" w:hAnsi="Arial Narrow" w:cs="Times New Roman"/>
                <w:b/>
                <w:snapToGrid w:val="0"/>
                <w:sz w:val="20"/>
                <w:szCs w:val="20"/>
              </w:rPr>
            </w:pPr>
            <w:r w:rsidRPr="000D2978">
              <w:rPr>
                <w:rFonts w:ascii="Arial Narrow" w:hAnsi="Arial Narrow" w:cs="Times New Roman"/>
                <w:b/>
                <w:iCs/>
                <w:snapToGrid w:val="0"/>
                <w:sz w:val="20"/>
                <w:szCs w:val="20"/>
              </w:rPr>
              <w:t>-0.23 (-0.34,</w:t>
            </w:r>
            <w:r w:rsidR="00F80535">
              <w:rPr>
                <w:rFonts w:ascii="Arial Narrow" w:hAnsi="Arial Narrow" w:cs="Times New Roman"/>
                <w:b/>
                <w:iCs/>
                <w:snapToGrid w:val="0"/>
                <w:sz w:val="20"/>
                <w:szCs w:val="20"/>
              </w:rPr>
              <w:t xml:space="preserve"> </w:t>
            </w:r>
            <w:r w:rsidRPr="000D2978">
              <w:rPr>
                <w:rFonts w:ascii="Arial Narrow" w:hAnsi="Arial Narrow" w:cs="Times New Roman"/>
                <w:b/>
                <w:iCs/>
                <w:snapToGrid w:val="0"/>
                <w:sz w:val="20"/>
                <w:szCs w:val="20"/>
              </w:rPr>
              <w:t>-0.12)</w:t>
            </w:r>
          </w:p>
        </w:tc>
      </w:tr>
      <w:tr w:rsidR="005F707A" w:rsidRPr="00917FFB" w:rsidTr="00AD37BE">
        <w:trPr>
          <w:trHeight w:val="222"/>
          <w:jc w:val="center"/>
        </w:trPr>
        <w:tc>
          <w:tcPr>
            <w:tcW w:w="2305" w:type="pct"/>
            <w:tcBorders>
              <w:bottom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r w:rsidRPr="00917FFB">
              <w:rPr>
                <w:rFonts w:ascii="Arial Narrow" w:hAnsi="Arial Narrow" w:cs="Times New Roman"/>
                <w:b/>
                <w:bCs/>
                <w:iCs/>
                <w:snapToGrid w:val="0"/>
                <w:color w:val="00B050"/>
                <w:sz w:val="20"/>
                <w:szCs w:val="20"/>
              </w:rPr>
              <w:t>Combination therapy</w:t>
            </w:r>
          </w:p>
        </w:tc>
        <w:tc>
          <w:tcPr>
            <w:tcW w:w="1281" w:type="pct"/>
            <w:tcBorders>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p>
        </w:tc>
        <w:tc>
          <w:tcPr>
            <w:tcW w:w="1414" w:type="pct"/>
            <w:tcBorders>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p>
        </w:tc>
      </w:tr>
      <w:tr w:rsidR="00317A0E" w:rsidRPr="00917FFB" w:rsidTr="00AD37BE">
        <w:trPr>
          <w:trHeight w:val="80"/>
          <w:jc w:val="center"/>
        </w:trPr>
        <w:tc>
          <w:tcPr>
            <w:tcW w:w="2305" w:type="pct"/>
            <w:tcBorders>
              <w:top w:val="nil"/>
              <w:bottom w:val="nil"/>
            </w:tcBorders>
            <w:vAlign w:val="center"/>
          </w:tcPr>
          <w:p w:rsidR="00317A0E" w:rsidRPr="00917FFB" w:rsidRDefault="00317A0E" w:rsidP="008072B0">
            <w:pPr>
              <w:keepNext/>
              <w:keepLines/>
              <w:widowControl w:val="0"/>
              <w:jc w:val="left"/>
              <w:rPr>
                <w:rFonts w:ascii="Arial Narrow" w:hAnsi="Arial Narrow" w:cs="Times New Roman"/>
                <w:sz w:val="20"/>
                <w:szCs w:val="20"/>
              </w:rPr>
            </w:pPr>
            <w:r w:rsidRPr="00917FFB">
              <w:rPr>
                <w:rFonts w:ascii="Arial Narrow" w:hAnsi="Arial Narrow" w:cs="Times New Roman"/>
                <w:snapToGrid w:val="0"/>
                <w:sz w:val="20"/>
                <w:szCs w:val="20"/>
              </w:rPr>
              <w:t>BARI 2</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 +TCS v DUPI 300</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w:t>
            </w:r>
            <w:r w:rsidRPr="00917FFB">
              <w:rPr>
                <w:rFonts w:ascii="Arial Narrow" w:hAnsi="Arial Narrow"/>
                <w:snapToGrid w:val="0"/>
                <w:sz w:val="20"/>
                <w:szCs w:val="20"/>
                <w:vertAlign w:val="superscript"/>
              </w:rPr>
              <w:t>†</w:t>
            </w:r>
            <w:r w:rsidRPr="00917FFB">
              <w:rPr>
                <w:rFonts w:ascii="Arial Narrow" w:hAnsi="Arial Narrow"/>
                <w:snapToGrid w:val="0"/>
                <w:sz w:val="20"/>
                <w:szCs w:val="20"/>
              </w:rPr>
              <w:t xml:space="preserve"> </w:t>
            </w:r>
            <w:r w:rsidRPr="00917FFB">
              <w:rPr>
                <w:rFonts w:ascii="Arial Narrow" w:hAnsi="Arial Narrow" w:cs="Times New Roman"/>
                <w:snapToGrid w:val="0"/>
                <w:sz w:val="20"/>
                <w:szCs w:val="20"/>
              </w:rPr>
              <w:t>+TCS</w:t>
            </w:r>
          </w:p>
        </w:tc>
        <w:tc>
          <w:tcPr>
            <w:tcW w:w="1281" w:type="pct"/>
            <w:tcBorders>
              <w:top w:val="nil"/>
              <w:bottom w:val="nil"/>
            </w:tcBorders>
            <w:vAlign w:val="center"/>
          </w:tcPr>
          <w:p w:rsidR="00317A0E" w:rsidRPr="00917FFB" w:rsidRDefault="00317A0E" w:rsidP="008072B0">
            <w:pPr>
              <w:keepNext/>
              <w:keepLines/>
              <w:widowControl w:val="0"/>
              <w:jc w:val="center"/>
              <w:rPr>
                <w:rFonts w:ascii="Arial Narrow" w:hAnsi="Arial Narrow" w:cs="Times New Roman"/>
                <w:snapToGrid w:val="0"/>
                <w:sz w:val="20"/>
                <w:szCs w:val="20"/>
              </w:rPr>
            </w:pPr>
            <w:r w:rsidRPr="00917FFB">
              <w:rPr>
                <w:rFonts w:ascii="Arial Narrow" w:hAnsi="Arial Narrow" w:cs="Times New Roman"/>
                <w:b/>
                <w:snapToGrid w:val="0"/>
                <w:sz w:val="20"/>
                <w:szCs w:val="20"/>
              </w:rPr>
              <w:t>0.79 (0.64,</w:t>
            </w:r>
            <w:r w:rsidR="00F80535">
              <w:rPr>
                <w:rFonts w:ascii="Arial Narrow" w:hAnsi="Arial Narrow" w:cs="Times New Roman"/>
                <w:b/>
                <w:snapToGrid w:val="0"/>
                <w:sz w:val="20"/>
                <w:szCs w:val="20"/>
              </w:rPr>
              <w:t xml:space="preserve"> </w:t>
            </w:r>
            <w:r w:rsidRPr="00917FFB">
              <w:rPr>
                <w:rFonts w:ascii="Arial Narrow" w:hAnsi="Arial Narrow" w:cs="Times New Roman"/>
                <w:b/>
                <w:snapToGrid w:val="0"/>
                <w:sz w:val="20"/>
                <w:szCs w:val="20"/>
              </w:rPr>
              <w:t>0.97)</w:t>
            </w:r>
          </w:p>
        </w:tc>
        <w:tc>
          <w:tcPr>
            <w:tcW w:w="1414" w:type="pct"/>
            <w:tcBorders>
              <w:top w:val="nil"/>
              <w:bottom w:val="nil"/>
            </w:tcBorders>
            <w:vAlign w:val="center"/>
          </w:tcPr>
          <w:p w:rsidR="00317A0E" w:rsidRPr="00917FFB" w:rsidRDefault="00317A0E"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b/>
                <w:iCs/>
                <w:snapToGrid w:val="0"/>
                <w:sz w:val="20"/>
                <w:szCs w:val="20"/>
              </w:rPr>
              <w:t>-0.21 (-0.30,</w:t>
            </w:r>
            <w:r w:rsidR="00F80535">
              <w:rPr>
                <w:rFonts w:ascii="Arial Narrow" w:hAnsi="Arial Narrow" w:cs="Times New Roman"/>
                <w:b/>
                <w:iCs/>
                <w:snapToGrid w:val="0"/>
                <w:sz w:val="20"/>
                <w:szCs w:val="20"/>
              </w:rPr>
              <w:t xml:space="preserve"> </w:t>
            </w:r>
            <w:r w:rsidRPr="00917FFB">
              <w:rPr>
                <w:rFonts w:ascii="Arial Narrow" w:hAnsi="Arial Narrow" w:cs="Times New Roman"/>
                <w:b/>
                <w:iCs/>
                <w:snapToGrid w:val="0"/>
                <w:sz w:val="20"/>
                <w:szCs w:val="20"/>
              </w:rPr>
              <w:t>-0.11)</w:t>
            </w:r>
          </w:p>
        </w:tc>
      </w:tr>
      <w:tr w:rsidR="00317A0E" w:rsidRPr="00917FFB" w:rsidTr="00AD37BE">
        <w:trPr>
          <w:trHeight w:val="80"/>
          <w:jc w:val="center"/>
        </w:trPr>
        <w:tc>
          <w:tcPr>
            <w:tcW w:w="2305" w:type="pct"/>
            <w:tcBorders>
              <w:top w:val="nil"/>
            </w:tcBorders>
            <w:vAlign w:val="center"/>
          </w:tcPr>
          <w:p w:rsidR="00317A0E" w:rsidRPr="00917FFB" w:rsidRDefault="00317A0E" w:rsidP="008072B0">
            <w:pPr>
              <w:keepNext/>
              <w:keepLines/>
              <w:widowControl w:val="0"/>
              <w:jc w:val="left"/>
              <w:rPr>
                <w:rFonts w:ascii="Arial Narrow" w:hAnsi="Arial Narrow" w:cs="Times New Roman"/>
                <w:sz w:val="20"/>
                <w:szCs w:val="20"/>
              </w:rPr>
            </w:pPr>
            <w:r w:rsidRPr="00917FFB">
              <w:rPr>
                <w:rFonts w:ascii="Arial Narrow" w:hAnsi="Arial Narrow" w:cs="Times New Roman"/>
                <w:snapToGrid w:val="0"/>
                <w:sz w:val="20"/>
                <w:szCs w:val="20"/>
              </w:rPr>
              <w:t>BARI 4</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 +TCS v DUPI 300</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w:t>
            </w:r>
            <w:r w:rsidRPr="00917FFB">
              <w:rPr>
                <w:rFonts w:ascii="Arial Narrow" w:hAnsi="Arial Narrow"/>
                <w:snapToGrid w:val="0"/>
                <w:sz w:val="20"/>
                <w:szCs w:val="20"/>
                <w:vertAlign w:val="superscript"/>
              </w:rPr>
              <w:t>†</w:t>
            </w:r>
            <w:r w:rsidRPr="00917FFB">
              <w:rPr>
                <w:rFonts w:ascii="Arial Narrow" w:hAnsi="Arial Narrow"/>
                <w:snapToGrid w:val="0"/>
                <w:sz w:val="20"/>
                <w:szCs w:val="20"/>
              </w:rPr>
              <w:t xml:space="preserve"> </w:t>
            </w:r>
            <w:r w:rsidRPr="00917FFB">
              <w:rPr>
                <w:rFonts w:ascii="Arial Narrow" w:hAnsi="Arial Narrow" w:cs="Times New Roman"/>
                <w:snapToGrid w:val="0"/>
                <w:sz w:val="20"/>
                <w:szCs w:val="20"/>
              </w:rPr>
              <w:t>+TCS</w:t>
            </w:r>
          </w:p>
        </w:tc>
        <w:tc>
          <w:tcPr>
            <w:tcW w:w="1281" w:type="pct"/>
            <w:tcBorders>
              <w:top w:val="nil"/>
            </w:tcBorders>
            <w:vAlign w:val="center"/>
          </w:tcPr>
          <w:p w:rsidR="00317A0E" w:rsidRPr="00917FFB" w:rsidRDefault="00317A0E" w:rsidP="008072B0">
            <w:pPr>
              <w:keepNext/>
              <w:keepLines/>
              <w:widowControl w:val="0"/>
              <w:jc w:val="center"/>
              <w:rPr>
                <w:rFonts w:ascii="Arial Narrow" w:hAnsi="Arial Narrow" w:cs="Times New Roman"/>
                <w:sz w:val="20"/>
                <w:szCs w:val="20"/>
              </w:rPr>
            </w:pPr>
            <w:r w:rsidRPr="00917FFB">
              <w:rPr>
                <w:rFonts w:ascii="Arial Narrow" w:hAnsi="Arial Narrow" w:cs="Times New Roman"/>
                <w:snapToGrid w:val="0"/>
                <w:sz w:val="20"/>
                <w:szCs w:val="20"/>
              </w:rPr>
              <w:t>0.84 (0.68,</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1.04)</w:t>
            </w:r>
          </w:p>
        </w:tc>
        <w:tc>
          <w:tcPr>
            <w:tcW w:w="1414" w:type="pct"/>
            <w:tcBorders>
              <w:top w:val="nil"/>
            </w:tcBorders>
            <w:vAlign w:val="center"/>
          </w:tcPr>
          <w:p w:rsidR="00317A0E" w:rsidRPr="00917FFB" w:rsidRDefault="00317A0E" w:rsidP="008072B0">
            <w:pPr>
              <w:keepNext/>
              <w:keepLines/>
              <w:widowControl w:val="0"/>
              <w:jc w:val="center"/>
              <w:rPr>
                <w:rFonts w:ascii="Arial Narrow" w:hAnsi="Arial Narrow" w:cs="Times New Roman"/>
                <w:sz w:val="20"/>
                <w:szCs w:val="20"/>
              </w:rPr>
            </w:pPr>
            <w:r w:rsidRPr="00917FFB">
              <w:rPr>
                <w:rFonts w:ascii="Arial Narrow" w:hAnsi="Arial Narrow" w:cs="Times New Roman"/>
                <w:b/>
                <w:iCs/>
                <w:snapToGrid w:val="0"/>
                <w:sz w:val="20"/>
                <w:szCs w:val="20"/>
              </w:rPr>
              <w:t>-0.16 (-0.26,</w:t>
            </w:r>
            <w:r w:rsidR="00F80535">
              <w:rPr>
                <w:rFonts w:ascii="Arial Narrow" w:hAnsi="Arial Narrow" w:cs="Times New Roman"/>
                <w:b/>
                <w:iCs/>
                <w:snapToGrid w:val="0"/>
                <w:sz w:val="20"/>
                <w:szCs w:val="20"/>
              </w:rPr>
              <w:t xml:space="preserve"> </w:t>
            </w:r>
            <w:r w:rsidRPr="00917FFB">
              <w:rPr>
                <w:rFonts w:ascii="Arial Narrow" w:hAnsi="Arial Narrow" w:cs="Times New Roman"/>
                <w:b/>
                <w:iCs/>
                <w:snapToGrid w:val="0"/>
                <w:sz w:val="20"/>
                <w:szCs w:val="20"/>
              </w:rPr>
              <w:t>-0.06)</w:t>
            </w:r>
          </w:p>
        </w:tc>
      </w:tr>
      <w:tr w:rsidR="005F707A" w:rsidRPr="00917FFB" w:rsidTr="00AD37BE">
        <w:trPr>
          <w:trHeight w:val="264"/>
          <w:jc w:val="center"/>
        </w:trPr>
        <w:tc>
          <w:tcPr>
            <w:tcW w:w="5000" w:type="pct"/>
            <w:gridSpan w:val="3"/>
            <w:tcBorders>
              <w:bottom w:val="single" w:sz="4" w:space="0" w:color="auto"/>
            </w:tcBorders>
            <w:vAlign w:val="center"/>
          </w:tcPr>
          <w:p w:rsidR="005F707A" w:rsidRPr="00917FFB" w:rsidRDefault="005F707A" w:rsidP="008072B0">
            <w:pPr>
              <w:keepNext/>
              <w:keepLines/>
              <w:widowControl w:val="0"/>
              <w:jc w:val="left"/>
              <w:rPr>
                <w:rFonts w:ascii="Arial Narrow" w:hAnsi="Arial Narrow" w:cs="Times New Roman"/>
                <w:b/>
                <w:sz w:val="20"/>
                <w:szCs w:val="20"/>
              </w:rPr>
            </w:pPr>
            <w:bookmarkStart w:id="14" w:name="_Hlk69466878"/>
            <w:r w:rsidRPr="00917FFB">
              <w:rPr>
                <w:rFonts w:ascii="Arial Narrow" w:hAnsi="Arial Narrow" w:cs="Times New Roman"/>
                <w:b/>
                <w:sz w:val="20"/>
                <w:szCs w:val="20"/>
              </w:rPr>
              <w:t xml:space="preserve">IGA score of 0 or 1 and ≥2-point improvement </w:t>
            </w:r>
            <w:bookmarkEnd w:id="14"/>
            <w:r w:rsidR="00F435D9" w:rsidRPr="00917FFB">
              <w:rPr>
                <w:rFonts w:ascii="Arial Narrow" w:hAnsi="Arial Narrow" w:cs="Times New Roman"/>
                <w:b/>
                <w:sz w:val="20"/>
                <w:szCs w:val="20"/>
              </w:rPr>
              <w:t>at Week 16</w:t>
            </w:r>
          </w:p>
        </w:tc>
      </w:tr>
      <w:tr w:rsidR="005F707A" w:rsidRPr="00917FFB" w:rsidTr="00AD37BE">
        <w:trPr>
          <w:trHeight w:val="253"/>
          <w:jc w:val="center"/>
        </w:trPr>
        <w:tc>
          <w:tcPr>
            <w:tcW w:w="2305" w:type="pct"/>
            <w:tcBorders>
              <w:bottom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r w:rsidRPr="00917FFB">
              <w:rPr>
                <w:rFonts w:ascii="Arial Narrow" w:hAnsi="Arial Narrow" w:cs="Times New Roman"/>
                <w:b/>
                <w:bCs/>
                <w:iCs/>
                <w:snapToGrid w:val="0"/>
                <w:color w:val="ED7D31"/>
                <w:sz w:val="20"/>
                <w:szCs w:val="20"/>
              </w:rPr>
              <w:t>Monotherapy</w:t>
            </w:r>
          </w:p>
        </w:tc>
        <w:tc>
          <w:tcPr>
            <w:tcW w:w="1281" w:type="pct"/>
            <w:tcBorders>
              <w:bottom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p>
        </w:tc>
        <w:tc>
          <w:tcPr>
            <w:tcW w:w="1414" w:type="pct"/>
            <w:tcBorders>
              <w:bottom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p>
        </w:tc>
      </w:tr>
      <w:tr w:rsidR="005F707A" w:rsidRPr="00917FFB" w:rsidTr="00AD37BE">
        <w:trPr>
          <w:trHeight w:val="80"/>
          <w:jc w:val="center"/>
        </w:trPr>
        <w:tc>
          <w:tcPr>
            <w:tcW w:w="2305" w:type="pct"/>
            <w:tcBorders>
              <w:top w:val="nil"/>
              <w:bottom w:val="nil"/>
            </w:tcBorders>
            <w:vAlign w:val="center"/>
          </w:tcPr>
          <w:p w:rsidR="005F707A" w:rsidRPr="00853F7A" w:rsidRDefault="005F707A" w:rsidP="008072B0">
            <w:pPr>
              <w:keepNext/>
              <w:keepLines/>
              <w:widowControl w:val="0"/>
              <w:jc w:val="left"/>
              <w:rPr>
                <w:rFonts w:ascii="Arial Narrow" w:hAnsi="Arial Narrow" w:cs="Times New Roman"/>
                <w:sz w:val="20"/>
                <w:szCs w:val="20"/>
              </w:rPr>
            </w:pPr>
            <w:r w:rsidRPr="00853F7A">
              <w:rPr>
                <w:rFonts w:ascii="Arial Narrow" w:hAnsi="Arial Narrow" w:cs="Times New Roman"/>
                <w:snapToGrid w:val="0"/>
                <w:sz w:val="20"/>
                <w:szCs w:val="20"/>
              </w:rPr>
              <w:t>BARI 2</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 v DUPI 300</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w:t>
            </w:r>
            <w:r w:rsidRPr="00853F7A">
              <w:rPr>
                <w:rFonts w:ascii="Arial Narrow" w:hAnsi="Arial Narrow"/>
                <w:snapToGrid w:val="0"/>
                <w:sz w:val="20"/>
                <w:szCs w:val="20"/>
                <w:vertAlign w:val="superscript"/>
              </w:rPr>
              <w:t>†</w:t>
            </w:r>
          </w:p>
        </w:tc>
        <w:tc>
          <w:tcPr>
            <w:tcW w:w="1281" w:type="pct"/>
            <w:tcBorders>
              <w:top w:val="nil"/>
              <w:bottom w:val="nil"/>
            </w:tcBorders>
            <w:vAlign w:val="center"/>
          </w:tcPr>
          <w:p w:rsidR="005F707A" w:rsidRPr="00917FFB" w:rsidRDefault="005F707A" w:rsidP="008072B0">
            <w:pPr>
              <w:keepNext/>
              <w:keepLines/>
              <w:widowControl w:val="0"/>
              <w:jc w:val="center"/>
              <w:rPr>
                <w:rFonts w:ascii="Arial Narrow" w:hAnsi="Arial Narrow" w:cs="Times New Roman"/>
                <w:snapToGrid w:val="0"/>
                <w:sz w:val="20"/>
                <w:szCs w:val="20"/>
              </w:rPr>
            </w:pPr>
            <w:r w:rsidRPr="00917FFB">
              <w:rPr>
                <w:rFonts w:ascii="Arial Narrow" w:hAnsi="Arial Narrow" w:cs="Times New Roman"/>
                <w:snapToGrid w:val="0"/>
                <w:sz w:val="20"/>
                <w:szCs w:val="20"/>
              </w:rPr>
              <w:t>0.77 (0.46,</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1.28)</w:t>
            </w:r>
          </w:p>
        </w:tc>
        <w:tc>
          <w:tcPr>
            <w:tcW w:w="1414" w:type="pct"/>
            <w:tcBorders>
              <w:top w:val="nil"/>
              <w:bottom w:val="nil"/>
            </w:tcBorders>
            <w:vAlign w:val="center"/>
          </w:tcPr>
          <w:p w:rsidR="005F707A" w:rsidRPr="000D2978" w:rsidRDefault="005F707A" w:rsidP="008072B0">
            <w:pPr>
              <w:keepNext/>
              <w:keepLines/>
              <w:widowControl w:val="0"/>
              <w:jc w:val="center"/>
              <w:rPr>
                <w:rFonts w:ascii="Arial Narrow" w:hAnsi="Arial Narrow" w:cs="Times New Roman"/>
                <w:b/>
                <w:snapToGrid w:val="0"/>
                <w:sz w:val="20"/>
                <w:szCs w:val="20"/>
              </w:rPr>
            </w:pPr>
            <w:r w:rsidRPr="000D2978">
              <w:rPr>
                <w:rFonts w:ascii="Arial Narrow" w:hAnsi="Arial Narrow" w:cs="Times New Roman"/>
                <w:b/>
                <w:snapToGrid w:val="0"/>
                <w:sz w:val="20"/>
                <w:szCs w:val="20"/>
              </w:rPr>
              <w:t>-0.17 (-0.23,</w:t>
            </w:r>
            <w:r w:rsidR="00F80535">
              <w:rPr>
                <w:rFonts w:ascii="Arial Narrow" w:hAnsi="Arial Narrow" w:cs="Times New Roman"/>
                <w:b/>
                <w:snapToGrid w:val="0"/>
                <w:sz w:val="20"/>
                <w:szCs w:val="20"/>
              </w:rPr>
              <w:t xml:space="preserve"> </w:t>
            </w:r>
            <w:r w:rsidRPr="000D2978">
              <w:rPr>
                <w:rFonts w:ascii="Arial Narrow" w:hAnsi="Arial Narrow" w:cs="Times New Roman"/>
                <w:b/>
                <w:snapToGrid w:val="0"/>
                <w:sz w:val="20"/>
                <w:szCs w:val="20"/>
              </w:rPr>
              <w:t>-0.11)</w:t>
            </w:r>
          </w:p>
        </w:tc>
      </w:tr>
      <w:tr w:rsidR="005F707A" w:rsidRPr="00917FFB" w:rsidTr="00AD37BE">
        <w:trPr>
          <w:trHeight w:val="80"/>
          <w:jc w:val="center"/>
        </w:trPr>
        <w:tc>
          <w:tcPr>
            <w:tcW w:w="2305" w:type="pct"/>
            <w:tcBorders>
              <w:top w:val="nil"/>
              <w:bottom w:val="single" w:sz="4" w:space="0" w:color="auto"/>
            </w:tcBorders>
            <w:vAlign w:val="center"/>
          </w:tcPr>
          <w:p w:rsidR="005F707A" w:rsidRPr="00853F7A" w:rsidRDefault="005F707A" w:rsidP="008072B0">
            <w:pPr>
              <w:keepNext/>
              <w:keepLines/>
              <w:widowControl w:val="0"/>
              <w:jc w:val="left"/>
              <w:rPr>
                <w:rFonts w:ascii="Arial Narrow" w:hAnsi="Arial Narrow" w:cs="Times New Roman"/>
                <w:sz w:val="20"/>
                <w:szCs w:val="20"/>
              </w:rPr>
            </w:pPr>
            <w:r w:rsidRPr="00853F7A">
              <w:rPr>
                <w:rFonts w:ascii="Arial Narrow" w:hAnsi="Arial Narrow" w:cs="Times New Roman"/>
                <w:snapToGrid w:val="0"/>
                <w:sz w:val="20"/>
                <w:szCs w:val="20"/>
              </w:rPr>
              <w:t>BARI 4</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 v DUPI 300</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w:t>
            </w:r>
            <w:r w:rsidRPr="00853F7A">
              <w:rPr>
                <w:rFonts w:ascii="Arial Narrow" w:hAnsi="Arial Narrow"/>
                <w:snapToGrid w:val="0"/>
                <w:sz w:val="20"/>
                <w:szCs w:val="20"/>
                <w:vertAlign w:val="superscript"/>
              </w:rPr>
              <w:t>†</w:t>
            </w:r>
          </w:p>
        </w:tc>
        <w:tc>
          <w:tcPr>
            <w:tcW w:w="1281" w:type="pct"/>
            <w:tcBorders>
              <w:top w:val="nil"/>
              <w:bottom w:val="single" w:sz="4" w:space="0" w:color="auto"/>
            </w:tcBorders>
            <w:vAlign w:val="center"/>
          </w:tcPr>
          <w:p w:rsidR="005F707A" w:rsidRPr="00917FFB" w:rsidRDefault="005F707A" w:rsidP="008072B0">
            <w:pPr>
              <w:keepNext/>
              <w:keepLines/>
              <w:widowControl w:val="0"/>
              <w:jc w:val="center"/>
              <w:rPr>
                <w:rFonts w:ascii="Arial Narrow" w:hAnsi="Arial Narrow" w:cs="Times New Roman"/>
                <w:snapToGrid w:val="0"/>
                <w:sz w:val="20"/>
                <w:szCs w:val="20"/>
              </w:rPr>
            </w:pPr>
            <w:r w:rsidRPr="00917FFB">
              <w:rPr>
                <w:rFonts w:ascii="Arial Narrow" w:hAnsi="Arial Narrow" w:cs="Times New Roman"/>
                <w:snapToGrid w:val="0"/>
                <w:sz w:val="20"/>
                <w:szCs w:val="20"/>
              </w:rPr>
              <w:t>0.77 (0.43,</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1.37)</w:t>
            </w:r>
          </w:p>
        </w:tc>
        <w:tc>
          <w:tcPr>
            <w:tcW w:w="1414" w:type="pct"/>
            <w:tcBorders>
              <w:top w:val="nil"/>
              <w:bottom w:val="single" w:sz="4" w:space="0" w:color="auto"/>
            </w:tcBorders>
            <w:vAlign w:val="center"/>
          </w:tcPr>
          <w:p w:rsidR="005F707A" w:rsidRPr="000D2978" w:rsidRDefault="005F707A" w:rsidP="008072B0">
            <w:pPr>
              <w:keepNext/>
              <w:keepLines/>
              <w:widowControl w:val="0"/>
              <w:jc w:val="center"/>
              <w:rPr>
                <w:rFonts w:ascii="Arial Narrow" w:hAnsi="Arial Narrow" w:cs="Times New Roman"/>
                <w:b/>
                <w:snapToGrid w:val="0"/>
                <w:sz w:val="20"/>
                <w:szCs w:val="20"/>
              </w:rPr>
            </w:pPr>
            <w:r w:rsidRPr="000D2978">
              <w:rPr>
                <w:rFonts w:ascii="Arial Narrow" w:hAnsi="Arial Narrow" w:cs="Times New Roman"/>
                <w:b/>
                <w:snapToGrid w:val="0"/>
                <w:sz w:val="20"/>
                <w:szCs w:val="20"/>
              </w:rPr>
              <w:t>-0.18 (-0.25,</w:t>
            </w:r>
            <w:r w:rsidR="00F80535">
              <w:rPr>
                <w:rFonts w:ascii="Arial Narrow" w:hAnsi="Arial Narrow" w:cs="Times New Roman"/>
                <w:b/>
                <w:snapToGrid w:val="0"/>
                <w:sz w:val="20"/>
                <w:szCs w:val="20"/>
              </w:rPr>
              <w:t xml:space="preserve"> </w:t>
            </w:r>
            <w:r w:rsidRPr="000D2978">
              <w:rPr>
                <w:rFonts w:ascii="Arial Narrow" w:hAnsi="Arial Narrow" w:cs="Times New Roman"/>
                <w:b/>
                <w:snapToGrid w:val="0"/>
                <w:sz w:val="20"/>
                <w:szCs w:val="20"/>
              </w:rPr>
              <w:t>-0.12)</w:t>
            </w:r>
          </w:p>
        </w:tc>
      </w:tr>
      <w:tr w:rsidR="005F707A" w:rsidRPr="00917FFB" w:rsidTr="00AD37BE">
        <w:trPr>
          <w:trHeight w:val="253"/>
          <w:jc w:val="center"/>
        </w:trPr>
        <w:tc>
          <w:tcPr>
            <w:tcW w:w="2305" w:type="pct"/>
            <w:tcBorders>
              <w:bottom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r w:rsidRPr="00917FFB">
              <w:rPr>
                <w:rFonts w:ascii="Arial Narrow" w:hAnsi="Arial Narrow" w:cs="Times New Roman"/>
                <w:b/>
                <w:bCs/>
                <w:iCs/>
                <w:snapToGrid w:val="0"/>
                <w:color w:val="00B050"/>
                <w:sz w:val="20"/>
                <w:szCs w:val="20"/>
              </w:rPr>
              <w:t>Combination therapy</w:t>
            </w:r>
          </w:p>
        </w:tc>
        <w:tc>
          <w:tcPr>
            <w:tcW w:w="1281" w:type="pct"/>
            <w:tcBorders>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p>
        </w:tc>
        <w:tc>
          <w:tcPr>
            <w:tcW w:w="1414" w:type="pct"/>
            <w:tcBorders>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p>
        </w:tc>
      </w:tr>
      <w:tr w:rsidR="005F707A" w:rsidRPr="00917FFB" w:rsidTr="00AD37BE">
        <w:trPr>
          <w:trHeight w:val="80"/>
          <w:jc w:val="center"/>
        </w:trPr>
        <w:tc>
          <w:tcPr>
            <w:tcW w:w="2305" w:type="pct"/>
            <w:tcBorders>
              <w:top w:val="nil"/>
              <w:bottom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r w:rsidRPr="00917FFB">
              <w:rPr>
                <w:rFonts w:ascii="Arial Narrow" w:hAnsi="Arial Narrow" w:cs="Times New Roman"/>
                <w:snapToGrid w:val="0"/>
                <w:sz w:val="20"/>
                <w:szCs w:val="20"/>
              </w:rPr>
              <w:t>BARI 2</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 +TCS v DUPI 300</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w:t>
            </w:r>
            <w:r w:rsidRPr="00917FFB">
              <w:rPr>
                <w:rFonts w:ascii="Arial Narrow" w:hAnsi="Arial Narrow"/>
                <w:snapToGrid w:val="0"/>
                <w:sz w:val="20"/>
                <w:szCs w:val="20"/>
                <w:vertAlign w:val="superscript"/>
              </w:rPr>
              <w:t>†</w:t>
            </w:r>
            <w:r w:rsidRPr="00917FFB">
              <w:rPr>
                <w:rFonts w:ascii="Arial Narrow" w:hAnsi="Arial Narrow" w:cs="Times New Roman"/>
                <w:snapToGrid w:val="0"/>
                <w:sz w:val="20"/>
                <w:szCs w:val="20"/>
              </w:rPr>
              <w:t xml:space="preserve"> +TCS</w:t>
            </w:r>
          </w:p>
        </w:tc>
        <w:tc>
          <w:tcPr>
            <w:tcW w:w="1281" w:type="pct"/>
            <w:tcBorders>
              <w:top w:val="nil"/>
              <w:bottom w:val="nil"/>
            </w:tcBorders>
            <w:vAlign w:val="center"/>
          </w:tcPr>
          <w:p w:rsidR="005F707A" w:rsidRPr="00917FFB" w:rsidRDefault="005F707A" w:rsidP="008072B0">
            <w:pPr>
              <w:keepNext/>
              <w:keepLines/>
              <w:widowControl w:val="0"/>
              <w:jc w:val="center"/>
              <w:rPr>
                <w:rFonts w:ascii="Arial Narrow" w:hAnsi="Arial Narrow" w:cs="Times New Roman"/>
                <w:snapToGrid w:val="0"/>
                <w:sz w:val="20"/>
                <w:szCs w:val="20"/>
              </w:rPr>
            </w:pPr>
            <w:r w:rsidRPr="00917FFB">
              <w:rPr>
                <w:rFonts w:ascii="Arial Narrow" w:hAnsi="Arial Narrow" w:cs="Times New Roman"/>
                <w:snapToGrid w:val="0"/>
                <w:sz w:val="20"/>
                <w:szCs w:val="20"/>
              </w:rPr>
              <w:t>0.56 (0.35,</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0.90)</w:t>
            </w:r>
          </w:p>
        </w:tc>
        <w:tc>
          <w:tcPr>
            <w:tcW w:w="1414" w:type="pct"/>
            <w:tcBorders>
              <w:top w:val="nil"/>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b/>
                <w:snapToGrid w:val="0"/>
                <w:sz w:val="20"/>
                <w:szCs w:val="20"/>
              </w:rPr>
              <w:t>-0.18 (-0.26,</w:t>
            </w:r>
            <w:r w:rsidR="00F80535">
              <w:rPr>
                <w:rFonts w:ascii="Arial Narrow" w:hAnsi="Arial Narrow" w:cs="Times New Roman"/>
                <w:b/>
                <w:snapToGrid w:val="0"/>
                <w:sz w:val="20"/>
                <w:szCs w:val="20"/>
              </w:rPr>
              <w:t xml:space="preserve"> </w:t>
            </w:r>
            <w:r w:rsidRPr="00917FFB">
              <w:rPr>
                <w:rFonts w:ascii="Arial Narrow" w:hAnsi="Arial Narrow" w:cs="Times New Roman"/>
                <w:b/>
                <w:snapToGrid w:val="0"/>
                <w:sz w:val="20"/>
                <w:szCs w:val="20"/>
              </w:rPr>
              <w:t>-0.10)</w:t>
            </w:r>
          </w:p>
        </w:tc>
      </w:tr>
      <w:tr w:rsidR="005F707A" w:rsidRPr="00917FFB" w:rsidTr="00AD37BE">
        <w:trPr>
          <w:trHeight w:val="80"/>
          <w:jc w:val="center"/>
        </w:trPr>
        <w:tc>
          <w:tcPr>
            <w:tcW w:w="2305" w:type="pct"/>
            <w:tcBorders>
              <w:top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r w:rsidRPr="00917FFB">
              <w:rPr>
                <w:rFonts w:ascii="Arial Narrow" w:hAnsi="Arial Narrow" w:cs="Times New Roman"/>
                <w:snapToGrid w:val="0"/>
                <w:sz w:val="20"/>
                <w:szCs w:val="20"/>
              </w:rPr>
              <w:t>BARI 4</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 +TCS v DUPI 300</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w:t>
            </w:r>
            <w:r w:rsidRPr="00917FFB">
              <w:rPr>
                <w:rFonts w:ascii="Arial Narrow" w:hAnsi="Arial Narrow"/>
                <w:snapToGrid w:val="0"/>
                <w:sz w:val="20"/>
                <w:szCs w:val="20"/>
                <w:vertAlign w:val="superscript"/>
              </w:rPr>
              <w:t>†</w:t>
            </w:r>
            <w:r w:rsidRPr="00917FFB">
              <w:rPr>
                <w:rFonts w:ascii="Arial Narrow" w:hAnsi="Arial Narrow" w:cs="Times New Roman"/>
                <w:snapToGrid w:val="0"/>
                <w:sz w:val="20"/>
                <w:szCs w:val="20"/>
              </w:rPr>
              <w:t xml:space="preserve"> +TCS</w:t>
            </w:r>
          </w:p>
        </w:tc>
        <w:tc>
          <w:tcPr>
            <w:tcW w:w="1281" w:type="pct"/>
            <w:tcBorders>
              <w:top w:val="nil"/>
            </w:tcBorders>
            <w:vAlign w:val="center"/>
          </w:tcPr>
          <w:p w:rsidR="005F707A" w:rsidRPr="00917FFB" w:rsidRDefault="005F707A" w:rsidP="008072B0">
            <w:pPr>
              <w:keepNext/>
              <w:keepLines/>
              <w:widowControl w:val="0"/>
              <w:jc w:val="center"/>
              <w:rPr>
                <w:rFonts w:ascii="Arial Narrow" w:hAnsi="Arial Narrow" w:cs="Times New Roman"/>
                <w:snapToGrid w:val="0"/>
                <w:sz w:val="20"/>
                <w:szCs w:val="20"/>
              </w:rPr>
            </w:pPr>
            <w:r w:rsidRPr="00917FFB">
              <w:rPr>
                <w:rFonts w:ascii="Arial Narrow" w:hAnsi="Arial Narrow" w:cs="Times New Roman"/>
                <w:snapToGrid w:val="0"/>
                <w:sz w:val="20"/>
                <w:szCs w:val="20"/>
              </w:rPr>
              <w:t>0.77 (0.48,</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1.23)</w:t>
            </w:r>
          </w:p>
        </w:tc>
        <w:tc>
          <w:tcPr>
            <w:tcW w:w="1414" w:type="pct"/>
            <w:tcBorders>
              <w:top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b/>
                <w:snapToGrid w:val="0"/>
                <w:sz w:val="20"/>
                <w:szCs w:val="20"/>
              </w:rPr>
              <w:t>-0.11 (-0.19,</w:t>
            </w:r>
            <w:r w:rsidR="00F80535">
              <w:rPr>
                <w:rFonts w:ascii="Arial Narrow" w:hAnsi="Arial Narrow" w:cs="Times New Roman"/>
                <w:b/>
                <w:snapToGrid w:val="0"/>
                <w:sz w:val="20"/>
                <w:szCs w:val="20"/>
              </w:rPr>
              <w:t xml:space="preserve"> </w:t>
            </w:r>
            <w:r w:rsidRPr="00917FFB">
              <w:rPr>
                <w:rFonts w:ascii="Arial Narrow" w:hAnsi="Arial Narrow" w:cs="Times New Roman"/>
                <w:b/>
                <w:snapToGrid w:val="0"/>
                <w:sz w:val="20"/>
                <w:szCs w:val="20"/>
              </w:rPr>
              <w:t>-0.02)</w:t>
            </w:r>
          </w:p>
        </w:tc>
      </w:tr>
      <w:tr w:rsidR="005F707A" w:rsidRPr="00917FFB" w:rsidTr="00AD37BE">
        <w:trPr>
          <w:trHeight w:val="253"/>
          <w:jc w:val="center"/>
        </w:trPr>
        <w:tc>
          <w:tcPr>
            <w:tcW w:w="5000" w:type="pct"/>
            <w:gridSpan w:val="3"/>
            <w:tcBorders>
              <w:bottom w:val="single" w:sz="4" w:space="0" w:color="auto"/>
            </w:tcBorders>
            <w:vAlign w:val="center"/>
          </w:tcPr>
          <w:p w:rsidR="005F707A" w:rsidRPr="00917FFB" w:rsidRDefault="005F707A" w:rsidP="008072B0">
            <w:pPr>
              <w:keepNext/>
              <w:keepLines/>
              <w:widowControl w:val="0"/>
              <w:rPr>
                <w:rFonts w:ascii="Arial Narrow" w:hAnsi="Arial Narrow"/>
                <w:iCs/>
                <w:sz w:val="20"/>
                <w:szCs w:val="20"/>
              </w:rPr>
            </w:pPr>
            <w:r w:rsidRPr="00917FFB">
              <w:rPr>
                <w:rFonts w:ascii="Arial Narrow" w:hAnsi="Arial Narrow"/>
                <w:b/>
                <w:bCs/>
                <w:iCs/>
                <w:snapToGrid w:val="0"/>
                <w:sz w:val="20"/>
                <w:szCs w:val="20"/>
              </w:rPr>
              <w:t>DLQI</w:t>
            </w:r>
            <w:r w:rsidR="00F435D9" w:rsidRPr="00917FFB">
              <w:rPr>
                <w:rFonts w:ascii="Arial Narrow" w:hAnsi="Arial Narrow"/>
                <w:b/>
                <w:bCs/>
                <w:iCs/>
                <w:snapToGrid w:val="0"/>
                <w:sz w:val="20"/>
                <w:szCs w:val="20"/>
              </w:rPr>
              <w:t>≥4-point improvement at Week 16</w:t>
            </w:r>
          </w:p>
        </w:tc>
      </w:tr>
      <w:tr w:rsidR="005F707A" w:rsidRPr="00917FFB" w:rsidTr="00AD37BE">
        <w:trPr>
          <w:trHeight w:val="70"/>
          <w:jc w:val="center"/>
        </w:trPr>
        <w:tc>
          <w:tcPr>
            <w:tcW w:w="2305" w:type="pct"/>
            <w:tcBorders>
              <w:bottom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r w:rsidRPr="00917FFB">
              <w:rPr>
                <w:rFonts w:ascii="Arial Narrow" w:hAnsi="Arial Narrow" w:cs="Times New Roman"/>
                <w:b/>
                <w:bCs/>
                <w:iCs/>
                <w:snapToGrid w:val="0"/>
                <w:color w:val="ED7D31"/>
                <w:sz w:val="20"/>
                <w:szCs w:val="20"/>
              </w:rPr>
              <w:t>Monotherapy</w:t>
            </w:r>
          </w:p>
        </w:tc>
        <w:tc>
          <w:tcPr>
            <w:tcW w:w="1281" w:type="pct"/>
            <w:tcBorders>
              <w:bottom w:val="nil"/>
            </w:tcBorders>
            <w:vAlign w:val="center"/>
          </w:tcPr>
          <w:p w:rsidR="005F707A" w:rsidRPr="00917FFB" w:rsidRDefault="005F707A" w:rsidP="008072B0">
            <w:pPr>
              <w:keepNext/>
              <w:keepLines/>
              <w:widowControl w:val="0"/>
              <w:jc w:val="center"/>
              <w:rPr>
                <w:rFonts w:ascii="Arial Narrow" w:hAnsi="Arial Narrow" w:cs="Times New Roman"/>
                <w:snapToGrid w:val="0"/>
                <w:sz w:val="20"/>
                <w:szCs w:val="20"/>
              </w:rPr>
            </w:pPr>
          </w:p>
        </w:tc>
        <w:tc>
          <w:tcPr>
            <w:tcW w:w="1414" w:type="pct"/>
            <w:tcBorders>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p>
        </w:tc>
      </w:tr>
      <w:tr w:rsidR="005F707A" w:rsidRPr="00917FFB" w:rsidTr="00AD37BE">
        <w:trPr>
          <w:trHeight w:val="80"/>
          <w:jc w:val="center"/>
        </w:trPr>
        <w:tc>
          <w:tcPr>
            <w:tcW w:w="2305" w:type="pct"/>
            <w:tcBorders>
              <w:top w:val="nil"/>
              <w:bottom w:val="nil"/>
            </w:tcBorders>
            <w:vAlign w:val="center"/>
          </w:tcPr>
          <w:p w:rsidR="005F707A" w:rsidRPr="00853F7A" w:rsidRDefault="005F707A" w:rsidP="008072B0">
            <w:pPr>
              <w:keepNext/>
              <w:keepLines/>
              <w:widowControl w:val="0"/>
              <w:jc w:val="left"/>
              <w:rPr>
                <w:rFonts w:ascii="Arial Narrow" w:hAnsi="Arial Narrow" w:cs="Times New Roman"/>
                <w:sz w:val="20"/>
                <w:szCs w:val="20"/>
              </w:rPr>
            </w:pPr>
            <w:r w:rsidRPr="00853F7A">
              <w:rPr>
                <w:rFonts w:ascii="Arial Narrow" w:hAnsi="Arial Narrow" w:cs="Times New Roman"/>
                <w:snapToGrid w:val="0"/>
                <w:sz w:val="20"/>
                <w:szCs w:val="20"/>
              </w:rPr>
              <w:t>BARI 2</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 v DUPI 300</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w:t>
            </w:r>
            <w:r w:rsidRPr="00853F7A">
              <w:rPr>
                <w:rFonts w:ascii="Arial Narrow" w:hAnsi="Arial Narrow"/>
                <w:snapToGrid w:val="0"/>
                <w:sz w:val="20"/>
                <w:szCs w:val="20"/>
                <w:vertAlign w:val="superscript"/>
              </w:rPr>
              <w:t>†</w:t>
            </w:r>
          </w:p>
        </w:tc>
        <w:tc>
          <w:tcPr>
            <w:tcW w:w="1281" w:type="pct"/>
            <w:tcBorders>
              <w:top w:val="nil"/>
              <w:bottom w:val="nil"/>
            </w:tcBorders>
            <w:vAlign w:val="center"/>
          </w:tcPr>
          <w:p w:rsidR="005F707A" w:rsidRPr="00917FFB" w:rsidRDefault="005F707A" w:rsidP="008072B0">
            <w:pPr>
              <w:keepNext/>
              <w:keepLines/>
              <w:widowControl w:val="0"/>
              <w:jc w:val="center"/>
              <w:rPr>
                <w:rFonts w:ascii="Arial Narrow" w:hAnsi="Arial Narrow" w:cs="Times New Roman"/>
                <w:snapToGrid w:val="0"/>
                <w:sz w:val="20"/>
                <w:szCs w:val="20"/>
              </w:rPr>
            </w:pPr>
            <w:r w:rsidRPr="00917FFB">
              <w:rPr>
                <w:rFonts w:ascii="Arial Narrow" w:hAnsi="Arial Narrow" w:cs="Times New Roman"/>
                <w:snapToGrid w:val="0"/>
                <w:sz w:val="20"/>
                <w:szCs w:val="20"/>
              </w:rPr>
              <w:t>0.87 (0.64,</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1.19)</w:t>
            </w:r>
          </w:p>
        </w:tc>
        <w:tc>
          <w:tcPr>
            <w:tcW w:w="1414" w:type="pct"/>
            <w:tcBorders>
              <w:top w:val="nil"/>
              <w:bottom w:val="nil"/>
            </w:tcBorders>
            <w:vAlign w:val="center"/>
          </w:tcPr>
          <w:p w:rsidR="005F707A" w:rsidRPr="000D2978" w:rsidRDefault="005F707A" w:rsidP="008072B0">
            <w:pPr>
              <w:keepNext/>
              <w:keepLines/>
              <w:widowControl w:val="0"/>
              <w:jc w:val="center"/>
              <w:rPr>
                <w:rFonts w:ascii="Arial Narrow" w:hAnsi="Arial Narrow" w:cs="Times New Roman"/>
                <w:b/>
                <w:snapToGrid w:val="0"/>
                <w:sz w:val="20"/>
                <w:szCs w:val="20"/>
              </w:rPr>
            </w:pPr>
            <w:r w:rsidRPr="000D2978">
              <w:rPr>
                <w:rFonts w:ascii="Arial Narrow" w:hAnsi="Arial Narrow" w:cs="Times New Roman"/>
                <w:b/>
                <w:snapToGrid w:val="0"/>
                <w:sz w:val="20"/>
                <w:szCs w:val="20"/>
              </w:rPr>
              <w:t>-0.25 (-0.33,</w:t>
            </w:r>
            <w:r w:rsidR="00F80535">
              <w:rPr>
                <w:rFonts w:ascii="Arial Narrow" w:hAnsi="Arial Narrow" w:cs="Times New Roman"/>
                <w:b/>
                <w:snapToGrid w:val="0"/>
                <w:sz w:val="20"/>
                <w:szCs w:val="20"/>
              </w:rPr>
              <w:t xml:space="preserve"> </w:t>
            </w:r>
            <w:r w:rsidRPr="000D2978">
              <w:rPr>
                <w:rFonts w:ascii="Arial Narrow" w:hAnsi="Arial Narrow" w:cs="Times New Roman"/>
                <w:b/>
                <w:snapToGrid w:val="0"/>
                <w:sz w:val="20"/>
                <w:szCs w:val="20"/>
              </w:rPr>
              <w:t>-0.17)</w:t>
            </w:r>
          </w:p>
        </w:tc>
      </w:tr>
      <w:tr w:rsidR="005F707A" w:rsidRPr="00917FFB" w:rsidTr="00AD37BE">
        <w:trPr>
          <w:trHeight w:val="80"/>
          <w:jc w:val="center"/>
        </w:trPr>
        <w:tc>
          <w:tcPr>
            <w:tcW w:w="2305" w:type="pct"/>
            <w:tcBorders>
              <w:top w:val="nil"/>
              <w:bottom w:val="single" w:sz="4" w:space="0" w:color="auto"/>
            </w:tcBorders>
            <w:vAlign w:val="center"/>
          </w:tcPr>
          <w:p w:rsidR="005F707A" w:rsidRPr="00853F7A" w:rsidRDefault="005F707A" w:rsidP="008072B0">
            <w:pPr>
              <w:keepNext/>
              <w:keepLines/>
              <w:widowControl w:val="0"/>
              <w:jc w:val="left"/>
              <w:rPr>
                <w:rFonts w:ascii="Arial Narrow" w:hAnsi="Arial Narrow" w:cs="Times New Roman"/>
                <w:sz w:val="20"/>
                <w:szCs w:val="20"/>
              </w:rPr>
            </w:pPr>
            <w:r w:rsidRPr="00853F7A">
              <w:rPr>
                <w:rFonts w:ascii="Arial Narrow" w:hAnsi="Arial Narrow" w:cs="Times New Roman"/>
                <w:snapToGrid w:val="0"/>
                <w:sz w:val="20"/>
                <w:szCs w:val="20"/>
              </w:rPr>
              <w:t>BARI 4</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 v DUPI 300</w:t>
            </w:r>
            <w:r w:rsidR="003506FA" w:rsidRPr="00853F7A">
              <w:rPr>
                <w:rFonts w:ascii="Arial Narrow" w:hAnsi="Arial Narrow" w:cs="Times New Roman"/>
                <w:snapToGrid w:val="0"/>
                <w:sz w:val="20"/>
                <w:szCs w:val="20"/>
              </w:rPr>
              <w:t xml:space="preserve"> </w:t>
            </w:r>
            <w:r w:rsidRPr="00853F7A">
              <w:rPr>
                <w:rFonts w:ascii="Arial Narrow" w:hAnsi="Arial Narrow" w:cs="Times New Roman"/>
                <w:snapToGrid w:val="0"/>
                <w:sz w:val="20"/>
                <w:szCs w:val="20"/>
              </w:rPr>
              <w:t>mg</w:t>
            </w:r>
            <w:r w:rsidRPr="00853F7A">
              <w:rPr>
                <w:rFonts w:ascii="Arial Narrow" w:hAnsi="Arial Narrow"/>
                <w:snapToGrid w:val="0"/>
                <w:sz w:val="20"/>
                <w:szCs w:val="20"/>
                <w:vertAlign w:val="superscript"/>
              </w:rPr>
              <w:t>†</w:t>
            </w:r>
          </w:p>
        </w:tc>
        <w:tc>
          <w:tcPr>
            <w:tcW w:w="1281" w:type="pct"/>
            <w:tcBorders>
              <w:top w:val="nil"/>
              <w:bottom w:val="single" w:sz="4" w:space="0" w:color="auto"/>
            </w:tcBorders>
            <w:vAlign w:val="center"/>
          </w:tcPr>
          <w:p w:rsidR="005F707A" w:rsidRPr="00917FFB" w:rsidRDefault="005F707A" w:rsidP="008072B0">
            <w:pPr>
              <w:keepNext/>
              <w:keepLines/>
              <w:widowControl w:val="0"/>
              <w:jc w:val="center"/>
              <w:rPr>
                <w:rFonts w:ascii="Arial Narrow" w:hAnsi="Arial Narrow" w:cs="Times New Roman"/>
                <w:snapToGrid w:val="0"/>
                <w:sz w:val="20"/>
                <w:szCs w:val="20"/>
              </w:rPr>
            </w:pPr>
            <w:r w:rsidRPr="00917FFB">
              <w:rPr>
                <w:rFonts w:ascii="Arial Narrow" w:hAnsi="Arial Narrow" w:cs="Times New Roman"/>
                <w:snapToGrid w:val="0"/>
                <w:sz w:val="20"/>
                <w:szCs w:val="20"/>
              </w:rPr>
              <w:t>1.17 (0.85,</w:t>
            </w:r>
            <w:r w:rsidR="00F80535">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1.60)</w:t>
            </w:r>
          </w:p>
        </w:tc>
        <w:tc>
          <w:tcPr>
            <w:tcW w:w="1414" w:type="pct"/>
            <w:tcBorders>
              <w:top w:val="nil"/>
              <w:bottom w:val="single" w:sz="4" w:space="0" w:color="auto"/>
            </w:tcBorders>
            <w:vAlign w:val="center"/>
          </w:tcPr>
          <w:p w:rsidR="005F707A" w:rsidRPr="000D2978" w:rsidRDefault="005F707A" w:rsidP="008072B0">
            <w:pPr>
              <w:keepNext/>
              <w:keepLines/>
              <w:widowControl w:val="0"/>
              <w:jc w:val="center"/>
              <w:rPr>
                <w:rFonts w:ascii="Arial Narrow" w:hAnsi="Arial Narrow" w:cs="Times New Roman"/>
                <w:b/>
                <w:snapToGrid w:val="0"/>
                <w:sz w:val="20"/>
                <w:szCs w:val="20"/>
              </w:rPr>
            </w:pPr>
            <w:r w:rsidRPr="000D2978">
              <w:rPr>
                <w:rFonts w:ascii="Arial Narrow" w:hAnsi="Arial Narrow" w:cs="Times New Roman"/>
                <w:b/>
                <w:snapToGrid w:val="0"/>
                <w:sz w:val="20"/>
                <w:szCs w:val="20"/>
              </w:rPr>
              <w:t>-0.15 (-0.26,</w:t>
            </w:r>
            <w:r w:rsidR="00F80535">
              <w:rPr>
                <w:rFonts w:ascii="Arial Narrow" w:hAnsi="Arial Narrow" w:cs="Times New Roman"/>
                <w:b/>
                <w:snapToGrid w:val="0"/>
                <w:sz w:val="20"/>
                <w:szCs w:val="20"/>
              </w:rPr>
              <w:t xml:space="preserve"> </w:t>
            </w:r>
            <w:r w:rsidRPr="000D2978">
              <w:rPr>
                <w:rFonts w:ascii="Arial Narrow" w:hAnsi="Arial Narrow" w:cs="Times New Roman"/>
                <w:b/>
                <w:snapToGrid w:val="0"/>
                <w:sz w:val="20"/>
                <w:szCs w:val="20"/>
              </w:rPr>
              <w:t>-0.04)</w:t>
            </w:r>
          </w:p>
        </w:tc>
      </w:tr>
      <w:tr w:rsidR="005F707A" w:rsidRPr="00917FFB" w:rsidTr="00AD37BE">
        <w:trPr>
          <w:trHeight w:val="253"/>
          <w:jc w:val="center"/>
        </w:trPr>
        <w:tc>
          <w:tcPr>
            <w:tcW w:w="2305" w:type="pct"/>
            <w:tcBorders>
              <w:bottom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r w:rsidRPr="00917FFB">
              <w:rPr>
                <w:rFonts w:ascii="Arial Narrow" w:hAnsi="Arial Narrow" w:cs="Times New Roman"/>
                <w:b/>
                <w:bCs/>
                <w:iCs/>
                <w:snapToGrid w:val="0"/>
                <w:color w:val="00B050"/>
                <w:sz w:val="20"/>
                <w:szCs w:val="20"/>
              </w:rPr>
              <w:t>Combination therapy</w:t>
            </w:r>
          </w:p>
        </w:tc>
        <w:tc>
          <w:tcPr>
            <w:tcW w:w="1281" w:type="pct"/>
            <w:tcBorders>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p>
        </w:tc>
        <w:tc>
          <w:tcPr>
            <w:tcW w:w="1414" w:type="pct"/>
            <w:tcBorders>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p>
        </w:tc>
      </w:tr>
      <w:tr w:rsidR="005F707A" w:rsidRPr="00917FFB" w:rsidTr="00AD37BE">
        <w:trPr>
          <w:trHeight w:val="80"/>
          <w:jc w:val="center"/>
        </w:trPr>
        <w:tc>
          <w:tcPr>
            <w:tcW w:w="2305" w:type="pct"/>
            <w:tcBorders>
              <w:top w:val="nil"/>
              <w:bottom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r w:rsidRPr="00917FFB">
              <w:rPr>
                <w:rFonts w:ascii="Arial Narrow" w:hAnsi="Arial Narrow" w:cs="Times New Roman"/>
                <w:snapToGrid w:val="0"/>
                <w:sz w:val="20"/>
                <w:szCs w:val="20"/>
              </w:rPr>
              <w:t>BARI 2</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 +TCS v DUPI 300</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w:t>
            </w:r>
            <w:r w:rsidRPr="00917FFB">
              <w:rPr>
                <w:rFonts w:ascii="Arial Narrow" w:hAnsi="Arial Narrow"/>
                <w:snapToGrid w:val="0"/>
                <w:sz w:val="20"/>
                <w:szCs w:val="20"/>
                <w:vertAlign w:val="superscript"/>
              </w:rPr>
              <w:t>†</w:t>
            </w:r>
            <w:r w:rsidRPr="00917FFB">
              <w:rPr>
                <w:rFonts w:ascii="Arial Narrow" w:hAnsi="Arial Narrow" w:cs="Times New Roman"/>
                <w:snapToGrid w:val="0"/>
                <w:sz w:val="20"/>
                <w:szCs w:val="20"/>
              </w:rPr>
              <w:t xml:space="preserve"> +TCS</w:t>
            </w:r>
          </w:p>
        </w:tc>
        <w:tc>
          <w:tcPr>
            <w:tcW w:w="1281" w:type="pct"/>
            <w:tcBorders>
              <w:top w:val="nil"/>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b/>
                <w:snapToGrid w:val="0"/>
                <w:sz w:val="20"/>
                <w:szCs w:val="20"/>
              </w:rPr>
              <w:t>0.57 (0.46,</w:t>
            </w:r>
            <w:r w:rsidR="00F80535">
              <w:rPr>
                <w:rFonts w:ascii="Arial Narrow" w:hAnsi="Arial Narrow" w:cs="Times New Roman"/>
                <w:b/>
                <w:snapToGrid w:val="0"/>
                <w:sz w:val="20"/>
                <w:szCs w:val="20"/>
              </w:rPr>
              <w:t xml:space="preserve"> </w:t>
            </w:r>
            <w:r w:rsidRPr="00917FFB">
              <w:rPr>
                <w:rFonts w:ascii="Arial Narrow" w:hAnsi="Arial Narrow" w:cs="Times New Roman"/>
                <w:b/>
                <w:snapToGrid w:val="0"/>
                <w:sz w:val="20"/>
                <w:szCs w:val="20"/>
              </w:rPr>
              <w:t>0.70)</w:t>
            </w:r>
          </w:p>
        </w:tc>
        <w:tc>
          <w:tcPr>
            <w:tcW w:w="1414" w:type="pct"/>
            <w:tcBorders>
              <w:top w:val="nil"/>
              <w:bottom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b/>
                <w:snapToGrid w:val="0"/>
                <w:sz w:val="20"/>
                <w:szCs w:val="20"/>
              </w:rPr>
              <w:t>-0.36 (-0.48,</w:t>
            </w:r>
            <w:r w:rsidR="00F80535">
              <w:rPr>
                <w:rFonts w:ascii="Arial Narrow" w:hAnsi="Arial Narrow" w:cs="Times New Roman"/>
                <w:b/>
                <w:snapToGrid w:val="0"/>
                <w:sz w:val="20"/>
                <w:szCs w:val="20"/>
              </w:rPr>
              <w:t xml:space="preserve"> </w:t>
            </w:r>
            <w:r w:rsidRPr="00917FFB">
              <w:rPr>
                <w:rFonts w:ascii="Arial Narrow" w:hAnsi="Arial Narrow" w:cs="Times New Roman"/>
                <w:b/>
                <w:snapToGrid w:val="0"/>
                <w:sz w:val="20"/>
                <w:szCs w:val="20"/>
              </w:rPr>
              <w:t>-0.24)</w:t>
            </w:r>
          </w:p>
        </w:tc>
      </w:tr>
      <w:tr w:rsidR="005F707A" w:rsidRPr="00917FFB" w:rsidTr="00AD37BE">
        <w:trPr>
          <w:trHeight w:val="80"/>
          <w:jc w:val="center"/>
        </w:trPr>
        <w:tc>
          <w:tcPr>
            <w:tcW w:w="2305" w:type="pct"/>
            <w:tcBorders>
              <w:top w:val="nil"/>
            </w:tcBorders>
            <w:vAlign w:val="center"/>
          </w:tcPr>
          <w:p w:rsidR="005F707A" w:rsidRPr="00917FFB" w:rsidRDefault="005F707A" w:rsidP="008072B0">
            <w:pPr>
              <w:keepNext/>
              <w:keepLines/>
              <w:widowControl w:val="0"/>
              <w:jc w:val="left"/>
              <w:rPr>
                <w:rFonts w:ascii="Arial Narrow" w:hAnsi="Arial Narrow" w:cs="Times New Roman"/>
                <w:sz w:val="20"/>
                <w:szCs w:val="20"/>
              </w:rPr>
            </w:pPr>
            <w:r w:rsidRPr="00917FFB">
              <w:rPr>
                <w:rFonts w:ascii="Arial Narrow" w:hAnsi="Arial Narrow" w:cs="Times New Roman"/>
                <w:snapToGrid w:val="0"/>
                <w:sz w:val="20"/>
                <w:szCs w:val="20"/>
              </w:rPr>
              <w:t>BARI 4</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 +TCS v DUPI 300</w:t>
            </w:r>
            <w:r w:rsidR="003506FA" w:rsidRPr="00917FFB">
              <w:rPr>
                <w:rFonts w:ascii="Arial Narrow" w:hAnsi="Arial Narrow" w:cs="Times New Roman"/>
                <w:snapToGrid w:val="0"/>
                <w:sz w:val="20"/>
                <w:szCs w:val="20"/>
              </w:rPr>
              <w:t xml:space="preserve"> </w:t>
            </w:r>
            <w:r w:rsidRPr="00917FFB">
              <w:rPr>
                <w:rFonts w:ascii="Arial Narrow" w:hAnsi="Arial Narrow" w:cs="Times New Roman"/>
                <w:snapToGrid w:val="0"/>
                <w:sz w:val="20"/>
                <w:szCs w:val="20"/>
              </w:rPr>
              <w:t>mg</w:t>
            </w:r>
            <w:r w:rsidRPr="00917FFB">
              <w:rPr>
                <w:rFonts w:ascii="Arial Narrow" w:hAnsi="Arial Narrow"/>
                <w:snapToGrid w:val="0"/>
                <w:sz w:val="20"/>
                <w:szCs w:val="20"/>
                <w:vertAlign w:val="superscript"/>
              </w:rPr>
              <w:t>†</w:t>
            </w:r>
            <w:r w:rsidRPr="00917FFB">
              <w:rPr>
                <w:rFonts w:ascii="Arial Narrow" w:hAnsi="Arial Narrow" w:cs="Times New Roman"/>
                <w:snapToGrid w:val="0"/>
                <w:sz w:val="20"/>
                <w:szCs w:val="20"/>
              </w:rPr>
              <w:t xml:space="preserve"> +TCS</w:t>
            </w:r>
          </w:p>
        </w:tc>
        <w:tc>
          <w:tcPr>
            <w:tcW w:w="1281" w:type="pct"/>
            <w:tcBorders>
              <w:top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b/>
                <w:snapToGrid w:val="0"/>
                <w:sz w:val="20"/>
                <w:szCs w:val="20"/>
              </w:rPr>
              <w:t>0.66 (0.54,</w:t>
            </w:r>
            <w:r w:rsidR="00F80535">
              <w:rPr>
                <w:rFonts w:ascii="Arial Narrow" w:hAnsi="Arial Narrow" w:cs="Times New Roman"/>
                <w:b/>
                <w:snapToGrid w:val="0"/>
                <w:sz w:val="20"/>
                <w:szCs w:val="20"/>
              </w:rPr>
              <w:t xml:space="preserve"> </w:t>
            </w:r>
            <w:r w:rsidRPr="00917FFB">
              <w:rPr>
                <w:rFonts w:ascii="Arial Narrow" w:hAnsi="Arial Narrow" w:cs="Times New Roman"/>
                <w:b/>
                <w:snapToGrid w:val="0"/>
                <w:sz w:val="20"/>
                <w:szCs w:val="20"/>
              </w:rPr>
              <w:t>0.82)</w:t>
            </w:r>
          </w:p>
        </w:tc>
        <w:tc>
          <w:tcPr>
            <w:tcW w:w="1414" w:type="pct"/>
            <w:tcBorders>
              <w:top w:val="nil"/>
            </w:tcBorders>
            <w:vAlign w:val="center"/>
          </w:tcPr>
          <w:p w:rsidR="005F707A" w:rsidRPr="00917FFB" w:rsidRDefault="005F707A" w:rsidP="008072B0">
            <w:pPr>
              <w:keepNext/>
              <w:keepLines/>
              <w:widowControl w:val="0"/>
              <w:jc w:val="center"/>
              <w:rPr>
                <w:rFonts w:ascii="Arial Narrow" w:hAnsi="Arial Narrow" w:cs="Times New Roman"/>
                <w:b/>
                <w:snapToGrid w:val="0"/>
                <w:sz w:val="20"/>
                <w:szCs w:val="20"/>
              </w:rPr>
            </w:pPr>
            <w:r w:rsidRPr="00917FFB">
              <w:rPr>
                <w:rFonts w:ascii="Arial Narrow" w:hAnsi="Arial Narrow" w:cs="Times New Roman"/>
                <w:b/>
                <w:snapToGrid w:val="0"/>
                <w:sz w:val="20"/>
                <w:szCs w:val="20"/>
              </w:rPr>
              <w:t>-0.27 (-0.40,</w:t>
            </w:r>
            <w:r w:rsidR="00F80535">
              <w:rPr>
                <w:rFonts w:ascii="Arial Narrow" w:hAnsi="Arial Narrow" w:cs="Times New Roman"/>
                <w:b/>
                <w:snapToGrid w:val="0"/>
                <w:sz w:val="20"/>
                <w:szCs w:val="20"/>
              </w:rPr>
              <w:t xml:space="preserve"> </w:t>
            </w:r>
            <w:r w:rsidRPr="00917FFB">
              <w:rPr>
                <w:rFonts w:ascii="Arial Narrow" w:hAnsi="Arial Narrow" w:cs="Times New Roman"/>
                <w:b/>
                <w:snapToGrid w:val="0"/>
                <w:sz w:val="20"/>
                <w:szCs w:val="20"/>
              </w:rPr>
              <w:t>-0.14)</w:t>
            </w:r>
          </w:p>
        </w:tc>
      </w:tr>
    </w:tbl>
    <w:p w:rsidR="003C5273" w:rsidRPr="00917FFB" w:rsidRDefault="003C5273" w:rsidP="008072B0">
      <w:pPr>
        <w:keepNext/>
        <w:keepLines/>
        <w:widowControl w:val="0"/>
        <w:spacing w:line="259" w:lineRule="auto"/>
        <w:jc w:val="left"/>
        <w:rPr>
          <w:rFonts w:ascii="Arial Narrow" w:eastAsia="Calibri" w:hAnsi="Arial Narrow" w:cs="Times New Roman"/>
          <w:snapToGrid w:val="0"/>
          <w:sz w:val="18"/>
          <w:szCs w:val="18"/>
          <w:lang w:eastAsia="en-US"/>
        </w:rPr>
      </w:pPr>
      <w:r w:rsidRPr="00917FFB">
        <w:rPr>
          <w:rFonts w:ascii="Arial Narrow" w:eastAsia="Calibri" w:hAnsi="Arial Narrow" w:cs="Times New Roman"/>
          <w:sz w:val="18"/>
          <w:szCs w:val="18"/>
          <w:lang w:eastAsia="en-US"/>
        </w:rPr>
        <w:t>Source:</w:t>
      </w:r>
      <w:r w:rsidR="00AD37BE" w:rsidRPr="00917FFB">
        <w:rPr>
          <w:rFonts w:ascii="Arial Narrow" w:eastAsia="Calibri" w:hAnsi="Arial Narrow" w:cs="Times New Roman"/>
          <w:sz w:val="18"/>
          <w:szCs w:val="18"/>
          <w:lang w:eastAsia="en-US"/>
        </w:rPr>
        <w:t xml:space="preserve"> </w:t>
      </w:r>
      <w:r w:rsidRPr="00917FFB">
        <w:rPr>
          <w:rFonts w:ascii="Arial Narrow" w:eastAsia="Calibri" w:hAnsi="Arial Narrow" w:cs="Times New Roman"/>
          <w:snapToGrid w:val="0"/>
          <w:sz w:val="18"/>
          <w:szCs w:val="18"/>
          <w:lang w:eastAsia="en-US"/>
        </w:rPr>
        <w:t>Table 2.6.4 (pp251-252), Ta</w:t>
      </w:r>
      <w:r w:rsidRPr="00917FFB">
        <w:rPr>
          <w:rFonts w:ascii="Arial Narrow" w:eastAsia="Calibri" w:hAnsi="Arial Narrow" w:cs="Times New Roman"/>
          <w:sz w:val="18"/>
          <w:szCs w:val="18"/>
          <w:lang w:eastAsia="en-US"/>
        </w:rPr>
        <w:t xml:space="preserve">ble 2.6-8 (pp266-267), Table 2.6.9 (pp270-272), </w:t>
      </w:r>
      <w:r w:rsidRPr="00917FFB">
        <w:rPr>
          <w:rFonts w:ascii="Arial Narrow" w:eastAsia="Calibri" w:hAnsi="Arial Narrow" w:cs="Times New Roman"/>
          <w:snapToGrid w:val="0"/>
          <w:sz w:val="18"/>
          <w:szCs w:val="18"/>
          <w:lang w:eastAsia="en-US"/>
        </w:rPr>
        <w:t>Table 2.6-7 (pp262-263) &amp; Table 2.6-3 (pp246-248) of the submission.</w:t>
      </w:r>
    </w:p>
    <w:p w:rsidR="003C5273" w:rsidRPr="00917FFB" w:rsidRDefault="003C5273" w:rsidP="008072B0">
      <w:pPr>
        <w:keepNext/>
        <w:keepLines/>
        <w:widowControl w:val="0"/>
        <w:spacing w:line="259" w:lineRule="auto"/>
        <w:jc w:val="left"/>
        <w:rPr>
          <w:rFonts w:ascii="Arial Narrow" w:eastAsia="Calibri" w:hAnsi="Arial Narrow"/>
          <w:sz w:val="18"/>
          <w:szCs w:val="18"/>
        </w:rPr>
      </w:pPr>
      <w:r w:rsidRPr="00917FFB">
        <w:rPr>
          <w:rFonts w:ascii="Arial Narrow" w:hAnsi="Arial Narrow"/>
          <w:snapToGrid w:val="0"/>
          <w:sz w:val="18"/>
          <w:szCs w:val="18"/>
          <w:lang w:eastAsia="en-US"/>
        </w:rPr>
        <w:t xml:space="preserve">Abbreviations: BARI=baricitinib; DUPI=dupilumab; PBO=placebo; TCS=topical corticosteroids; RR=relative risk; RD=risk difference; </w:t>
      </w:r>
      <w:r w:rsidRPr="00917FFB">
        <w:rPr>
          <w:rFonts w:ascii="Arial Narrow" w:eastAsia="Calibri" w:hAnsi="Arial Narrow"/>
          <w:sz w:val="18"/>
          <w:szCs w:val="18"/>
        </w:rPr>
        <w:t xml:space="preserve">CI=confidence interval; EASI=Eczema Area and Severity Index; IGA=Investigator’s </w:t>
      </w:r>
      <w:r w:rsidR="007E2360">
        <w:rPr>
          <w:rFonts w:ascii="Arial Narrow" w:eastAsia="Calibri" w:hAnsi="Arial Narrow"/>
          <w:sz w:val="18"/>
          <w:szCs w:val="18"/>
        </w:rPr>
        <w:t>G</w:t>
      </w:r>
      <w:r w:rsidRPr="00917FFB">
        <w:rPr>
          <w:rFonts w:ascii="Arial Narrow" w:eastAsia="Calibri" w:hAnsi="Arial Narrow"/>
          <w:sz w:val="18"/>
          <w:szCs w:val="18"/>
        </w:rPr>
        <w:t>lobal Assessment; DLQI=Dermatology Life Quality Index.</w:t>
      </w:r>
    </w:p>
    <w:p w:rsidR="003C5273" w:rsidRPr="00917FFB" w:rsidRDefault="003C5273" w:rsidP="008072B0">
      <w:pPr>
        <w:keepNext/>
        <w:keepLines/>
        <w:widowControl w:val="0"/>
        <w:spacing w:line="259" w:lineRule="auto"/>
        <w:jc w:val="left"/>
        <w:rPr>
          <w:rFonts w:ascii="Arial Narrow" w:hAnsi="Arial Narrow"/>
          <w:snapToGrid w:val="0"/>
          <w:sz w:val="18"/>
          <w:szCs w:val="18"/>
          <w:lang w:eastAsia="en-US"/>
        </w:rPr>
      </w:pPr>
      <w:r w:rsidRPr="00917FFB">
        <w:rPr>
          <w:rFonts w:ascii="Arial Narrow" w:hAnsi="Arial Narrow"/>
          <w:snapToGrid w:val="0"/>
          <w:sz w:val="18"/>
          <w:szCs w:val="18"/>
          <w:lang w:eastAsia="en-US"/>
        </w:rPr>
        <w:t xml:space="preserve">Definitions: EASI50/75 = 50/75% improvement/reduction in the EASI score from baseline; IGA score of 0 or 1 and ≥2-point improvement=achievement of a score of 0 or 1 from a baseline of 3 or 4 on the 5-point IGA scale; DLQI≥4=at least </w:t>
      </w:r>
      <w:r w:rsidR="00563C8D" w:rsidRPr="00917FFB">
        <w:rPr>
          <w:rFonts w:ascii="Arial Narrow" w:hAnsi="Arial Narrow"/>
          <w:snapToGrid w:val="0"/>
          <w:sz w:val="18"/>
          <w:szCs w:val="18"/>
          <w:lang w:eastAsia="en-US"/>
        </w:rPr>
        <w:t>4-point</w:t>
      </w:r>
      <w:r w:rsidRPr="00917FFB">
        <w:rPr>
          <w:rFonts w:ascii="Arial Narrow" w:hAnsi="Arial Narrow"/>
          <w:snapToGrid w:val="0"/>
          <w:sz w:val="18"/>
          <w:szCs w:val="18"/>
          <w:lang w:eastAsia="en-US"/>
        </w:rPr>
        <w:t xml:space="preserve"> improvement in DLQI from baseline.</w:t>
      </w:r>
    </w:p>
    <w:p w:rsidR="003C5273" w:rsidRPr="00917FFB" w:rsidRDefault="003C5273" w:rsidP="008072B0">
      <w:pPr>
        <w:keepNext/>
        <w:keepLines/>
        <w:widowControl w:val="0"/>
        <w:spacing w:line="259" w:lineRule="auto"/>
        <w:jc w:val="left"/>
        <w:rPr>
          <w:rFonts w:ascii="Arial Narrow" w:eastAsia="Calibri" w:hAnsi="Arial Narrow"/>
          <w:sz w:val="18"/>
          <w:szCs w:val="18"/>
        </w:rPr>
      </w:pPr>
      <w:r w:rsidRPr="00917FFB">
        <w:rPr>
          <w:rFonts w:ascii="Arial Narrow" w:hAnsi="Arial Narrow"/>
          <w:b/>
          <w:snapToGrid w:val="0"/>
          <w:sz w:val="18"/>
          <w:szCs w:val="18"/>
          <w:lang w:eastAsia="en-US"/>
        </w:rPr>
        <w:t>B</w:t>
      </w:r>
      <w:r w:rsidRPr="00917FFB">
        <w:rPr>
          <w:rFonts w:ascii="Arial Narrow" w:eastAsia="Calibri" w:hAnsi="Arial Narrow"/>
          <w:b/>
          <w:sz w:val="18"/>
          <w:szCs w:val="18"/>
        </w:rPr>
        <w:t>old</w:t>
      </w:r>
      <w:r w:rsidRPr="00917FFB">
        <w:rPr>
          <w:rFonts w:ascii="Arial Narrow" w:eastAsia="Calibri" w:hAnsi="Arial Narrow"/>
          <w:sz w:val="18"/>
          <w:szCs w:val="18"/>
        </w:rPr>
        <w:t xml:space="preserve">=statistically significant results. </w:t>
      </w:r>
    </w:p>
    <w:p w:rsidR="003C5273" w:rsidRPr="00917FFB" w:rsidRDefault="003C5273" w:rsidP="008072B0">
      <w:pPr>
        <w:keepNext/>
        <w:keepLines/>
        <w:widowControl w:val="0"/>
        <w:spacing w:after="120" w:line="259" w:lineRule="auto"/>
        <w:jc w:val="left"/>
        <w:rPr>
          <w:rFonts w:ascii="Arial Narrow" w:hAnsi="Arial Narrow"/>
          <w:snapToGrid w:val="0"/>
          <w:sz w:val="18"/>
          <w:szCs w:val="18"/>
        </w:rPr>
      </w:pPr>
      <w:r w:rsidRPr="00917FFB">
        <w:rPr>
          <w:rFonts w:ascii="Arial Narrow" w:hAnsi="Arial Narrow"/>
          <w:snapToGrid w:val="0"/>
          <w:sz w:val="18"/>
          <w:szCs w:val="18"/>
          <w:vertAlign w:val="superscript"/>
        </w:rPr>
        <w:t>†</w:t>
      </w:r>
      <w:r w:rsidRPr="00917FFB">
        <w:rPr>
          <w:rFonts w:ascii="Arial Narrow" w:hAnsi="Arial Narrow"/>
          <w:snapToGrid w:val="0"/>
          <w:sz w:val="18"/>
          <w:szCs w:val="18"/>
        </w:rPr>
        <w:t xml:space="preserve"> DUPI dosing comprised 600</w:t>
      </w:r>
      <w:r w:rsidR="001A7072" w:rsidRPr="00917FFB">
        <w:rPr>
          <w:rFonts w:ascii="Arial Narrow" w:hAnsi="Arial Narrow"/>
          <w:snapToGrid w:val="0"/>
          <w:sz w:val="18"/>
          <w:szCs w:val="18"/>
        </w:rPr>
        <w:t xml:space="preserve"> </w:t>
      </w:r>
      <w:r w:rsidRPr="00917FFB">
        <w:rPr>
          <w:rFonts w:ascii="Arial Narrow" w:hAnsi="Arial Narrow"/>
          <w:snapToGrid w:val="0"/>
          <w:sz w:val="18"/>
          <w:szCs w:val="18"/>
        </w:rPr>
        <w:t>mg loading, then 300</w:t>
      </w:r>
      <w:r w:rsidR="001A7072" w:rsidRPr="00917FFB">
        <w:rPr>
          <w:rFonts w:ascii="Arial Narrow" w:hAnsi="Arial Narrow"/>
          <w:snapToGrid w:val="0"/>
          <w:sz w:val="18"/>
          <w:szCs w:val="18"/>
        </w:rPr>
        <w:t xml:space="preserve"> </w:t>
      </w:r>
      <w:r w:rsidRPr="00917FFB">
        <w:rPr>
          <w:rFonts w:ascii="Arial Narrow" w:hAnsi="Arial Narrow"/>
          <w:snapToGrid w:val="0"/>
          <w:sz w:val="18"/>
          <w:szCs w:val="18"/>
        </w:rPr>
        <w:t>mg every 2 weeks thereafter.</w:t>
      </w:r>
    </w:p>
    <w:p w:rsidR="00265DC1" w:rsidRPr="00917FFB" w:rsidRDefault="0055407F" w:rsidP="0055407F">
      <w:pPr>
        <w:pStyle w:val="3-BodyText"/>
      </w:pPr>
      <w:r w:rsidRPr="00917FFB">
        <w:t>R</w:t>
      </w:r>
      <w:r w:rsidR="00212B68" w:rsidRPr="00917FFB">
        <w:t xml:space="preserve">esults in the ITT population, like the PBS subgroup, showed more patients achieved an adequate response (across all outcomes) with an active treatment versus PBO, </w:t>
      </w:r>
      <w:r w:rsidRPr="00917FFB">
        <w:t xml:space="preserve">and that </w:t>
      </w:r>
      <w:r w:rsidR="00212B68" w:rsidRPr="00917FFB">
        <w:t>the magnitude of the treatment effect was significantly larger for DUPI versus BARI 2</w:t>
      </w:r>
      <w:r w:rsidR="002C6DE0" w:rsidRPr="00917FFB">
        <w:t xml:space="preserve"> </w:t>
      </w:r>
      <w:r w:rsidR="00212B68" w:rsidRPr="00917FFB">
        <w:t>mg or 4</w:t>
      </w:r>
      <w:r w:rsidR="002C6DE0" w:rsidRPr="00917FFB">
        <w:t xml:space="preserve"> </w:t>
      </w:r>
      <w:r w:rsidR="00212B68" w:rsidRPr="00917FFB">
        <w:t>mg. Depending on the response outcome assumed, the results suggested for every 100 patients treated compared to DUPI</w:t>
      </w:r>
      <w:r w:rsidR="00F80A72" w:rsidRPr="00917FFB">
        <w:t>:</w:t>
      </w:r>
    </w:p>
    <w:p w:rsidR="00212B68" w:rsidRPr="00917FFB" w:rsidRDefault="00212B68" w:rsidP="00F80535">
      <w:pPr>
        <w:pStyle w:val="3-BodyText"/>
        <w:numPr>
          <w:ilvl w:val="0"/>
          <w:numId w:val="31"/>
        </w:numPr>
        <w:ind w:left="1077" w:hanging="357"/>
      </w:pPr>
      <w:r w:rsidRPr="00917FFB">
        <w:t>17 to 27 fewer patients would respond with BARI 2</w:t>
      </w:r>
      <w:r w:rsidR="002C6DE0" w:rsidRPr="00917FFB">
        <w:t xml:space="preserve"> </w:t>
      </w:r>
      <w:r w:rsidRPr="00917FFB">
        <w:t>mg, as monotherapy</w:t>
      </w:r>
      <w:r w:rsidR="00265DC1" w:rsidRPr="00917FFB">
        <w:t>.</w:t>
      </w:r>
    </w:p>
    <w:p w:rsidR="00212B68" w:rsidRPr="00917FFB" w:rsidRDefault="00212B68" w:rsidP="00F80535">
      <w:pPr>
        <w:pStyle w:val="3-BodyText"/>
        <w:numPr>
          <w:ilvl w:val="0"/>
          <w:numId w:val="31"/>
        </w:numPr>
        <w:ind w:left="1077" w:hanging="357"/>
      </w:pPr>
      <w:r w:rsidRPr="00917FFB">
        <w:t>15 to</w:t>
      </w:r>
      <w:r w:rsidR="00F80A72" w:rsidRPr="00917FFB">
        <w:t xml:space="preserve"> </w:t>
      </w:r>
      <w:r w:rsidRPr="00917FFB">
        <w:t>23 fewer patients would respond with BARI 4</w:t>
      </w:r>
      <w:r w:rsidR="002C6DE0" w:rsidRPr="00917FFB">
        <w:t xml:space="preserve"> </w:t>
      </w:r>
      <w:r w:rsidRPr="00917FFB">
        <w:t>mg, as monotherapy</w:t>
      </w:r>
      <w:r w:rsidR="00265DC1" w:rsidRPr="00917FFB">
        <w:t>.</w:t>
      </w:r>
    </w:p>
    <w:p w:rsidR="00212B68" w:rsidRPr="00917FFB" w:rsidRDefault="00212B68" w:rsidP="00F80535">
      <w:pPr>
        <w:pStyle w:val="3-BodyText"/>
        <w:numPr>
          <w:ilvl w:val="0"/>
          <w:numId w:val="31"/>
        </w:numPr>
        <w:ind w:left="1077" w:hanging="357"/>
      </w:pPr>
      <w:r w:rsidRPr="00917FFB">
        <w:t>18 to</w:t>
      </w:r>
      <w:r w:rsidR="00F80A72" w:rsidRPr="00917FFB">
        <w:t xml:space="preserve"> </w:t>
      </w:r>
      <w:r w:rsidRPr="00917FFB">
        <w:t>36 fewer patients would respond with BARI 2</w:t>
      </w:r>
      <w:r w:rsidR="002C6DE0" w:rsidRPr="00917FFB">
        <w:t xml:space="preserve"> </w:t>
      </w:r>
      <w:r w:rsidRPr="00917FFB">
        <w:t>mg, in combination with TCS</w:t>
      </w:r>
    </w:p>
    <w:p w:rsidR="00212B68" w:rsidRPr="00917FFB" w:rsidRDefault="00212B68" w:rsidP="00F80535">
      <w:pPr>
        <w:pStyle w:val="3-BodyText"/>
        <w:numPr>
          <w:ilvl w:val="0"/>
          <w:numId w:val="31"/>
        </w:numPr>
        <w:ind w:left="1077" w:hanging="357"/>
      </w:pPr>
      <w:r w:rsidRPr="00917FFB">
        <w:t>11</w:t>
      </w:r>
      <w:r w:rsidR="00F80A72" w:rsidRPr="00917FFB">
        <w:t xml:space="preserve"> </w:t>
      </w:r>
      <w:r w:rsidRPr="00917FFB">
        <w:t>to</w:t>
      </w:r>
      <w:r w:rsidR="00F80A72" w:rsidRPr="00917FFB">
        <w:t xml:space="preserve"> </w:t>
      </w:r>
      <w:r w:rsidRPr="00917FFB">
        <w:t>27 fewer patients would respond with BARI 4</w:t>
      </w:r>
      <w:r w:rsidR="002C6DE0" w:rsidRPr="00917FFB">
        <w:t xml:space="preserve"> </w:t>
      </w:r>
      <w:r w:rsidRPr="00917FFB">
        <w:t>mg, in combination with TCS</w:t>
      </w:r>
    </w:p>
    <w:p w:rsidR="0002415E" w:rsidRPr="00917FFB" w:rsidRDefault="00927978" w:rsidP="0002415E">
      <w:pPr>
        <w:pStyle w:val="3-BodyText"/>
        <w:rPr>
          <w:iCs/>
        </w:rPr>
      </w:pPr>
      <w:r w:rsidRPr="00917FFB">
        <w:rPr>
          <w:rFonts w:cstheme="minorHAnsi"/>
          <w:iCs/>
        </w:rPr>
        <w:t xml:space="preserve">The ESC considered these results indicate that different conclusions </w:t>
      </w:r>
      <w:r w:rsidR="001A50B9" w:rsidRPr="00917FFB">
        <w:rPr>
          <w:rFonts w:cstheme="minorHAnsi"/>
          <w:iCs/>
        </w:rPr>
        <w:t xml:space="preserve">regarding the magnitude of effect </w:t>
      </w:r>
      <w:r w:rsidRPr="00917FFB">
        <w:rPr>
          <w:rFonts w:cstheme="minorHAnsi"/>
          <w:iCs/>
        </w:rPr>
        <w:t xml:space="preserve">can potentially be drawn </w:t>
      </w:r>
      <w:r w:rsidR="001F478A" w:rsidRPr="00917FFB">
        <w:rPr>
          <w:rFonts w:cstheme="minorHAnsi"/>
          <w:iCs/>
        </w:rPr>
        <w:t xml:space="preserve">when assessing the </w:t>
      </w:r>
      <w:r w:rsidR="00600767" w:rsidRPr="00917FFB">
        <w:rPr>
          <w:iCs/>
        </w:rPr>
        <w:t>monotherapy or combination therapy trials</w:t>
      </w:r>
      <w:r w:rsidR="006D6B6F" w:rsidRPr="00917FFB">
        <w:rPr>
          <w:iCs/>
        </w:rPr>
        <w:t xml:space="preserve">, </w:t>
      </w:r>
      <w:r w:rsidR="001A50B9" w:rsidRPr="00917FFB">
        <w:rPr>
          <w:iCs/>
        </w:rPr>
        <w:t>depending on the outcome measure</w:t>
      </w:r>
      <w:r w:rsidR="00600767" w:rsidRPr="00917FFB">
        <w:rPr>
          <w:iCs/>
        </w:rPr>
        <w:t xml:space="preserve">. </w:t>
      </w:r>
      <w:r w:rsidR="00A31DD1" w:rsidRPr="00917FFB">
        <w:t>The pre-PBAC response claimed that when considering the comparison of BARI 4 mg + TCS versus DUPI + TCS</w:t>
      </w:r>
      <w:r w:rsidR="00301E3A" w:rsidRPr="00917FFB">
        <w:t xml:space="preserve"> (which the sponsor considered to be the most relevant)</w:t>
      </w:r>
      <w:r w:rsidR="00741D3D" w:rsidRPr="00917FFB">
        <w:t xml:space="preserve"> </w:t>
      </w:r>
      <w:r w:rsidR="00A31DD1" w:rsidRPr="00917FFB">
        <w:t>the variability in the reduction in response is markedly reduced</w:t>
      </w:r>
      <w:r w:rsidR="0002415E" w:rsidRPr="00917FFB">
        <w:t>; except for the outcome of DLQI ≥ 4-point improvement, the RD estimates are reasonably consistent across the outcomes.</w:t>
      </w:r>
    </w:p>
    <w:p w:rsidR="003033C1" w:rsidRPr="00917FFB" w:rsidRDefault="0055407F" w:rsidP="003033C1">
      <w:pPr>
        <w:keepNext/>
        <w:spacing w:before="120" w:after="120"/>
        <w:rPr>
          <w:u w:val="single"/>
        </w:rPr>
      </w:pPr>
      <w:r w:rsidRPr="00917FFB">
        <w:rPr>
          <w:u w:val="single"/>
        </w:rPr>
        <w:t>Maintenance of response</w:t>
      </w:r>
    </w:p>
    <w:p w:rsidR="0055407F" w:rsidRPr="00917FFB" w:rsidRDefault="006511EA" w:rsidP="006511EA">
      <w:pPr>
        <w:pStyle w:val="3-BodyText"/>
        <w:rPr>
          <w:i/>
        </w:rPr>
      </w:pPr>
      <w:r w:rsidRPr="00917FFB">
        <w:rPr>
          <w:iCs/>
        </w:rPr>
        <w:t>Table 7 presents available outcomes reported in BREEZE-AD3, for patients who were responders or partial responders in the originator trials and continued on the same dosing regimen in the extension trial.</w:t>
      </w:r>
    </w:p>
    <w:p w:rsidR="006511EA" w:rsidRPr="00917FFB" w:rsidRDefault="006511EA" w:rsidP="006511EA">
      <w:pPr>
        <w:rPr>
          <w:rFonts w:ascii="Arial Narrow" w:hAnsi="Arial Narrow"/>
          <w:b/>
          <w:bCs/>
          <w:sz w:val="20"/>
          <w:szCs w:val="20"/>
        </w:rPr>
      </w:pPr>
      <w:r w:rsidRPr="00917FFB">
        <w:rPr>
          <w:rFonts w:ascii="Arial Narrow" w:hAnsi="Arial Narrow"/>
          <w:b/>
          <w:bCs/>
          <w:sz w:val="20"/>
          <w:szCs w:val="20"/>
        </w:rPr>
        <w:t xml:space="preserve">Table </w:t>
      </w:r>
      <w:r w:rsidRPr="00917FFB">
        <w:rPr>
          <w:rFonts w:ascii="Arial Narrow" w:hAnsi="Arial Narrow"/>
          <w:b/>
          <w:bCs/>
          <w:snapToGrid w:val="0"/>
          <w:sz w:val="20"/>
          <w:szCs w:val="20"/>
          <w:lang w:eastAsia="en-US"/>
        </w:rPr>
        <w:t>7</w:t>
      </w:r>
      <w:r w:rsidRPr="00917FFB">
        <w:rPr>
          <w:rFonts w:ascii="Arial Narrow" w:hAnsi="Arial Narrow"/>
          <w:b/>
          <w:bCs/>
          <w:sz w:val="20"/>
          <w:szCs w:val="20"/>
        </w:rPr>
        <w:t>: BREEZE-AD3 results in (i) IGA responders and partial responders at Week 16 of originating trials (continuing treatment on BARI 2</w:t>
      </w:r>
      <w:r w:rsidR="003506FA" w:rsidRPr="00917FFB">
        <w:rPr>
          <w:rFonts w:ascii="Arial Narrow" w:hAnsi="Arial Narrow"/>
          <w:b/>
          <w:bCs/>
          <w:sz w:val="20"/>
          <w:szCs w:val="20"/>
        </w:rPr>
        <w:t xml:space="preserve"> </w:t>
      </w:r>
      <w:r w:rsidRPr="00917FFB">
        <w:rPr>
          <w:rFonts w:ascii="Arial Narrow" w:hAnsi="Arial Narrow"/>
          <w:b/>
          <w:bCs/>
          <w:sz w:val="20"/>
          <w:szCs w:val="20"/>
        </w:rPr>
        <w:t>mg or BARI 4</w:t>
      </w:r>
      <w:r w:rsidR="003506FA" w:rsidRPr="00917FFB">
        <w:rPr>
          <w:rFonts w:ascii="Arial Narrow" w:hAnsi="Arial Narrow"/>
          <w:b/>
          <w:bCs/>
          <w:sz w:val="20"/>
          <w:szCs w:val="20"/>
        </w:rPr>
        <w:t xml:space="preserve"> </w:t>
      </w:r>
      <w:r w:rsidRPr="00917FFB">
        <w:rPr>
          <w:rFonts w:ascii="Arial Narrow" w:hAnsi="Arial Narrow"/>
          <w:b/>
          <w:bCs/>
          <w:sz w:val="20"/>
          <w:szCs w:val="20"/>
        </w:rPr>
        <w:t>mg), and (ii) patients who met PBS eligibility criteria and PBS response criteria at Week 16 of originating trials (continuing treatment with PBO, BARI 2</w:t>
      </w:r>
      <w:r w:rsidR="003506FA" w:rsidRPr="00917FFB">
        <w:rPr>
          <w:rFonts w:ascii="Arial Narrow" w:hAnsi="Arial Narrow"/>
          <w:b/>
          <w:bCs/>
          <w:sz w:val="20"/>
          <w:szCs w:val="20"/>
        </w:rPr>
        <w:t xml:space="preserve"> </w:t>
      </w:r>
      <w:r w:rsidRPr="00917FFB">
        <w:rPr>
          <w:rFonts w:ascii="Arial Narrow" w:hAnsi="Arial Narrow"/>
          <w:b/>
          <w:bCs/>
          <w:sz w:val="20"/>
          <w:szCs w:val="20"/>
        </w:rPr>
        <w:t>mg or BARI 4</w:t>
      </w:r>
      <w:r w:rsidR="003506FA" w:rsidRPr="00917FFB">
        <w:rPr>
          <w:rFonts w:ascii="Arial Narrow" w:hAnsi="Arial Narrow"/>
          <w:b/>
          <w:bCs/>
          <w:sz w:val="20"/>
          <w:szCs w:val="20"/>
        </w:rPr>
        <w:t xml:space="preserve"> </w:t>
      </w:r>
      <w:r w:rsidRPr="00917FFB">
        <w:rPr>
          <w:rFonts w:ascii="Arial Narrow" w:hAnsi="Arial Narrow"/>
          <w:b/>
          <w:bCs/>
          <w:sz w:val="20"/>
          <w:szCs w:val="20"/>
        </w:rPr>
        <w:t>mg)</w:t>
      </w:r>
    </w:p>
    <w:tbl>
      <w:tblPr>
        <w:tblStyle w:val="TableGrid"/>
        <w:tblW w:w="5000" w:type="pct"/>
        <w:tblLayout w:type="fixed"/>
        <w:tblCellMar>
          <w:left w:w="28" w:type="dxa"/>
          <w:right w:w="28" w:type="dxa"/>
        </w:tblCellMar>
        <w:tblLook w:val="04A0" w:firstRow="1" w:lastRow="0" w:firstColumn="1" w:lastColumn="0" w:noHBand="0" w:noVBand="1"/>
        <w:tblCaption w:val="Table 7: BREEZE-AD3 results in (i) IGA responders and partial responders at Week 16 of originating trials (continuing treatment on BARI 2 mg or BARI 4 mg), and (ii) patients who met PBS eligibility criteria and PBS response criteria at Week 16 of originating trials (continuing treatment with PBO, BARI 2 mg or BARI 4 mg)"/>
      </w:tblPr>
      <w:tblGrid>
        <w:gridCol w:w="903"/>
        <w:gridCol w:w="719"/>
        <w:gridCol w:w="720"/>
        <w:gridCol w:w="720"/>
        <w:gridCol w:w="720"/>
        <w:gridCol w:w="720"/>
        <w:gridCol w:w="720"/>
        <w:gridCol w:w="720"/>
        <w:gridCol w:w="739"/>
        <w:gridCol w:w="784"/>
        <w:gridCol w:w="786"/>
        <w:gridCol w:w="766"/>
      </w:tblGrid>
      <w:tr w:rsidR="006511EA" w:rsidRPr="00917FFB" w:rsidTr="007923A4">
        <w:trPr>
          <w:tblHeader/>
        </w:trPr>
        <w:tc>
          <w:tcPr>
            <w:tcW w:w="501" w:type="pct"/>
            <w:vMerge w:val="restart"/>
            <w:vAlign w:val="center"/>
          </w:tcPr>
          <w:p w:rsidR="006511EA" w:rsidRPr="00917FFB" w:rsidRDefault="006511EA" w:rsidP="00445CF2">
            <w:pPr>
              <w:jc w:val="left"/>
              <w:rPr>
                <w:rFonts w:ascii="Arial Narrow" w:hAnsi="Arial Narrow"/>
                <w:b/>
                <w:bCs/>
                <w:sz w:val="20"/>
                <w:szCs w:val="20"/>
              </w:rPr>
            </w:pPr>
            <w:r w:rsidRPr="00917FFB">
              <w:rPr>
                <w:rFonts w:ascii="Arial Narrow" w:hAnsi="Arial Narrow"/>
                <w:b/>
                <w:bCs/>
                <w:sz w:val="20"/>
                <w:szCs w:val="20"/>
              </w:rPr>
              <w:t>Overall treatment week</w:t>
            </w:r>
          </w:p>
        </w:tc>
        <w:tc>
          <w:tcPr>
            <w:tcW w:w="3203" w:type="pct"/>
            <w:gridSpan w:val="8"/>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IGA responders and IGA partial responders (Wk16)</w:t>
            </w:r>
          </w:p>
        </w:tc>
        <w:tc>
          <w:tcPr>
            <w:tcW w:w="1296" w:type="pct"/>
            <w:gridSpan w:val="3"/>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PBS responders (Wk16)</w:t>
            </w:r>
          </w:p>
        </w:tc>
      </w:tr>
      <w:tr w:rsidR="006511EA" w:rsidRPr="00917FFB" w:rsidTr="007923A4">
        <w:trPr>
          <w:tblHeader/>
        </w:trPr>
        <w:tc>
          <w:tcPr>
            <w:tcW w:w="501" w:type="pct"/>
            <w:vMerge/>
            <w:vAlign w:val="center"/>
          </w:tcPr>
          <w:p w:rsidR="006511EA" w:rsidRPr="00917FFB" w:rsidRDefault="006511EA" w:rsidP="00445CF2">
            <w:pPr>
              <w:jc w:val="left"/>
              <w:rPr>
                <w:rFonts w:ascii="Arial Narrow" w:hAnsi="Arial Narrow"/>
                <w:b/>
                <w:bCs/>
                <w:sz w:val="20"/>
                <w:szCs w:val="20"/>
              </w:rPr>
            </w:pPr>
          </w:p>
        </w:tc>
        <w:tc>
          <w:tcPr>
            <w:tcW w:w="1596" w:type="pct"/>
            <w:gridSpan w:val="4"/>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Monotherapy subgroup</w:t>
            </w:r>
          </w:p>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(BREEZE-AD1, -AD2)</w:t>
            </w:r>
          </w:p>
        </w:tc>
        <w:tc>
          <w:tcPr>
            <w:tcW w:w="1607" w:type="pct"/>
            <w:gridSpan w:val="4"/>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 xml:space="preserve">Combination </w:t>
            </w:r>
            <w:r w:rsidR="004C2C71">
              <w:rPr>
                <w:rFonts w:ascii="Arial Narrow" w:hAnsi="Arial Narrow"/>
                <w:b/>
                <w:bCs/>
                <w:sz w:val="20"/>
                <w:szCs w:val="20"/>
              </w:rPr>
              <w:t>T</w:t>
            </w:r>
            <w:r w:rsidRPr="00917FFB">
              <w:rPr>
                <w:rFonts w:ascii="Arial Narrow" w:hAnsi="Arial Narrow"/>
                <w:b/>
                <w:bCs/>
                <w:sz w:val="20"/>
                <w:szCs w:val="20"/>
              </w:rPr>
              <w:t>CS subgroup</w:t>
            </w:r>
          </w:p>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(BREEZE-AD7)</w:t>
            </w:r>
          </w:p>
        </w:tc>
        <w:tc>
          <w:tcPr>
            <w:tcW w:w="1296" w:type="pct"/>
            <w:gridSpan w:val="3"/>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PBS subgroup</w:t>
            </w:r>
          </w:p>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(BREEZE-AD1, -AD2, -AD7)</w:t>
            </w:r>
          </w:p>
        </w:tc>
      </w:tr>
      <w:tr w:rsidR="006511EA" w:rsidRPr="00917FFB" w:rsidTr="007923A4">
        <w:trPr>
          <w:tblHeader/>
        </w:trPr>
        <w:tc>
          <w:tcPr>
            <w:tcW w:w="501" w:type="pct"/>
            <w:vMerge/>
            <w:vAlign w:val="center"/>
          </w:tcPr>
          <w:p w:rsidR="006511EA" w:rsidRPr="00917FFB" w:rsidRDefault="006511EA" w:rsidP="00445CF2">
            <w:pPr>
              <w:jc w:val="left"/>
              <w:rPr>
                <w:rFonts w:ascii="Arial Narrow" w:hAnsi="Arial Narrow"/>
                <w:sz w:val="20"/>
                <w:szCs w:val="20"/>
              </w:rPr>
            </w:pPr>
          </w:p>
        </w:tc>
        <w:tc>
          <w:tcPr>
            <w:tcW w:w="797" w:type="pct"/>
            <w:gridSpan w:val="2"/>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IGA 0 or 1</w:t>
            </w:r>
          </w:p>
        </w:tc>
        <w:tc>
          <w:tcPr>
            <w:tcW w:w="798" w:type="pct"/>
            <w:gridSpan w:val="2"/>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EASI 75</w:t>
            </w:r>
          </w:p>
        </w:tc>
        <w:tc>
          <w:tcPr>
            <w:tcW w:w="798" w:type="pct"/>
            <w:gridSpan w:val="2"/>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IGA 0 or 1</w:t>
            </w:r>
          </w:p>
        </w:tc>
        <w:tc>
          <w:tcPr>
            <w:tcW w:w="808" w:type="pct"/>
            <w:gridSpan w:val="2"/>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EASI 75</w:t>
            </w:r>
          </w:p>
        </w:tc>
        <w:tc>
          <w:tcPr>
            <w:tcW w:w="1296" w:type="pct"/>
            <w:gridSpan w:val="3"/>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PBS response</w:t>
            </w:r>
          </w:p>
        </w:tc>
      </w:tr>
      <w:tr w:rsidR="006511EA" w:rsidRPr="00917FFB" w:rsidTr="007923A4">
        <w:trPr>
          <w:tblHeader/>
        </w:trPr>
        <w:tc>
          <w:tcPr>
            <w:tcW w:w="501" w:type="pct"/>
            <w:vMerge/>
          </w:tcPr>
          <w:p w:rsidR="006511EA" w:rsidRPr="00917FFB" w:rsidRDefault="006511EA" w:rsidP="00445CF2">
            <w:pPr>
              <w:rPr>
                <w:rFonts w:ascii="Arial Narrow" w:hAnsi="Arial Narrow"/>
                <w:sz w:val="20"/>
                <w:szCs w:val="20"/>
              </w:rPr>
            </w:pPr>
          </w:p>
        </w:tc>
        <w:tc>
          <w:tcPr>
            <w:tcW w:w="399" w:type="pct"/>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BARI 2</w:t>
            </w:r>
            <w:r w:rsidR="003506FA" w:rsidRPr="00917FFB">
              <w:rPr>
                <w:rFonts w:ascii="Arial Narrow" w:hAnsi="Arial Narrow"/>
                <w:b/>
                <w:bCs/>
                <w:sz w:val="20"/>
                <w:szCs w:val="20"/>
              </w:rPr>
              <w:t> </w:t>
            </w:r>
            <w:r w:rsidRPr="00917FFB">
              <w:rPr>
                <w:rFonts w:ascii="Arial Narrow" w:hAnsi="Arial Narrow"/>
                <w:b/>
                <w:bCs/>
                <w:sz w:val="20"/>
                <w:szCs w:val="20"/>
              </w:rPr>
              <w:t>mg</w:t>
            </w:r>
          </w:p>
        </w:tc>
        <w:tc>
          <w:tcPr>
            <w:tcW w:w="399" w:type="pct"/>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BARI 4</w:t>
            </w:r>
            <w:r w:rsidR="003506FA" w:rsidRPr="00917FFB">
              <w:rPr>
                <w:rFonts w:ascii="Arial Narrow" w:hAnsi="Arial Narrow"/>
                <w:b/>
                <w:bCs/>
                <w:sz w:val="20"/>
                <w:szCs w:val="20"/>
              </w:rPr>
              <w:t> </w:t>
            </w:r>
            <w:r w:rsidRPr="00917FFB">
              <w:rPr>
                <w:rFonts w:ascii="Arial Narrow" w:hAnsi="Arial Narrow"/>
                <w:b/>
                <w:bCs/>
                <w:sz w:val="20"/>
                <w:szCs w:val="20"/>
              </w:rPr>
              <w:t>mg</w:t>
            </w:r>
          </w:p>
        </w:tc>
        <w:tc>
          <w:tcPr>
            <w:tcW w:w="399" w:type="pct"/>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BARI 2</w:t>
            </w:r>
            <w:r w:rsidR="003506FA" w:rsidRPr="00917FFB">
              <w:rPr>
                <w:rFonts w:ascii="Arial Narrow" w:hAnsi="Arial Narrow"/>
                <w:b/>
                <w:bCs/>
                <w:sz w:val="20"/>
                <w:szCs w:val="20"/>
              </w:rPr>
              <w:t> </w:t>
            </w:r>
            <w:r w:rsidRPr="00917FFB">
              <w:rPr>
                <w:rFonts w:ascii="Arial Narrow" w:hAnsi="Arial Narrow"/>
                <w:b/>
                <w:bCs/>
                <w:sz w:val="20"/>
                <w:szCs w:val="20"/>
              </w:rPr>
              <w:t>mg</w:t>
            </w:r>
          </w:p>
        </w:tc>
        <w:tc>
          <w:tcPr>
            <w:tcW w:w="399" w:type="pct"/>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BARI 4</w:t>
            </w:r>
            <w:r w:rsidR="003506FA" w:rsidRPr="00917FFB">
              <w:rPr>
                <w:rFonts w:ascii="Arial Narrow" w:hAnsi="Arial Narrow"/>
                <w:b/>
                <w:bCs/>
                <w:sz w:val="20"/>
                <w:szCs w:val="20"/>
              </w:rPr>
              <w:t> </w:t>
            </w:r>
            <w:r w:rsidRPr="00917FFB">
              <w:rPr>
                <w:rFonts w:ascii="Arial Narrow" w:hAnsi="Arial Narrow"/>
                <w:b/>
                <w:bCs/>
                <w:sz w:val="20"/>
                <w:szCs w:val="20"/>
              </w:rPr>
              <w:t>mg</w:t>
            </w:r>
          </w:p>
        </w:tc>
        <w:tc>
          <w:tcPr>
            <w:tcW w:w="399" w:type="pct"/>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BARI 2</w:t>
            </w:r>
            <w:r w:rsidR="003506FA" w:rsidRPr="00917FFB">
              <w:rPr>
                <w:rFonts w:ascii="Arial Narrow" w:hAnsi="Arial Narrow"/>
                <w:b/>
                <w:bCs/>
                <w:sz w:val="20"/>
                <w:szCs w:val="20"/>
              </w:rPr>
              <w:t> </w:t>
            </w:r>
            <w:r w:rsidRPr="00917FFB">
              <w:rPr>
                <w:rFonts w:ascii="Arial Narrow" w:hAnsi="Arial Narrow"/>
                <w:b/>
                <w:bCs/>
                <w:sz w:val="20"/>
                <w:szCs w:val="20"/>
              </w:rPr>
              <w:t>mg</w:t>
            </w:r>
          </w:p>
        </w:tc>
        <w:tc>
          <w:tcPr>
            <w:tcW w:w="399" w:type="pct"/>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BARI 4</w:t>
            </w:r>
            <w:r w:rsidR="003506FA" w:rsidRPr="00917FFB">
              <w:rPr>
                <w:rFonts w:ascii="Arial Narrow" w:hAnsi="Arial Narrow"/>
                <w:b/>
                <w:bCs/>
                <w:sz w:val="20"/>
                <w:szCs w:val="20"/>
              </w:rPr>
              <w:t> </w:t>
            </w:r>
            <w:r w:rsidRPr="00917FFB">
              <w:rPr>
                <w:rFonts w:ascii="Arial Narrow" w:hAnsi="Arial Narrow"/>
                <w:b/>
                <w:bCs/>
                <w:sz w:val="20"/>
                <w:szCs w:val="20"/>
              </w:rPr>
              <w:t>mg</w:t>
            </w:r>
          </w:p>
        </w:tc>
        <w:tc>
          <w:tcPr>
            <w:tcW w:w="399" w:type="pct"/>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BARI 2</w:t>
            </w:r>
            <w:r w:rsidR="003506FA" w:rsidRPr="00917FFB">
              <w:rPr>
                <w:rFonts w:ascii="Arial Narrow" w:hAnsi="Arial Narrow"/>
                <w:b/>
                <w:bCs/>
                <w:sz w:val="20"/>
                <w:szCs w:val="20"/>
              </w:rPr>
              <w:t> </w:t>
            </w:r>
            <w:r w:rsidRPr="00917FFB">
              <w:rPr>
                <w:rFonts w:ascii="Arial Narrow" w:hAnsi="Arial Narrow"/>
                <w:b/>
                <w:bCs/>
                <w:sz w:val="20"/>
                <w:szCs w:val="20"/>
              </w:rPr>
              <w:t>mg</w:t>
            </w:r>
          </w:p>
        </w:tc>
        <w:tc>
          <w:tcPr>
            <w:tcW w:w="409" w:type="pct"/>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BARI 4</w:t>
            </w:r>
            <w:r w:rsidR="003506FA" w:rsidRPr="00917FFB">
              <w:rPr>
                <w:rFonts w:ascii="Arial Narrow" w:hAnsi="Arial Narrow"/>
                <w:b/>
                <w:bCs/>
                <w:sz w:val="20"/>
                <w:szCs w:val="20"/>
              </w:rPr>
              <w:t> </w:t>
            </w:r>
            <w:r w:rsidRPr="00917FFB">
              <w:rPr>
                <w:rFonts w:ascii="Arial Narrow" w:hAnsi="Arial Narrow"/>
                <w:b/>
                <w:bCs/>
                <w:sz w:val="20"/>
                <w:szCs w:val="20"/>
              </w:rPr>
              <w:t>mg</w:t>
            </w:r>
          </w:p>
        </w:tc>
        <w:tc>
          <w:tcPr>
            <w:tcW w:w="435" w:type="pct"/>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PBO</w:t>
            </w:r>
          </w:p>
        </w:tc>
        <w:tc>
          <w:tcPr>
            <w:tcW w:w="436" w:type="pct"/>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BARI 2</w:t>
            </w:r>
            <w:r w:rsidR="003506FA" w:rsidRPr="00917FFB">
              <w:rPr>
                <w:rFonts w:ascii="Arial Narrow" w:hAnsi="Arial Narrow"/>
                <w:b/>
                <w:bCs/>
                <w:sz w:val="20"/>
                <w:szCs w:val="20"/>
              </w:rPr>
              <w:t> </w:t>
            </w:r>
            <w:r w:rsidRPr="00917FFB">
              <w:rPr>
                <w:rFonts w:ascii="Arial Narrow" w:hAnsi="Arial Narrow"/>
                <w:b/>
                <w:bCs/>
                <w:sz w:val="20"/>
                <w:szCs w:val="20"/>
              </w:rPr>
              <w:t>mg</w:t>
            </w:r>
          </w:p>
        </w:tc>
        <w:tc>
          <w:tcPr>
            <w:tcW w:w="426" w:type="pct"/>
            <w:vAlign w:val="center"/>
          </w:tcPr>
          <w:p w:rsidR="006511EA" w:rsidRPr="00917FFB" w:rsidRDefault="006511EA" w:rsidP="00445CF2">
            <w:pPr>
              <w:jc w:val="center"/>
              <w:rPr>
                <w:rFonts w:ascii="Arial Narrow" w:hAnsi="Arial Narrow"/>
                <w:b/>
                <w:bCs/>
                <w:sz w:val="20"/>
                <w:szCs w:val="20"/>
              </w:rPr>
            </w:pPr>
            <w:r w:rsidRPr="00917FFB">
              <w:rPr>
                <w:rFonts w:ascii="Arial Narrow" w:hAnsi="Arial Narrow"/>
                <w:b/>
                <w:bCs/>
                <w:sz w:val="20"/>
                <w:szCs w:val="20"/>
              </w:rPr>
              <w:t>BARI 4</w:t>
            </w:r>
            <w:r w:rsidR="003506FA" w:rsidRPr="00917FFB">
              <w:rPr>
                <w:rFonts w:ascii="Arial Narrow" w:hAnsi="Arial Narrow"/>
                <w:b/>
                <w:bCs/>
                <w:sz w:val="20"/>
                <w:szCs w:val="20"/>
              </w:rPr>
              <w:t> </w:t>
            </w:r>
            <w:r w:rsidRPr="00917FFB">
              <w:rPr>
                <w:rFonts w:ascii="Arial Narrow" w:hAnsi="Arial Narrow"/>
                <w:b/>
                <w:bCs/>
                <w:sz w:val="20"/>
                <w:szCs w:val="20"/>
              </w:rPr>
              <w:t>mg</w:t>
            </w:r>
          </w:p>
        </w:tc>
      </w:tr>
      <w:tr w:rsidR="006511EA" w:rsidRPr="00917FFB" w:rsidTr="00445CF2">
        <w:tc>
          <w:tcPr>
            <w:tcW w:w="501" w:type="pct"/>
            <w:vAlign w:val="center"/>
          </w:tcPr>
          <w:p w:rsidR="006511EA" w:rsidRPr="00917FFB" w:rsidRDefault="006511EA" w:rsidP="00445CF2">
            <w:pPr>
              <w:jc w:val="left"/>
              <w:rPr>
                <w:rFonts w:ascii="Arial Narrow" w:hAnsi="Arial Narrow"/>
                <w:sz w:val="20"/>
                <w:szCs w:val="20"/>
                <w:vertAlign w:val="superscript"/>
              </w:rPr>
            </w:pPr>
            <w:r w:rsidRPr="00917FFB">
              <w:rPr>
                <w:rFonts w:ascii="Arial Narrow" w:hAnsi="Arial Narrow"/>
                <w:sz w:val="20"/>
                <w:szCs w:val="20"/>
              </w:rPr>
              <w:t>Wk 16</w:t>
            </w:r>
            <w:r w:rsidRPr="00917FFB">
              <w:rPr>
                <w:rFonts w:ascii="Arial Narrow" w:hAnsi="Arial Narrow"/>
                <w:sz w:val="20"/>
                <w:szCs w:val="20"/>
                <w:vertAlign w:val="superscript"/>
              </w:rPr>
              <w:t>^</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25/54 (46.3)</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32/70 (45.7)</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40/57 (74.1)</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49/70</w:t>
            </w:r>
          </w:p>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(70.0)</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21/53</w:t>
            </w:r>
          </w:p>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(39.6)</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31/63</w:t>
            </w:r>
          </w:p>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(49.2)</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41/53</w:t>
            </w:r>
          </w:p>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(77.4)</w:t>
            </w:r>
          </w:p>
        </w:tc>
        <w:tc>
          <w:tcPr>
            <w:tcW w:w="40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45/63</w:t>
            </w:r>
          </w:p>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(71.4)</w:t>
            </w:r>
          </w:p>
        </w:tc>
        <w:tc>
          <w:tcPr>
            <w:tcW w:w="435"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17/17 (100)</w:t>
            </w:r>
          </w:p>
        </w:tc>
        <w:tc>
          <w:tcPr>
            <w:tcW w:w="436"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28/28 (100)</w:t>
            </w:r>
          </w:p>
        </w:tc>
        <w:tc>
          <w:tcPr>
            <w:tcW w:w="426"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37/37 (100)</w:t>
            </w:r>
          </w:p>
        </w:tc>
      </w:tr>
      <w:tr w:rsidR="006511EA" w:rsidRPr="00917FFB" w:rsidTr="00445CF2">
        <w:tc>
          <w:tcPr>
            <w:tcW w:w="501" w:type="pct"/>
            <w:vAlign w:val="center"/>
          </w:tcPr>
          <w:p w:rsidR="006511EA" w:rsidRPr="00917FFB" w:rsidRDefault="006511EA" w:rsidP="00445CF2">
            <w:pPr>
              <w:jc w:val="left"/>
              <w:rPr>
                <w:rFonts w:ascii="Arial Narrow" w:hAnsi="Arial Narrow"/>
                <w:sz w:val="20"/>
                <w:szCs w:val="20"/>
              </w:rPr>
            </w:pPr>
            <w:r w:rsidRPr="00917FFB">
              <w:rPr>
                <w:rFonts w:ascii="Arial Narrow" w:hAnsi="Arial Narrow"/>
                <w:sz w:val="20"/>
                <w:szCs w:val="20"/>
              </w:rPr>
              <w:t>Wk 32</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32/54 (59.3)</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34/70 (48.6)</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38/54 (70.4)</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45/70 (64.3)</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24/53</w:t>
            </w:r>
          </w:p>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(45.3)</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20/63</w:t>
            </w:r>
          </w:p>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(31.7)</w:t>
            </w:r>
          </w:p>
        </w:tc>
        <w:tc>
          <w:tcPr>
            <w:tcW w:w="39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36/53</w:t>
            </w:r>
          </w:p>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(67.9)</w:t>
            </w:r>
          </w:p>
        </w:tc>
        <w:tc>
          <w:tcPr>
            <w:tcW w:w="409"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35/63</w:t>
            </w:r>
          </w:p>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(55.6)</w:t>
            </w:r>
          </w:p>
        </w:tc>
        <w:tc>
          <w:tcPr>
            <w:tcW w:w="435"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9/17 (52.9)</w:t>
            </w:r>
          </w:p>
        </w:tc>
        <w:tc>
          <w:tcPr>
            <w:tcW w:w="436"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23/28 (82.1)</w:t>
            </w:r>
          </w:p>
        </w:tc>
        <w:tc>
          <w:tcPr>
            <w:tcW w:w="426" w:type="pct"/>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28/37 (75.7)</w:t>
            </w:r>
          </w:p>
        </w:tc>
      </w:tr>
      <w:tr w:rsidR="006511EA" w:rsidRPr="00917FFB" w:rsidTr="00F80535">
        <w:tc>
          <w:tcPr>
            <w:tcW w:w="501" w:type="pct"/>
            <w:tcBorders>
              <w:bottom w:val="single" w:sz="4" w:space="0" w:color="auto"/>
            </w:tcBorders>
            <w:vAlign w:val="center"/>
          </w:tcPr>
          <w:p w:rsidR="006511EA" w:rsidRPr="00917FFB" w:rsidRDefault="006511EA" w:rsidP="00445CF2">
            <w:pPr>
              <w:jc w:val="left"/>
              <w:rPr>
                <w:rFonts w:ascii="Arial Narrow" w:hAnsi="Arial Narrow"/>
                <w:sz w:val="20"/>
                <w:szCs w:val="20"/>
              </w:rPr>
            </w:pPr>
            <w:r w:rsidRPr="00917FFB">
              <w:rPr>
                <w:rFonts w:ascii="Arial Narrow" w:hAnsi="Arial Narrow"/>
                <w:sz w:val="20"/>
                <w:szCs w:val="20"/>
              </w:rPr>
              <w:t>Wk 52</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34/54 (63.0)</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26/70 (37.1)</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40/54 (74.1)</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36/70 (51.4)</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NR</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NR</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NR</w:t>
            </w:r>
          </w:p>
        </w:tc>
        <w:tc>
          <w:tcPr>
            <w:tcW w:w="40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NR</w:t>
            </w:r>
          </w:p>
        </w:tc>
        <w:tc>
          <w:tcPr>
            <w:tcW w:w="435"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7/17 (41.2)</w:t>
            </w:r>
          </w:p>
        </w:tc>
        <w:tc>
          <w:tcPr>
            <w:tcW w:w="436"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20/28 (71.4)</w:t>
            </w:r>
          </w:p>
        </w:tc>
        <w:tc>
          <w:tcPr>
            <w:tcW w:w="426"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23/37 (62.2)</w:t>
            </w:r>
          </w:p>
        </w:tc>
      </w:tr>
      <w:tr w:rsidR="006511EA" w:rsidRPr="00917FFB" w:rsidTr="00F80535">
        <w:tc>
          <w:tcPr>
            <w:tcW w:w="501" w:type="pct"/>
            <w:tcBorders>
              <w:bottom w:val="single" w:sz="4" w:space="0" w:color="auto"/>
            </w:tcBorders>
            <w:vAlign w:val="center"/>
          </w:tcPr>
          <w:p w:rsidR="006511EA" w:rsidRPr="00917FFB" w:rsidRDefault="006511EA" w:rsidP="00445CF2">
            <w:pPr>
              <w:jc w:val="left"/>
              <w:rPr>
                <w:rFonts w:ascii="Arial Narrow" w:hAnsi="Arial Narrow"/>
                <w:sz w:val="20"/>
                <w:szCs w:val="20"/>
              </w:rPr>
            </w:pPr>
            <w:r w:rsidRPr="00917FFB">
              <w:rPr>
                <w:rFonts w:ascii="Arial Narrow" w:hAnsi="Arial Narrow"/>
                <w:sz w:val="20"/>
                <w:szCs w:val="20"/>
              </w:rPr>
              <w:t>Wk 68</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27/54 (50.0)</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28/70 (40.0)</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35/54 (64.8)</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36/70 (51.4)</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NR</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NR</w:t>
            </w:r>
          </w:p>
        </w:tc>
        <w:tc>
          <w:tcPr>
            <w:tcW w:w="39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NR</w:t>
            </w:r>
          </w:p>
        </w:tc>
        <w:tc>
          <w:tcPr>
            <w:tcW w:w="409"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NR</w:t>
            </w:r>
          </w:p>
        </w:tc>
        <w:tc>
          <w:tcPr>
            <w:tcW w:w="435"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NR</w:t>
            </w:r>
          </w:p>
        </w:tc>
        <w:tc>
          <w:tcPr>
            <w:tcW w:w="436"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NR</w:t>
            </w:r>
          </w:p>
        </w:tc>
        <w:tc>
          <w:tcPr>
            <w:tcW w:w="426" w:type="pct"/>
            <w:tcBorders>
              <w:bottom w:val="single" w:sz="4" w:space="0" w:color="auto"/>
            </w:tcBorders>
            <w:vAlign w:val="center"/>
          </w:tcPr>
          <w:p w:rsidR="006511EA" w:rsidRPr="00917FFB" w:rsidRDefault="006511EA" w:rsidP="00445CF2">
            <w:pPr>
              <w:jc w:val="center"/>
              <w:rPr>
                <w:rFonts w:ascii="Arial Narrow" w:hAnsi="Arial Narrow"/>
                <w:sz w:val="20"/>
                <w:szCs w:val="20"/>
              </w:rPr>
            </w:pPr>
            <w:r w:rsidRPr="00917FFB">
              <w:rPr>
                <w:rFonts w:ascii="Arial Narrow" w:hAnsi="Arial Narrow"/>
                <w:sz w:val="20"/>
                <w:szCs w:val="20"/>
              </w:rPr>
              <w:t>NR</w:t>
            </w:r>
          </w:p>
        </w:tc>
      </w:tr>
    </w:tbl>
    <w:p w:rsidR="006511EA" w:rsidRDefault="006511EA" w:rsidP="004C2C71">
      <w:pPr>
        <w:tabs>
          <w:tab w:val="left" w:pos="142"/>
        </w:tabs>
        <w:rPr>
          <w:rFonts w:ascii="Arial Narrow" w:hAnsi="Arial Narrow"/>
          <w:sz w:val="18"/>
          <w:szCs w:val="18"/>
        </w:rPr>
      </w:pPr>
      <w:r w:rsidRPr="004C2C71">
        <w:rPr>
          <w:rFonts w:ascii="Arial Narrow" w:hAnsi="Arial Narrow"/>
          <w:sz w:val="18"/>
          <w:szCs w:val="18"/>
        </w:rPr>
        <w:t>Source: Tables 2.5-20 to 2.5-21, pp175-176 of the submission; Table 1 in ‘A2.24_Post hoc analysis_BREEZE-AD3.doc’</w:t>
      </w:r>
    </w:p>
    <w:p w:rsidR="004C2C71" w:rsidRDefault="004C2C71" w:rsidP="004C2C71">
      <w:pPr>
        <w:tabs>
          <w:tab w:val="left" w:pos="142"/>
        </w:tabs>
        <w:rPr>
          <w:rFonts w:ascii="Arial Narrow" w:hAnsi="Arial Narrow"/>
          <w:sz w:val="18"/>
          <w:szCs w:val="18"/>
        </w:rPr>
      </w:pPr>
      <w:r>
        <w:rPr>
          <w:rFonts w:ascii="Arial Narrow" w:hAnsi="Arial Narrow"/>
          <w:sz w:val="18"/>
          <w:szCs w:val="18"/>
        </w:rPr>
        <w:t>Abbreviations: BARI=baricitinib; EASI=</w:t>
      </w:r>
      <w:r w:rsidRPr="00917FFB">
        <w:rPr>
          <w:rFonts w:ascii="Arial Narrow" w:eastAsia="Calibri" w:hAnsi="Arial Narrow"/>
          <w:sz w:val="18"/>
          <w:szCs w:val="18"/>
        </w:rPr>
        <w:t>Eczema Area and Severity Index</w:t>
      </w:r>
      <w:r>
        <w:rPr>
          <w:rFonts w:ascii="Arial Narrow" w:eastAsia="Calibri" w:hAnsi="Arial Narrow"/>
          <w:sz w:val="18"/>
          <w:szCs w:val="18"/>
        </w:rPr>
        <w:t>;</w:t>
      </w:r>
      <w:r>
        <w:rPr>
          <w:rFonts w:ascii="Arial Narrow" w:hAnsi="Arial Narrow"/>
          <w:sz w:val="18"/>
          <w:szCs w:val="18"/>
        </w:rPr>
        <w:t xml:space="preserve"> IGA=Investigator’s Global Assessment; NR=no</w:t>
      </w:r>
      <w:r w:rsidR="007E2360">
        <w:rPr>
          <w:rFonts w:ascii="Arial Narrow" w:hAnsi="Arial Narrow"/>
          <w:sz w:val="18"/>
          <w:szCs w:val="18"/>
        </w:rPr>
        <w:t>t</w:t>
      </w:r>
      <w:r>
        <w:rPr>
          <w:rFonts w:ascii="Arial Narrow" w:hAnsi="Arial Narrow"/>
          <w:sz w:val="18"/>
          <w:szCs w:val="18"/>
        </w:rPr>
        <w:t xml:space="preserve"> reported; PBO=placebo; TCS=topical corticosteroids; wk=week</w:t>
      </w:r>
    </w:p>
    <w:p w:rsidR="004C2C71" w:rsidRPr="004C2C71" w:rsidRDefault="004C2C71" w:rsidP="004C2C71">
      <w:pPr>
        <w:tabs>
          <w:tab w:val="left" w:pos="142"/>
        </w:tabs>
        <w:rPr>
          <w:rFonts w:ascii="Arial Narrow" w:hAnsi="Arial Narrow"/>
          <w:sz w:val="18"/>
          <w:szCs w:val="18"/>
        </w:rPr>
      </w:pPr>
      <w:r w:rsidRPr="004C2C71">
        <w:rPr>
          <w:rFonts w:ascii="Arial Narrow" w:hAnsi="Arial Narrow"/>
          <w:sz w:val="18"/>
          <w:szCs w:val="18"/>
        </w:rPr>
        <w:t>^</w:t>
      </w:r>
      <w:r w:rsidRPr="004C2C71">
        <w:rPr>
          <w:rFonts w:ascii="Arial Narrow" w:hAnsi="Arial Narrow"/>
          <w:sz w:val="18"/>
          <w:szCs w:val="18"/>
        </w:rPr>
        <w:tab/>
        <w:t>Baseline in BREEZE-AD3</w:t>
      </w:r>
    </w:p>
    <w:p w:rsidR="004C2C71" w:rsidRPr="004C2C71" w:rsidRDefault="004C2C71" w:rsidP="006511EA">
      <w:pPr>
        <w:tabs>
          <w:tab w:val="left" w:pos="142"/>
        </w:tabs>
        <w:spacing w:after="120"/>
        <w:rPr>
          <w:rFonts w:ascii="Arial Narrow" w:hAnsi="Arial Narrow"/>
          <w:sz w:val="18"/>
          <w:szCs w:val="18"/>
        </w:rPr>
      </w:pPr>
    </w:p>
    <w:p w:rsidR="006511EA" w:rsidRPr="00917FFB" w:rsidRDefault="006511EA" w:rsidP="006511EA">
      <w:pPr>
        <w:pStyle w:val="3-BodyText"/>
        <w:rPr>
          <w:iCs/>
        </w:rPr>
      </w:pPr>
      <w:r w:rsidRPr="00917FFB">
        <w:t xml:space="preserve">The submission stated that the results showed treatment response generally declined over time. </w:t>
      </w:r>
      <w:r w:rsidRPr="00917FFB">
        <w:rPr>
          <w:iCs/>
        </w:rPr>
        <w:t>However, interpretation of these results is problematic given the complicated design of BREEZE-AD3, response and eligibility being assessed differently, and the small patient numbers. For BARI 2</w:t>
      </w:r>
      <w:r w:rsidR="002C6DE0" w:rsidRPr="00917FFB">
        <w:rPr>
          <w:iCs/>
        </w:rPr>
        <w:t xml:space="preserve"> </w:t>
      </w:r>
      <w:r w:rsidRPr="00917FFB">
        <w:rPr>
          <w:iCs/>
        </w:rPr>
        <w:t>mg, the results indicated that IGA and EASI</w:t>
      </w:r>
      <w:r w:rsidR="002C6DE0" w:rsidRPr="00917FFB">
        <w:rPr>
          <w:iCs/>
        </w:rPr>
        <w:t> </w:t>
      </w:r>
      <w:r w:rsidRPr="00917FFB">
        <w:rPr>
          <w:iCs/>
        </w:rPr>
        <w:t>75 response were mostly maintained over time but declined for BARI 4</w:t>
      </w:r>
      <w:r w:rsidR="002C6DE0" w:rsidRPr="00917FFB">
        <w:rPr>
          <w:iCs/>
        </w:rPr>
        <w:t xml:space="preserve"> </w:t>
      </w:r>
      <w:r w:rsidRPr="00917FFB">
        <w:rPr>
          <w:iCs/>
        </w:rPr>
        <w:t>mg.</w:t>
      </w:r>
    </w:p>
    <w:p w:rsidR="006511EA" w:rsidRPr="00917FFB" w:rsidRDefault="006511EA" w:rsidP="004C2C71">
      <w:pPr>
        <w:keepNext/>
        <w:spacing w:before="120" w:after="120"/>
        <w:rPr>
          <w:u w:val="single"/>
        </w:rPr>
      </w:pPr>
      <w:r w:rsidRPr="00917FFB">
        <w:rPr>
          <w:u w:val="single"/>
        </w:rPr>
        <w:t>Up-titration from BARI 2</w:t>
      </w:r>
      <w:r w:rsidR="002C6DE0" w:rsidRPr="00917FFB">
        <w:rPr>
          <w:u w:val="single"/>
        </w:rPr>
        <w:t xml:space="preserve"> </w:t>
      </w:r>
      <w:r w:rsidRPr="00917FFB">
        <w:rPr>
          <w:u w:val="single"/>
        </w:rPr>
        <w:t>mg to BARI 4</w:t>
      </w:r>
      <w:r w:rsidR="002C6DE0" w:rsidRPr="00917FFB">
        <w:rPr>
          <w:u w:val="single"/>
        </w:rPr>
        <w:t xml:space="preserve"> </w:t>
      </w:r>
      <w:r w:rsidRPr="00917FFB">
        <w:rPr>
          <w:u w:val="single"/>
        </w:rPr>
        <w:t>mg</w:t>
      </w:r>
    </w:p>
    <w:p w:rsidR="006511EA" w:rsidRPr="00917FFB" w:rsidRDefault="006511EA" w:rsidP="004C2C71">
      <w:pPr>
        <w:pStyle w:val="3-BodyText"/>
        <w:keepNext/>
        <w:rPr>
          <w:i/>
        </w:rPr>
      </w:pPr>
      <w:r w:rsidRPr="00917FFB">
        <w:rPr>
          <w:iCs/>
        </w:rPr>
        <w:t>Table 8 presents available outcomes reported in BREEZE-AD3, for patients who were non-responders (including rescued patients) to BARI 2</w:t>
      </w:r>
      <w:r w:rsidR="002C6DE0" w:rsidRPr="00917FFB">
        <w:rPr>
          <w:iCs/>
        </w:rPr>
        <w:t xml:space="preserve"> </w:t>
      </w:r>
      <w:r w:rsidRPr="00917FFB">
        <w:rPr>
          <w:iCs/>
        </w:rPr>
        <w:t xml:space="preserve">mg in the originator trials and </w:t>
      </w:r>
      <w:r w:rsidR="00274E3F" w:rsidRPr="00917FFB">
        <w:rPr>
          <w:iCs/>
        </w:rPr>
        <w:t>re-</w:t>
      </w:r>
      <w:r w:rsidRPr="00917FFB">
        <w:rPr>
          <w:iCs/>
        </w:rPr>
        <w:t xml:space="preserve">randomised to </w:t>
      </w:r>
      <w:r w:rsidR="005D77B0" w:rsidRPr="00917FFB">
        <w:rPr>
          <w:iCs/>
        </w:rPr>
        <w:t>BARI 2</w:t>
      </w:r>
      <w:r w:rsidR="002C6DE0" w:rsidRPr="00917FFB">
        <w:rPr>
          <w:iCs/>
        </w:rPr>
        <w:t xml:space="preserve"> </w:t>
      </w:r>
      <w:r w:rsidR="005D77B0" w:rsidRPr="00917FFB">
        <w:rPr>
          <w:iCs/>
        </w:rPr>
        <w:t xml:space="preserve">mg or </w:t>
      </w:r>
      <w:r w:rsidRPr="00917FFB">
        <w:rPr>
          <w:iCs/>
        </w:rPr>
        <w:t>BARI 4</w:t>
      </w:r>
      <w:r w:rsidR="002C6DE0" w:rsidRPr="00917FFB">
        <w:rPr>
          <w:iCs/>
        </w:rPr>
        <w:t xml:space="preserve"> </w:t>
      </w:r>
      <w:r w:rsidRPr="00917FFB">
        <w:rPr>
          <w:iCs/>
        </w:rPr>
        <w:t>mg in the extension trial.</w:t>
      </w:r>
    </w:p>
    <w:p w:rsidR="006511EA" w:rsidRPr="00917FFB" w:rsidRDefault="006511EA" w:rsidP="00096ADB">
      <w:pPr>
        <w:keepNext/>
        <w:keepLines/>
        <w:rPr>
          <w:rFonts w:ascii="Arial Narrow" w:hAnsi="Arial Narrow"/>
          <w:b/>
          <w:bCs/>
          <w:sz w:val="20"/>
          <w:szCs w:val="20"/>
        </w:rPr>
      </w:pPr>
      <w:r w:rsidRPr="00917FFB">
        <w:rPr>
          <w:rFonts w:ascii="Arial Narrow" w:hAnsi="Arial Narrow"/>
          <w:b/>
          <w:bCs/>
          <w:sz w:val="20"/>
          <w:szCs w:val="20"/>
        </w:rPr>
        <w:t xml:space="preserve">Table </w:t>
      </w:r>
      <w:r w:rsidRPr="00917FFB">
        <w:rPr>
          <w:rFonts w:ascii="Arial Narrow" w:hAnsi="Arial Narrow"/>
          <w:b/>
          <w:bCs/>
          <w:snapToGrid w:val="0"/>
          <w:sz w:val="20"/>
          <w:szCs w:val="20"/>
          <w:lang w:eastAsia="en-US"/>
        </w:rPr>
        <w:t>8</w:t>
      </w:r>
      <w:r w:rsidRPr="00917FFB">
        <w:rPr>
          <w:rFonts w:ascii="Arial Narrow" w:hAnsi="Arial Narrow"/>
          <w:b/>
          <w:bCs/>
          <w:sz w:val="20"/>
          <w:szCs w:val="20"/>
        </w:rPr>
        <w:t>: BREEZE-AD3 results in IGA non-responders at Week 16 of originating trials for the subgroup of patients initially treated with BARI 2</w:t>
      </w:r>
      <w:r w:rsidR="002C6DE0" w:rsidRPr="00917FFB">
        <w:rPr>
          <w:rFonts w:ascii="Arial Narrow" w:hAnsi="Arial Narrow"/>
          <w:b/>
          <w:bCs/>
          <w:sz w:val="20"/>
          <w:szCs w:val="20"/>
        </w:rPr>
        <w:t xml:space="preserve"> </w:t>
      </w:r>
      <w:r w:rsidRPr="00917FFB">
        <w:rPr>
          <w:rFonts w:ascii="Arial Narrow" w:hAnsi="Arial Narrow"/>
          <w:b/>
          <w:bCs/>
          <w:sz w:val="20"/>
          <w:szCs w:val="20"/>
        </w:rPr>
        <w:t>mg (i.e. BARI 2</w:t>
      </w:r>
      <w:r w:rsidR="002C6DE0" w:rsidRPr="00917FFB">
        <w:rPr>
          <w:rFonts w:ascii="Arial Narrow" w:hAnsi="Arial Narrow"/>
          <w:b/>
          <w:bCs/>
          <w:sz w:val="20"/>
          <w:szCs w:val="20"/>
        </w:rPr>
        <w:t xml:space="preserve"> </w:t>
      </w:r>
      <w:r w:rsidRPr="00917FFB">
        <w:rPr>
          <w:rFonts w:ascii="Arial Narrow" w:hAnsi="Arial Narrow"/>
          <w:b/>
          <w:bCs/>
          <w:sz w:val="20"/>
          <w:szCs w:val="20"/>
        </w:rPr>
        <w:t>mg, then re-randomised to continue BARI 2</w:t>
      </w:r>
      <w:r w:rsidR="002C6DE0" w:rsidRPr="00917FFB">
        <w:rPr>
          <w:rFonts w:ascii="Arial Narrow" w:hAnsi="Arial Narrow"/>
          <w:b/>
          <w:bCs/>
          <w:sz w:val="20"/>
          <w:szCs w:val="20"/>
        </w:rPr>
        <w:t xml:space="preserve"> </w:t>
      </w:r>
      <w:r w:rsidRPr="00917FFB">
        <w:rPr>
          <w:rFonts w:ascii="Arial Narrow" w:hAnsi="Arial Narrow"/>
          <w:b/>
          <w:bCs/>
          <w:sz w:val="20"/>
          <w:szCs w:val="20"/>
        </w:rPr>
        <w:t>mg or up-titrate to BARI 4</w:t>
      </w:r>
      <w:r w:rsidR="002C6DE0" w:rsidRPr="00917FFB">
        <w:rPr>
          <w:rFonts w:ascii="Arial Narrow" w:hAnsi="Arial Narrow"/>
          <w:b/>
          <w:bCs/>
          <w:sz w:val="20"/>
          <w:szCs w:val="20"/>
        </w:rPr>
        <w:t xml:space="preserve"> </w:t>
      </w:r>
      <w:r w:rsidRPr="00917FFB">
        <w:rPr>
          <w:rFonts w:ascii="Arial Narrow" w:hAnsi="Arial Narrow"/>
          <w:b/>
          <w:bCs/>
          <w:sz w:val="20"/>
          <w:szCs w:val="20"/>
        </w:rPr>
        <w:t>mg)</w:t>
      </w:r>
    </w:p>
    <w:tbl>
      <w:tblPr>
        <w:tblStyle w:val="TableGrid"/>
        <w:tblW w:w="5000" w:type="pct"/>
        <w:tblCellMar>
          <w:left w:w="28" w:type="dxa"/>
          <w:right w:w="28" w:type="dxa"/>
        </w:tblCellMar>
        <w:tblLook w:val="04A0" w:firstRow="1" w:lastRow="0" w:firstColumn="1" w:lastColumn="0" w:noHBand="0" w:noVBand="1"/>
        <w:tblCaption w:val="Table 8: BREEZE-AD3 results in IGA non-responders at Week 16 of originating trials for the subgroup of patients initially treated with BARI 2 mg (i.e. BARI 2 mg, then re-randomised to continue BARI 2 mg or up-titrate to BARI 4 mg)"/>
      </w:tblPr>
      <w:tblGrid>
        <w:gridCol w:w="904"/>
        <w:gridCol w:w="1012"/>
        <w:gridCol w:w="1015"/>
        <w:gridCol w:w="1014"/>
        <w:gridCol w:w="1015"/>
        <w:gridCol w:w="1014"/>
        <w:gridCol w:w="1015"/>
        <w:gridCol w:w="1014"/>
        <w:gridCol w:w="1014"/>
      </w:tblGrid>
      <w:tr w:rsidR="006511EA" w:rsidRPr="00917FFB" w:rsidTr="007923A4">
        <w:trPr>
          <w:tblHeader/>
        </w:trPr>
        <w:tc>
          <w:tcPr>
            <w:tcW w:w="502" w:type="pct"/>
            <w:vMerge w:val="restart"/>
            <w:vAlign w:val="center"/>
          </w:tcPr>
          <w:p w:rsidR="006511EA" w:rsidRPr="00917FFB" w:rsidRDefault="006511EA" w:rsidP="00096ADB">
            <w:pPr>
              <w:keepNext/>
              <w:keepLines/>
              <w:jc w:val="left"/>
              <w:rPr>
                <w:rFonts w:ascii="Arial Narrow" w:hAnsi="Arial Narrow"/>
                <w:b/>
                <w:bCs/>
                <w:sz w:val="20"/>
                <w:szCs w:val="20"/>
              </w:rPr>
            </w:pPr>
            <w:r w:rsidRPr="00917FFB">
              <w:rPr>
                <w:rFonts w:ascii="Arial Narrow" w:hAnsi="Arial Narrow"/>
                <w:b/>
                <w:bCs/>
                <w:sz w:val="20"/>
                <w:szCs w:val="20"/>
              </w:rPr>
              <w:t>Overall treatment week</w:t>
            </w:r>
          </w:p>
        </w:tc>
        <w:tc>
          <w:tcPr>
            <w:tcW w:w="2249" w:type="pct"/>
            <w:gridSpan w:val="4"/>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Monotherapy</w:t>
            </w:r>
          </w:p>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(BREEZE-AD1 and BREEZE-AD2)</w:t>
            </w:r>
          </w:p>
        </w:tc>
        <w:tc>
          <w:tcPr>
            <w:tcW w:w="2249" w:type="pct"/>
            <w:gridSpan w:val="4"/>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 xml:space="preserve">Combination therapy with </w:t>
            </w:r>
            <w:r w:rsidR="004C2C71">
              <w:rPr>
                <w:rFonts w:ascii="Arial Narrow" w:hAnsi="Arial Narrow"/>
                <w:b/>
                <w:bCs/>
                <w:sz w:val="20"/>
                <w:szCs w:val="20"/>
              </w:rPr>
              <w:t>T</w:t>
            </w:r>
            <w:r w:rsidRPr="00917FFB">
              <w:rPr>
                <w:rFonts w:ascii="Arial Narrow" w:hAnsi="Arial Narrow"/>
                <w:b/>
                <w:bCs/>
                <w:sz w:val="20"/>
                <w:szCs w:val="20"/>
              </w:rPr>
              <w:t>CS</w:t>
            </w:r>
          </w:p>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(BREEZE-AD7)</w:t>
            </w:r>
          </w:p>
        </w:tc>
      </w:tr>
      <w:tr w:rsidR="006511EA" w:rsidRPr="00917FFB" w:rsidTr="007923A4">
        <w:trPr>
          <w:tblHeader/>
        </w:trPr>
        <w:tc>
          <w:tcPr>
            <w:tcW w:w="502" w:type="pct"/>
            <w:vMerge/>
            <w:vAlign w:val="center"/>
          </w:tcPr>
          <w:p w:rsidR="006511EA" w:rsidRPr="00917FFB" w:rsidRDefault="006511EA" w:rsidP="00096ADB">
            <w:pPr>
              <w:keepNext/>
              <w:keepLines/>
              <w:jc w:val="left"/>
              <w:rPr>
                <w:rFonts w:ascii="Arial Narrow" w:hAnsi="Arial Narrow"/>
                <w:sz w:val="20"/>
                <w:szCs w:val="20"/>
              </w:rPr>
            </w:pPr>
          </w:p>
        </w:tc>
        <w:tc>
          <w:tcPr>
            <w:tcW w:w="1124" w:type="pct"/>
            <w:gridSpan w:val="2"/>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IGA 0 or 1</w:t>
            </w:r>
          </w:p>
        </w:tc>
        <w:tc>
          <w:tcPr>
            <w:tcW w:w="1125" w:type="pct"/>
            <w:gridSpan w:val="2"/>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EASI 75</w:t>
            </w:r>
          </w:p>
        </w:tc>
        <w:tc>
          <w:tcPr>
            <w:tcW w:w="1125" w:type="pct"/>
            <w:gridSpan w:val="2"/>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IGA 0 or 1</w:t>
            </w:r>
          </w:p>
        </w:tc>
        <w:tc>
          <w:tcPr>
            <w:tcW w:w="1125" w:type="pct"/>
            <w:gridSpan w:val="2"/>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EASI 75</w:t>
            </w:r>
          </w:p>
        </w:tc>
      </w:tr>
      <w:tr w:rsidR="006511EA" w:rsidRPr="00917FFB" w:rsidTr="007923A4">
        <w:trPr>
          <w:tblHeader/>
        </w:trPr>
        <w:tc>
          <w:tcPr>
            <w:tcW w:w="502" w:type="pct"/>
            <w:vMerge/>
          </w:tcPr>
          <w:p w:rsidR="006511EA" w:rsidRPr="00917FFB" w:rsidRDefault="006511EA" w:rsidP="00096ADB">
            <w:pPr>
              <w:keepNext/>
              <w:keepLines/>
              <w:rPr>
                <w:rFonts w:ascii="Arial Narrow" w:hAnsi="Arial Narrow"/>
                <w:sz w:val="20"/>
                <w:szCs w:val="20"/>
              </w:rPr>
            </w:pPr>
          </w:p>
        </w:tc>
        <w:tc>
          <w:tcPr>
            <w:tcW w:w="561" w:type="pct"/>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BARI 2</w:t>
            </w:r>
            <w:r w:rsidR="003506FA" w:rsidRPr="00917FFB">
              <w:rPr>
                <w:rFonts w:ascii="Arial Narrow" w:hAnsi="Arial Narrow"/>
                <w:b/>
                <w:bCs/>
                <w:sz w:val="20"/>
                <w:szCs w:val="20"/>
              </w:rPr>
              <w:t xml:space="preserve"> </w:t>
            </w:r>
            <w:r w:rsidRPr="00917FFB">
              <w:rPr>
                <w:rFonts w:ascii="Arial Narrow" w:hAnsi="Arial Narrow"/>
                <w:b/>
                <w:bCs/>
                <w:sz w:val="20"/>
                <w:szCs w:val="20"/>
              </w:rPr>
              <w:t>mg</w:t>
            </w:r>
          </w:p>
        </w:tc>
        <w:tc>
          <w:tcPr>
            <w:tcW w:w="563" w:type="pct"/>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BARI 4</w:t>
            </w:r>
            <w:r w:rsidR="003506FA" w:rsidRPr="00917FFB">
              <w:rPr>
                <w:rFonts w:ascii="Arial Narrow" w:hAnsi="Arial Narrow"/>
                <w:b/>
                <w:bCs/>
                <w:sz w:val="20"/>
                <w:szCs w:val="20"/>
              </w:rPr>
              <w:t xml:space="preserve"> </w:t>
            </w:r>
            <w:r w:rsidRPr="00917FFB">
              <w:rPr>
                <w:rFonts w:ascii="Arial Narrow" w:hAnsi="Arial Narrow"/>
                <w:b/>
                <w:bCs/>
                <w:sz w:val="20"/>
                <w:szCs w:val="20"/>
              </w:rPr>
              <w:t>mg</w:t>
            </w:r>
          </w:p>
        </w:tc>
        <w:tc>
          <w:tcPr>
            <w:tcW w:w="562" w:type="pct"/>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BARI 2</w:t>
            </w:r>
            <w:r w:rsidR="003506FA" w:rsidRPr="00917FFB">
              <w:rPr>
                <w:rFonts w:ascii="Arial Narrow" w:hAnsi="Arial Narrow"/>
                <w:b/>
                <w:bCs/>
                <w:sz w:val="20"/>
                <w:szCs w:val="20"/>
              </w:rPr>
              <w:t xml:space="preserve"> </w:t>
            </w:r>
            <w:r w:rsidRPr="00917FFB">
              <w:rPr>
                <w:rFonts w:ascii="Arial Narrow" w:hAnsi="Arial Narrow"/>
                <w:b/>
                <w:bCs/>
                <w:sz w:val="20"/>
                <w:szCs w:val="20"/>
              </w:rPr>
              <w:t>mg</w:t>
            </w:r>
          </w:p>
        </w:tc>
        <w:tc>
          <w:tcPr>
            <w:tcW w:w="563" w:type="pct"/>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BARI 4</w:t>
            </w:r>
            <w:r w:rsidR="003506FA" w:rsidRPr="00917FFB">
              <w:rPr>
                <w:rFonts w:ascii="Arial Narrow" w:hAnsi="Arial Narrow"/>
                <w:b/>
                <w:bCs/>
                <w:sz w:val="20"/>
                <w:szCs w:val="20"/>
              </w:rPr>
              <w:t xml:space="preserve"> </w:t>
            </w:r>
            <w:r w:rsidRPr="00917FFB">
              <w:rPr>
                <w:rFonts w:ascii="Arial Narrow" w:hAnsi="Arial Narrow"/>
                <w:b/>
                <w:bCs/>
                <w:sz w:val="20"/>
                <w:szCs w:val="20"/>
              </w:rPr>
              <w:t>mg</w:t>
            </w:r>
          </w:p>
        </w:tc>
        <w:tc>
          <w:tcPr>
            <w:tcW w:w="562" w:type="pct"/>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BARI 2</w:t>
            </w:r>
            <w:r w:rsidR="003506FA" w:rsidRPr="00917FFB">
              <w:rPr>
                <w:rFonts w:ascii="Arial Narrow" w:hAnsi="Arial Narrow"/>
                <w:b/>
                <w:bCs/>
                <w:sz w:val="20"/>
                <w:szCs w:val="20"/>
              </w:rPr>
              <w:t xml:space="preserve"> </w:t>
            </w:r>
            <w:r w:rsidRPr="00917FFB">
              <w:rPr>
                <w:rFonts w:ascii="Arial Narrow" w:hAnsi="Arial Narrow"/>
                <w:b/>
                <w:bCs/>
                <w:sz w:val="20"/>
                <w:szCs w:val="20"/>
              </w:rPr>
              <w:t>mg</w:t>
            </w:r>
          </w:p>
        </w:tc>
        <w:tc>
          <w:tcPr>
            <w:tcW w:w="563" w:type="pct"/>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BARI 4</w:t>
            </w:r>
            <w:r w:rsidR="003506FA" w:rsidRPr="00917FFB">
              <w:rPr>
                <w:rFonts w:ascii="Arial Narrow" w:hAnsi="Arial Narrow"/>
                <w:b/>
                <w:bCs/>
                <w:sz w:val="20"/>
                <w:szCs w:val="20"/>
              </w:rPr>
              <w:t xml:space="preserve"> </w:t>
            </w:r>
            <w:r w:rsidRPr="00917FFB">
              <w:rPr>
                <w:rFonts w:ascii="Arial Narrow" w:hAnsi="Arial Narrow"/>
                <w:b/>
                <w:bCs/>
                <w:sz w:val="20"/>
                <w:szCs w:val="20"/>
              </w:rPr>
              <w:t>mg</w:t>
            </w:r>
          </w:p>
        </w:tc>
        <w:tc>
          <w:tcPr>
            <w:tcW w:w="562" w:type="pct"/>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BARI 2</w:t>
            </w:r>
            <w:r w:rsidR="003506FA" w:rsidRPr="00917FFB">
              <w:rPr>
                <w:rFonts w:ascii="Arial Narrow" w:hAnsi="Arial Narrow"/>
                <w:b/>
                <w:bCs/>
                <w:sz w:val="20"/>
                <w:szCs w:val="20"/>
              </w:rPr>
              <w:t xml:space="preserve"> </w:t>
            </w:r>
            <w:r w:rsidRPr="00917FFB">
              <w:rPr>
                <w:rFonts w:ascii="Arial Narrow" w:hAnsi="Arial Narrow"/>
                <w:b/>
                <w:bCs/>
                <w:sz w:val="20"/>
                <w:szCs w:val="20"/>
              </w:rPr>
              <w:t>mg</w:t>
            </w:r>
          </w:p>
        </w:tc>
        <w:tc>
          <w:tcPr>
            <w:tcW w:w="563" w:type="pct"/>
            <w:vAlign w:val="center"/>
          </w:tcPr>
          <w:p w:rsidR="006511EA" w:rsidRPr="00917FFB" w:rsidRDefault="006511EA" w:rsidP="00096ADB">
            <w:pPr>
              <w:keepNext/>
              <w:keepLines/>
              <w:jc w:val="center"/>
              <w:rPr>
                <w:rFonts w:ascii="Arial Narrow" w:hAnsi="Arial Narrow"/>
                <w:b/>
                <w:bCs/>
                <w:sz w:val="20"/>
                <w:szCs w:val="20"/>
              </w:rPr>
            </w:pPr>
            <w:r w:rsidRPr="00917FFB">
              <w:rPr>
                <w:rFonts w:ascii="Arial Narrow" w:hAnsi="Arial Narrow"/>
                <w:b/>
                <w:bCs/>
                <w:sz w:val="20"/>
                <w:szCs w:val="20"/>
              </w:rPr>
              <w:t>BARI 4</w:t>
            </w:r>
            <w:r w:rsidR="003506FA" w:rsidRPr="00917FFB">
              <w:rPr>
                <w:rFonts w:ascii="Arial Narrow" w:hAnsi="Arial Narrow"/>
                <w:b/>
                <w:bCs/>
                <w:sz w:val="20"/>
                <w:szCs w:val="20"/>
              </w:rPr>
              <w:t xml:space="preserve"> </w:t>
            </w:r>
            <w:r w:rsidRPr="00917FFB">
              <w:rPr>
                <w:rFonts w:ascii="Arial Narrow" w:hAnsi="Arial Narrow"/>
                <w:b/>
                <w:bCs/>
                <w:sz w:val="20"/>
                <w:szCs w:val="20"/>
              </w:rPr>
              <w:t>mg</w:t>
            </w:r>
          </w:p>
        </w:tc>
      </w:tr>
      <w:tr w:rsidR="006511EA" w:rsidRPr="00917FFB" w:rsidTr="00A34379">
        <w:tc>
          <w:tcPr>
            <w:tcW w:w="502" w:type="pct"/>
            <w:vAlign w:val="center"/>
          </w:tcPr>
          <w:p w:rsidR="006511EA" w:rsidRPr="00917FFB" w:rsidRDefault="006511EA" w:rsidP="00096ADB">
            <w:pPr>
              <w:keepNext/>
              <w:keepLines/>
              <w:jc w:val="left"/>
              <w:rPr>
                <w:rFonts w:ascii="Arial Narrow" w:hAnsi="Arial Narrow"/>
                <w:sz w:val="20"/>
                <w:szCs w:val="20"/>
                <w:vertAlign w:val="superscript"/>
              </w:rPr>
            </w:pPr>
            <w:r w:rsidRPr="00917FFB">
              <w:rPr>
                <w:rFonts w:ascii="Arial Narrow" w:hAnsi="Arial Narrow"/>
                <w:sz w:val="20"/>
                <w:szCs w:val="20"/>
              </w:rPr>
              <w:t>Wk 16</w:t>
            </w:r>
            <w:r w:rsidRPr="00917FFB">
              <w:rPr>
                <w:rFonts w:ascii="Arial Narrow" w:hAnsi="Arial Narrow"/>
                <w:sz w:val="20"/>
                <w:szCs w:val="20"/>
                <w:vertAlign w:val="superscript"/>
              </w:rPr>
              <w:t>^</w:t>
            </w:r>
          </w:p>
        </w:tc>
        <w:tc>
          <w:tcPr>
            <w:tcW w:w="561"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8/84</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(9.5)</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10/78</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(12.8)</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22/84</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(26.2)</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21/78</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(26.8)</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2/20</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(10.0)</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1/21</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(4.8)</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3/20</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(15.0)</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4/21</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(19.0)</w:t>
            </w:r>
          </w:p>
        </w:tc>
      </w:tr>
      <w:tr w:rsidR="006511EA" w:rsidRPr="00917FFB" w:rsidTr="00A34379">
        <w:tc>
          <w:tcPr>
            <w:tcW w:w="502" w:type="pct"/>
            <w:vAlign w:val="center"/>
          </w:tcPr>
          <w:p w:rsidR="006511EA" w:rsidRPr="00917FFB" w:rsidRDefault="006511EA" w:rsidP="00096ADB">
            <w:pPr>
              <w:keepNext/>
              <w:keepLines/>
              <w:jc w:val="left"/>
              <w:rPr>
                <w:rFonts w:ascii="Arial Narrow" w:hAnsi="Arial Narrow"/>
                <w:sz w:val="20"/>
                <w:szCs w:val="20"/>
              </w:rPr>
            </w:pPr>
            <w:r w:rsidRPr="00917FFB">
              <w:rPr>
                <w:rFonts w:ascii="Arial Narrow" w:hAnsi="Arial Narrow"/>
                <w:sz w:val="20"/>
                <w:szCs w:val="20"/>
              </w:rPr>
              <w:t>Wk 32</w:t>
            </w:r>
          </w:p>
        </w:tc>
        <w:tc>
          <w:tcPr>
            <w:tcW w:w="561"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13/84</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(15.5)</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14/78</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(17.9)</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32/84</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(38.1)</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30/78</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(38.5)</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2/20</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(10.0)</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6/21</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(28.6)</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4/20</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(20.0)</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12/21</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(57.1)</w:t>
            </w:r>
          </w:p>
        </w:tc>
      </w:tr>
      <w:tr w:rsidR="006511EA" w:rsidRPr="00917FFB" w:rsidTr="00A34379">
        <w:tc>
          <w:tcPr>
            <w:tcW w:w="502" w:type="pct"/>
            <w:vAlign w:val="center"/>
          </w:tcPr>
          <w:p w:rsidR="006511EA" w:rsidRPr="00917FFB" w:rsidRDefault="006511EA" w:rsidP="00096ADB">
            <w:pPr>
              <w:keepNext/>
              <w:keepLines/>
              <w:jc w:val="left"/>
              <w:rPr>
                <w:rFonts w:ascii="Arial Narrow" w:hAnsi="Arial Narrow"/>
                <w:sz w:val="20"/>
                <w:szCs w:val="20"/>
              </w:rPr>
            </w:pPr>
            <w:r w:rsidRPr="00917FFB">
              <w:rPr>
                <w:rFonts w:ascii="Arial Narrow" w:hAnsi="Arial Narrow"/>
                <w:sz w:val="20"/>
                <w:szCs w:val="20"/>
              </w:rPr>
              <w:t>Wk 52</w:t>
            </w:r>
          </w:p>
        </w:tc>
        <w:tc>
          <w:tcPr>
            <w:tcW w:w="561"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9/84</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(10.7)</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13/78</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(16.7)</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26/84</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(31.0)</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35/78</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(44.9)</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NR</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NR</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NR</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NR</w:t>
            </w:r>
          </w:p>
        </w:tc>
      </w:tr>
      <w:tr w:rsidR="006511EA" w:rsidRPr="00917FFB" w:rsidTr="00A34379">
        <w:tc>
          <w:tcPr>
            <w:tcW w:w="502" w:type="pct"/>
            <w:vAlign w:val="center"/>
          </w:tcPr>
          <w:p w:rsidR="006511EA" w:rsidRPr="00917FFB" w:rsidRDefault="006511EA" w:rsidP="00096ADB">
            <w:pPr>
              <w:keepNext/>
              <w:keepLines/>
              <w:jc w:val="left"/>
              <w:rPr>
                <w:rFonts w:ascii="Arial Narrow" w:hAnsi="Arial Narrow"/>
                <w:sz w:val="20"/>
                <w:szCs w:val="20"/>
              </w:rPr>
            </w:pPr>
            <w:r w:rsidRPr="00917FFB">
              <w:rPr>
                <w:rFonts w:ascii="Arial Narrow" w:hAnsi="Arial Narrow"/>
                <w:sz w:val="20"/>
                <w:szCs w:val="20"/>
              </w:rPr>
              <w:t>Wk 68</w:t>
            </w:r>
          </w:p>
        </w:tc>
        <w:tc>
          <w:tcPr>
            <w:tcW w:w="561"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16/84</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(19.0)</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12/78</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(15.4)</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29/84</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(34.5)</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27/78</w:t>
            </w:r>
          </w:p>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(34.6)</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NR</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NR</w:t>
            </w:r>
          </w:p>
        </w:tc>
        <w:tc>
          <w:tcPr>
            <w:tcW w:w="562"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NR</w:t>
            </w:r>
          </w:p>
        </w:tc>
        <w:tc>
          <w:tcPr>
            <w:tcW w:w="563" w:type="pct"/>
            <w:tcMar>
              <w:left w:w="17" w:type="dxa"/>
            </w:tcMar>
            <w:vAlign w:val="center"/>
          </w:tcPr>
          <w:p w:rsidR="006511EA" w:rsidRPr="00917FFB" w:rsidRDefault="006511EA" w:rsidP="00096ADB">
            <w:pPr>
              <w:keepNext/>
              <w:keepLines/>
              <w:jc w:val="center"/>
              <w:rPr>
                <w:rFonts w:ascii="Arial Narrow" w:hAnsi="Arial Narrow"/>
                <w:sz w:val="20"/>
                <w:szCs w:val="20"/>
              </w:rPr>
            </w:pPr>
            <w:r w:rsidRPr="00917FFB">
              <w:rPr>
                <w:rFonts w:ascii="Arial Narrow" w:hAnsi="Arial Narrow"/>
                <w:sz w:val="20"/>
                <w:szCs w:val="20"/>
              </w:rPr>
              <w:t>NR</w:t>
            </w:r>
          </w:p>
        </w:tc>
      </w:tr>
    </w:tbl>
    <w:p w:rsidR="006511EA" w:rsidRDefault="006511EA" w:rsidP="007E2360">
      <w:pPr>
        <w:keepNext/>
        <w:keepLines/>
        <w:tabs>
          <w:tab w:val="left" w:pos="142"/>
        </w:tabs>
        <w:rPr>
          <w:rFonts w:ascii="Arial Narrow" w:hAnsi="Arial Narrow"/>
          <w:sz w:val="18"/>
          <w:szCs w:val="18"/>
        </w:rPr>
      </w:pPr>
      <w:r w:rsidRPr="004C2C71">
        <w:rPr>
          <w:rFonts w:ascii="Arial Narrow" w:hAnsi="Arial Narrow"/>
          <w:sz w:val="18"/>
          <w:szCs w:val="18"/>
        </w:rPr>
        <w:t>Source: Tables 2.5-22 to 2.5-23, pp178-179 of the submission.</w:t>
      </w:r>
    </w:p>
    <w:p w:rsidR="004C2C71" w:rsidRDefault="004C2C71" w:rsidP="007E2360">
      <w:pPr>
        <w:tabs>
          <w:tab w:val="left" w:pos="142"/>
        </w:tabs>
        <w:rPr>
          <w:rFonts w:ascii="Arial Narrow" w:hAnsi="Arial Narrow"/>
          <w:sz w:val="18"/>
          <w:szCs w:val="18"/>
        </w:rPr>
      </w:pPr>
      <w:r>
        <w:rPr>
          <w:rFonts w:ascii="Arial Narrow" w:hAnsi="Arial Narrow"/>
          <w:sz w:val="18"/>
          <w:szCs w:val="18"/>
        </w:rPr>
        <w:t>Abbreviations: BARI=baricitinib; EASI=</w:t>
      </w:r>
      <w:r w:rsidRPr="00917FFB">
        <w:rPr>
          <w:rFonts w:ascii="Arial Narrow" w:eastAsia="Calibri" w:hAnsi="Arial Narrow"/>
          <w:sz w:val="18"/>
          <w:szCs w:val="18"/>
        </w:rPr>
        <w:t>Eczema Area and Severity Index</w:t>
      </w:r>
      <w:r>
        <w:rPr>
          <w:rFonts w:ascii="Arial Narrow" w:eastAsia="Calibri" w:hAnsi="Arial Narrow"/>
          <w:sz w:val="18"/>
          <w:szCs w:val="18"/>
        </w:rPr>
        <w:t>;</w:t>
      </w:r>
      <w:r>
        <w:rPr>
          <w:rFonts w:ascii="Arial Narrow" w:hAnsi="Arial Narrow"/>
          <w:sz w:val="18"/>
          <w:szCs w:val="18"/>
        </w:rPr>
        <w:t xml:space="preserve"> IGA=Investigator’s Global Assessment; NR=not reported; PBO=placebo; TCS=topical corticosteroids; wk=week</w:t>
      </w:r>
    </w:p>
    <w:p w:rsidR="004C2C71" w:rsidRPr="004C2C71" w:rsidRDefault="004C2C71" w:rsidP="007E2360">
      <w:pPr>
        <w:keepNext/>
        <w:keepLines/>
        <w:tabs>
          <w:tab w:val="left" w:pos="142"/>
        </w:tabs>
        <w:rPr>
          <w:rFonts w:ascii="Arial Narrow" w:hAnsi="Arial Narrow"/>
          <w:sz w:val="18"/>
          <w:szCs w:val="18"/>
        </w:rPr>
      </w:pPr>
      <w:r w:rsidRPr="004C2C71">
        <w:rPr>
          <w:rFonts w:ascii="Arial Narrow" w:hAnsi="Arial Narrow"/>
          <w:sz w:val="18"/>
          <w:szCs w:val="18"/>
        </w:rPr>
        <w:t>^</w:t>
      </w:r>
      <w:r w:rsidRPr="004C2C71">
        <w:rPr>
          <w:rFonts w:ascii="Arial Narrow" w:hAnsi="Arial Narrow"/>
          <w:sz w:val="18"/>
          <w:szCs w:val="18"/>
        </w:rPr>
        <w:tab/>
        <w:t>Baseline in BREEZE-AD3</w:t>
      </w:r>
    </w:p>
    <w:p w:rsidR="004C2C71" w:rsidRPr="004C2C71" w:rsidRDefault="004C2C71" w:rsidP="00096ADB">
      <w:pPr>
        <w:keepNext/>
        <w:keepLines/>
        <w:tabs>
          <w:tab w:val="left" w:pos="142"/>
        </w:tabs>
        <w:spacing w:after="120"/>
        <w:rPr>
          <w:rFonts w:ascii="Arial Narrow" w:hAnsi="Arial Narrow"/>
          <w:sz w:val="18"/>
          <w:szCs w:val="18"/>
        </w:rPr>
      </w:pPr>
    </w:p>
    <w:p w:rsidR="005D77B0" w:rsidRPr="00917FFB" w:rsidRDefault="005D77B0" w:rsidP="005D77B0">
      <w:pPr>
        <w:pStyle w:val="3-BodyText"/>
      </w:pPr>
      <w:bookmarkStart w:id="15" w:name="_Ref78206491"/>
      <w:r w:rsidRPr="00917FFB">
        <w:t xml:space="preserve">The results show that IGA and EASI 75 response slightly </w:t>
      </w:r>
      <w:r w:rsidR="00274E3F" w:rsidRPr="00917FFB">
        <w:t xml:space="preserve">improved </w:t>
      </w:r>
      <w:r w:rsidRPr="00917FFB">
        <w:t>over time in both treatment arms, but there was no statistically significant difference between BARI 2</w:t>
      </w:r>
      <w:r w:rsidR="002C6DE0" w:rsidRPr="00917FFB">
        <w:t> </w:t>
      </w:r>
      <w:r w:rsidRPr="00917FFB">
        <w:t>mg and BARI 4</w:t>
      </w:r>
      <w:r w:rsidR="002C6DE0" w:rsidRPr="00917FFB">
        <w:t xml:space="preserve"> </w:t>
      </w:r>
      <w:r w:rsidRPr="00917FFB">
        <w:t>mg. However, the submission argued that interpretation of the results should take account of TCS. Non-responders from the monotherapy trials may include patients with or without TCS at baseline, where TCS was given as a rescue medication. In contrast, non-responders from the combination therapy trial had an inadequate response to treatment despite TCS. Thus, initiation of TCS during the monotherapy trials may have mitigated the impact of an increase in dose, whereas background treatment was unchanged in the combination therapy trial and so the benefit of increasing the dose could be observed.</w:t>
      </w:r>
      <w:bookmarkEnd w:id="15"/>
    </w:p>
    <w:p w:rsidR="006511EA" w:rsidRPr="00917FFB" w:rsidRDefault="005D77B0" w:rsidP="00790FDA">
      <w:pPr>
        <w:pStyle w:val="3-BodyText"/>
      </w:pPr>
      <w:bookmarkStart w:id="16" w:name="_Ref78206495"/>
      <w:r w:rsidRPr="00917FFB">
        <w:rPr>
          <w:iCs/>
        </w:rPr>
        <w:t xml:space="preserve">Overall, the </w:t>
      </w:r>
      <w:r w:rsidR="00D66FC2" w:rsidRPr="00917FFB">
        <w:rPr>
          <w:iCs/>
        </w:rPr>
        <w:t xml:space="preserve">PBAC considered that the </w:t>
      </w:r>
      <w:r w:rsidRPr="00917FFB">
        <w:rPr>
          <w:iCs/>
        </w:rPr>
        <w:t xml:space="preserve">evidence presented in the submission </w:t>
      </w:r>
      <w:r w:rsidR="00D66FC2" w:rsidRPr="00917FFB">
        <w:rPr>
          <w:iCs/>
        </w:rPr>
        <w:t xml:space="preserve">did </w:t>
      </w:r>
      <w:r w:rsidRPr="00917FFB">
        <w:rPr>
          <w:iCs/>
        </w:rPr>
        <w:t>not clearly demonstrate a benefit for the up-titration from BARI 2</w:t>
      </w:r>
      <w:r w:rsidR="002C6DE0" w:rsidRPr="00917FFB">
        <w:rPr>
          <w:iCs/>
        </w:rPr>
        <w:t xml:space="preserve"> </w:t>
      </w:r>
      <w:r w:rsidRPr="00917FFB">
        <w:rPr>
          <w:iCs/>
        </w:rPr>
        <w:t>mg to BARI 4</w:t>
      </w:r>
      <w:r w:rsidR="002C6DE0" w:rsidRPr="00917FFB">
        <w:rPr>
          <w:iCs/>
        </w:rPr>
        <w:t xml:space="preserve"> </w:t>
      </w:r>
      <w:r w:rsidRPr="00917FFB">
        <w:rPr>
          <w:iCs/>
        </w:rPr>
        <w:t>mg in patients with an inadequate response to BARI 2</w:t>
      </w:r>
      <w:r w:rsidR="002C6DE0" w:rsidRPr="00917FFB">
        <w:rPr>
          <w:iCs/>
        </w:rPr>
        <w:t xml:space="preserve"> </w:t>
      </w:r>
      <w:r w:rsidRPr="00917FFB">
        <w:rPr>
          <w:iCs/>
        </w:rPr>
        <w:t xml:space="preserve">mg. </w:t>
      </w:r>
      <w:r w:rsidR="00274E3F" w:rsidRPr="00917FFB">
        <w:rPr>
          <w:iCs/>
        </w:rPr>
        <w:t xml:space="preserve">An improvement in treatment response over time in patients who were non-responders at baseline despite no change in treatment is likely explained by the regression to the mean phenomenon. In addition, any </w:t>
      </w:r>
      <w:r w:rsidRPr="00917FFB">
        <w:rPr>
          <w:iCs/>
        </w:rPr>
        <w:t>potential mitigating effects of TCS noted by the submission highlights the importance of optimising topical treatments in practice, and would imply that the treatment effects observed in the monotherapy trials may not be realised in practice.</w:t>
      </w:r>
      <w:bookmarkEnd w:id="16"/>
    </w:p>
    <w:p w:rsidR="00B60939" w:rsidRPr="00917FFB" w:rsidRDefault="00B60939" w:rsidP="00D86231">
      <w:pPr>
        <w:pStyle w:val="4-SubsectionHeading"/>
      </w:pPr>
      <w:bookmarkStart w:id="17" w:name="_Toc22897642"/>
      <w:bookmarkStart w:id="18" w:name="_Toc72320854"/>
      <w:r w:rsidRPr="00917FFB">
        <w:t>Comparative harms</w:t>
      </w:r>
      <w:bookmarkEnd w:id="17"/>
      <w:bookmarkEnd w:id="18"/>
    </w:p>
    <w:p w:rsidR="00D76C5D" w:rsidRPr="00917FFB" w:rsidRDefault="00D76C5D" w:rsidP="009B583D">
      <w:pPr>
        <w:pStyle w:val="3-BodyText"/>
        <w:rPr>
          <w:i/>
        </w:rPr>
      </w:pPr>
      <w:r w:rsidRPr="00917FFB">
        <w:t xml:space="preserve">The submission presented a summary of adverse events (AEs) and treatment emergent infections over 16 weeks for BARI and DUPI trials. </w:t>
      </w:r>
      <w:r w:rsidR="00890080" w:rsidRPr="00917FFB">
        <w:t>Safety outcomes were analysed in the safety population (all randomised patients who received at least one dose of a study drug).</w:t>
      </w:r>
      <w:r w:rsidR="00AC1539" w:rsidRPr="00917FFB">
        <w:t xml:space="preserve"> </w:t>
      </w:r>
      <w:r w:rsidR="005231F8" w:rsidRPr="00917FFB">
        <w:t xml:space="preserve">The most commonly reported adverse events for BARI in the </w:t>
      </w:r>
      <w:r w:rsidR="0001324E" w:rsidRPr="00917FFB">
        <w:t>PBO</w:t>
      </w:r>
      <w:r w:rsidR="005231F8" w:rsidRPr="00917FFB">
        <w:t>-controlled periods of the trials included nasopharyngitis, headache and increased blood creatinine phosphokinase. The most common adverse event leading to discontinuation decreased white blood cell count. Known common AEs (&gt;5% occurrence) in the BARI PI include: nasopharyngitis, headache, upper respiratory tract infections, herpes simplex infection and LDL cholesterol ≥130</w:t>
      </w:r>
      <w:r w:rsidR="001A7072" w:rsidRPr="00917FFB">
        <w:t xml:space="preserve"> </w:t>
      </w:r>
      <w:r w:rsidR="005231F8" w:rsidRPr="00917FFB">
        <w:t>mg/dL.</w:t>
      </w:r>
    </w:p>
    <w:p w:rsidR="00D76C5D" w:rsidRPr="00917FFB" w:rsidRDefault="00D76C5D" w:rsidP="00790FDA">
      <w:pPr>
        <w:pStyle w:val="3-BodyText"/>
      </w:pPr>
      <w:r w:rsidRPr="00917FFB">
        <w:t>The submission presented pooled safety results of BARI and DUPI trials and conducted indirect safety comparisons for BARI vs DUPI via PBO for three b</w:t>
      </w:r>
      <w:r w:rsidR="0037729F" w:rsidRPr="00917FFB">
        <w:t>r</w:t>
      </w:r>
      <w:r w:rsidRPr="00917FFB">
        <w:t xml:space="preserve">oad categories: any AEs, serious treatment emergent adverse event (TEAEs) and discontinuation due to AEs at Week 16 (Table </w:t>
      </w:r>
      <w:r w:rsidR="00790FDA" w:rsidRPr="00917FFB">
        <w:t>9</w:t>
      </w:r>
      <w:r w:rsidRPr="00917FFB">
        <w:t>).</w:t>
      </w:r>
      <w:r w:rsidR="00790FDA" w:rsidRPr="00917FFB">
        <w:t xml:space="preserve"> Overall, there were no statistically significant differences between BARI and DUPI for these safety outcomes</w:t>
      </w:r>
      <w:r w:rsidR="000859D5" w:rsidRPr="00917FFB">
        <w:t>.</w:t>
      </w:r>
    </w:p>
    <w:p w:rsidR="00B60939" w:rsidRPr="00853F7A" w:rsidRDefault="00173565" w:rsidP="00D44D54">
      <w:pPr>
        <w:pStyle w:val="TableFigureHeading"/>
        <w:keepLines/>
        <w:rPr>
          <w:rStyle w:val="CommentReference"/>
          <w:b/>
          <w:szCs w:val="24"/>
        </w:rPr>
      </w:pPr>
      <w:r w:rsidRPr="00917FFB">
        <w:rPr>
          <w:rStyle w:val="CommentReference"/>
          <w:b/>
          <w:szCs w:val="24"/>
        </w:rPr>
        <w:t xml:space="preserve">Table </w:t>
      </w:r>
      <w:r w:rsidR="00790FDA" w:rsidRPr="00917FFB">
        <w:rPr>
          <w:rStyle w:val="CommentReference"/>
          <w:b/>
          <w:szCs w:val="24"/>
        </w:rPr>
        <w:t>9</w:t>
      </w:r>
      <w:r w:rsidR="005D26B4" w:rsidRPr="00917FFB">
        <w:rPr>
          <w:rStyle w:val="CommentReference"/>
          <w:b/>
          <w:szCs w:val="24"/>
        </w:rPr>
        <w:t>:</w:t>
      </w:r>
      <w:r w:rsidR="00BC591F" w:rsidRPr="00917FFB">
        <w:rPr>
          <w:rStyle w:val="CommentReference"/>
          <w:b/>
          <w:szCs w:val="24"/>
        </w:rPr>
        <w:t xml:space="preserve"> </w:t>
      </w:r>
      <w:r w:rsidR="00836E6C" w:rsidRPr="00917FFB">
        <w:rPr>
          <w:rStyle w:val="CommentReference"/>
          <w:b/>
          <w:szCs w:val="24"/>
        </w:rPr>
        <w:t xml:space="preserve">Pooled safety results </w:t>
      </w:r>
      <w:r w:rsidR="00954732" w:rsidRPr="00917FFB">
        <w:rPr>
          <w:rStyle w:val="CommentReference"/>
          <w:b/>
          <w:szCs w:val="24"/>
        </w:rPr>
        <w:t>and indirect safety comparisons of BARI vs DUPI via PBO</w:t>
      </w:r>
      <w:r w:rsidR="00836E6C" w:rsidRPr="00917FFB">
        <w:rPr>
          <w:rStyle w:val="CommentReference"/>
          <w:b/>
          <w:szCs w:val="24"/>
        </w:rPr>
        <w:t xml:space="preserve"> to Week 16</w:t>
      </w:r>
    </w:p>
    <w:tbl>
      <w:tblPr>
        <w:tblStyle w:val="TableGrid"/>
        <w:tblW w:w="5000" w:type="pct"/>
        <w:jc w:val="center"/>
        <w:tblCellMar>
          <w:left w:w="28" w:type="dxa"/>
          <w:right w:w="28" w:type="dxa"/>
        </w:tblCellMar>
        <w:tblLook w:val="04A0" w:firstRow="1" w:lastRow="0" w:firstColumn="1" w:lastColumn="0" w:noHBand="0" w:noVBand="1"/>
        <w:tblCaption w:val="Table 9: Pooled safety results and indirect safety comparisons of BARI vs DUPI via PBO to Week 16"/>
      </w:tblPr>
      <w:tblGrid>
        <w:gridCol w:w="1412"/>
        <w:gridCol w:w="945"/>
        <w:gridCol w:w="945"/>
        <w:gridCol w:w="945"/>
        <w:gridCol w:w="1062"/>
        <w:gridCol w:w="1062"/>
        <w:gridCol w:w="1324"/>
        <w:gridCol w:w="1322"/>
      </w:tblGrid>
      <w:tr w:rsidR="003D7F94" w:rsidRPr="00917FFB" w:rsidTr="007923A4">
        <w:trPr>
          <w:trHeight w:val="411"/>
          <w:tblHeader/>
          <w:jc w:val="center"/>
        </w:trPr>
        <w:tc>
          <w:tcPr>
            <w:tcW w:w="783" w:type="pct"/>
            <w:vMerge w:val="restart"/>
            <w:vAlign w:val="center"/>
          </w:tcPr>
          <w:p w:rsidR="003D7F94" w:rsidRPr="00917FFB" w:rsidRDefault="003D7F94" w:rsidP="00D44D54">
            <w:pPr>
              <w:keepNext/>
              <w:keepLines/>
              <w:widowControl w:val="0"/>
              <w:jc w:val="left"/>
              <w:rPr>
                <w:rFonts w:ascii="Arial Narrow" w:hAnsi="Arial Narrow"/>
                <w:b/>
                <w:sz w:val="20"/>
                <w:szCs w:val="20"/>
              </w:rPr>
            </w:pPr>
            <w:r w:rsidRPr="00917FFB">
              <w:rPr>
                <w:rFonts w:ascii="Arial Narrow" w:hAnsi="Arial Narrow"/>
                <w:b/>
                <w:sz w:val="20"/>
                <w:szCs w:val="20"/>
              </w:rPr>
              <w:t>Safety outcome</w:t>
            </w:r>
          </w:p>
        </w:tc>
        <w:tc>
          <w:tcPr>
            <w:tcW w:w="1571" w:type="pct"/>
            <w:gridSpan w:val="3"/>
            <w:vAlign w:val="center"/>
          </w:tcPr>
          <w:p w:rsidR="003D7F94" w:rsidRPr="00917FFB" w:rsidRDefault="003D7F94" w:rsidP="00D44D54">
            <w:pPr>
              <w:keepNext/>
              <w:keepLines/>
              <w:widowControl w:val="0"/>
              <w:jc w:val="center"/>
              <w:rPr>
                <w:rFonts w:ascii="Arial Narrow" w:hAnsi="Arial Narrow"/>
                <w:b/>
                <w:sz w:val="20"/>
                <w:szCs w:val="20"/>
              </w:rPr>
            </w:pPr>
            <w:r w:rsidRPr="00917FFB">
              <w:rPr>
                <w:rFonts w:ascii="Arial Narrow" w:hAnsi="Arial Narrow"/>
                <w:b/>
                <w:sz w:val="20"/>
                <w:szCs w:val="20"/>
              </w:rPr>
              <w:t>BARI trials</w:t>
            </w:r>
          </w:p>
        </w:tc>
        <w:tc>
          <w:tcPr>
            <w:tcW w:w="1178" w:type="pct"/>
            <w:gridSpan w:val="2"/>
            <w:vAlign w:val="center"/>
          </w:tcPr>
          <w:p w:rsidR="003D7F94" w:rsidRPr="00917FFB" w:rsidRDefault="003D7F94" w:rsidP="00D44D54">
            <w:pPr>
              <w:keepNext/>
              <w:keepLines/>
              <w:widowControl w:val="0"/>
              <w:jc w:val="center"/>
              <w:rPr>
                <w:rFonts w:ascii="Arial Narrow" w:hAnsi="Arial Narrow"/>
                <w:b/>
                <w:sz w:val="20"/>
                <w:szCs w:val="20"/>
              </w:rPr>
            </w:pPr>
            <w:r w:rsidRPr="00917FFB">
              <w:rPr>
                <w:rFonts w:ascii="Arial Narrow" w:hAnsi="Arial Narrow"/>
                <w:b/>
                <w:sz w:val="20"/>
                <w:szCs w:val="20"/>
              </w:rPr>
              <w:t>DUPI trials</w:t>
            </w:r>
          </w:p>
        </w:tc>
        <w:tc>
          <w:tcPr>
            <w:tcW w:w="1468" w:type="pct"/>
            <w:gridSpan w:val="2"/>
            <w:vAlign w:val="center"/>
          </w:tcPr>
          <w:p w:rsidR="003D7F94" w:rsidRPr="00917FFB" w:rsidRDefault="003D7F94" w:rsidP="00D44D54">
            <w:pPr>
              <w:keepNext/>
              <w:keepLines/>
              <w:widowControl w:val="0"/>
              <w:jc w:val="center"/>
              <w:rPr>
                <w:rFonts w:ascii="Arial Narrow" w:hAnsi="Arial Narrow"/>
                <w:b/>
                <w:sz w:val="20"/>
                <w:szCs w:val="20"/>
              </w:rPr>
            </w:pPr>
            <w:r w:rsidRPr="00917FFB">
              <w:rPr>
                <w:rFonts w:ascii="Arial Narrow" w:hAnsi="Arial Narrow"/>
                <w:b/>
                <w:sz w:val="20"/>
                <w:szCs w:val="20"/>
              </w:rPr>
              <w:t>Indirect comparison, RD (95% CI)</w:t>
            </w:r>
          </w:p>
        </w:tc>
      </w:tr>
      <w:tr w:rsidR="00D76C5D" w:rsidRPr="00917FFB" w:rsidTr="007923A4">
        <w:trPr>
          <w:trHeight w:val="411"/>
          <w:tblHeader/>
          <w:jc w:val="center"/>
        </w:trPr>
        <w:tc>
          <w:tcPr>
            <w:tcW w:w="783" w:type="pct"/>
            <w:vMerge/>
            <w:vAlign w:val="center"/>
          </w:tcPr>
          <w:p w:rsidR="00D76C5D" w:rsidRPr="00917FFB" w:rsidRDefault="00D76C5D" w:rsidP="00D44D54">
            <w:pPr>
              <w:keepNext/>
              <w:keepLines/>
              <w:widowControl w:val="0"/>
              <w:rPr>
                <w:rFonts w:ascii="Arial Narrow" w:hAnsi="Arial Narrow"/>
                <w:sz w:val="20"/>
                <w:szCs w:val="20"/>
              </w:rPr>
            </w:pPr>
          </w:p>
        </w:tc>
        <w:tc>
          <w:tcPr>
            <w:tcW w:w="524" w:type="pct"/>
            <w:vAlign w:val="center"/>
          </w:tcPr>
          <w:p w:rsidR="00D76C5D" w:rsidRPr="00917FFB" w:rsidRDefault="00D76C5D" w:rsidP="00D44D54">
            <w:pPr>
              <w:keepNext/>
              <w:keepLines/>
              <w:widowControl w:val="0"/>
              <w:jc w:val="center"/>
              <w:rPr>
                <w:rFonts w:ascii="Arial Narrow" w:hAnsi="Arial Narrow"/>
                <w:b/>
                <w:sz w:val="20"/>
                <w:szCs w:val="20"/>
              </w:rPr>
            </w:pPr>
            <w:r w:rsidRPr="00917FFB">
              <w:rPr>
                <w:rFonts w:ascii="Arial Narrow" w:hAnsi="Arial Narrow"/>
                <w:b/>
                <w:sz w:val="20"/>
                <w:szCs w:val="20"/>
              </w:rPr>
              <w:t>BARI 2</w:t>
            </w:r>
            <w:r w:rsidR="003506FA" w:rsidRPr="00917FFB">
              <w:rPr>
                <w:rFonts w:ascii="Arial Narrow" w:hAnsi="Arial Narrow"/>
                <w:b/>
                <w:sz w:val="20"/>
                <w:szCs w:val="20"/>
              </w:rPr>
              <w:t xml:space="preserve"> </w:t>
            </w:r>
            <w:r w:rsidRPr="00917FFB">
              <w:rPr>
                <w:rFonts w:ascii="Arial Narrow" w:hAnsi="Arial Narrow"/>
                <w:b/>
                <w:sz w:val="20"/>
                <w:szCs w:val="20"/>
              </w:rPr>
              <w:t>mg</w:t>
            </w:r>
          </w:p>
        </w:tc>
        <w:tc>
          <w:tcPr>
            <w:tcW w:w="524" w:type="pct"/>
            <w:vAlign w:val="center"/>
          </w:tcPr>
          <w:p w:rsidR="00D76C5D" w:rsidRPr="00917FFB" w:rsidRDefault="00D76C5D" w:rsidP="00D44D54">
            <w:pPr>
              <w:keepNext/>
              <w:keepLines/>
              <w:widowControl w:val="0"/>
              <w:jc w:val="center"/>
              <w:rPr>
                <w:rFonts w:ascii="Arial Narrow" w:hAnsi="Arial Narrow"/>
                <w:b/>
                <w:sz w:val="20"/>
                <w:szCs w:val="20"/>
              </w:rPr>
            </w:pPr>
            <w:r w:rsidRPr="00917FFB">
              <w:rPr>
                <w:rFonts w:ascii="Arial Narrow" w:hAnsi="Arial Narrow"/>
                <w:b/>
                <w:sz w:val="20"/>
                <w:szCs w:val="20"/>
              </w:rPr>
              <w:t>BARI 4</w:t>
            </w:r>
            <w:r w:rsidR="003506FA" w:rsidRPr="00917FFB">
              <w:rPr>
                <w:rFonts w:ascii="Arial Narrow" w:hAnsi="Arial Narrow"/>
                <w:b/>
                <w:sz w:val="20"/>
                <w:szCs w:val="20"/>
              </w:rPr>
              <w:t xml:space="preserve"> </w:t>
            </w:r>
            <w:r w:rsidRPr="00917FFB">
              <w:rPr>
                <w:rFonts w:ascii="Arial Narrow" w:hAnsi="Arial Narrow"/>
                <w:b/>
                <w:sz w:val="20"/>
                <w:szCs w:val="20"/>
              </w:rPr>
              <w:t>mg</w:t>
            </w:r>
          </w:p>
        </w:tc>
        <w:tc>
          <w:tcPr>
            <w:tcW w:w="524" w:type="pct"/>
            <w:vAlign w:val="center"/>
          </w:tcPr>
          <w:p w:rsidR="00D76C5D" w:rsidRPr="00917FFB" w:rsidRDefault="00D76C5D" w:rsidP="00D44D54">
            <w:pPr>
              <w:keepNext/>
              <w:keepLines/>
              <w:widowControl w:val="0"/>
              <w:jc w:val="center"/>
              <w:rPr>
                <w:rFonts w:ascii="Arial Narrow" w:hAnsi="Arial Narrow"/>
                <w:b/>
                <w:sz w:val="20"/>
                <w:szCs w:val="20"/>
              </w:rPr>
            </w:pPr>
            <w:r w:rsidRPr="00917FFB">
              <w:rPr>
                <w:rFonts w:ascii="Arial Narrow" w:hAnsi="Arial Narrow"/>
                <w:b/>
                <w:sz w:val="20"/>
                <w:szCs w:val="20"/>
              </w:rPr>
              <w:t>PBO</w:t>
            </w:r>
          </w:p>
        </w:tc>
        <w:tc>
          <w:tcPr>
            <w:tcW w:w="589" w:type="pct"/>
            <w:vAlign w:val="center"/>
          </w:tcPr>
          <w:p w:rsidR="00D76C5D" w:rsidRPr="00917FFB" w:rsidRDefault="00D76C5D" w:rsidP="00D44D54">
            <w:pPr>
              <w:keepNext/>
              <w:keepLines/>
              <w:widowControl w:val="0"/>
              <w:jc w:val="center"/>
              <w:rPr>
                <w:rFonts w:ascii="Arial Narrow" w:hAnsi="Arial Narrow"/>
                <w:b/>
                <w:sz w:val="20"/>
                <w:szCs w:val="20"/>
              </w:rPr>
            </w:pPr>
            <w:r w:rsidRPr="00917FFB">
              <w:rPr>
                <w:rFonts w:ascii="Arial Narrow" w:hAnsi="Arial Narrow"/>
                <w:b/>
                <w:sz w:val="20"/>
                <w:szCs w:val="20"/>
              </w:rPr>
              <w:t>DUPI 300</w:t>
            </w:r>
            <w:r w:rsidR="003506FA" w:rsidRPr="00917FFB">
              <w:rPr>
                <w:rFonts w:ascii="Arial Narrow" w:hAnsi="Arial Narrow"/>
                <w:b/>
                <w:sz w:val="20"/>
                <w:szCs w:val="20"/>
              </w:rPr>
              <w:t xml:space="preserve"> </w:t>
            </w:r>
            <w:r w:rsidRPr="00917FFB">
              <w:rPr>
                <w:rFonts w:ascii="Arial Narrow" w:hAnsi="Arial Narrow"/>
                <w:b/>
                <w:sz w:val="20"/>
                <w:szCs w:val="20"/>
              </w:rPr>
              <w:t>mg</w:t>
            </w:r>
          </w:p>
        </w:tc>
        <w:tc>
          <w:tcPr>
            <w:tcW w:w="589" w:type="pct"/>
            <w:vAlign w:val="center"/>
          </w:tcPr>
          <w:p w:rsidR="00D76C5D" w:rsidRPr="00917FFB" w:rsidRDefault="00D76C5D" w:rsidP="00D44D54">
            <w:pPr>
              <w:keepNext/>
              <w:keepLines/>
              <w:widowControl w:val="0"/>
              <w:jc w:val="center"/>
              <w:rPr>
                <w:rFonts w:ascii="Arial Narrow" w:hAnsi="Arial Narrow"/>
                <w:b/>
                <w:sz w:val="20"/>
                <w:szCs w:val="20"/>
              </w:rPr>
            </w:pPr>
            <w:r w:rsidRPr="00917FFB">
              <w:rPr>
                <w:rFonts w:ascii="Arial Narrow" w:hAnsi="Arial Narrow"/>
                <w:b/>
                <w:sz w:val="20"/>
                <w:szCs w:val="20"/>
              </w:rPr>
              <w:t>PBO</w:t>
            </w:r>
          </w:p>
        </w:tc>
        <w:tc>
          <w:tcPr>
            <w:tcW w:w="734" w:type="pct"/>
            <w:vAlign w:val="center"/>
          </w:tcPr>
          <w:p w:rsidR="00D76C5D" w:rsidRPr="00917FFB" w:rsidRDefault="00D76C5D" w:rsidP="00D44D54">
            <w:pPr>
              <w:keepNext/>
              <w:keepLines/>
              <w:widowControl w:val="0"/>
              <w:jc w:val="center"/>
              <w:rPr>
                <w:rFonts w:ascii="Arial Narrow" w:hAnsi="Arial Narrow"/>
                <w:b/>
                <w:sz w:val="20"/>
                <w:szCs w:val="20"/>
              </w:rPr>
            </w:pPr>
            <w:r w:rsidRPr="00917FFB">
              <w:rPr>
                <w:rFonts w:ascii="Arial Narrow" w:hAnsi="Arial Narrow"/>
                <w:b/>
                <w:sz w:val="20"/>
                <w:szCs w:val="20"/>
              </w:rPr>
              <w:t>BARI 2</w:t>
            </w:r>
            <w:r w:rsidR="003506FA" w:rsidRPr="00917FFB">
              <w:rPr>
                <w:rFonts w:ascii="Arial Narrow" w:hAnsi="Arial Narrow"/>
                <w:b/>
                <w:sz w:val="20"/>
                <w:szCs w:val="20"/>
              </w:rPr>
              <w:t xml:space="preserve"> </w:t>
            </w:r>
            <w:r w:rsidRPr="00917FFB">
              <w:rPr>
                <w:rFonts w:ascii="Arial Narrow" w:hAnsi="Arial Narrow"/>
                <w:b/>
                <w:sz w:val="20"/>
                <w:szCs w:val="20"/>
              </w:rPr>
              <w:t>mg vs DUPI</w:t>
            </w:r>
          </w:p>
        </w:tc>
        <w:tc>
          <w:tcPr>
            <w:tcW w:w="734" w:type="pct"/>
            <w:vAlign w:val="center"/>
          </w:tcPr>
          <w:p w:rsidR="00D76C5D" w:rsidRPr="00917FFB" w:rsidRDefault="00D76C5D" w:rsidP="00D44D54">
            <w:pPr>
              <w:keepNext/>
              <w:keepLines/>
              <w:widowControl w:val="0"/>
              <w:jc w:val="center"/>
              <w:rPr>
                <w:rFonts w:ascii="Arial Narrow" w:hAnsi="Arial Narrow"/>
                <w:b/>
                <w:sz w:val="20"/>
                <w:szCs w:val="20"/>
              </w:rPr>
            </w:pPr>
            <w:r w:rsidRPr="00917FFB">
              <w:rPr>
                <w:rFonts w:ascii="Arial Narrow" w:hAnsi="Arial Narrow"/>
                <w:b/>
                <w:sz w:val="20"/>
                <w:szCs w:val="20"/>
              </w:rPr>
              <w:t>BARI 4</w:t>
            </w:r>
            <w:r w:rsidR="003506FA" w:rsidRPr="00917FFB">
              <w:rPr>
                <w:rFonts w:ascii="Arial Narrow" w:hAnsi="Arial Narrow"/>
                <w:b/>
                <w:sz w:val="20"/>
                <w:szCs w:val="20"/>
              </w:rPr>
              <w:t xml:space="preserve"> </w:t>
            </w:r>
            <w:r w:rsidRPr="00917FFB">
              <w:rPr>
                <w:rFonts w:ascii="Arial Narrow" w:hAnsi="Arial Narrow"/>
                <w:b/>
                <w:sz w:val="20"/>
                <w:szCs w:val="20"/>
              </w:rPr>
              <w:t>mg vs DUPI</w:t>
            </w:r>
          </w:p>
        </w:tc>
      </w:tr>
      <w:tr w:rsidR="00D76C5D" w:rsidRPr="00917FFB" w:rsidTr="003D7F94">
        <w:trPr>
          <w:trHeight w:val="411"/>
          <w:jc w:val="center"/>
        </w:trPr>
        <w:tc>
          <w:tcPr>
            <w:tcW w:w="783" w:type="pct"/>
            <w:vAlign w:val="center"/>
          </w:tcPr>
          <w:p w:rsidR="00D76C5D" w:rsidRPr="00917FFB" w:rsidRDefault="00D76C5D" w:rsidP="00D44D54">
            <w:pPr>
              <w:keepNext/>
              <w:keepLines/>
              <w:widowControl w:val="0"/>
              <w:jc w:val="left"/>
              <w:rPr>
                <w:rFonts w:ascii="Arial Narrow" w:hAnsi="Arial Narrow"/>
                <w:b/>
                <w:sz w:val="20"/>
                <w:szCs w:val="20"/>
              </w:rPr>
            </w:pPr>
            <w:r w:rsidRPr="00917FFB">
              <w:rPr>
                <w:rFonts w:ascii="Arial Narrow" w:hAnsi="Arial Narrow"/>
                <w:b/>
                <w:sz w:val="20"/>
                <w:szCs w:val="20"/>
              </w:rPr>
              <w:t>Any AEs</w:t>
            </w:r>
          </w:p>
        </w:tc>
        <w:tc>
          <w:tcPr>
            <w:tcW w:w="52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421/721</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(58.4)</w:t>
            </w:r>
          </w:p>
        </w:tc>
        <w:tc>
          <w:tcPr>
            <w:tcW w:w="52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300/489</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(61.3)</w:t>
            </w:r>
          </w:p>
        </w:tc>
        <w:tc>
          <w:tcPr>
            <w:tcW w:w="52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457/889</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(51.4)</w:t>
            </w:r>
          </w:p>
        </w:tc>
        <w:tc>
          <w:tcPr>
            <w:tcW w:w="589"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545/746</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(73.1)</w:t>
            </w:r>
          </w:p>
        </w:tc>
        <w:tc>
          <w:tcPr>
            <w:tcW w:w="589"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706/940</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(75.1)</w:t>
            </w:r>
          </w:p>
        </w:tc>
        <w:tc>
          <w:tcPr>
            <w:tcW w:w="73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0.06</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(-0.02, 0.13)</w:t>
            </w:r>
          </w:p>
        </w:tc>
        <w:tc>
          <w:tcPr>
            <w:tcW w:w="73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0.11</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(-0.01,0.22)</w:t>
            </w:r>
          </w:p>
        </w:tc>
      </w:tr>
      <w:tr w:rsidR="00D76C5D" w:rsidRPr="00917FFB" w:rsidTr="003D7F94">
        <w:trPr>
          <w:trHeight w:val="411"/>
          <w:jc w:val="center"/>
        </w:trPr>
        <w:tc>
          <w:tcPr>
            <w:tcW w:w="783" w:type="pct"/>
            <w:vAlign w:val="center"/>
          </w:tcPr>
          <w:p w:rsidR="00D76C5D" w:rsidRPr="00917FFB" w:rsidRDefault="00D76C5D" w:rsidP="00D44D54">
            <w:pPr>
              <w:keepNext/>
              <w:keepLines/>
              <w:widowControl w:val="0"/>
              <w:jc w:val="left"/>
              <w:rPr>
                <w:rFonts w:ascii="Arial Narrow" w:hAnsi="Arial Narrow"/>
                <w:b/>
                <w:sz w:val="20"/>
                <w:szCs w:val="20"/>
              </w:rPr>
            </w:pPr>
            <w:r w:rsidRPr="00917FFB">
              <w:rPr>
                <w:rFonts w:ascii="Arial Narrow" w:hAnsi="Arial Narrow"/>
                <w:b/>
                <w:sz w:val="20"/>
                <w:szCs w:val="20"/>
              </w:rPr>
              <w:t>Serious TEAEs</w:t>
            </w:r>
          </w:p>
        </w:tc>
        <w:tc>
          <w:tcPr>
            <w:tcW w:w="52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12/721</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(1.7)</w:t>
            </w:r>
          </w:p>
        </w:tc>
        <w:tc>
          <w:tcPr>
            <w:tcW w:w="52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14/489</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(2.9)</w:t>
            </w:r>
          </w:p>
        </w:tc>
        <w:tc>
          <w:tcPr>
            <w:tcW w:w="52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24/889</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(2.7)</w:t>
            </w:r>
          </w:p>
        </w:tc>
        <w:tc>
          <w:tcPr>
            <w:tcW w:w="589"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19/746</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(2.5)</w:t>
            </w:r>
          </w:p>
        </w:tc>
        <w:tc>
          <w:tcPr>
            <w:tcW w:w="589"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46/940</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(4.9)</w:t>
            </w:r>
          </w:p>
        </w:tc>
        <w:tc>
          <w:tcPr>
            <w:tcW w:w="73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0.01</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(-0.01, 0.03)</w:t>
            </w:r>
          </w:p>
        </w:tc>
        <w:tc>
          <w:tcPr>
            <w:tcW w:w="73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0.02</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(-0.01, 0.05)</w:t>
            </w:r>
          </w:p>
        </w:tc>
      </w:tr>
      <w:tr w:rsidR="00D76C5D" w:rsidRPr="00917FFB" w:rsidTr="003D7F94">
        <w:trPr>
          <w:trHeight w:val="607"/>
          <w:jc w:val="center"/>
        </w:trPr>
        <w:tc>
          <w:tcPr>
            <w:tcW w:w="783" w:type="pct"/>
            <w:vAlign w:val="center"/>
          </w:tcPr>
          <w:p w:rsidR="00D76C5D" w:rsidRPr="00917FFB" w:rsidRDefault="00D76C5D" w:rsidP="00D44D54">
            <w:pPr>
              <w:keepNext/>
              <w:keepLines/>
              <w:widowControl w:val="0"/>
              <w:jc w:val="left"/>
              <w:rPr>
                <w:rFonts w:ascii="Arial Narrow" w:hAnsi="Arial Narrow"/>
                <w:b/>
                <w:sz w:val="20"/>
                <w:szCs w:val="20"/>
              </w:rPr>
            </w:pPr>
            <w:r w:rsidRPr="00917FFB">
              <w:rPr>
                <w:rFonts w:ascii="Arial Narrow" w:hAnsi="Arial Narrow"/>
                <w:b/>
                <w:sz w:val="20"/>
                <w:szCs w:val="20"/>
              </w:rPr>
              <w:t>Discontinuation due to AEs</w:t>
            </w:r>
          </w:p>
        </w:tc>
        <w:tc>
          <w:tcPr>
            <w:tcW w:w="52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12/721</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(1.7)</w:t>
            </w:r>
          </w:p>
        </w:tc>
        <w:tc>
          <w:tcPr>
            <w:tcW w:w="52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14/489</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(2.9)</w:t>
            </w:r>
          </w:p>
        </w:tc>
        <w:tc>
          <w:tcPr>
            <w:tcW w:w="52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17/889</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(1.9)</w:t>
            </w:r>
          </w:p>
        </w:tc>
        <w:tc>
          <w:tcPr>
            <w:tcW w:w="589"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12/746</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(1.6)</w:t>
            </w:r>
          </w:p>
        </w:tc>
        <w:tc>
          <w:tcPr>
            <w:tcW w:w="589"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35/940</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(3.7)</w:t>
            </w:r>
          </w:p>
        </w:tc>
        <w:tc>
          <w:tcPr>
            <w:tcW w:w="73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0.01</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(-0.01, 0.03)</w:t>
            </w:r>
          </w:p>
        </w:tc>
        <w:tc>
          <w:tcPr>
            <w:tcW w:w="734" w:type="pct"/>
            <w:vAlign w:val="center"/>
          </w:tcPr>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0.02</w:t>
            </w:r>
          </w:p>
          <w:p w:rsidR="00D76C5D" w:rsidRPr="00917FFB" w:rsidRDefault="00D76C5D" w:rsidP="00D44D54">
            <w:pPr>
              <w:keepNext/>
              <w:keepLines/>
              <w:widowControl w:val="0"/>
              <w:jc w:val="center"/>
              <w:rPr>
                <w:rFonts w:ascii="Arial Narrow" w:hAnsi="Arial Narrow"/>
                <w:sz w:val="20"/>
                <w:szCs w:val="20"/>
              </w:rPr>
            </w:pPr>
            <w:r w:rsidRPr="00917FFB">
              <w:rPr>
                <w:rFonts w:ascii="Arial Narrow" w:hAnsi="Arial Narrow"/>
                <w:sz w:val="20"/>
                <w:szCs w:val="20"/>
              </w:rPr>
              <w:t>(-0.01, 0.04)</w:t>
            </w:r>
          </w:p>
        </w:tc>
      </w:tr>
    </w:tbl>
    <w:p w:rsidR="00D76C5D" w:rsidRPr="007E2360" w:rsidRDefault="00D76C5D" w:rsidP="00D44D54">
      <w:pPr>
        <w:keepNext/>
        <w:keepLines/>
        <w:widowControl w:val="0"/>
        <w:rPr>
          <w:rFonts w:ascii="Arial Narrow" w:hAnsi="Arial Narrow"/>
          <w:sz w:val="18"/>
          <w:szCs w:val="18"/>
        </w:rPr>
      </w:pPr>
      <w:bookmarkStart w:id="19" w:name="_Toc22897643"/>
      <w:r w:rsidRPr="007E2360">
        <w:rPr>
          <w:rFonts w:ascii="Arial Narrow" w:hAnsi="Arial Narrow"/>
          <w:sz w:val="18"/>
          <w:szCs w:val="18"/>
        </w:rPr>
        <w:t>Source: compiled during evaluation using information from: Table 2.6-12, 2.6-13, 2.6-14, pp282-283, 285-286, 288-289 of the submission.</w:t>
      </w:r>
    </w:p>
    <w:p w:rsidR="00D76C5D" w:rsidRDefault="00D76C5D" w:rsidP="00D44D54">
      <w:pPr>
        <w:keepNext/>
        <w:keepLines/>
        <w:widowControl w:val="0"/>
        <w:spacing w:after="120"/>
        <w:contextualSpacing/>
        <w:rPr>
          <w:rFonts w:ascii="Arial Narrow" w:eastAsia="Calibri" w:hAnsi="Arial Narrow"/>
          <w:snapToGrid w:val="0"/>
          <w:sz w:val="18"/>
          <w:szCs w:val="18"/>
        </w:rPr>
      </w:pPr>
      <w:r w:rsidRPr="007E2360">
        <w:rPr>
          <w:rFonts w:ascii="Arial Narrow" w:eastAsia="Calibri" w:hAnsi="Arial Narrow"/>
          <w:snapToGrid w:val="0"/>
          <w:sz w:val="18"/>
          <w:szCs w:val="18"/>
        </w:rPr>
        <w:t>Abbreviations: CI=confidence interval; RD=risk difference; AE=adverse events; TEAE=treatment emergent adverse events; DUPI=dupilumab; PBO=placebo.</w:t>
      </w:r>
    </w:p>
    <w:p w:rsidR="007E2360" w:rsidRPr="007E2360" w:rsidRDefault="007E2360" w:rsidP="00D44D54">
      <w:pPr>
        <w:keepNext/>
        <w:keepLines/>
        <w:widowControl w:val="0"/>
        <w:spacing w:after="120"/>
        <w:contextualSpacing/>
        <w:rPr>
          <w:rFonts w:ascii="Arial Narrow" w:eastAsia="Calibri" w:hAnsi="Arial Narrow"/>
          <w:snapToGrid w:val="0"/>
          <w:sz w:val="18"/>
          <w:szCs w:val="18"/>
        </w:rPr>
      </w:pPr>
    </w:p>
    <w:p w:rsidR="0097030A" w:rsidRPr="00917FFB" w:rsidRDefault="00790FDA" w:rsidP="00790FDA">
      <w:pPr>
        <w:pStyle w:val="3-BodyText"/>
      </w:pPr>
      <w:r w:rsidRPr="00917FFB">
        <w:t xml:space="preserve">In </w:t>
      </w:r>
      <w:r w:rsidR="00B224DB" w:rsidRPr="00917FFB">
        <w:t>t</w:t>
      </w:r>
      <w:r w:rsidRPr="00917FFB">
        <w:t xml:space="preserve">he </w:t>
      </w:r>
      <w:r w:rsidR="00AC1539" w:rsidRPr="00917FFB">
        <w:t>TGA Delegate’s Overview</w:t>
      </w:r>
      <w:r w:rsidRPr="00917FFB">
        <w:t xml:space="preserve">, it was </w:t>
      </w:r>
      <w:r w:rsidR="00AC1539" w:rsidRPr="00917FFB">
        <w:t>concluded “that the safety data showed a safety profile consistent with the known adverse effects of baricitinib and did not raise any new major safety concerns.” However, the clinical evaluator did raise some concern regarding recent reports of venous thromboembolism (VTE) and numerical imbalances of AEs between BARI 4</w:t>
      </w:r>
      <w:r w:rsidR="005E0A8B" w:rsidRPr="00917FFB">
        <w:t xml:space="preserve"> </w:t>
      </w:r>
      <w:r w:rsidR="00AC1539" w:rsidRPr="00917FFB">
        <w:t>mg and 2</w:t>
      </w:r>
      <w:r w:rsidR="005E0A8B" w:rsidRPr="00917FFB">
        <w:t xml:space="preserve"> </w:t>
      </w:r>
      <w:r w:rsidR="00AC1539" w:rsidRPr="00917FFB">
        <w:t>mg doses over</w:t>
      </w:r>
      <w:r w:rsidR="0037729F" w:rsidRPr="00917FFB">
        <w:t xml:space="preserve"> </w:t>
      </w:r>
      <w:r w:rsidR="00AC1539" w:rsidRPr="00917FFB">
        <w:t>time (Delegate’s Summary and Request for ACM advice: Baricitinib). Long-term safety data has also raised concerns regarding thrombosis risk with JAK inhibitors. In 2018, the U.S. Food and Drug Administration (FDA) only approved the BARI 2 mg once daily (BARI 4 mg was not approved) with a black box warning that included a caution related to deep venous thrombosis (DVT), pulmonary embolism (PE) and arterial thrombosis. In July 2019, the FDA also instated a black box warning for tofacitinib 10 mg due to an increased risk of thrombosis and mortality seen in the post-marketing study (</w:t>
      </w:r>
      <w:r w:rsidR="005E0A8B" w:rsidRPr="00917FFB">
        <w:t>p</w:t>
      </w:r>
      <w:r w:rsidR="00AC1539" w:rsidRPr="00917FFB">
        <w:t xml:space="preserve">aragraph 6.12, </w:t>
      </w:r>
      <w:r w:rsidR="005E0A8B" w:rsidRPr="00917FFB">
        <w:t>u</w:t>
      </w:r>
      <w:r w:rsidR="003B629E" w:rsidRPr="00917FFB">
        <w:t>padacitinib</w:t>
      </w:r>
      <w:r w:rsidR="00AC1539" w:rsidRPr="00917FFB">
        <w:t xml:space="preserve"> PSD in Rheumatoid Arthritis, November 2019</w:t>
      </w:r>
      <w:r w:rsidR="005E0A8B" w:rsidRPr="00917FFB">
        <w:t xml:space="preserve"> PBAC meeting</w:t>
      </w:r>
      <w:r w:rsidR="00AC1539" w:rsidRPr="00917FFB">
        <w:t xml:space="preserve">). Overall, there were limited cases of VTE reported across AD studies examined by the TGA, but there were serious and fatal cases, and a thrombosis/VTE risk not seen in other development programs for AD. </w:t>
      </w:r>
      <w:r w:rsidR="0097030A" w:rsidRPr="00917FFB">
        <w:t>The PSCR stated that there were no fatal cases of thrombosis/VTE across 8 randomised controlled trials of BARI in patients with AD, which comprised of data from 2,531 patients treated with BARI for 2,247 patient-years (Bieber et al, 2021).</w:t>
      </w:r>
      <w:r w:rsidR="0097030A" w:rsidRPr="00917FFB">
        <w:rPr>
          <w:i/>
        </w:rPr>
        <w:t xml:space="preserve"> </w:t>
      </w:r>
    </w:p>
    <w:p w:rsidR="003D6332" w:rsidRPr="00917FFB" w:rsidRDefault="00AC1539" w:rsidP="00790FDA">
      <w:pPr>
        <w:pStyle w:val="3-BodyText"/>
      </w:pPr>
      <w:r w:rsidRPr="00917FFB">
        <w:t>A possible underlying mechanism of BARI induced platelet elevation has been noted. The TGA Delegate’s Overview discussed that “from the efficacy side for baricitinib, for some patients under some circumstances the 4 mg dose may provide some benefit over the 2</w:t>
      </w:r>
      <w:r w:rsidR="004C6DCA" w:rsidRPr="00917FFB">
        <w:t xml:space="preserve"> </w:t>
      </w:r>
      <w:r w:rsidRPr="00917FFB">
        <w:t>mg dose. From the safety side for baricitinib, based on numerical imbalance between the two doses and recent increase reporting of VTE, it is likely that 4 mg dose would carry a higher risk of harm compared to the 2 mg dose.” As a result, the Delegate’s Overview recommended: “the proposed dosage regimen for the treatment of AD be to start with baricitinib 2</w:t>
      </w:r>
      <w:r w:rsidR="004C6DCA" w:rsidRPr="00917FFB">
        <w:t xml:space="preserve"> </w:t>
      </w:r>
      <w:r w:rsidRPr="00917FFB">
        <w:t>mg and increasing to baricitinib 4</w:t>
      </w:r>
      <w:r w:rsidR="004C6DCA" w:rsidRPr="00917FFB">
        <w:t> </w:t>
      </w:r>
      <w:r w:rsidRPr="00917FFB">
        <w:t>mg only if there is no evidence of efficacy for short duration.”</w:t>
      </w:r>
    </w:p>
    <w:p w:rsidR="005E0A8B" w:rsidRPr="00917FFB" w:rsidRDefault="005E0A8B" w:rsidP="00790FDA">
      <w:pPr>
        <w:pStyle w:val="3-BodyText"/>
      </w:pPr>
      <w:r w:rsidRPr="00917FFB">
        <w:t xml:space="preserve">The ESC noted that the </w:t>
      </w:r>
      <w:r w:rsidR="004C6DCA" w:rsidRPr="00917FFB">
        <w:t xml:space="preserve">majority of </w:t>
      </w:r>
      <w:r w:rsidRPr="00917FFB">
        <w:t xml:space="preserve">safety outcomes were only reported up to 16 weeks, and comparisons with </w:t>
      </w:r>
      <w:r w:rsidR="00020094" w:rsidRPr="00917FFB">
        <w:t xml:space="preserve">DUPI </w:t>
      </w:r>
      <w:r w:rsidRPr="00917FFB">
        <w:t>were only presented in broad categories. The ESC</w:t>
      </w:r>
      <w:r w:rsidR="001A7D81" w:rsidRPr="00917FFB">
        <w:t xml:space="preserve"> also</w:t>
      </w:r>
      <w:r w:rsidRPr="00917FFB">
        <w:t xml:space="preserve"> </w:t>
      </w:r>
      <w:r w:rsidR="004D225C" w:rsidRPr="00917FFB">
        <w:t>noted</w:t>
      </w:r>
      <w:r w:rsidRPr="00917FFB">
        <w:t xml:space="preserve"> there is an increased risk of infection</w:t>
      </w:r>
      <w:r w:rsidR="004C6DCA" w:rsidRPr="00917FFB">
        <w:t xml:space="preserve"> (herpes zoster and serious and opportunistic infections)</w:t>
      </w:r>
      <w:r w:rsidRPr="00917FFB">
        <w:t xml:space="preserve"> and malignancy associated with JAK inhibitors versus IL-4 inhibitors as a result of immunosuppression, and an increased risk of </w:t>
      </w:r>
      <w:r w:rsidR="004D225C" w:rsidRPr="00917FFB">
        <w:t>thrombosis</w:t>
      </w:r>
      <w:r w:rsidRPr="00917FFB">
        <w:t>.</w:t>
      </w:r>
      <w:r w:rsidR="00CF3674" w:rsidRPr="00917FFB">
        <w:t xml:space="preserve"> The PBAC noted that the pre-PBAC response</w:t>
      </w:r>
      <w:r w:rsidR="0001324E" w:rsidRPr="00917FFB">
        <w:t xml:space="preserve"> </w:t>
      </w:r>
      <w:r w:rsidR="0038468F" w:rsidRPr="00917FFB">
        <w:t>referred to a publication of a safety analysis of BARI</w:t>
      </w:r>
      <w:r w:rsidR="00CF3674" w:rsidRPr="00917FFB">
        <w:t xml:space="preserve"> in </w:t>
      </w:r>
      <w:r w:rsidR="00020094" w:rsidRPr="00917FFB">
        <w:t xml:space="preserve">the </w:t>
      </w:r>
      <w:r w:rsidR="00CF3674" w:rsidRPr="00917FFB">
        <w:t xml:space="preserve">treatment of rheumatoid arthritis </w:t>
      </w:r>
      <w:r w:rsidR="0038468F" w:rsidRPr="00917FFB">
        <w:t xml:space="preserve">with </w:t>
      </w:r>
      <w:r w:rsidR="00CF3674" w:rsidRPr="00917FFB">
        <w:t>up to 8.4 years</w:t>
      </w:r>
      <w:r w:rsidR="0038468F" w:rsidRPr="00917FFB">
        <w:t xml:space="preserve"> of treatment exposure</w:t>
      </w:r>
      <w:r w:rsidR="0038468F" w:rsidRPr="00917FFB">
        <w:rPr>
          <w:rStyle w:val="FootnoteReference"/>
        </w:rPr>
        <w:footnoteReference w:id="1"/>
      </w:r>
      <w:r w:rsidR="00CF3674" w:rsidRPr="00917FFB">
        <w:t xml:space="preserve">. </w:t>
      </w:r>
      <w:r w:rsidR="0038468F" w:rsidRPr="00917FFB">
        <w:t xml:space="preserve">The pre-PBAC response stated the incidence of serious infections was (2.7 per 100 patient-years), herpes zoster (3.0 per 100 patient-years), malignancy excluding </w:t>
      </w:r>
      <w:r w:rsidR="00741D3D" w:rsidRPr="000D2978">
        <w:t>non-melanoma skin cancer (</w:t>
      </w:r>
      <w:r w:rsidR="0038468F" w:rsidRPr="000D2978">
        <w:t>NMSC</w:t>
      </w:r>
      <w:r w:rsidR="00741D3D" w:rsidRPr="000D2978">
        <w:t>)</w:t>
      </w:r>
      <w:r w:rsidR="0038468F" w:rsidRPr="000D2978">
        <w:t xml:space="preserve"> (0.9 per 100 patient-years), NMSC (0.3 per 100 patient-years</w:t>
      </w:r>
      <w:r w:rsidR="0038468F" w:rsidRPr="00917FFB">
        <w:t>), major cardiovascular events (0.3 per 100 patient-years) and DVT/PE (0.5 per 100 patient-years). The sponsor stated that these rates were consistent with earlier analyses and the safety profile remains stable over time.</w:t>
      </w:r>
      <w:r w:rsidR="0038468F" w:rsidRPr="00917FFB" w:rsidDel="0038468F">
        <w:t xml:space="preserve"> </w:t>
      </w:r>
    </w:p>
    <w:p w:rsidR="00B60939" w:rsidRPr="00917FFB" w:rsidRDefault="00B60939" w:rsidP="00E9094A">
      <w:pPr>
        <w:pStyle w:val="4-SubsectionHeading"/>
      </w:pPr>
      <w:bookmarkStart w:id="20" w:name="_Toc22897644"/>
      <w:bookmarkStart w:id="21" w:name="_Toc72320855"/>
      <w:bookmarkEnd w:id="19"/>
      <w:r w:rsidRPr="00917FFB">
        <w:t>Clinical claim</w:t>
      </w:r>
      <w:bookmarkEnd w:id="20"/>
      <w:bookmarkEnd w:id="21"/>
    </w:p>
    <w:p w:rsidR="007C70FF" w:rsidRPr="00917FFB" w:rsidRDefault="008571E2" w:rsidP="008571E2">
      <w:pPr>
        <w:pStyle w:val="3-BodyText"/>
      </w:pPr>
      <w:r w:rsidRPr="00917FFB">
        <w:t>The submission described BARI as inferior in terms of efficacy and similar in terms of safety compared with DUPI, based on pairwise indirect treatment comparisons using PBO as the common comparator.</w:t>
      </w:r>
      <w:r w:rsidR="006D6B6F" w:rsidRPr="00917FFB">
        <w:t xml:space="preserve"> </w:t>
      </w:r>
    </w:p>
    <w:p w:rsidR="0001039C" w:rsidRPr="00917FFB" w:rsidRDefault="0001039C" w:rsidP="008571E2">
      <w:pPr>
        <w:pStyle w:val="3-BodyText"/>
        <w:rPr>
          <w:iCs/>
        </w:rPr>
      </w:pPr>
      <w:r w:rsidRPr="00917FFB">
        <w:rPr>
          <w:iCs/>
        </w:rPr>
        <w:t xml:space="preserve">The ESC agreed with the evaluation </w:t>
      </w:r>
      <w:r w:rsidR="003736D7" w:rsidRPr="00917FFB">
        <w:rPr>
          <w:iCs/>
        </w:rPr>
        <w:t>that the submission’s claim of inferior efficacy of BARI compared to DUPI was reasonable, however the magnitude of the reduction in response is uncertain and varied depending on the statistic considered</w:t>
      </w:r>
      <w:r w:rsidR="00F67D0F" w:rsidRPr="00917FFB">
        <w:rPr>
          <w:iCs/>
        </w:rPr>
        <w:t xml:space="preserve"> and whether monotherapy trials were included</w:t>
      </w:r>
      <w:r w:rsidR="003736D7" w:rsidRPr="00917FFB">
        <w:rPr>
          <w:iCs/>
        </w:rPr>
        <w:t xml:space="preserve">, affecting the </w:t>
      </w:r>
      <w:r w:rsidR="001D0497" w:rsidRPr="00917FFB">
        <w:rPr>
          <w:iCs/>
        </w:rPr>
        <w:t>economic</w:t>
      </w:r>
      <w:r w:rsidR="003736D7" w:rsidRPr="00917FFB">
        <w:rPr>
          <w:iCs/>
        </w:rPr>
        <w:t xml:space="preserve"> analysis.</w:t>
      </w:r>
      <w:r w:rsidR="00C1230A" w:rsidRPr="00917FFB">
        <w:rPr>
          <w:iCs/>
        </w:rPr>
        <w:t xml:space="preserve"> To better reflect PBS use (where TCS will be used), the ESC considered </w:t>
      </w:r>
      <w:r w:rsidR="001A50B9" w:rsidRPr="00917FFB">
        <w:rPr>
          <w:iCs/>
        </w:rPr>
        <w:t>it would be preferable that</w:t>
      </w:r>
      <w:r w:rsidR="00C1230A" w:rsidRPr="00917FFB">
        <w:rPr>
          <w:iCs/>
        </w:rPr>
        <w:t xml:space="preserve"> the comparisons </w:t>
      </w:r>
      <w:r w:rsidR="001A50B9" w:rsidRPr="00917FFB">
        <w:rPr>
          <w:iCs/>
        </w:rPr>
        <w:t>are</w:t>
      </w:r>
      <w:r w:rsidR="00C1230A" w:rsidRPr="00917FFB">
        <w:rPr>
          <w:iCs/>
        </w:rPr>
        <w:t xml:space="preserve"> based on BARI + TCS versus DUPI + TCS</w:t>
      </w:r>
      <w:r w:rsidR="00F67D0F" w:rsidRPr="00917FFB">
        <w:rPr>
          <w:iCs/>
        </w:rPr>
        <w:t>, noting that it was not possible to present these analyses as the data for PBS responders for DUPI was only available for the pooled monotherapy and combination therapy trials</w:t>
      </w:r>
      <w:r w:rsidR="00C1230A" w:rsidRPr="00917FFB">
        <w:rPr>
          <w:iCs/>
        </w:rPr>
        <w:t>.</w:t>
      </w:r>
      <w:r w:rsidR="008F69AD" w:rsidRPr="00917FFB">
        <w:rPr>
          <w:iCs/>
        </w:rPr>
        <w:t xml:space="preserve"> </w:t>
      </w:r>
    </w:p>
    <w:p w:rsidR="003736D7" w:rsidRPr="00917FFB" w:rsidRDefault="003736D7" w:rsidP="000859D5">
      <w:pPr>
        <w:pStyle w:val="3-BodyText"/>
        <w:rPr>
          <w:iCs/>
        </w:rPr>
      </w:pPr>
      <w:r w:rsidRPr="00917FFB">
        <w:rPr>
          <w:iCs/>
        </w:rPr>
        <w:t xml:space="preserve">The ESC considered that the submission’s claim of similar safety </w:t>
      </w:r>
      <w:r w:rsidR="001D0497" w:rsidRPr="00917FFB">
        <w:rPr>
          <w:iCs/>
        </w:rPr>
        <w:t>for</w:t>
      </w:r>
      <w:r w:rsidRPr="00917FFB">
        <w:rPr>
          <w:iCs/>
        </w:rPr>
        <w:t xml:space="preserve"> BARI compared to DUPI was potentially supported, but that </w:t>
      </w:r>
      <w:r w:rsidR="00C1230A" w:rsidRPr="00917FFB">
        <w:rPr>
          <w:iCs/>
        </w:rPr>
        <w:t xml:space="preserve">more detailed assessment of the AEs in the trials would be helpful, as well as </w:t>
      </w:r>
      <w:r w:rsidR="00980646" w:rsidRPr="00917FFB">
        <w:rPr>
          <w:iCs/>
        </w:rPr>
        <w:t xml:space="preserve">considering </w:t>
      </w:r>
      <w:r w:rsidR="00A147E8" w:rsidRPr="00917FFB">
        <w:rPr>
          <w:iCs/>
        </w:rPr>
        <w:t xml:space="preserve">whether </w:t>
      </w:r>
      <w:r w:rsidR="00980646" w:rsidRPr="00917FFB">
        <w:rPr>
          <w:iCs/>
        </w:rPr>
        <w:t xml:space="preserve">longer-term data from other indications </w:t>
      </w:r>
      <w:r w:rsidR="00A147E8" w:rsidRPr="00917FFB">
        <w:rPr>
          <w:iCs/>
        </w:rPr>
        <w:t xml:space="preserve">could be used </w:t>
      </w:r>
      <w:r w:rsidR="00980646" w:rsidRPr="00917FFB">
        <w:rPr>
          <w:iCs/>
        </w:rPr>
        <w:t xml:space="preserve">to better understand the </w:t>
      </w:r>
      <w:r w:rsidR="00A147E8" w:rsidRPr="00917FFB">
        <w:rPr>
          <w:iCs/>
        </w:rPr>
        <w:t xml:space="preserve">BARI </w:t>
      </w:r>
      <w:r w:rsidR="00980646" w:rsidRPr="00917FFB">
        <w:rPr>
          <w:iCs/>
        </w:rPr>
        <w:t>safety profile</w:t>
      </w:r>
      <w:r w:rsidR="00A147E8" w:rsidRPr="00917FFB">
        <w:rPr>
          <w:iCs/>
        </w:rPr>
        <w:t xml:space="preserve">. </w:t>
      </w:r>
    </w:p>
    <w:p w:rsidR="009E0D35" w:rsidRPr="00917FFB" w:rsidRDefault="00713C68" w:rsidP="009E0D35">
      <w:pPr>
        <w:pStyle w:val="3-BodyText"/>
        <w:rPr>
          <w:iCs/>
        </w:rPr>
      </w:pPr>
      <w:r w:rsidRPr="00917FFB">
        <w:rPr>
          <w:iCs/>
        </w:rPr>
        <w:t>The PBAC considered that the claim of inferior comparative effectiveness was reasonable</w:t>
      </w:r>
      <w:r w:rsidR="00755E93" w:rsidRPr="00917FFB">
        <w:rPr>
          <w:iCs/>
        </w:rPr>
        <w:t>, though the magnitude of difference in response was uncertain</w:t>
      </w:r>
      <w:r w:rsidRPr="00917FFB">
        <w:rPr>
          <w:iCs/>
        </w:rPr>
        <w:t>.</w:t>
      </w:r>
    </w:p>
    <w:p w:rsidR="009E0D35" w:rsidRPr="00917FFB" w:rsidRDefault="00713C68" w:rsidP="009E0D35">
      <w:pPr>
        <w:pStyle w:val="3-BodyText"/>
        <w:rPr>
          <w:iCs/>
        </w:rPr>
      </w:pPr>
      <w:r w:rsidRPr="00917FFB">
        <w:rPr>
          <w:iCs/>
        </w:rPr>
        <w:t>The PBAC considered that the claim of non-inferior comparative safety was not adequately supported by the data.</w:t>
      </w:r>
    </w:p>
    <w:p w:rsidR="001A7D81" w:rsidRPr="00917FFB" w:rsidRDefault="001A7D81" w:rsidP="001A7D81">
      <w:pPr>
        <w:pStyle w:val="4-SubsectionHeading"/>
      </w:pPr>
      <w:bookmarkStart w:id="22" w:name="_Toc22897645"/>
      <w:bookmarkStart w:id="23" w:name="_Toc72320856"/>
      <w:bookmarkStart w:id="24" w:name="_Toc22897647"/>
      <w:bookmarkStart w:id="25" w:name="_Toc72320858"/>
      <w:r w:rsidRPr="00917FFB">
        <w:t>Economic analysis</w:t>
      </w:r>
      <w:bookmarkEnd w:id="22"/>
      <w:bookmarkEnd w:id="23"/>
      <w:r w:rsidRPr="00917FFB">
        <w:t xml:space="preserve"> </w:t>
      </w:r>
    </w:p>
    <w:p w:rsidR="001A7D81" w:rsidRPr="00917FFB" w:rsidRDefault="001A7D81" w:rsidP="001A7D81">
      <w:pPr>
        <w:pStyle w:val="ListParagraph"/>
        <w:numPr>
          <w:ilvl w:val="1"/>
          <w:numId w:val="1"/>
        </w:numPr>
        <w:spacing w:after="160"/>
        <w:rPr>
          <w:iCs/>
        </w:rPr>
      </w:pPr>
      <w:r w:rsidRPr="00917FFB">
        <w:t xml:space="preserve">The submission presented a comparison of BARI to DUPI, </w:t>
      </w:r>
      <w:r w:rsidR="00DB4593" w:rsidRPr="00917FFB">
        <w:t>using the</w:t>
      </w:r>
      <w:r w:rsidRPr="00917FFB">
        <w:t xml:space="preserve"> doses recommended for AD (BARI 2 mg/4 mg once daily </w:t>
      </w:r>
      <w:r w:rsidR="00DB4593" w:rsidRPr="00917FFB">
        <w:t>and</w:t>
      </w:r>
      <w:r w:rsidRPr="00917FFB">
        <w:t xml:space="preserve"> DUPI 600 mg as an initial dose, then 300 mg every two weeks, thereafter). The analysis was based on an equivalent cost over a 2-year period to capture differences in dosing regimens and medicine-specific monitoring (a</w:t>
      </w:r>
      <w:r w:rsidRPr="00917FFB">
        <w:rPr>
          <w:iCs/>
        </w:rPr>
        <w:t xml:space="preserve">dditional routine monitoring costs are required with BARI treatment), </w:t>
      </w:r>
      <w:r w:rsidRPr="00917FFB">
        <w:t xml:space="preserve">less a </w:t>
      </w:r>
      <w:r w:rsidR="00B1613E">
        <w:rPr>
          <w:noProof/>
          <w:color w:val="000000"/>
          <w:highlight w:val="black"/>
        </w:rPr>
        <w:t>''''''''''</w:t>
      </w:r>
      <w:r w:rsidRPr="00917FFB">
        <w:t>% discount on the total costs to account for inferiority of BARI</w:t>
      </w:r>
      <w:r w:rsidRPr="00917FFB">
        <w:rPr>
          <w:iCs/>
        </w:rPr>
        <w:t xml:space="preserve">. Given the clinical conclusion was inferior effectiveness versus DUPI, a more appropriate approach would have been a cost effectiveness analysis (see PBAC Guidelines v5 p60). </w:t>
      </w:r>
      <w:r w:rsidR="00DB4593" w:rsidRPr="00917FFB">
        <w:rPr>
          <w:iCs/>
        </w:rPr>
        <w:t>T</w:t>
      </w:r>
      <w:r w:rsidRPr="00917FFB">
        <w:rPr>
          <w:iCs/>
        </w:rPr>
        <w:t>he submission’s cost comparison is unlikely to capture the full cost and consequences of BARI listing on the PBS.</w:t>
      </w:r>
    </w:p>
    <w:p w:rsidR="001A7D81" w:rsidRPr="00917FFB" w:rsidRDefault="001A7D81" w:rsidP="001A7D81">
      <w:pPr>
        <w:pStyle w:val="ListParagraph"/>
        <w:numPr>
          <w:ilvl w:val="1"/>
          <w:numId w:val="1"/>
        </w:numPr>
        <w:spacing w:after="160"/>
        <w:rPr>
          <w:iCs/>
        </w:rPr>
      </w:pPr>
      <w:r w:rsidRPr="00917FFB">
        <w:rPr>
          <w:iCs/>
        </w:rPr>
        <w:t xml:space="preserve">The submission stated that the effective price for DUPI was not available to the Sponsor, therefore the proposed price for BARI </w:t>
      </w:r>
      <w:r w:rsidR="00DB4593" w:rsidRPr="00917FFB">
        <w:rPr>
          <w:iCs/>
        </w:rPr>
        <w:t>wa</w:t>
      </w:r>
      <w:r w:rsidRPr="00917FFB">
        <w:rPr>
          <w:iCs/>
        </w:rPr>
        <w:t xml:space="preserve">s a </w:t>
      </w:r>
      <w:r w:rsidR="00B1613E">
        <w:rPr>
          <w:iCs/>
          <w:noProof/>
          <w:color w:val="000000"/>
          <w:highlight w:val="black"/>
        </w:rPr>
        <w:t>''''''''''''</w:t>
      </w:r>
      <w:r w:rsidRPr="00917FFB">
        <w:rPr>
          <w:iCs/>
        </w:rPr>
        <w:t xml:space="preserve">% relative price reduction compared to the published price of DUPI and costs </w:t>
      </w:r>
      <w:r w:rsidR="00DB4593" w:rsidRPr="00917FFB">
        <w:rPr>
          <w:iCs/>
        </w:rPr>
        <w:t xml:space="preserve">were totalled </w:t>
      </w:r>
      <w:r w:rsidRPr="00917FFB">
        <w:rPr>
          <w:iCs/>
        </w:rPr>
        <w:t>over 2 years of treatment. Th</w:t>
      </w:r>
      <w:r w:rsidR="00DB4593" w:rsidRPr="00917FFB">
        <w:rPr>
          <w:iCs/>
        </w:rPr>
        <w:t>e</w:t>
      </w:r>
      <w:r w:rsidRPr="00917FFB">
        <w:rPr>
          <w:iCs/>
        </w:rPr>
        <w:t xml:space="preserve"> price reduction </w:t>
      </w:r>
      <w:r w:rsidR="00DB4593" w:rsidRPr="00917FFB">
        <w:rPr>
          <w:iCs/>
        </w:rPr>
        <w:t>wa</w:t>
      </w:r>
      <w:r w:rsidRPr="00917FFB">
        <w:rPr>
          <w:iCs/>
        </w:rPr>
        <w:t xml:space="preserve">s based on the estimated </w:t>
      </w:r>
      <w:r w:rsidR="00B1613E">
        <w:rPr>
          <w:iCs/>
          <w:noProof/>
          <w:color w:val="000000"/>
          <w:highlight w:val="black"/>
        </w:rPr>
        <w:t>''''''''''</w:t>
      </w:r>
      <w:r w:rsidRPr="00917FFB">
        <w:rPr>
          <w:iCs/>
        </w:rPr>
        <w:t xml:space="preserve">% </w:t>
      </w:r>
      <w:r w:rsidR="006142B3">
        <w:rPr>
          <w:iCs/>
          <w:noProof/>
          <w:color w:val="000000"/>
          <w:highlight w:val="black"/>
        </w:rPr>
        <w:t>''''''''''''''''</w:t>
      </w:r>
      <w:r w:rsidRPr="00917FFB">
        <w:rPr>
          <w:iCs/>
        </w:rPr>
        <w:t xml:space="preserve"> reduction in PBS responders at Week 16 with BARI 2 mg compared to DUPI. However, the submission’s approach </w:t>
      </w:r>
      <w:r w:rsidR="00DB4593" w:rsidRPr="00917FFB">
        <w:rPr>
          <w:iCs/>
        </w:rPr>
        <w:t>wa</w:t>
      </w:r>
      <w:r w:rsidRPr="00917FFB">
        <w:rPr>
          <w:iCs/>
        </w:rPr>
        <w:t xml:space="preserve">s inconsistent with the clinical findings where </w:t>
      </w:r>
      <w:r w:rsidR="00B1613E">
        <w:rPr>
          <w:iCs/>
          <w:noProof/>
          <w:color w:val="000000"/>
          <w:highlight w:val="black"/>
        </w:rPr>
        <w:t>'''''''''''</w:t>
      </w:r>
      <w:r w:rsidRPr="00917FFB">
        <w:rPr>
          <w:iCs/>
        </w:rPr>
        <w:t xml:space="preserve">% is the estimated </w:t>
      </w:r>
      <w:r w:rsidR="006142B3">
        <w:rPr>
          <w:iCs/>
          <w:noProof/>
          <w:color w:val="000000"/>
          <w:highlight w:val="black"/>
        </w:rPr>
        <w:t>'''''''''''''''</w:t>
      </w:r>
      <w:r w:rsidRPr="00FD4FA5">
        <w:rPr>
          <w:iCs/>
        </w:rPr>
        <w:t xml:space="preserve"> reduction in PBS initial responders for BARI 2 mg versus DUPI. Given the submission had applied a relative cost reduction to reflect BARI’s inferior efficacy, the more appropriate statistic to use would be the </w:t>
      </w:r>
      <w:r w:rsidR="006142B3">
        <w:rPr>
          <w:iCs/>
          <w:noProof/>
          <w:color w:val="000000"/>
          <w:highlight w:val="black"/>
        </w:rPr>
        <w:t>'''''''''''''</w:t>
      </w:r>
      <w:r w:rsidRPr="00917FFB">
        <w:rPr>
          <w:iCs/>
        </w:rPr>
        <w:t xml:space="preserve"> reduction in response, which is </w:t>
      </w:r>
      <w:r w:rsidR="00B1613E">
        <w:rPr>
          <w:iCs/>
          <w:noProof/>
          <w:color w:val="000000"/>
          <w:highlight w:val="black"/>
        </w:rPr>
        <w:t>'''''</w:t>
      </w:r>
      <w:r w:rsidRPr="00917FFB">
        <w:rPr>
          <w:iCs/>
        </w:rPr>
        <w:t>% (</w:t>
      </w:r>
      <w:r w:rsidR="00DD1C36" w:rsidRPr="00917FFB">
        <w:rPr>
          <w:iCs/>
        </w:rPr>
        <w:t>i.e</w:t>
      </w:r>
      <w:r w:rsidR="00DD1C36" w:rsidRPr="00FD4FA5">
        <w:rPr>
          <w:iCs/>
        </w:rPr>
        <w:t>.</w:t>
      </w:r>
      <w:r w:rsidRPr="00FD4FA5">
        <w:rPr>
          <w:iCs/>
        </w:rPr>
        <w:t xml:space="preserve">: </w:t>
      </w:r>
      <w:r w:rsidR="006142B3">
        <w:rPr>
          <w:iCs/>
          <w:noProof/>
          <w:color w:val="000000"/>
          <w:highlight w:val="black"/>
        </w:rPr>
        <w:t>'''''' ''''' ''''''''</w:t>
      </w:r>
      <w:r w:rsidRPr="00917FFB">
        <w:rPr>
          <w:iCs/>
        </w:rPr>
        <w:t xml:space="preserve"> for BARI 2 mg versus DUPI, see Table 5). Based on this statistic, the estimated price of BARI 2 mg would be $</w:t>
      </w:r>
      <w:r w:rsidR="00B1613E">
        <w:rPr>
          <w:iCs/>
          <w:noProof/>
          <w:color w:val="000000"/>
          <w:highlight w:val="black"/>
        </w:rPr>
        <w:t>''''''''''''''</w:t>
      </w:r>
      <w:r w:rsidRPr="00917FFB">
        <w:rPr>
          <w:iCs/>
        </w:rPr>
        <w:t xml:space="preserve"> AEMP (versus $</w:t>
      </w:r>
      <w:r w:rsidR="00B1613E">
        <w:rPr>
          <w:iCs/>
          <w:noProof/>
          <w:color w:val="000000"/>
          <w:highlight w:val="black"/>
        </w:rPr>
        <w:t>'''''''''''''''''</w:t>
      </w:r>
      <w:r w:rsidRPr="00917FFB">
        <w:rPr>
          <w:iCs/>
        </w:rPr>
        <w:t xml:space="preserve"> estimated by the submission). This is summarised in Table 10.</w:t>
      </w:r>
    </w:p>
    <w:p w:rsidR="0058692E" w:rsidRDefault="0058692E">
      <w:pPr>
        <w:jc w:val="left"/>
        <w:rPr>
          <w:rStyle w:val="CommentReference"/>
          <w:rFonts w:eastAsiaTheme="majorEastAsia" w:cstheme="majorBidi"/>
          <w:bCs/>
          <w:szCs w:val="24"/>
        </w:rPr>
      </w:pPr>
      <w:r>
        <w:rPr>
          <w:rStyle w:val="CommentReference"/>
          <w:b w:val="0"/>
          <w:szCs w:val="24"/>
        </w:rPr>
        <w:br w:type="page"/>
      </w:r>
    </w:p>
    <w:p w:rsidR="001A7D81" w:rsidRPr="00853F7A" w:rsidRDefault="001A7D81" w:rsidP="007E2360">
      <w:pPr>
        <w:pStyle w:val="TableFigureHeading"/>
        <w:widowControl w:val="0"/>
        <w:rPr>
          <w:rStyle w:val="CommentReference"/>
          <w:b/>
          <w:szCs w:val="24"/>
        </w:rPr>
      </w:pPr>
      <w:r w:rsidRPr="00917FFB">
        <w:rPr>
          <w:rStyle w:val="CommentReference"/>
          <w:b/>
          <w:szCs w:val="24"/>
        </w:rPr>
        <w:t>Table 10: Results of the economic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95"/>
        <w:gridCol w:w="2023"/>
        <w:gridCol w:w="2310"/>
      </w:tblGrid>
      <w:tr w:rsidR="001A7D81" w:rsidRPr="00917FFB" w:rsidTr="009F546B">
        <w:tc>
          <w:tcPr>
            <w:tcW w:w="2689" w:type="dxa"/>
            <w:vAlign w:val="center"/>
          </w:tcPr>
          <w:p w:rsidR="001A7D81" w:rsidRPr="00853F7A" w:rsidRDefault="001A7D81" w:rsidP="007E2360">
            <w:pPr>
              <w:pStyle w:val="In-tableHeading"/>
              <w:widowControl w:val="0"/>
              <w:rPr>
                <w:lang w:val="en-AU"/>
              </w:rPr>
            </w:pPr>
            <w:r w:rsidRPr="00853F7A">
              <w:rPr>
                <w:lang w:val="en-AU"/>
              </w:rPr>
              <w:t>Component</w:t>
            </w:r>
          </w:p>
        </w:tc>
        <w:tc>
          <w:tcPr>
            <w:tcW w:w="4018" w:type="dxa"/>
            <w:gridSpan w:val="2"/>
            <w:vAlign w:val="center"/>
          </w:tcPr>
          <w:p w:rsidR="001A7D81" w:rsidRPr="00853F7A" w:rsidRDefault="001A7D81" w:rsidP="007E2360">
            <w:pPr>
              <w:pStyle w:val="In-tableHeading"/>
              <w:widowControl w:val="0"/>
              <w:jc w:val="center"/>
              <w:rPr>
                <w:lang w:val="en-AU"/>
              </w:rPr>
            </w:pPr>
            <w:r w:rsidRPr="00853F7A">
              <w:rPr>
                <w:lang w:val="en-AU"/>
              </w:rPr>
              <w:t>BARI 2 mg</w:t>
            </w:r>
          </w:p>
        </w:tc>
        <w:tc>
          <w:tcPr>
            <w:tcW w:w="2310" w:type="dxa"/>
            <w:vAlign w:val="center"/>
          </w:tcPr>
          <w:p w:rsidR="001A7D81" w:rsidRPr="00853F7A" w:rsidRDefault="001A7D81" w:rsidP="007E2360">
            <w:pPr>
              <w:pStyle w:val="In-tableHeading"/>
              <w:widowControl w:val="0"/>
              <w:jc w:val="center"/>
              <w:rPr>
                <w:lang w:val="en-AU"/>
              </w:rPr>
            </w:pPr>
            <w:r w:rsidRPr="00853F7A">
              <w:rPr>
                <w:lang w:val="en-AU"/>
              </w:rPr>
              <w:t>DUPI 300 mg</w:t>
            </w:r>
          </w:p>
        </w:tc>
      </w:tr>
      <w:tr w:rsidR="001A7D81" w:rsidRPr="00917FFB" w:rsidTr="009F546B">
        <w:tc>
          <w:tcPr>
            <w:tcW w:w="2689" w:type="dxa"/>
            <w:vAlign w:val="center"/>
          </w:tcPr>
          <w:p w:rsidR="001A7D81" w:rsidRPr="00917FFB" w:rsidRDefault="001A7D81" w:rsidP="007E2360">
            <w:pPr>
              <w:pStyle w:val="TableText0"/>
              <w:widowControl w:val="0"/>
            </w:pPr>
            <w:r w:rsidRPr="00917FFB">
              <w:t>Price reduction versus DUPI</w:t>
            </w:r>
          </w:p>
        </w:tc>
        <w:tc>
          <w:tcPr>
            <w:tcW w:w="1995" w:type="dxa"/>
            <w:vAlign w:val="center"/>
          </w:tcPr>
          <w:p w:rsidR="001A7D81" w:rsidRPr="00917FFB" w:rsidRDefault="00B1613E" w:rsidP="007E2360">
            <w:pPr>
              <w:pStyle w:val="TableText0"/>
              <w:widowControl w:val="0"/>
              <w:jc w:val="center"/>
            </w:pPr>
            <w:r>
              <w:rPr>
                <w:noProof/>
                <w:color w:val="000000"/>
                <w:highlight w:val="black"/>
              </w:rPr>
              <w:t>''''''''''''''</w:t>
            </w:r>
            <w:r w:rsidR="001A7D81" w:rsidRPr="00917FFB">
              <w:t>% relative reduction</w:t>
            </w:r>
          </w:p>
        </w:tc>
        <w:tc>
          <w:tcPr>
            <w:tcW w:w="2023" w:type="dxa"/>
            <w:vAlign w:val="center"/>
          </w:tcPr>
          <w:p w:rsidR="001A7D81" w:rsidRPr="00917FFB" w:rsidRDefault="00B1613E" w:rsidP="007E2360">
            <w:pPr>
              <w:pStyle w:val="TableText0"/>
              <w:widowControl w:val="0"/>
              <w:jc w:val="center"/>
              <w:rPr>
                <w:iCs/>
              </w:rPr>
            </w:pPr>
            <w:r>
              <w:rPr>
                <w:iCs/>
                <w:noProof/>
                <w:color w:val="000000"/>
                <w:highlight w:val="black"/>
              </w:rPr>
              <w:t>''''''</w:t>
            </w:r>
            <w:r w:rsidR="001A7D81" w:rsidRPr="00917FFB">
              <w:rPr>
                <w:iCs/>
              </w:rPr>
              <w:t>% relative reduction</w:t>
            </w:r>
          </w:p>
        </w:tc>
        <w:tc>
          <w:tcPr>
            <w:tcW w:w="2310" w:type="dxa"/>
            <w:vAlign w:val="center"/>
          </w:tcPr>
          <w:p w:rsidR="001A7D81" w:rsidRPr="00917FFB" w:rsidRDefault="001A7D81" w:rsidP="007E2360">
            <w:pPr>
              <w:pStyle w:val="TableText0"/>
              <w:widowControl w:val="0"/>
              <w:jc w:val="center"/>
            </w:pPr>
            <w:r w:rsidRPr="00917FFB">
              <w:t>-</w:t>
            </w:r>
          </w:p>
        </w:tc>
      </w:tr>
      <w:tr w:rsidR="001A7D81" w:rsidRPr="00917FFB" w:rsidTr="009F546B">
        <w:tc>
          <w:tcPr>
            <w:tcW w:w="2689" w:type="dxa"/>
            <w:vAlign w:val="center"/>
          </w:tcPr>
          <w:p w:rsidR="001A7D81" w:rsidRPr="00917FFB" w:rsidRDefault="001A7D81" w:rsidP="007E2360">
            <w:pPr>
              <w:pStyle w:val="TableText0"/>
              <w:widowControl w:val="0"/>
            </w:pPr>
            <w:r w:rsidRPr="00917FFB">
              <w:t xml:space="preserve">PBS item, max quantity </w:t>
            </w:r>
          </w:p>
        </w:tc>
        <w:tc>
          <w:tcPr>
            <w:tcW w:w="4018" w:type="dxa"/>
            <w:gridSpan w:val="2"/>
            <w:vAlign w:val="center"/>
          </w:tcPr>
          <w:p w:rsidR="001A7D81" w:rsidRPr="00917FFB" w:rsidRDefault="001A7D81" w:rsidP="007E2360">
            <w:pPr>
              <w:pStyle w:val="TableText0"/>
              <w:widowControl w:val="0"/>
              <w:jc w:val="center"/>
            </w:pPr>
            <w:r w:rsidRPr="00917FFB">
              <w:t>1 pack, 28 tablets</w:t>
            </w:r>
          </w:p>
        </w:tc>
        <w:tc>
          <w:tcPr>
            <w:tcW w:w="2310" w:type="dxa"/>
            <w:vAlign w:val="center"/>
          </w:tcPr>
          <w:p w:rsidR="001A7D81" w:rsidRPr="00917FFB" w:rsidRDefault="001A7D81" w:rsidP="007E2360">
            <w:pPr>
              <w:pStyle w:val="TableText0"/>
              <w:widowControl w:val="0"/>
              <w:jc w:val="center"/>
            </w:pPr>
            <w:r w:rsidRPr="00917FFB">
              <w:t>1 pack, 2 pre-filled syringes</w:t>
            </w:r>
          </w:p>
        </w:tc>
      </w:tr>
      <w:tr w:rsidR="001A7D81" w:rsidRPr="00917FFB" w:rsidTr="009F546B">
        <w:tc>
          <w:tcPr>
            <w:tcW w:w="2689" w:type="dxa"/>
            <w:vAlign w:val="center"/>
          </w:tcPr>
          <w:p w:rsidR="001A7D81" w:rsidRPr="00917FFB" w:rsidRDefault="001A7D81" w:rsidP="007E2360">
            <w:pPr>
              <w:pStyle w:val="TableText0"/>
              <w:widowControl w:val="0"/>
            </w:pPr>
            <w:r w:rsidRPr="00917FFB">
              <w:t>DPMQ</w:t>
            </w:r>
          </w:p>
        </w:tc>
        <w:tc>
          <w:tcPr>
            <w:tcW w:w="1995" w:type="dxa"/>
            <w:vAlign w:val="center"/>
          </w:tcPr>
          <w:p w:rsidR="001A7D81" w:rsidRPr="00917FFB" w:rsidRDefault="001A7D81" w:rsidP="007E2360">
            <w:pPr>
              <w:pStyle w:val="TableText0"/>
              <w:widowControl w:val="0"/>
              <w:jc w:val="center"/>
              <w:rPr>
                <w:iCs/>
                <w:highlight w:val="yellow"/>
              </w:rPr>
            </w:pPr>
            <w:r w:rsidRPr="00917FFB">
              <w:rPr>
                <w:iCs/>
              </w:rPr>
              <w:t>$</w:t>
            </w:r>
            <w:r w:rsidR="00B1613E">
              <w:rPr>
                <w:iCs/>
                <w:noProof/>
                <w:color w:val="000000"/>
                <w:highlight w:val="black"/>
              </w:rPr>
              <w:t>''''''''''''''''''''</w:t>
            </w:r>
          </w:p>
        </w:tc>
        <w:tc>
          <w:tcPr>
            <w:tcW w:w="2023" w:type="dxa"/>
            <w:vAlign w:val="center"/>
          </w:tcPr>
          <w:p w:rsidR="001A7D81" w:rsidRPr="00917FFB" w:rsidRDefault="001A7D81" w:rsidP="007E2360">
            <w:pPr>
              <w:pStyle w:val="TableText0"/>
              <w:widowControl w:val="0"/>
              <w:jc w:val="center"/>
              <w:rPr>
                <w:iCs/>
                <w:vertAlign w:val="superscript"/>
              </w:rPr>
            </w:pPr>
            <w:r w:rsidRPr="00917FFB">
              <w:rPr>
                <w:iCs/>
              </w:rPr>
              <w:t>$</w:t>
            </w:r>
            <w:r w:rsidR="00B1613E">
              <w:rPr>
                <w:iCs/>
                <w:noProof/>
                <w:color w:val="000000"/>
                <w:highlight w:val="black"/>
              </w:rPr>
              <w:t>''''''''''''''''''</w:t>
            </w:r>
            <w:r w:rsidRPr="00917FFB">
              <w:rPr>
                <w:iCs/>
                <w:vertAlign w:val="superscript"/>
              </w:rPr>
              <w:t>#</w:t>
            </w:r>
          </w:p>
        </w:tc>
        <w:tc>
          <w:tcPr>
            <w:tcW w:w="2310" w:type="dxa"/>
            <w:vAlign w:val="center"/>
          </w:tcPr>
          <w:p w:rsidR="001A7D81" w:rsidRPr="00917FFB" w:rsidRDefault="001A7D81" w:rsidP="007E2360">
            <w:pPr>
              <w:pStyle w:val="TableText0"/>
              <w:widowControl w:val="0"/>
              <w:jc w:val="center"/>
              <w:rPr>
                <w:highlight w:val="yellow"/>
              </w:rPr>
            </w:pPr>
            <w:r w:rsidRPr="00917FFB">
              <w:t>$1,754.22</w:t>
            </w:r>
          </w:p>
        </w:tc>
      </w:tr>
      <w:tr w:rsidR="001A7D81" w:rsidRPr="00917FFB" w:rsidTr="009F546B">
        <w:tc>
          <w:tcPr>
            <w:tcW w:w="2689" w:type="dxa"/>
            <w:vAlign w:val="center"/>
          </w:tcPr>
          <w:p w:rsidR="001A7D81" w:rsidRPr="00917FFB" w:rsidRDefault="001A7D81" w:rsidP="007E2360">
            <w:pPr>
              <w:pStyle w:val="TableText0"/>
              <w:widowControl w:val="0"/>
            </w:pPr>
            <w:r w:rsidRPr="00917FFB">
              <w:t>AEMP</w:t>
            </w:r>
          </w:p>
        </w:tc>
        <w:tc>
          <w:tcPr>
            <w:tcW w:w="1995" w:type="dxa"/>
            <w:vAlign w:val="center"/>
          </w:tcPr>
          <w:p w:rsidR="001A7D81" w:rsidRPr="00917FFB" w:rsidRDefault="001A7D81" w:rsidP="007E2360">
            <w:pPr>
              <w:pStyle w:val="TableText0"/>
              <w:widowControl w:val="0"/>
              <w:jc w:val="center"/>
            </w:pPr>
            <w:r w:rsidRPr="00917FFB">
              <w:t>$</w:t>
            </w:r>
            <w:r w:rsidR="00B1613E">
              <w:rPr>
                <w:noProof/>
                <w:color w:val="000000"/>
                <w:highlight w:val="black"/>
              </w:rPr>
              <w:t>''''''''''''''''''''</w:t>
            </w:r>
            <w:r w:rsidRPr="00917FFB">
              <w:rPr>
                <w:szCs w:val="20"/>
                <w:vertAlign w:val="superscript"/>
              </w:rPr>
              <w:t>§</w:t>
            </w:r>
          </w:p>
        </w:tc>
        <w:tc>
          <w:tcPr>
            <w:tcW w:w="2023" w:type="dxa"/>
            <w:vAlign w:val="center"/>
          </w:tcPr>
          <w:p w:rsidR="001A7D81" w:rsidRPr="00917FFB" w:rsidRDefault="001A7D81" w:rsidP="007E2360">
            <w:pPr>
              <w:pStyle w:val="TableText0"/>
              <w:widowControl w:val="0"/>
              <w:jc w:val="center"/>
              <w:rPr>
                <w:iCs/>
              </w:rPr>
            </w:pPr>
            <w:r w:rsidRPr="00917FFB">
              <w:rPr>
                <w:iCs/>
              </w:rPr>
              <w:t>$</w:t>
            </w:r>
            <w:r w:rsidR="00B1613E">
              <w:rPr>
                <w:iCs/>
                <w:noProof/>
                <w:color w:val="000000"/>
                <w:highlight w:val="black"/>
              </w:rPr>
              <w:t>''''''''''''''''''</w:t>
            </w:r>
            <w:r w:rsidRPr="00917FFB">
              <w:rPr>
                <w:szCs w:val="20"/>
                <w:vertAlign w:val="superscript"/>
              </w:rPr>
              <w:t>§</w:t>
            </w:r>
          </w:p>
        </w:tc>
        <w:tc>
          <w:tcPr>
            <w:tcW w:w="2310" w:type="dxa"/>
            <w:vAlign w:val="center"/>
          </w:tcPr>
          <w:p w:rsidR="001A7D81" w:rsidRPr="00917FFB" w:rsidRDefault="001A7D81" w:rsidP="007E2360">
            <w:pPr>
              <w:pStyle w:val="TableText0"/>
              <w:widowControl w:val="0"/>
              <w:jc w:val="center"/>
            </w:pPr>
            <w:r w:rsidRPr="00917FFB">
              <w:t>$1,609.86</w:t>
            </w:r>
          </w:p>
        </w:tc>
      </w:tr>
      <w:tr w:rsidR="001A7D81" w:rsidRPr="00917FFB" w:rsidTr="009F546B">
        <w:tc>
          <w:tcPr>
            <w:tcW w:w="2689" w:type="dxa"/>
            <w:vAlign w:val="center"/>
          </w:tcPr>
          <w:p w:rsidR="001A7D81" w:rsidRPr="00917FFB" w:rsidRDefault="001A7D81" w:rsidP="007E2360">
            <w:pPr>
              <w:pStyle w:val="TableText0"/>
              <w:widowControl w:val="0"/>
            </w:pPr>
            <w:r w:rsidRPr="00917FFB">
              <w:t>Total units required over 2 years</w:t>
            </w:r>
          </w:p>
        </w:tc>
        <w:tc>
          <w:tcPr>
            <w:tcW w:w="4018" w:type="dxa"/>
            <w:gridSpan w:val="2"/>
            <w:vAlign w:val="center"/>
          </w:tcPr>
          <w:p w:rsidR="001A7D81" w:rsidRPr="00917FFB" w:rsidRDefault="001A7D81" w:rsidP="007E2360">
            <w:pPr>
              <w:pStyle w:val="TableText0"/>
              <w:widowControl w:val="0"/>
              <w:jc w:val="center"/>
            </w:pPr>
            <w:r w:rsidRPr="00917FFB">
              <w:t>26</w:t>
            </w:r>
          </w:p>
        </w:tc>
        <w:tc>
          <w:tcPr>
            <w:tcW w:w="2310" w:type="dxa"/>
            <w:vAlign w:val="center"/>
          </w:tcPr>
          <w:p w:rsidR="001A7D81" w:rsidRPr="00917FFB" w:rsidRDefault="001A7D81" w:rsidP="007E2360">
            <w:pPr>
              <w:pStyle w:val="TableText0"/>
              <w:widowControl w:val="0"/>
              <w:jc w:val="center"/>
            </w:pPr>
            <w:r w:rsidRPr="00917FFB">
              <w:t>26.5</w:t>
            </w:r>
          </w:p>
        </w:tc>
      </w:tr>
      <w:tr w:rsidR="001A7D81" w:rsidRPr="00917FFB" w:rsidTr="009F546B">
        <w:tc>
          <w:tcPr>
            <w:tcW w:w="2689" w:type="dxa"/>
            <w:vAlign w:val="center"/>
          </w:tcPr>
          <w:p w:rsidR="001A7D81" w:rsidRPr="00917FFB" w:rsidRDefault="001A7D81" w:rsidP="007E2360">
            <w:pPr>
              <w:pStyle w:val="TableText0"/>
              <w:widowControl w:val="0"/>
            </w:pPr>
            <w:r w:rsidRPr="00917FFB">
              <w:t>Monitoring costs</w:t>
            </w:r>
          </w:p>
        </w:tc>
        <w:tc>
          <w:tcPr>
            <w:tcW w:w="4018" w:type="dxa"/>
            <w:gridSpan w:val="2"/>
            <w:vAlign w:val="center"/>
          </w:tcPr>
          <w:p w:rsidR="001A7D81" w:rsidRPr="00917FFB" w:rsidRDefault="001A7D81" w:rsidP="007E2360">
            <w:pPr>
              <w:pStyle w:val="TableText0"/>
              <w:widowControl w:val="0"/>
              <w:jc w:val="center"/>
            </w:pPr>
            <w:r w:rsidRPr="00917FFB">
              <w:t>Lipid &amp; liver function tests: $58.25 (5 tests)</w:t>
            </w:r>
          </w:p>
          <w:p w:rsidR="001A7D81" w:rsidRPr="00917FFB" w:rsidRDefault="001A7D81" w:rsidP="007E2360">
            <w:pPr>
              <w:pStyle w:val="TableText0"/>
              <w:widowControl w:val="0"/>
              <w:jc w:val="center"/>
            </w:pPr>
            <w:r w:rsidRPr="00917FFB">
              <w:t>Hb, ALC, ANC: $84.75 (5 tests)</w:t>
            </w:r>
          </w:p>
          <w:p w:rsidR="001A7D81" w:rsidRPr="00917FFB" w:rsidRDefault="001A7D81" w:rsidP="007E2360">
            <w:pPr>
              <w:pStyle w:val="TableText0"/>
              <w:widowControl w:val="0"/>
              <w:jc w:val="center"/>
            </w:pPr>
            <w:r w:rsidRPr="00917FFB">
              <w:t>Total monitoring costs: $143.00</w:t>
            </w:r>
          </w:p>
        </w:tc>
        <w:tc>
          <w:tcPr>
            <w:tcW w:w="2310" w:type="dxa"/>
            <w:vAlign w:val="center"/>
          </w:tcPr>
          <w:p w:rsidR="001A7D81" w:rsidRPr="00917FFB" w:rsidRDefault="001A7D81" w:rsidP="007E2360">
            <w:pPr>
              <w:pStyle w:val="TableText0"/>
              <w:widowControl w:val="0"/>
              <w:jc w:val="center"/>
            </w:pPr>
            <w:r w:rsidRPr="00917FFB">
              <w:t>NA</w:t>
            </w:r>
          </w:p>
        </w:tc>
      </w:tr>
      <w:tr w:rsidR="001A7D81" w:rsidRPr="00917FFB" w:rsidTr="009F546B">
        <w:tc>
          <w:tcPr>
            <w:tcW w:w="2689" w:type="dxa"/>
            <w:vAlign w:val="center"/>
          </w:tcPr>
          <w:p w:rsidR="001A7D81" w:rsidRPr="00917FFB" w:rsidRDefault="001A7D81" w:rsidP="007E2360">
            <w:pPr>
              <w:pStyle w:val="TableText0"/>
              <w:widowControl w:val="0"/>
            </w:pPr>
            <w:r w:rsidRPr="00917FFB">
              <w:t>Cost per 2 years</w:t>
            </w:r>
          </w:p>
        </w:tc>
        <w:tc>
          <w:tcPr>
            <w:tcW w:w="1995" w:type="dxa"/>
            <w:vAlign w:val="center"/>
          </w:tcPr>
          <w:p w:rsidR="001A7D81" w:rsidRPr="00917FFB" w:rsidRDefault="001A7D81" w:rsidP="007E2360">
            <w:pPr>
              <w:pStyle w:val="TableText0"/>
              <w:widowControl w:val="0"/>
              <w:jc w:val="center"/>
            </w:pPr>
            <w:r w:rsidRPr="00917FFB">
              <w:t>$</w:t>
            </w:r>
            <w:r w:rsidR="00B1613E">
              <w:rPr>
                <w:noProof/>
                <w:color w:val="000000"/>
                <w:highlight w:val="black"/>
              </w:rPr>
              <w:t>''''''''''''''''''''''''</w:t>
            </w:r>
            <w:r w:rsidRPr="00917FFB">
              <w:t>*</w:t>
            </w:r>
          </w:p>
        </w:tc>
        <w:tc>
          <w:tcPr>
            <w:tcW w:w="2023" w:type="dxa"/>
            <w:vAlign w:val="center"/>
          </w:tcPr>
          <w:p w:rsidR="001A7D81" w:rsidRPr="00917FFB" w:rsidRDefault="001A7D81" w:rsidP="007E2360">
            <w:pPr>
              <w:pStyle w:val="TableText0"/>
              <w:widowControl w:val="0"/>
              <w:jc w:val="center"/>
              <w:rPr>
                <w:iCs/>
              </w:rPr>
            </w:pPr>
            <w:r w:rsidRPr="00917FFB">
              <w:rPr>
                <w:iCs/>
              </w:rPr>
              <w:t>$</w:t>
            </w:r>
            <w:r w:rsidR="00B1613E">
              <w:rPr>
                <w:iCs/>
                <w:noProof/>
                <w:color w:val="000000"/>
                <w:highlight w:val="black"/>
              </w:rPr>
              <w:t>'''''''''''''''''''''''''</w:t>
            </w:r>
            <w:r w:rsidRPr="00917FFB">
              <w:rPr>
                <w:iCs/>
              </w:rPr>
              <w:t>^</w:t>
            </w:r>
          </w:p>
        </w:tc>
        <w:tc>
          <w:tcPr>
            <w:tcW w:w="2310" w:type="dxa"/>
            <w:vAlign w:val="center"/>
          </w:tcPr>
          <w:p w:rsidR="001A7D81" w:rsidRPr="00917FFB" w:rsidRDefault="001A7D81" w:rsidP="007E2360">
            <w:pPr>
              <w:pStyle w:val="TableText0"/>
              <w:widowControl w:val="0"/>
              <w:jc w:val="center"/>
            </w:pPr>
            <w:r w:rsidRPr="00917FFB">
              <w:t>$42,661.29</w:t>
            </w:r>
          </w:p>
        </w:tc>
      </w:tr>
    </w:tbl>
    <w:p w:rsidR="001A7D81" w:rsidRPr="00917FFB" w:rsidRDefault="001A7D81" w:rsidP="001A7D81">
      <w:pPr>
        <w:pStyle w:val="TableFigureFooter"/>
        <w:widowControl w:val="0"/>
        <w:spacing w:after="0"/>
      </w:pPr>
      <w:r w:rsidRPr="00917FFB">
        <w:t xml:space="preserve">Source: Table 3.4-3, p318 of the submission. </w:t>
      </w:r>
    </w:p>
    <w:p w:rsidR="001A7D81" w:rsidRPr="00917FFB" w:rsidRDefault="001A7D81" w:rsidP="001A7D81">
      <w:pPr>
        <w:pStyle w:val="TableFigureFooter"/>
        <w:widowControl w:val="0"/>
        <w:spacing w:after="0"/>
      </w:pPr>
      <w:r w:rsidRPr="00917FFB">
        <w:t xml:space="preserve">Abbreviations: BARI=baricitinib; DUPI=dupilumab; NA=not applicable; ANC=absolute neutrophil count; ALC=absolute lymphocyte count; Hb=haemoglobin. </w:t>
      </w:r>
    </w:p>
    <w:p w:rsidR="001A7D81" w:rsidRPr="00917FFB" w:rsidRDefault="001A7D81" w:rsidP="001A7D81">
      <w:pPr>
        <w:pStyle w:val="TableFigureFooter"/>
        <w:widowControl w:val="0"/>
        <w:spacing w:after="0"/>
        <w:ind w:left="165" w:hanging="165"/>
      </w:pPr>
      <w:r w:rsidRPr="00917FFB">
        <w:t>*</w:t>
      </w:r>
      <w:r w:rsidRPr="00917FFB">
        <w:tab/>
        <w:t xml:space="preserve">Calculated using a </w:t>
      </w:r>
      <w:r w:rsidR="00B1613E">
        <w:rPr>
          <w:noProof/>
          <w:color w:val="000000"/>
          <w:highlight w:val="black"/>
        </w:rPr>
        <w:t>''''''''''</w:t>
      </w:r>
      <w:r w:rsidR="00B1613E">
        <w:rPr>
          <w:i/>
          <w:noProof/>
          <w:color w:val="000000"/>
          <w:highlight w:val="black"/>
        </w:rPr>
        <w:t>'''</w:t>
      </w:r>
      <w:r w:rsidRPr="00917FFB">
        <w:t xml:space="preserve">% relative reduction on cost of treatment versus DUPI over 2 years. </w:t>
      </w:r>
    </w:p>
    <w:p w:rsidR="001A7D81" w:rsidRPr="00917FFB" w:rsidRDefault="001A7D81" w:rsidP="001A7D81">
      <w:pPr>
        <w:pStyle w:val="TableFigureFooter"/>
        <w:widowControl w:val="0"/>
        <w:spacing w:after="0"/>
        <w:ind w:left="165" w:hanging="165"/>
      </w:pPr>
      <w:r w:rsidRPr="00917FFB">
        <w:t>^</w:t>
      </w:r>
      <w:r w:rsidRPr="00917FFB">
        <w:tab/>
        <w:t>Calculated assuming a</w:t>
      </w:r>
      <w:r w:rsidR="00B1613E">
        <w:rPr>
          <w:noProof/>
          <w:color w:val="000000"/>
          <w:highlight w:val="black"/>
        </w:rPr>
        <w:t xml:space="preserve"> ''''''</w:t>
      </w:r>
      <w:r w:rsidRPr="00917FFB">
        <w:t>% relative reduction on cost of treatment versus DUPI over 2 years.</w:t>
      </w:r>
    </w:p>
    <w:p w:rsidR="001A7D81" w:rsidRPr="00917FFB" w:rsidRDefault="001A7D81" w:rsidP="001A7D81">
      <w:pPr>
        <w:pStyle w:val="TableFigureFooter"/>
        <w:widowControl w:val="0"/>
        <w:spacing w:after="0"/>
        <w:ind w:left="165" w:hanging="165"/>
      </w:pPr>
      <w:r w:rsidRPr="00917FFB">
        <w:rPr>
          <w:vertAlign w:val="superscript"/>
        </w:rPr>
        <w:t xml:space="preserve"># </w:t>
      </w:r>
      <w:r w:rsidRPr="00917FFB">
        <w:rPr>
          <w:vertAlign w:val="superscript"/>
        </w:rPr>
        <w:tab/>
      </w:r>
      <w:r w:rsidRPr="00917FFB">
        <w:t>Estimated during the evaluation using DPMQ effective Jan 2021 based on 7</w:t>
      </w:r>
      <w:r w:rsidRPr="00917FFB">
        <w:rPr>
          <w:vertAlign w:val="superscript"/>
        </w:rPr>
        <w:t>th</w:t>
      </w:r>
      <w:r w:rsidRPr="00917FFB">
        <w:t xml:space="preserve"> Community Pharmacy Agreement ($54.14 wholesale mark-up, $59.49 pharmacy mark-up, $7.74 dispending fee).</w:t>
      </w:r>
    </w:p>
    <w:p w:rsidR="001A7D81" w:rsidRPr="00917FFB" w:rsidRDefault="001A7D81" w:rsidP="001A7D81">
      <w:pPr>
        <w:pStyle w:val="TableFigureFooter"/>
        <w:widowControl w:val="0"/>
        <w:ind w:left="164" w:hanging="164"/>
        <w:rPr>
          <w:szCs w:val="20"/>
        </w:rPr>
      </w:pPr>
      <w:r w:rsidRPr="00917FFB">
        <w:rPr>
          <w:szCs w:val="20"/>
          <w:vertAlign w:val="superscript"/>
        </w:rPr>
        <w:t>§</w:t>
      </w:r>
      <w:r w:rsidRPr="00917FFB">
        <w:rPr>
          <w:szCs w:val="20"/>
          <w:vertAlign w:val="superscript"/>
        </w:rPr>
        <w:tab/>
      </w:r>
      <w:r w:rsidRPr="00917FFB">
        <w:rPr>
          <w:szCs w:val="20"/>
        </w:rPr>
        <w:t>Back calculated from cost over 2 years by subtracting monitoring costs then dividing by total units required over 2 years.</w:t>
      </w:r>
    </w:p>
    <w:p w:rsidR="001A7D81" w:rsidRPr="00917FFB" w:rsidRDefault="001A7D81" w:rsidP="001A7D81">
      <w:pPr>
        <w:pStyle w:val="3-BodyText"/>
        <w:keepNext/>
        <w:keepLines/>
        <w:rPr>
          <w:iCs/>
        </w:rPr>
      </w:pPr>
      <w:bookmarkStart w:id="26" w:name="_Toc22897646"/>
      <w:r w:rsidRPr="00917FFB">
        <w:rPr>
          <w:iCs/>
        </w:rPr>
        <w:t xml:space="preserve">The ESC noted that the </w:t>
      </w:r>
      <w:r w:rsidR="00B1613E">
        <w:rPr>
          <w:iCs/>
          <w:noProof/>
          <w:color w:val="000000"/>
          <w:highlight w:val="black"/>
        </w:rPr>
        <w:t>''''''</w:t>
      </w:r>
      <w:r w:rsidRPr="00917FFB">
        <w:rPr>
          <w:iCs/>
        </w:rPr>
        <w:t>% reduction in response does not consider:</w:t>
      </w:r>
    </w:p>
    <w:p w:rsidR="001A7D81" w:rsidRPr="00917FFB" w:rsidRDefault="001A7D81" w:rsidP="001A7D81">
      <w:pPr>
        <w:pStyle w:val="ListBullet"/>
        <w:keepNext/>
        <w:keepLines/>
        <w:numPr>
          <w:ilvl w:val="0"/>
          <w:numId w:val="33"/>
        </w:numPr>
        <w:rPr>
          <w:iCs/>
        </w:rPr>
      </w:pPr>
      <w:r w:rsidRPr="00917FFB">
        <w:rPr>
          <w:iCs/>
        </w:rPr>
        <w:t xml:space="preserve">any differences in continued response between DUPI and BARI beyond 16 weeks, which is inconsistent with assumptions used in Section 4, where fewer BARI patients-maintained response over time versus DUPI; and </w:t>
      </w:r>
    </w:p>
    <w:p w:rsidR="001A7D81" w:rsidRPr="00917FFB" w:rsidRDefault="001A7D81" w:rsidP="001A7D81">
      <w:pPr>
        <w:pStyle w:val="ListBullet"/>
        <w:numPr>
          <w:ilvl w:val="0"/>
          <w:numId w:val="33"/>
        </w:numPr>
        <w:spacing w:after="120"/>
        <w:ind w:left="998" w:hanging="357"/>
        <w:contextualSpacing w:val="0"/>
        <w:rPr>
          <w:iCs/>
        </w:rPr>
      </w:pPr>
      <w:r w:rsidRPr="00917FFB">
        <w:rPr>
          <w:iCs/>
        </w:rPr>
        <w:t>other sequelae of inferior effectiveness such as a resultant reduction in quality of life or increase in cost of alternative treatments to manage the condition.</w:t>
      </w:r>
    </w:p>
    <w:p w:rsidR="001A7D81" w:rsidRPr="00917FFB" w:rsidRDefault="001A7D81" w:rsidP="001A7D81">
      <w:pPr>
        <w:pStyle w:val="3-BodyText"/>
        <w:numPr>
          <w:ilvl w:val="0"/>
          <w:numId w:val="0"/>
        </w:numPr>
        <w:ind w:left="720"/>
        <w:rPr>
          <w:iCs/>
        </w:rPr>
      </w:pPr>
      <w:r w:rsidRPr="00917FFB">
        <w:rPr>
          <w:iCs/>
        </w:rPr>
        <w:t xml:space="preserve">The ESC considered that it may be appropriate for the economic analysis to include the costs of the additional alternative treatments required to maintain the (negative) incremental response between BARI and DUPI, which would further reduce the BARI price. </w:t>
      </w:r>
    </w:p>
    <w:p w:rsidR="001A7D81" w:rsidRPr="00917FFB" w:rsidRDefault="001A7D81" w:rsidP="001A7D81">
      <w:pPr>
        <w:pStyle w:val="3-BodyText"/>
      </w:pPr>
      <w:r w:rsidRPr="00917FFB">
        <w:t>An indicative non-comparative cost per responder analysis over 2 years was conducted during the evaluation using the same continued response rates for DUPI and BARI as was applied in Section 4 of the submission, this is summarised in Table 11.</w:t>
      </w:r>
    </w:p>
    <w:p w:rsidR="001A7D81" w:rsidRPr="00917FFB" w:rsidRDefault="001A7D81" w:rsidP="001A7D81">
      <w:pPr>
        <w:pStyle w:val="ListBullet"/>
        <w:keepNext/>
        <w:keepLines/>
        <w:numPr>
          <w:ilvl w:val="0"/>
          <w:numId w:val="0"/>
        </w:numPr>
        <w:ind w:left="-79" w:firstLine="79"/>
        <w:rPr>
          <w:rFonts w:ascii="Arial Narrow" w:hAnsi="Arial Narrow"/>
          <w:b/>
          <w:sz w:val="20"/>
          <w:szCs w:val="20"/>
        </w:rPr>
      </w:pPr>
      <w:r w:rsidRPr="00917FFB">
        <w:rPr>
          <w:rFonts w:ascii="Arial Narrow" w:hAnsi="Arial Narrow"/>
          <w:b/>
          <w:sz w:val="20"/>
          <w:szCs w:val="20"/>
        </w:rPr>
        <w:t>Table 11: Response and costs in the first 2 years of the financial estimates model, based on published DPMQ</w:t>
      </w:r>
    </w:p>
    <w:tbl>
      <w:tblPr>
        <w:tblStyle w:val="TableGrid"/>
        <w:tblW w:w="0" w:type="auto"/>
        <w:tblCellMar>
          <w:left w:w="28" w:type="dxa"/>
          <w:right w:w="28" w:type="dxa"/>
        </w:tblCellMar>
        <w:tblLook w:val="04A0" w:firstRow="1" w:lastRow="0" w:firstColumn="1" w:lastColumn="0" w:noHBand="0" w:noVBand="1"/>
        <w:tblCaption w:val="Table 11: Response and costs in the first 2 years of the financial estimates model, based on published DPMQ"/>
      </w:tblPr>
      <w:tblGrid>
        <w:gridCol w:w="2254"/>
        <w:gridCol w:w="2254"/>
        <w:gridCol w:w="2254"/>
        <w:gridCol w:w="2254"/>
      </w:tblGrid>
      <w:tr w:rsidR="001A7D81" w:rsidRPr="00917FFB" w:rsidTr="007923A4">
        <w:trPr>
          <w:tblHeader/>
        </w:trPr>
        <w:tc>
          <w:tcPr>
            <w:tcW w:w="2254" w:type="dxa"/>
            <w:tcBorders>
              <w:bottom w:val="single" w:sz="4" w:space="0" w:color="auto"/>
            </w:tcBorders>
          </w:tcPr>
          <w:p w:rsidR="001A7D81" w:rsidRPr="00917FFB" w:rsidRDefault="001A7D81" w:rsidP="009F546B">
            <w:pPr>
              <w:keepNext/>
              <w:keepLines/>
              <w:rPr>
                <w:rFonts w:ascii="Arial Narrow" w:hAnsi="Arial Narrow"/>
                <w:sz w:val="20"/>
                <w:szCs w:val="20"/>
              </w:rPr>
            </w:pPr>
          </w:p>
        </w:tc>
        <w:tc>
          <w:tcPr>
            <w:tcW w:w="2254" w:type="dxa"/>
            <w:tcBorders>
              <w:bottom w:val="single" w:sz="4" w:space="0" w:color="auto"/>
            </w:tcBorders>
            <w:vAlign w:val="center"/>
          </w:tcPr>
          <w:p w:rsidR="001A7D81" w:rsidRPr="00917FFB" w:rsidRDefault="001A7D81" w:rsidP="009F546B">
            <w:pPr>
              <w:keepNext/>
              <w:keepLines/>
              <w:jc w:val="center"/>
              <w:rPr>
                <w:rFonts w:ascii="Arial Narrow" w:hAnsi="Arial Narrow"/>
                <w:b/>
                <w:bCs/>
                <w:sz w:val="20"/>
                <w:szCs w:val="20"/>
              </w:rPr>
            </w:pPr>
            <w:r w:rsidRPr="00917FFB">
              <w:rPr>
                <w:rFonts w:ascii="Arial Narrow" w:hAnsi="Arial Narrow"/>
                <w:b/>
                <w:bCs/>
                <w:sz w:val="20"/>
                <w:szCs w:val="20"/>
              </w:rPr>
              <w:t>DUPI</w:t>
            </w:r>
          </w:p>
        </w:tc>
        <w:tc>
          <w:tcPr>
            <w:tcW w:w="2254" w:type="dxa"/>
            <w:tcBorders>
              <w:bottom w:val="single" w:sz="4" w:space="0" w:color="auto"/>
            </w:tcBorders>
            <w:vAlign w:val="center"/>
          </w:tcPr>
          <w:p w:rsidR="001A7D81" w:rsidRPr="00917FFB" w:rsidRDefault="001A7D81" w:rsidP="009F546B">
            <w:pPr>
              <w:keepNext/>
              <w:keepLines/>
              <w:jc w:val="center"/>
              <w:rPr>
                <w:rFonts w:ascii="Arial Narrow" w:hAnsi="Arial Narrow"/>
                <w:b/>
                <w:bCs/>
                <w:sz w:val="20"/>
                <w:szCs w:val="20"/>
              </w:rPr>
            </w:pPr>
            <w:r w:rsidRPr="00917FFB">
              <w:rPr>
                <w:rFonts w:ascii="Arial Narrow" w:hAnsi="Arial Narrow"/>
                <w:b/>
                <w:bCs/>
                <w:sz w:val="20"/>
                <w:szCs w:val="20"/>
              </w:rPr>
              <w:t>BARI 2 mg</w:t>
            </w:r>
          </w:p>
        </w:tc>
        <w:tc>
          <w:tcPr>
            <w:tcW w:w="2254" w:type="dxa"/>
            <w:tcBorders>
              <w:bottom w:val="single" w:sz="4" w:space="0" w:color="auto"/>
            </w:tcBorders>
            <w:vAlign w:val="center"/>
          </w:tcPr>
          <w:p w:rsidR="001A7D81" w:rsidRPr="00917FFB" w:rsidRDefault="001A7D81" w:rsidP="009F546B">
            <w:pPr>
              <w:keepNext/>
              <w:keepLines/>
              <w:jc w:val="center"/>
              <w:rPr>
                <w:rFonts w:ascii="Arial Narrow" w:hAnsi="Arial Narrow"/>
                <w:b/>
                <w:bCs/>
                <w:sz w:val="20"/>
                <w:szCs w:val="20"/>
              </w:rPr>
            </w:pPr>
            <w:r w:rsidRPr="00917FFB">
              <w:rPr>
                <w:rFonts w:ascii="Arial Narrow" w:hAnsi="Arial Narrow"/>
                <w:b/>
                <w:bCs/>
                <w:sz w:val="20"/>
                <w:szCs w:val="20"/>
              </w:rPr>
              <w:t>BARI 4 mg</w:t>
            </w:r>
          </w:p>
        </w:tc>
      </w:tr>
      <w:tr w:rsidR="001A7D81" w:rsidRPr="00917FFB" w:rsidTr="009F546B">
        <w:tc>
          <w:tcPr>
            <w:tcW w:w="2254" w:type="dxa"/>
            <w:tcBorders>
              <w:bottom w:val="nil"/>
            </w:tcBorders>
          </w:tcPr>
          <w:p w:rsidR="001A7D81" w:rsidRPr="00917FFB" w:rsidRDefault="001A7D81" w:rsidP="009F546B">
            <w:pPr>
              <w:keepNext/>
              <w:keepLines/>
              <w:rPr>
                <w:rFonts w:ascii="Arial Narrow" w:hAnsi="Arial Narrow"/>
                <w:sz w:val="20"/>
                <w:szCs w:val="20"/>
              </w:rPr>
            </w:pPr>
            <w:r w:rsidRPr="00917FFB">
              <w:rPr>
                <w:rFonts w:ascii="Arial Narrow" w:hAnsi="Arial Narrow"/>
                <w:b/>
                <w:bCs/>
                <w:sz w:val="20"/>
                <w:szCs w:val="20"/>
              </w:rPr>
              <w:t>Proportion on treatment</w:t>
            </w:r>
          </w:p>
        </w:tc>
        <w:tc>
          <w:tcPr>
            <w:tcW w:w="2254" w:type="dxa"/>
            <w:tcBorders>
              <w:bottom w:val="nil"/>
            </w:tcBorders>
            <w:vAlign w:val="center"/>
          </w:tcPr>
          <w:p w:rsidR="001A7D81" w:rsidRPr="00917FFB" w:rsidRDefault="001A7D81" w:rsidP="009F546B">
            <w:pPr>
              <w:keepNext/>
              <w:keepLines/>
              <w:jc w:val="center"/>
              <w:rPr>
                <w:rFonts w:ascii="Arial Narrow" w:hAnsi="Arial Narrow"/>
                <w:sz w:val="20"/>
                <w:szCs w:val="20"/>
              </w:rPr>
            </w:pPr>
          </w:p>
        </w:tc>
        <w:tc>
          <w:tcPr>
            <w:tcW w:w="2254" w:type="dxa"/>
            <w:tcBorders>
              <w:bottom w:val="nil"/>
            </w:tcBorders>
            <w:vAlign w:val="center"/>
          </w:tcPr>
          <w:p w:rsidR="001A7D81" w:rsidRPr="00917FFB" w:rsidRDefault="001A7D81" w:rsidP="009F546B">
            <w:pPr>
              <w:keepNext/>
              <w:keepLines/>
              <w:jc w:val="center"/>
              <w:rPr>
                <w:rFonts w:ascii="Arial Narrow" w:hAnsi="Arial Narrow"/>
                <w:sz w:val="20"/>
                <w:szCs w:val="20"/>
              </w:rPr>
            </w:pPr>
          </w:p>
        </w:tc>
        <w:tc>
          <w:tcPr>
            <w:tcW w:w="2254" w:type="dxa"/>
            <w:tcBorders>
              <w:bottom w:val="nil"/>
            </w:tcBorders>
            <w:vAlign w:val="center"/>
          </w:tcPr>
          <w:p w:rsidR="001A7D81" w:rsidRPr="00917FFB" w:rsidRDefault="001A7D81" w:rsidP="009F546B">
            <w:pPr>
              <w:keepNext/>
              <w:keepLines/>
              <w:jc w:val="center"/>
              <w:rPr>
                <w:rFonts w:ascii="Arial Narrow" w:hAnsi="Arial Narrow"/>
                <w:sz w:val="20"/>
                <w:szCs w:val="20"/>
              </w:rPr>
            </w:pPr>
          </w:p>
        </w:tc>
      </w:tr>
      <w:tr w:rsidR="001A7D81" w:rsidRPr="00917FFB" w:rsidTr="009F546B">
        <w:tc>
          <w:tcPr>
            <w:tcW w:w="2254" w:type="dxa"/>
            <w:tcBorders>
              <w:top w:val="nil"/>
              <w:bottom w:val="nil"/>
            </w:tcBorders>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0 to 16</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1.00 </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1.00 </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1.00 </w:t>
            </w:r>
          </w:p>
        </w:tc>
      </w:tr>
      <w:tr w:rsidR="001A7D81" w:rsidRPr="00917FFB" w:rsidTr="009F546B">
        <w:tc>
          <w:tcPr>
            <w:tcW w:w="2254" w:type="dxa"/>
            <w:tcBorders>
              <w:top w:val="nil"/>
              <w:bottom w:val="nil"/>
            </w:tcBorders>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16 to 40</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0.60 </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0.30 </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0.36 </w:t>
            </w:r>
          </w:p>
        </w:tc>
      </w:tr>
      <w:tr w:rsidR="001A7D81" w:rsidRPr="00917FFB" w:rsidTr="009F546B">
        <w:tc>
          <w:tcPr>
            <w:tcW w:w="2254" w:type="dxa"/>
            <w:tcBorders>
              <w:top w:val="nil"/>
              <w:bottom w:val="nil"/>
            </w:tcBorders>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40 to 52</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0.57 </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0.21 </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0.22 </w:t>
            </w:r>
          </w:p>
        </w:tc>
      </w:tr>
      <w:tr w:rsidR="001A7D81" w:rsidRPr="00917FFB" w:rsidTr="009F546B">
        <w:trPr>
          <w:trHeight w:val="70"/>
        </w:trPr>
        <w:tc>
          <w:tcPr>
            <w:tcW w:w="2254" w:type="dxa"/>
            <w:tcBorders>
              <w:top w:val="nil"/>
              <w:bottom w:val="single" w:sz="4" w:space="0" w:color="auto"/>
            </w:tcBorders>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52 to 104</w:t>
            </w:r>
          </w:p>
        </w:tc>
        <w:tc>
          <w:tcPr>
            <w:tcW w:w="2254" w:type="dxa"/>
            <w:tcBorders>
              <w:top w:val="nil"/>
              <w:bottom w:val="single" w:sz="4" w:space="0" w:color="auto"/>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0.50 </w:t>
            </w:r>
          </w:p>
        </w:tc>
        <w:tc>
          <w:tcPr>
            <w:tcW w:w="2254" w:type="dxa"/>
            <w:tcBorders>
              <w:top w:val="nil"/>
              <w:bottom w:val="single" w:sz="4" w:space="0" w:color="auto"/>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0.18 </w:t>
            </w:r>
          </w:p>
        </w:tc>
        <w:tc>
          <w:tcPr>
            <w:tcW w:w="2254" w:type="dxa"/>
            <w:tcBorders>
              <w:top w:val="nil"/>
              <w:bottom w:val="single" w:sz="4" w:space="0" w:color="auto"/>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 xml:space="preserve">0.19 </w:t>
            </w:r>
          </w:p>
        </w:tc>
      </w:tr>
      <w:tr w:rsidR="001A7D81" w:rsidRPr="00917FFB" w:rsidTr="009F546B">
        <w:tc>
          <w:tcPr>
            <w:tcW w:w="2254" w:type="dxa"/>
            <w:tcBorders>
              <w:bottom w:val="nil"/>
            </w:tcBorders>
            <w:vAlign w:val="center"/>
          </w:tcPr>
          <w:p w:rsidR="001A7D81" w:rsidRPr="00917FFB" w:rsidRDefault="001A7D81" w:rsidP="009F546B">
            <w:pPr>
              <w:keepNext/>
              <w:keepLines/>
              <w:rPr>
                <w:rFonts w:ascii="Arial Narrow" w:hAnsi="Arial Narrow"/>
                <w:b/>
                <w:bCs/>
                <w:sz w:val="20"/>
                <w:szCs w:val="20"/>
              </w:rPr>
            </w:pPr>
            <w:r w:rsidRPr="00917FFB">
              <w:rPr>
                <w:rFonts w:ascii="Arial Narrow" w:hAnsi="Arial Narrow"/>
                <w:b/>
                <w:bCs/>
                <w:sz w:val="20"/>
                <w:szCs w:val="20"/>
              </w:rPr>
              <w:t>Weeks of response^</w:t>
            </w:r>
          </w:p>
        </w:tc>
        <w:tc>
          <w:tcPr>
            <w:tcW w:w="2254" w:type="dxa"/>
            <w:tcBorders>
              <w:bottom w:val="nil"/>
            </w:tcBorders>
            <w:vAlign w:val="bottom"/>
          </w:tcPr>
          <w:p w:rsidR="001A7D81" w:rsidRPr="00917FFB" w:rsidRDefault="001A7D81" w:rsidP="009F546B">
            <w:pPr>
              <w:keepNext/>
              <w:keepLines/>
              <w:jc w:val="center"/>
              <w:rPr>
                <w:rFonts w:ascii="Arial Narrow" w:hAnsi="Arial Narrow"/>
                <w:b/>
                <w:bCs/>
                <w:sz w:val="20"/>
                <w:szCs w:val="20"/>
              </w:rPr>
            </w:pPr>
          </w:p>
        </w:tc>
        <w:tc>
          <w:tcPr>
            <w:tcW w:w="2254" w:type="dxa"/>
            <w:tcBorders>
              <w:bottom w:val="nil"/>
            </w:tcBorders>
            <w:vAlign w:val="bottom"/>
          </w:tcPr>
          <w:p w:rsidR="001A7D81" w:rsidRPr="00917FFB" w:rsidRDefault="001A7D81" w:rsidP="009F546B">
            <w:pPr>
              <w:keepNext/>
              <w:keepLines/>
              <w:jc w:val="center"/>
              <w:rPr>
                <w:rFonts w:ascii="Arial Narrow" w:hAnsi="Arial Narrow"/>
                <w:b/>
                <w:bCs/>
                <w:sz w:val="20"/>
                <w:szCs w:val="20"/>
              </w:rPr>
            </w:pPr>
          </w:p>
        </w:tc>
        <w:tc>
          <w:tcPr>
            <w:tcW w:w="2254" w:type="dxa"/>
            <w:tcBorders>
              <w:bottom w:val="nil"/>
            </w:tcBorders>
            <w:vAlign w:val="bottom"/>
          </w:tcPr>
          <w:p w:rsidR="001A7D81" w:rsidRPr="00917FFB" w:rsidRDefault="001A7D81" w:rsidP="009F546B">
            <w:pPr>
              <w:keepNext/>
              <w:keepLines/>
              <w:jc w:val="center"/>
              <w:rPr>
                <w:rFonts w:ascii="Arial Narrow" w:hAnsi="Arial Narrow"/>
                <w:b/>
                <w:bCs/>
                <w:sz w:val="20"/>
                <w:szCs w:val="20"/>
              </w:rPr>
            </w:pPr>
          </w:p>
        </w:tc>
      </w:tr>
      <w:tr w:rsidR="001A7D81" w:rsidRPr="00917FFB" w:rsidTr="009F546B">
        <w:tc>
          <w:tcPr>
            <w:tcW w:w="2254" w:type="dxa"/>
            <w:tcBorders>
              <w:top w:val="nil"/>
              <w:bottom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0 to 16</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0</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0</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0</w:t>
            </w:r>
          </w:p>
        </w:tc>
      </w:tr>
      <w:tr w:rsidR="001A7D81" w:rsidRPr="00917FFB" w:rsidTr="009F546B">
        <w:tc>
          <w:tcPr>
            <w:tcW w:w="2254" w:type="dxa"/>
            <w:tcBorders>
              <w:top w:val="nil"/>
              <w:bottom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16 to 52</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21.15</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9.67</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11.20</w:t>
            </w:r>
          </w:p>
        </w:tc>
      </w:tr>
      <w:tr w:rsidR="001A7D81" w:rsidRPr="00917FFB" w:rsidTr="009F546B">
        <w:tc>
          <w:tcPr>
            <w:tcW w:w="2254" w:type="dxa"/>
            <w:tcBorders>
              <w:top w:val="nil"/>
              <w:bottom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52 to 104</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25.79</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9.59</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10.01</w:t>
            </w:r>
          </w:p>
        </w:tc>
      </w:tr>
      <w:tr w:rsidR="001A7D81" w:rsidRPr="00917FFB" w:rsidTr="009F546B">
        <w:tc>
          <w:tcPr>
            <w:tcW w:w="2254" w:type="dxa"/>
            <w:tcBorders>
              <w:top w:val="nil"/>
              <w:bottom w:val="single" w:sz="4" w:space="0" w:color="auto"/>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Total</w:t>
            </w:r>
          </w:p>
        </w:tc>
        <w:tc>
          <w:tcPr>
            <w:tcW w:w="2254" w:type="dxa"/>
            <w:tcBorders>
              <w:top w:val="nil"/>
              <w:bottom w:val="single" w:sz="4" w:space="0" w:color="auto"/>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46.93</w:t>
            </w:r>
          </w:p>
        </w:tc>
        <w:tc>
          <w:tcPr>
            <w:tcW w:w="2254" w:type="dxa"/>
            <w:tcBorders>
              <w:top w:val="nil"/>
              <w:bottom w:val="single" w:sz="4" w:space="0" w:color="auto"/>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19.27</w:t>
            </w:r>
          </w:p>
        </w:tc>
        <w:tc>
          <w:tcPr>
            <w:tcW w:w="2254" w:type="dxa"/>
            <w:tcBorders>
              <w:top w:val="nil"/>
              <w:bottom w:val="single" w:sz="4" w:space="0" w:color="auto"/>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21.21</w:t>
            </w:r>
          </w:p>
        </w:tc>
      </w:tr>
      <w:tr w:rsidR="001A7D81" w:rsidRPr="00917FFB" w:rsidTr="009F546B">
        <w:tc>
          <w:tcPr>
            <w:tcW w:w="2254" w:type="dxa"/>
            <w:tcBorders>
              <w:top w:val="single" w:sz="4" w:space="0" w:color="auto"/>
              <w:bottom w:val="nil"/>
            </w:tcBorders>
            <w:vAlign w:val="center"/>
          </w:tcPr>
          <w:p w:rsidR="001A7D81" w:rsidRPr="00917FFB" w:rsidRDefault="001A7D81" w:rsidP="009F546B">
            <w:pPr>
              <w:keepNext/>
              <w:keepLines/>
              <w:rPr>
                <w:rFonts w:ascii="Arial Narrow" w:hAnsi="Arial Narrow"/>
                <w:b/>
                <w:bCs/>
                <w:sz w:val="20"/>
                <w:szCs w:val="20"/>
              </w:rPr>
            </w:pPr>
            <w:r w:rsidRPr="00917FFB">
              <w:rPr>
                <w:rFonts w:ascii="Arial Narrow" w:hAnsi="Arial Narrow"/>
                <w:b/>
                <w:bCs/>
                <w:sz w:val="20"/>
                <w:szCs w:val="20"/>
              </w:rPr>
              <w:t>Scripts</w:t>
            </w:r>
          </w:p>
        </w:tc>
        <w:tc>
          <w:tcPr>
            <w:tcW w:w="2254" w:type="dxa"/>
            <w:tcBorders>
              <w:top w:val="single" w:sz="4" w:space="0" w:color="auto"/>
              <w:bottom w:val="nil"/>
            </w:tcBorders>
            <w:vAlign w:val="bottom"/>
          </w:tcPr>
          <w:p w:rsidR="001A7D81" w:rsidRPr="00917FFB" w:rsidRDefault="001A7D81" w:rsidP="009F546B">
            <w:pPr>
              <w:keepNext/>
              <w:keepLines/>
              <w:jc w:val="center"/>
              <w:rPr>
                <w:rFonts w:ascii="Arial Narrow" w:hAnsi="Arial Narrow"/>
                <w:b/>
                <w:bCs/>
                <w:sz w:val="20"/>
                <w:szCs w:val="20"/>
              </w:rPr>
            </w:pPr>
          </w:p>
        </w:tc>
        <w:tc>
          <w:tcPr>
            <w:tcW w:w="2254" w:type="dxa"/>
            <w:tcBorders>
              <w:top w:val="single" w:sz="4" w:space="0" w:color="auto"/>
              <w:bottom w:val="nil"/>
            </w:tcBorders>
            <w:vAlign w:val="bottom"/>
          </w:tcPr>
          <w:p w:rsidR="001A7D81" w:rsidRPr="00917FFB" w:rsidRDefault="001A7D81" w:rsidP="009F546B">
            <w:pPr>
              <w:keepNext/>
              <w:keepLines/>
              <w:jc w:val="center"/>
              <w:rPr>
                <w:rFonts w:ascii="Arial Narrow" w:hAnsi="Arial Narrow"/>
                <w:b/>
                <w:bCs/>
                <w:sz w:val="20"/>
                <w:szCs w:val="20"/>
              </w:rPr>
            </w:pPr>
          </w:p>
        </w:tc>
        <w:tc>
          <w:tcPr>
            <w:tcW w:w="2254" w:type="dxa"/>
            <w:tcBorders>
              <w:top w:val="single" w:sz="4" w:space="0" w:color="auto"/>
              <w:bottom w:val="nil"/>
            </w:tcBorders>
            <w:vAlign w:val="bottom"/>
          </w:tcPr>
          <w:p w:rsidR="001A7D81" w:rsidRPr="00917FFB" w:rsidRDefault="001A7D81" w:rsidP="009F546B">
            <w:pPr>
              <w:keepNext/>
              <w:keepLines/>
              <w:jc w:val="center"/>
              <w:rPr>
                <w:rFonts w:ascii="Arial Narrow" w:hAnsi="Arial Narrow"/>
                <w:b/>
                <w:bCs/>
                <w:sz w:val="20"/>
                <w:szCs w:val="20"/>
              </w:rPr>
            </w:pPr>
          </w:p>
        </w:tc>
      </w:tr>
      <w:tr w:rsidR="001A7D81" w:rsidRPr="00917FFB" w:rsidTr="009F546B">
        <w:tc>
          <w:tcPr>
            <w:tcW w:w="2254" w:type="dxa"/>
            <w:tcBorders>
              <w:top w:val="nil"/>
              <w:bottom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0 to 16</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4.50</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4.00</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4.00</w:t>
            </w:r>
          </w:p>
        </w:tc>
      </w:tr>
      <w:tr w:rsidR="001A7D81" w:rsidRPr="00917FFB" w:rsidTr="009F546B">
        <w:tc>
          <w:tcPr>
            <w:tcW w:w="2254" w:type="dxa"/>
            <w:tcBorders>
              <w:top w:val="nil"/>
              <w:bottom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16 to 52</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5.29</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2.42</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2.80</w:t>
            </w:r>
          </w:p>
        </w:tc>
      </w:tr>
      <w:tr w:rsidR="001A7D81" w:rsidRPr="00917FFB" w:rsidTr="009F546B">
        <w:tc>
          <w:tcPr>
            <w:tcW w:w="2254" w:type="dxa"/>
            <w:tcBorders>
              <w:top w:val="nil"/>
              <w:bottom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52 to 104</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6.45</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2.40</w:t>
            </w:r>
          </w:p>
        </w:tc>
        <w:tc>
          <w:tcPr>
            <w:tcW w:w="2254" w:type="dxa"/>
            <w:tcBorders>
              <w:top w:val="nil"/>
              <w:bottom w:val="nil"/>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2.50</w:t>
            </w:r>
          </w:p>
        </w:tc>
      </w:tr>
      <w:tr w:rsidR="001A7D81" w:rsidRPr="00917FFB" w:rsidTr="009F546B">
        <w:tc>
          <w:tcPr>
            <w:tcW w:w="2254" w:type="dxa"/>
            <w:tcBorders>
              <w:top w:val="nil"/>
              <w:bottom w:val="single" w:sz="4" w:space="0" w:color="auto"/>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Total</w:t>
            </w:r>
          </w:p>
        </w:tc>
        <w:tc>
          <w:tcPr>
            <w:tcW w:w="2254" w:type="dxa"/>
            <w:tcBorders>
              <w:top w:val="nil"/>
              <w:bottom w:val="single" w:sz="4" w:space="0" w:color="auto"/>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16.23</w:t>
            </w:r>
          </w:p>
        </w:tc>
        <w:tc>
          <w:tcPr>
            <w:tcW w:w="2254" w:type="dxa"/>
            <w:tcBorders>
              <w:top w:val="nil"/>
              <w:bottom w:val="single" w:sz="4" w:space="0" w:color="auto"/>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8.82</w:t>
            </w:r>
          </w:p>
        </w:tc>
        <w:tc>
          <w:tcPr>
            <w:tcW w:w="2254" w:type="dxa"/>
            <w:tcBorders>
              <w:top w:val="nil"/>
              <w:bottom w:val="single" w:sz="4" w:space="0" w:color="auto"/>
            </w:tcBorders>
            <w:vAlign w:val="bottom"/>
          </w:tcPr>
          <w:p w:rsidR="001A7D81" w:rsidRPr="00917FFB" w:rsidRDefault="001A7D81" w:rsidP="009F546B">
            <w:pPr>
              <w:keepNext/>
              <w:keepLines/>
              <w:jc w:val="center"/>
              <w:rPr>
                <w:rFonts w:ascii="Arial Narrow" w:hAnsi="Arial Narrow"/>
                <w:sz w:val="20"/>
                <w:szCs w:val="20"/>
              </w:rPr>
            </w:pPr>
            <w:r w:rsidRPr="00917FFB">
              <w:rPr>
                <w:rFonts w:ascii="Arial Narrow" w:hAnsi="Arial Narrow"/>
                <w:sz w:val="20"/>
                <w:szCs w:val="20"/>
              </w:rPr>
              <w:t>9.30</w:t>
            </w:r>
          </w:p>
        </w:tc>
      </w:tr>
      <w:tr w:rsidR="001A7D81" w:rsidRPr="00917FFB" w:rsidTr="009F546B">
        <w:tc>
          <w:tcPr>
            <w:tcW w:w="2254" w:type="dxa"/>
            <w:tcBorders>
              <w:top w:val="single" w:sz="4" w:space="0" w:color="auto"/>
              <w:bottom w:val="nil"/>
            </w:tcBorders>
            <w:vAlign w:val="center"/>
          </w:tcPr>
          <w:p w:rsidR="001A7D81" w:rsidRPr="00917FFB" w:rsidRDefault="001A7D81" w:rsidP="009F546B">
            <w:pPr>
              <w:keepNext/>
              <w:keepLines/>
              <w:rPr>
                <w:rFonts w:ascii="Arial Narrow" w:hAnsi="Arial Narrow"/>
                <w:b/>
                <w:bCs/>
                <w:sz w:val="20"/>
                <w:szCs w:val="20"/>
              </w:rPr>
            </w:pPr>
            <w:r w:rsidRPr="00917FFB">
              <w:rPr>
                <w:rFonts w:ascii="Arial Narrow" w:hAnsi="Arial Narrow"/>
                <w:b/>
                <w:bCs/>
                <w:sz w:val="20"/>
                <w:szCs w:val="20"/>
              </w:rPr>
              <w:t>Costs</w:t>
            </w:r>
            <w:r w:rsidRPr="00917FFB">
              <w:rPr>
                <w:rFonts w:ascii="Arial Narrow" w:hAnsi="Arial Narrow"/>
                <w:sz w:val="20"/>
                <w:szCs w:val="20"/>
                <w:vertAlign w:val="superscript"/>
              </w:rPr>
              <w:t>#</w:t>
            </w:r>
            <w:r w:rsidRPr="00917FFB">
              <w:rPr>
                <w:rFonts w:ascii="Arial Narrow" w:hAnsi="Arial Narrow"/>
                <w:b/>
                <w:bCs/>
                <w:sz w:val="20"/>
                <w:szCs w:val="20"/>
              </w:rPr>
              <w:t>, total</w:t>
            </w:r>
          </w:p>
        </w:tc>
        <w:tc>
          <w:tcPr>
            <w:tcW w:w="2254" w:type="dxa"/>
            <w:tcBorders>
              <w:top w:val="single" w:sz="4" w:space="0" w:color="auto"/>
              <w:bottom w:val="nil"/>
            </w:tcBorders>
            <w:vAlign w:val="bottom"/>
          </w:tcPr>
          <w:p w:rsidR="001A7D81" w:rsidRPr="00917FFB" w:rsidRDefault="001A7D81" w:rsidP="009F546B">
            <w:pPr>
              <w:keepNext/>
              <w:keepLines/>
              <w:jc w:val="center"/>
              <w:rPr>
                <w:rFonts w:ascii="Arial Narrow" w:hAnsi="Arial Narrow"/>
                <w:b/>
                <w:bCs/>
                <w:sz w:val="20"/>
                <w:szCs w:val="20"/>
              </w:rPr>
            </w:pPr>
          </w:p>
        </w:tc>
        <w:tc>
          <w:tcPr>
            <w:tcW w:w="2254" w:type="dxa"/>
            <w:tcBorders>
              <w:top w:val="single" w:sz="4" w:space="0" w:color="auto"/>
              <w:bottom w:val="nil"/>
            </w:tcBorders>
            <w:vAlign w:val="center"/>
          </w:tcPr>
          <w:p w:rsidR="001A7D81" w:rsidRPr="00917FFB" w:rsidRDefault="001A7D81" w:rsidP="009F546B">
            <w:pPr>
              <w:keepNext/>
              <w:keepLines/>
              <w:jc w:val="center"/>
              <w:rPr>
                <w:rFonts w:ascii="Arial Narrow" w:hAnsi="Arial Narrow"/>
                <w:b/>
                <w:bCs/>
                <w:sz w:val="20"/>
                <w:szCs w:val="20"/>
              </w:rPr>
            </w:pPr>
          </w:p>
        </w:tc>
        <w:tc>
          <w:tcPr>
            <w:tcW w:w="2254" w:type="dxa"/>
            <w:tcBorders>
              <w:top w:val="single" w:sz="4" w:space="0" w:color="auto"/>
              <w:bottom w:val="nil"/>
            </w:tcBorders>
            <w:vAlign w:val="center"/>
          </w:tcPr>
          <w:p w:rsidR="001A7D81" w:rsidRPr="00917FFB" w:rsidRDefault="001A7D81" w:rsidP="009F546B">
            <w:pPr>
              <w:keepNext/>
              <w:keepLines/>
              <w:jc w:val="center"/>
              <w:rPr>
                <w:rFonts w:ascii="Arial Narrow" w:hAnsi="Arial Narrow"/>
                <w:b/>
                <w:bCs/>
                <w:sz w:val="20"/>
                <w:szCs w:val="20"/>
              </w:rPr>
            </w:pPr>
          </w:p>
        </w:tc>
      </w:tr>
      <w:tr w:rsidR="001A7D81" w:rsidRPr="00917FFB" w:rsidTr="009F546B">
        <w:tc>
          <w:tcPr>
            <w:tcW w:w="2254" w:type="dxa"/>
            <w:tcBorders>
              <w:top w:val="nil"/>
              <w:bottom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0 to 16</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$7,893.99</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r>
      <w:tr w:rsidR="001A7D81" w:rsidRPr="00917FFB" w:rsidTr="009F546B">
        <w:tc>
          <w:tcPr>
            <w:tcW w:w="2254" w:type="dxa"/>
            <w:tcBorders>
              <w:top w:val="nil"/>
              <w:bottom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16 to 52</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$9,274.76</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r>
      <w:tr w:rsidR="001A7D81" w:rsidRPr="00917FFB" w:rsidTr="009F546B">
        <w:tc>
          <w:tcPr>
            <w:tcW w:w="2254" w:type="dxa"/>
            <w:tcBorders>
              <w:top w:val="nil"/>
              <w:bottom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52 to 104</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$11,308.29</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r>
      <w:tr w:rsidR="001A7D81" w:rsidRPr="00917FFB" w:rsidTr="009F546B">
        <w:tc>
          <w:tcPr>
            <w:tcW w:w="2254" w:type="dxa"/>
            <w:tcBorders>
              <w:top w:val="nil"/>
              <w:bottom w:val="single" w:sz="4" w:space="0" w:color="auto"/>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Total</w:t>
            </w:r>
          </w:p>
        </w:tc>
        <w:tc>
          <w:tcPr>
            <w:tcW w:w="2254" w:type="dxa"/>
            <w:tcBorders>
              <w:top w:val="nil"/>
              <w:bottom w:val="single" w:sz="4" w:space="0" w:color="auto"/>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$28,477.05</w:t>
            </w:r>
          </w:p>
        </w:tc>
        <w:tc>
          <w:tcPr>
            <w:tcW w:w="2254" w:type="dxa"/>
            <w:tcBorders>
              <w:top w:val="nil"/>
              <w:bottom w:val="single" w:sz="4" w:space="0" w:color="auto"/>
            </w:tcBorders>
            <w:vAlign w:val="center"/>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c>
          <w:tcPr>
            <w:tcW w:w="2254" w:type="dxa"/>
            <w:tcBorders>
              <w:top w:val="nil"/>
              <w:bottom w:val="single" w:sz="4" w:space="0" w:color="auto"/>
            </w:tcBorders>
            <w:vAlign w:val="center"/>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r>
      <w:tr w:rsidR="001A7D81" w:rsidRPr="00917FFB" w:rsidTr="009F546B">
        <w:tc>
          <w:tcPr>
            <w:tcW w:w="2254" w:type="dxa"/>
            <w:tcBorders>
              <w:bottom w:val="nil"/>
            </w:tcBorders>
            <w:vAlign w:val="center"/>
          </w:tcPr>
          <w:p w:rsidR="001A7D81" w:rsidRPr="00917FFB" w:rsidRDefault="001A7D81" w:rsidP="009F546B">
            <w:pPr>
              <w:keepNext/>
              <w:keepLines/>
              <w:rPr>
                <w:rFonts w:ascii="Arial Narrow" w:hAnsi="Arial Narrow"/>
                <w:b/>
                <w:bCs/>
                <w:sz w:val="20"/>
                <w:szCs w:val="20"/>
              </w:rPr>
            </w:pPr>
            <w:r w:rsidRPr="00917FFB">
              <w:rPr>
                <w:rFonts w:ascii="Arial Narrow" w:hAnsi="Arial Narrow"/>
                <w:b/>
                <w:bCs/>
                <w:sz w:val="20"/>
                <w:szCs w:val="20"/>
              </w:rPr>
              <w:t>Cost per responder, Wk16</w:t>
            </w:r>
          </w:p>
        </w:tc>
        <w:tc>
          <w:tcPr>
            <w:tcW w:w="2254" w:type="dxa"/>
            <w:tcBorders>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$13,244.95</w:t>
            </w:r>
          </w:p>
        </w:tc>
        <w:tc>
          <w:tcPr>
            <w:tcW w:w="2254" w:type="dxa"/>
            <w:tcBorders>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c>
          <w:tcPr>
            <w:tcW w:w="2254" w:type="dxa"/>
            <w:tcBorders>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r>
      <w:tr w:rsidR="001A7D81" w:rsidRPr="00917FFB" w:rsidTr="009F546B">
        <w:tc>
          <w:tcPr>
            <w:tcW w:w="2254" w:type="dxa"/>
            <w:tcBorders>
              <w:top w:val="nil"/>
              <w:bottom w:val="nil"/>
            </w:tcBorders>
            <w:vAlign w:val="center"/>
          </w:tcPr>
          <w:p w:rsidR="001A7D81" w:rsidRPr="00917FFB" w:rsidRDefault="001A7D81" w:rsidP="009F546B">
            <w:pPr>
              <w:keepNext/>
              <w:keepLines/>
              <w:rPr>
                <w:rFonts w:ascii="Arial Narrow" w:hAnsi="Arial Narrow"/>
                <w:b/>
                <w:bCs/>
                <w:sz w:val="20"/>
                <w:szCs w:val="20"/>
              </w:rPr>
            </w:pPr>
            <w:r w:rsidRPr="00917FFB">
              <w:rPr>
                <w:rFonts w:ascii="Arial Narrow" w:hAnsi="Arial Narrow"/>
                <w:b/>
                <w:bCs/>
                <w:sz w:val="20"/>
                <w:szCs w:val="20"/>
              </w:rPr>
              <w:t>Cost per week of response</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b/>
                <w:bCs/>
                <w:sz w:val="20"/>
                <w:szCs w:val="20"/>
              </w:rPr>
            </w:pP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b/>
                <w:bCs/>
                <w:sz w:val="20"/>
                <w:szCs w:val="20"/>
              </w:rPr>
            </w:pP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b/>
                <w:bCs/>
                <w:sz w:val="20"/>
                <w:szCs w:val="20"/>
              </w:rPr>
            </w:pPr>
          </w:p>
        </w:tc>
      </w:tr>
      <w:tr w:rsidR="001A7D81" w:rsidRPr="00917FFB" w:rsidTr="009F546B">
        <w:tc>
          <w:tcPr>
            <w:tcW w:w="2254" w:type="dxa"/>
            <w:tcBorders>
              <w:top w:val="nil"/>
              <w:bottom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0 to 52</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 xml:space="preserve">$811.82 </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r>
      <w:tr w:rsidR="001A7D81" w:rsidRPr="00917FFB" w:rsidTr="009F546B">
        <w:tc>
          <w:tcPr>
            <w:tcW w:w="2254" w:type="dxa"/>
            <w:tcBorders>
              <w:top w:val="nil"/>
              <w:bottom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Wk 52 to 104</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 xml:space="preserve">$438.56 </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c>
          <w:tcPr>
            <w:tcW w:w="2254" w:type="dxa"/>
            <w:tcBorders>
              <w:top w:val="nil"/>
              <w:bottom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r>
      <w:tr w:rsidR="001A7D81" w:rsidRPr="00917FFB" w:rsidTr="009F546B">
        <w:tc>
          <w:tcPr>
            <w:tcW w:w="2254" w:type="dxa"/>
            <w:tcBorders>
              <w:top w:val="nil"/>
            </w:tcBorders>
            <w:vAlign w:val="center"/>
          </w:tcPr>
          <w:p w:rsidR="001A7D81" w:rsidRPr="00917FFB" w:rsidRDefault="001A7D81" w:rsidP="009F546B">
            <w:pPr>
              <w:keepNext/>
              <w:keepLines/>
              <w:ind w:left="112"/>
              <w:rPr>
                <w:rFonts w:ascii="Arial Narrow" w:hAnsi="Arial Narrow"/>
                <w:sz w:val="20"/>
                <w:szCs w:val="20"/>
              </w:rPr>
            </w:pPr>
            <w:r w:rsidRPr="00917FFB">
              <w:rPr>
                <w:rFonts w:ascii="Arial Narrow" w:hAnsi="Arial Narrow"/>
                <w:sz w:val="20"/>
                <w:szCs w:val="20"/>
              </w:rPr>
              <w:t>Total</w:t>
            </w:r>
          </w:p>
        </w:tc>
        <w:tc>
          <w:tcPr>
            <w:tcW w:w="2254" w:type="dxa"/>
            <w:tcBorders>
              <w:top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$606.75</w:t>
            </w:r>
          </w:p>
        </w:tc>
        <w:tc>
          <w:tcPr>
            <w:tcW w:w="2254" w:type="dxa"/>
            <w:tcBorders>
              <w:top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c>
          <w:tcPr>
            <w:tcW w:w="2254" w:type="dxa"/>
            <w:tcBorders>
              <w:top w:val="nil"/>
            </w:tcBorders>
            <w:vAlign w:val="bottom"/>
          </w:tcPr>
          <w:p w:rsidR="001A7D81" w:rsidRPr="0084736B" w:rsidRDefault="001A7D81" w:rsidP="009F546B">
            <w:pPr>
              <w:keepNext/>
              <w:keepLines/>
              <w:jc w:val="center"/>
              <w:rPr>
                <w:rFonts w:ascii="Arial Narrow" w:hAnsi="Arial Narrow"/>
                <w:sz w:val="20"/>
                <w:szCs w:val="20"/>
              </w:rPr>
            </w:pPr>
            <w:r w:rsidRPr="0084736B">
              <w:rPr>
                <w:rFonts w:ascii="Arial Narrow" w:hAnsi="Arial Narrow"/>
                <w:sz w:val="20"/>
                <w:szCs w:val="20"/>
              </w:rPr>
              <w:t>$</w:t>
            </w:r>
            <w:r w:rsidR="00B1613E">
              <w:rPr>
                <w:rFonts w:ascii="Arial Narrow" w:hAnsi="Arial Narrow"/>
                <w:noProof/>
                <w:color w:val="000000"/>
                <w:sz w:val="20"/>
                <w:szCs w:val="20"/>
                <w:highlight w:val="black"/>
              </w:rPr>
              <w:t>'''''''''''''''''</w:t>
            </w:r>
          </w:p>
        </w:tc>
      </w:tr>
    </w:tbl>
    <w:p w:rsidR="001A7D81" w:rsidRPr="00917FFB" w:rsidRDefault="001A7D81" w:rsidP="001A7D81">
      <w:pPr>
        <w:keepNext/>
        <w:keepLines/>
        <w:rPr>
          <w:rFonts w:ascii="Arial Narrow" w:hAnsi="Arial Narrow"/>
          <w:sz w:val="18"/>
        </w:rPr>
      </w:pPr>
      <w:r w:rsidRPr="00917FFB">
        <w:rPr>
          <w:rFonts w:ascii="Arial Narrow" w:hAnsi="Arial Narrow"/>
          <w:sz w:val="18"/>
        </w:rPr>
        <w:t>Source: constructed during the evaluation from the financial estimates model presented in the submission</w:t>
      </w:r>
    </w:p>
    <w:p w:rsidR="004C2C71" w:rsidRDefault="004C2C71" w:rsidP="001A7D81">
      <w:pPr>
        <w:keepNext/>
        <w:keepLines/>
        <w:rPr>
          <w:rFonts w:ascii="Arial Narrow" w:hAnsi="Arial Narrow"/>
          <w:sz w:val="18"/>
        </w:rPr>
      </w:pPr>
      <w:r>
        <w:rPr>
          <w:rFonts w:ascii="Arial Narrow" w:hAnsi="Arial Narrow"/>
          <w:sz w:val="18"/>
        </w:rPr>
        <w:t>Abbreviations: BARI=baricitinib; DPMQ=dispensed price for maximum quantity; DUPI=dupilumab; wk=week</w:t>
      </w:r>
    </w:p>
    <w:p w:rsidR="001A7D81" w:rsidRPr="00917FFB" w:rsidRDefault="001A7D81" w:rsidP="001A7D81">
      <w:pPr>
        <w:keepNext/>
        <w:keepLines/>
        <w:rPr>
          <w:rFonts w:ascii="Arial Narrow" w:hAnsi="Arial Narrow"/>
          <w:sz w:val="18"/>
        </w:rPr>
      </w:pPr>
      <w:r w:rsidRPr="00917FFB">
        <w:rPr>
          <w:rFonts w:ascii="Arial Narrow" w:hAnsi="Arial Narrow"/>
          <w:sz w:val="18"/>
        </w:rPr>
        <w:t>^</w:t>
      </w:r>
      <w:r w:rsidRPr="00917FFB">
        <w:rPr>
          <w:rFonts w:ascii="Arial Narrow" w:hAnsi="Arial Narrow"/>
          <w:sz w:val="18"/>
        </w:rPr>
        <w:tab/>
        <w:t>Response assumed for those on treatment after Week 16.</w:t>
      </w:r>
    </w:p>
    <w:p w:rsidR="001A7D81" w:rsidRPr="00917FFB" w:rsidRDefault="001A7D81" w:rsidP="001A7D81">
      <w:pPr>
        <w:keepNext/>
        <w:keepLines/>
        <w:rPr>
          <w:rFonts w:ascii="Arial Narrow" w:hAnsi="Arial Narrow"/>
          <w:sz w:val="18"/>
        </w:rPr>
      </w:pPr>
      <w:r w:rsidRPr="00917FFB">
        <w:rPr>
          <w:rFonts w:ascii="Arial Narrow" w:hAnsi="Arial Narrow"/>
          <w:sz w:val="18"/>
        </w:rPr>
        <w:t>#</w:t>
      </w:r>
      <w:r w:rsidRPr="00917FFB">
        <w:rPr>
          <w:rFonts w:ascii="Arial Narrow" w:hAnsi="Arial Narrow"/>
          <w:sz w:val="18"/>
        </w:rPr>
        <w:tab/>
        <w:t>Published DPMQs ($1,754.22 per DUPI script; $</w:t>
      </w:r>
      <w:r w:rsidR="00B1613E">
        <w:rPr>
          <w:rFonts w:ascii="Arial Narrow" w:hAnsi="Arial Narrow"/>
          <w:noProof/>
          <w:color w:val="000000"/>
          <w:sz w:val="18"/>
          <w:highlight w:val="black"/>
        </w:rPr>
        <w:t>''''''''''''''''''''''</w:t>
      </w:r>
      <w:r w:rsidRPr="00917FFB">
        <w:rPr>
          <w:rFonts w:ascii="Arial Narrow" w:hAnsi="Arial Narrow"/>
          <w:sz w:val="18"/>
        </w:rPr>
        <w:t xml:space="preserve"> per BARI script) plus MBS cost of $23.73 per script of BARI at 80% benefit</w:t>
      </w:r>
    </w:p>
    <w:p w:rsidR="001A7D81" w:rsidRPr="00917FFB" w:rsidRDefault="001A7D81" w:rsidP="001A7D81">
      <w:pPr>
        <w:rPr>
          <w:rFonts w:ascii="Arial Narrow" w:hAnsi="Arial Narrow"/>
          <w:sz w:val="18"/>
        </w:rPr>
      </w:pPr>
    </w:p>
    <w:p w:rsidR="001A7D81" w:rsidRPr="00917FFB" w:rsidRDefault="001A7D81" w:rsidP="001A7D81">
      <w:pPr>
        <w:pStyle w:val="3-BodyText"/>
        <w:rPr>
          <w:rFonts w:ascii="Arial Narrow" w:hAnsi="Arial Narrow" w:cs="Calibri"/>
          <w:sz w:val="18"/>
        </w:rPr>
      </w:pPr>
      <w:r w:rsidRPr="00917FFB">
        <w:t xml:space="preserve">The cost per responder at 16 weeks suggested a higher cost per responder for BARI versus DUPI. A cost per week of response analysis at 2 years indicated a lower number of response weeks over the 2 years and lower cost per week of response for BARI versus DUPI; noting that the analysis is limited in that it is not incremental, and does not take into account the differences for funding treatments that are less effective and less costly (i.e. with an ICER in the south west quadrant of the cost effectiveness plane). </w:t>
      </w:r>
      <w:r w:rsidRPr="00917FFB">
        <w:rPr>
          <w:rFonts w:cstheme="minorHAnsi"/>
          <w:szCs w:val="22"/>
        </w:rPr>
        <w:t xml:space="preserve">The PSCR argued </w:t>
      </w:r>
      <w:r w:rsidR="009F1860" w:rsidRPr="00917FFB">
        <w:rPr>
          <w:rFonts w:cstheme="minorHAnsi"/>
          <w:szCs w:val="22"/>
        </w:rPr>
        <w:t xml:space="preserve">based on </w:t>
      </w:r>
      <w:r w:rsidRPr="00917FFB">
        <w:rPr>
          <w:rFonts w:cstheme="minorHAnsi"/>
          <w:szCs w:val="22"/>
        </w:rPr>
        <w:t xml:space="preserve">the cost per week of response that the </w:t>
      </w:r>
      <w:r w:rsidR="00B1613E">
        <w:rPr>
          <w:rFonts w:cstheme="minorHAnsi"/>
          <w:noProof/>
          <w:color w:val="000000"/>
          <w:szCs w:val="22"/>
          <w:highlight w:val="black"/>
        </w:rPr>
        <w:t>''''''''''''</w:t>
      </w:r>
      <w:r w:rsidRPr="00917FFB">
        <w:rPr>
          <w:rFonts w:cstheme="minorHAnsi"/>
          <w:szCs w:val="22"/>
        </w:rPr>
        <w:t xml:space="preserve">% price reduction meets the requirements of a cost-minimisation analysis </w:t>
      </w:r>
      <w:r w:rsidR="009F1860" w:rsidRPr="00917FFB">
        <w:rPr>
          <w:rFonts w:cstheme="minorHAnsi"/>
          <w:szCs w:val="22"/>
        </w:rPr>
        <w:t>as</w:t>
      </w:r>
      <w:r w:rsidRPr="00917FFB">
        <w:rPr>
          <w:rFonts w:cstheme="minorHAnsi"/>
          <w:szCs w:val="22"/>
        </w:rPr>
        <w:t xml:space="preserve"> the cost per outcome (i.e., week of response) is the same between alternatives (i.e., BARI and DUPI) after explicitly accounting for differences in response rates at and beyond week 16. The ESC considered that the cost per responder at 16 weeks for BARI should not be more than that for DUPI, particularly given the relative (loss of) efficacy and therefore an additional reduction in price would be appropriate. </w:t>
      </w:r>
      <w:r w:rsidR="00DA1B5A" w:rsidRPr="00917FFB">
        <w:rPr>
          <w:rFonts w:cstheme="minorHAnsi"/>
          <w:szCs w:val="22"/>
        </w:rPr>
        <w:t xml:space="preserve">The pre-PBAC response agreed to a price reduction of </w:t>
      </w:r>
      <w:r w:rsidR="00B1613E">
        <w:rPr>
          <w:rFonts w:cstheme="minorHAnsi"/>
          <w:noProof/>
          <w:color w:val="000000"/>
          <w:szCs w:val="22"/>
          <w:highlight w:val="black"/>
        </w:rPr>
        <w:t>'''''</w:t>
      </w:r>
      <w:r w:rsidR="00DA1B5A" w:rsidRPr="00917FFB">
        <w:rPr>
          <w:rFonts w:cstheme="minorHAnsi"/>
          <w:szCs w:val="22"/>
        </w:rPr>
        <w:t>%</w:t>
      </w:r>
      <w:r w:rsidR="00A80F74" w:rsidRPr="00917FFB">
        <w:rPr>
          <w:rFonts w:cstheme="minorHAnsi"/>
          <w:szCs w:val="22"/>
        </w:rPr>
        <w:t>,</w:t>
      </w:r>
      <w:r w:rsidR="00DA1B5A" w:rsidRPr="00917FFB">
        <w:rPr>
          <w:rFonts w:cstheme="minorHAnsi"/>
          <w:szCs w:val="22"/>
        </w:rPr>
        <w:t xml:space="preserve"> resulting in an AEMP of $</w:t>
      </w:r>
      <w:r w:rsidR="00B1613E">
        <w:rPr>
          <w:rFonts w:cstheme="minorHAnsi"/>
          <w:noProof/>
          <w:color w:val="000000"/>
          <w:szCs w:val="22"/>
          <w:highlight w:val="black"/>
        </w:rPr>
        <w:t>'''''''''''''</w:t>
      </w:r>
      <w:r w:rsidR="00DA1B5A" w:rsidRPr="00917FFB">
        <w:rPr>
          <w:rFonts w:cstheme="minorHAnsi"/>
          <w:szCs w:val="22"/>
        </w:rPr>
        <w:t xml:space="preserve"> for both BARI 2 mg and BARI 4 mg</w:t>
      </w:r>
      <w:r w:rsidR="006335E3" w:rsidRPr="00917FFB">
        <w:rPr>
          <w:rFonts w:cstheme="minorHAnsi"/>
          <w:szCs w:val="22"/>
        </w:rPr>
        <w:t xml:space="preserve"> (see Table 10)</w:t>
      </w:r>
      <w:r w:rsidR="00DA1B5A" w:rsidRPr="00917FFB">
        <w:rPr>
          <w:rFonts w:cstheme="minorHAnsi"/>
          <w:szCs w:val="22"/>
        </w:rPr>
        <w:t xml:space="preserve">. </w:t>
      </w:r>
    </w:p>
    <w:p w:rsidR="00BC4EBA" w:rsidRPr="00917FFB" w:rsidRDefault="00BC4EBA" w:rsidP="00BC4EBA">
      <w:pPr>
        <w:pStyle w:val="3-BodyText"/>
      </w:pPr>
      <w:r w:rsidRPr="00917FFB">
        <w:t xml:space="preserve">The PBAC noted that the evaluation provided results of sensitivity analyses for BARI using the PBAC accepted DUPI economic model from November 2020. The analyses followed all assumptions used in the DUPI model, the DUPI model had reported results separately for the CsA naïve and experienced populations (using different utility assumptions). For simplicity, the evaluation followed the utilities for the CsA naïve population, which the PBAC had considered to be more representative of the PBS population. The only values that were changed by the evaluator were: drug costs and response rates for DUPI or BARI. Given the BARI submission only provided results for a pooled CsA naïve and experienced population, results for DUPI vs PBO were also re-estimated for the pooled population using the CsA naïve utility assumptions. </w:t>
      </w:r>
    </w:p>
    <w:p w:rsidR="001A7D81" w:rsidRPr="00917FFB" w:rsidRDefault="001A7D81" w:rsidP="001A7D81">
      <w:pPr>
        <w:pStyle w:val="3-BodyText"/>
        <w:rPr>
          <w:rFonts w:ascii="Arial Narrow" w:hAnsi="Arial Narrow" w:cs="Calibri"/>
          <w:iCs/>
          <w:sz w:val="18"/>
        </w:rPr>
      </w:pPr>
      <w:r w:rsidRPr="00917FFB">
        <w:t>The ESC noted that gains are not valued the same as losses and the literature suggests much higher willingness to accept (WTA) for south west quadrant ICERs compared to willingness to pay (WTP) for north east quadrant ICERs (where treatments are more costly but more effective), indicating potential further price reductions are required</w:t>
      </w:r>
      <w:r w:rsidRPr="00917FFB">
        <w:rPr>
          <w:iCs/>
        </w:rPr>
        <w:t xml:space="preserve"> to achieve an acceptable cost effectiveness in the south west quadrant for BARI versus DUPI. </w:t>
      </w:r>
    </w:p>
    <w:p w:rsidR="001A7D81" w:rsidRPr="00917FFB" w:rsidRDefault="001A7D81" w:rsidP="006C52A7">
      <w:pPr>
        <w:pStyle w:val="3-BodyText"/>
        <w:rPr>
          <w:rFonts w:ascii="Arial Narrow" w:hAnsi="Arial Narrow" w:cs="Calibri"/>
          <w:iCs/>
          <w:sz w:val="18"/>
        </w:rPr>
      </w:pPr>
      <w:r w:rsidRPr="00917FFB">
        <w:rPr>
          <w:iCs/>
        </w:rPr>
        <w:t>Similarly, the ESC noted that there is reduced willingness to accept uncertainty regarding ICERs in the south west quadrant. The ESC noted that there was a high degree of uncertainty in the clinical data informing the economic analysis in that the incremental reduction in responders was based on indirect comparisons and varied depending on the trials included in the analysis (e.g. monotherapy/combination therapy trials)</w:t>
      </w:r>
      <w:r w:rsidR="00917FFB">
        <w:rPr>
          <w:iCs/>
        </w:rPr>
        <w:t xml:space="preserve">. </w:t>
      </w:r>
    </w:p>
    <w:p w:rsidR="00BD73D2" w:rsidRPr="000D2978" w:rsidRDefault="00BD73D2" w:rsidP="00BD73D2">
      <w:pPr>
        <w:pStyle w:val="4-SubsectionHeading"/>
      </w:pPr>
      <w:bookmarkStart w:id="27" w:name="_Toc72320857"/>
      <w:bookmarkEnd w:id="26"/>
      <w:r w:rsidRPr="000D2978">
        <w:t>Drug cost/patient/2-years</w:t>
      </w:r>
      <w:bookmarkEnd w:id="27"/>
    </w:p>
    <w:p w:rsidR="00BD73D2" w:rsidRPr="00917FFB" w:rsidRDefault="00BD73D2" w:rsidP="00BD73D2">
      <w:pPr>
        <w:pStyle w:val="3-BodyText"/>
      </w:pPr>
      <w:r w:rsidRPr="00917FFB">
        <w:t>Assuming a DPMQ of $</w:t>
      </w:r>
      <w:r w:rsidR="00B1613E">
        <w:rPr>
          <w:noProof/>
          <w:color w:val="000000"/>
          <w:highlight w:val="black"/>
        </w:rPr>
        <w:t>''''''''''''''''</w:t>
      </w:r>
      <w:r w:rsidRPr="00917FFB">
        <w:t xml:space="preserve"> (i.e. requested published price) and 26 scripts plus $143 for routine monitoring costs </w:t>
      </w:r>
      <w:r w:rsidRPr="000D2978">
        <w:t xml:space="preserve">over a 2-year period, the cost of BARI 2 mg or 4 </w:t>
      </w:r>
      <w:r w:rsidRPr="00917FFB">
        <w:t>mg per patient over 2-years is $</w:t>
      </w:r>
      <w:r w:rsidR="00B1613E">
        <w:rPr>
          <w:noProof/>
          <w:color w:val="000000"/>
          <w:highlight w:val="black"/>
        </w:rPr>
        <w:t>'''''''''''''''''''</w:t>
      </w:r>
      <w:r w:rsidRPr="00917FFB">
        <w:t xml:space="preserve">. </w:t>
      </w:r>
    </w:p>
    <w:p w:rsidR="00B60939" w:rsidRPr="00917FFB" w:rsidRDefault="00B60939" w:rsidP="002B05A1">
      <w:pPr>
        <w:pStyle w:val="4-SubsectionHeading"/>
      </w:pPr>
      <w:r w:rsidRPr="00917FFB">
        <w:t>Estimated PBS usage &amp; financial implications</w:t>
      </w:r>
      <w:bookmarkEnd w:id="24"/>
      <w:bookmarkEnd w:id="25"/>
    </w:p>
    <w:p w:rsidR="00DB32CC" w:rsidRPr="00917FFB" w:rsidRDefault="005B0357" w:rsidP="00DB32CC">
      <w:pPr>
        <w:pStyle w:val="3-BodyText"/>
      </w:pPr>
      <w:r>
        <w:t>T</w:t>
      </w:r>
      <w:r w:rsidR="000D2978" w:rsidRPr="000D2978">
        <w:t xml:space="preserve">his </w:t>
      </w:r>
      <w:r w:rsidR="00C25D9C" w:rsidRPr="000D2978">
        <w:t>submission</w:t>
      </w:r>
      <w:r>
        <w:t xml:space="preserve"> was not considered by DUSC</w:t>
      </w:r>
      <w:r w:rsidR="00C25D9C" w:rsidRPr="000D2978">
        <w:t>.</w:t>
      </w:r>
      <w:r w:rsidR="00BC591F" w:rsidRPr="000D2978">
        <w:t xml:space="preserve"> </w:t>
      </w:r>
      <w:r w:rsidR="00C110EE" w:rsidRPr="000D2978">
        <w:t>The submission estimated the financial imp</w:t>
      </w:r>
      <w:r w:rsidR="000D2978">
        <w:t xml:space="preserve">act </w:t>
      </w:r>
      <w:r w:rsidR="00C110EE" w:rsidRPr="000D2978">
        <w:t>of the proposed listing of BARI using an epidemiological approach,</w:t>
      </w:r>
      <w:r w:rsidR="00DB32CC" w:rsidRPr="000D2978">
        <w:t xml:space="preserve"> plus t</w:t>
      </w:r>
      <w:r w:rsidR="00C110EE" w:rsidRPr="000D2978">
        <w:t>reatment of an anticipated 500</w:t>
      </w:r>
      <w:r w:rsidR="0056468E">
        <w:t xml:space="preserve"> to &lt; 5000</w:t>
      </w:r>
      <w:r w:rsidR="00C110EE" w:rsidRPr="000D2978">
        <w:t xml:space="preserve"> grandfathered patients </w:t>
      </w:r>
      <w:r w:rsidR="00C110EE" w:rsidRPr="00917FFB">
        <w:t>enrolled in an early access program at the time of PBS listing</w:t>
      </w:r>
      <w:r w:rsidR="00DB32CC" w:rsidRPr="00917FFB">
        <w:t>.</w:t>
      </w:r>
      <w:r w:rsidR="00E922A3" w:rsidRPr="00917FFB">
        <w:t xml:space="preserve"> </w:t>
      </w:r>
      <w:r w:rsidR="00DB32CC" w:rsidRPr="00917FFB">
        <w:t>The analysis presented in the submission used published DPMQs because the sponsor was not aware of the confidential effective</w:t>
      </w:r>
      <w:r w:rsidR="00E922A3" w:rsidRPr="00917FFB">
        <w:t xml:space="preserve"> price</w:t>
      </w:r>
      <w:r w:rsidR="00DB32CC" w:rsidRPr="00917FFB">
        <w:t xml:space="preserve"> for DUPI. </w:t>
      </w:r>
    </w:p>
    <w:p w:rsidR="00C82409" w:rsidRPr="00917FFB" w:rsidRDefault="00C82409" w:rsidP="0019155D">
      <w:pPr>
        <w:pStyle w:val="3-BodyText"/>
      </w:pPr>
      <w:r w:rsidRPr="00917FFB">
        <w:t>T</w:t>
      </w:r>
      <w:r w:rsidR="00DB32CC" w:rsidRPr="00917FFB">
        <w:t>he epidemiological approach</w:t>
      </w:r>
      <w:r w:rsidRPr="00917FFB">
        <w:t xml:space="preserve"> was based on the following assumptions:</w:t>
      </w:r>
    </w:p>
    <w:p w:rsidR="00D768AF" w:rsidRPr="00917FFB" w:rsidRDefault="00D768AF" w:rsidP="00967196">
      <w:pPr>
        <w:pStyle w:val="3-BodyText"/>
        <w:numPr>
          <w:ilvl w:val="0"/>
          <w:numId w:val="30"/>
        </w:numPr>
      </w:pPr>
      <w:r w:rsidRPr="00917FFB">
        <w:t>The total eligible population was informed by the proportion of patients who ha</w:t>
      </w:r>
      <w:r w:rsidR="000B0B3D" w:rsidRPr="00917FFB">
        <w:t>ve</w:t>
      </w:r>
      <w:r w:rsidRPr="00917FFB">
        <w:t xml:space="preserve"> severe AD (PGA=4 and EASI ≥20), uncontrolled despite TCS therapy </w:t>
      </w:r>
      <w:r w:rsidR="000B0B3D" w:rsidRPr="00917FFB">
        <w:t xml:space="preserve">as estimated </w:t>
      </w:r>
      <w:r w:rsidRPr="00917FFB">
        <w:t xml:space="preserve">in the DUPI PSD </w:t>
      </w:r>
      <w:r w:rsidR="000B0B3D" w:rsidRPr="00917FFB">
        <w:t>(</w:t>
      </w:r>
      <w:r w:rsidRPr="00917FFB">
        <w:t>March 2020 PBAC meeting</w:t>
      </w:r>
      <w:r w:rsidR="000B0B3D" w:rsidRPr="00917FFB">
        <w:t>)</w:t>
      </w:r>
      <w:r w:rsidRPr="00917FFB">
        <w:t>.</w:t>
      </w:r>
    </w:p>
    <w:p w:rsidR="00F01556" w:rsidRPr="00917FFB" w:rsidRDefault="00AB1810" w:rsidP="00967196">
      <w:pPr>
        <w:pStyle w:val="3-BodyText"/>
        <w:numPr>
          <w:ilvl w:val="0"/>
          <w:numId w:val="30"/>
        </w:numPr>
      </w:pPr>
      <w:r w:rsidRPr="00917FFB">
        <w:t>T</w:t>
      </w:r>
      <w:r w:rsidR="00F01556" w:rsidRPr="00917FFB">
        <w:t xml:space="preserve">he number </w:t>
      </w:r>
      <w:r w:rsidR="000B0B3D" w:rsidRPr="00917FFB">
        <w:t xml:space="preserve">of </w:t>
      </w:r>
      <w:r w:rsidR="00F01556" w:rsidRPr="00917FFB">
        <w:t>patients eligible for treatment with DUPI</w:t>
      </w:r>
      <w:r w:rsidR="00D768AF" w:rsidRPr="00917FFB">
        <w:t xml:space="preserve"> was estimated </w:t>
      </w:r>
      <w:r w:rsidR="00F01556" w:rsidRPr="00917FFB">
        <w:t>by applying the DUPI uptake rate (assumed from DUPI PSD March 2020) to the prevalent patients with severe AD uncontrolled on TCS therapy and who had not been treated with DUPI before.</w:t>
      </w:r>
    </w:p>
    <w:p w:rsidR="00F01556" w:rsidRPr="00917FFB" w:rsidRDefault="00F01556" w:rsidP="00967196">
      <w:pPr>
        <w:pStyle w:val="3-BodyText"/>
        <w:numPr>
          <w:ilvl w:val="0"/>
          <w:numId w:val="30"/>
        </w:numPr>
      </w:pPr>
      <w:r w:rsidRPr="00917FFB">
        <w:t xml:space="preserve">The number of patients initiating BARI </w:t>
      </w:r>
      <w:r w:rsidR="00D768AF" w:rsidRPr="00917FFB">
        <w:t xml:space="preserve">was estimated </w:t>
      </w:r>
      <w:r w:rsidRPr="00917FFB">
        <w:t>by applying the BARI uptake rate to the prevalent pool of new and prevalent patients who had not been treated with DUPI before and instead would be treated with BARI.</w:t>
      </w:r>
    </w:p>
    <w:p w:rsidR="00F01556" w:rsidRPr="00917FFB" w:rsidRDefault="00D768AF" w:rsidP="00967196">
      <w:pPr>
        <w:pStyle w:val="3-BodyText"/>
        <w:numPr>
          <w:ilvl w:val="0"/>
          <w:numId w:val="30"/>
        </w:numPr>
      </w:pPr>
      <w:r w:rsidRPr="00917FFB">
        <w:t>T</w:t>
      </w:r>
      <w:r w:rsidR="00F01556" w:rsidRPr="00917FFB">
        <w:t>he number of continuing patients</w:t>
      </w:r>
      <w:r w:rsidRPr="00917FFB">
        <w:t xml:space="preserve"> was estimated </w:t>
      </w:r>
      <w:r w:rsidR="00F01556" w:rsidRPr="00917FFB">
        <w:t>by applying the initial and continuing response rates to the patients initiating with DUPI or BARI.</w:t>
      </w:r>
    </w:p>
    <w:p w:rsidR="00F01556" w:rsidRPr="00917FFB" w:rsidRDefault="00D768AF" w:rsidP="00967196">
      <w:pPr>
        <w:pStyle w:val="3-BodyText"/>
        <w:numPr>
          <w:ilvl w:val="0"/>
          <w:numId w:val="30"/>
        </w:numPr>
      </w:pPr>
      <w:r w:rsidRPr="00917FFB">
        <w:t>T</w:t>
      </w:r>
      <w:r w:rsidR="00F01556" w:rsidRPr="00917FFB">
        <w:t xml:space="preserve">he number of scripts </w:t>
      </w:r>
      <w:r w:rsidRPr="00917FFB">
        <w:t xml:space="preserve">was estimated </w:t>
      </w:r>
      <w:r w:rsidR="00F01556" w:rsidRPr="00917FFB">
        <w:t>by applying the scripts by treatment period i.e. initial (Weeks 0 to 16) and continuing (Weeks 16 to 40 and Weeks 40 to 52) or annual (Year 2 to Year 6) to the number of patients treated with DUPI or BARI.</w:t>
      </w:r>
    </w:p>
    <w:p w:rsidR="00F01556" w:rsidRPr="00917FFB" w:rsidRDefault="00F01556" w:rsidP="00967196">
      <w:pPr>
        <w:pStyle w:val="3-BodyText"/>
        <w:numPr>
          <w:ilvl w:val="0"/>
          <w:numId w:val="30"/>
        </w:numPr>
      </w:pPr>
      <w:r w:rsidRPr="00917FFB">
        <w:t>The submission estimated the annual change in DUPI scripts as a difference between dispensed scripts for DUPI and BARI.</w:t>
      </w:r>
    </w:p>
    <w:p w:rsidR="00F01556" w:rsidRPr="00917FFB" w:rsidRDefault="00F01556" w:rsidP="00967196">
      <w:pPr>
        <w:pStyle w:val="3-BodyText"/>
        <w:numPr>
          <w:ilvl w:val="0"/>
          <w:numId w:val="30"/>
        </w:numPr>
      </w:pPr>
      <w:r w:rsidRPr="00917FFB">
        <w:t xml:space="preserve">For the requested grandfathering restriction, the submission assumed 500 </w:t>
      </w:r>
      <w:r w:rsidR="000D2978">
        <w:t xml:space="preserve">eligible </w:t>
      </w:r>
      <w:r w:rsidRPr="000D2978">
        <w:t>patients will be treated with BARI in Year 1, commencing as continuing patients.</w:t>
      </w:r>
    </w:p>
    <w:p w:rsidR="00F01556" w:rsidRPr="00917FFB" w:rsidRDefault="00F01556" w:rsidP="00967196">
      <w:pPr>
        <w:pStyle w:val="3-BodyText"/>
        <w:numPr>
          <w:ilvl w:val="0"/>
          <w:numId w:val="30"/>
        </w:numPr>
      </w:pPr>
      <w:r w:rsidRPr="00917FFB">
        <w:t>The submission also assumed patients initiating with BARI would have two lipid and hepatic transaminase tests and one test for neutrophil count, lymphocyte count and haemoglobin. Patients continuing treatment would have each of the aforementioned tests every six months.</w:t>
      </w:r>
    </w:p>
    <w:p w:rsidR="00EE1F1E" w:rsidRPr="00917FFB" w:rsidRDefault="004B366B" w:rsidP="008A6DF0">
      <w:pPr>
        <w:pStyle w:val="ListParagraph"/>
        <w:numPr>
          <w:ilvl w:val="1"/>
          <w:numId w:val="1"/>
        </w:numPr>
        <w:spacing w:after="160"/>
      </w:pPr>
      <w:r w:rsidRPr="00917FFB">
        <w:t xml:space="preserve">The overall </w:t>
      </w:r>
      <w:r w:rsidR="000B0B3D" w:rsidRPr="00917FFB">
        <w:t xml:space="preserve">estimates </w:t>
      </w:r>
      <w:r w:rsidRPr="00917FFB">
        <w:t>assumed that patients would not be treated with sequential treatments or re-trial biologic therapies including DUPI and BARI following treatment failure.</w:t>
      </w:r>
      <w:r w:rsidR="002D7F88" w:rsidRPr="00917FFB">
        <w:t xml:space="preserve"> However, as discussed in Section 3, </w:t>
      </w:r>
      <w:r w:rsidR="003C0DB5" w:rsidRPr="00917FFB">
        <w:t xml:space="preserve">the requested listing did not preclude sequential use and </w:t>
      </w:r>
      <w:r w:rsidR="002D7F88" w:rsidRPr="00917FFB">
        <w:t>the PSCR stated that sequential treatment is in the best interest of patients, despite the potential for increased market growth.</w:t>
      </w:r>
      <w:r w:rsidR="00176084" w:rsidRPr="00917FFB">
        <w:t xml:space="preserve"> </w:t>
      </w:r>
    </w:p>
    <w:p w:rsidR="00DB32CC" w:rsidRPr="00917FFB" w:rsidRDefault="00DB32CC" w:rsidP="008A6DF0">
      <w:pPr>
        <w:pStyle w:val="ListParagraph"/>
        <w:numPr>
          <w:ilvl w:val="1"/>
          <w:numId w:val="1"/>
        </w:numPr>
        <w:spacing w:after="160"/>
      </w:pPr>
      <w:r w:rsidRPr="00917FFB">
        <w:t xml:space="preserve">Table </w:t>
      </w:r>
      <w:r w:rsidR="008A6DF0" w:rsidRPr="00917FFB">
        <w:t>1</w:t>
      </w:r>
      <w:r w:rsidR="005112D9" w:rsidRPr="00917FFB">
        <w:t>2</w:t>
      </w:r>
      <w:r w:rsidR="008A6DF0" w:rsidRPr="00917FFB">
        <w:t xml:space="preserve"> </w:t>
      </w:r>
      <w:r w:rsidRPr="00917FFB">
        <w:t>summarises the key inputs in the financial estimates.</w:t>
      </w:r>
    </w:p>
    <w:p w:rsidR="00E42F73" w:rsidRPr="00853F7A" w:rsidRDefault="00E42F73" w:rsidP="007E2360">
      <w:pPr>
        <w:keepNext/>
        <w:jc w:val="left"/>
        <w:rPr>
          <w:rStyle w:val="CommentReference"/>
          <w:rFonts w:eastAsiaTheme="majorEastAsia" w:cstheme="majorBidi"/>
          <w:bCs/>
          <w:szCs w:val="24"/>
        </w:rPr>
      </w:pPr>
      <w:r w:rsidRPr="00917FFB">
        <w:rPr>
          <w:rStyle w:val="CommentReference"/>
          <w:szCs w:val="24"/>
        </w:rPr>
        <w:t xml:space="preserve">Table </w:t>
      </w:r>
      <w:r w:rsidR="008A6DF0" w:rsidRPr="00917FFB">
        <w:rPr>
          <w:rStyle w:val="CommentReference"/>
          <w:szCs w:val="24"/>
        </w:rPr>
        <w:t>1</w:t>
      </w:r>
      <w:r w:rsidR="005112D9" w:rsidRPr="00917FFB">
        <w:rPr>
          <w:rStyle w:val="CommentReference"/>
          <w:szCs w:val="24"/>
        </w:rPr>
        <w:t>2</w:t>
      </w:r>
      <w:r w:rsidRPr="00917FFB">
        <w:rPr>
          <w:rStyle w:val="CommentReference"/>
          <w:szCs w:val="24"/>
        </w:rPr>
        <w:t xml:space="preserve">: </w:t>
      </w:r>
      <w:r w:rsidR="0095457D" w:rsidRPr="00917FFB">
        <w:rPr>
          <w:rFonts w:ascii="Arial Narrow" w:eastAsiaTheme="majorEastAsia" w:hAnsi="Arial Narrow" w:cstheme="majorBidi"/>
          <w:b/>
          <w:bCs/>
          <w:sz w:val="20"/>
        </w:rPr>
        <w:t>Data sources and parameter values 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9"/>
        <w:gridCol w:w="1456"/>
        <w:gridCol w:w="1950"/>
        <w:gridCol w:w="4365"/>
      </w:tblGrid>
      <w:tr w:rsidR="00B224DB" w:rsidRPr="00917FFB" w:rsidTr="00F80535">
        <w:trPr>
          <w:cantSplit/>
          <w:tblHeader/>
        </w:trPr>
        <w:tc>
          <w:tcPr>
            <w:tcW w:w="1409" w:type="dxa"/>
            <w:vAlign w:val="center"/>
          </w:tcPr>
          <w:p w:rsidR="00B224DB" w:rsidRPr="00853F7A" w:rsidRDefault="00B224DB" w:rsidP="007E2360">
            <w:pPr>
              <w:keepNext/>
              <w:jc w:val="center"/>
              <w:rPr>
                <w:rFonts w:ascii="Arial Narrow" w:eastAsiaTheme="majorEastAsia" w:hAnsi="Arial Narrow" w:cs="Times New Roman"/>
                <w:b/>
                <w:sz w:val="20"/>
              </w:rPr>
            </w:pPr>
            <w:r w:rsidRPr="00853F7A">
              <w:rPr>
                <w:rFonts w:ascii="Arial Narrow" w:eastAsiaTheme="majorEastAsia" w:hAnsi="Arial Narrow" w:cs="Times New Roman"/>
                <w:b/>
                <w:sz w:val="20"/>
              </w:rPr>
              <w:t>Data</w:t>
            </w:r>
          </w:p>
        </w:tc>
        <w:tc>
          <w:tcPr>
            <w:tcW w:w="1456" w:type="dxa"/>
            <w:vAlign w:val="center"/>
          </w:tcPr>
          <w:p w:rsidR="00B224DB" w:rsidRPr="00853F7A" w:rsidRDefault="00B224DB" w:rsidP="007E2360">
            <w:pPr>
              <w:keepNext/>
              <w:jc w:val="center"/>
              <w:rPr>
                <w:rFonts w:ascii="Arial Narrow" w:eastAsiaTheme="majorEastAsia" w:hAnsi="Arial Narrow" w:cs="Times New Roman"/>
                <w:b/>
                <w:sz w:val="20"/>
              </w:rPr>
            </w:pPr>
            <w:r w:rsidRPr="00853F7A">
              <w:rPr>
                <w:rFonts w:ascii="Arial Narrow" w:eastAsiaTheme="majorEastAsia" w:hAnsi="Arial Narrow" w:cs="Times New Roman"/>
                <w:b/>
                <w:sz w:val="20"/>
              </w:rPr>
              <w:t>Value</w:t>
            </w:r>
          </w:p>
        </w:tc>
        <w:tc>
          <w:tcPr>
            <w:tcW w:w="1950" w:type="dxa"/>
            <w:vAlign w:val="center"/>
          </w:tcPr>
          <w:p w:rsidR="00B224DB" w:rsidRPr="00853F7A" w:rsidRDefault="00B224DB" w:rsidP="007E2360">
            <w:pPr>
              <w:keepNext/>
              <w:jc w:val="center"/>
              <w:rPr>
                <w:rFonts w:ascii="Arial Narrow" w:eastAsiaTheme="majorEastAsia" w:hAnsi="Arial Narrow" w:cs="Times New Roman"/>
                <w:b/>
                <w:sz w:val="20"/>
              </w:rPr>
            </w:pPr>
            <w:r w:rsidRPr="00853F7A">
              <w:rPr>
                <w:rFonts w:ascii="Arial Narrow" w:eastAsiaTheme="majorEastAsia" w:hAnsi="Arial Narrow" w:cs="Times New Roman"/>
                <w:b/>
                <w:sz w:val="20"/>
              </w:rPr>
              <w:t>Source</w:t>
            </w:r>
          </w:p>
        </w:tc>
        <w:tc>
          <w:tcPr>
            <w:tcW w:w="4365" w:type="dxa"/>
            <w:vAlign w:val="center"/>
          </w:tcPr>
          <w:p w:rsidR="00B224DB" w:rsidRPr="00853F7A" w:rsidRDefault="00B224DB" w:rsidP="007E2360">
            <w:pPr>
              <w:keepNext/>
              <w:jc w:val="center"/>
              <w:rPr>
                <w:rFonts w:ascii="Arial Narrow" w:eastAsiaTheme="majorEastAsia" w:hAnsi="Arial Narrow" w:cs="Times New Roman"/>
                <w:b/>
                <w:sz w:val="20"/>
              </w:rPr>
            </w:pPr>
            <w:r w:rsidRPr="00853F7A">
              <w:rPr>
                <w:rFonts w:ascii="Arial Narrow" w:eastAsiaTheme="majorEastAsia" w:hAnsi="Arial Narrow" w:cs="Times New Roman"/>
                <w:b/>
                <w:sz w:val="20"/>
              </w:rPr>
              <w:t>Comment</w:t>
            </w:r>
          </w:p>
        </w:tc>
      </w:tr>
      <w:tr w:rsidR="00B224DB" w:rsidRPr="00917FFB" w:rsidTr="00F80535">
        <w:trPr>
          <w:cantSplit/>
        </w:trPr>
        <w:tc>
          <w:tcPr>
            <w:tcW w:w="9180" w:type="dxa"/>
            <w:gridSpan w:val="4"/>
            <w:vAlign w:val="center"/>
          </w:tcPr>
          <w:p w:rsidR="00B224DB" w:rsidRPr="00853F7A" w:rsidRDefault="00B224DB" w:rsidP="007E2360">
            <w:pPr>
              <w:keepNext/>
              <w:jc w:val="left"/>
              <w:rPr>
                <w:rFonts w:ascii="Arial Narrow" w:eastAsiaTheme="majorEastAsia" w:hAnsi="Arial Narrow" w:cs="Times New Roman"/>
                <w:b/>
                <w:sz w:val="20"/>
              </w:rPr>
            </w:pPr>
            <w:r w:rsidRPr="00853F7A">
              <w:rPr>
                <w:rFonts w:ascii="Arial Narrow" w:eastAsiaTheme="majorEastAsia" w:hAnsi="Arial Narrow" w:cs="Times New Roman"/>
                <w:b/>
                <w:sz w:val="20"/>
              </w:rPr>
              <w:t>Eligible population</w:t>
            </w:r>
          </w:p>
        </w:tc>
      </w:tr>
      <w:tr w:rsidR="00B224DB" w:rsidRPr="00917FFB" w:rsidTr="00F80535">
        <w:trPr>
          <w:cantSplit/>
        </w:trPr>
        <w:tc>
          <w:tcPr>
            <w:tcW w:w="1409"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Australian population aged ≥18 years</w:t>
            </w:r>
          </w:p>
        </w:tc>
        <w:tc>
          <w:tcPr>
            <w:tcW w:w="1456"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1: 20,429,953</w:t>
            </w:r>
          </w:p>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2: 20,757,917</w:t>
            </w:r>
          </w:p>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 xml:space="preserve">Yr 3: 21,082,471 </w:t>
            </w:r>
          </w:p>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4: 21,411,852</w:t>
            </w:r>
          </w:p>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5: 21,744,502</w:t>
            </w:r>
          </w:p>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6: 22,073,220</w:t>
            </w:r>
          </w:p>
        </w:tc>
        <w:tc>
          <w:tcPr>
            <w:tcW w:w="1950"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ABS 3222.0 Population Projection</w:t>
            </w:r>
          </w:p>
        </w:tc>
        <w:tc>
          <w:tcPr>
            <w:tcW w:w="4365"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Reasonable.</w:t>
            </w:r>
          </w:p>
        </w:tc>
      </w:tr>
      <w:tr w:rsidR="00B224DB" w:rsidRPr="00917FFB" w:rsidTr="00F80535">
        <w:trPr>
          <w:cantSplit/>
        </w:trPr>
        <w:tc>
          <w:tcPr>
            <w:tcW w:w="1409"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Prevalence of severe AD</w:t>
            </w:r>
          </w:p>
        </w:tc>
        <w:tc>
          <w:tcPr>
            <w:tcW w:w="1456"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45 per 10,000</w:t>
            </w:r>
          </w:p>
        </w:tc>
        <w:tc>
          <w:tcPr>
            <w:tcW w:w="1950"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Assumed 9% of Australian adults have AD and 5% have severe AD (Table 19, Dupilumab PSD March 2020 PBAC meeting)</w:t>
            </w:r>
          </w:p>
        </w:tc>
        <w:tc>
          <w:tcPr>
            <w:tcW w:w="4365" w:type="dxa"/>
            <w:vAlign w:val="center"/>
          </w:tcPr>
          <w:p w:rsidR="00B224DB" w:rsidRPr="00917FFB" w:rsidRDefault="00BD73D2"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Consistent with estimate used for dupilumab PBAC submission.</w:t>
            </w:r>
          </w:p>
        </w:tc>
      </w:tr>
      <w:tr w:rsidR="00B224DB" w:rsidRPr="00917FFB" w:rsidTr="00F80535">
        <w:trPr>
          <w:cantSplit/>
        </w:trPr>
        <w:tc>
          <w:tcPr>
            <w:tcW w:w="1409"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Proportion of severe AD patients with EASI≥20</w:t>
            </w:r>
          </w:p>
        </w:tc>
        <w:tc>
          <w:tcPr>
            <w:tcW w:w="1456"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95%</w:t>
            </w:r>
          </w:p>
        </w:tc>
        <w:tc>
          <w:tcPr>
            <w:tcW w:w="1950"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Table 19, Dupilumab PSD March 2020 PBAC meeting</w:t>
            </w:r>
          </w:p>
        </w:tc>
        <w:tc>
          <w:tcPr>
            <w:tcW w:w="4365" w:type="dxa"/>
            <w:vAlign w:val="center"/>
          </w:tcPr>
          <w:p w:rsidR="00B224DB" w:rsidRPr="00917FFB" w:rsidRDefault="00BD73D2"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Consistent with estimate used for dupilumab PBAC submission</w:t>
            </w:r>
            <w:r w:rsidR="00B224DB" w:rsidRPr="00917FFB">
              <w:rPr>
                <w:rFonts w:ascii="Arial Narrow" w:eastAsiaTheme="majorEastAsia" w:hAnsi="Arial Narrow" w:cstheme="majorBidi"/>
                <w:bCs/>
                <w:sz w:val="20"/>
              </w:rPr>
              <w:t>. The eligible PBS adult population initiating treatment must have severe disease defined by PGA=4 and EASI≥20.</w:t>
            </w:r>
          </w:p>
        </w:tc>
      </w:tr>
      <w:tr w:rsidR="00B224DB" w:rsidRPr="00917FFB" w:rsidTr="00F80535">
        <w:trPr>
          <w:cantSplit/>
        </w:trPr>
        <w:tc>
          <w:tcPr>
            <w:tcW w:w="1409"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Proportion of patients on TCS therapy with uncontrolled AD</w:t>
            </w:r>
          </w:p>
        </w:tc>
        <w:tc>
          <w:tcPr>
            <w:tcW w:w="1456"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68%</w:t>
            </w:r>
          </w:p>
        </w:tc>
        <w:tc>
          <w:tcPr>
            <w:tcW w:w="1950" w:type="dxa"/>
            <w:vAlign w:val="center"/>
          </w:tcPr>
          <w:p w:rsidR="00B224DB" w:rsidRPr="00917FFB" w:rsidRDefault="00B224DB"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Table 19, Dupilumab PSD March 2020 PBAC meeting</w:t>
            </w:r>
          </w:p>
        </w:tc>
        <w:tc>
          <w:tcPr>
            <w:tcW w:w="4365" w:type="dxa"/>
            <w:vAlign w:val="center"/>
          </w:tcPr>
          <w:p w:rsidR="00B224DB" w:rsidRPr="00917FFB" w:rsidRDefault="00BD73D2" w:rsidP="007E2360">
            <w:pPr>
              <w:keepNext/>
              <w:jc w:val="left"/>
              <w:rPr>
                <w:rFonts w:ascii="Arial Narrow" w:eastAsiaTheme="majorEastAsia" w:hAnsi="Arial Narrow" w:cstheme="majorBidi"/>
                <w:bCs/>
                <w:sz w:val="20"/>
              </w:rPr>
            </w:pPr>
            <w:r w:rsidRPr="00917FFB">
              <w:rPr>
                <w:rFonts w:ascii="Arial Narrow" w:eastAsiaTheme="majorEastAsia" w:hAnsi="Arial Narrow" w:cstheme="majorBidi"/>
                <w:bCs/>
                <w:sz w:val="20"/>
              </w:rPr>
              <w:t>Consistent with estimate used for dupilumab PBAC submission.</w:t>
            </w:r>
          </w:p>
        </w:tc>
      </w:tr>
      <w:tr w:rsidR="00B224DB" w:rsidRPr="00917FFB" w:rsidTr="00F80535">
        <w:trPr>
          <w:cantSplit/>
        </w:trPr>
        <w:tc>
          <w:tcPr>
            <w:tcW w:w="9180" w:type="dxa"/>
            <w:gridSpan w:val="4"/>
            <w:vAlign w:val="center"/>
          </w:tcPr>
          <w:p w:rsidR="00B224DB" w:rsidRPr="00917FFB" w:rsidRDefault="00B224DB" w:rsidP="007A23B8">
            <w:pPr>
              <w:keepNext/>
              <w:keepLines/>
              <w:jc w:val="left"/>
              <w:rPr>
                <w:rFonts w:ascii="Arial Narrow" w:eastAsiaTheme="majorEastAsia" w:hAnsi="Arial Narrow" w:cstheme="majorBidi"/>
                <w:b/>
                <w:bCs/>
                <w:sz w:val="20"/>
              </w:rPr>
            </w:pPr>
            <w:r w:rsidRPr="00917FFB">
              <w:rPr>
                <w:rFonts w:ascii="Arial Narrow" w:eastAsiaTheme="majorEastAsia" w:hAnsi="Arial Narrow" w:cstheme="majorBidi"/>
                <w:b/>
                <w:bCs/>
                <w:sz w:val="20"/>
              </w:rPr>
              <w:t>Treatment utilisation</w:t>
            </w:r>
          </w:p>
        </w:tc>
      </w:tr>
      <w:tr w:rsidR="00B224DB" w:rsidRPr="00917FFB" w:rsidTr="00F80535">
        <w:trPr>
          <w:cantSplit/>
        </w:trPr>
        <w:tc>
          <w:tcPr>
            <w:tcW w:w="1409"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DUPI uptake rate</w:t>
            </w:r>
          </w:p>
        </w:tc>
        <w:tc>
          <w:tcPr>
            <w:tcW w:w="1456"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1: 5%</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2: 5.5%</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3: 6%</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4: 6.5%</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5: 7%</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6: 7.5%</w:t>
            </w:r>
          </w:p>
        </w:tc>
        <w:tc>
          <w:tcPr>
            <w:tcW w:w="1950" w:type="dxa"/>
            <w:vAlign w:val="center"/>
          </w:tcPr>
          <w:p w:rsidR="00B224DB" w:rsidRPr="00917FFB" w:rsidRDefault="00B224DB" w:rsidP="007A23B8">
            <w:pPr>
              <w:keepNext/>
              <w:keepLines/>
              <w:jc w:val="left"/>
              <w:rPr>
                <w:rFonts w:ascii="Arial Narrow" w:eastAsiaTheme="majorEastAsia" w:hAnsi="Arial Narrow" w:cstheme="majorBidi"/>
                <w:bCs/>
                <w:sz w:val="20"/>
              </w:rPr>
            </w:pPr>
            <w:r w:rsidRPr="00917FFB">
              <w:rPr>
                <w:rFonts w:ascii="Arial Narrow" w:eastAsiaTheme="majorEastAsia" w:hAnsi="Arial Narrow" w:cstheme="majorBidi"/>
                <w:bCs/>
                <w:sz w:val="20"/>
              </w:rPr>
              <w:t>Table 19, Dupilumab PSD March 2020 PBAC meeting</w:t>
            </w:r>
          </w:p>
        </w:tc>
        <w:tc>
          <w:tcPr>
            <w:tcW w:w="4365" w:type="dxa"/>
            <w:vAlign w:val="center"/>
          </w:tcPr>
          <w:p w:rsidR="00B224DB" w:rsidRPr="00917FFB" w:rsidRDefault="00B224DB" w:rsidP="007A23B8">
            <w:pPr>
              <w:keepNext/>
              <w:keepLines/>
              <w:jc w:val="left"/>
              <w:rPr>
                <w:rFonts w:ascii="Arial Narrow" w:eastAsiaTheme="majorEastAsia" w:hAnsi="Arial Narrow" w:cstheme="majorBidi"/>
                <w:bCs/>
                <w:sz w:val="20"/>
              </w:rPr>
            </w:pPr>
            <w:r w:rsidRPr="00917FFB">
              <w:rPr>
                <w:rFonts w:ascii="Arial Narrow" w:eastAsiaTheme="majorEastAsia" w:hAnsi="Arial Narrow" w:cstheme="majorBidi"/>
                <w:bCs/>
                <w:sz w:val="20"/>
              </w:rPr>
              <w:t xml:space="preserve">It is uncertain whether the assumed uptake rate derived </w:t>
            </w:r>
            <w:r w:rsidR="000B0B3D" w:rsidRPr="00917FFB">
              <w:rPr>
                <w:rFonts w:ascii="Arial Narrow" w:eastAsiaTheme="majorEastAsia" w:hAnsi="Arial Narrow" w:cstheme="majorBidi"/>
                <w:bCs/>
                <w:sz w:val="20"/>
              </w:rPr>
              <w:t>from the</w:t>
            </w:r>
            <w:r w:rsidRPr="00917FFB">
              <w:rPr>
                <w:rFonts w:ascii="Arial Narrow" w:eastAsiaTheme="majorEastAsia" w:hAnsi="Arial Narrow" w:cstheme="majorBidi"/>
                <w:bCs/>
                <w:sz w:val="20"/>
              </w:rPr>
              <w:t xml:space="preserve"> Dupilumab PSD March 2020 is reasonable for the current financial model given the current model structure assumed uptake rate would increase in each year, accounting for new and prevalent patients from the prevalent pool who had not been treated with DUPI before. In the March 2020 assessment of DUPI financial model, the PBAC considered it was not reasonable that the uptake rate of new patients from the prevalent pool would increase each year, and instead the increasing uptake rate should be applied to reflect the proportion of continuing patients (para 6.56, Dupilumab PSD March 2020). </w:t>
            </w:r>
            <w:r w:rsidR="007E2360">
              <w:rPr>
                <w:rFonts w:ascii="Arial Narrow" w:eastAsiaTheme="majorEastAsia" w:hAnsi="Arial Narrow" w:cstheme="majorBidi"/>
                <w:bCs/>
                <w:sz w:val="20"/>
              </w:rPr>
              <w:t>-</w:t>
            </w:r>
          </w:p>
        </w:tc>
      </w:tr>
      <w:tr w:rsidR="00B224DB" w:rsidRPr="00917FFB" w:rsidTr="00F80535">
        <w:trPr>
          <w:cantSplit/>
        </w:trPr>
        <w:tc>
          <w:tcPr>
            <w:tcW w:w="1409"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BARI uptake rate</w:t>
            </w:r>
          </w:p>
        </w:tc>
        <w:tc>
          <w:tcPr>
            <w:tcW w:w="1456"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 xml:space="preserve">Yr 1: </w:t>
            </w:r>
            <w:r w:rsidR="00B1613E">
              <w:rPr>
                <w:rFonts w:ascii="Arial Narrow" w:eastAsiaTheme="majorEastAsia" w:hAnsi="Arial Narrow" w:cstheme="majorBidi"/>
                <w:bCs/>
                <w:noProof/>
                <w:color w:val="000000"/>
                <w:sz w:val="20"/>
                <w:highlight w:val="black"/>
              </w:rPr>
              <w:t>''''''</w:t>
            </w:r>
            <w:r w:rsidRPr="00917FFB">
              <w:rPr>
                <w:rFonts w:ascii="Arial Narrow" w:eastAsiaTheme="majorEastAsia" w:hAnsi="Arial Narrow" w:cstheme="majorBidi"/>
                <w:bCs/>
                <w:sz w:val="20"/>
              </w:rPr>
              <w:t>%</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 xml:space="preserve">Yr 2: </w:t>
            </w:r>
            <w:r w:rsidR="00B1613E">
              <w:rPr>
                <w:rFonts w:ascii="Arial Narrow" w:eastAsiaTheme="majorEastAsia" w:hAnsi="Arial Narrow" w:cstheme="majorBidi"/>
                <w:bCs/>
                <w:noProof/>
                <w:color w:val="000000"/>
                <w:sz w:val="20"/>
                <w:highlight w:val="black"/>
              </w:rPr>
              <w:t>''''''</w:t>
            </w:r>
            <w:r w:rsidRPr="00917FFB">
              <w:rPr>
                <w:rFonts w:ascii="Arial Narrow" w:eastAsiaTheme="majorEastAsia" w:hAnsi="Arial Narrow" w:cstheme="majorBidi"/>
                <w:bCs/>
                <w:sz w:val="20"/>
              </w:rPr>
              <w:t>%</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 xml:space="preserve">Yr 3: </w:t>
            </w:r>
            <w:r w:rsidR="00B1613E">
              <w:rPr>
                <w:rFonts w:ascii="Arial Narrow" w:eastAsiaTheme="majorEastAsia" w:hAnsi="Arial Narrow" w:cstheme="majorBidi"/>
                <w:bCs/>
                <w:noProof/>
                <w:color w:val="000000"/>
                <w:sz w:val="20"/>
                <w:highlight w:val="black"/>
              </w:rPr>
              <w:t>''''''</w:t>
            </w:r>
            <w:r w:rsidRPr="00917FFB">
              <w:rPr>
                <w:rFonts w:ascii="Arial Narrow" w:eastAsiaTheme="majorEastAsia" w:hAnsi="Arial Narrow" w:cstheme="majorBidi"/>
                <w:bCs/>
                <w:sz w:val="20"/>
              </w:rPr>
              <w:t>%</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 xml:space="preserve">Yr 4: </w:t>
            </w:r>
            <w:r w:rsidR="00B1613E">
              <w:rPr>
                <w:rFonts w:ascii="Arial Narrow" w:eastAsiaTheme="majorEastAsia" w:hAnsi="Arial Narrow" w:cstheme="majorBidi"/>
                <w:bCs/>
                <w:noProof/>
                <w:color w:val="000000"/>
                <w:sz w:val="20"/>
                <w:highlight w:val="black"/>
              </w:rPr>
              <w:t>''''''</w:t>
            </w:r>
            <w:r w:rsidRPr="00917FFB">
              <w:rPr>
                <w:rFonts w:ascii="Arial Narrow" w:eastAsiaTheme="majorEastAsia" w:hAnsi="Arial Narrow" w:cstheme="majorBidi"/>
                <w:bCs/>
                <w:sz w:val="20"/>
              </w:rPr>
              <w:t>%</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 xml:space="preserve">Yr 5: </w:t>
            </w:r>
            <w:r w:rsidR="00B1613E">
              <w:rPr>
                <w:rFonts w:ascii="Arial Narrow" w:eastAsiaTheme="majorEastAsia" w:hAnsi="Arial Narrow" w:cstheme="majorBidi"/>
                <w:bCs/>
                <w:noProof/>
                <w:color w:val="000000"/>
                <w:sz w:val="20"/>
                <w:highlight w:val="black"/>
              </w:rPr>
              <w:t>'''''</w:t>
            </w:r>
            <w:r w:rsidRPr="00917FFB">
              <w:rPr>
                <w:rFonts w:ascii="Arial Narrow" w:eastAsiaTheme="majorEastAsia" w:hAnsi="Arial Narrow" w:cstheme="majorBidi"/>
                <w:bCs/>
                <w:sz w:val="20"/>
              </w:rPr>
              <w:t>%</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 xml:space="preserve">Yr 6: </w:t>
            </w:r>
            <w:r w:rsidR="00B1613E">
              <w:rPr>
                <w:rFonts w:ascii="Arial Narrow" w:eastAsiaTheme="majorEastAsia" w:hAnsi="Arial Narrow" w:cstheme="majorBidi"/>
                <w:bCs/>
                <w:noProof/>
                <w:color w:val="000000"/>
                <w:sz w:val="20"/>
                <w:highlight w:val="black"/>
              </w:rPr>
              <w:t>''''''</w:t>
            </w:r>
            <w:r w:rsidRPr="00917FFB">
              <w:rPr>
                <w:rFonts w:ascii="Arial Narrow" w:eastAsiaTheme="majorEastAsia" w:hAnsi="Arial Narrow" w:cstheme="majorBidi"/>
                <w:bCs/>
                <w:sz w:val="20"/>
              </w:rPr>
              <w:t>%</w:t>
            </w:r>
          </w:p>
        </w:tc>
        <w:tc>
          <w:tcPr>
            <w:tcW w:w="1950"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Assumption</w:t>
            </w:r>
          </w:p>
        </w:tc>
        <w:tc>
          <w:tcPr>
            <w:tcW w:w="4365" w:type="dxa"/>
            <w:vAlign w:val="center"/>
          </w:tcPr>
          <w:p w:rsidR="00B224DB" w:rsidRPr="00917FFB" w:rsidRDefault="00B224DB" w:rsidP="00BD73D2">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The submission did not provide any data to support this assumption. The submission assumed the uptake of BARI would increase each year because BARI is administered orally (versus SC injection of DUPI) despite inferior efficacy.</w:t>
            </w:r>
            <w:r w:rsidR="00BD73D2" w:rsidRPr="00917FFB">
              <w:rPr>
                <w:rFonts w:ascii="Arial Narrow" w:eastAsiaTheme="majorEastAsia" w:hAnsi="Arial Narrow" w:cstheme="majorBidi"/>
                <w:bCs/>
                <w:sz w:val="20"/>
              </w:rPr>
              <w:t xml:space="preserve"> The PBAC considered that safety was also a factor that would moderate uptake of BARI.</w:t>
            </w:r>
          </w:p>
        </w:tc>
      </w:tr>
      <w:tr w:rsidR="00B224DB" w:rsidRPr="00917FFB" w:rsidTr="00F80535">
        <w:trPr>
          <w:cantSplit/>
        </w:trPr>
        <w:tc>
          <w:tcPr>
            <w:tcW w:w="1409"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DUPI response rate</w:t>
            </w:r>
          </w:p>
        </w:tc>
        <w:tc>
          <w:tcPr>
            <w:tcW w:w="1456"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Initial: 59.6%</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Wk 40: 95.7%</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2: 83.2%</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3: 79.9%</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4: 77.2%</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5: 74.8%</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6: 74.8%</w:t>
            </w:r>
          </w:p>
        </w:tc>
        <w:tc>
          <w:tcPr>
            <w:tcW w:w="1950"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Table 19, Dupilumab PSD March 2020 PBAC meeting</w:t>
            </w:r>
          </w:p>
        </w:tc>
        <w:tc>
          <w:tcPr>
            <w:tcW w:w="4365"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Reasonably based on Dupilumab PSD March 2020, although the submission assumed DUPI response at Week 42 was Week 40 in the model. As was considered by the PBAC for DUPI submissions, estimates for continuing response were derived from very small number of patients and considered highly uncertain (para 6.42, 7.8, dupilumab, PSD, March 2020 PBAC meeting).</w:t>
            </w:r>
          </w:p>
        </w:tc>
      </w:tr>
      <w:tr w:rsidR="00B224DB" w:rsidRPr="00917FFB" w:rsidTr="00F80535">
        <w:trPr>
          <w:cantSplit/>
        </w:trPr>
        <w:tc>
          <w:tcPr>
            <w:tcW w:w="1409"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BARI response rate</w:t>
            </w:r>
          </w:p>
        </w:tc>
        <w:tc>
          <w:tcPr>
            <w:tcW w:w="1456" w:type="dxa"/>
            <w:vAlign w:val="center"/>
          </w:tcPr>
          <w:tbl>
            <w:tblPr>
              <w:tblStyle w:val="TableGrid"/>
              <w:tblW w:w="1390" w:type="dxa"/>
              <w:tblCellMar>
                <w:left w:w="28" w:type="dxa"/>
                <w:right w:w="28" w:type="dxa"/>
              </w:tblCellMar>
              <w:tblLook w:val="04A0" w:firstRow="1" w:lastRow="0" w:firstColumn="1" w:lastColumn="0" w:noHBand="0" w:noVBand="1"/>
              <w:tblCaption w:val="BARI response rate"/>
            </w:tblPr>
            <w:tblGrid>
              <w:gridCol w:w="538"/>
              <w:gridCol w:w="439"/>
              <w:gridCol w:w="413"/>
            </w:tblGrid>
            <w:tr w:rsidR="00B224DB" w:rsidRPr="00917FFB" w:rsidTr="007923A4">
              <w:trPr>
                <w:tblHeader/>
              </w:trPr>
              <w:tc>
                <w:tcPr>
                  <w:tcW w:w="53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w:t>
                  </w:r>
                </w:p>
              </w:tc>
              <w:tc>
                <w:tcPr>
                  <w:tcW w:w="439"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2 mg</w:t>
                  </w:r>
                </w:p>
              </w:tc>
              <w:tc>
                <w:tcPr>
                  <w:tcW w:w="413"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4 mg</w:t>
                  </w:r>
                </w:p>
              </w:tc>
            </w:tr>
            <w:tr w:rsidR="00B224DB" w:rsidRPr="00917FFB" w:rsidTr="00655547">
              <w:tc>
                <w:tcPr>
                  <w:tcW w:w="53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Initial</w:t>
                  </w:r>
                </w:p>
              </w:tc>
              <w:tc>
                <w:tcPr>
                  <w:tcW w:w="439"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29.7</w:t>
                  </w:r>
                </w:p>
              </w:tc>
              <w:tc>
                <w:tcPr>
                  <w:tcW w:w="413"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35.7</w:t>
                  </w:r>
                </w:p>
              </w:tc>
            </w:tr>
            <w:tr w:rsidR="00B224DB" w:rsidRPr="00917FFB" w:rsidTr="00655547">
              <w:tc>
                <w:tcPr>
                  <w:tcW w:w="53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Wk 40</w:t>
                  </w:r>
                </w:p>
              </w:tc>
              <w:tc>
                <w:tcPr>
                  <w:tcW w:w="439"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71.4</w:t>
                  </w:r>
                </w:p>
              </w:tc>
              <w:tc>
                <w:tcPr>
                  <w:tcW w:w="413"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62.2</w:t>
                  </w:r>
                </w:p>
              </w:tc>
            </w:tr>
            <w:tr w:rsidR="00B224DB" w:rsidRPr="00917FFB" w:rsidTr="00655547">
              <w:tc>
                <w:tcPr>
                  <w:tcW w:w="53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2</w:t>
                  </w:r>
                </w:p>
              </w:tc>
              <w:tc>
                <w:tcPr>
                  <w:tcW w:w="439"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62.1</w:t>
                  </w:r>
                </w:p>
              </w:tc>
              <w:tc>
                <w:tcPr>
                  <w:tcW w:w="413"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54.1</w:t>
                  </w:r>
                </w:p>
              </w:tc>
            </w:tr>
            <w:tr w:rsidR="00B224DB" w:rsidRPr="00917FFB" w:rsidTr="00655547">
              <w:tc>
                <w:tcPr>
                  <w:tcW w:w="53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3</w:t>
                  </w:r>
                </w:p>
              </w:tc>
              <w:tc>
                <w:tcPr>
                  <w:tcW w:w="439"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59.6</w:t>
                  </w:r>
                </w:p>
              </w:tc>
              <w:tc>
                <w:tcPr>
                  <w:tcW w:w="413"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51.9</w:t>
                  </w:r>
                </w:p>
              </w:tc>
            </w:tr>
            <w:tr w:rsidR="00B224DB" w:rsidRPr="00917FFB" w:rsidTr="00655547">
              <w:tc>
                <w:tcPr>
                  <w:tcW w:w="53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4</w:t>
                  </w:r>
                </w:p>
              </w:tc>
              <w:tc>
                <w:tcPr>
                  <w:tcW w:w="439"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57.6</w:t>
                  </w:r>
                </w:p>
              </w:tc>
              <w:tc>
                <w:tcPr>
                  <w:tcW w:w="413"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50.1</w:t>
                  </w:r>
                </w:p>
              </w:tc>
            </w:tr>
            <w:tr w:rsidR="00B224DB" w:rsidRPr="00917FFB" w:rsidTr="00655547">
              <w:tc>
                <w:tcPr>
                  <w:tcW w:w="53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5</w:t>
                  </w:r>
                </w:p>
              </w:tc>
              <w:tc>
                <w:tcPr>
                  <w:tcW w:w="439"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55.8</w:t>
                  </w:r>
                </w:p>
              </w:tc>
              <w:tc>
                <w:tcPr>
                  <w:tcW w:w="413"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48.6</w:t>
                  </w:r>
                </w:p>
              </w:tc>
            </w:tr>
            <w:tr w:rsidR="00B224DB" w:rsidRPr="00917FFB" w:rsidTr="00655547">
              <w:tc>
                <w:tcPr>
                  <w:tcW w:w="53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6</w:t>
                  </w:r>
                </w:p>
              </w:tc>
              <w:tc>
                <w:tcPr>
                  <w:tcW w:w="439"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55.8</w:t>
                  </w:r>
                </w:p>
              </w:tc>
              <w:tc>
                <w:tcPr>
                  <w:tcW w:w="413"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48.6</w:t>
                  </w:r>
                </w:p>
              </w:tc>
            </w:tr>
          </w:tbl>
          <w:p w:rsidR="00B224DB" w:rsidRPr="00917FFB" w:rsidRDefault="00B224DB" w:rsidP="00655547">
            <w:pPr>
              <w:jc w:val="left"/>
              <w:rPr>
                <w:rFonts w:ascii="Arial Narrow" w:eastAsiaTheme="majorEastAsia" w:hAnsi="Arial Narrow" w:cstheme="majorBidi"/>
                <w:bCs/>
                <w:sz w:val="20"/>
              </w:rPr>
            </w:pPr>
          </w:p>
        </w:tc>
        <w:tc>
          <w:tcPr>
            <w:tcW w:w="1950"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 xml:space="preserve">BREEZE-AD3 pooled analysis including post-hoc analysis at Wk 44. </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 xml:space="preserve">Response rate for Yr 2 to Yr 6 estimated relative to DUPI response (Table 19, Dupilumab PSD March 2020 PBAC meeting) e.g. Yr 2 BARI response = Wk 44 BARI response x (Yr 2 / Wk 42 DUPI response), </w:t>
            </w:r>
          </w:p>
        </w:tc>
        <w:tc>
          <w:tcPr>
            <w:tcW w:w="4365" w:type="dxa"/>
            <w:vAlign w:val="center"/>
          </w:tcPr>
          <w:p w:rsidR="00B224DB" w:rsidRPr="00917FFB" w:rsidRDefault="00B224DB" w:rsidP="00E95393">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The submission assumed in the base case the response rate for BARI 2 mg for all patients including those initiating or continuing with BARI 4 mg, which may be an overestimate of the treatment effect</w:t>
            </w:r>
            <w:r w:rsidR="00917FFB">
              <w:rPr>
                <w:rFonts w:ascii="Arial Narrow" w:eastAsiaTheme="majorEastAsia" w:hAnsi="Arial Narrow" w:cstheme="majorBidi"/>
                <w:bCs/>
                <w:sz w:val="20"/>
              </w:rPr>
              <w:t xml:space="preserve">. </w:t>
            </w:r>
            <w:r w:rsidR="002D7F88" w:rsidRPr="00917FFB">
              <w:rPr>
                <w:rFonts w:ascii="Arial Narrow" w:eastAsiaTheme="majorEastAsia" w:hAnsi="Arial Narrow" w:cstheme="majorBidi"/>
                <w:bCs/>
                <w:sz w:val="20"/>
              </w:rPr>
              <w:t>U</w:t>
            </w:r>
            <w:r w:rsidRPr="00917FFB">
              <w:rPr>
                <w:rFonts w:ascii="Arial Narrow" w:eastAsiaTheme="majorEastAsia" w:hAnsi="Arial Narrow" w:cstheme="majorBidi"/>
                <w:bCs/>
                <w:sz w:val="20"/>
              </w:rPr>
              <w:t>nder the requested listing patients could up tit</w:t>
            </w:r>
            <w:r w:rsidRPr="000D2978">
              <w:rPr>
                <w:rFonts w:ascii="Arial Narrow" w:eastAsiaTheme="majorEastAsia" w:hAnsi="Arial Narrow" w:cstheme="majorBidi"/>
                <w:bCs/>
                <w:sz w:val="20"/>
              </w:rPr>
              <w:t>rate from BARI 2 mg to BARI 4 mg if they do not achieve adequate response. The subm</w:t>
            </w:r>
            <w:r w:rsidRPr="00917FFB">
              <w:rPr>
                <w:rFonts w:ascii="Arial Narrow" w:eastAsiaTheme="majorEastAsia" w:hAnsi="Arial Narrow" w:cstheme="majorBidi"/>
                <w:bCs/>
                <w:sz w:val="20"/>
              </w:rPr>
              <w:t>ission also assumed BARI response at Week 44 from BREEZE-AD3 was Week 40 in the model. The continuing response rates for BARI were based on limited data from a very small number of patients at Week 44 and extrapolated to Year 6 based on assumptions, they are considered highly uncertain.</w:t>
            </w:r>
          </w:p>
        </w:tc>
      </w:tr>
      <w:tr w:rsidR="00B224DB" w:rsidRPr="00917FFB" w:rsidTr="00F80535">
        <w:trPr>
          <w:cantSplit/>
        </w:trPr>
        <w:tc>
          <w:tcPr>
            <w:tcW w:w="1409"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Total scripts / patient / year</w:t>
            </w:r>
          </w:p>
        </w:tc>
        <w:tc>
          <w:tcPr>
            <w:tcW w:w="1456" w:type="dxa"/>
            <w:vAlign w:val="center"/>
          </w:tcPr>
          <w:tbl>
            <w:tblPr>
              <w:tblStyle w:val="TableGrid"/>
              <w:tblW w:w="0" w:type="auto"/>
              <w:tblCellMar>
                <w:left w:w="28" w:type="dxa"/>
                <w:right w:w="28" w:type="dxa"/>
              </w:tblCellMar>
              <w:tblLook w:val="04A0" w:firstRow="1" w:lastRow="0" w:firstColumn="1" w:lastColumn="0" w:noHBand="0" w:noVBand="1"/>
              <w:tblCaption w:val="Total scripts / patient / year"/>
            </w:tblPr>
            <w:tblGrid>
              <w:gridCol w:w="503"/>
              <w:gridCol w:w="448"/>
              <w:gridCol w:w="439"/>
            </w:tblGrid>
            <w:tr w:rsidR="00B224DB" w:rsidRPr="00917FFB" w:rsidTr="007923A4">
              <w:trPr>
                <w:tblHeader/>
              </w:trPr>
              <w:tc>
                <w:tcPr>
                  <w:tcW w:w="525"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Wk</w:t>
                  </w:r>
                </w:p>
              </w:tc>
              <w:tc>
                <w:tcPr>
                  <w:tcW w:w="44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DUPI</w:t>
                  </w:r>
                </w:p>
              </w:tc>
              <w:tc>
                <w:tcPr>
                  <w:tcW w:w="417"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BARI</w:t>
                  </w:r>
                </w:p>
              </w:tc>
            </w:tr>
            <w:tr w:rsidR="00B224DB" w:rsidRPr="00917FFB" w:rsidTr="00655547">
              <w:tc>
                <w:tcPr>
                  <w:tcW w:w="525"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0-16</w:t>
                  </w:r>
                </w:p>
              </w:tc>
              <w:tc>
                <w:tcPr>
                  <w:tcW w:w="44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4.5</w:t>
                  </w:r>
                </w:p>
              </w:tc>
              <w:tc>
                <w:tcPr>
                  <w:tcW w:w="417"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4</w:t>
                  </w:r>
                </w:p>
              </w:tc>
            </w:tr>
            <w:tr w:rsidR="00B224DB" w:rsidRPr="00917FFB" w:rsidTr="00655547">
              <w:tc>
                <w:tcPr>
                  <w:tcW w:w="525"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16-40</w:t>
                  </w:r>
                </w:p>
              </w:tc>
              <w:tc>
                <w:tcPr>
                  <w:tcW w:w="44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6</w:t>
                  </w:r>
                </w:p>
              </w:tc>
              <w:tc>
                <w:tcPr>
                  <w:tcW w:w="417"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6</w:t>
                  </w:r>
                </w:p>
              </w:tc>
            </w:tr>
            <w:tr w:rsidR="00B224DB" w:rsidRPr="00917FFB" w:rsidTr="00655547">
              <w:tc>
                <w:tcPr>
                  <w:tcW w:w="525"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40-52</w:t>
                  </w:r>
                </w:p>
              </w:tc>
              <w:tc>
                <w:tcPr>
                  <w:tcW w:w="44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3</w:t>
                  </w:r>
                </w:p>
              </w:tc>
              <w:tc>
                <w:tcPr>
                  <w:tcW w:w="417"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3</w:t>
                  </w:r>
                </w:p>
              </w:tc>
            </w:tr>
            <w:tr w:rsidR="00B224DB" w:rsidRPr="00917FFB" w:rsidTr="00655547">
              <w:tc>
                <w:tcPr>
                  <w:tcW w:w="525"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Yr 2</w:t>
                  </w:r>
                </w:p>
              </w:tc>
              <w:tc>
                <w:tcPr>
                  <w:tcW w:w="448"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13</w:t>
                  </w:r>
                </w:p>
              </w:tc>
              <w:tc>
                <w:tcPr>
                  <w:tcW w:w="417" w:type="dxa"/>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13</w:t>
                  </w:r>
                </w:p>
              </w:tc>
            </w:tr>
          </w:tbl>
          <w:p w:rsidR="00B224DB" w:rsidRPr="00917FFB" w:rsidRDefault="00B224DB" w:rsidP="00655547">
            <w:pPr>
              <w:jc w:val="left"/>
              <w:rPr>
                <w:rFonts w:ascii="Arial Narrow" w:eastAsiaTheme="majorEastAsia" w:hAnsi="Arial Narrow" w:cstheme="majorBidi"/>
                <w:bCs/>
                <w:sz w:val="20"/>
              </w:rPr>
            </w:pPr>
          </w:p>
        </w:tc>
        <w:tc>
          <w:tcPr>
            <w:tcW w:w="1950"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Current and proposed PBS listing</w:t>
            </w:r>
          </w:p>
        </w:tc>
        <w:tc>
          <w:tcPr>
            <w:tcW w:w="4365" w:type="dxa"/>
            <w:vAlign w:val="center"/>
          </w:tcPr>
          <w:p w:rsidR="00B224DB" w:rsidRPr="00917FFB" w:rsidRDefault="00B224DB" w:rsidP="00655547">
            <w:pPr>
              <w:jc w:val="left"/>
              <w:rPr>
                <w:rFonts w:ascii="Arial Narrow" w:eastAsiaTheme="majorEastAsia" w:hAnsi="Arial Narrow" w:cstheme="majorBidi"/>
                <w:bCs/>
                <w:sz w:val="20"/>
              </w:rPr>
            </w:pPr>
          </w:p>
        </w:tc>
        <w:bookmarkStart w:id="28" w:name="_GoBack"/>
        <w:bookmarkEnd w:id="28"/>
      </w:tr>
      <w:tr w:rsidR="00B224DB" w:rsidRPr="00917FFB" w:rsidTr="00F80535">
        <w:trPr>
          <w:cantSplit/>
        </w:trPr>
        <w:tc>
          <w:tcPr>
            <w:tcW w:w="1409"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BARI scripts by strength</w:t>
            </w:r>
          </w:p>
        </w:tc>
        <w:tc>
          <w:tcPr>
            <w:tcW w:w="1456"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2 mg: 30%</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4 mg: 70%</w:t>
            </w:r>
          </w:p>
        </w:tc>
        <w:tc>
          <w:tcPr>
            <w:tcW w:w="1950"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Assumption</w:t>
            </w:r>
          </w:p>
        </w:tc>
        <w:tc>
          <w:tcPr>
            <w:tcW w:w="4365" w:type="dxa"/>
            <w:vAlign w:val="center"/>
          </w:tcPr>
          <w:p w:rsidR="00B224DB" w:rsidRPr="00917FFB" w:rsidRDefault="00B224DB" w:rsidP="00E95393">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The assumed script proportions by strength could not be verified. However, the financial impact is not sensitive to this parameter given both strengths have the same price.</w:t>
            </w:r>
          </w:p>
        </w:tc>
      </w:tr>
      <w:tr w:rsidR="00B224DB" w:rsidRPr="00917FFB" w:rsidTr="00F80535">
        <w:trPr>
          <w:cantSplit/>
        </w:trPr>
        <w:tc>
          <w:tcPr>
            <w:tcW w:w="9180" w:type="dxa"/>
            <w:gridSpan w:val="4"/>
            <w:vAlign w:val="center"/>
          </w:tcPr>
          <w:p w:rsidR="00B224DB" w:rsidRPr="00917FFB" w:rsidRDefault="00B224DB" w:rsidP="00655547">
            <w:pPr>
              <w:jc w:val="left"/>
              <w:rPr>
                <w:rFonts w:ascii="Arial Narrow" w:eastAsiaTheme="majorEastAsia" w:hAnsi="Arial Narrow" w:cstheme="majorBidi"/>
                <w:b/>
                <w:bCs/>
                <w:sz w:val="20"/>
              </w:rPr>
            </w:pPr>
            <w:r w:rsidRPr="00917FFB">
              <w:rPr>
                <w:rFonts w:ascii="Arial Narrow" w:eastAsiaTheme="majorEastAsia" w:hAnsi="Arial Narrow" w:cstheme="majorBidi"/>
                <w:b/>
                <w:bCs/>
                <w:sz w:val="20"/>
              </w:rPr>
              <w:t>Costs</w:t>
            </w:r>
          </w:p>
        </w:tc>
      </w:tr>
      <w:tr w:rsidR="00B224DB" w:rsidRPr="00917FFB" w:rsidTr="00F80535">
        <w:trPr>
          <w:cantSplit/>
        </w:trPr>
        <w:tc>
          <w:tcPr>
            <w:tcW w:w="1409"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BARI 28 x 2 mg / 4 mg</w:t>
            </w:r>
          </w:p>
        </w:tc>
        <w:tc>
          <w:tcPr>
            <w:tcW w:w="1456"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w:t>
            </w:r>
            <w:r w:rsidR="00B1613E">
              <w:rPr>
                <w:rFonts w:ascii="Arial Narrow" w:eastAsiaTheme="majorEastAsia" w:hAnsi="Arial Narrow" w:cstheme="majorBidi"/>
                <w:bCs/>
                <w:noProof/>
                <w:color w:val="000000"/>
                <w:sz w:val="20"/>
                <w:highlight w:val="black"/>
              </w:rPr>
              <w:t>'''''''''''''''''''''</w:t>
            </w:r>
          </w:p>
        </w:tc>
        <w:tc>
          <w:tcPr>
            <w:tcW w:w="1950" w:type="dxa"/>
            <w:vAlign w:val="center"/>
          </w:tcPr>
          <w:p w:rsidR="00B224DB" w:rsidRPr="00917FFB" w:rsidRDefault="00B224DB" w:rsidP="00655547">
            <w:pPr>
              <w:jc w:val="left"/>
              <w:rPr>
                <w:rFonts w:ascii="Arial Narrow" w:eastAsiaTheme="majorEastAsia" w:hAnsi="Arial Narrow" w:cstheme="majorBidi"/>
                <w:bCs/>
                <w:i/>
                <w:sz w:val="20"/>
              </w:rPr>
            </w:pPr>
            <w:r w:rsidRPr="00917FFB">
              <w:rPr>
                <w:rFonts w:ascii="Arial Narrow" w:eastAsiaTheme="majorEastAsia" w:hAnsi="Arial Narrow" w:cstheme="majorBidi"/>
                <w:bCs/>
                <w:sz w:val="20"/>
              </w:rPr>
              <w:t>Calculated based on the requested AEMP</w:t>
            </w:r>
            <w:r w:rsidRPr="00917FFB">
              <w:rPr>
                <w:rFonts w:ascii="Arial Narrow" w:eastAsiaTheme="majorEastAsia" w:hAnsi="Arial Narrow" w:cstheme="majorBidi"/>
                <w:bCs/>
                <w:i/>
                <w:sz w:val="20"/>
              </w:rPr>
              <w:t xml:space="preserve"> </w:t>
            </w:r>
          </w:p>
        </w:tc>
        <w:tc>
          <w:tcPr>
            <w:tcW w:w="4365"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Correctly calculated.</w:t>
            </w:r>
          </w:p>
        </w:tc>
      </w:tr>
      <w:tr w:rsidR="00B224DB" w:rsidRPr="00917FFB" w:rsidTr="00F80535">
        <w:trPr>
          <w:cantSplit/>
        </w:trPr>
        <w:tc>
          <w:tcPr>
            <w:tcW w:w="1409"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DUPI 2 x 300 mg/ 2 mL</w:t>
            </w:r>
          </w:p>
        </w:tc>
        <w:tc>
          <w:tcPr>
            <w:tcW w:w="1456"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$1754.22</w:t>
            </w:r>
          </w:p>
        </w:tc>
        <w:tc>
          <w:tcPr>
            <w:tcW w:w="1950"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PBS item 12292Y</w:t>
            </w:r>
          </w:p>
        </w:tc>
        <w:tc>
          <w:tcPr>
            <w:tcW w:w="4365"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Appropriate. Concurs with</w:t>
            </w:r>
            <w:r w:rsidR="00FD2777" w:rsidRPr="00917FFB">
              <w:rPr>
                <w:rFonts w:ascii="Arial Narrow" w:eastAsiaTheme="majorEastAsia" w:hAnsi="Arial Narrow" w:cstheme="majorBidi"/>
                <w:bCs/>
                <w:sz w:val="20"/>
              </w:rPr>
              <w:t xml:space="preserve"> the</w:t>
            </w:r>
            <w:r w:rsidRPr="00917FFB">
              <w:rPr>
                <w:rFonts w:ascii="Arial Narrow" w:eastAsiaTheme="majorEastAsia" w:hAnsi="Arial Narrow" w:cstheme="majorBidi"/>
                <w:bCs/>
                <w:sz w:val="20"/>
              </w:rPr>
              <w:t xml:space="preserve"> current </w:t>
            </w:r>
            <w:r w:rsidR="00E95393" w:rsidRPr="00917FFB">
              <w:rPr>
                <w:rFonts w:ascii="Arial Narrow" w:eastAsiaTheme="majorEastAsia" w:hAnsi="Arial Narrow" w:cstheme="majorBidi"/>
                <w:bCs/>
                <w:sz w:val="20"/>
              </w:rPr>
              <w:t xml:space="preserve">published </w:t>
            </w:r>
            <w:r w:rsidRPr="00917FFB">
              <w:rPr>
                <w:rFonts w:ascii="Arial Narrow" w:eastAsiaTheme="majorEastAsia" w:hAnsi="Arial Narrow" w:cstheme="majorBidi"/>
                <w:bCs/>
                <w:sz w:val="20"/>
              </w:rPr>
              <w:t>DPMQ for DUPI.</w:t>
            </w:r>
          </w:p>
        </w:tc>
      </w:tr>
      <w:tr w:rsidR="00B224DB" w:rsidRPr="00917FFB" w:rsidTr="00F80535">
        <w:trPr>
          <w:cantSplit/>
        </w:trPr>
        <w:tc>
          <w:tcPr>
            <w:tcW w:w="1409"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 PBS/RPBS</w:t>
            </w:r>
          </w:p>
        </w:tc>
        <w:tc>
          <w:tcPr>
            <w:tcW w:w="1456"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PBS: 96.5%</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RPBS: 3.5%</w:t>
            </w:r>
          </w:p>
        </w:tc>
        <w:tc>
          <w:tcPr>
            <w:tcW w:w="1950"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PBS/RPBS scripts for triamcinolone (item 2117K, 2118L) and hydrocortisone (item 2881P, 2882Q).</w:t>
            </w:r>
          </w:p>
        </w:tc>
        <w:tc>
          <w:tcPr>
            <w:tcW w:w="4365" w:type="dxa"/>
            <w:vMerge w:val="restart"/>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The submission assumed the scripts by beneficiary type and average co-payment per script based on PBS services data for triamcinolone and hydrocortisone as a proxy for BARI and DUPI, which may not reasonably represent the utilisation of biologics in AD given the price of triamcinolone and hydrocortisone are below the general patient co-pay and would not be collected in the PBS service data. This is likely to lead to an overestimate of the cost of each script to the PBS.</w:t>
            </w:r>
          </w:p>
        </w:tc>
      </w:tr>
      <w:tr w:rsidR="00B224DB" w:rsidRPr="00917FFB" w:rsidTr="00F80535">
        <w:trPr>
          <w:cantSplit/>
        </w:trPr>
        <w:tc>
          <w:tcPr>
            <w:tcW w:w="1409"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Patient co-pay</w:t>
            </w:r>
          </w:p>
        </w:tc>
        <w:tc>
          <w:tcPr>
            <w:tcW w:w="1456"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PBS: $5.34</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RPBS: $4.46</w:t>
            </w:r>
          </w:p>
        </w:tc>
        <w:tc>
          <w:tcPr>
            <w:tcW w:w="1950"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Weighted average across general and concessional PBS/RPBS services of triamcinolone and hydrocortisone</w:t>
            </w:r>
          </w:p>
        </w:tc>
        <w:tc>
          <w:tcPr>
            <w:tcW w:w="4365" w:type="dxa"/>
            <w:vMerge/>
            <w:vAlign w:val="center"/>
          </w:tcPr>
          <w:p w:rsidR="00B224DB" w:rsidRPr="00917FFB" w:rsidRDefault="00B224DB" w:rsidP="00655547">
            <w:pPr>
              <w:jc w:val="left"/>
              <w:rPr>
                <w:rFonts w:ascii="Arial Narrow" w:eastAsiaTheme="majorEastAsia" w:hAnsi="Arial Narrow" w:cstheme="majorBidi"/>
                <w:bCs/>
                <w:sz w:val="20"/>
              </w:rPr>
            </w:pPr>
          </w:p>
        </w:tc>
      </w:tr>
      <w:tr w:rsidR="00B224DB" w:rsidRPr="00917FFB" w:rsidTr="00F80535">
        <w:trPr>
          <w:cantSplit/>
        </w:trPr>
        <w:tc>
          <w:tcPr>
            <w:tcW w:w="1409"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MBS costs</w:t>
            </w:r>
          </w:p>
        </w:tc>
        <w:tc>
          <w:tcPr>
            <w:tcW w:w="1456"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Lipids, hepatic transaminases: $11.65</w:t>
            </w:r>
          </w:p>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Haemoglobin and absolute neutrophil &amp; lymphocyte: $16.95</w:t>
            </w:r>
          </w:p>
        </w:tc>
        <w:tc>
          <w:tcPr>
            <w:tcW w:w="1950"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MBS items 66503, 65070</w:t>
            </w:r>
          </w:p>
        </w:tc>
        <w:tc>
          <w:tcPr>
            <w:tcW w:w="4365" w:type="dxa"/>
            <w:vAlign w:val="center"/>
          </w:tcPr>
          <w:p w:rsidR="00B224DB" w:rsidRPr="00917FFB" w:rsidRDefault="00B224DB" w:rsidP="00655547">
            <w:pPr>
              <w:jc w:val="left"/>
              <w:rPr>
                <w:rFonts w:ascii="Arial Narrow" w:eastAsiaTheme="majorEastAsia" w:hAnsi="Arial Narrow" w:cstheme="majorBidi"/>
                <w:bCs/>
                <w:sz w:val="20"/>
              </w:rPr>
            </w:pPr>
            <w:r w:rsidRPr="00917FFB">
              <w:rPr>
                <w:rFonts w:ascii="Arial Narrow" w:eastAsiaTheme="majorEastAsia" w:hAnsi="Arial Narrow" w:cstheme="majorBidi"/>
                <w:bCs/>
                <w:sz w:val="20"/>
              </w:rPr>
              <w:t>Reasonable.</w:t>
            </w:r>
          </w:p>
        </w:tc>
      </w:tr>
    </w:tbl>
    <w:p w:rsidR="00B224DB" w:rsidRPr="00917FFB" w:rsidRDefault="00B224DB" w:rsidP="00B224DB">
      <w:pPr>
        <w:spacing w:after="120"/>
        <w:contextualSpacing/>
        <w:rPr>
          <w:rFonts w:ascii="Arial Narrow" w:hAnsi="Arial Narrow"/>
          <w:snapToGrid w:val="0"/>
          <w:sz w:val="18"/>
          <w:szCs w:val="22"/>
        </w:rPr>
      </w:pPr>
      <w:r w:rsidRPr="00917FFB">
        <w:rPr>
          <w:rFonts w:ascii="Arial Narrow" w:hAnsi="Arial Narrow"/>
          <w:snapToGrid w:val="0"/>
          <w:sz w:val="18"/>
          <w:szCs w:val="22"/>
        </w:rPr>
        <w:t>Abbreviations: AD=atopic dermatitis; BARI=baricitinib; DUPI=dupilumab; EASI=Eczema Area and Severity Index; TCS=topical corticosteroids; DLQI=Dermatology Life Quality Index; PGA=Physician’s Global Assessment; SA=sensitivity analysis; VTE=venous thromboembolism</w:t>
      </w:r>
    </w:p>
    <w:p w:rsidR="00B224DB" w:rsidRPr="00917FFB" w:rsidRDefault="00B224DB" w:rsidP="00B224DB">
      <w:pPr>
        <w:spacing w:after="120"/>
        <w:contextualSpacing/>
        <w:rPr>
          <w:rFonts w:ascii="Arial Narrow" w:hAnsi="Arial Narrow"/>
          <w:snapToGrid w:val="0"/>
          <w:sz w:val="18"/>
          <w:szCs w:val="22"/>
        </w:rPr>
      </w:pPr>
      <w:r w:rsidRPr="00917FFB">
        <w:rPr>
          <w:rFonts w:ascii="Arial Narrow" w:hAnsi="Arial Narrow"/>
          <w:snapToGrid w:val="0"/>
          <w:sz w:val="18"/>
          <w:szCs w:val="22"/>
        </w:rPr>
        <w:t>Source: Table 4.1-1, pp320-322 of the submission.</w:t>
      </w:r>
    </w:p>
    <w:p w:rsidR="007925DF" w:rsidRPr="00917FFB" w:rsidRDefault="007925DF" w:rsidP="007925DF"/>
    <w:p w:rsidR="0095457D" w:rsidRPr="00917FFB" w:rsidRDefault="0095457D" w:rsidP="008A6DF0">
      <w:pPr>
        <w:pStyle w:val="3-BodyText"/>
      </w:pPr>
      <w:r w:rsidRPr="00917FFB">
        <w:t xml:space="preserve">Table </w:t>
      </w:r>
      <w:r w:rsidR="008A6DF0" w:rsidRPr="00917FFB">
        <w:t>1</w:t>
      </w:r>
      <w:r w:rsidR="005112D9" w:rsidRPr="00917FFB">
        <w:t>3</w:t>
      </w:r>
      <w:r w:rsidR="008A6DF0" w:rsidRPr="00917FFB">
        <w:t xml:space="preserve"> </w:t>
      </w:r>
      <w:r w:rsidRPr="00917FFB">
        <w:t xml:space="preserve">summarises the estimated net financial implications for the proposed listing of BARI on the PBS/RPBS for AD. </w:t>
      </w:r>
    </w:p>
    <w:p w:rsidR="007925DF" w:rsidRPr="00917FFB" w:rsidRDefault="007925DF" w:rsidP="008625EB">
      <w:pPr>
        <w:pStyle w:val="TableFigureHeading"/>
        <w:keepLines/>
      </w:pPr>
      <w:r w:rsidRPr="00917FFB">
        <w:t xml:space="preserve">Table </w:t>
      </w:r>
      <w:r w:rsidR="008A6DF0" w:rsidRPr="00917FFB">
        <w:t>1</w:t>
      </w:r>
      <w:r w:rsidR="005112D9" w:rsidRPr="00917FFB">
        <w:t>3</w:t>
      </w:r>
      <w:r w:rsidRPr="00917FFB">
        <w:t xml:space="preserve">: Estimation of number of treated patients and prescriptions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4"/>
        <w:gridCol w:w="1126"/>
        <w:gridCol w:w="1125"/>
        <w:gridCol w:w="1125"/>
        <w:gridCol w:w="1125"/>
        <w:gridCol w:w="1125"/>
        <w:gridCol w:w="1127"/>
      </w:tblGrid>
      <w:tr w:rsidR="008E2DF7" w:rsidRPr="00917FFB" w:rsidTr="00655547">
        <w:trPr>
          <w:tblHeader/>
        </w:trPr>
        <w:tc>
          <w:tcPr>
            <w:tcW w:w="1255" w:type="pct"/>
            <w:shd w:val="clear" w:color="auto" w:fill="auto"/>
            <w:vAlign w:val="center"/>
          </w:tcPr>
          <w:p w:rsidR="008E2DF7" w:rsidRPr="00853F7A" w:rsidRDefault="008E2DF7" w:rsidP="008625EB">
            <w:pPr>
              <w:keepNext/>
              <w:keepLines/>
              <w:jc w:val="center"/>
              <w:rPr>
                <w:rFonts w:ascii="Arial Narrow" w:eastAsiaTheme="majorEastAsia" w:hAnsi="Arial Narrow" w:cs="Times New Roman"/>
                <w:b/>
                <w:sz w:val="20"/>
              </w:rPr>
            </w:pPr>
          </w:p>
        </w:tc>
        <w:tc>
          <w:tcPr>
            <w:tcW w:w="624" w:type="pct"/>
            <w:shd w:val="clear" w:color="auto" w:fill="auto"/>
            <w:vAlign w:val="center"/>
          </w:tcPr>
          <w:p w:rsidR="008E2DF7" w:rsidRPr="00853F7A" w:rsidRDefault="008E2DF7" w:rsidP="008625EB">
            <w:pPr>
              <w:keepNext/>
              <w:keepLines/>
              <w:jc w:val="center"/>
              <w:rPr>
                <w:rFonts w:ascii="Arial Narrow" w:eastAsiaTheme="majorEastAsia" w:hAnsi="Arial Narrow" w:cs="Times New Roman"/>
                <w:b/>
                <w:sz w:val="20"/>
              </w:rPr>
            </w:pPr>
            <w:r w:rsidRPr="00853F7A">
              <w:rPr>
                <w:rFonts w:ascii="Arial Narrow" w:eastAsiaTheme="majorEastAsia" w:hAnsi="Arial Narrow" w:cs="Times New Roman"/>
                <w:b/>
                <w:sz w:val="20"/>
              </w:rPr>
              <w:t>Year 1</w:t>
            </w:r>
          </w:p>
        </w:tc>
        <w:tc>
          <w:tcPr>
            <w:tcW w:w="624" w:type="pct"/>
            <w:shd w:val="clear" w:color="auto" w:fill="auto"/>
            <w:vAlign w:val="center"/>
          </w:tcPr>
          <w:p w:rsidR="008E2DF7" w:rsidRPr="00853F7A" w:rsidRDefault="008E2DF7" w:rsidP="008625EB">
            <w:pPr>
              <w:keepNext/>
              <w:keepLines/>
              <w:jc w:val="center"/>
              <w:rPr>
                <w:rFonts w:ascii="Arial Narrow" w:eastAsiaTheme="majorEastAsia" w:hAnsi="Arial Narrow" w:cs="Times New Roman"/>
                <w:b/>
                <w:sz w:val="20"/>
              </w:rPr>
            </w:pPr>
            <w:r w:rsidRPr="00853F7A">
              <w:rPr>
                <w:rFonts w:ascii="Arial Narrow" w:eastAsiaTheme="majorEastAsia" w:hAnsi="Arial Narrow" w:cs="Times New Roman"/>
                <w:b/>
                <w:sz w:val="20"/>
              </w:rPr>
              <w:t>Year 2</w:t>
            </w:r>
          </w:p>
        </w:tc>
        <w:tc>
          <w:tcPr>
            <w:tcW w:w="624" w:type="pct"/>
            <w:shd w:val="clear" w:color="auto" w:fill="auto"/>
            <w:vAlign w:val="center"/>
          </w:tcPr>
          <w:p w:rsidR="008E2DF7" w:rsidRPr="00853F7A" w:rsidRDefault="008E2DF7" w:rsidP="008625EB">
            <w:pPr>
              <w:keepNext/>
              <w:keepLines/>
              <w:jc w:val="center"/>
              <w:rPr>
                <w:rFonts w:ascii="Arial Narrow" w:eastAsiaTheme="majorEastAsia" w:hAnsi="Arial Narrow" w:cs="Times New Roman"/>
                <w:b/>
                <w:sz w:val="20"/>
              </w:rPr>
            </w:pPr>
            <w:r w:rsidRPr="00853F7A">
              <w:rPr>
                <w:rFonts w:ascii="Arial Narrow" w:eastAsiaTheme="majorEastAsia" w:hAnsi="Arial Narrow" w:cs="Times New Roman"/>
                <w:b/>
                <w:sz w:val="20"/>
              </w:rPr>
              <w:t>Year 3</w:t>
            </w:r>
          </w:p>
        </w:tc>
        <w:tc>
          <w:tcPr>
            <w:tcW w:w="624" w:type="pct"/>
            <w:shd w:val="clear" w:color="auto" w:fill="auto"/>
            <w:vAlign w:val="center"/>
          </w:tcPr>
          <w:p w:rsidR="008E2DF7" w:rsidRPr="00853F7A" w:rsidRDefault="008E2DF7" w:rsidP="008625EB">
            <w:pPr>
              <w:keepNext/>
              <w:keepLines/>
              <w:jc w:val="center"/>
              <w:rPr>
                <w:rFonts w:ascii="Arial Narrow" w:eastAsiaTheme="majorEastAsia" w:hAnsi="Arial Narrow" w:cs="Times New Roman"/>
                <w:b/>
                <w:sz w:val="20"/>
              </w:rPr>
            </w:pPr>
            <w:r w:rsidRPr="00853F7A">
              <w:rPr>
                <w:rFonts w:ascii="Arial Narrow" w:eastAsiaTheme="majorEastAsia" w:hAnsi="Arial Narrow" w:cs="Times New Roman"/>
                <w:b/>
                <w:sz w:val="20"/>
              </w:rPr>
              <w:t>Year 4</w:t>
            </w:r>
          </w:p>
        </w:tc>
        <w:tc>
          <w:tcPr>
            <w:tcW w:w="624" w:type="pct"/>
            <w:shd w:val="clear" w:color="auto" w:fill="auto"/>
            <w:vAlign w:val="center"/>
          </w:tcPr>
          <w:p w:rsidR="008E2DF7" w:rsidRPr="00853F7A" w:rsidRDefault="008E2DF7" w:rsidP="008625EB">
            <w:pPr>
              <w:keepNext/>
              <w:keepLines/>
              <w:jc w:val="center"/>
              <w:rPr>
                <w:rFonts w:ascii="Arial Narrow" w:eastAsiaTheme="majorEastAsia" w:hAnsi="Arial Narrow" w:cs="Times New Roman"/>
                <w:b/>
                <w:sz w:val="20"/>
              </w:rPr>
            </w:pPr>
            <w:r w:rsidRPr="00853F7A">
              <w:rPr>
                <w:rFonts w:ascii="Arial Narrow" w:eastAsiaTheme="majorEastAsia" w:hAnsi="Arial Narrow" w:cs="Times New Roman"/>
                <w:b/>
                <w:sz w:val="20"/>
              </w:rPr>
              <w:t>Year 5</w:t>
            </w:r>
          </w:p>
        </w:tc>
        <w:tc>
          <w:tcPr>
            <w:tcW w:w="625" w:type="pct"/>
          </w:tcPr>
          <w:p w:rsidR="008E2DF7" w:rsidRPr="00853F7A" w:rsidRDefault="008E2DF7" w:rsidP="008625EB">
            <w:pPr>
              <w:keepNext/>
              <w:keepLines/>
              <w:jc w:val="center"/>
              <w:rPr>
                <w:rFonts w:ascii="Arial Narrow" w:eastAsiaTheme="majorEastAsia" w:hAnsi="Arial Narrow" w:cs="Times New Roman"/>
                <w:b/>
                <w:sz w:val="20"/>
              </w:rPr>
            </w:pPr>
            <w:r w:rsidRPr="00853F7A">
              <w:rPr>
                <w:rFonts w:ascii="Arial Narrow" w:eastAsiaTheme="majorEastAsia" w:hAnsi="Arial Narrow" w:cs="Times New Roman"/>
                <w:b/>
                <w:sz w:val="20"/>
              </w:rPr>
              <w:t>Year 6</w:t>
            </w:r>
          </w:p>
        </w:tc>
      </w:tr>
      <w:tr w:rsidR="008E2DF7" w:rsidRPr="00917FFB" w:rsidTr="00655547">
        <w:tc>
          <w:tcPr>
            <w:tcW w:w="5000" w:type="pct"/>
            <w:gridSpan w:val="7"/>
            <w:shd w:val="clear" w:color="auto" w:fill="auto"/>
            <w:vAlign w:val="center"/>
          </w:tcPr>
          <w:p w:rsidR="008E2DF7" w:rsidRPr="00853F7A" w:rsidRDefault="008E2DF7" w:rsidP="008625EB">
            <w:pPr>
              <w:keepNext/>
              <w:keepLines/>
              <w:jc w:val="left"/>
              <w:rPr>
                <w:rFonts w:ascii="Arial Narrow" w:eastAsiaTheme="majorEastAsia" w:hAnsi="Arial Narrow" w:cs="Times New Roman"/>
                <w:b/>
                <w:bCs/>
                <w:color w:val="000000"/>
                <w:sz w:val="20"/>
              </w:rPr>
            </w:pPr>
            <w:r w:rsidRPr="00853F7A">
              <w:rPr>
                <w:rFonts w:ascii="Arial Narrow" w:eastAsiaTheme="majorEastAsia" w:hAnsi="Arial Narrow" w:cs="Times New Roman"/>
                <w:b/>
                <w:bCs/>
                <w:color w:val="000000"/>
                <w:sz w:val="20"/>
              </w:rPr>
              <w:t>Estimated number of prevalent patients</w:t>
            </w:r>
          </w:p>
        </w:tc>
      </w:tr>
      <w:tr w:rsidR="008E2DF7" w:rsidRPr="00917FFB" w:rsidTr="00655547">
        <w:tc>
          <w:tcPr>
            <w:tcW w:w="1255" w:type="pct"/>
            <w:tcBorders>
              <w:bottom w:val="nil"/>
            </w:tcBorders>
            <w:shd w:val="clear" w:color="auto" w:fill="auto"/>
            <w:vAlign w:val="center"/>
          </w:tcPr>
          <w:p w:rsidR="008E2DF7" w:rsidRPr="0084736B" w:rsidRDefault="008E2DF7">
            <w:pPr>
              <w:keepNext/>
              <w:keepLines/>
              <w:jc w:val="left"/>
              <w:rPr>
                <w:rFonts w:ascii="Times" w:eastAsiaTheme="majorEastAsia" w:hAnsi="Times" w:cstheme="majorBidi"/>
                <w:bCs/>
                <w:sz w:val="20"/>
                <w:vertAlign w:val="superscript"/>
              </w:rPr>
            </w:pPr>
            <w:r w:rsidRPr="00917FFB">
              <w:rPr>
                <w:rFonts w:ascii="Arial Narrow" w:eastAsiaTheme="majorEastAsia" w:hAnsi="Arial Narrow" w:cstheme="majorBidi"/>
                <w:bCs/>
                <w:sz w:val="20"/>
              </w:rPr>
              <w:t>Prevalent population with severe AD</w:t>
            </w:r>
          </w:p>
        </w:tc>
        <w:tc>
          <w:tcPr>
            <w:tcW w:w="624" w:type="pct"/>
            <w:tcBorders>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1</w:t>
            </w:r>
          </w:p>
        </w:tc>
        <w:tc>
          <w:tcPr>
            <w:tcW w:w="624" w:type="pct"/>
            <w:tcBorders>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1</w:t>
            </w:r>
          </w:p>
        </w:tc>
        <w:tc>
          <w:tcPr>
            <w:tcW w:w="624" w:type="pct"/>
            <w:tcBorders>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1</w:t>
            </w:r>
          </w:p>
        </w:tc>
        <w:tc>
          <w:tcPr>
            <w:tcW w:w="624" w:type="pct"/>
            <w:tcBorders>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1</w:t>
            </w:r>
          </w:p>
        </w:tc>
        <w:tc>
          <w:tcPr>
            <w:tcW w:w="624" w:type="pct"/>
            <w:tcBorders>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1</w:t>
            </w:r>
          </w:p>
        </w:tc>
        <w:tc>
          <w:tcPr>
            <w:tcW w:w="625" w:type="pct"/>
            <w:tcBorders>
              <w:bottom w:val="nil"/>
            </w:tcBorders>
            <w:vAlign w:val="center"/>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1</w:t>
            </w:r>
          </w:p>
        </w:tc>
      </w:tr>
      <w:tr w:rsidR="008E2DF7" w:rsidRPr="00917FFB" w:rsidTr="00655547">
        <w:tc>
          <w:tcPr>
            <w:tcW w:w="1255" w:type="pct"/>
            <w:tcBorders>
              <w:bottom w:val="nil"/>
            </w:tcBorders>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20"/>
              </w:rPr>
            </w:pPr>
            <w:r w:rsidRPr="00917FFB">
              <w:rPr>
                <w:rFonts w:ascii="Arial Narrow" w:eastAsiaTheme="majorEastAsia" w:hAnsi="Arial Narrow" w:cstheme="majorBidi"/>
                <w:bCs/>
                <w:sz w:val="20"/>
              </w:rPr>
              <w:t>Eligible population</w:t>
            </w:r>
          </w:p>
        </w:tc>
        <w:tc>
          <w:tcPr>
            <w:tcW w:w="624" w:type="pct"/>
            <w:tcBorders>
              <w:bottom w:val="nil"/>
            </w:tcBorders>
            <w:shd w:val="clear" w:color="auto" w:fill="auto"/>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2</w:t>
            </w:r>
            <w:r>
              <w:rPr>
                <w:rFonts w:ascii="Arial Narrow" w:eastAsiaTheme="majorEastAsia" w:hAnsi="Arial Narrow" w:cstheme="majorBidi"/>
                <w:bCs/>
                <w:noProof/>
                <w:color w:val="000000"/>
                <w:sz w:val="20"/>
                <w:highlight w:val="black"/>
              </w:rPr>
              <w:t xml:space="preserve"> </w:t>
            </w:r>
          </w:p>
        </w:tc>
        <w:tc>
          <w:tcPr>
            <w:tcW w:w="624" w:type="pct"/>
            <w:tcBorders>
              <w:bottom w:val="nil"/>
            </w:tcBorders>
            <w:shd w:val="clear" w:color="auto" w:fill="auto"/>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3</w:t>
            </w:r>
            <w:r>
              <w:rPr>
                <w:rFonts w:ascii="Arial Narrow" w:eastAsiaTheme="majorEastAsia" w:hAnsi="Arial Narrow" w:cstheme="majorBidi"/>
                <w:bCs/>
                <w:noProof/>
                <w:color w:val="000000"/>
                <w:sz w:val="20"/>
                <w:highlight w:val="black"/>
              </w:rPr>
              <w:t xml:space="preserve"> </w:t>
            </w:r>
          </w:p>
        </w:tc>
        <w:tc>
          <w:tcPr>
            <w:tcW w:w="624" w:type="pct"/>
            <w:tcBorders>
              <w:bottom w:val="nil"/>
            </w:tcBorders>
            <w:shd w:val="clear" w:color="auto" w:fill="auto"/>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3</w:t>
            </w:r>
            <w:r>
              <w:rPr>
                <w:rFonts w:ascii="Arial Narrow" w:eastAsiaTheme="majorEastAsia" w:hAnsi="Arial Narrow" w:cstheme="majorBidi"/>
                <w:bCs/>
                <w:noProof/>
                <w:color w:val="000000"/>
                <w:sz w:val="20"/>
                <w:highlight w:val="black"/>
              </w:rPr>
              <w:t xml:space="preserve"> </w:t>
            </w:r>
          </w:p>
        </w:tc>
        <w:tc>
          <w:tcPr>
            <w:tcW w:w="624" w:type="pct"/>
            <w:tcBorders>
              <w:bottom w:val="nil"/>
            </w:tcBorders>
            <w:shd w:val="clear" w:color="auto" w:fill="auto"/>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3</w:t>
            </w:r>
            <w:r>
              <w:rPr>
                <w:rFonts w:ascii="Arial Narrow" w:eastAsiaTheme="majorEastAsia" w:hAnsi="Arial Narrow" w:cstheme="majorBidi"/>
                <w:bCs/>
                <w:noProof/>
                <w:color w:val="000000"/>
                <w:sz w:val="20"/>
                <w:highlight w:val="black"/>
              </w:rPr>
              <w:t xml:space="preserve"> </w:t>
            </w:r>
          </w:p>
        </w:tc>
        <w:tc>
          <w:tcPr>
            <w:tcW w:w="624" w:type="pct"/>
            <w:tcBorders>
              <w:bottom w:val="nil"/>
            </w:tcBorders>
            <w:shd w:val="clear" w:color="auto" w:fill="auto"/>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3</w:t>
            </w:r>
            <w:r>
              <w:rPr>
                <w:rFonts w:ascii="Arial Narrow" w:eastAsiaTheme="majorEastAsia" w:hAnsi="Arial Narrow" w:cstheme="majorBidi"/>
                <w:bCs/>
                <w:noProof/>
                <w:color w:val="000000"/>
                <w:sz w:val="20"/>
                <w:highlight w:val="black"/>
              </w:rPr>
              <w:t xml:space="preserve"> </w:t>
            </w:r>
          </w:p>
        </w:tc>
        <w:tc>
          <w:tcPr>
            <w:tcW w:w="625" w:type="pct"/>
            <w:tcBorders>
              <w:bottom w:val="nil"/>
            </w:tcBorders>
          </w:tcPr>
          <w:p w:rsidR="008E2DF7" w:rsidRPr="00B1613E" w:rsidRDefault="00B1613E" w:rsidP="008625EB">
            <w:pPr>
              <w:keepNext/>
              <w:keepLines/>
              <w:jc w:val="center"/>
              <w:rPr>
                <w:rFonts w:ascii="Arial Narrow" w:eastAsiaTheme="majorEastAsia" w:hAnsi="Arial Narrow" w:cstheme="majorBidi"/>
                <w:bCs/>
                <w:color w:val="000000"/>
                <w:sz w:val="20"/>
              </w:rPr>
            </w:pPr>
            <w:r>
              <w:rPr>
                <w:rFonts w:ascii="Arial Narrow" w:eastAsiaTheme="majorEastAsia" w:hAnsi="Arial Narrow" w:cstheme="majorBidi"/>
                <w:bCs/>
                <w:noProof/>
                <w:color w:val="000000"/>
                <w:sz w:val="20"/>
                <w:highlight w:val="black"/>
              </w:rPr>
              <w:t>''''''''''''''''</w:t>
            </w:r>
            <w:r w:rsidR="00C7570F">
              <w:rPr>
                <w:rFonts w:ascii="Arial Narrow" w:eastAsiaTheme="majorEastAsia" w:hAnsi="Arial Narrow" w:cstheme="majorBidi"/>
                <w:bCs/>
                <w:sz w:val="20"/>
                <w:vertAlign w:val="superscript"/>
              </w:rPr>
              <w:t>3</w:t>
            </w:r>
            <w:r>
              <w:rPr>
                <w:rFonts w:ascii="Arial Narrow" w:eastAsiaTheme="majorEastAsia" w:hAnsi="Arial Narrow" w:cstheme="majorBidi"/>
                <w:bCs/>
                <w:noProof/>
                <w:color w:val="000000"/>
                <w:sz w:val="20"/>
                <w:highlight w:val="black"/>
              </w:rPr>
              <w:t xml:space="preserve"> </w:t>
            </w:r>
          </w:p>
        </w:tc>
      </w:tr>
      <w:tr w:rsidR="008E2DF7" w:rsidRPr="00917FFB" w:rsidTr="00655547">
        <w:tc>
          <w:tcPr>
            <w:tcW w:w="1255" w:type="pct"/>
            <w:tcBorders>
              <w:bottom w:val="nil"/>
            </w:tcBorders>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20"/>
              </w:rPr>
            </w:pPr>
            <w:r w:rsidRPr="00917FFB">
              <w:rPr>
                <w:rFonts w:ascii="Arial Narrow" w:eastAsiaTheme="majorEastAsia" w:hAnsi="Arial Narrow" w:cstheme="majorBidi"/>
                <w:bCs/>
                <w:sz w:val="20"/>
              </w:rPr>
              <w:t>Patients initiating PBS/RPBS treatment, DUPI or BARI</w:t>
            </w:r>
          </w:p>
        </w:tc>
        <w:tc>
          <w:tcPr>
            <w:tcW w:w="624" w:type="pct"/>
            <w:tcBorders>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5" w:type="pct"/>
            <w:tcBorders>
              <w:bottom w:val="nil"/>
            </w:tcBorders>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r>
      <w:tr w:rsidR="008E2DF7" w:rsidRPr="00917FFB" w:rsidTr="00655547">
        <w:tc>
          <w:tcPr>
            <w:tcW w:w="1255" w:type="pct"/>
            <w:tcBorders>
              <w:bottom w:val="nil"/>
            </w:tcBorders>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20"/>
              </w:rPr>
            </w:pPr>
            <w:r w:rsidRPr="00917FFB">
              <w:rPr>
                <w:rFonts w:ascii="Arial Narrow" w:eastAsiaTheme="majorEastAsia" w:hAnsi="Arial Narrow" w:cstheme="majorBidi"/>
                <w:bCs/>
                <w:sz w:val="20"/>
              </w:rPr>
              <w:t xml:space="preserve">Patients initiating PBS/RPBS treatment, BARI </w:t>
            </w: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000000"/>
                <w:sz w:val="20"/>
              </w:rPr>
            </w:pP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000000"/>
                <w:sz w:val="20"/>
              </w:rPr>
            </w:pP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000000"/>
                <w:sz w:val="20"/>
              </w:rPr>
            </w:pP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000000"/>
                <w:sz w:val="20"/>
              </w:rPr>
            </w:pP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000000"/>
                <w:sz w:val="20"/>
              </w:rPr>
            </w:pPr>
          </w:p>
        </w:tc>
        <w:tc>
          <w:tcPr>
            <w:tcW w:w="625" w:type="pct"/>
            <w:tcBorders>
              <w:bottom w:val="nil"/>
            </w:tcBorders>
            <w:vAlign w:val="center"/>
          </w:tcPr>
          <w:p w:rsidR="008E2DF7" w:rsidRPr="00B1613E" w:rsidRDefault="008E2DF7" w:rsidP="008625EB">
            <w:pPr>
              <w:keepNext/>
              <w:keepLines/>
              <w:jc w:val="center"/>
              <w:rPr>
                <w:rFonts w:ascii="Arial Narrow" w:eastAsiaTheme="majorEastAsia" w:hAnsi="Arial Narrow" w:cstheme="majorBidi"/>
                <w:bCs/>
                <w:color w:val="000000"/>
                <w:sz w:val="20"/>
              </w:rPr>
            </w:pPr>
          </w:p>
        </w:tc>
      </w:tr>
      <w:tr w:rsidR="008E2DF7" w:rsidRPr="00917FFB" w:rsidTr="00655547">
        <w:tc>
          <w:tcPr>
            <w:tcW w:w="1255" w:type="pct"/>
            <w:tcBorders>
              <w:top w:val="nil"/>
              <w:bottom w:val="nil"/>
            </w:tcBorders>
            <w:shd w:val="clear" w:color="auto" w:fill="auto"/>
            <w:vAlign w:val="center"/>
          </w:tcPr>
          <w:p w:rsidR="008E2DF7" w:rsidRPr="00917FFB" w:rsidRDefault="008E2DF7" w:rsidP="008625EB">
            <w:pPr>
              <w:keepNext/>
              <w:keepLines/>
              <w:ind w:left="104"/>
              <w:jc w:val="left"/>
              <w:rPr>
                <w:rFonts w:ascii="Arial Narrow" w:eastAsiaTheme="majorEastAsia" w:hAnsi="Arial Narrow" w:cstheme="majorBidi"/>
                <w:bCs/>
                <w:sz w:val="20"/>
              </w:rPr>
            </w:pPr>
            <w:r w:rsidRPr="00917FFB">
              <w:rPr>
                <w:rFonts w:ascii="Arial Narrow" w:eastAsiaTheme="majorEastAsia" w:hAnsi="Arial Narrow" w:cstheme="majorBidi"/>
                <w:bCs/>
                <w:sz w:val="20"/>
              </w:rPr>
              <w:t>New patients</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5" w:type="pct"/>
            <w:tcBorders>
              <w:top w:val="nil"/>
              <w:bottom w:val="nil"/>
            </w:tcBorders>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r>
      <w:tr w:rsidR="008E2DF7" w:rsidRPr="00917FFB" w:rsidTr="00655547">
        <w:tc>
          <w:tcPr>
            <w:tcW w:w="1255" w:type="pct"/>
            <w:tcBorders>
              <w:top w:val="nil"/>
              <w:bottom w:val="nil"/>
            </w:tcBorders>
            <w:shd w:val="clear" w:color="auto" w:fill="auto"/>
            <w:vAlign w:val="center"/>
          </w:tcPr>
          <w:p w:rsidR="008E2DF7" w:rsidRPr="00917FFB" w:rsidRDefault="008E2DF7" w:rsidP="008625EB">
            <w:pPr>
              <w:keepNext/>
              <w:keepLines/>
              <w:ind w:left="104"/>
              <w:jc w:val="left"/>
              <w:rPr>
                <w:rFonts w:ascii="Arial Narrow" w:eastAsiaTheme="majorEastAsia" w:hAnsi="Arial Narrow" w:cstheme="majorBidi"/>
                <w:bCs/>
                <w:sz w:val="20"/>
              </w:rPr>
            </w:pPr>
            <w:r w:rsidRPr="00917FFB">
              <w:rPr>
                <w:rFonts w:ascii="Arial Narrow" w:eastAsiaTheme="majorEastAsia" w:hAnsi="Arial Narrow" w:cstheme="majorBidi"/>
                <w:bCs/>
                <w:sz w:val="20"/>
              </w:rPr>
              <w:t>Grandfathered</w:t>
            </w:r>
          </w:p>
        </w:tc>
        <w:tc>
          <w:tcPr>
            <w:tcW w:w="624" w:type="pct"/>
            <w:tcBorders>
              <w:top w:val="nil"/>
              <w:bottom w:val="nil"/>
            </w:tcBorders>
            <w:shd w:val="clear" w:color="auto" w:fill="auto"/>
            <w:vAlign w:val="center"/>
          </w:tcPr>
          <w:p w:rsidR="008E2DF7" w:rsidRPr="00917FFB"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r w:rsidRPr="00917FFB">
              <w:rPr>
                <w:rFonts w:ascii="Arial Narrow" w:eastAsiaTheme="majorEastAsia" w:hAnsi="Arial Narrow" w:cstheme="majorBidi"/>
                <w:bCs/>
                <w:sz w:val="20"/>
              </w:rPr>
              <w:t>-</w:t>
            </w:r>
          </w:p>
        </w:tc>
        <w:tc>
          <w:tcPr>
            <w:tcW w:w="624" w:type="pct"/>
            <w:tcBorders>
              <w:top w:val="nil"/>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r w:rsidRPr="00917FFB">
              <w:rPr>
                <w:rFonts w:ascii="Arial Narrow" w:eastAsiaTheme="majorEastAsia" w:hAnsi="Arial Narrow" w:cstheme="majorBidi"/>
                <w:bCs/>
                <w:sz w:val="20"/>
              </w:rPr>
              <w:t>-</w:t>
            </w:r>
          </w:p>
        </w:tc>
        <w:tc>
          <w:tcPr>
            <w:tcW w:w="624" w:type="pct"/>
            <w:tcBorders>
              <w:top w:val="nil"/>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r w:rsidRPr="00917FFB">
              <w:rPr>
                <w:rFonts w:ascii="Arial Narrow" w:eastAsiaTheme="majorEastAsia" w:hAnsi="Arial Narrow" w:cstheme="majorBidi"/>
                <w:bCs/>
                <w:sz w:val="20"/>
              </w:rPr>
              <w:t>-</w:t>
            </w:r>
          </w:p>
        </w:tc>
        <w:tc>
          <w:tcPr>
            <w:tcW w:w="624" w:type="pct"/>
            <w:tcBorders>
              <w:top w:val="nil"/>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r w:rsidRPr="00917FFB">
              <w:rPr>
                <w:rFonts w:ascii="Arial Narrow" w:eastAsiaTheme="majorEastAsia" w:hAnsi="Arial Narrow" w:cstheme="majorBidi"/>
                <w:bCs/>
                <w:sz w:val="20"/>
              </w:rPr>
              <w:t>-</w:t>
            </w:r>
          </w:p>
        </w:tc>
        <w:tc>
          <w:tcPr>
            <w:tcW w:w="625" w:type="pct"/>
            <w:tcBorders>
              <w:top w:val="nil"/>
              <w:bottom w:val="nil"/>
            </w:tcBorders>
            <w:vAlign w:val="center"/>
          </w:tcPr>
          <w:p w:rsidR="008E2DF7" w:rsidRPr="00917FFB" w:rsidRDefault="008E2DF7" w:rsidP="008625EB">
            <w:pPr>
              <w:keepNext/>
              <w:keepLines/>
              <w:jc w:val="center"/>
              <w:rPr>
                <w:rFonts w:ascii="Arial Narrow" w:eastAsiaTheme="majorEastAsia" w:hAnsi="Arial Narrow" w:cstheme="majorBidi"/>
                <w:bCs/>
                <w:sz w:val="20"/>
              </w:rPr>
            </w:pPr>
            <w:r w:rsidRPr="00917FFB">
              <w:rPr>
                <w:rFonts w:ascii="Arial Narrow" w:eastAsiaTheme="majorEastAsia" w:hAnsi="Arial Narrow" w:cstheme="majorBidi"/>
                <w:bCs/>
                <w:sz w:val="20"/>
              </w:rPr>
              <w:t>-</w:t>
            </w:r>
          </w:p>
        </w:tc>
      </w:tr>
      <w:tr w:rsidR="008E2DF7" w:rsidRPr="00917FFB" w:rsidTr="007A23B8">
        <w:tc>
          <w:tcPr>
            <w:tcW w:w="5000" w:type="pct"/>
            <w:gridSpan w:val="7"/>
            <w:tcBorders>
              <w:bottom w:val="single" w:sz="4" w:space="0" w:color="auto"/>
            </w:tcBorders>
            <w:shd w:val="clear" w:color="auto" w:fill="auto"/>
            <w:vAlign w:val="center"/>
          </w:tcPr>
          <w:p w:rsidR="008E2DF7" w:rsidRPr="00853F7A" w:rsidRDefault="008E2DF7" w:rsidP="008625EB">
            <w:pPr>
              <w:keepNext/>
              <w:keepLines/>
              <w:jc w:val="left"/>
              <w:rPr>
                <w:rFonts w:ascii="Arial Narrow" w:eastAsiaTheme="majorEastAsia" w:hAnsi="Arial Narrow" w:cs="Times New Roman"/>
                <w:b/>
                <w:sz w:val="20"/>
              </w:rPr>
            </w:pPr>
            <w:r w:rsidRPr="00853F7A">
              <w:rPr>
                <w:rFonts w:ascii="Arial Narrow" w:eastAsiaTheme="majorEastAsia" w:hAnsi="Arial Narrow" w:cs="Times New Roman"/>
                <w:b/>
                <w:sz w:val="20"/>
              </w:rPr>
              <w:t>Estimated use of BARI^</w:t>
            </w:r>
          </w:p>
        </w:tc>
      </w:tr>
      <w:tr w:rsidR="008E2DF7" w:rsidRPr="00917FFB" w:rsidTr="007A23B8">
        <w:tc>
          <w:tcPr>
            <w:tcW w:w="1255" w:type="pct"/>
            <w:tcBorders>
              <w:top w:val="single" w:sz="4" w:space="0" w:color="auto"/>
              <w:left w:val="single" w:sz="4" w:space="0" w:color="auto"/>
              <w:bottom w:val="nil"/>
            </w:tcBorders>
            <w:shd w:val="clear" w:color="auto" w:fill="auto"/>
            <w:vAlign w:val="center"/>
          </w:tcPr>
          <w:p w:rsidR="008E2DF7" w:rsidRPr="00917FFB" w:rsidRDefault="008E2DF7" w:rsidP="008625EB">
            <w:pPr>
              <w:keepNext/>
              <w:keepLines/>
              <w:jc w:val="left"/>
              <w:rPr>
                <w:rFonts w:ascii="Arial Narrow" w:eastAsiaTheme="majorEastAsia" w:hAnsi="Arial Narrow" w:cstheme="majorBidi"/>
                <w:b/>
                <w:bCs/>
                <w:sz w:val="19"/>
                <w:szCs w:val="19"/>
              </w:rPr>
            </w:pPr>
            <w:r w:rsidRPr="00917FFB">
              <w:rPr>
                <w:rFonts w:ascii="Arial Narrow" w:eastAsiaTheme="majorEastAsia" w:hAnsi="Arial Narrow" w:cstheme="majorBidi"/>
                <w:b/>
                <w:bCs/>
                <w:sz w:val="19"/>
                <w:szCs w:val="19"/>
              </w:rPr>
              <w:t>Patients treated with BARI</w:t>
            </w:r>
          </w:p>
        </w:tc>
        <w:tc>
          <w:tcPr>
            <w:tcW w:w="624" w:type="pct"/>
            <w:tcBorders>
              <w:top w:val="single" w:sz="4" w:space="0" w:color="auto"/>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p>
        </w:tc>
        <w:tc>
          <w:tcPr>
            <w:tcW w:w="624" w:type="pct"/>
            <w:tcBorders>
              <w:top w:val="single" w:sz="4" w:space="0" w:color="auto"/>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p>
        </w:tc>
        <w:tc>
          <w:tcPr>
            <w:tcW w:w="624" w:type="pct"/>
            <w:tcBorders>
              <w:top w:val="single" w:sz="4" w:space="0" w:color="auto"/>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p>
        </w:tc>
        <w:tc>
          <w:tcPr>
            <w:tcW w:w="624" w:type="pct"/>
            <w:tcBorders>
              <w:top w:val="single" w:sz="4" w:space="0" w:color="auto"/>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p>
        </w:tc>
        <w:tc>
          <w:tcPr>
            <w:tcW w:w="624" w:type="pct"/>
            <w:tcBorders>
              <w:top w:val="single" w:sz="4" w:space="0" w:color="auto"/>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p>
        </w:tc>
        <w:tc>
          <w:tcPr>
            <w:tcW w:w="625" w:type="pct"/>
            <w:tcBorders>
              <w:top w:val="single" w:sz="4" w:space="0" w:color="auto"/>
              <w:bottom w:val="nil"/>
              <w:right w:val="single" w:sz="4" w:space="0" w:color="auto"/>
            </w:tcBorders>
            <w:vAlign w:val="center"/>
          </w:tcPr>
          <w:p w:rsidR="008E2DF7" w:rsidRPr="00917FFB" w:rsidRDefault="008E2DF7" w:rsidP="008625EB">
            <w:pPr>
              <w:keepNext/>
              <w:keepLines/>
              <w:jc w:val="center"/>
              <w:rPr>
                <w:rFonts w:ascii="Arial Narrow" w:eastAsiaTheme="majorEastAsia" w:hAnsi="Arial Narrow" w:cstheme="majorBidi"/>
                <w:bCs/>
                <w:sz w:val="20"/>
              </w:rPr>
            </w:pPr>
          </w:p>
        </w:tc>
      </w:tr>
      <w:tr w:rsidR="008E2DF7" w:rsidRPr="00917FFB" w:rsidTr="007A23B8">
        <w:tc>
          <w:tcPr>
            <w:tcW w:w="1255" w:type="pct"/>
            <w:tcBorders>
              <w:top w:val="nil"/>
              <w:left w:val="single" w:sz="4" w:space="0" w:color="auto"/>
              <w:bottom w:val="nil"/>
            </w:tcBorders>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19"/>
                <w:szCs w:val="19"/>
              </w:rPr>
            </w:pPr>
            <w:r w:rsidRPr="00917FFB">
              <w:rPr>
                <w:rFonts w:ascii="Arial Narrow" w:eastAsiaTheme="majorEastAsia" w:hAnsi="Arial Narrow" w:cstheme="majorBidi"/>
                <w:bCs/>
                <w:sz w:val="19"/>
                <w:szCs w:val="19"/>
              </w:rPr>
              <w:t>Initiating patients</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5" w:type="pct"/>
            <w:tcBorders>
              <w:top w:val="nil"/>
              <w:bottom w:val="nil"/>
              <w:right w:val="single" w:sz="4" w:space="0" w:color="auto"/>
            </w:tcBorders>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r>
      <w:tr w:rsidR="008E2DF7" w:rsidRPr="00917FFB" w:rsidTr="007A23B8">
        <w:tc>
          <w:tcPr>
            <w:tcW w:w="1255" w:type="pct"/>
            <w:tcBorders>
              <w:top w:val="nil"/>
              <w:left w:val="single" w:sz="4" w:space="0" w:color="auto"/>
              <w:bottom w:val="nil"/>
            </w:tcBorders>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19"/>
                <w:szCs w:val="19"/>
              </w:rPr>
            </w:pPr>
            <w:r w:rsidRPr="00917FFB">
              <w:rPr>
                <w:rFonts w:ascii="Arial Narrow" w:eastAsiaTheme="majorEastAsia" w:hAnsi="Arial Narrow" w:cstheme="majorBidi"/>
                <w:bCs/>
                <w:sz w:val="19"/>
                <w:szCs w:val="19"/>
              </w:rPr>
              <w:t>Continuing patients (include grandfathered)</w:t>
            </w:r>
          </w:p>
        </w:tc>
        <w:tc>
          <w:tcPr>
            <w:tcW w:w="624" w:type="pct"/>
            <w:tcBorders>
              <w:top w:val="nil"/>
              <w:bottom w:val="nil"/>
            </w:tcBorders>
            <w:shd w:val="clear" w:color="auto" w:fill="auto"/>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r>
              <w:rPr>
                <w:rFonts w:ascii="Arial Narrow" w:eastAsiaTheme="majorEastAsia" w:hAnsi="Arial Narrow" w:cstheme="majorBidi"/>
                <w:bCs/>
                <w:noProof/>
                <w:color w:val="000000"/>
                <w:sz w:val="20"/>
                <w:highlight w:val="black"/>
              </w:rPr>
              <w:t xml:space="preserve"> </w:t>
            </w:r>
          </w:p>
        </w:tc>
        <w:tc>
          <w:tcPr>
            <w:tcW w:w="624" w:type="pct"/>
            <w:tcBorders>
              <w:top w:val="nil"/>
              <w:bottom w:val="nil"/>
            </w:tcBorders>
            <w:shd w:val="clear" w:color="auto" w:fill="auto"/>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 xml:space="preserve">'''''''''' </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 xml:space="preserve">''''''''' </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 xml:space="preserve">''''''''' </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 xml:space="preserve">'''''''' </w:t>
            </w:r>
            <w:r w:rsidR="00745B54">
              <w:rPr>
                <w:rFonts w:ascii="Arial Narrow" w:eastAsiaTheme="majorEastAsia" w:hAnsi="Arial Narrow" w:cstheme="majorBidi"/>
                <w:bCs/>
                <w:sz w:val="20"/>
                <w:vertAlign w:val="superscript"/>
              </w:rPr>
              <w:t>5</w:t>
            </w:r>
          </w:p>
        </w:tc>
        <w:tc>
          <w:tcPr>
            <w:tcW w:w="625" w:type="pct"/>
            <w:tcBorders>
              <w:top w:val="nil"/>
              <w:bottom w:val="nil"/>
              <w:right w:val="single" w:sz="4" w:space="0" w:color="auto"/>
            </w:tcBorders>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r>
              <w:rPr>
                <w:rFonts w:ascii="Arial Narrow" w:eastAsiaTheme="majorEastAsia" w:hAnsi="Arial Narrow" w:cstheme="majorBidi"/>
                <w:bCs/>
                <w:noProof/>
                <w:color w:val="000000"/>
                <w:sz w:val="20"/>
                <w:highlight w:val="black"/>
              </w:rPr>
              <w:t xml:space="preserve"> </w:t>
            </w:r>
          </w:p>
        </w:tc>
      </w:tr>
      <w:tr w:rsidR="008E2DF7" w:rsidRPr="00917FFB" w:rsidTr="007A23B8">
        <w:tc>
          <w:tcPr>
            <w:tcW w:w="1255" w:type="pct"/>
            <w:tcBorders>
              <w:top w:val="single" w:sz="4" w:space="0" w:color="auto"/>
              <w:bottom w:val="nil"/>
            </w:tcBorders>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19"/>
                <w:szCs w:val="19"/>
              </w:rPr>
            </w:pPr>
            <w:r w:rsidRPr="00917FFB">
              <w:rPr>
                <w:rFonts w:ascii="Arial Narrow" w:eastAsiaTheme="majorEastAsia" w:hAnsi="Arial Narrow" w:cstheme="majorBidi"/>
                <w:bCs/>
                <w:sz w:val="19"/>
                <w:szCs w:val="19"/>
              </w:rPr>
              <w:t>BARI scripts</w:t>
            </w:r>
          </w:p>
        </w:tc>
        <w:tc>
          <w:tcPr>
            <w:tcW w:w="624" w:type="pct"/>
            <w:tcBorders>
              <w:top w:val="single" w:sz="4" w:space="0" w:color="auto"/>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single" w:sz="4" w:space="0" w:color="auto"/>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single" w:sz="4" w:space="0" w:color="auto"/>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single" w:sz="4" w:space="0" w:color="auto"/>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single" w:sz="4" w:space="0" w:color="auto"/>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c>
          <w:tcPr>
            <w:tcW w:w="625" w:type="pct"/>
            <w:tcBorders>
              <w:top w:val="single" w:sz="4" w:space="0" w:color="auto"/>
              <w:bottom w:val="nil"/>
            </w:tcBorders>
            <w:vAlign w:val="center"/>
          </w:tcPr>
          <w:p w:rsidR="008E2DF7" w:rsidRPr="00B1613E" w:rsidRDefault="00B1613E" w:rsidP="008625EB">
            <w:pPr>
              <w:keepNext/>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r>
      <w:tr w:rsidR="008E2DF7" w:rsidRPr="00917FFB" w:rsidTr="00655547">
        <w:tc>
          <w:tcPr>
            <w:tcW w:w="1255" w:type="pct"/>
            <w:tcBorders>
              <w:top w:val="nil"/>
              <w:bottom w:val="nil"/>
            </w:tcBorders>
            <w:shd w:val="clear" w:color="auto" w:fill="auto"/>
            <w:vAlign w:val="center"/>
          </w:tcPr>
          <w:p w:rsidR="008E2DF7" w:rsidRPr="00917FFB" w:rsidRDefault="008E2DF7" w:rsidP="008625EB">
            <w:pPr>
              <w:keepNext/>
              <w:keepLines/>
              <w:ind w:left="115"/>
              <w:jc w:val="left"/>
              <w:rPr>
                <w:rFonts w:ascii="Arial Narrow" w:eastAsiaTheme="majorEastAsia" w:hAnsi="Arial Narrow" w:cstheme="majorBidi"/>
                <w:bCs/>
                <w:color w:val="A6A6A6" w:themeColor="background1" w:themeShade="A6"/>
                <w:sz w:val="20"/>
              </w:rPr>
            </w:pPr>
            <w:r w:rsidRPr="00917FFB">
              <w:rPr>
                <w:rFonts w:ascii="Arial Narrow" w:eastAsiaTheme="majorEastAsia" w:hAnsi="Arial Narrow" w:cstheme="majorBidi"/>
                <w:bCs/>
                <w:color w:val="A6A6A6" w:themeColor="background1" w:themeShade="A6"/>
                <w:sz w:val="20"/>
              </w:rPr>
              <w:t>BARI 2 mg initial</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5" w:type="pct"/>
            <w:tcBorders>
              <w:top w:val="nil"/>
              <w:bottom w:val="nil"/>
            </w:tcBorders>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r>
      <w:tr w:rsidR="008E2DF7" w:rsidRPr="00917FFB" w:rsidTr="00655547">
        <w:tc>
          <w:tcPr>
            <w:tcW w:w="1255" w:type="pct"/>
            <w:tcBorders>
              <w:top w:val="nil"/>
              <w:bottom w:val="nil"/>
            </w:tcBorders>
            <w:shd w:val="clear" w:color="auto" w:fill="auto"/>
            <w:vAlign w:val="center"/>
          </w:tcPr>
          <w:p w:rsidR="008E2DF7" w:rsidRPr="00917FFB" w:rsidRDefault="008E2DF7" w:rsidP="008625EB">
            <w:pPr>
              <w:keepNext/>
              <w:keepLines/>
              <w:ind w:left="115"/>
              <w:jc w:val="left"/>
              <w:rPr>
                <w:rFonts w:ascii="Arial Narrow" w:eastAsiaTheme="majorEastAsia" w:hAnsi="Arial Narrow" w:cstheme="majorBidi"/>
                <w:bCs/>
                <w:color w:val="A6A6A6" w:themeColor="background1" w:themeShade="A6"/>
                <w:sz w:val="20"/>
              </w:rPr>
            </w:pPr>
            <w:r w:rsidRPr="00917FFB">
              <w:rPr>
                <w:rFonts w:ascii="Arial Narrow" w:eastAsiaTheme="majorEastAsia" w:hAnsi="Arial Narrow" w:cstheme="majorBidi"/>
                <w:bCs/>
                <w:color w:val="A6A6A6" w:themeColor="background1" w:themeShade="A6"/>
                <w:sz w:val="20"/>
              </w:rPr>
              <w:t>BARI 2 mg continuing</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5" w:type="pct"/>
            <w:tcBorders>
              <w:top w:val="nil"/>
              <w:bottom w:val="nil"/>
            </w:tcBorders>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r>
      <w:tr w:rsidR="008E2DF7" w:rsidRPr="00917FFB" w:rsidTr="00655547">
        <w:tc>
          <w:tcPr>
            <w:tcW w:w="1255" w:type="pct"/>
            <w:tcBorders>
              <w:top w:val="nil"/>
              <w:bottom w:val="nil"/>
            </w:tcBorders>
            <w:shd w:val="clear" w:color="auto" w:fill="auto"/>
            <w:vAlign w:val="center"/>
          </w:tcPr>
          <w:p w:rsidR="008E2DF7" w:rsidRPr="00917FFB" w:rsidRDefault="008E2DF7" w:rsidP="008625EB">
            <w:pPr>
              <w:keepNext/>
              <w:keepLines/>
              <w:ind w:left="115"/>
              <w:jc w:val="left"/>
              <w:rPr>
                <w:rFonts w:ascii="Arial Narrow" w:eastAsiaTheme="majorEastAsia" w:hAnsi="Arial Narrow" w:cstheme="majorBidi"/>
                <w:bCs/>
                <w:color w:val="A6A6A6" w:themeColor="background1" w:themeShade="A6"/>
                <w:sz w:val="20"/>
              </w:rPr>
            </w:pPr>
            <w:r w:rsidRPr="00917FFB">
              <w:rPr>
                <w:rFonts w:ascii="Arial Narrow" w:eastAsiaTheme="majorEastAsia" w:hAnsi="Arial Narrow" w:cstheme="majorBidi"/>
                <w:bCs/>
                <w:color w:val="A6A6A6" w:themeColor="background1" w:themeShade="A6"/>
                <w:sz w:val="20"/>
              </w:rPr>
              <w:t>BARI 4 mg initial</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5" w:type="pct"/>
            <w:tcBorders>
              <w:top w:val="nil"/>
              <w:bottom w:val="nil"/>
            </w:tcBorders>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r>
      <w:tr w:rsidR="008E2DF7" w:rsidRPr="00917FFB" w:rsidTr="00655547">
        <w:tc>
          <w:tcPr>
            <w:tcW w:w="1255" w:type="pct"/>
            <w:tcBorders>
              <w:top w:val="nil"/>
            </w:tcBorders>
            <w:shd w:val="clear" w:color="auto" w:fill="auto"/>
            <w:vAlign w:val="center"/>
          </w:tcPr>
          <w:p w:rsidR="008E2DF7" w:rsidRPr="00917FFB" w:rsidRDefault="008E2DF7" w:rsidP="008625EB">
            <w:pPr>
              <w:keepNext/>
              <w:keepLines/>
              <w:ind w:left="115"/>
              <w:jc w:val="left"/>
              <w:rPr>
                <w:rFonts w:ascii="Arial Narrow" w:eastAsiaTheme="majorEastAsia" w:hAnsi="Arial Narrow" w:cstheme="majorBidi"/>
                <w:bCs/>
                <w:color w:val="A6A6A6" w:themeColor="background1" w:themeShade="A6"/>
                <w:sz w:val="20"/>
              </w:rPr>
            </w:pPr>
            <w:r w:rsidRPr="00917FFB">
              <w:rPr>
                <w:rFonts w:ascii="Arial Narrow" w:eastAsiaTheme="majorEastAsia" w:hAnsi="Arial Narrow" w:cstheme="majorBidi"/>
                <w:bCs/>
                <w:color w:val="A6A6A6" w:themeColor="background1" w:themeShade="A6"/>
                <w:sz w:val="20"/>
              </w:rPr>
              <w:t>BARI 4 mg continuing</w:t>
            </w:r>
          </w:p>
        </w:tc>
        <w:tc>
          <w:tcPr>
            <w:tcW w:w="624" w:type="pct"/>
            <w:tcBorders>
              <w:top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tcBorders>
            <w:shd w:val="clear" w:color="auto" w:fill="auto"/>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5" w:type="pct"/>
            <w:tcBorders>
              <w:top w:val="nil"/>
            </w:tcBorders>
            <w:vAlign w:val="center"/>
          </w:tcPr>
          <w:p w:rsidR="008E2DF7" w:rsidRPr="00B1613E" w:rsidRDefault="00B1613E" w:rsidP="008625EB">
            <w:pPr>
              <w:keepNext/>
              <w:keepLines/>
              <w:jc w:val="center"/>
              <w:rPr>
                <w:rFonts w:ascii="Arial Narrow" w:eastAsiaTheme="majorEastAsia" w:hAnsi="Arial Narrow" w:cstheme="majorBidi"/>
                <w:bCs/>
                <w:color w:val="A6A6A6" w:themeColor="background1" w:themeShade="A6"/>
                <w:sz w:val="20"/>
              </w:rPr>
            </w:pPr>
            <w:r>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r>
      <w:tr w:rsidR="008E2DF7" w:rsidRPr="00917FFB" w:rsidTr="00655547">
        <w:tc>
          <w:tcPr>
            <w:tcW w:w="1255" w:type="pct"/>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20"/>
              </w:rPr>
            </w:pPr>
            <w:r w:rsidRPr="00917FFB">
              <w:rPr>
                <w:rFonts w:ascii="Arial Narrow" w:eastAsiaTheme="majorEastAsia" w:hAnsi="Arial Narrow" w:cstheme="majorBidi"/>
                <w:bCs/>
                <w:sz w:val="20"/>
              </w:rPr>
              <w:t>BARI PBS/RPBS cost</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i/>
                <w:sz w:val="20"/>
                <w:szCs w:val="20"/>
              </w:rPr>
            </w:pPr>
            <w:r w:rsidRPr="0056468E">
              <w:rPr>
                <w:rFonts w:ascii="Arial Narrow" w:hAnsi="Arial Narrow"/>
                <w:sz w:val="20"/>
                <w:szCs w:val="20"/>
              </w:rPr>
              <w:t>$</w:t>
            </w:r>
            <w:r w:rsidR="00B1613E">
              <w:rPr>
                <w:rFonts w:ascii="Arial Narrow" w:hAnsi="Arial Narrow"/>
                <w:noProof/>
                <w:color w:val="000000"/>
                <w:sz w:val="20"/>
                <w:szCs w:val="20"/>
                <w:highlight w:val="black"/>
              </w:rPr>
              <w:t>'''''''''''''''''''''''</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i/>
                <w:sz w:val="20"/>
                <w:szCs w:val="20"/>
              </w:rPr>
            </w:pPr>
            <w:r w:rsidRPr="0056468E">
              <w:rPr>
                <w:rFonts w:ascii="Arial Narrow" w:hAnsi="Arial Narrow"/>
                <w:sz w:val="20"/>
                <w:szCs w:val="20"/>
              </w:rPr>
              <w:t>$</w:t>
            </w:r>
            <w:r w:rsidR="00B1613E">
              <w:rPr>
                <w:rFonts w:ascii="Arial Narrow" w:hAnsi="Arial Narrow"/>
                <w:noProof/>
                <w:color w:val="000000"/>
                <w:sz w:val="20"/>
                <w:szCs w:val="20"/>
                <w:highlight w:val="black"/>
              </w:rPr>
              <w:t>''''''''''''''''''''''</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i/>
                <w:sz w:val="20"/>
                <w:szCs w:val="20"/>
              </w:rPr>
            </w:pPr>
            <w:r w:rsidRPr="0056468E">
              <w:rPr>
                <w:rFonts w:ascii="Arial Narrow" w:hAnsi="Arial Narrow"/>
                <w:sz w:val="20"/>
                <w:szCs w:val="20"/>
              </w:rPr>
              <w:t>$</w:t>
            </w:r>
            <w:r w:rsidR="00B1613E">
              <w:rPr>
                <w:rFonts w:ascii="Arial Narrow" w:hAnsi="Arial Narrow"/>
                <w:noProof/>
                <w:color w:val="000000"/>
                <w:sz w:val="20"/>
                <w:szCs w:val="20"/>
                <w:highlight w:val="black"/>
              </w:rPr>
              <w:t>'''''''''''''''''''''''''</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i/>
                <w:sz w:val="20"/>
                <w:szCs w:val="20"/>
              </w:rPr>
            </w:pPr>
            <w:r w:rsidRPr="0056468E">
              <w:rPr>
                <w:rFonts w:ascii="Arial Narrow" w:hAnsi="Arial Narrow"/>
                <w:sz w:val="20"/>
                <w:szCs w:val="20"/>
              </w:rPr>
              <w:t>$</w:t>
            </w:r>
            <w:r w:rsidR="00B1613E">
              <w:rPr>
                <w:rFonts w:ascii="Arial Narrow" w:hAnsi="Arial Narrow"/>
                <w:noProof/>
                <w:color w:val="000000"/>
                <w:sz w:val="20"/>
                <w:szCs w:val="20"/>
                <w:highlight w:val="black"/>
              </w:rPr>
              <w:t>''''''''''''''''''''''''</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i/>
                <w:sz w:val="20"/>
                <w:szCs w:val="20"/>
              </w:rPr>
            </w:pPr>
            <w:r w:rsidRPr="0056468E">
              <w:rPr>
                <w:rFonts w:ascii="Arial Narrow" w:hAnsi="Arial Narrow"/>
                <w:sz w:val="20"/>
                <w:szCs w:val="20"/>
              </w:rPr>
              <w:t>$</w:t>
            </w:r>
            <w:r w:rsidR="00B1613E">
              <w:rPr>
                <w:rFonts w:ascii="Arial Narrow" w:hAnsi="Arial Narrow"/>
                <w:noProof/>
                <w:color w:val="000000"/>
                <w:sz w:val="20"/>
                <w:szCs w:val="20"/>
                <w:highlight w:val="black"/>
              </w:rPr>
              <w:t>''''''''''''''''''''''''''</w:t>
            </w:r>
          </w:p>
        </w:tc>
        <w:tc>
          <w:tcPr>
            <w:tcW w:w="625" w:type="pct"/>
            <w:vAlign w:val="center"/>
          </w:tcPr>
          <w:p w:rsidR="008E2DF7" w:rsidRPr="00B1613E" w:rsidRDefault="008E2DF7" w:rsidP="008625EB">
            <w:pPr>
              <w:keepNext/>
              <w:keepLines/>
              <w:jc w:val="center"/>
              <w:rPr>
                <w:rFonts w:ascii="Arial Narrow" w:eastAsiaTheme="majorEastAsia" w:hAnsi="Arial Narrow" w:cstheme="majorBidi"/>
                <w:bCs/>
                <w:i/>
                <w:sz w:val="20"/>
                <w:szCs w:val="20"/>
              </w:rPr>
            </w:pPr>
            <w:r w:rsidRPr="0056468E">
              <w:rPr>
                <w:rFonts w:ascii="Arial Narrow" w:hAnsi="Arial Narrow"/>
                <w:sz w:val="20"/>
                <w:szCs w:val="20"/>
              </w:rPr>
              <w:t>$</w:t>
            </w:r>
            <w:r w:rsidR="00B1613E">
              <w:rPr>
                <w:rFonts w:ascii="Arial Narrow" w:hAnsi="Arial Narrow"/>
                <w:noProof/>
                <w:color w:val="000000"/>
                <w:sz w:val="20"/>
                <w:szCs w:val="20"/>
                <w:highlight w:val="black"/>
              </w:rPr>
              <w:t>'''''''''''''''''''''''</w:t>
            </w:r>
          </w:p>
        </w:tc>
      </w:tr>
      <w:tr w:rsidR="008E2DF7" w:rsidRPr="00917FFB" w:rsidTr="00655547">
        <w:tc>
          <w:tcPr>
            <w:tcW w:w="1255" w:type="pct"/>
            <w:shd w:val="clear" w:color="auto" w:fill="auto"/>
            <w:vAlign w:val="center"/>
          </w:tcPr>
          <w:p w:rsidR="008E2DF7" w:rsidRPr="00917FFB" w:rsidRDefault="008E2DF7" w:rsidP="008625EB">
            <w:pPr>
              <w:keepNext/>
              <w:keepLines/>
              <w:jc w:val="left"/>
              <w:rPr>
                <w:rFonts w:ascii="Arial Narrow" w:eastAsiaTheme="majorEastAsia" w:hAnsi="Arial Narrow" w:cstheme="majorBidi"/>
                <w:b/>
                <w:bCs/>
                <w:sz w:val="20"/>
              </w:rPr>
            </w:pPr>
            <w:r w:rsidRPr="00917FFB">
              <w:rPr>
                <w:rFonts w:ascii="Arial Narrow" w:eastAsiaTheme="majorEastAsia" w:hAnsi="Arial Narrow" w:cstheme="majorBidi"/>
                <w:b/>
                <w:bCs/>
                <w:sz w:val="20"/>
              </w:rPr>
              <w:t>BARI net PBS/RPBS cost</w:t>
            </w:r>
          </w:p>
        </w:tc>
        <w:tc>
          <w:tcPr>
            <w:tcW w:w="624" w:type="pct"/>
            <w:shd w:val="clear" w:color="auto" w:fill="auto"/>
            <w:vAlign w:val="center"/>
          </w:tcPr>
          <w:p w:rsidR="008E2DF7" w:rsidRPr="00B1613E" w:rsidRDefault="008E2DF7" w:rsidP="008625EB">
            <w:pPr>
              <w:keepNext/>
              <w:keepLines/>
              <w:jc w:val="center"/>
              <w:rPr>
                <w:rFonts w:ascii="Arial Narrow" w:hAnsi="Arial Narrow"/>
                <w:b/>
                <w:sz w:val="20"/>
                <w:szCs w:val="20"/>
              </w:rPr>
            </w:pPr>
            <w:r w:rsidRPr="0084736B">
              <w:rPr>
                <w:rFonts w:ascii="Arial Narrow" w:eastAsiaTheme="majorEastAsia" w:hAnsi="Arial Narrow" w:cstheme="majorBidi"/>
                <w:b/>
                <w:bCs/>
                <w:sz w:val="20"/>
              </w:rPr>
              <w:t>$</w:t>
            </w:r>
            <w:r w:rsidR="00B1613E">
              <w:rPr>
                <w:rFonts w:ascii="Arial Narrow" w:hAnsi="Arial Narrow"/>
                <w:b/>
                <w:noProof/>
                <w:color w:val="000000"/>
                <w:sz w:val="20"/>
                <w:szCs w:val="20"/>
                <w:highlight w:val="black"/>
              </w:rPr>
              <w:t>''''''''''''''''''</w:t>
            </w:r>
          </w:p>
        </w:tc>
        <w:tc>
          <w:tcPr>
            <w:tcW w:w="624" w:type="pct"/>
            <w:shd w:val="clear" w:color="auto" w:fill="auto"/>
            <w:vAlign w:val="center"/>
          </w:tcPr>
          <w:p w:rsidR="008E2DF7" w:rsidRPr="00B1613E" w:rsidRDefault="008E2DF7" w:rsidP="008625EB">
            <w:pPr>
              <w:keepNext/>
              <w:keepLines/>
              <w:jc w:val="center"/>
              <w:rPr>
                <w:rFonts w:ascii="Arial Narrow" w:hAnsi="Arial Narrow"/>
                <w:b/>
                <w:sz w:val="20"/>
                <w:szCs w:val="20"/>
              </w:rPr>
            </w:pPr>
            <w:r w:rsidRPr="0084736B">
              <w:rPr>
                <w:rFonts w:ascii="Arial Narrow" w:eastAsiaTheme="majorEastAsia" w:hAnsi="Arial Narrow" w:cstheme="majorBidi"/>
                <w:b/>
                <w:bCs/>
                <w:sz w:val="20"/>
              </w:rPr>
              <w:t>$</w:t>
            </w:r>
            <w:r w:rsidR="00B1613E">
              <w:rPr>
                <w:rFonts w:ascii="Arial Narrow" w:hAnsi="Arial Narrow"/>
                <w:b/>
                <w:noProof/>
                <w:color w:val="000000"/>
                <w:sz w:val="20"/>
                <w:szCs w:val="20"/>
                <w:highlight w:val="black"/>
              </w:rPr>
              <w:t>'''''''''''''''''''''</w:t>
            </w:r>
          </w:p>
        </w:tc>
        <w:tc>
          <w:tcPr>
            <w:tcW w:w="624" w:type="pct"/>
            <w:shd w:val="clear" w:color="auto" w:fill="auto"/>
            <w:vAlign w:val="center"/>
          </w:tcPr>
          <w:p w:rsidR="008E2DF7" w:rsidRPr="00B1613E" w:rsidRDefault="008E2DF7" w:rsidP="008625EB">
            <w:pPr>
              <w:keepNext/>
              <w:keepLines/>
              <w:jc w:val="center"/>
              <w:rPr>
                <w:rFonts w:ascii="Arial Narrow" w:hAnsi="Arial Narrow"/>
                <w:b/>
                <w:sz w:val="20"/>
                <w:szCs w:val="20"/>
              </w:rPr>
            </w:pPr>
            <w:r w:rsidRPr="0084736B">
              <w:rPr>
                <w:rFonts w:ascii="Arial Narrow" w:eastAsiaTheme="majorEastAsia" w:hAnsi="Arial Narrow" w:cstheme="majorBidi"/>
                <w:b/>
                <w:bCs/>
                <w:sz w:val="20"/>
              </w:rPr>
              <w:t>$</w:t>
            </w:r>
            <w:r w:rsidR="00B1613E">
              <w:rPr>
                <w:rFonts w:ascii="Arial Narrow" w:hAnsi="Arial Narrow"/>
                <w:b/>
                <w:noProof/>
                <w:color w:val="000000"/>
                <w:sz w:val="20"/>
                <w:szCs w:val="20"/>
                <w:highlight w:val="black"/>
              </w:rPr>
              <w:t>'''''''''''''''''''</w:t>
            </w:r>
          </w:p>
        </w:tc>
        <w:tc>
          <w:tcPr>
            <w:tcW w:w="624" w:type="pct"/>
            <w:shd w:val="clear" w:color="auto" w:fill="auto"/>
            <w:vAlign w:val="center"/>
          </w:tcPr>
          <w:p w:rsidR="008E2DF7" w:rsidRPr="00B1613E" w:rsidRDefault="008E2DF7" w:rsidP="008625EB">
            <w:pPr>
              <w:keepNext/>
              <w:keepLines/>
              <w:jc w:val="center"/>
              <w:rPr>
                <w:rFonts w:ascii="Arial Narrow" w:hAnsi="Arial Narrow"/>
                <w:b/>
                <w:sz w:val="20"/>
                <w:szCs w:val="20"/>
              </w:rPr>
            </w:pPr>
            <w:r w:rsidRPr="0084736B">
              <w:rPr>
                <w:rFonts w:ascii="Arial Narrow" w:eastAsiaTheme="majorEastAsia" w:hAnsi="Arial Narrow" w:cstheme="majorBidi"/>
                <w:b/>
                <w:bCs/>
                <w:sz w:val="20"/>
              </w:rPr>
              <w:t>$</w:t>
            </w:r>
            <w:r w:rsidR="00B1613E">
              <w:rPr>
                <w:rFonts w:ascii="Arial Narrow" w:hAnsi="Arial Narrow"/>
                <w:b/>
                <w:noProof/>
                <w:color w:val="000000"/>
                <w:sz w:val="20"/>
                <w:szCs w:val="20"/>
                <w:highlight w:val="black"/>
              </w:rPr>
              <w:t>''''''''''''''''''</w:t>
            </w:r>
          </w:p>
        </w:tc>
        <w:tc>
          <w:tcPr>
            <w:tcW w:w="624" w:type="pct"/>
            <w:shd w:val="clear" w:color="auto" w:fill="auto"/>
            <w:vAlign w:val="center"/>
          </w:tcPr>
          <w:p w:rsidR="008E2DF7" w:rsidRPr="00B1613E" w:rsidRDefault="008E2DF7" w:rsidP="008625EB">
            <w:pPr>
              <w:keepNext/>
              <w:keepLines/>
              <w:jc w:val="center"/>
              <w:rPr>
                <w:rFonts w:ascii="Arial Narrow" w:hAnsi="Arial Narrow"/>
                <w:b/>
                <w:sz w:val="20"/>
                <w:szCs w:val="20"/>
              </w:rPr>
            </w:pPr>
            <w:r w:rsidRPr="0084736B">
              <w:rPr>
                <w:rFonts w:ascii="Arial Narrow" w:eastAsiaTheme="majorEastAsia" w:hAnsi="Arial Narrow" w:cstheme="majorBidi"/>
                <w:b/>
                <w:bCs/>
                <w:sz w:val="20"/>
              </w:rPr>
              <w:t>$</w:t>
            </w:r>
            <w:r w:rsidR="00B1613E">
              <w:rPr>
                <w:rFonts w:ascii="Arial Narrow" w:hAnsi="Arial Narrow"/>
                <w:b/>
                <w:noProof/>
                <w:color w:val="000000"/>
                <w:sz w:val="20"/>
                <w:szCs w:val="20"/>
                <w:highlight w:val="black"/>
              </w:rPr>
              <w:t>''''''''''''''''''''</w:t>
            </w:r>
          </w:p>
        </w:tc>
        <w:tc>
          <w:tcPr>
            <w:tcW w:w="625" w:type="pct"/>
            <w:vAlign w:val="center"/>
          </w:tcPr>
          <w:p w:rsidR="008E2DF7" w:rsidRPr="00B1613E" w:rsidRDefault="008E2DF7" w:rsidP="008625EB">
            <w:pPr>
              <w:keepNext/>
              <w:keepLines/>
              <w:jc w:val="center"/>
              <w:rPr>
                <w:rFonts w:ascii="Arial Narrow" w:hAnsi="Arial Narrow"/>
                <w:b/>
                <w:sz w:val="20"/>
                <w:szCs w:val="20"/>
              </w:rPr>
            </w:pPr>
            <w:r w:rsidRPr="0084736B">
              <w:rPr>
                <w:rFonts w:ascii="Arial Narrow" w:eastAsiaTheme="majorEastAsia" w:hAnsi="Arial Narrow" w:cstheme="majorBidi"/>
                <w:b/>
                <w:bCs/>
                <w:sz w:val="20"/>
              </w:rPr>
              <w:t>$</w:t>
            </w:r>
            <w:r w:rsidR="00B1613E">
              <w:rPr>
                <w:rFonts w:ascii="Arial Narrow" w:hAnsi="Arial Narrow"/>
                <w:b/>
                <w:noProof/>
                <w:color w:val="000000"/>
                <w:sz w:val="20"/>
                <w:szCs w:val="20"/>
                <w:highlight w:val="black"/>
              </w:rPr>
              <w:t>''''''''''''''''''</w:t>
            </w:r>
          </w:p>
        </w:tc>
      </w:tr>
      <w:tr w:rsidR="008E2DF7" w:rsidRPr="00917FFB" w:rsidTr="00655547">
        <w:tc>
          <w:tcPr>
            <w:tcW w:w="5000" w:type="pct"/>
            <w:gridSpan w:val="7"/>
            <w:shd w:val="clear" w:color="auto" w:fill="auto"/>
            <w:vAlign w:val="center"/>
          </w:tcPr>
          <w:p w:rsidR="008E2DF7" w:rsidRPr="00917FFB" w:rsidRDefault="008E2DF7" w:rsidP="008625EB">
            <w:pPr>
              <w:keepNext/>
              <w:keepLines/>
              <w:jc w:val="left"/>
              <w:rPr>
                <w:rFonts w:ascii="Arial Narrow" w:eastAsiaTheme="majorEastAsia" w:hAnsi="Arial Narrow" w:cstheme="majorBidi"/>
                <w:b/>
                <w:bCs/>
                <w:sz w:val="20"/>
              </w:rPr>
            </w:pPr>
            <w:r w:rsidRPr="00917FFB">
              <w:rPr>
                <w:rFonts w:ascii="Arial Narrow" w:eastAsiaTheme="majorEastAsia" w:hAnsi="Arial Narrow" w:cstheme="majorBidi"/>
                <w:b/>
                <w:bCs/>
                <w:sz w:val="20"/>
              </w:rPr>
              <w:t>Estimated changes of use of the proposed listing</w:t>
            </w:r>
          </w:p>
        </w:tc>
      </w:tr>
      <w:tr w:rsidR="008E2DF7" w:rsidRPr="00917FFB" w:rsidTr="00655547">
        <w:tc>
          <w:tcPr>
            <w:tcW w:w="1255" w:type="pct"/>
            <w:tcBorders>
              <w:bottom w:val="nil"/>
            </w:tcBorders>
            <w:shd w:val="clear" w:color="auto" w:fill="auto"/>
            <w:vAlign w:val="center"/>
          </w:tcPr>
          <w:p w:rsidR="008E2DF7" w:rsidRPr="00917FFB" w:rsidRDefault="008E2DF7" w:rsidP="008625EB">
            <w:pPr>
              <w:keepNext/>
              <w:keepLines/>
              <w:jc w:val="left"/>
              <w:rPr>
                <w:rFonts w:ascii="Arial Narrow" w:eastAsiaTheme="majorEastAsia" w:hAnsi="Arial Narrow" w:cstheme="majorBidi"/>
                <w:b/>
                <w:bCs/>
                <w:sz w:val="19"/>
                <w:szCs w:val="19"/>
              </w:rPr>
            </w:pPr>
            <w:r w:rsidRPr="00917FFB">
              <w:rPr>
                <w:rFonts w:ascii="Arial Narrow" w:eastAsiaTheme="majorEastAsia" w:hAnsi="Arial Narrow" w:cstheme="majorBidi"/>
                <w:b/>
                <w:bCs/>
                <w:sz w:val="19"/>
                <w:szCs w:val="19"/>
              </w:rPr>
              <w:t>Patients substituting DUPI for BARI</w:t>
            </w:r>
          </w:p>
        </w:tc>
        <w:tc>
          <w:tcPr>
            <w:tcW w:w="624" w:type="pct"/>
            <w:tcBorders>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p>
        </w:tc>
        <w:tc>
          <w:tcPr>
            <w:tcW w:w="624" w:type="pct"/>
            <w:tcBorders>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p>
        </w:tc>
        <w:tc>
          <w:tcPr>
            <w:tcW w:w="624" w:type="pct"/>
            <w:tcBorders>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p>
        </w:tc>
        <w:tc>
          <w:tcPr>
            <w:tcW w:w="624" w:type="pct"/>
            <w:tcBorders>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p>
        </w:tc>
        <w:tc>
          <w:tcPr>
            <w:tcW w:w="624" w:type="pct"/>
            <w:tcBorders>
              <w:bottom w:val="nil"/>
            </w:tcBorders>
            <w:shd w:val="clear" w:color="auto" w:fill="auto"/>
            <w:vAlign w:val="center"/>
          </w:tcPr>
          <w:p w:rsidR="008E2DF7" w:rsidRPr="00917FFB" w:rsidRDefault="008E2DF7" w:rsidP="008625EB">
            <w:pPr>
              <w:keepNext/>
              <w:keepLines/>
              <w:jc w:val="center"/>
              <w:rPr>
                <w:rFonts w:ascii="Arial Narrow" w:eastAsiaTheme="majorEastAsia" w:hAnsi="Arial Narrow" w:cstheme="majorBidi"/>
                <w:bCs/>
                <w:sz w:val="20"/>
              </w:rPr>
            </w:pPr>
          </w:p>
        </w:tc>
        <w:tc>
          <w:tcPr>
            <w:tcW w:w="625" w:type="pct"/>
            <w:tcBorders>
              <w:bottom w:val="nil"/>
            </w:tcBorders>
            <w:vAlign w:val="center"/>
          </w:tcPr>
          <w:p w:rsidR="008E2DF7" w:rsidRPr="00917FFB" w:rsidRDefault="008E2DF7" w:rsidP="008625EB">
            <w:pPr>
              <w:keepNext/>
              <w:keepLines/>
              <w:jc w:val="center"/>
              <w:rPr>
                <w:rFonts w:ascii="Arial Narrow" w:eastAsiaTheme="majorEastAsia" w:hAnsi="Arial Narrow" w:cstheme="majorBidi"/>
                <w:bCs/>
                <w:sz w:val="20"/>
              </w:rPr>
            </w:pPr>
          </w:p>
        </w:tc>
      </w:tr>
      <w:tr w:rsidR="008E2DF7" w:rsidRPr="00917FFB" w:rsidTr="00655547">
        <w:tc>
          <w:tcPr>
            <w:tcW w:w="1255" w:type="pct"/>
            <w:tcBorders>
              <w:top w:val="nil"/>
              <w:bottom w:val="nil"/>
            </w:tcBorders>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20"/>
              </w:rPr>
            </w:pPr>
            <w:r w:rsidRPr="00917FFB">
              <w:rPr>
                <w:rFonts w:ascii="Arial Narrow" w:eastAsiaTheme="majorEastAsia" w:hAnsi="Arial Narrow" w:cstheme="majorBidi"/>
                <w:bCs/>
                <w:sz w:val="19"/>
                <w:szCs w:val="19"/>
              </w:rPr>
              <w:t>Initiating patients</w:t>
            </w:r>
          </w:p>
        </w:tc>
        <w:tc>
          <w:tcPr>
            <w:tcW w:w="624" w:type="pct"/>
            <w:tcBorders>
              <w:top w:val="nil"/>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5" w:type="pct"/>
            <w:tcBorders>
              <w:top w:val="nil"/>
              <w:bottom w:val="nil"/>
            </w:tcBorders>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r>
      <w:tr w:rsidR="008E2DF7" w:rsidRPr="00917FFB" w:rsidTr="00655547">
        <w:tc>
          <w:tcPr>
            <w:tcW w:w="1255" w:type="pct"/>
            <w:tcBorders>
              <w:bottom w:val="nil"/>
            </w:tcBorders>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20"/>
              </w:rPr>
            </w:pPr>
            <w:r w:rsidRPr="00917FFB">
              <w:rPr>
                <w:rFonts w:ascii="Arial Narrow" w:eastAsiaTheme="majorEastAsia" w:hAnsi="Arial Narrow" w:cstheme="majorBidi"/>
                <w:bCs/>
                <w:sz w:val="19"/>
                <w:szCs w:val="19"/>
              </w:rPr>
              <w:t>Continuing patients</w:t>
            </w: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5" w:type="pct"/>
            <w:tcBorders>
              <w:bottom w:val="nil"/>
            </w:tcBorders>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r>
      <w:tr w:rsidR="008E2DF7" w:rsidRPr="00917FFB" w:rsidTr="00655547">
        <w:tc>
          <w:tcPr>
            <w:tcW w:w="1255" w:type="pct"/>
            <w:tcBorders>
              <w:bottom w:val="nil"/>
            </w:tcBorders>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20"/>
              </w:rPr>
            </w:pPr>
            <w:r w:rsidRPr="00917FFB">
              <w:rPr>
                <w:rFonts w:ascii="Arial Narrow" w:eastAsiaTheme="majorEastAsia" w:hAnsi="Arial Narrow" w:cstheme="majorBidi"/>
                <w:bCs/>
                <w:sz w:val="20"/>
              </w:rPr>
              <w:t>DUPI scripts</w:t>
            </w: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c>
          <w:tcPr>
            <w:tcW w:w="624" w:type="pct"/>
            <w:tcBorders>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c>
          <w:tcPr>
            <w:tcW w:w="625" w:type="pct"/>
            <w:tcBorders>
              <w:bottom w:val="nil"/>
            </w:tcBorders>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7</w:t>
            </w:r>
          </w:p>
        </w:tc>
      </w:tr>
      <w:tr w:rsidR="008E2DF7" w:rsidRPr="00917FFB" w:rsidTr="00655547">
        <w:tc>
          <w:tcPr>
            <w:tcW w:w="1255" w:type="pct"/>
            <w:tcBorders>
              <w:top w:val="nil"/>
              <w:bottom w:val="nil"/>
            </w:tcBorders>
            <w:shd w:val="clear" w:color="auto" w:fill="auto"/>
            <w:vAlign w:val="center"/>
          </w:tcPr>
          <w:p w:rsidR="008E2DF7" w:rsidRPr="00917FFB" w:rsidRDefault="008E2DF7" w:rsidP="008625EB">
            <w:pPr>
              <w:keepNext/>
              <w:keepLines/>
              <w:ind w:left="115"/>
              <w:jc w:val="left"/>
              <w:rPr>
                <w:rFonts w:ascii="Arial Narrow" w:eastAsiaTheme="majorEastAsia" w:hAnsi="Arial Narrow" w:cstheme="majorBidi"/>
                <w:bCs/>
                <w:color w:val="A6A6A6" w:themeColor="background1" w:themeShade="A6"/>
                <w:sz w:val="20"/>
              </w:rPr>
            </w:pPr>
            <w:r w:rsidRPr="00917FFB">
              <w:rPr>
                <w:rFonts w:ascii="Arial Narrow" w:eastAsiaTheme="majorEastAsia" w:hAnsi="Arial Narrow" w:cstheme="majorBidi"/>
                <w:bCs/>
                <w:color w:val="A6A6A6" w:themeColor="background1" w:themeShade="A6"/>
                <w:sz w:val="20"/>
              </w:rPr>
              <w:t>DUPI initial</w:t>
            </w:r>
          </w:p>
        </w:tc>
        <w:tc>
          <w:tcPr>
            <w:tcW w:w="624" w:type="pct"/>
            <w:tcBorders>
              <w:top w:val="nil"/>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5</w:t>
            </w:r>
          </w:p>
        </w:tc>
        <w:tc>
          <w:tcPr>
            <w:tcW w:w="624" w:type="pct"/>
            <w:tcBorders>
              <w:top w:val="nil"/>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bottom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5" w:type="pct"/>
            <w:tcBorders>
              <w:top w:val="nil"/>
              <w:bottom w:val="nil"/>
            </w:tcBorders>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r>
      <w:tr w:rsidR="008E2DF7" w:rsidRPr="00917FFB" w:rsidTr="00655547">
        <w:tc>
          <w:tcPr>
            <w:tcW w:w="1255" w:type="pct"/>
            <w:tcBorders>
              <w:top w:val="nil"/>
            </w:tcBorders>
            <w:shd w:val="clear" w:color="auto" w:fill="auto"/>
            <w:vAlign w:val="center"/>
          </w:tcPr>
          <w:p w:rsidR="008E2DF7" w:rsidRPr="00917FFB" w:rsidRDefault="008E2DF7" w:rsidP="008625EB">
            <w:pPr>
              <w:keepNext/>
              <w:keepLines/>
              <w:ind w:left="115"/>
              <w:jc w:val="left"/>
              <w:rPr>
                <w:rFonts w:ascii="Arial Narrow" w:eastAsiaTheme="majorEastAsia" w:hAnsi="Arial Narrow" w:cstheme="majorBidi"/>
                <w:bCs/>
                <w:color w:val="A6A6A6" w:themeColor="background1" w:themeShade="A6"/>
                <w:sz w:val="20"/>
              </w:rPr>
            </w:pPr>
            <w:r w:rsidRPr="00917FFB">
              <w:rPr>
                <w:rFonts w:ascii="Arial Narrow" w:eastAsiaTheme="majorEastAsia" w:hAnsi="Arial Narrow" w:cstheme="majorBidi"/>
                <w:bCs/>
                <w:color w:val="A6A6A6" w:themeColor="background1" w:themeShade="A6"/>
                <w:sz w:val="20"/>
              </w:rPr>
              <w:t>DUPI continuing</w:t>
            </w:r>
          </w:p>
        </w:tc>
        <w:tc>
          <w:tcPr>
            <w:tcW w:w="624" w:type="pct"/>
            <w:tcBorders>
              <w:top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4</w:t>
            </w:r>
          </w:p>
        </w:tc>
        <w:tc>
          <w:tcPr>
            <w:tcW w:w="624" w:type="pct"/>
            <w:tcBorders>
              <w:top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c>
          <w:tcPr>
            <w:tcW w:w="624" w:type="pct"/>
            <w:tcBorders>
              <w:top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c>
          <w:tcPr>
            <w:tcW w:w="624" w:type="pct"/>
            <w:tcBorders>
              <w:top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c>
          <w:tcPr>
            <w:tcW w:w="624" w:type="pct"/>
            <w:tcBorders>
              <w:top w:val="nil"/>
            </w:tcBorders>
            <w:shd w:val="clear" w:color="auto" w:fill="auto"/>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c>
          <w:tcPr>
            <w:tcW w:w="625" w:type="pct"/>
            <w:tcBorders>
              <w:top w:val="nil"/>
            </w:tcBorders>
            <w:vAlign w:val="center"/>
          </w:tcPr>
          <w:p w:rsidR="008E2DF7" w:rsidRPr="00B1613E" w:rsidRDefault="008E2DF7" w:rsidP="008625EB">
            <w:pPr>
              <w:keepNext/>
              <w:keepLines/>
              <w:jc w:val="center"/>
              <w:rPr>
                <w:rFonts w:ascii="Arial Narrow" w:eastAsiaTheme="majorEastAsia" w:hAnsi="Arial Narrow" w:cstheme="majorBidi"/>
                <w:bCs/>
                <w:color w:val="A6A6A6" w:themeColor="background1" w:themeShade="A6"/>
                <w:sz w:val="20"/>
              </w:rPr>
            </w:pPr>
            <w:r w:rsidRPr="0056468E">
              <w:rPr>
                <w:rFonts w:ascii="Arial Narrow" w:eastAsiaTheme="majorEastAsia" w:hAnsi="Arial Narrow" w:cstheme="majorBidi"/>
                <w:bCs/>
                <w:color w:val="A6A6A6" w:themeColor="background1" w:themeShade="A6"/>
                <w:sz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6</w:t>
            </w:r>
          </w:p>
        </w:tc>
      </w:tr>
      <w:tr w:rsidR="008E2DF7" w:rsidRPr="00917FFB" w:rsidTr="00655547">
        <w:tc>
          <w:tcPr>
            <w:tcW w:w="1255" w:type="pct"/>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20"/>
              </w:rPr>
            </w:pPr>
            <w:r w:rsidRPr="00917FFB">
              <w:rPr>
                <w:rFonts w:ascii="Arial Narrow" w:eastAsiaTheme="majorEastAsia" w:hAnsi="Arial Narrow" w:cstheme="majorBidi"/>
                <w:bCs/>
                <w:sz w:val="20"/>
              </w:rPr>
              <w:t>DUPI PBS/RPBS cost</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9</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9</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9</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9</w:t>
            </w:r>
          </w:p>
        </w:tc>
        <w:tc>
          <w:tcPr>
            <w:tcW w:w="625" w:type="pct"/>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9</w:t>
            </w:r>
          </w:p>
        </w:tc>
      </w:tr>
      <w:tr w:rsidR="008E2DF7" w:rsidRPr="00917FFB" w:rsidTr="00655547">
        <w:tc>
          <w:tcPr>
            <w:tcW w:w="1255" w:type="pct"/>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20"/>
              </w:rPr>
            </w:pPr>
            <w:r w:rsidRPr="00917FFB">
              <w:rPr>
                <w:rFonts w:ascii="Arial Narrow" w:eastAsiaTheme="majorEastAsia" w:hAnsi="Arial Narrow" w:cstheme="majorBidi"/>
                <w:b/>
                <w:bCs/>
                <w:sz w:val="20"/>
              </w:rPr>
              <w:t>DUPI net PBS/RPBS cost</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9</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9</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9</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9</w:t>
            </w:r>
          </w:p>
        </w:tc>
        <w:tc>
          <w:tcPr>
            <w:tcW w:w="625" w:type="pct"/>
            <w:vAlign w:val="center"/>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9</w:t>
            </w:r>
          </w:p>
        </w:tc>
      </w:tr>
      <w:tr w:rsidR="008E2DF7" w:rsidRPr="00917FFB" w:rsidTr="00655547">
        <w:tc>
          <w:tcPr>
            <w:tcW w:w="5000" w:type="pct"/>
            <w:gridSpan w:val="7"/>
            <w:shd w:val="clear" w:color="auto" w:fill="auto"/>
            <w:vAlign w:val="center"/>
          </w:tcPr>
          <w:p w:rsidR="008E2DF7" w:rsidRPr="00853F7A" w:rsidRDefault="008E2DF7" w:rsidP="008625EB">
            <w:pPr>
              <w:keepNext/>
              <w:keepLines/>
              <w:jc w:val="left"/>
              <w:rPr>
                <w:rFonts w:ascii="Arial Narrow" w:eastAsiaTheme="majorEastAsia" w:hAnsi="Arial Narrow" w:cs="Times New Roman"/>
                <w:b/>
                <w:sz w:val="20"/>
              </w:rPr>
            </w:pPr>
            <w:r w:rsidRPr="00853F7A">
              <w:rPr>
                <w:rFonts w:ascii="Arial Narrow" w:eastAsiaTheme="majorEastAsia" w:hAnsi="Arial Narrow" w:cs="Times New Roman"/>
                <w:b/>
                <w:sz w:val="20"/>
              </w:rPr>
              <w:t>Net financial implications to the government</w:t>
            </w:r>
          </w:p>
        </w:tc>
      </w:tr>
      <w:tr w:rsidR="008E2DF7" w:rsidRPr="00917FFB" w:rsidTr="00655547">
        <w:tc>
          <w:tcPr>
            <w:tcW w:w="1255" w:type="pct"/>
            <w:shd w:val="clear" w:color="auto" w:fill="auto"/>
            <w:vAlign w:val="center"/>
          </w:tcPr>
          <w:p w:rsidR="008E2DF7" w:rsidRPr="00917FFB" w:rsidRDefault="008E2DF7" w:rsidP="008625EB">
            <w:pPr>
              <w:keepNext/>
              <w:keepLines/>
              <w:jc w:val="left"/>
              <w:rPr>
                <w:rFonts w:ascii="Arial Narrow" w:eastAsiaTheme="majorEastAsia" w:hAnsi="Arial Narrow" w:cstheme="majorBidi"/>
                <w:bCs/>
                <w:sz w:val="19"/>
                <w:szCs w:val="19"/>
              </w:rPr>
            </w:pPr>
            <w:r w:rsidRPr="00917FFB">
              <w:rPr>
                <w:rFonts w:ascii="Arial Narrow" w:eastAsiaTheme="majorEastAsia" w:hAnsi="Arial Narrow" w:cstheme="majorBidi"/>
                <w:bCs/>
                <w:sz w:val="19"/>
                <w:szCs w:val="19"/>
              </w:rPr>
              <w:t>Net cost to PBS/RPBS</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c>
          <w:tcPr>
            <w:tcW w:w="625" w:type="pct"/>
            <w:vAlign w:val="center"/>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9</w:t>
            </w:r>
          </w:p>
        </w:tc>
      </w:tr>
      <w:tr w:rsidR="008E2DF7" w:rsidRPr="00917FFB" w:rsidTr="00655547">
        <w:tc>
          <w:tcPr>
            <w:tcW w:w="1255" w:type="pct"/>
            <w:shd w:val="clear" w:color="auto" w:fill="auto"/>
            <w:vAlign w:val="center"/>
          </w:tcPr>
          <w:p w:rsidR="008E2DF7" w:rsidRPr="00917FFB" w:rsidRDefault="008E2DF7" w:rsidP="008625EB">
            <w:pPr>
              <w:keepNext/>
              <w:keepLines/>
              <w:jc w:val="left"/>
              <w:rPr>
                <w:rFonts w:ascii="Times" w:eastAsiaTheme="majorEastAsia" w:hAnsi="Times" w:cstheme="majorBidi"/>
                <w:bCs/>
                <w:sz w:val="20"/>
              </w:rPr>
            </w:pPr>
            <w:r w:rsidRPr="00917FFB">
              <w:rPr>
                <w:rFonts w:ascii="Arial Narrow" w:eastAsiaTheme="majorEastAsia" w:hAnsi="Arial Narrow" w:cstheme="majorBidi"/>
                <w:bCs/>
                <w:sz w:val="19"/>
                <w:szCs w:val="19"/>
              </w:rPr>
              <w:t>Net cost to MBS</w:t>
            </w:r>
          </w:p>
        </w:tc>
        <w:tc>
          <w:tcPr>
            <w:tcW w:w="624" w:type="pct"/>
            <w:shd w:val="clear" w:color="auto" w:fill="auto"/>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c>
          <w:tcPr>
            <w:tcW w:w="625" w:type="pct"/>
          </w:tcPr>
          <w:p w:rsidR="008E2DF7" w:rsidRPr="00B1613E" w:rsidRDefault="008E2DF7" w:rsidP="008625EB">
            <w:pPr>
              <w:keepNext/>
              <w:keepLines/>
              <w:jc w:val="center"/>
              <w:rPr>
                <w:rFonts w:ascii="Arial Narrow" w:eastAsiaTheme="majorEastAsia" w:hAnsi="Arial Narrow" w:cstheme="majorBidi"/>
                <w:bCs/>
                <w:sz w:val="20"/>
              </w:rPr>
            </w:pPr>
            <w:r w:rsidRPr="0084736B">
              <w:rPr>
                <w:rFonts w:ascii="Arial Narrow" w:hAnsi="Arial Narrow"/>
                <w:sz w:val="20"/>
                <w:szCs w:val="20"/>
              </w:rPr>
              <w:t>$</w:t>
            </w:r>
            <w:r w:rsidR="00B1613E">
              <w:rPr>
                <w:rFonts w:ascii="Arial Narrow" w:eastAsiaTheme="majorEastAsia" w:hAnsi="Arial Narrow" w:cstheme="majorBidi"/>
                <w:bCs/>
                <w:noProof/>
                <w:color w:val="000000"/>
                <w:sz w:val="20"/>
                <w:highlight w:val="black"/>
              </w:rPr>
              <w:t>''''''''''''''''</w:t>
            </w:r>
            <w:r w:rsidR="00745B54">
              <w:rPr>
                <w:rFonts w:ascii="Arial Narrow" w:eastAsiaTheme="majorEastAsia" w:hAnsi="Arial Narrow" w:cstheme="majorBidi"/>
                <w:bCs/>
                <w:sz w:val="20"/>
                <w:vertAlign w:val="superscript"/>
              </w:rPr>
              <w:t>8</w:t>
            </w:r>
          </w:p>
        </w:tc>
      </w:tr>
      <w:tr w:rsidR="008E2DF7" w:rsidRPr="00917FFB" w:rsidTr="00655547">
        <w:tc>
          <w:tcPr>
            <w:tcW w:w="1255" w:type="pct"/>
            <w:shd w:val="clear" w:color="auto" w:fill="auto"/>
            <w:vAlign w:val="center"/>
          </w:tcPr>
          <w:p w:rsidR="008E2DF7" w:rsidRPr="00917FFB" w:rsidRDefault="008E2DF7" w:rsidP="008625EB">
            <w:pPr>
              <w:keepNext/>
              <w:keepLines/>
              <w:jc w:val="left"/>
              <w:rPr>
                <w:rFonts w:ascii="Arial Narrow" w:eastAsiaTheme="majorEastAsia" w:hAnsi="Arial Narrow" w:cstheme="majorBidi"/>
                <w:b/>
                <w:bCs/>
                <w:sz w:val="19"/>
                <w:szCs w:val="19"/>
              </w:rPr>
            </w:pPr>
            <w:r w:rsidRPr="00917FFB">
              <w:rPr>
                <w:rFonts w:ascii="Arial Narrow" w:eastAsiaTheme="majorEastAsia" w:hAnsi="Arial Narrow" w:cstheme="majorBidi"/>
                <w:b/>
                <w:bCs/>
                <w:sz w:val="19"/>
                <w:szCs w:val="19"/>
              </w:rPr>
              <w:t>Net cost to PBS/RPBS/MBS</w:t>
            </w:r>
          </w:p>
        </w:tc>
        <w:tc>
          <w:tcPr>
            <w:tcW w:w="624" w:type="pct"/>
            <w:shd w:val="clear" w:color="auto" w:fill="auto"/>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8</w:t>
            </w:r>
          </w:p>
        </w:tc>
        <w:tc>
          <w:tcPr>
            <w:tcW w:w="624" w:type="pct"/>
            <w:shd w:val="clear" w:color="auto" w:fill="auto"/>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8</w:t>
            </w:r>
          </w:p>
        </w:tc>
        <w:tc>
          <w:tcPr>
            <w:tcW w:w="625" w:type="pct"/>
          </w:tcPr>
          <w:p w:rsidR="008E2DF7" w:rsidRPr="00B1613E" w:rsidRDefault="008E2DF7" w:rsidP="008625EB">
            <w:pPr>
              <w:keepNext/>
              <w:keepLines/>
              <w:jc w:val="center"/>
              <w:rPr>
                <w:rFonts w:ascii="Arial Narrow" w:eastAsiaTheme="majorEastAsia" w:hAnsi="Arial Narrow" w:cstheme="majorBidi"/>
                <w:b/>
                <w:bCs/>
                <w:sz w:val="20"/>
              </w:rPr>
            </w:pPr>
            <w:r w:rsidRPr="0056468E">
              <w:rPr>
                <w:rFonts w:ascii="Arial Narrow" w:eastAsiaTheme="majorEastAsia" w:hAnsi="Arial Narrow" w:cstheme="majorBidi"/>
                <w:b/>
                <w:bCs/>
                <w:sz w:val="20"/>
              </w:rPr>
              <w:t>-$</w:t>
            </w:r>
            <w:r w:rsidR="00B1613E">
              <w:rPr>
                <w:rFonts w:ascii="Arial Narrow" w:eastAsiaTheme="majorEastAsia" w:hAnsi="Arial Narrow" w:cstheme="majorBidi"/>
                <w:b/>
                <w:bCs/>
                <w:noProof/>
                <w:color w:val="000000"/>
                <w:sz w:val="20"/>
                <w:highlight w:val="black"/>
              </w:rPr>
              <w:t>'''''''''''''''''''''</w:t>
            </w:r>
            <w:r w:rsidR="00745B54">
              <w:rPr>
                <w:rFonts w:ascii="Arial Narrow" w:eastAsiaTheme="majorEastAsia" w:hAnsi="Arial Narrow" w:cstheme="majorBidi"/>
                <w:bCs/>
                <w:sz w:val="20"/>
                <w:vertAlign w:val="superscript"/>
              </w:rPr>
              <w:t>9</w:t>
            </w:r>
          </w:p>
        </w:tc>
      </w:tr>
    </w:tbl>
    <w:p w:rsidR="00E922A3" w:rsidRPr="00917FFB" w:rsidRDefault="00E922A3" w:rsidP="008625EB">
      <w:pPr>
        <w:keepNext/>
        <w:keepLines/>
        <w:spacing w:after="120"/>
        <w:contextualSpacing/>
        <w:rPr>
          <w:rFonts w:ascii="Arial Narrow" w:hAnsi="Arial Narrow"/>
          <w:snapToGrid w:val="0"/>
          <w:sz w:val="18"/>
          <w:szCs w:val="22"/>
        </w:rPr>
      </w:pPr>
      <w:r w:rsidRPr="00917FFB">
        <w:rPr>
          <w:rFonts w:ascii="Arial Narrow" w:hAnsi="Arial Narrow"/>
          <w:snapToGrid w:val="0"/>
          <w:sz w:val="18"/>
          <w:szCs w:val="22"/>
        </w:rPr>
        <w:t>Source: Tables 4.2-1 to 4.5-3, pp330-341 of the submission.</w:t>
      </w:r>
    </w:p>
    <w:p w:rsidR="00E922A3" w:rsidRPr="00917FFB" w:rsidRDefault="00E922A3" w:rsidP="008625EB">
      <w:pPr>
        <w:keepNext/>
        <w:keepLines/>
        <w:spacing w:after="120"/>
        <w:contextualSpacing/>
        <w:rPr>
          <w:rFonts w:ascii="Arial Narrow" w:hAnsi="Arial Narrow"/>
          <w:snapToGrid w:val="0"/>
          <w:sz w:val="18"/>
          <w:szCs w:val="22"/>
        </w:rPr>
      </w:pPr>
      <w:r w:rsidRPr="00917FFB">
        <w:rPr>
          <w:rFonts w:ascii="Arial Narrow" w:hAnsi="Arial Narrow"/>
          <w:snapToGrid w:val="0"/>
          <w:sz w:val="18"/>
          <w:szCs w:val="22"/>
        </w:rPr>
        <w:t xml:space="preserve">Abbreviations: AD=atopic dermatitis; BARI=baricitinib; DUPI=dupilumab; EASI=Eczema Area and Severity Index; TCS=topical corticosteroids </w:t>
      </w:r>
    </w:p>
    <w:p w:rsidR="00E922A3" w:rsidRDefault="00E922A3" w:rsidP="008625EB">
      <w:pPr>
        <w:keepNext/>
        <w:keepLines/>
        <w:tabs>
          <w:tab w:val="left" w:pos="142"/>
        </w:tabs>
        <w:spacing w:after="120"/>
        <w:ind w:left="135" w:hanging="135"/>
        <w:contextualSpacing/>
        <w:rPr>
          <w:rFonts w:ascii="Arial Narrow" w:hAnsi="Arial Narrow"/>
          <w:snapToGrid w:val="0"/>
          <w:sz w:val="18"/>
          <w:szCs w:val="22"/>
        </w:rPr>
      </w:pPr>
      <w:r w:rsidRPr="00917FFB">
        <w:rPr>
          <w:rFonts w:ascii="Arial Narrow" w:hAnsi="Arial Narrow"/>
          <w:snapToGrid w:val="0"/>
          <w:sz w:val="18"/>
          <w:szCs w:val="22"/>
        </w:rPr>
        <w:t>^</w:t>
      </w:r>
      <w:r w:rsidRPr="00917FFB">
        <w:rPr>
          <w:rFonts w:ascii="Arial Narrow" w:hAnsi="Arial Narrow"/>
          <w:snapToGrid w:val="0"/>
          <w:sz w:val="18"/>
          <w:szCs w:val="22"/>
        </w:rPr>
        <w:tab/>
        <w:t>BARI scripts were estimated during the evaluation using BARI 4 mg response rate for all patients initiating and continuing BARI. The submission assumed in the base case the response rate of BARI 2 mg.</w:t>
      </w:r>
    </w:p>
    <w:p w:rsidR="00C7570F" w:rsidRDefault="00C7570F" w:rsidP="00C7570F">
      <w:pPr>
        <w:pStyle w:val="TableFigureFooter"/>
        <w:spacing w:after="0"/>
        <w:contextualSpacing w:val="0"/>
        <w:rPr>
          <w:i/>
        </w:rPr>
      </w:pPr>
      <w:r w:rsidRPr="009868C4">
        <w:rPr>
          <w:i/>
        </w:rPr>
        <w:t>The redacted values correspond to the following ranges</w:t>
      </w:r>
      <w:r>
        <w:rPr>
          <w:i/>
        </w:rPr>
        <w:t xml:space="preserve">: </w:t>
      </w:r>
    </w:p>
    <w:p w:rsidR="00C7570F" w:rsidRPr="00870C5D" w:rsidRDefault="00C7570F" w:rsidP="00C7570F">
      <w:pPr>
        <w:pStyle w:val="TableFigureFooter"/>
        <w:spacing w:after="0"/>
        <w:contextualSpacing w:val="0"/>
      </w:pPr>
      <w:r>
        <w:rPr>
          <w:i/>
          <w:vertAlign w:val="superscript"/>
        </w:rPr>
        <w:t>1</w:t>
      </w:r>
      <w:r>
        <w:rPr>
          <w:i/>
        </w:rPr>
        <w:t xml:space="preserve"> </w:t>
      </w:r>
      <w:r w:rsidRPr="00C7570F">
        <w:rPr>
          <w:i/>
        </w:rPr>
        <w:t>90,000 to &lt; 100,000</w:t>
      </w:r>
    </w:p>
    <w:p w:rsidR="00C7570F" w:rsidRPr="00870C5D" w:rsidRDefault="00C7570F" w:rsidP="00C7570F">
      <w:pPr>
        <w:pStyle w:val="TableFigureFooter"/>
        <w:spacing w:after="0"/>
        <w:contextualSpacing w:val="0"/>
      </w:pPr>
      <w:r>
        <w:rPr>
          <w:i/>
          <w:vertAlign w:val="superscript"/>
        </w:rPr>
        <w:t>2</w:t>
      </w:r>
      <w:r>
        <w:rPr>
          <w:i/>
        </w:rPr>
        <w:t xml:space="preserve"> </w:t>
      </w:r>
      <w:r w:rsidRPr="00C7570F">
        <w:rPr>
          <w:i/>
        </w:rPr>
        <w:t>50,000 to &lt; 60,000</w:t>
      </w:r>
    </w:p>
    <w:p w:rsidR="00C7570F" w:rsidRPr="00870C5D" w:rsidRDefault="00C7570F" w:rsidP="00C7570F">
      <w:pPr>
        <w:pStyle w:val="TableFigureFooter"/>
        <w:spacing w:after="0"/>
        <w:contextualSpacing w:val="0"/>
      </w:pPr>
      <w:r>
        <w:rPr>
          <w:i/>
          <w:vertAlign w:val="superscript"/>
        </w:rPr>
        <w:t>3</w:t>
      </w:r>
      <w:r>
        <w:rPr>
          <w:i/>
        </w:rPr>
        <w:t xml:space="preserve"> </w:t>
      </w:r>
      <w:r w:rsidRPr="00C7570F">
        <w:rPr>
          <w:i/>
        </w:rPr>
        <w:t>60,000 to &lt; 70,000</w:t>
      </w:r>
    </w:p>
    <w:p w:rsidR="00C7570F" w:rsidRPr="00870C5D" w:rsidRDefault="00C7570F" w:rsidP="00C7570F">
      <w:pPr>
        <w:pStyle w:val="TableFigureFooter"/>
        <w:spacing w:after="0"/>
        <w:contextualSpacing w:val="0"/>
      </w:pPr>
      <w:r>
        <w:rPr>
          <w:i/>
          <w:vertAlign w:val="superscript"/>
        </w:rPr>
        <w:t>4</w:t>
      </w:r>
      <w:r>
        <w:rPr>
          <w:i/>
        </w:rPr>
        <w:t xml:space="preserve"> </w:t>
      </w:r>
      <w:r w:rsidRPr="00C7570F">
        <w:rPr>
          <w:i/>
        </w:rPr>
        <w:t>500 to &lt; 5,000</w:t>
      </w:r>
    </w:p>
    <w:p w:rsidR="00C7570F" w:rsidRPr="00870C5D" w:rsidRDefault="00C7570F" w:rsidP="00C7570F">
      <w:pPr>
        <w:pStyle w:val="TableFigureFooter"/>
        <w:spacing w:after="0"/>
        <w:contextualSpacing w:val="0"/>
      </w:pPr>
      <w:r>
        <w:rPr>
          <w:i/>
          <w:vertAlign w:val="superscript"/>
        </w:rPr>
        <w:t>5</w:t>
      </w:r>
      <w:r>
        <w:rPr>
          <w:i/>
        </w:rPr>
        <w:t xml:space="preserve"> </w:t>
      </w:r>
      <w:r w:rsidRPr="00C7570F">
        <w:rPr>
          <w:i/>
        </w:rPr>
        <w:t>&lt; 500</w:t>
      </w:r>
    </w:p>
    <w:p w:rsidR="00C7570F" w:rsidRPr="00870C5D" w:rsidRDefault="00C7570F" w:rsidP="00C7570F">
      <w:pPr>
        <w:pStyle w:val="TableFigureFooter"/>
        <w:spacing w:after="0"/>
        <w:contextualSpacing w:val="0"/>
      </w:pPr>
      <w:r>
        <w:rPr>
          <w:i/>
          <w:vertAlign w:val="superscript"/>
        </w:rPr>
        <w:t>6</w:t>
      </w:r>
      <w:r>
        <w:rPr>
          <w:i/>
        </w:rPr>
        <w:t xml:space="preserve"> </w:t>
      </w:r>
      <w:r w:rsidRPr="00C7570F">
        <w:rPr>
          <w:i/>
        </w:rPr>
        <w:t>5,000 to &lt; 10,000</w:t>
      </w:r>
    </w:p>
    <w:p w:rsidR="00C7570F" w:rsidRDefault="00C7570F" w:rsidP="00C7570F">
      <w:pPr>
        <w:pStyle w:val="TableFigureFooter"/>
        <w:spacing w:after="0"/>
        <w:contextualSpacing w:val="0"/>
        <w:rPr>
          <w:i/>
        </w:rPr>
      </w:pPr>
      <w:r>
        <w:rPr>
          <w:i/>
          <w:vertAlign w:val="superscript"/>
        </w:rPr>
        <w:t>7</w:t>
      </w:r>
      <w:r>
        <w:rPr>
          <w:i/>
        </w:rPr>
        <w:t xml:space="preserve"> </w:t>
      </w:r>
      <w:r w:rsidR="00745B54" w:rsidRPr="00745B54">
        <w:rPr>
          <w:i/>
        </w:rPr>
        <w:t>10,000 to &lt; 20,000</w:t>
      </w:r>
    </w:p>
    <w:p w:rsidR="00745B54" w:rsidRPr="00870C5D" w:rsidRDefault="00745B54" w:rsidP="00C7570F">
      <w:pPr>
        <w:pStyle w:val="TableFigureFooter"/>
        <w:spacing w:after="0"/>
        <w:contextualSpacing w:val="0"/>
      </w:pPr>
      <w:r>
        <w:rPr>
          <w:i/>
          <w:vertAlign w:val="superscript"/>
        </w:rPr>
        <w:t>8</w:t>
      </w:r>
      <w:r>
        <w:rPr>
          <w:i/>
        </w:rPr>
        <w:t xml:space="preserve"> </w:t>
      </w:r>
      <w:r w:rsidRPr="00C7570F">
        <w:rPr>
          <w:i/>
        </w:rPr>
        <w:t>$0 to &lt; $10 million</w:t>
      </w:r>
    </w:p>
    <w:p w:rsidR="00C7570F" w:rsidRPr="00870C5D" w:rsidRDefault="00745B54" w:rsidP="00C7570F">
      <w:pPr>
        <w:pStyle w:val="TableFigureFooter"/>
        <w:spacing w:after="0"/>
        <w:contextualSpacing w:val="0"/>
      </w:pPr>
      <w:r>
        <w:rPr>
          <w:i/>
          <w:vertAlign w:val="superscript"/>
        </w:rPr>
        <w:t>9</w:t>
      </w:r>
      <w:r w:rsidR="00C7570F">
        <w:rPr>
          <w:i/>
        </w:rPr>
        <w:t xml:space="preserve"> </w:t>
      </w:r>
      <w:r w:rsidR="00C7570F" w:rsidRPr="00C7570F">
        <w:rPr>
          <w:i/>
        </w:rPr>
        <w:t>$10 million to &lt; $20 million</w:t>
      </w:r>
    </w:p>
    <w:p w:rsidR="00C7570F" w:rsidRPr="00917FFB" w:rsidRDefault="00C7570F" w:rsidP="0084736B">
      <w:pPr>
        <w:keepNext/>
        <w:keepLines/>
        <w:tabs>
          <w:tab w:val="left" w:pos="142"/>
        </w:tabs>
        <w:spacing w:after="120"/>
        <w:contextualSpacing/>
        <w:rPr>
          <w:rFonts w:ascii="Arial Narrow" w:hAnsi="Arial Narrow"/>
          <w:snapToGrid w:val="0"/>
          <w:sz w:val="18"/>
          <w:szCs w:val="22"/>
        </w:rPr>
      </w:pPr>
    </w:p>
    <w:p w:rsidR="00F01556" w:rsidRPr="00917FFB" w:rsidRDefault="00F01556" w:rsidP="0025583E">
      <w:pPr>
        <w:pStyle w:val="3-BodyText"/>
      </w:pPr>
      <w:bookmarkStart w:id="29" w:name="_Ref78211637"/>
      <w:r w:rsidRPr="00917FFB">
        <w:t>At the requested price</w:t>
      </w:r>
      <w:r w:rsidR="00BE38EB" w:rsidRPr="00917FFB">
        <w:t xml:space="preserve"> for BARI</w:t>
      </w:r>
      <w:r w:rsidRPr="00917FFB">
        <w:t xml:space="preserve">, </w:t>
      </w:r>
      <w:r w:rsidR="00EE1F1E" w:rsidRPr="00917FFB">
        <w:t xml:space="preserve">and based on the published price for </w:t>
      </w:r>
      <w:r w:rsidR="00671BB3" w:rsidRPr="00917FFB">
        <w:t>DUPI</w:t>
      </w:r>
      <w:r w:rsidR="00EE1F1E" w:rsidRPr="00917FFB">
        <w:t xml:space="preserve">, </w:t>
      </w:r>
      <w:r w:rsidRPr="00917FFB">
        <w:t>the submission estimated the proposed listing of BARI would result in a net cost</w:t>
      </w:r>
      <w:r w:rsidR="00E95393" w:rsidRPr="00917FFB">
        <w:t xml:space="preserve"> </w:t>
      </w:r>
      <w:r w:rsidRPr="00917FFB">
        <w:t xml:space="preserve">saving of </w:t>
      </w:r>
      <w:r w:rsidR="0025583E" w:rsidRPr="0025583E">
        <w:t>$40 million to &lt; $50 million</w:t>
      </w:r>
      <w:r w:rsidR="0025583E">
        <w:t xml:space="preserve"> </w:t>
      </w:r>
      <w:r w:rsidRPr="00917FFB">
        <w:t>to the health budget over the first 6 years. The estimated net cost</w:t>
      </w:r>
      <w:r w:rsidR="00640290" w:rsidRPr="00917FFB">
        <w:t xml:space="preserve"> </w:t>
      </w:r>
      <w:r w:rsidRPr="00917FFB">
        <w:t xml:space="preserve">saving is uncertain and likely </w:t>
      </w:r>
      <w:r w:rsidR="009D527F" w:rsidRPr="00917FFB">
        <w:t>over</w:t>
      </w:r>
      <w:r w:rsidRPr="00917FFB">
        <w:t>estimated</w:t>
      </w:r>
      <w:r w:rsidR="00D768AF" w:rsidRPr="00917FFB">
        <w:t xml:space="preserve"> given</w:t>
      </w:r>
      <w:r w:rsidRPr="00917FFB">
        <w:t>:</w:t>
      </w:r>
      <w:bookmarkEnd w:id="29"/>
    </w:p>
    <w:p w:rsidR="000127B8" w:rsidRPr="00917FFB" w:rsidRDefault="00F01556" w:rsidP="00967196">
      <w:pPr>
        <w:pStyle w:val="3-BodyText"/>
        <w:numPr>
          <w:ilvl w:val="0"/>
          <w:numId w:val="34"/>
        </w:numPr>
      </w:pPr>
      <w:r w:rsidRPr="00917FFB">
        <w:t xml:space="preserve">The potential underestimate of the market </w:t>
      </w:r>
      <w:r w:rsidR="00D64C43" w:rsidRPr="00917FFB">
        <w:t>uptake</w:t>
      </w:r>
      <w:r w:rsidRPr="00917FFB">
        <w:t xml:space="preserve">. The financial model assumed only a proportion of the population who would initiate </w:t>
      </w:r>
      <w:r w:rsidR="00D768AF" w:rsidRPr="00917FFB">
        <w:t xml:space="preserve">DUPI </w:t>
      </w:r>
      <w:r w:rsidRPr="00917FFB">
        <w:t xml:space="preserve">treatment (new and prevalent patients who have not used DUPI before) would initiate BARI, this </w:t>
      </w:r>
      <w:r w:rsidR="00EE1454">
        <w:t>reduced</w:t>
      </w:r>
      <w:r w:rsidR="00EE1454" w:rsidRPr="00EE1454">
        <w:t xml:space="preserve"> </w:t>
      </w:r>
      <w:r w:rsidR="00D768AF" w:rsidRPr="00EE1454">
        <w:t>t</w:t>
      </w:r>
      <w:r w:rsidRPr="00EE1454">
        <w:t xml:space="preserve">he estimated number of patients initiating BARI considerably to </w:t>
      </w:r>
      <w:r w:rsidR="00745B54">
        <w:t>&lt; 500</w:t>
      </w:r>
      <w:r w:rsidRPr="00EE1454">
        <w:t xml:space="preserve">, </w:t>
      </w:r>
      <w:r w:rsidR="00745B54">
        <w:t>&lt; 500</w:t>
      </w:r>
      <w:r w:rsidRPr="00EE1454">
        <w:t xml:space="preserve">, </w:t>
      </w:r>
      <w:r w:rsidR="00745B54">
        <w:t>&lt; 500</w:t>
      </w:r>
      <w:r w:rsidRPr="00EE1454">
        <w:t xml:space="preserve">, </w:t>
      </w:r>
      <w:r w:rsidR="00745B54">
        <w:t>&lt; 500</w:t>
      </w:r>
      <w:r w:rsidRPr="00EE1454">
        <w:t xml:space="preserve">, </w:t>
      </w:r>
      <w:r w:rsidR="00745B54">
        <w:t>&lt; 500</w:t>
      </w:r>
      <w:r w:rsidR="00745B54" w:rsidRPr="00EE1454">
        <w:t xml:space="preserve"> </w:t>
      </w:r>
      <w:r w:rsidRPr="00EE1454">
        <w:t xml:space="preserve">and </w:t>
      </w:r>
      <w:r w:rsidR="00745B54">
        <w:t>&lt; 500</w:t>
      </w:r>
      <w:r w:rsidR="00745B54" w:rsidRPr="00EE1454">
        <w:t xml:space="preserve"> </w:t>
      </w:r>
      <w:r w:rsidRPr="00EE1454">
        <w:t>in the first 6 years of listing. These estimates are implausibly small when the eligible population (fitting PBS initiation criteria) each year is more than 330 times larger (</w:t>
      </w:r>
      <w:r w:rsidR="00DD1C36" w:rsidRPr="00917FFB">
        <w:t>e.g.</w:t>
      </w:r>
      <w:r w:rsidRPr="00917FFB">
        <w:t xml:space="preserve">, </w:t>
      </w:r>
      <w:r w:rsidR="00745B54">
        <w:t>60,000 to &lt; 70,000</w:t>
      </w:r>
      <w:r w:rsidRPr="00917FFB">
        <w:t xml:space="preserve"> eligible patients in Year 6 versus </w:t>
      </w:r>
      <w:r w:rsidR="00745B54">
        <w:t>&lt; 500</w:t>
      </w:r>
      <w:r w:rsidR="00745B54" w:rsidRPr="00917FFB">
        <w:t xml:space="preserve"> </w:t>
      </w:r>
      <w:r w:rsidRPr="00917FFB">
        <w:t xml:space="preserve">initiating treatment with BARI). </w:t>
      </w:r>
    </w:p>
    <w:p w:rsidR="000127B8" w:rsidRPr="00917FFB" w:rsidRDefault="005E240D" w:rsidP="00967196">
      <w:pPr>
        <w:pStyle w:val="3-BodyText"/>
        <w:numPr>
          <w:ilvl w:val="0"/>
          <w:numId w:val="34"/>
        </w:numPr>
      </w:pPr>
      <w:r w:rsidRPr="00917FFB">
        <w:t>A s</w:t>
      </w:r>
      <w:r w:rsidR="009D527F" w:rsidRPr="00917FFB">
        <w:t>ensitivity analysis assuming an additional 20% patients were treated with standard of care who would not use DUPI but would initiate BARI</w:t>
      </w:r>
      <w:r w:rsidR="00714558" w:rsidRPr="00917FFB">
        <w:t>,</w:t>
      </w:r>
      <w:r w:rsidR="009D527F" w:rsidRPr="00917FFB">
        <w:t xml:space="preserve"> showed a reduction in the net cost savings to the government. </w:t>
      </w:r>
      <w:r w:rsidR="00F61F65" w:rsidRPr="00917FFB">
        <w:t xml:space="preserve">The PSCR </w:t>
      </w:r>
      <w:r w:rsidR="009C3BEF" w:rsidRPr="00917FFB">
        <w:t>acknowledged that the uptake of BARI</w:t>
      </w:r>
      <w:r w:rsidR="00671BB3" w:rsidRPr="00917FFB">
        <w:t xml:space="preserve"> (</w:t>
      </w:r>
      <w:r w:rsidR="006E62EB" w:rsidRPr="00917FFB">
        <w:t>in additional patients who would</w:t>
      </w:r>
      <w:r w:rsidR="009C3BEF" w:rsidRPr="00917FFB">
        <w:t xml:space="preserve"> </w:t>
      </w:r>
      <w:r w:rsidR="006E62EB" w:rsidRPr="00917FFB">
        <w:t xml:space="preserve">not otherwise be treated with DUPI) </w:t>
      </w:r>
      <w:r w:rsidR="009C3BEF" w:rsidRPr="00917FFB">
        <w:t>may have been underestimated in the submission for the reasons identified during the evaluation, but stated that the sensitivity analysis indicated that a PBS listing for BARI would continue to be associated with cost savings (albeit reduced). The ESC noted that the PSCR did not provide any information to justify the 20%, or any other data to support a different estimate</w:t>
      </w:r>
      <w:r w:rsidR="00EE1F1E" w:rsidRPr="00917FFB">
        <w:t xml:space="preserve"> of </w:t>
      </w:r>
      <w:r w:rsidR="006E62EB" w:rsidRPr="00917FFB">
        <w:t>uptake additional to DUPI treated patients</w:t>
      </w:r>
      <w:r w:rsidR="009C3BEF" w:rsidRPr="00917FFB">
        <w:t xml:space="preserve">. </w:t>
      </w:r>
    </w:p>
    <w:p w:rsidR="00551A2A" w:rsidRPr="00917FFB" w:rsidRDefault="00551A2A" w:rsidP="00967196">
      <w:pPr>
        <w:pStyle w:val="ListParagraph"/>
        <w:numPr>
          <w:ilvl w:val="0"/>
          <w:numId w:val="34"/>
        </w:numPr>
      </w:pPr>
      <w:r w:rsidRPr="00917FFB">
        <w:t xml:space="preserve">The ESC considered that BARI and other oral treatments (e.g. upadacitinib) may be preferred treatments at an individual patient level, and are potential alternatives for those who have already failed treatment with DUPI, with the potential to grow the market. Given the results for BARI </w:t>
      </w:r>
      <w:r w:rsidR="006E62EB" w:rsidRPr="00917FFB">
        <w:t xml:space="preserve">2 mg </w:t>
      </w:r>
      <w:r w:rsidRPr="00917FFB">
        <w:t>do not meet statistical significance versus standard of care (</w:t>
      </w:r>
      <w:r w:rsidR="0001324E" w:rsidRPr="00917FFB">
        <w:t>PBO</w:t>
      </w:r>
      <w:r w:rsidRPr="00917FFB">
        <w:t xml:space="preserve"> plus TCS) and the potential for longer-term safety issues, the PBAC consider</w:t>
      </w:r>
      <w:r w:rsidR="009339E9" w:rsidRPr="00917FFB">
        <w:t>ed that</w:t>
      </w:r>
      <w:r w:rsidRPr="00917FFB">
        <w:t xml:space="preserve"> its place in therapy</w:t>
      </w:r>
      <w:r w:rsidR="009339E9" w:rsidRPr="00917FFB">
        <w:t xml:space="preserve"> was unclear</w:t>
      </w:r>
      <w:r w:rsidRPr="00917FFB">
        <w:t>.</w:t>
      </w:r>
    </w:p>
    <w:p w:rsidR="00F01556" w:rsidRPr="00917FFB" w:rsidRDefault="00F01556" w:rsidP="00967196">
      <w:pPr>
        <w:pStyle w:val="3-BodyText"/>
        <w:numPr>
          <w:ilvl w:val="0"/>
          <w:numId w:val="34"/>
        </w:numPr>
      </w:pPr>
      <w:r w:rsidRPr="00917FFB">
        <w:t>The uncertain treatment response rate or continuing treatment persistence. The submission assumed the treatment response for BARI at Week 40 from a post-hoc analysis of BREEZE-AD3 at Week 44 and the response rate for Year 2 to Year 6 was estimated as a ratio relative to the DUPI response rate, which was calculated from time to first rescue treatment or treatment discontinuation analysis (Table 19, dupilumab PSD March 2020 PBAC meeting). These results were based on data from very few patients and then extrapolated using uncertain assumptions, overall</w:t>
      </w:r>
      <w:r w:rsidR="00C20421" w:rsidRPr="00917FFB">
        <w:t>,</w:t>
      </w:r>
      <w:r w:rsidRPr="00917FFB">
        <w:t xml:space="preserve"> the continued response rates used in the financial estimates are considered uncertain. A lower continued response rate for BARI favoured it in the financial estimates as costs are reduced when non-responders stop treatment. </w:t>
      </w:r>
      <w:r w:rsidR="002055F5" w:rsidRPr="00917FFB">
        <w:t>In</w:t>
      </w:r>
      <w:r w:rsidRPr="00917FFB">
        <w:t xml:space="preserve"> contrast, the submission’s </w:t>
      </w:r>
      <w:r w:rsidR="00C20421" w:rsidRPr="00917FFB">
        <w:t>economic</w:t>
      </w:r>
      <w:r w:rsidRPr="00917FFB">
        <w:t xml:space="preserve"> analysis did not consider any further price reductions for BARI versus DUPI for a lower continued response rate over time. </w:t>
      </w:r>
    </w:p>
    <w:p w:rsidR="00576972" w:rsidRPr="00917FFB" w:rsidRDefault="00576972" w:rsidP="00F57ED5">
      <w:pPr>
        <w:pStyle w:val="4-SubsectionHeading"/>
      </w:pPr>
      <w:bookmarkStart w:id="30" w:name="_Toc22897649"/>
      <w:bookmarkStart w:id="31" w:name="_Toc72320860"/>
      <w:r w:rsidRPr="00917FFB">
        <w:t>Financial Management – Risk Sharing Arrangements</w:t>
      </w:r>
      <w:bookmarkEnd w:id="30"/>
      <w:bookmarkEnd w:id="31"/>
    </w:p>
    <w:p w:rsidR="00983757" w:rsidRPr="00EE1454" w:rsidRDefault="00EE1454" w:rsidP="00F57ED5">
      <w:pPr>
        <w:pStyle w:val="3-BodyText"/>
        <w:keepNext/>
        <w:rPr>
          <w:lang w:eastAsia="en-GB"/>
        </w:rPr>
      </w:pPr>
      <w:r>
        <w:t>The sponsor did not propose a</w:t>
      </w:r>
      <w:r w:rsidRPr="00EE1454">
        <w:t xml:space="preserve"> </w:t>
      </w:r>
      <w:r>
        <w:t>R</w:t>
      </w:r>
      <w:r w:rsidRPr="00EE1454">
        <w:t xml:space="preserve">isk </w:t>
      </w:r>
      <w:r>
        <w:t>S</w:t>
      </w:r>
      <w:r w:rsidRPr="00EE1454">
        <w:t xml:space="preserve">haring </w:t>
      </w:r>
      <w:r>
        <w:t>A</w:t>
      </w:r>
      <w:r w:rsidRPr="00EE1454">
        <w:t xml:space="preserve">rrangement </w:t>
      </w:r>
      <w:r w:rsidR="00F912FE" w:rsidRPr="00EE1454">
        <w:t xml:space="preserve">in the submission. For DUPI, the PBAC had considered that a </w:t>
      </w:r>
      <w:r w:rsidR="00B1613E">
        <w:rPr>
          <w:noProof/>
          <w:color w:val="000000"/>
          <w:highlight w:val="black"/>
        </w:rPr>
        <w:t>''''''''</w:t>
      </w:r>
      <w:r w:rsidR="00F912FE" w:rsidRPr="00EE1454">
        <w:t xml:space="preserve">% rebate would be required for expenditure exceeding the estimated financial cost for DUPI to address the potential for use outside the intended population, and to address the potential continuing use in patients who do not have adequate response, where use of DUPI is likely to be less cost-effective. </w:t>
      </w:r>
    </w:p>
    <w:p w:rsidR="009E0D35" w:rsidRPr="00917FFB" w:rsidRDefault="009E0D35" w:rsidP="00F57ED5">
      <w:pPr>
        <w:pStyle w:val="3-BodyText"/>
        <w:keepNext/>
        <w:numPr>
          <w:ilvl w:val="0"/>
          <w:numId w:val="0"/>
        </w:numPr>
        <w:ind w:left="720"/>
        <w:rPr>
          <w:i/>
          <w:iCs/>
        </w:rPr>
      </w:pPr>
      <w:bookmarkStart w:id="32" w:name="_Toc341702043"/>
      <w:bookmarkStart w:id="33" w:name="_Toc380742621"/>
      <w:bookmarkStart w:id="34" w:name="_Toc380746188"/>
      <w:bookmarkStart w:id="35" w:name="_Toc380746314"/>
      <w:bookmarkStart w:id="36" w:name="_Toc380746595"/>
      <w:r w:rsidRPr="00917FFB">
        <w:rPr>
          <w:i/>
          <w:iCs/>
        </w:rPr>
        <w:t>For more detail on PBAC’s view, see Section 7 PBAC Outcome.</w:t>
      </w:r>
    </w:p>
    <w:p w:rsidR="00967196" w:rsidRPr="00917FFB" w:rsidRDefault="00967196" w:rsidP="00967196">
      <w:pPr>
        <w:pStyle w:val="2-SectionHeading"/>
        <w:numPr>
          <w:ilvl w:val="0"/>
          <w:numId w:val="1"/>
        </w:numPr>
      </w:pPr>
      <w:r w:rsidRPr="00917FFB">
        <w:t>PBAC Outcome</w:t>
      </w:r>
    </w:p>
    <w:p w:rsidR="00EE2DBD" w:rsidRPr="00853F7A" w:rsidRDefault="00E97C88" w:rsidP="00EE2DBD">
      <w:pPr>
        <w:widowControl w:val="0"/>
        <w:numPr>
          <w:ilvl w:val="1"/>
          <w:numId w:val="1"/>
        </w:numPr>
        <w:spacing w:after="120"/>
        <w:rPr>
          <w:rFonts w:asciiTheme="minorHAnsi" w:hAnsiTheme="minorHAnsi"/>
          <w:bCs/>
          <w:snapToGrid w:val="0"/>
        </w:rPr>
      </w:pPr>
      <w:r w:rsidRPr="00853F7A">
        <w:rPr>
          <w:rFonts w:asciiTheme="minorHAnsi" w:hAnsiTheme="minorHAnsi"/>
          <w:bCs/>
          <w:snapToGrid w:val="0"/>
        </w:rPr>
        <w:t xml:space="preserve">The PBAC did not recommend the listing of baricitinib (BARI) for the treatment of adults with severe atopic dermatitis (AD). </w:t>
      </w:r>
      <w:r w:rsidR="00EE2DBD" w:rsidRPr="00853F7A">
        <w:rPr>
          <w:rFonts w:asciiTheme="minorHAnsi" w:hAnsiTheme="minorHAnsi"/>
          <w:bCs/>
          <w:snapToGrid w:val="0"/>
        </w:rPr>
        <w:t xml:space="preserve">Whilst the PBAC accepted that the claim of inferior efficacy of BARI compared to </w:t>
      </w:r>
      <w:r w:rsidR="002C4FFD" w:rsidRPr="00853F7A">
        <w:rPr>
          <w:rFonts w:asciiTheme="minorHAnsi" w:hAnsiTheme="minorHAnsi"/>
          <w:bCs/>
          <w:snapToGrid w:val="0"/>
        </w:rPr>
        <w:t>dupilumab (</w:t>
      </w:r>
      <w:r w:rsidR="00EE2DBD" w:rsidRPr="00853F7A">
        <w:rPr>
          <w:rFonts w:asciiTheme="minorHAnsi" w:hAnsiTheme="minorHAnsi"/>
          <w:bCs/>
          <w:snapToGrid w:val="0"/>
        </w:rPr>
        <w:t>DUPI</w:t>
      </w:r>
      <w:r w:rsidR="002C4FFD" w:rsidRPr="00853F7A">
        <w:rPr>
          <w:rFonts w:asciiTheme="minorHAnsi" w:hAnsiTheme="minorHAnsi"/>
          <w:bCs/>
          <w:snapToGrid w:val="0"/>
        </w:rPr>
        <w:t>)</w:t>
      </w:r>
      <w:r w:rsidR="00EE2DBD" w:rsidRPr="00853F7A">
        <w:rPr>
          <w:rFonts w:asciiTheme="minorHAnsi" w:hAnsiTheme="minorHAnsi"/>
          <w:bCs/>
          <w:snapToGrid w:val="0"/>
        </w:rPr>
        <w:t xml:space="preserve"> was reasonable, </w:t>
      </w:r>
      <w:r w:rsidR="00294D8D" w:rsidRPr="00853F7A">
        <w:rPr>
          <w:rFonts w:asciiTheme="minorHAnsi" w:hAnsiTheme="minorHAnsi"/>
          <w:bCs/>
          <w:snapToGrid w:val="0"/>
        </w:rPr>
        <w:t>the magnitude of difference in response was uncertain</w:t>
      </w:r>
      <w:r w:rsidR="00EE2DBD" w:rsidRPr="00853F7A">
        <w:rPr>
          <w:rFonts w:asciiTheme="minorHAnsi" w:hAnsiTheme="minorHAnsi"/>
          <w:bCs/>
          <w:snapToGrid w:val="0"/>
        </w:rPr>
        <w:t xml:space="preserve">. The PBAC </w:t>
      </w:r>
      <w:r w:rsidR="00F86FCA" w:rsidRPr="00853F7A">
        <w:rPr>
          <w:rFonts w:asciiTheme="minorHAnsi" w:hAnsiTheme="minorHAnsi"/>
          <w:bCs/>
          <w:snapToGrid w:val="0"/>
        </w:rPr>
        <w:t xml:space="preserve">also considered that the safety profile for BARI is inferior to DUPI and </w:t>
      </w:r>
      <w:r w:rsidR="002055F5" w:rsidRPr="00853F7A">
        <w:rPr>
          <w:rFonts w:asciiTheme="minorHAnsi" w:hAnsiTheme="minorHAnsi"/>
          <w:bCs/>
          <w:snapToGrid w:val="0"/>
        </w:rPr>
        <w:t xml:space="preserve">noted </w:t>
      </w:r>
      <w:r w:rsidR="00F86FCA" w:rsidRPr="00853F7A">
        <w:rPr>
          <w:rFonts w:asciiTheme="minorHAnsi" w:hAnsiTheme="minorHAnsi"/>
          <w:bCs/>
          <w:snapToGrid w:val="0"/>
        </w:rPr>
        <w:t>concerns remain regarding</w:t>
      </w:r>
      <w:r w:rsidR="00021A64" w:rsidRPr="00853F7A">
        <w:rPr>
          <w:rFonts w:asciiTheme="minorHAnsi" w:hAnsiTheme="minorHAnsi"/>
          <w:bCs/>
          <w:snapToGrid w:val="0"/>
        </w:rPr>
        <w:t xml:space="preserve"> the long-term safety of BARI</w:t>
      </w:r>
      <w:r w:rsidR="00F86FCA" w:rsidRPr="00853F7A">
        <w:rPr>
          <w:rFonts w:asciiTheme="minorHAnsi" w:hAnsiTheme="minorHAnsi"/>
          <w:bCs/>
          <w:snapToGrid w:val="0"/>
        </w:rPr>
        <w:t xml:space="preserve">. As such the PBAC </w:t>
      </w:r>
      <w:r w:rsidR="00021A64" w:rsidRPr="00853F7A">
        <w:rPr>
          <w:rFonts w:asciiTheme="minorHAnsi" w:hAnsiTheme="minorHAnsi"/>
          <w:bCs/>
          <w:snapToGrid w:val="0"/>
        </w:rPr>
        <w:t xml:space="preserve">considered that </w:t>
      </w:r>
      <w:r w:rsidR="00EE2DBD" w:rsidRPr="00853F7A">
        <w:rPr>
          <w:rFonts w:asciiTheme="minorHAnsi" w:hAnsiTheme="minorHAnsi"/>
          <w:bCs/>
          <w:snapToGrid w:val="0"/>
        </w:rPr>
        <w:t xml:space="preserve">the clinical place of BARI was unclear. Given </w:t>
      </w:r>
      <w:r w:rsidR="00464DD6" w:rsidRPr="00853F7A">
        <w:rPr>
          <w:rFonts w:asciiTheme="minorHAnsi" w:hAnsiTheme="minorHAnsi"/>
          <w:bCs/>
          <w:snapToGrid w:val="0"/>
        </w:rPr>
        <w:t>the</w:t>
      </w:r>
      <w:r w:rsidR="00A113FD" w:rsidRPr="00853F7A">
        <w:rPr>
          <w:rFonts w:asciiTheme="minorHAnsi" w:hAnsiTheme="minorHAnsi"/>
          <w:bCs/>
          <w:snapToGrid w:val="0"/>
        </w:rPr>
        <w:t xml:space="preserve"> </w:t>
      </w:r>
      <w:r w:rsidR="00464DD6" w:rsidRPr="00853F7A">
        <w:rPr>
          <w:rFonts w:asciiTheme="minorHAnsi" w:hAnsiTheme="minorHAnsi"/>
          <w:bCs/>
          <w:snapToGrid w:val="0"/>
        </w:rPr>
        <w:t>uncertainty in the clinical data</w:t>
      </w:r>
      <w:r w:rsidR="00F86FCA" w:rsidRPr="00853F7A">
        <w:rPr>
          <w:rFonts w:asciiTheme="minorHAnsi" w:hAnsiTheme="minorHAnsi"/>
          <w:bCs/>
          <w:snapToGrid w:val="0"/>
        </w:rPr>
        <w:t xml:space="preserve"> and because the</w:t>
      </w:r>
      <w:r w:rsidR="00F86FCA" w:rsidRPr="00917FFB">
        <w:rPr>
          <w:iCs/>
        </w:rPr>
        <w:t xml:space="preserve"> cost comparison presented in the submission did not capture the full cost and conseque</w:t>
      </w:r>
      <w:r w:rsidR="00F86FCA" w:rsidRPr="000D2978">
        <w:rPr>
          <w:iCs/>
        </w:rPr>
        <w:t>nces of listing</w:t>
      </w:r>
      <w:r w:rsidR="002055F5" w:rsidRPr="000D2978">
        <w:rPr>
          <w:iCs/>
        </w:rPr>
        <w:t xml:space="preserve"> BARI</w:t>
      </w:r>
      <w:r w:rsidR="00F86FCA" w:rsidRPr="000D2978">
        <w:rPr>
          <w:iCs/>
        </w:rPr>
        <w:t xml:space="preserve"> on the PBS</w:t>
      </w:r>
      <w:r w:rsidR="00BD73D2" w:rsidRPr="00EE1454">
        <w:rPr>
          <w:iCs/>
        </w:rPr>
        <w:t>,</w:t>
      </w:r>
      <w:r w:rsidR="00F86FCA" w:rsidRPr="00F5426F">
        <w:rPr>
          <w:iCs/>
        </w:rPr>
        <w:t xml:space="preserve"> </w:t>
      </w:r>
      <w:r w:rsidR="00EE2DBD" w:rsidRPr="00853F7A">
        <w:rPr>
          <w:rFonts w:asciiTheme="minorHAnsi" w:hAnsiTheme="minorHAnsi"/>
          <w:bCs/>
          <w:snapToGrid w:val="0"/>
        </w:rPr>
        <w:t xml:space="preserve">the PBAC considered that the economic analysis was </w:t>
      </w:r>
      <w:r w:rsidR="00464DD6" w:rsidRPr="00853F7A">
        <w:rPr>
          <w:rFonts w:asciiTheme="minorHAnsi" w:hAnsiTheme="minorHAnsi"/>
          <w:bCs/>
          <w:snapToGrid w:val="0"/>
        </w:rPr>
        <w:t>not reliable for decision-making.</w:t>
      </w:r>
    </w:p>
    <w:p w:rsidR="00F9115D" w:rsidRPr="00853F7A" w:rsidRDefault="00F9115D" w:rsidP="00F9115D">
      <w:pPr>
        <w:widowControl w:val="0"/>
        <w:numPr>
          <w:ilvl w:val="1"/>
          <w:numId w:val="1"/>
        </w:numPr>
        <w:spacing w:after="120"/>
        <w:rPr>
          <w:rFonts w:asciiTheme="minorHAnsi" w:hAnsiTheme="minorHAnsi"/>
          <w:snapToGrid w:val="0"/>
        </w:rPr>
      </w:pPr>
      <w:r w:rsidRPr="00853F7A">
        <w:rPr>
          <w:rFonts w:asciiTheme="minorHAnsi" w:hAnsiTheme="minorHAnsi"/>
          <w:snapToGrid w:val="0"/>
        </w:rPr>
        <w:t xml:space="preserve">The PBAC noted that </w:t>
      </w:r>
      <w:r w:rsidRPr="00917FFB">
        <w:t>BARI is a novel medicine, as no other</w:t>
      </w:r>
      <w:r w:rsidRPr="000D2978">
        <w:t xml:space="preserve"> Janus Kinase (JAK) inhibitors are available on the PBS for AD. The PBAC </w:t>
      </w:r>
      <w:r w:rsidRPr="00853F7A">
        <w:rPr>
          <w:rFonts w:asciiTheme="minorHAnsi" w:hAnsiTheme="minorHAnsi"/>
          <w:snapToGrid w:val="0"/>
        </w:rPr>
        <w:t xml:space="preserve">acknowledged the clinical need for additional alternative systemic treatments for severe atopic dermatitis, but considered that there was limited additional need, given the availability of DUPI for patients with severe AD. The PBAC noted that the clinical need remained high for patients with moderate AD, who also experience a high level of disease burden, as outlined in the consumer comments. </w:t>
      </w:r>
    </w:p>
    <w:p w:rsidR="0001117C" w:rsidRPr="00917FFB" w:rsidRDefault="005127FA" w:rsidP="008E00AE">
      <w:pPr>
        <w:pStyle w:val="3-BodyText"/>
      </w:pPr>
      <w:r w:rsidRPr="00917FFB">
        <w:rPr>
          <w:iCs/>
        </w:rPr>
        <w:t>The PBAC noted that</w:t>
      </w:r>
      <w:r w:rsidRPr="00917FFB">
        <w:t xml:space="preserve"> sequential use of BARI following DUPI</w:t>
      </w:r>
      <w:r w:rsidRPr="000D2978">
        <w:t xml:space="preserve"> and vice versa was not excluded in the proposed restrictions</w:t>
      </w:r>
      <w:r w:rsidR="008E6F48" w:rsidRPr="000D2978">
        <w:t>.</w:t>
      </w:r>
      <w:r w:rsidRPr="000D2978">
        <w:t xml:space="preserve"> </w:t>
      </w:r>
      <w:r w:rsidRPr="00EE1454">
        <w:t>This was consistent with the</w:t>
      </w:r>
      <w:r w:rsidR="00611DB0" w:rsidRPr="00F5426F">
        <w:t xml:space="preserve"> proposed clinical manag</w:t>
      </w:r>
      <w:r w:rsidR="00611DB0" w:rsidRPr="00917FFB">
        <w:t>ement algorithm</w:t>
      </w:r>
      <w:r w:rsidR="008E6F48" w:rsidRPr="00917FFB">
        <w:t xml:space="preserve"> </w:t>
      </w:r>
      <w:r w:rsidR="00611DB0" w:rsidRPr="00917FFB">
        <w:t>and</w:t>
      </w:r>
      <w:r w:rsidRPr="00917FFB">
        <w:t xml:space="preserve"> consumer comments</w:t>
      </w:r>
      <w:r w:rsidR="00205EEB" w:rsidRPr="00917FFB">
        <w:t xml:space="preserve"> which expressed a desire to access a JAK inhibitor for </w:t>
      </w:r>
      <w:r w:rsidRPr="00917FFB">
        <w:t xml:space="preserve">patients who did not have an </w:t>
      </w:r>
      <w:r w:rsidR="00BD73D2" w:rsidRPr="00917FFB">
        <w:t>adequate response to DUPI</w:t>
      </w:r>
      <w:r w:rsidR="00611DB0" w:rsidRPr="00917FFB">
        <w:t xml:space="preserve">. </w:t>
      </w:r>
      <w:r w:rsidR="00F86FCA" w:rsidRPr="00917FFB">
        <w:t xml:space="preserve">The </w:t>
      </w:r>
      <w:r w:rsidR="00D55139" w:rsidRPr="00917FFB">
        <w:t xml:space="preserve">pre-PBAC response </w:t>
      </w:r>
      <w:r w:rsidR="00C20421" w:rsidRPr="00917FFB">
        <w:t>reiterated</w:t>
      </w:r>
      <w:r w:rsidR="00D55139" w:rsidRPr="00917FFB">
        <w:t xml:space="preserve"> that sequential treatment with BARI and DUPI should be allowed given the different mechanisms of action, as </w:t>
      </w:r>
      <w:r w:rsidR="00D55139" w:rsidRPr="00917FFB">
        <w:rPr>
          <w:rFonts w:ascii="Calibri" w:hAnsi="Calibri" w:cs="Calibri"/>
          <w:snapToGrid/>
          <w:color w:val="000000"/>
        </w:rPr>
        <w:t xml:space="preserve">non-response to one medicine does not preclude a patient from responding to the other medicine. </w:t>
      </w:r>
      <w:r w:rsidR="008E00AE" w:rsidRPr="00917FFB">
        <w:rPr>
          <w:rFonts w:ascii="Calibri" w:hAnsi="Calibri" w:cs="Calibri"/>
          <w:snapToGrid/>
          <w:color w:val="000000"/>
        </w:rPr>
        <w:t xml:space="preserve">The PBAC </w:t>
      </w:r>
      <w:r w:rsidR="00B12D6B" w:rsidRPr="00917FFB">
        <w:rPr>
          <w:rFonts w:ascii="Calibri" w:hAnsi="Calibri" w:cs="Calibri"/>
          <w:snapToGrid/>
          <w:color w:val="000000"/>
        </w:rPr>
        <w:t>considered</w:t>
      </w:r>
      <w:r w:rsidR="00F86FCA" w:rsidRPr="00917FFB">
        <w:t xml:space="preserve"> </w:t>
      </w:r>
      <w:r w:rsidR="008E6F48" w:rsidRPr="00917FFB">
        <w:t>given the lower efficacy for BARI</w:t>
      </w:r>
      <w:r w:rsidR="00611DB0" w:rsidRPr="00917FFB">
        <w:t xml:space="preserve">, it is unclear whether BARI is likely to be of benefit in </w:t>
      </w:r>
      <w:r w:rsidR="00DE360C" w:rsidRPr="00917FFB">
        <w:t>patients who fail to respond to DUPI</w:t>
      </w:r>
      <w:r w:rsidR="00DC0C77" w:rsidRPr="00917FFB">
        <w:t>. Furthermore, the</w:t>
      </w:r>
      <w:r w:rsidR="009339E9" w:rsidRPr="00917FFB">
        <w:t xml:space="preserve"> PBAC noted that the submission</w:t>
      </w:r>
      <w:r w:rsidR="00DC0C77" w:rsidRPr="00917FFB">
        <w:t xml:space="preserve"> did not present any data to a</w:t>
      </w:r>
      <w:r w:rsidR="0017105F" w:rsidRPr="00917FFB">
        <w:t>ssess</w:t>
      </w:r>
      <w:r w:rsidR="00DC0C77" w:rsidRPr="00917FFB">
        <w:t xml:space="preserve"> efficacy in this group of patients. </w:t>
      </w:r>
    </w:p>
    <w:p w:rsidR="00514A0D" w:rsidRPr="00853F7A" w:rsidRDefault="008E00AE" w:rsidP="0095618C">
      <w:pPr>
        <w:widowControl w:val="0"/>
        <w:numPr>
          <w:ilvl w:val="1"/>
          <w:numId w:val="1"/>
        </w:numPr>
        <w:spacing w:after="120"/>
        <w:rPr>
          <w:rFonts w:asciiTheme="minorHAnsi" w:hAnsiTheme="minorHAnsi"/>
          <w:snapToGrid w:val="0"/>
        </w:rPr>
      </w:pPr>
      <w:r w:rsidRPr="00853F7A">
        <w:t xml:space="preserve">The submission presented DUPI as the </w:t>
      </w:r>
      <w:r w:rsidR="00FB5D06" w:rsidRPr="00853F7A">
        <w:t>primary</w:t>
      </w:r>
      <w:r w:rsidR="00CB7576" w:rsidRPr="00853F7A">
        <w:t xml:space="preserve"> </w:t>
      </w:r>
      <w:r w:rsidRPr="00853F7A">
        <w:t>comparator</w:t>
      </w:r>
      <w:r w:rsidR="00C45F52" w:rsidRPr="00853F7A">
        <w:t>.</w:t>
      </w:r>
      <w:r w:rsidR="00C45F52" w:rsidRPr="00917FFB">
        <w:t xml:space="preserve"> T</w:t>
      </w:r>
      <w:r w:rsidRPr="00917FFB">
        <w:t>he main</w:t>
      </w:r>
      <w:r w:rsidR="00FB5D06" w:rsidRPr="00917FFB">
        <w:t xml:space="preserve"> </w:t>
      </w:r>
      <w:r w:rsidRPr="000D2978">
        <w:t>argument provided in support of this nomination was that DUPI is the treatment most likely to be replaced by BARI</w:t>
      </w:r>
      <w:r w:rsidRPr="00917FFB">
        <w:t>.</w:t>
      </w:r>
      <w:r w:rsidR="00BB20D2" w:rsidRPr="00917FFB">
        <w:t xml:space="preserve"> </w:t>
      </w:r>
      <w:r w:rsidR="00CB7576" w:rsidRPr="00917FFB">
        <w:t xml:space="preserve">The PBAC considered </w:t>
      </w:r>
      <w:r w:rsidR="007E3575" w:rsidRPr="00917FFB">
        <w:t xml:space="preserve">that DUPI was an </w:t>
      </w:r>
      <w:r w:rsidR="0095618C" w:rsidRPr="00917FFB">
        <w:t xml:space="preserve">appropriate choice for </w:t>
      </w:r>
      <w:r w:rsidR="00C45F52" w:rsidRPr="00917FFB">
        <w:t xml:space="preserve">the </w:t>
      </w:r>
      <w:r w:rsidR="0095618C" w:rsidRPr="00917FFB">
        <w:t xml:space="preserve">comparator. </w:t>
      </w:r>
      <w:r w:rsidR="009B47A7" w:rsidRPr="00917FFB">
        <w:t>The PBAC noted that CsA was a potentially relevant secondary comparator but its use in clinical practice is limited due to toxicity</w:t>
      </w:r>
      <w:r w:rsidR="00BD73D2" w:rsidRPr="00917FFB">
        <w:t xml:space="preserve"> and that UPA was a relevant near market comparator.</w:t>
      </w:r>
    </w:p>
    <w:p w:rsidR="008F69AD" w:rsidRPr="00853F7A" w:rsidRDefault="009D589A" w:rsidP="001A4A8A">
      <w:pPr>
        <w:widowControl w:val="0"/>
        <w:numPr>
          <w:ilvl w:val="1"/>
          <w:numId w:val="1"/>
        </w:numPr>
        <w:spacing w:after="120"/>
        <w:rPr>
          <w:rFonts w:asciiTheme="minorHAnsi" w:hAnsiTheme="minorHAnsi"/>
          <w:bCs/>
          <w:snapToGrid w:val="0"/>
        </w:rPr>
      </w:pPr>
      <w:r w:rsidRPr="00853F7A">
        <w:rPr>
          <w:rFonts w:asciiTheme="minorHAnsi" w:hAnsiTheme="minorHAnsi"/>
          <w:bCs/>
          <w:snapToGrid w:val="0"/>
        </w:rPr>
        <w:t xml:space="preserve">The submission was based </w:t>
      </w:r>
      <w:r w:rsidR="0097718A" w:rsidRPr="00853F7A">
        <w:t xml:space="preserve">on six head-to-head randomised trials comparing BARI to PBO and six trials comparing DUPI to PBO, which informed an indirect treatment comparison between BARI versus DUPI. </w:t>
      </w:r>
      <w:r w:rsidR="00AC7C21" w:rsidRPr="00853F7A">
        <w:t>The PBAC noted that the submission relied on the indirect treatment comparison to inform the clinical claim</w:t>
      </w:r>
      <w:r w:rsidR="00CB7576" w:rsidRPr="00853F7A">
        <w:t xml:space="preserve"> and economic analysis. </w:t>
      </w:r>
    </w:p>
    <w:p w:rsidR="002E1CCB" w:rsidRPr="00853F7A" w:rsidRDefault="008F69AD" w:rsidP="001A4A8A">
      <w:pPr>
        <w:widowControl w:val="0"/>
        <w:numPr>
          <w:ilvl w:val="1"/>
          <w:numId w:val="1"/>
        </w:numPr>
        <w:spacing w:after="120"/>
        <w:rPr>
          <w:rFonts w:asciiTheme="minorHAnsi" w:hAnsiTheme="minorHAnsi"/>
          <w:bCs/>
          <w:snapToGrid w:val="0"/>
        </w:rPr>
      </w:pPr>
      <w:r w:rsidRPr="00853F7A">
        <w:rPr>
          <w:rFonts w:asciiTheme="minorHAnsi" w:hAnsiTheme="minorHAnsi"/>
          <w:bCs/>
          <w:snapToGrid w:val="0"/>
        </w:rPr>
        <w:t>T</w:t>
      </w:r>
      <w:r w:rsidR="002E1CCB" w:rsidRPr="00853F7A">
        <w:rPr>
          <w:rFonts w:asciiTheme="minorHAnsi" w:hAnsiTheme="minorHAnsi"/>
          <w:bCs/>
          <w:snapToGrid w:val="0"/>
        </w:rPr>
        <w:t>he PBAC</w:t>
      </w:r>
      <w:r w:rsidR="001A4A8A" w:rsidRPr="00853F7A">
        <w:rPr>
          <w:rFonts w:asciiTheme="minorHAnsi" w:hAnsiTheme="minorHAnsi"/>
          <w:bCs/>
          <w:snapToGrid w:val="0"/>
        </w:rPr>
        <w:t xml:space="preserve"> </w:t>
      </w:r>
      <w:r w:rsidR="002E1CCB" w:rsidRPr="00853F7A">
        <w:rPr>
          <w:rFonts w:asciiTheme="minorHAnsi" w:hAnsiTheme="minorHAnsi"/>
          <w:bCs/>
          <w:snapToGrid w:val="0"/>
        </w:rPr>
        <w:t xml:space="preserve">noted that patients in all trials had </w:t>
      </w:r>
      <w:r w:rsidR="002E1CCB" w:rsidRPr="00917FFB">
        <w:rPr>
          <w:iCs/>
        </w:rPr>
        <w:t>moderate</w:t>
      </w:r>
      <w:r w:rsidR="00301E3A" w:rsidRPr="00917FFB">
        <w:rPr>
          <w:iCs/>
        </w:rPr>
        <w:t xml:space="preserve"> </w:t>
      </w:r>
      <w:r w:rsidR="002E1CCB" w:rsidRPr="00917FFB">
        <w:rPr>
          <w:iCs/>
        </w:rPr>
        <w:t>to</w:t>
      </w:r>
      <w:r w:rsidR="00301E3A" w:rsidRPr="00917FFB">
        <w:rPr>
          <w:iCs/>
        </w:rPr>
        <w:t xml:space="preserve"> </w:t>
      </w:r>
      <w:r w:rsidR="002E1CCB" w:rsidRPr="000D2978">
        <w:rPr>
          <w:iCs/>
        </w:rPr>
        <w:t>severe AD and were required to have experienced an inadequate response to topical corticosteroids (TCS) (</w:t>
      </w:r>
      <w:r w:rsidR="00C45F52" w:rsidRPr="000D2978">
        <w:rPr>
          <w:iCs/>
        </w:rPr>
        <w:t xml:space="preserve">for </w:t>
      </w:r>
      <w:r w:rsidR="002E1CCB" w:rsidRPr="000D2978">
        <w:rPr>
          <w:iCs/>
        </w:rPr>
        <w:t>at least 6 months).</w:t>
      </w:r>
      <w:r w:rsidR="002E1CCB" w:rsidRPr="00EE1454">
        <w:rPr>
          <w:i/>
        </w:rPr>
        <w:t xml:space="preserve"> </w:t>
      </w:r>
      <w:r w:rsidR="002E1CCB" w:rsidRPr="00F5426F">
        <w:rPr>
          <w:rFonts w:eastAsia="TimesNewRoman"/>
          <w:iCs/>
        </w:rPr>
        <w:t>Concomitant use of d</w:t>
      </w:r>
      <w:r w:rsidR="002E1CCB" w:rsidRPr="00917FFB">
        <w:rPr>
          <w:rFonts w:eastAsia="TimesNewRoman"/>
          <w:iCs/>
        </w:rPr>
        <w:t>aily emollients was allowed and encouraged in all trials, but concomitant use of TCS was</w:t>
      </w:r>
      <w:r w:rsidR="00C45F52" w:rsidRPr="00917FFB">
        <w:rPr>
          <w:rFonts w:eastAsia="TimesNewRoman"/>
          <w:iCs/>
        </w:rPr>
        <w:t xml:space="preserve"> only</w:t>
      </w:r>
      <w:r w:rsidR="002E1CCB" w:rsidRPr="00917FFB">
        <w:rPr>
          <w:rFonts w:eastAsia="TimesNewRoman"/>
          <w:iCs/>
        </w:rPr>
        <w:t xml:space="preserve"> allowed in three BARI trials (BREEZE-AD4, BREEZE-AD7 and JAHG) and three DUPI trials (CAFÉ, CHRONOS and JADE Compare). </w:t>
      </w:r>
      <w:r w:rsidR="002E1CCB" w:rsidRPr="00917FFB">
        <w:t>The PBAC recalled it previously considered standard of care includes concomitant TCS, (para 5.1, DUPI PSD, July 2018 PBAC meeting) and considered that the trials that allowed ongoing use of TCS were most relevant to Australian clinical practice, where TCS would be expected to be continued in combination with BARI.</w:t>
      </w:r>
    </w:p>
    <w:p w:rsidR="00C45F52" w:rsidRPr="00853F7A" w:rsidRDefault="00F71469" w:rsidP="001F5FA3">
      <w:pPr>
        <w:widowControl w:val="0"/>
        <w:numPr>
          <w:ilvl w:val="1"/>
          <w:numId w:val="1"/>
        </w:numPr>
        <w:spacing w:after="120"/>
      </w:pPr>
      <w:r w:rsidRPr="00853F7A">
        <w:t xml:space="preserve">The risk ratio (RR) for BARI 2 mg monotherapy compared to </w:t>
      </w:r>
      <w:r w:rsidR="0001324E" w:rsidRPr="00853F7A">
        <w:t>PBO</w:t>
      </w:r>
      <w:r w:rsidRPr="00853F7A">
        <w:t xml:space="preserve"> was 2.97 (95% CI: 1.69, 5.24) </w:t>
      </w:r>
      <w:r w:rsidR="00C45F52" w:rsidRPr="00853F7A">
        <w:t>and</w:t>
      </w:r>
      <w:r w:rsidRPr="00853F7A">
        <w:t xml:space="preserve"> </w:t>
      </w:r>
      <w:r w:rsidR="00C45F52" w:rsidRPr="00853F7A">
        <w:t xml:space="preserve">for combination therapy was </w:t>
      </w:r>
      <w:r w:rsidRPr="00853F7A">
        <w:t>1.37 (95% CI: 0.96, 1.94</w:t>
      </w:r>
      <w:r w:rsidR="00C45F52" w:rsidRPr="00853F7A">
        <w:t>; difference</w:t>
      </w:r>
      <w:r w:rsidRPr="00853F7A">
        <w:t xml:space="preserve"> not statistically significant). The PBAC agreed with the ESC that these results indicate that BARI 2 mg may be no more effective than </w:t>
      </w:r>
      <w:r w:rsidR="0001324E" w:rsidRPr="00853F7A">
        <w:t>PBO</w:t>
      </w:r>
      <w:r w:rsidRPr="00853F7A">
        <w:t xml:space="preserve"> when concomitant TCS are used. </w:t>
      </w:r>
    </w:p>
    <w:p w:rsidR="0028677B" w:rsidRPr="00853F7A" w:rsidRDefault="006450E3" w:rsidP="009F546B">
      <w:pPr>
        <w:widowControl w:val="0"/>
        <w:numPr>
          <w:ilvl w:val="1"/>
          <w:numId w:val="1"/>
        </w:numPr>
        <w:spacing w:after="120"/>
      </w:pPr>
      <w:r w:rsidRPr="00853F7A">
        <w:t>In terms of the PBS response outcome</w:t>
      </w:r>
      <w:r w:rsidR="00B35170" w:rsidRPr="00853F7A">
        <w:t xml:space="preserve"> at Week 16 </w:t>
      </w:r>
      <w:r w:rsidRPr="00853F7A">
        <w:t xml:space="preserve">in the PBS subgroup </w:t>
      </w:r>
      <w:r w:rsidR="00301E3A" w:rsidRPr="00853F7A">
        <w:t>(severe AD)</w:t>
      </w:r>
      <w:r w:rsidRPr="00853F7A">
        <w:t>, the</w:t>
      </w:r>
      <w:r w:rsidR="00A113FD" w:rsidRPr="00853F7A">
        <w:t xml:space="preserve"> results of </w:t>
      </w:r>
      <w:r w:rsidRPr="00853F7A">
        <w:t xml:space="preserve">the </w:t>
      </w:r>
      <w:r w:rsidR="00A113FD" w:rsidRPr="00853F7A">
        <w:t>indirect treatment comparisons showed statistically significant differences in favour of DUPI compared to BARI 2 mg (RD: -0.29, 95% CI: -0.38, -0.20) and BARI 4 mg (RD: -0.26, 95% CI: -0.36, -0.16).</w:t>
      </w:r>
      <w:r w:rsidRPr="00853F7A">
        <w:t xml:space="preserve"> </w:t>
      </w:r>
      <w:r w:rsidR="00A113FD" w:rsidRPr="00853F7A">
        <w:t xml:space="preserve">The </w:t>
      </w:r>
      <w:r w:rsidRPr="00853F7A">
        <w:t>PBAC</w:t>
      </w:r>
      <w:r w:rsidR="00A113FD" w:rsidRPr="00853F7A">
        <w:t xml:space="preserve"> noted that the benefit for BARI appeared to be somewhat attenuated in the trials that allowed concomitant TCS. </w:t>
      </w:r>
      <w:r w:rsidR="00F71469" w:rsidRPr="00853F7A">
        <w:t xml:space="preserve">The PBAC considered that for the ITT population different conclusions regarding the magnitude of effect can potentially be drawn when assessing the monotherapy or combination therapy trials, and depending on the outcome measure (see paragraph 6.25). The pre-PBAC response argued that the RD values were relatively </w:t>
      </w:r>
      <w:r w:rsidR="0001324E" w:rsidRPr="00853F7A">
        <w:t>consistent</w:t>
      </w:r>
      <w:r w:rsidR="00F71469" w:rsidRPr="00853F7A">
        <w:t xml:space="preserve"> </w:t>
      </w:r>
      <w:r w:rsidR="00C45F52" w:rsidRPr="00853F7A">
        <w:t xml:space="preserve">across outcomes </w:t>
      </w:r>
      <w:r w:rsidR="00F71469" w:rsidRPr="00853F7A">
        <w:t>for the comparison of BARI 4 mg versus DUPI in the combination therapy trials.</w:t>
      </w:r>
      <w:r w:rsidR="004F771D" w:rsidRPr="00853F7A">
        <w:t xml:space="preserve"> </w:t>
      </w:r>
    </w:p>
    <w:p w:rsidR="002E1CCB" w:rsidRPr="00853F7A" w:rsidRDefault="0028677B" w:rsidP="009F546B">
      <w:pPr>
        <w:widowControl w:val="0"/>
        <w:numPr>
          <w:ilvl w:val="1"/>
          <w:numId w:val="1"/>
        </w:numPr>
        <w:spacing w:after="120"/>
        <w:rPr>
          <w:rFonts w:asciiTheme="minorHAnsi" w:hAnsiTheme="minorHAnsi"/>
          <w:bCs/>
          <w:snapToGrid w:val="0"/>
        </w:rPr>
      </w:pPr>
      <w:r w:rsidRPr="00917FFB">
        <w:rPr>
          <w:rFonts w:cstheme="minorHAnsi"/>
        </w:rPr>
        <w:t>T</w:t>
      </w:r>
      <w:r w:rsidR="006D6B6F" w:rsidRPr="00917FFB">
        <w:rPr>
          <w:rFonts w:cstheme="minorHAnsi"/>
        </w:rPr>
        <w:t>he pre-PBAC response</w:t>
      </w:r>
      <w:r w:rsidRPr="000D2978">
        <w:rPr>
          <w:rFonts w:cstheme="minorHAnsi"/>
        </w:rPr>
        <w:t xml:space="preserve"> stated</w:t>
      </w:r>
      <w:r w:rsidR="0073780F" w:rsidRPr="000D2978">
        <w:rPr>
          <w:rFonts w:cstheme="minorHAnsi"/>
        </w:rPr>
        <w:t xml:space="preserve"> </w:t>
      </w:r>
      <w:r w:rsidR="0043512F" w:rsidRPr="000D2978">
        <w:rPr>
          <w:rFonts w:cstheme="minorHAnsi"/>
        </w:rPr>
        <w:t xml:space="preserve">that </w:t>
      </w:r>
      <w:r w:rsidR="006D6B6F" w:rsidRPr="00853F7A">
        <w:rPr>
          <w:rFonts w:asciiTheme="minorHAnsi" w:hAnsiTheme="minorHAnsi"/>
          <w:bCs/>
          <w:snapToGrid w:val="0"/>
        </w:rPr>
        <w:t>most</w:t>
      </w:r>
      <w:r w:rsidR="006D6B6F" w:rsidRPr="00917FFB">
        <w:t xml:space="preserve"> patients are expected to receive treatment with BARI 4 mg + TCS in Australian clinical practice and hence the BARI 2 mg results are less relevant. </w:t>
      </w:r>
      <w:r w:rsidR="006D6B6F" w:rsidRPr="00853F7A">
        <w:rPr>
          <w:rFonts w:asciiTheme="minorHAnsi" w:hAnsiTheme="minorHAnsi"/>
          <w:bCs/>
          <w:snapToGrid w:val="0"/>
        </w:rPr>
        <w:t>T</w:t>
      </w:r>
      <w:r w:rsidR="00AC7C21" w:rsidRPr="00917FFB">
        <w:rPr>
          <w:iCs/>
        </w:rPr>
        <w:t>he submission</w:t>
      </w:r>
      <w:r w:rsidR="006D6B6F" w:rsidRPr="00917FFB">
        <w:rPr>
          <w:iCs/>
        </w:rPr>
        <w:t xml:space="preserve"> </w:t>
      </w:r>
      <w:r w:rsidR="00AC7C21" w:rsidRPr="00917FFB">
        <w:rPr>
          <w:iCs/>
        </w:rPr>
        <w:t xml:space="preserve">presented supportive evidence to inform the maintenance of response over time and the up-titration from BARI 2 mg to 4 mg. </w:t>
      </w:r>
      <w:r w:rsidR="00021A64" w:rsidRPr="000D2978">
        <w:rPr>
          <w:iCs/>
        </w:rPr>
        <w:t>T</w:t>
      </w:r>
      <w:r w:rsidR="009F546B" w:rsidRPr="000D2978">
        <w:rPr>
          <w:iCs/>
        </w:rPr>
        <w:t>he PBAC considered that the evidence presented d</w:t>
      </w:r>
      <w:r w:rsidR="001A4A8A" w:rsidRPr="000D2978">
        <w:rPr>
          <w:iCs/>
        </w:rPr>
        <w:t>id</w:t>
      </w:r>
      <w:r w:rsidR="009F546B" w:rsidRPr="00EE1454">
        <w:rPr>
          <w:iCs/>
        </w:rPr>
        <w:t xml:space="preserve"> not clearly demonstrate a benefit for the up-titration from BARI 2 mg to BARI 4 mg in patie</w:t>
      </w:r>
      <w:r w:rsidR="009F546B" w:rsidRPr="00917FFB">
        <w:rPr>
          <w:iCs/>
        </w:rPr>
        <w:t xml:space="preserve">nts with an inadequate response to BARI 2 mg (see Table 8), and </w:t>
      </w:r>
      <w:r w:rsidR="004F771D" w:rsidRPr="00917FFB">
        <w:rPr>
          <w:iCs/>
        </w:rPr>
        <w:t>the efficacy of this approach in practice is unclear</w:t>
      </w:r>
      <w:r w:rsidR="009F546B" w:rsidRPr="00917FFB">
        <w:rPr>
          <w:iCs/>
        </w:rPr>
        <w:t xml:space="preserve">. </w:t>
      </w:r>
      <w:r w:rsidR="001E63E0" w:rsidRPr="00917FFB">
        <w:rPr>
          <w:iCs/>
        </w:rPr>
        <w:t xml:space="preserve">Furthermore, the PBAC noted </w:t>
      </w:r>
      <w:r w:rsidR="004A14B4" w:rsidRPr="00917FFB">
        <w:rPr>
          <w:iCs/>
        </w:rPr>
        <w:t xml:space="preserve">that </w:t>
      </w:r>
      <w:r w:rsidR="001E63E0" w:rsidRPr="00917FFB">
        <w:rPr>
          <w:iCs/>
        </w:rPr>
        <w:t xml:space="preserve">treatment response </w:t>
      </w:r>
      <w:r w:rsidR="004F771D" w:rsidRPr="00917FFB">
        <w:rPr>
          <w:iCs/>
        </w:rPr>
        <w:t xml:space="preserve">appeared to </w:t>
      </w:r>
      <w:r w:rsidR="001E63E0" w:rsidRPr="00917FFB">
        <w:rPr>
          <w:iCs/>
        </w:rPr>
        <w:t xml:space="preserve">generally decline over time, </w:t>
      </w:r>
      <w:r w:rsidR="004F771D" w:rsidRPr="00917FFB">
        <w:rPr>
          <w:iCs/>
        </w:rPr>
        <w:t>though interpretation of these outcomes was difficult due to small patient numbers and the complicated trial design</w:t>
      </w:r>
      <w:r w:rsidR="001E63E0" w:rsidRPr="00917FFB">
        <w:rPr>
          <w:iCs/>
        </w:rPr>
        <w:t xml:space="preserve">. </w:t>
      </w:r>
    </w:p>
    <w:p w:rsidR="00B35170" w:rsidRPr="00853F7A" w:rsidRDefault="00713C68" w:rsidP="00800914">
      <w:pPr>
        <w:widowControl w:val="0"/>
        <w:numPr>
          <w:ilvl w:val="1"/>
          <w:numId w:val="1"/>
        </w:numPr>
        <w:spacing w:after="120"/>
        <w:rPr>
          <w:rFonts w:asciiTheme="minorHAnsi" w:hAnsiTheme="minorHAnsi"/>
          <w:bCs/>
          <w:snapToGrid w:val="0"/>
        </w:rPr>
      </w:pPr>
      <w:r w:rsidRPr="00917FFB">
        <w:rPr>
          <w:iCs/>
        </w:rPr>
        <w:t xml:space="preserve">Overall, the PBAC considered that the clinical claim of inferior comparative effectiveness for BARI </w:t>
      </w:r>
      <w:r w:rsidR="00B35170" w:rsidRPr="00917FFB">
        <w:rPr>
          <w:iCs/>
        </w:rPr>
        <w:t>versus</w:t>
      </w:r>
      <w:r w:rsidRPr="00917FFB">
        <w:rPr>
          <w:iCs/>
        </w:rPr>
        <w:t xml:space="preserve"> DUPI was reasonable, however the magnitude of the reduction in response is u</w:t>
      </w:r>
      <w:r w:rsidRPr="000D2978">
        <w:rPr>
          <w:iCs/>
        </w:rPr>
        <w:t>ncertain and varied depending on the statistic considered and whether monotherapy trials were included.</w:t>
      </w:r>
    </w:p>
    <w:p w:rsidR="00CF3674" w:rsidRPr="00853F7A" w:rsidRDefault="0012667E" w:rsidP="009F546B">
      <w:pPr>
        <w:widowControl w:val="0"/>
        <w:numPr>
          <w:ilvl w:val="1"/>
          <w:numId w:val="1"/>
        </w:numPr>
        <w:spacing w:after="120"/>
        <w:rPr>
          <w:rFonts w:asciiTheme="minorHAnsi" w:hAnsiTheme="minorHAnsi"/>
          <w:bCs/>
          <w:snapToGrid w:val="0"/>
        </w:rPr>
      </w:pPr>
      <w:r w:rsidRPr="00917FFB">
        <w:t>In the BARI trials t</w:t>
      </w:r>
      <w:r w:rsidR="00B35170" w:rsidRPr="00917FFB">
        <w:t xml:space="preserve">he majority of safety outcomes were only </w:t>
      </w:r>
      <w:r w:rsidRPr="00917FFB">
        <w:t xml:space="preserve">reported </w:t>
      </w:r>
      <w:r w:rsidR="00B35170" w:rsidRPr="00917FFB">
        <w:t xml:space="preserve">up to 16 weeks, and comparisons with </w:t>
      </w:r>
      <w:r w:rsidR="00CF3674" w:rsidRPr="000D2978">
        <w:t>DUPI</w:t>
      </w:r>
      <w:r w:rsidR="00B35170" w:rsidRPr="000D2978">
        <w:t xml:space="preserve"> were only presented in broad categories. </w:t>
      </w:r>
      <w:r w:rsidR="00CF3674" w:rsidRPr="000D2978">
        <w:t xml:space="preserve">The </w:t>
      </w:r>
      <w:r w:rsidR="00CF3674" w:rsidRPr="00F5426F">
        <w:t xml:space="preserve">ESC </w:t>
      </w:r>
      <w:r w:rsidR="00CF3674" w:rsidRPr="00917FFB">
        <w:t>noted there is an increased risk of infection</w:t>
      </w:r>
      <w:r w:rsidR="001A7D81" w:rsidRPr="00917FFB">
        <w:t xml:space="preserve"> (herpes zoster and serious and opportunistic infections)</w:t>
      </w:r>
      <w:r w:rsidR="00CF3674" w:rsidRPr="00917FFB">
        <w:t xml:space="preserve"> and malignancy associated with JAK inhibitors versus IL-4 inhibitors as a result of immunosuppression, and an increased risk of thrombosis.</w:t>
      </w:r>
      <w:r w:rsidR="001A7D81" w:rsidRPr="00917FFB">
        <w:t xml:space="preserve"> </w:t>
      </w:r>
      <w:r w:rsidR="00824426" w:rsidRPr="00917FFB">
        <w:t>A</w:t>
      </w:r>
      <w:r w:rsidRPr="00917FFB">
        <w:t>lthough</w:t>
      </w:r>
      <w:r w:rsidR="00CF3674" w:rsidRPr="00917FFB">
        <w:t xml:space="preserve"> additional safety data in treatment of rheumatoid arthritis up to 8.4 years</w:t>
      </w:r>
      <w:r w:rsidRPr="00917FFB">
        <w:t xml:space="preserve"> was provided in the pre-PBAC response, </w:t>
      </w:r>
      <w:r w:rsidR="00824426" w:rsidRPr="00917FFB">
        <w:t>t</w:t>
      </w:r>
      <w:r w:rsidR="00B35170" w:rsidRPr="00917FFB">
        <w:t xml:space="preserve">he PBAC considered </w:t>
      </w:r>
      <w:r w:rsidR="004A14B4" w:rsidRPr="00917FFB">
        <w:t>long-term</w:t>
      </w:r>
      <w:r w:rsidR="00824426" w:rsidRPr="00917FFB">
        <w:t xml:space="preserve"> safety concerns remain</w:t>
      </w:r>
      <w:r w:rsidR="004868F7" w:rsidRPr="00917FFB">
        <w:t xml:space="preserve"> regarding the risk of thrombosis from JAK inhibitors </w:t>
      </w:r>
      <w:r w:rsidR="00824426" w:rsidRPr="00917FFB">
        <w:t>and BARI is likely</w:t>
      </w:r>
      <w:r w:rsidR="004868F7" w:rsidRPr="00917FFB">
        <w:t xml:space="preserve"> to be</w:t>
      </w:r>
      <w:r w:rsidR="00824426" w:rsidRPr="00917FFB">
        <w:t xml:space="preserve"> inferior to DUPI in terms of safety</w:t>
      </w:r>
      <w:r w:rsidR="004868F7" w:rsidRPr="00917FFB">
        <w:t xml:space="preserve"> based on the increased risk of infections</w:t>
      </w:r>
      <w:r w:rsidR="00824426" w:rsidRPr="00917FFB">
        <w:t xml:space="preserve">. </w:t>
      </w:r>
    </w:p>
    <w:p w:rsidR="00FA633F" w:rsidRPr="00853F7A" w:rsidRDefault="008F69AD" w:rsidP="00FA633F">
      <w:pPr>
        <w:widowControl w:val="0"/>
        <w:numPr>
          <w:ilvl w:val="1"/>
          <w:numId w:val="1"/>
        </w:numPr>
        <w:spacing w:after="120"/>
        <w:rPr>
          <w:rFonts w:asciiTheme="minorHAnsi" w:hAnsiTheme="minorHAnsi"/>
          <w:bCs/>
          <w:snapToGrid w:val="0"/>
        </w:rPr>
      </w:pPr>
      <w:r w:rsidRPr="00853F7A">
        <w:rPr>
          <w:rFonts w:asciiTheme="minorHAnsi" w:hAnsiTheme="minorHAnsi"/>
          <w:bCs/>
          <w:snapToGrid w:val="0"/>
        </w:rPr>
        <w:t xml:space="preserve">The submission presented </w:t>
      </w:r>
      <w:r w:rsidRPr="00917FFB">
        <w:t xml:space="preserve">a </w:t>
      </w:r>
      <w:r w:rsidR="0043512F" w:rsidRPr="00917FFB">
        <w:t xml:space="preserve">cost </w:t>
      </w:r>
      <w:r w:rsidRPr="00917FFB">
        <w:t xml:space="preserve">comparison of BARI </w:t>
      </w:r>
      <w:r w:rsidR="0043512F" w:rsidRPr="00917FFB">
        <w:t>and</w:t>
      </w:r>
      <w:r w:rsidRPr="000D2978">
        <w:t xml:space="preserve"> DUPI</w:t>
      </w:r>
      <w:r w:rsidR="0043512F" w:rsidRPr="000D2978">
        <w:t xml:space="preserve"> over a two-year period</w:t>
      </w:r>
      <w:r w:rsidRPr="000D2978">
        <w:t xml:space="preserve"> based on the doses recommended for AD</w:t>
      </w:r>
      <w:r w:rsidR="007205A9" w:rsidRPr="00917FFB">
        <w:t>:</w:t>
      </w:r>
      <w:r w:rsidRPr="00917FFB">
        <w:t xml:space="preserve"> BARI 2 mg/4 mg once daily </w:t>
      </w:r>
      <w:r w:rsidR="0043512F" w:rsidRPr="00917FFB">
        <w:t>and</w:t>
      </w:r>
      <w:r w:rsidRPr="00917FFB">
        <w:t xml:space="preserve"> DUPI 600 mg as an initial dose, then 300 mg every two weeks</w:t>
      </w:r>
      <w:r w:rsidR="007205A9" w:rsidRPr="00917FFB">
        <w:t xml:space="preserve"> </w:t>
      </w:r>
      <w:r w:rsidRPr="00917FFB">
        <w:t>thereafter</w:t>
      </w:r>
      <w:r w:rsidR="009D7626" w:rsidRPr="00917FFB">
        <w:t>. The cost calculations included</w:t>
      </w:r>
      <w:r w:rsidR="006C52A7" w:rsidRPr="00917FFB">
        <w:t xml:space="preserve"> a </w:t>
      </w:r>
      <w:r w:rsidR="00B1613E">
        <w:rPr>
          <w:noProof/>
          <w:color w:val="000000"/>
          <w:highlight w:val="black"/>
        </w:rPr>
        <w:t>''''''''''</w:t>
      </w:r>
      <w:r w:rsidR="006C52A7" w:rsidRPr="00917FFB">
        <w:t xml:space="preserve">% discount on the total costs to </w:t>
      </w:r>
      <w:r w:rsidR="00FA633F" w:rsidRPr="00917FFB">
        <w:t>reflect the inferior efficacy of BARI</w:t>
      </w:r>
      <w:r w:rsidR="009D7626" w:rsidRPr="00917FFB">
        <w:t xml:space="preserve">, based on the </w:t>
      </w:r>
      <w:r w:rsidR="00FA633F" w:rsidRPr="00917FFB">
        <w:t xml:space="preserve">estimated </w:t>
      </w:r>
      <w:r w:rsidR="006142B3">
        <w:rPr>
          <w:noProof/>
          <w:color w:val="000000"/>
          <w:highlight w:val="black"/>
        </w:rPr>
        <w:t>''''''''''''''''</w:t>
      </w:r>
      <w:r w:rsidR="00FA633F" w:rsidRPr="00FD4FA5">
        <w:t xml:space="preserve"> percentage</w:t>
      </w:r>
      <w:r w:rsidR="00FA633F" w:rsidRPr="00917FFB">
        <w:t xml:space="preserve"> reduction in responders for BARI versus DUPI at Week 16</w:t>
      </w:r>
      <w:r w:rsidR="009D7626" w:rsidRPr="00917FFB">
        <w:t xml:space="preserve">. In the pre-PBAC response </w:t>
      </w:r>
      <w:r w:rsidR="00D67EE1" w:rsidRPr="00917FFB">
        <w:t>the discount</w:t>
      </w:r>
      <w:r w:rsidR="009D7626" w:rsidRPr="00917FFB">
        <w:t xml:space="preserve"> was </w:t>
      </w:r>
      <w:r w:rsidR="00D67EE1" w:rsidRPr="00917FFB">
        <w:t>increased</w:t>
      </w:r>
      <w:r w:rsidR="009D7626" w:rsidRPr="00917FFB">
        <w:t xml:space="preserve"> to </w:t>
      </w:r>
      <w:r w:rsidR="00B1613E">
        <w:rPr>
          <w:noProof/>
          <w:color w:val="000000"/>
          <w:highlight w:val="black"/>
        </w:rPr>
        <w:t>'''''</w:t>
      </w:r>
      <w:r w:rsidR="00FA633F" w:rsidRPr="00917FFB">
        <w:t>%</w:t>
      </w:r>
      <w:r w:rsidR="009D7626" w:rsidRPr="00917FFB">
        <w:t xml:space="preserve">, based on the </w:t>
      </w:r>
      <w:r w:rsidR="006142B3">
        <w:rPr>
          <w:noProof/>
          <w:color w:val="000000"/>
          <w:highlight w:val="black"/>
        </w:rPr>
        <w:t>'''''' ''''''''' ''''' '''''''''</w:t>
      </w:r>
      <w:r w:rsidR="00FA633F" w:rsidRPr="00917FFB">
        <w:t xml:space="preserve"> for BARI 2 mg versus DUPI </w:t>
      </w:r>
      <w:r w:rsidR="009D7626" w:rsidRPr="00917FFB">
        <w:t>(</w:t>
      </w:r>
      <w:r w:rsidR="00FA633F" w:rsidRPr="00917FFB">
        <w:t xml:space="preserve">see Table 5). </w:t>
      </w:r>
    </w:p>
    <w:p w:rsidR="00022B58" w:rsidRPr="00853F7A" w:rsidRDefault="009D7626" w:rsidP="005B7A75">
      <w:pPr>
        <w:widowControl w:val="0"/>
        <w:numPr>
          <w:ilvl w:val="1"/>
          <w:numId w:val="1"/>
        </w:numPr>
        <w:spacing w:after="120"/>
        <w:rPr>
          <w:rFonts w:asciiTheme="minorHAnsi" w:hAnsiTheme="minorHAnsi"/>
          <w:bCs/>
          <w:snapToGrid w:val="0"/>
        </w:rPr>
      </w:pPr>
      <w:r w:rsidRPr="00917FFB">
        <w:t>The PBAC noted that the economic evaluation presented in the submission did not capture the full incremental cost and consequences of listing BARI on the PBS</w:t>
      </w:r>
      <w:r w:rsidRPr="000D2978">
        <w:t xml:space="preserve">. </w:t>
      </w:r>
      <w:bookmarkStart w:id="37" w:name="_Ref78385171"/>
      <w:r w:rsidR="00B52CA6" w:rsidRPr="000D2978">
        <w:t>Given the clinical conclusion was inferior effectiveness versus DUPI, the PBAC consid</w:t>
      </w:r>
      <w:r w:rsidR="00B62D8A" w:rsidRPr="000D2978">
        <w:t>ered</w:t>
      </w:r>
      <w:r w:rsidR="00B52CA6" w:rsidRPr="00F5426F">
        <w:t xml:space="preserve"> a co</w:t>
      </w:r>
      <w:r w:rsidR="00B52CA6" w:rsidRPr="00917FFB">
        <w:t xml:space="preserve">st-effectiveness analysis </w:t>
      </w:r>
      <w:r w:rsidR="00B62D8A" w:rsidRPr="00917FFB">
        <w:t xml:space="preserve">would </w:t>
      </w:r>
      <w:r w:rsidR="004F4204" w:rsidRPr="00917FFB">
        <w:t xml:space="preserve">have </w:t>
      </w:r>
      <w:r w:rsidR="00B62D8A" w:rsidRPr="00917FFB">
        <w:t>been a more appropriate approach</w:t>
      </w:r>
      <w:r w:rsidR="00511FA4" w:rsidRPr="00917FFB">
        <w:t xml:space="preserve"> in order to capture</w:t>
      </w:r>
      <w:r w:rsidR="00C43540" w:rsidRPr="00917FFB">
        <w:t xml:space="preserve"> </w:t>
      </w:r>
      <w:r w:rsidR="00B52CA6" w:rsidRPr="00917FFB">
        <w:rPr>
          <w:iCs/>
        </w:rPr>
        <w:t>i) any differences in continued response between DUPI and BARI beyond 16 weeks; and ii) other sequelae of inferior effectiveness such as a reduction in quality of life or increase in the cost of alternative treatments to manage the condition.</w:t>
      </w:r>
      <w:r w:rsidR="00055D5B" w:rsidRPr="00917FFB">
        <w:rPr>
          <w:iCs/>
        </w:rPr>
        <w:t xml:space="preserve"> </w:t>
      </w:r>
      <w:r w:rsidR="00890557" w:rsidRPr="00917FFB">
        <w:rPr>
          <w:rFonts w:asciiTheme="minorHAnsi" w:hAnsiTheme="minorHAnsi" w:cstheme="minorHAnsi"/>
          <w:iCs/>
          <w:szCs w:val="22"/>
        </w:rPr>
        <w:t xml:space="preserve">The </w:t>
      </w:r>
      <w:r w:rsidR="008B387D" w:rsidRPr="00917FFB">
        <w:rPr>
          <w:rFonts w:asciiTheme="minorHAnsi" w:hAnsiTheme="minorHAnsi" w:cstheme="minorHAnsi"/>
          <w:iCs/>
          <w:szCs w:val="22"/>
        </w:rPr>
        <w:t xml:space="preserve">PBAC </w:t>
      </w:r>
      <w:r w:rsidR="00890557" w:rsidRPr="00917FFB">
        <w:rPr>
          <w:rFonts w:asciiTheme="minorHAnsi" w:hAnsiTheme="minorHAnsi" w:cstheme="minorHAnsi"/>
          <w:iCs/>
          <w:szCs w:val="22"/>
        </w:rPr>
        <w:t>noted that analyses</w:t>
      </w:r>
      <w:r w:rsidR="008B387D" w:rsidRPr="00917FFB">
        <w:rPr>
          <w:rFonts w:asciiTheme="minorHAnsi" w:hAnsiTheme="minorHAnsi" w:cstheme="minorHAnsi"/>
          <w:iCs/>
          <w:szCs w:val="22"/>
        </w:rPr>
        <w:t xml:space="preserve"> undertaken during the evaluation</w:t>
      </w:r>
      <w:r w:rsidR="00890557" w:rsidRPr="00917FFB">
        <w:rPr>
          <w:rFonts w:asciiTheme="minorHAnsi" w:hAnsiTheme="minorHAnsi" w:cstheme="minorHAnsi"/>
          <w:iCs/>
          <w:szCs w:val="22"/>
        </w:rPr>
        <w:t xml:space="preserve"> using the DUPI model were consistent with a larger price </w:t>
      </w:r>
      <w:r w:rsidR="008B387D" w:rsidRPr="00917FFB">
        <w:rPr>
          <w:rFonts w:asciiTheme="minorHAnsi" w:hAnsiTheme="minorHAnsi" w:cstheme="minorHAnsi"/>
          <w:iCs/>
          <w:szCs w:val="22"/>
        </w:rPr>
        <w:t xml:space="preserve">discount </w:t>
      </w:r>
      <w:r w:rsidR="00890557" w:rsidRPr="00917FFB">
        <w:rPr>
          <w:rFonts w:asciiTheme="minorHAnsi" w:hAnsiTheme="minorHAnsi" w:cstheme="minorHAnsi"/>
          <w:iCs/>
          <w:szCs w:val="22"/>
        </w:rPr>
        <w:t xml:space="preserve">than the original </w:t>
      </w:r>
      <w:r w:rsidR="00B1613E">
        <w:rPr>
          <w:rFonts w:asciiTheme="minorHAnsi" w:hAnsiTheme="minorHAnsi" w:cstheme="minorHAnsi"/>
          <w:iCs/>
          <w:noProof/>
          <w:color w:val="000000"/>
          <w:szCs w:val="22"/>
          <w:highlight w:val="black"/>
        </w:rPr>
        <w:t>''''''''''''</w:t>
      </w:r>
      <w:r w:rsidR="00890557" w:rsidRPr="00917FFB">
        <w:rPr>
          <w:rFonts w:asciiTheme="minorHAnsi" w:hAnsiTheme="minorHAnsi" w:cstheme="minorHAnsi"/>
          <w:iCs/>
          <w:szCs w:val="22"/>
        </w:rPr>
        <w:t>%.</w:t>
      </w:r>
      <w:bookmarkEnd w:id="37"/>
      <w:r w:rsidR="00890557" w:rsidRPr="00917FFB">
        <w:rPr>
          <w:rFonts w:asciiTheme="minorHAnsi" w:hAnsiTheme="minorHAnsi" w:cstheme="minorHAnsi"/>
          <w:iCs/>
          <w:szCs w:val="22"/>
        </w:rPr>
        <w:t xml:space="preserve"> </w:t>
      </w:r>
      <w:r w:rsidR="005B7A75" w:rsidRPr="00917FFB">
        <w:rPr>
          <w:rFonts w:asciiTheme="minorHAnsi" w:hAnsiTheme="minorHAnsi" w:cstheme="minorHAnsi"/>
          <w:iCs/>
          <w:szCs w:val="22"/>
        </w:rPr>
        <w:t xml:space="preserve">The PBAC further noted </w:t>
      </w:r>
      <w:r w:rsidR="005B7A75" w:rsidRPr="00853F7A">
        <w:rPr>
          <w:rFonts w:asciiTheme="minorHAnsi" w:hAnsiTheme="minorHAnsi"/>
          <w:bCs/>
          <w:snapToGrid w:val="0"/>
        </w:rPr>
        <w:t>t</w:t>
      </w:r>
      <w:r w:rsidR="00022B58" w:rsidRPr="00917FFB">
        <w:t>he literature suggests higher willingness to accept (WTA) for south west quadrant ICERs</w:t>
      </w:r>
      <w:r w:rsidR="00A15594">
        <w:t xml:space="preserve"> (where </w:t>
      </w:r>
      <w:r w:rsidR="00A15594" w:rsidRPr="00853F7A">
        <w:t>treatments are less effective and less costly)</w:t>
      </w:r>
      <w:r w:rsidR="00022B58" w:rsidRPr="00917FFB">
        <w:t xml:space="preserve"> compared to willingness to pay (WTP) for north east quadrant ICERs</w:t>
      </w:r>
      <w:r w:rsidR="00A15594">
        <w:t xml:space="preserve"> (where </w:t>
      </w:r>
      <w:r w:rsidR="00A15594" w:rsidRPr="002E21C0">
        <w:t xml:space="preserve">treatments are </w:t>
      </w:r>
      <w:r w:rsidR="00A15594">
        <w:t>more</w:t>
      </w:r>
      <w:r w:rsidR="00A15594" w:rsidRPr="002E21C0">
        <w:t xml:space="preserve"> effective and </w:t>
      </w:r>
      <w:r w:rsidR="00A15594">
        <w:t>more</w:t>
      </w:r>
      <w:r w:rsidR="00A15594" w:rsidRPr="002E21C0">
        <w:t xml:space="preserve"> costly</w:t>
      </w:r>
      <w:r w:rsidR="00A15594">
        <w:t>)</w:t>
      </w:r>
      <w:r w:rsidR="00022B58" w:rsidRPr="000D2978">
        <w:t xml:space="preserve">, indicating potential further price reductions are required to achieve an acceptable cost effectiveness in the south west quadrant for BARI versus DUPI. </w:t>
      </w:r>
    </w:p>
    <w:p w:rsidR="006F325D" w:rsidRPr="00917FFB" w:rsidRDefault="001C2AF4" w:rsidP="008B387D">
      <w:pPr>
        <w:widowControl w:val="0"/>
        <w:numPr>
          <w:ilvl w:val="1"/>
          <w:numId w:val="1"/>
        </w:numPr>
        <w:spacing w:after="120"/>
      </w:pPr>
      <w:r w:rsidRPr="00853F7A">
        <w:rPr>
          <w:rFonts w:asciiTheme="minorHAnsi" w:hAnsiTheme="minorHAnsi"/>
          <w:bCs/>
          <w:snapToGrid w:val="0"/>
        </w:rPr>
        <w:t xml:space="preserve">The PBAC </w:t>
      </w:r>
      <w:r w:rsidR="00052B69" w:rsidRPr="00853F7A">
        <w:rPr>
          <w:rFonts w:asciiTheme="minorHAnsi" w:hAnsiTheme="minorHAnsi"/>
          <w:bCs/>
          <w:snapToGrid w:val="0"/>
        </w:rPr>
        <w:t>noted that the submission estimated a net cost saving for the PBS due to the lower price for BARI compared to DUPI</w:t>
      </w:r>
      <w:r w:rsidR="00FF69F6" w:rsidRPr="00853F7A">
        <w:rPr>
          <w:rFonts w:asciiTheme="minorHAnsi" w:hAnsiTheme="minorHAnsi"/>
          <w:bCs/>
          <w:snapToGrid w:val="0"/>
        </w:rPr>
        <w:t>. The PBAC</w:t>
      </w:r>
      <w:r w:rsidR="004868F7" w:rsidRPr="00853F7A">
        <w:rPr>
          <w:rFonts w:asciiTheme="minorHAnsi" w:hAnsiTheme="minorHAnsi"/>
          <w:bCs/>
          <w:snapToGrid w:val="0"/>
        </w:rPr>
        <w:t xml:space="preserve"> </w:t>
      </w:r>
      <w:r w:rsidRPr="00853F7A">
        <w:rPr>
          <w:rFonts w:asciiTheme="minorHAnsi" w:hAnsiTheme="minorHAnsi"/>
          <w:bCs/>
          <w:snapToGrid w:val="0"/>
        </w:rPr>
        <w:t xml:space="preserve">considered that the </w:t>
      </w:r>
      <w:r w:rsidR="00FF69F6" w:rsidRPr="00853F7A">
        <w:rPr>
          <w:rFonts w:asciiTheme="minorHAnsi" w:hAnsiTheme="minorHAnsi"/>
          <w:bCs/>
          <w:snapToGrid w:val="0"/>
        </w:rPr>
        <w:t xml:space="preserve">estimated </w:t>
      </w:r>
      <w:r w:rsidRPr="00853F7A">
        <w:rPr>
          <w:rFonts w:asciiTheme="minorHAnsi" w:hAnsiTheme="minorHAnsi"/>
          <w:bCs/>
          <w:snapToGrid w:val="0"/>
        </w:rPr>
        <w:t xml:space="preserve">number of patients </w:t>
      </w:r>
      <w:r w:rsidR="007047AA" w:rsidRPr="00917FFB">
        <w:rPr>
          <w:bCs/>
        </w:rPr>
        <w:t xml:space="preserve">initiating BARI treatment was </w:t>
      </w:r>
      <w:r w:rsidR="00FF69F6" w:rsidRPr="00917FFB">
        <w:rPr>
          <w:bCs/>
        </w:rPr>
        <w:t>low (</w:t>
      </w:r>
      <w:r w:rsidR="0056468E">
        <w:rPr>
          <w:bCs/>
        </w:rPr>
        <w:t xml:space="preserve">&lt; 500 </w:t>
      </w:r>
      <w:r w:rsidR="00FF69F6" w:rsidRPr="00917FFB">
        <w:rPr>
          <w:bCs/>
        </w:rPr>
        <w:t>-</w:t>
      </w:r>
      <w:r w:rsidR="0056468E">
        <w:rPr>
          <w:bCs/>
        </w:rPr>
        <w:t xml:space="preserve"> &lt; 500</w:t>
      </w:r>
      <w:r w:rsidR="0056468E" w:rsidRPr="00917FFB">
        <w:rPr>
          <w:bCs/>
        </w:rPr>
        <w:t xml:space="preserve"> </w:t>
      </w:r>
      <w:r w:rsidR="00FF69F6" w:rsidRPr="00917FFB">
        <w:rPr>
          <w:bCs/>
        </w:rPr>
        <w:t xml:space="preserve">patients in each year) and may be </w:t>
      </w:r>
      <w:r w:rsidR="007047AA" w:rsidRPr="000D2978">
        <w:rPr>
          <w:bCs/>
        </w:rPr>
        <w:t>underestimated</w:t>
      </w:r>
      <w:r w:rsidR="003A369E" w:rsidRPr="000D2978">
        <w:rPr>
          <w:bCs/>
        </w:rPr>
        <w:t xml:space="preserve">. However, the PBAC </w:t>
      </w:r>
      <w:r w:rsidR="008B387D" w:rsidRPr="000D2978">
        <w:rPr>
          <w:bCs/>
        </w:rPr>
        <w:t>considered</w:t>
      </w:r>
      <w:r w:rsidR="003A369E" w:rsidRPr="00F5426F">
        <w:rPr>
          <w:bCs/>
        </w:rPr>
        <w:t xml:space="preserve"> given the inferior efficacy and safety compared with DUPI that it may not </w:t>
      </w:r>
      <w:r w:rsidR="00CA48EB" w:rsidRPr="00917FFB">
        <w:rPr>
          <w:bCs/>
        </w:rPr>
        <w:t xml:space="preserve">be </w:t>
      </w:r>
      <w:r w:rsidR="003A369E" w:rsidRPr="00917FFB">
        <w:rPr>
          <w:bCs/>
        </w:rPr>
        <w:t xml:space="preserve">reasonable to assume that BARI would replace DUPI in practice and therefore the cost savings estimated may not be realised. </w:t>
      </w:r>
    </w:p>
    <w:p w:rsidR="007047AA" w:rsidRPr="00917FFB" w:rsidRDefault="00CA48EB" w:rsidP="00D37914">
      <w:pPr>
        <w:widowControl w:val="0"/>
        <w:numPr>
          <w:ilvl w:val="1"/>
          <w:numId w:val="1"/>
        </w:numPr>
        <w:spacing w:after="120"/>
        <w:rPr>
          <w:rFonts w:asciiTheme="minorHAnsi" w:hAnsiTheme="minorHAnsi"/>
          <w:bCs/>
          <w:snapToGrid w:val="0"/>
        </w:rPr>
      </w:pPr>
      <w:r w:rsidRPr="00917FFB">
        <w:rPr>
          <w:rFonts w:asciiTheme="minorHAnsi" w:hAnsiTheme="minorHAnsi"/>
          <w:bCs/>
          <w:snapToGrid w:val="0"/>
        </w:rPr>
        <w:t xml:space="preserve">The PBAC considered that any resubmission should consider the appropriate clinical place for BARI, given its inferior efficacy and safety compared with DUPI. The PBAC </w:t>
      </w:r>
      <w:r w:rsidR="00B822E8" w:rsidRPr="00917FFB">
        <w:rPr>
          <w:rFonts w:asciiTheme="minorHAnsi" w:hAnsiTheme="minorHAnsi"/>
          <w:bCs/>
          <w:snapToGrid w:val="0"/>
        </w:rPr>
        <w:t xml:space="preserve">also </w:t>
      </w:r>
      <w:r w:rsidRPr="00917FFB">
        <w:rPr>
          <w:rFonts w:asciiTheme="minorHAnsi" w:hAnsiTheme="minorHAnsi"/>
          <w:bCs/>
          <w:snapToGrid w:val="0"/>
        </w:rPr>
        <w:t>considered that a revised economic evaluation should capture the full incremental cost and consequences of listing BARI on the PBS</w:t>
      </w:r>
      <w:r w:rsidR="00B822E8" w:rsidRPr="00917FFB">
        <w:rPr>
          <w:rFonts w:asciiTheme="minorHAnsi" w:hAnsiTheme="minorHAnsi"/>
          <w:bCs/>
          <w:snapToGrid w:val="0"/>
        </w:rPr>
        <w:t>,</w:t>
      </w:r>
      <w:r w:rsidRPr="00917FFB">
        <w:rPr>
          <w:rFonts w:asciiTheme="minorHAnsi" w:hAnsiTheme="minorHAnsi"/>
          <w:bCs/>
          <w:snapToGrid w:val="0"/>
        </w:rPr>
        <w:t xml:space="preserve"> as outlined in paragraph </w:t>
      </w:r>
      <w:r w:rsidR="00944DE5" w:rsidRPr="00917FFB">
        <w:rPr>
          <w:rFonts w:asciiTheme="minorHAnsi" w:hAnsiTheme="minorHAnsi"/>
          <w:bCs/>
          <w:snapToGrid w:val="0"/>
        </w:rPr>
        <w:t>7.13</w:t>
      </w:r>
      <w:r w:rsidR="00B822E8" w:rsidRPr="00917FFB">
        <w:rPr>
          <w:rFonts w:asciiTheme="minorHAnsi" w:hAnsiTheme="minorHAnsi"/>
          <w:bCs/>
          <w:snapToGrid w:val="0"/>
        </w:rPr>
        <w:t>.</w:t>
      </w:r>
    </w:p>
    <w:p w:rsidR="003B6291" w:rsidRPr="000D2978" w:rsidRDefault="002C4FFD" w:rsidP="00967196">
      <w:pPr>
        <w:widowControl w:val="0"/>
        <w:numPr>
          <w:ilvl w:val="1"/>
          <w:numId w:val="1"/>
        </w:numPr>
        <w:spacing w:after="120"/>
      </w:pPr>
      <w:r w:rsidRPr="000D2978">
        <w:rPr>
          <w:rFonts w:asciiTheme="minorHAnsi" w:hAnsiTheme="minorHAnsi"/>
          <w:bCs/>
          <w:snapToGrid w:val="0"/>
        </w:rPr>
        <w:t>The PBAC noted that this submission is eligible for an Independent Review.</w:t>
      </w:r>
    </w:p>
    <w:p w:rsidR="00967196" w:rsidRPr="00853F7A" w:rsidRDefault="00C20421" w:rsidP="00967196">
      <w:pPr>
        <w:spacing w:before="240"/>
        <w:rPr>
          <w:rFonts w:asciiTheme="minorHAnsi" w:hAnsiTheme="minorHAnsi"/>
          <w:b/>
          <w:bCs/>
          <w:snapToGrid w:val="0"/>
        </w:rPr>
      </w:pPr>
      <w:r w:rsidRPr="00853F7A">
        <w:rPr>
          <w:rFonts w:asciiTheme="minorHAnsi" w:hAnsiTheme="minorHAnsi"/>
          <w:bCs/>
          <w:snapToGrid w:val="0"/>
        </w:rPr>
        <w:br/>
      </w:r>
      <w:r w:rsidR="00967196" w:rsidRPr="00853F7A">
        <w:rPr>
          <w:rFonts w:asciiTheme="minorHAnsi" w:hAnsiTheme="minorHAnsi"/>
          <w:b/>
          <w:bCs/>
          <w:snapToGrid w:val="0"/>
        </w:rPr>
        <w:t>Outcome:</w:t>
      </w:r>
    </w:p>
    <w:p w:rsidR="00967196" w:rsidRPr="00853F7A" w:rsidRDefault="000D55A3" w:rsidP="00967196">
      <w:pPr>
        <w:rPr>
          <w:rFonts w:asciiTheme="minorHAnsi" w:hAnsiTheme="minorHAnsi"/>
          <w:bCs/>
          <w:snapToGrid w:val="0"/>
        </w:rPr>
      </w:pPr>
      <w:r>
        <w:rPr>
          <w:rFonts w:asciiTheme="minorHAnsi" w:hAnsiTheme="minorHAnsi"/>
          <w:bCs/>
          <w:snapToGrid w:val="0"/>
        </w:rPr>
        <w:t>Not recommended</w:t>
      </w:r>
    </w:p>
    <w:p w:rsidR="002C4FFD" w:rsidRDefault="002C4FFD" w:rsidP="002C4FFD">
      <w:pPr>
        <w:widowControl w:val="0"/>
        <w:spacing w:after="120"/>
        <w:rPr>
          <w:rFonts w:asciiTheme="minorHAnsi" w:hAnsiTheme="minorHAnsi"/>
          <w:snapToGrid w:val="0"/>
        </w:rPr>
      </w:pPr>
    </w:p>
    <w:p w:rsidR="00E24069" w:rsidRPr="0084736B" w:rsidRDefault="00E24069" w:rsidP="0084736B">
      <w:pPr>
        <w:pStyle w:val="2-SectionHeading"/>
        <w:numPr>
          <w:ilvl w:val="0"/>
          <w:numId w:val="1"/>
        </w:numPr>
      </w:pPr>
      <w:r w:rsidRPr="00C07617">
        <w:t>Context for Decision</w:t>
      </w:r>
    </w:p>
    <w:p w:rsidR="00E24069" w:rsidRPr="007129F2" w:rsidRDefault="00E24069" w:rsidP="0084736B">
      <w:pPr>
        <w:spacing w:after="120"/>
        <w:ind w:left="68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24069" w:rsidRPr="0084736B" w:rsidRDefault="00E24069" w:rsidP="0084736B">
      <w:pPr>
        <w:pStyle w:val="2-SectionHeading"/>
        <w:numPr>
          <w:ilvl w:val="0"/>
          <w:numId w:val="1"/>
        </w:numPr>
        <w:rPr>
          <w:b w:val="0"/>
        </w:rPr>
      </w:pPr>
      <w:r>
        <w:t>Sponsor’s Comment</w:t>
      </w:r>
    </w:p>
    <w:p w:rsidR="00E24069" w:rsidRPr="001179AC" w:rsidRDefault="00E24069" w:rsidP="0084736B">
      <w:pPr>
        <w:spacing w:after="120"/>
        <w:ind w:left="596" w:firstLine="84"/>
        <w:rPr>
          <w:bCs/>
        </w:rPr>
      </w:pPr>
      <w:r w:rsidRPr="00C07617">
        <w:rPr>
          <w:bCs/>
        </w:rPr>
        <w:t>The sponsor had no comment.</w:t>
      </w:r>
    </w:p>
    <w:p w:rsidR="00E24069" w:rsidRPr="00853F7A" w:rsidRDefault="00E24069" w:rsidP="002C4FFD">
      <w:pPr>
        <w:widowControl w:val="0"/>
        <w:spacing w:after="120"/>
        <w:rPr>
          <w:rFonts w:asciiTheme="minorHAnsi" w:hAnsiTheme="minorHAnsi"/>
          <w:snapToGrid w:val="0"/>
        </w:rPr>
      </w:pPr>
    </w:p>
    <w:p w:rsidR="002B79CB" w:rsidRPr="00853F7A" w:rsidRDefault="002B79CB" w:rsidP="00853F7A">
      <w:pPr>
        <w:pStyle w:val="NoSpacing"/>
        <w:rPr>
          <w:rFonts w:eastAsia="DengXian Light" w:cs="Times New Roman"/>
          <w:bCs/>
          <w:spacing w:val="15"/>
          <w:u w:val="single"/>
          <w:lang w:eastAsia="en-GB" w:bidi="en-US"/>
        </w:rPr>
      </w:pPr>
      <w:bookmarkStart w:id="38" w:name="_Toc72320862"/>
    </w:p>
    <w:bookmarkEnd w:id="32"/>
    <w:bookmarkEnd w:id="33"/>
    <w:bookmarkEnd w:id="34"/>
    <w:bookmarkEnd w:id="35"/>
    <w:bookmarkEnd w:id="36"/>
    <w:bookmarkEnd w:id="38"/>
    <w:p w:rsidR="004C3195" w:rsidRPr="00917FFB" w:rsidRDefault="004C3195" w:rsidP="00944DE5">
      <w:pPr>
        <w:pStyle w:val="TableFigureFooter"/>
        <w:keepNext/>
        <w:keepLines/>
        <w:spacing w:before="360"/>
        <w:ind w:left="720"/>
        <w:contextualSpacing w:val="0"/>
        <w:jc w:val="center"/>
        <w:outlineLvl w:val="0"/>
        <w:rPr>
          <w:i/>
        </w:rPr>
      </w:pPr>
    </w:p>
    <w:sectPr w:rsidR="004C3195" w:rsidRPr="00917FFB" w:rsidSect="003356EA">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3A4" w:rsidRDefault="007923A4" w:rsidP="00124A51">
      <w:r>
        <w:separator/>
      </w:r>
    </w:p>
    <w:p w:rsidR="007923A4" w:rsidRDefault="007923A4"/>
  </w:endnote>
  <w:endnote w:type="continuationSeparator" w:id="0">
    <w:p w:rsidR="007923A4" w:rsidRDefault="007923A4" w:rsidP="00124A51">
      <w:r>
        <w:continuationSeparator/>
      </w:r>
    </w:p>
    <w:p w:rsidR="007923A4" w:rsidRDefault="00792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00"/>
    <w:family w:val="roman"/>
    <w:notTrueType/>
    <w:pitch w:val="default"/>
    <w:sig w:usb0="00000000" w:usb1="08070000" w:usb2="00000010" w:usb3="00000000" w:csb0="0002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A4" w:rsidRDefault="00792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A4" w:rsidRDefault="007923A4">
    <w:pPr>
      <w:pStyle w:val="Footer"/>
      <w:jc w:val="center"/>
    </w:pPr>
  </w:p>
  <w:sdt>
    <w:sdtPr>
      <w:id w:val="288249928"/>
      <w:docPartObj>
        <w:docPartGallery w:val="Page Numbers (Bottom of Page)"/>
        <w:docPartUnique/>
      </w:docPartObj>
    </w:sdtPr>
    <w:sdtEndPr>
      <w:rPr>
        <w:b/>
        <w:bCs/>
        <w:noProof/>
      </w:rPr>
    </w:sdtEndPr>
    <w:sdtContent>
      <w:p w:rsidR="007923A4" w:rsidRPr="00685EAA" w:rsidRDefault="007923A4" w:rsidP="00685EAA">
        <w:pPr>
          <w:pStyle w:val="Footer"/>
          <w:jc w:val="center"/>
          <w:rPr>
            <w:b/>
            <w:bCs/>
          </w:rPr>
        </w:pPr>
        <w:r w:rsidRPr="00685EAA">
          <w:rPr>
            <w:b/>
            <w:bCs/>
          </w:rPr>
          <w:fldChar w:fldCharType="begin"/>
        </w:r>
        <w:r w:rsidRPr="00685EAA">
          <w:rPr>
            <w:b/>
            <w:bCs/>
          </w:rPr>
          <w:instrText xml:space="preserve"> PAGE   \* MERGEFORMAT </w:instrText>
        </w:r>
        <w:r w:rsidRPr="00685EAA">
          <w:rPr>
            <w:b/>
            <w:bCs/>
          </w:rPr>
          <w:fldChar w:fldCharType="separate"/>
        </w:r>
        <w:r w:rsidR="00C87EC4">
          <w:rPr>
            <w:b/>
            <w:bCs/>
            <w:noProof/>
          </w:rPr>
          <w:t>35</w:t>
        </w:r>
        <w:r w:rsidRPr="00685EAA">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A4" w:rsidRDefault="0079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3A4" w:rsidRDefault="007923A4" w:rsidP="00124A51">
      <w:r>
        <w:separator/>
      </w:r>
    </w:p>
    <w:p w:rsidR="007923A4" w:rsidRDefault="007923A4"/>
  </w:footnote>
  <w:footnote w:type="continuationSeparator" w:id="0">
    <w:p w:rsidR="007923A4" w:rsidRDefault="007923A4" w:rsidP="00124A51">
      <w:r>
        <w:continuationSeparator/>
      </w:r>
    </w:p>
    <w:p w:rsidR="007923A4" w:rsidRDefault="007923A4"/>
  </w:footnote>
  <w:footnote w:id="1">
    <w:p w:rsidR="007923A4" w:rsidRDefault="007923A4">
      <w:pPr>
        <w:pStyle w:val="FootnoteText"/>
      </w:pPr>
      <w:r>
        <w:rPr>
          <w:rStyle w:val="FootnoteReference"/>
        </w:rPr>
        <w:footnoteRef/>
      </w:r>
      <w:r>
        <w:t xml:space="preserve"> Genovese et al 2020a. “</w:t>
      </w:r>
      <w:r w:rsidRPr="0038468F">
        <w:t>Safety Profile of Baricitinib for the Treatment of Rheumatoid Arthritis up to 8.4 Years: An Updated Integrated Safety Analysis” EULAR 3rd June 2020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A4" w:rsidRDefault="00792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A4" w:rsidRPr="00056684" w:rsidRDefault="007923A4" w:rsidP="00685EAA">
    <w:pPr>
      <w:pStyle w:val="Header"/>
      <w:ind w:left="360"/>
      <w:rPr>
        <w:rFonts w:asciiTheme="minorHAnsi" w:hAnsiTheme="minorHAnsi"/>
        <w:i/>
        <w:color w:val="808080"/>
      </w:rPr>
    </w:pPr>
    <w:r w:rsidRPr="00E24069">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July 2021</w:t>
    </w:r>
    <w:r w:rsidRPr="00056684">
      <w:rPr>
        <w:rFonts w:asciiTheme="minorHAnsi" w:hAnsiTheme="minorHAnsi"/>
        <w:i/>
        <w:color w:val="808080"/>
      </w:rPr>
      <w:t xml:space="preserve"> PBAC Meeting</w:t>
    </w:r>
  </w:p>
  <w:p w:rsidR="007923A4" w:rsidRDefault="007923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A4" w:rsidRDefault="00792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A4179C"/>
    <w:lvl w:ilvl="0">
      <w:start w:val="1"/>
      <w:numFmt w:val="bullet"/>
      <w:pStyle w:val="ListBullet"/>
      <w:lvlText w:val=""/>
      <w:lvlJc w:val="left"/>
      <w:pPr>
        <w:tabs>
          <w:tab w:val="num" w:pos="281"/>
        </w:tabs>
        <w:ind w:left="281"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616DF9"/>
    <w:multiLevelType w:val="hybridMultilevel"/>
    <w:tmpl w:val="6BD8DE76"/>
    <w:lvl w:ilvl="0" w:tplc="9B860D12">
      <w:start w:val="1"/>
      <w:numFmt w:val="decimal"/>
      <w:lvlText w:val="%1."/>
      <w:lvlJc w:val="right"/>
      <w:pPr>
        <w:ind w:left="360" w:hanging="360"/>
      </w:pPr>
      <w:rPr>
        <w:rFonts w:ascii="Calibri" w:eastAsiaTheme="majorEastAsia" w:hAnsi="Calibri" w:cstheme="maj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72E92"/>
    <w:multiLevelType w:val="hybridMultilevel"/>
    <w:tmpl w:val="711A83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4C02E1"/>
    <w:multiLevelType w:val="hybridMultilevel"/>
    <w:tmpl w:val="54DE1CC6"/>
    <w:lvl w:ilvl="0" w:tplc="0C090001">
      <w:start w:val="1"/>
      <w:numFmt w:val="bullet"/>
      <w:lvlText w:val=""/>
      <w:lvlJc w:val="left"/>
      <w:pPr>
        <w:ind w:left="1001" w:hanging="360"/>
      </w:pPr>
      <w:rPr>
        <w:rFonts w:ascii="Symbol" w:hAnsi="Symbol" w:hint="default"/>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7" w15:restartNumberingAfterBreak="0">
    <w:nsid w:val="156860B0"/>
    <w:multiLevelType w:val="hybridMultilevel"/>
    <w:tmpl w:val="711A83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C316E"/>
    <w:multiLevelType w:val="hybridMultilevel"/>
    <w:tmpl w:val="E1E0DEE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FA208F"/>
    <w:multiLevelType w:val="multilevel"/>
    <w:tmpl w:val="76B8D5A2"/>
    <w:styleLink w:val="Style1"/>
    <w:lvl w:ilvl="0">
      <w:start w:val="2"/>
      <w:numFmt w:val="upperLetter"/>
      <w:lvlText w:val="%1(i)."/>
      <w:lvlJc w:val="left"/>
      <w:pPr>
        <w:ind w:left="360" w:hanging="360"/>
      </w:pPr>
      <w:rPr>
        <w:rFonts w:ascii="Arial" w:hAnsi="Arial" w:hint="default"/>
        <w:b/>
        <w:sz w:val="22"/>
      </w:rPr>
    </w:lvl>
    <w:lvl w:ilvl="1">
      <w:start w:val="1"/>
      <w:numFmt w:val="decimal"/>
      <w:lvlText w:val="%1(i).%2."/>
      <w:lvlJc w:val="left"/>
      <w:pPr>
        <w:ind w:left="432" w:hanging="432"/>
      </w:pPr>
      <w:rPr>
        <w:rFonts w:ascii="Arial" w:hAnsi="Arial" w:hint="default"/>
        <w:b/>
        <w:sz w:val="22"/>
      </w:rPr>
    </w:lvl>
    <w:lvl w:ilvl="2">
      <w:start w:val="1"/>
      <w:numFmt w:val="decimal"/>
      <w:lvlText w:val="%1(i).%2.%3."/>
      <w:lvlJc w:val="left"/>
      <w:pPr>
        <w:ind w:left="504" w:hanging="504"/>
      </w:pPr>
      <w:rPr>
        <w:rFonts w:ascii="Arial" w:hAnsi="Arial" w:hint="default"/>
        <w:b/>
        <w:sz w:val="22"/>
      </w:rPr>
    </w:lvl>
    <w:lvl w:ilvl="3">
      <w:start w:val="1"/>
      <w:numFmt w:val="decimal"/>
      <w:lvlText w:val="%1(i).%2.%3.%4."/>
      <w:lvlJc w:val="left"/>
      <w:pPr>
        <w:ind w:left="648" w:hanging="648"/>
      </w:pPr>
      <w:rPr>
        <w:rFonts w:ascii="Arial" w:hAnsi="Arial" w:hint="default"/>
        <w:b/>
        <w:sz w:val="22"/>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B052F1"/>
    <w:multiLevelType w:val="hybridMultilevel"/>
    <w:tmpl w:val="98928B44"/>
    <w:lvl w:ilvl="0" w:tplc="2BD4D5C4">
      <w:start w:val="1"/>
      <w:numFmt w:val="bullet"/>
      <w:pStyle w:val="Bull1tabletext"/>
      <w:lvlText w:val=""/>
      <w:lvlJc w:val="left"/>
      <w:pPr>
        <w:ind w:left="360" w:hanging="360"/>
      </w:pPr>
      <w:rPr>
        <w:rFonts w:ascii="Wingdings" w:hAnsi="Wingdings" w:hint="default"/>
      </w:rPr>
    </w:lvl>
    <w:lvl w:ilvl="1" w:tplc="47FA9F64">
      <w:start w:val="1"/>
      <w:numFmt w:val="bullet"/>
      <w:pStyle w:val="Bull2tabletex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7186B"/>
    <w:multiLevelType w:val="hybridMultilevel"/>
    <w:tmpl w:val="5A06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F96F87"/>
    <w:multiLevelType w:val="hybridMultilevel"/>
    <w:tmpl w:val="D564DD14"/>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D5062F"/>
    <w:multiLevelType w:val="hybridMultilevel"/>
    <w:tmpl w:val="A97A5220"/>
    <w:lvl w:ilvl="0" w:tplc="1C567AB8">
      <w:start w:val="1"/>
      <w:numFmt w:val="decimal"/>
      <w:pStyle w:val="Num1tab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0C5025D"/>
    <w:multiLevelType w:val="hybridMultilevel"/>
    <w:tmpl w:val="5A06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0B6ECC"/>
    <w:multiLevelType w:val="hybridMultilevel"/>
    <w:tmpl w:val="C74AD762"/>
    <w:lvl w:ilvl="0" w:tplc="DEFAC1A4">
      <w:start w:val="1"/>
      <w:numFmt w:val="bullet"/>
      <w:pStyle w:val="NormalBulletList"/>
      <w:lvlText w:val=""/>
      <w:lvlJc w:val="left"/>
      <w:pPr>
        <w:ind w:left="720" w:hanging="360"/>
      </w:pPr>
      <w:rPr>
        <w:rFonts w:ascii="Symbol" w:hAnsi="Symbol" w:hint="default"/>
      </w:rPr>
    </w:lvl>
    <w:lvl w:ilvl="1" w:tplc="853CC43C">
      <w:start w:val="1"/>
      <w:numFmt w:val="bullet"/>
      <w:pStyle w:val="NormalBulletList2"/>
      <w:lvlText w:val="o"/>
      <w:lvlJc w:val="left"/>
      <w:pPr>
        <w:ind w:left="1440" w:hanging="360"/>
      </w:pPr>
      <w:rPr>
        <w:rFonts w:ascii="Courier New" w:hAnsi="Courier New" w:cs="Courier New" w:hint="default"/>
      </w:rPr>
    </w:lvl>
    <w:lvl w:ilvl="2" w:tplc="61E61A46">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51CA1480"/>
    <w:lvl w:ilvl="0" w:tplc="04090001">
      <w:start w:val="1"/>
      <w:numFmt w:val="bullet"/>
      <w:pStyle w:val="ListParagraph"/>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7682FC2"/>
    <w:multiLevelType w:val="hybridMultilevel"/>
    <w:tmpl w:val="5DB201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EF6AB0"/>
    <w:multiLevelType w:val="hybridMultilevel"/>
    <w:tmpl w:val="C0B43B72"/>
    <w:lvl w:ilvl="0" w:tplc="3918B7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89F4D88"/>
    <w:multiLevelType w:val="hybridMultilevel"/>
    <w:tmpl w:val="1DF47410"/>
    <w:lvl w:ilvl="0" w:tplc="E5BC054E">
      <w:numFmt w:val="bullet"/>
      <w:pStyle w:val="Table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D638E"/>
    <w:multiLevelType w:val="multilevel"/>
    <w:tmpl w:val="3586BB8C"/>
    <w:styleLink w:val="SectionBi"/>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5" w15:restartNumberingAfterBreak="0">
    <w:nsid w:val="53302491"/>
    <w:multiLevelType w:val="multilevel"/>
    <w:tmpl w:val="FA72A05A"/>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6" w15:restartNumberingAfterBreak="0">
    <w:nsid w:val="54255FA0"/>
    <w:multiLevelType w:val="hybridMultilevel"/>
    <w:tmpl w:val="711A83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9A25F4"/>
    <w:multiLevelType w:val="multilevel"/>
    <w:tmpl w:val="6B308E48"/>
    <w:styleLink w:val="SectionBii"/>
    <w:lvl w:ilvl="0">
      <w:start w:val="2"/>
      <w:numFmt w:val="upperLetter"/>
      <w:lvlText w:val="%1(ii)."/>
      <w:lvlJc w:val="left"/>
      <w:pPr>
        <w:ind w:left="1077" w:hanging="1077"/>
      </w:pPr>
      <w:rPr>
        <w:rFonts w:ascii="Arial" w:hAnsi="Arial" w:hint="default"/>
        <w:b/>
        <w:sz w:val="22"/>
      </w:rPr>
    </w:lvl>
    <w:lvl w:ilvl="1">
      <w:start w:val="1"/>
      <w:numFmt w:val="decimal"/>
      <w:lvlText w:val="%1(ii).%2."/>
      <w:lvlJc w:val="left"/>
      <w:pPr>
        <w:ind w:left="1474" w:hanging="1474"/>
      </w:pPr>
      <w:rPr>
        <w:rFonts w:ascii="Arial" w:hAnsi="Arial" w:hint="default"/>
        <w:b/>
        <w:sz w:val="22"/>
      </w:rPr>
    </w:lvl>
    <w:lvl w:ilvl="2">
      <w:start w:val="1"/>
      <w:numFmt w:val="decimal"/>
      <w:lvlText w:val="%1(ii).%2.%3."/>
      <w:lvlJc w:val="left"/>
      <w:pPr>
        <w:ind w:left="1871" w:hanging="1871"/>
      </w:pPr>
      <w:rPr>
        <w:rFonts w:ascii="Arial" w:hAnsi="Arial" w:hint="default"/>
        <w:b/>
        <w:sz w:val="22"/>
      </w:rPr>
    </w:lvl>
    <w:lvl w:ilvl="3">
      <w:start w:val="1"/>
      <w:numFmt w:val="decimal"/>
      <w:lvlText w:val="%1(ii).%2.%3.%4."/>
      <w:lvlJc w:val="left"/>
      <w:pPr>
        <w:ind w:left="2268" w:hanging="2268"/>
      </w:pPr>
      <w:rPr>
        <w:rFonts w:ascii="Arial" w:hAnsi="Arial" w:hint="default"/>
        <w:b/>
        <w:sz w:val="22"/>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0" w15:restartNumberingAfterBreak="0">
    <w:nsid w:val="5A5F2F1B"/>
    <w:multiLevelType w:val="hybridMultilevel"/>
    <w:tmpl w:val="CADCE54A"/>
    <w:lvl w:ilvl="0" w:tplc="0C090001">
      <w:start w:val="1"/>
      <w:numFmt w:val="bullet"/>
      <w:lvlText w:val=""/>
      <w:lvlJc w:val="left"/>
      <w:pPr>
        <w:ind w:left="729" w:hanging="360"/>
      </w:pPr>
      <w:rPr>
        <w:rFonts w:ascii="Symbol" w:hAnsi="Symbol" w:hint="default"/>
      </w:rPr>
    </w:lvl>
    <w:lvl w:ilvl="1" w:tplc="0C090019">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31" w15:restartNumberingAfterBreak="0">
    <w:nsid w:val="5EC16C52"/>
    <w:multiLevelType w:val="hybridMultilevel"/>
    <w:tmpl w:val="C0B43B72"/>
    <w:lvl w:ilvl="0" w:tplc="3918B7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FC544C6"/>
    <w:multiLevelType w:val="hybridMultilevel"/>
    <w:tmpl w:val="CCA67A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0084FBF"/>
    <w:multiLevelType w:val="hybridMultilevel"/>
    <w:tmpl w:val="80AE2A54"/>
    <w:lvl w:ilvl="0" w:tplc="0C090017">
      <w:start w:val="1"/>
      <w:numFmt w:val="lowerLetter"/>
      <w:pStyle w:val="TableBullets"/>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2E2D5A"/>
    <w:multiLevelType w:val="hybridMultilevel"/>
    <w:tmpl w:val="C0B43B72"/>
    <w:lvl w:ilvl="0" w:tplc="3918B7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7545DF5"/>
    <w:multiLevelType w:val="multilevel"/>
    <w:tmpl w:val="080E3B06"/>
    <w:lvl w:ilvl="0">
      <w:start w:val="1"/>
      <w:numFmt w:val="decimal"/>
      <w:pStyle w:val="Level1"/>
      <w:lvlText w:val="%1."/>
      <w:lvlJc w:val="left"/>
      <w:pPr>
        <w:tabs>
          <w:tab w:val="num" w:pos="782"/>
        </w:tabs>
        <w:ind w:left="782" w:hanging="782"/>
      </w:pPr>
      <w:rPr>
        <w:rFonts w:hint="default"/>
        <w:b/>
        <w:i w:val="0"/>
        <w:sz w:val="28"/>
        <w:szCs w:val="28"/>
      </w:rPr>
    </w:lvl>
    <w:lvl w:ilvl="1">
      <w:start w:val="1"/>
      <w:numFmt w:val="decimal"/>
      <w:lvlText w:val="%1.%2"/>
      <w:lvlJc w:val="left"/>
      <w:pPr>
        <w:tabs>
          <w:tab w:val="num" w:pos="1208"/>
        </w:tabs>
        <w:ind w:left="1208" w:hanging="782"/>
      </w:pPr>
      <w:rPr>
        <w:rFonts w:ascii="Arial" w:hAnsi="Arial" w:cs="Arial" w:hint="default"/>
        <w:b w:val="0"/>
        <w:i w:val="0"/>
      </w:rPr>
    </w:lvl>
    <w:lvl w:ilvl="2">
      <w:start w:val="1"/>
      <w:numFmt w:val="lowerLetter"/>
      <w:pStyle w:val="Levela"/>
      <w:lvlText w:val="(%3)"/>
      <w:lvlJc w:val="left"/>
      <w:pPr>
        <w:tabs>
          <w:tab w:val="num" w:pos="1406"/>
        </w:tabs>
        <w:ind w:left="1406" w:hanging="624"/>
      </w:pPr>
      <w:rPr>
        <w:rFonts w:ascii="Arial" w:hAnsi="Arial" w:cs="Arial" w:hint="default"/>
        <w:b w:val="0"/>
        <w:color w:val="auto"/>
        <w:sz w:val="18"/>
        <w:szCs w:val="18"/>
      </w:rPr>
    </w:lvl>
    <w:lvl w:ilvl="3">
      <w:start w:val="1"/>
      <w:numFmt w:val="lowerRoman"/>
      <w:pStyle w:val="Leveli"/>
      <w:lvlText w:val="(%4)"/>
      <w:lvlJc w:val="left"/>
      <w:pPr>
        <w:tabs>
          <w:tab w:val="num" w:pos="2030"/>
        </w:tabs>
        <w:ind w:left="2030" w:hanging="624"/>
      </w:pPr>
      <w:rPr>
        <w:rFonts w:ascii="Arial" w:hAnsi="Arial" w:cs="Arial" w:hint="default"/>
        <w:sz w:val="20"/>
        <w:szCs w:val="20"/>
      </w:rPr>
    </w:lvl>
    <w:lvl w:ilvl="4">
      <w:start w:val="1"/>
      <w:numFmt w:val="upperLetter"/>
      <w:pStyle w:val="LevelA0"/>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7" w15:restartNumberingAfterBreak="0">
    <w:nsid w:val="67E0566B"/>
    <w:multiLevelType w:val="hybridMultilevel"/>
    <w:tmpl w:val="8ACAEB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B091916"/>
    <w:multiLevelType w:val="hybridMultilevel"/>
    <w:tmpl w:val="9F866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7A5B18"/>
    <w:multiLevelType w:val="hybridMultilevel"/>
    <w:tmpl w:val="3FCCF650"/>
    <w:lvl w:ilvl="0" w:tplc="DB3412BC">
      <w:start w:val="1"/>
      <w:numFmt w:val="decimal"/>
      <w:lvlText w:val="%1."/>
      <w:lvlJc w:val="left"/>
      <w:pPr>
        <w:ind w:left="720" w:hanging="360"/>
      </w:pPr>
      <w:rPr>
        <w:rFonts w:ascii="Arial Narrow" w:hAnsi="Arial Narrow"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40B2B"/>
    <w:multiLevelType w:val="hybridMultilevel"/>
    <w:tmpl w:val="57CEFFDA"/>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41" w15:restartNumberingAfterBreak="0">
    <w:nsid w:val="77CA5DAD"/>
    <w:multiLevelType w:val="multilevel"/>
    <w:tmpl w:val="E9CCBBAA"/>
    <w:styleLink w:val="PBAC"/>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none"/>
      <w:lvlText w:val="%1.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4D033C"/>
    <w:multiLevelType w:val="multilevel"/>
    <w:tmpl w:val="226E4A44"/>
    <w:lvl w:ilvl="0">
      <w:start w:val="1"/>
      <w:numFmt w:val="decimal"/>
      <w:pStyle w:val="2-SectionHeading"/>
      <w:lvlText w:val="%1"/>
      <w:lvlJc w:val="left"/>
      <w:pPr>
        <w:ind w:left="720" w:hanging="720"/>
      </w:pPr>
      <w:rPr>
        <w:rFonts w:hint="default"/>
        <w:b/>
        <w:i w:val="0"/>
        <w:iCs/>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6C2B05"/>
    <w:multiLevelType w:val="hybridMultilevel"/>
    <w:tmpl w:val="F686057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476159"/>
    <w:multiLevelType w:val="hybridMultilevel"/>
    <w:tmpl w:val="CE5EA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910F2B"/>
    <w:multiLevelType w:val="hybridMultilevel"/>
    <w:tmpl w:val="271A6C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402D39"/>
    <w:multiLevelType w:val="hybridMultilevel"/>
    <w:tmpl w:val="75BAD870"/>
    <w:lvl w:ilvl="0" w:tplc="0C090001">
      <w:start w:val="1"/>
      <w:numFmt w:val="bullet"/>
      <w:lvlText w:val=""/>
      <w:lvlJc w:val="left"/>
      <w:pPr>
        <w:ind w:left="1080" w:hanging="360"/>
      </w:pPr>
      <w:rPr>
        <w:rFonts w:ascii="Symbol" w:hAnsi="Symbol" w:hint="default"/>
      </w:rPr>
    </w:lvl>
    <w:lvl w:ilvl="1" w:tplc="C408EF36">
      <w:start w:val="1"/>
      <w:numFmt w:val="lowerLetter"/>
      <w:lvlText w:val="(%2)"/>
      <w:lvlJc w:val="left"/>
      <w:pPr>
        <w:ind w:left="1800" w:hanging="360"/>
      </w:pPr>
      <w:rPr>
        <w:rFonts w:asciiTheme="minorHAnsi" w:eastAsiaTheme="minorHAnsi" w:hAnsiTheme="minorHAnsi" w:cstheme="minorHAnsi"/>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2"/>
  </w:num>
  <w:num w:numId="2">
    <w:abstractNumId w:val="19"/>
  </w:num>
  <w:num w:numId="3">
    <w:abstractNumId w:val="20"/>
  </w:num>
  <w:num w:numId="4">
    <w:abstractNumId w:val="0"/>
  </w:num>
  <w:num w:numId="5">
    <w:abstractNumId w:val="42"/>
  </w:num>
  <w:num w:numId="6">
    <w:abstractNumId w:val="45"/>
  </w:num>
  <w:num w:numId="7">
    <w:abstractNumId w:val="38"/>
  </w:num>
  <w:num w:numId="8">
    <w:abstractNumId w:val="9"/>
  </w:num>
  <w:num w:numId="9">
    <w:abstractNumId w:val="29"/>
  </w:num>
  <w:num w:numId="10">
    <w:abstractNumId w:val="24"/>
  </w:num>
  <w:num w:numId="11">
    <w:abstractNumId w:val="34"/>
  </w:num>
  <w:num w:numId="12">
    <w:abstractNumId w:val="2"/>
  </w:num>
  <w:num w:numId="13">
    <w:abstractNumId w:val="18"/>
  </w:num>
  <w:num w:numId="14">
    <w:abstractNumId w:val="7"/>
  </w:num>
  <w:num w:numId="15">
    <w:abstractNumId w:val="31"/>
  </w:num>
  <w:num w:numId="16">
    <w:abstractNumId w:val="26"/>
  </w:num>
  <w:num w:numId="17">
    <w:abstractNumId w:val="22"/>
  </w:num>
  <w:num w:numId="18">
    <w:abstractNumId w:val="17"/>
  </w:num>
  <w:num w:numId="19">
    <w:abstractNumId w:val="15"/>
  </w:num>
  <w:num w:numId="20">
    <w:abstractNumId w:val="14"/>
  </w:num>
  <w:num w:numId="21">
    <w:abstractNumId w:val="35"/>
  </w:num>
  <w:num w:numId="22">
    <w:abstractNumId w:val="4"/>
  </w:num>
  <w:num w:numId="23">
    <w:abstractNumId w:val="39"/>
  </w:num>
  <w:num w:numId="24">
    <w:abstractNumId w:val="16"/>
  </w:num>
  <w:num w:numId="25">
    <w:abstractNumId w:val="12"/>
  </w:num>
  <w:num w:numId="26">
    <w:abstractNumId w:val="23"/>
  </w:num>
  <w:num w:numId="27">
    <w:abstractNumId w:val="41"/>
  </w:num>
  <w:num w:numId="28">
    <w:abstractNumId w:val="3"/>
  </w:num>
  <w:num w:numId="29">
    <w:abstractNumId w:val="43"/>
  </w:num>
  <w:num w:numId="30">
    <w:abstractNumId w:val="32"/>
  </w:num>
  <w:num w:numId="31">
    <w:abstractNumId w:val="25"/>
  </w:num>
  <w:num w:numId="32">
    <w:abstractNumId w:val="36"/>
  </w:num>
  <w:num w:numId="33">
    <w:abstractNumId w:val="6"/>
  </w:num>
  <w:num w:numId="34">
    <w:abstractNumId w:val="37"/>
  </w:num>
  <w:num w:numId="35">
    <w:abstractNumId w:val="44"/>
  </w:num>
  <w:num w:numId="36">
    <w:abstractNumId w:val="21"/>
  </w:num>
  <w:num w:numId="37">
    <w:abstractNumId w:val="8"/>
  </w:num>
  <w:num w:numId="38">
    <w:abstractNumId w:val="46"/>
  </w:num>
  <w:num w:numId="39">
    <w:abstractNumId w:val="30"/>
  </w:num>
  <w:num w:numId="40">
    <w:abstractNumId w:val="40"/>
  </w:num>
  <w:num w:numId="41">
    <w:abstractNumId w:val="27"/>
  </w:num>
  <w:num w:numId="42">
    <w:abstractNumId w:val="28"/>
  </w:num>
  <w:num w:numId="43">
    <w:abstractNumId w:val="5"/>
  </w:num>
  <w:num w:numId="44">
    <w:abstractNumId w:val="1"/>
  </w:num>
  <w:num w:numId="45">
    <w:abstractNumId w:val="11"/>
  </w:num>
  <w:num w:numId="46">
    <w:abstractNumId w:val="13"/>
  </w:num>
  <w:num w:numId="47">
    <w:abstractNumId w:val="10"/>
  </w:num>
  <w:num w:numId="4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42"/>
  </w:num>
  <w:num w:numId="51">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ctiveWritingStyle w:appName="MSWord" w:lang="fr-FR" w:vendorID="64" w:dllVersion="6" w:nlCheck="1" w:checkStyle="0"/>
  <w:activeWritingStyle w:appName="MSWord" w:lang="en-AU" w:vendorID="64" w:dllVersion="6" w:nlCheck="1" w:checkStyle="1"/>
  <w:activeWritingStyle w:appName="MSWord" w:lang="es-MX" w:vendorID="64" w:dllVersion="6" w:nlCheck="1" w:checkStyle="0"/>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MX" w:vendorID="64" w:dllVersion="0" w:nlCheck="1" w:checkStyle="0"/>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4E"/>
    <w:rsid w:val="000039B7"/>
    <w:rsid w:val="00004247"/>
    <w:rsid w:val="000044FF"/>
    <w:rsid w:val="00004AFB"/>
    <w:rsid w:val="00004C2A"/>
    <w:rsid w:val="00004C67"/>
    <w:rsid w:val="0000639A"/>
    <w:rsid w:val="00007F3E"/>
    <w:rsid w:val="0001039C"/>
    <w:rsid w:val="000109CC"/>
    <w:rsid w:val="0001117C"/>
    <w:rsid w:val="000127B8"/>
    <w:rsid w:val="00012D72"/>
    <w:rsid w:val="00013247"/>
    <w:rsid w:val="0001324E"/>
    <w:rsid w:val="00014E63"/>
    <w:rsid w:val="00015886"/>
    <w:rsid w:val="000162EF"/>
    <w:rsid w:val="00020094"/>
    <w:rsid w:val="000201B5"/>
    <w:rsid w:val="000207C9"/>
    <w:rsid w:val="000214B0"/>
    <w:rsid w:val="00021A64"/>
    <w:rsid w:val="0002225F"/>
    <w:rsid w:val="00022B58"/>
    <w:rsid w:val="00023763"/>
    <w:rsid w:val="0002415E"/>
    <w:rsid w:val="000268A7"/>
    <w:rsid w:val="000268CA"/>
    <w:rsid w:val="000274B8"/>
    <w:rsid w:val="00032DE1"/>
    <w:rsid w:val="00033863"/>
    <w:rsid w:val="00035DC0"/>
    <w:rsid w:val="00036585"/>
    <w:rsid w:val="00036829"/>
    <w:rsid w:val="00036D5D"/>
    <w:rsid w:val="00040895"/>
    <w:rsid w:val="00040F03"/>
    <w:rsid w:val="000435EE"/>
    <w:rsid w:val="00043980"/>
    <w:rsid w:val="00043C37"/>
    <w:rsid w:val="00045017"/>
    <w:rsid w:val="00045823"/>
    <w:rsid w:val="00045A2B"/>
    <w:rsid w:val="00045BBB"/>
    <w:rsid w:val="00045E33"/>
    <w:rsid w:val="0004698F"/>
    <w:rsid w:val="00046BD7"/>
    <w:rsid w:val="00047DF0"/>
    <w:rsid w:val="00051A85"/>
    <w:rsid w:val="00052B69"/>
    <w:rsid w:val="00052CF5"/>
    <w:rsid w:val="0005301B"/>
    <w:rsid w:val="000533EA"/>
    <w:rsid w:val="000539D0"/>
    <w:rsid w:val="00053EC3"/>
    <w:rsid w:val="00054621"/>
    <w:rsid w:val="000546D7"/>
    <w:rsid w:val="0005492F"/>
    <w:rsid w:val="00054F9C"/>
    <w:rsid w:val="00055D5B"/>
    <w:rsid w:val="00055F75"/>
    <w:rsid w:val="00056905"/>
    <w:rsid w:val="00056ECF"/>
    <w:rsid w:val="00056FEE"/>
    <w:rsid w:val="00057BB2"/>
    <w:rsid w:val="00057F34"/>
    <w:rsid w:val="000604DF"/>
    <w:rsid w:val="000628F6"/>
    <w:rsid w:val="00064AA3"/>
    <w:rsid w:val="000653B5"/>
    <w:rsid w:val="00066360"/>
    <w:rsid w:val="00066AF8"/>
    <w:rsid w:val="000671DB"/>
    <w:rsid w:val="000703DB"/>
    <w:rsid w:val="00071248"/>
    <w:rsid w:val="000717A0"/>
    <w:rsid w:val="000720B9"/>
    <w:rsid w:val="00072AA6"/>
    <w:rsid w:val="000737F7"/>
    <w:rsid w:val="000759DB"/>
    <w:rsid w:val="0007672F"/>
    <w:rsid w:val="00076B54"/>
    <w:rsid w:val="00077160"/>
    <w:rsid w:val="000774F0"/>
    <w:rsid w:val="0007759E"/>
    <w:rsid w:val="00077868"/>
    <w:rsid w:val="00077C3D"/>
    <w:rsid w:val="00080909"/>
    <w:rsid w:val="00080C12"/>
    <w:rsid w:val="000812CA"/>
    <w:rsid w:val="00081E63"/>
    <w:rsid w:val="0008258D"/>
    <w:rsid w:val="000829CE"/>
    <w:rsid w:val="00083062"/>
    <w:rsid w:val="000836F7"/>
    <w:rsid w:val="00083E99"/>
    <w:rsid w:val="00084615"/>
    <w:rsid w:val="00084FA8"/>
    <w:rsid w:val="000856C5"/>
    <w:rsid w:val="000859D5"/>
    <w:rsid w:val="00085C31"/>
    <w:rsid w:val="00086064"/>
    <w:rsid w:val="00087A16"/>
    <w:rsid w:val="00087F4B"/>
    <w:rsid w:val="00087F68"/>
    <w:rsid w:val="000902D9"/>
    <w:rsid w:val="00090C7E"/>
    <w:rsid w:val="00092600"/>
    <w:rsid w:val="0009262B"/>
    <w:rsid w:val="00092935"/>
    <w:rsid w:val="00092A65"/>
    <w:rsid w:val="00092F40"/>
    <w:rsid w:val="00093310"/>
    <w:rsid w:val="0009445C"/>
    <w:rsid w:val="00095200"/>
    <w:rsid w:val="00095C01"/>
    <w:rsid w:val="00095FE5"/>
    <w:rsid w:val="00096284"/>
    <w:rsid w:val="00096ADB"/>
    <w:rsid w:val="00096EBF"/>
    <w:rsid w:val="000A069B"/>
    <w:rsid w:val="000A0955"/>
    <w:rsid w:val="000A1BC0"/>
    <w:rsid w:val="000A239A"/>
    <w:rsid w:val="000A24A8"/>
    <w:rsid w:val="000A24F1"/>
    <w:rsid w:val="000A2AC7"/>
    <w:rsid w:val="000A30D1"/>
    <w:rsid w:val="000A4B9A"/>
    <w:rsid w:val="000A521F"/>
    <w:rsid w:val="000A6039"/>
    <w:rsid w:val="000A7453"/>
    <w:rsid w:val="000A7D08"/>
    <w:rsid w:val="000B0011"/>
    <w:rsid w:val="000B0121"/>
    <w:rsid w:val="000B0670"/>
    <w:rsid w:val="000B0B3D"/>
    <w:rsid w:val="000B0E75"/>
    <w:rsid w:val="000B2DCB"/>
    <w:rsid w:val="000B51B1"/>
    <w:rsid w:val="000B5A11"/>
    <w:rsid w:val="000B5CE0"/>
    <w:rsid w:val="000B5E04"/>
    <w:rsid w:val="000B6CAC"/>
    <w:rsid w:val="000B7612"/>
    <w:rsid w:val="000B78AE"/>
    <w:rsid w:val="000B7A1E"/>
    <w:rsid w:val="000B7DDF"/>
    <w:rsid w:val="000B7F9E"/>
    <w:rsid w:val="000C3998"/>
    <w:rsid w:val="000C3DF9"/>
    <w:rsid w:val="000C4F09"/>
    <w:rsid w:val="000C6492"/>
    <w:rsid w:val="000C6713"/>
    <w:rsid w:val="000C7E35"/>
    <w:rsid w:val="000C7F71"/>
    <w:rsid w:val="000D17B5"/>
    <w:rsid w:val="000D1BFC"/>
    <w:rsid w:val="000D1D5D"/>
    <w:rsid w:val="000D281A"/>
    <w:rsid w:val="000D2848"/>
    <w:rsid w:val="000D2978"/>
    <w:rsid w:val="000D31A7"/>
    <w:rsid w:val="000D326A"/>
    <w:rsid w:val="000D3CC0"/>
    <w:rsid w:val="000D44C4"/>
    <w:rsid w:val="000D4508"/>
    <w:rsid w:val="000D51FB"/>
    <w:rsid w:val="000D5577"/>
    <w:rsid w:val="000D55A3"/>
    <w:rsid w:val="000D5892"/>
    <w:rsid w:val="000D6842"/>
    <w:rsid w:val="000E0640"/>
    <w:rsid w:val="000E135D"/>
    <w:rsid w:val="000E315C"/>
    <w:rsid w:val="000E4C6F"/>
    <w:rsid w:val="000E661A"/>
    <w:rsid w:val="000E7176"/>
    <w:rsid w:val="000E760B"/>
    <w:rsid w:val="000E779B"/>
    <w:rsid w:val="000F00BA"/>
    <w:rsid w:val="000F1926"/>
    <w:rsid w:val="000F316A"/>
    <w:rsid w:val="000F31E4"/>
    <w:rsid w:val="000F3974"/>
    <w:rsid w:val="000F3AB4"/>
    <w:rsid w:val="000F3C74"/>
    <w:rsid w:val="000F3D78"/>
    <w:rsid w:val="000F40DB"/>
    <w:rsid w:val="000F4BB8"/>
    <w:rsid w:val="000F4FA9"/>
    <w:rsid w:val="000F5222"/>
    <w:rsid w:val="000F53FB"/>
    <w:rsid w:val="000F677B"/>
    <w:rsid w:val="000F7127"/>
    <w:rsid w:val="000F7969"/>
    <w:rsid w:val="000F7B54"/>
    <w:rsid w:val="00100F8A"/>
    <w:rsid w:val="001011A5"/>
    <w:rsid w:val="00103079"/>
    <w:rsid w:val="0010452E"/>
    <w:rsid w:val="00104BAB"/>
    <w:rsid w:val="00105AE2"/>
    <w:rsid w:val="001060C6"/>
    <w:rsid w:val="0010613C"/>
    <w:rsid w:val="0010617D"/>
    <w:rsid w:val="00106B80"/>
    <w:rsid w:val="00107902"/>
    <w:rsid w:val="0011032E"/>
    <w:rsid w:val="00112328"/>
    <w:rsid w:val="0011265F"/>
    <w:rsid w:val="00113193"/>
    <w:rsid w:val="0011348B"/>
    <w:rsid w:val="00113781"/>
    <w:rsid w:val="00113E63"/>
    <w:rsid w:val="001156BF"/>
    <w:rsid w:val="00115982"/>
    <w:rsid w:val="00115A28"/>
    <w:rsid w:val="00116C53"/>
    <w:rsid w:val="00121799"/>
    <w:rsid w:val="001219E2"/>
    <w:rsid w:val="001222FC"/>
    <w:rsid w:val="00122EBF"/>
    <w:rsid w:val="00123902"/>
    <w:rsid w:val="0012453E"/>
    <w:rsid w:val="00124A51"/>
    <w:rsid w:val="00124AF5"/>
    <w:rsid w:val="001263DB"/>
    <w:rsid w:val="00126621"/>
    <w:rsid w:val="0012667E"/>
    <w:rsid w:val="00126B1D"/>
    <w:rsid w:val="00126C86"/>
    <w:rsid w:val="00126D15"/>
    <w:rsid w:val="001301E9"/>
    <w:rsid w:val="00130FAD"/>
    <w:rsid w:val="00131D82"/>
    <w:rsid w:val="00132B22"/>
    <w:rsid w:val="0013360C"/>
    <w:rsid w:val="00133D36"/>
    <w:rsid w:val="00134C7E"/>
    <w:rsid w:val="0013559E"/>
    <w:rsid w:val="001362FB"/>
    <w:rsid w:val="0013754C"/>
    <w:rsid w:val="00137645"/>
    <w:rsid w:val="0014015A"/>
    <w:rsid w:val="00140E99"/>
    <w:rsid w:val="001412C3"/>
    <w:rsid w:val="001425A4"/>
    <w:rsid w:val="00143F67"/>
    <w:rsid w:val="001441FC"/>
    <w:rsid w:val="001445FA"/>
    <w:rsid w:val="00145540"/>
    <w:rsid w:val="001456B0"/>
    <w:rsid w:val="001465E6"/>
    <w:rsid w:val="00147661"/>
    <w:rsid w:val="00150642"/>
    <w:rsid w:val="00150BB5"/>
    <w:rsid w:val="00151562"/>
    <w:rsid w:val="00152647"/>
    <w:rsid w:val="001540EC"/>
    <w:rsid w:val="00154139"/>
    <w:rsid w:val="00156F8F"/>
    <w:rsid w:val="00157130"/>
    <w:rsid w:val="001576B1"/>
    <w:rsid w:val="00157F2E"/>
    <w:rsid w:val="00160180"/>
    <w:rsid w:val="0016047B"/>
    <w:rsid w:val="00160A4C"/>
    <w:rsid w:val="00161CA1"/>
    <w:rsid w:val="00162913"/>
    <w:rsid w:val="00162B05"/>
    <w:rsid w:val="00163235"/>
    <w:rsid w:val="00163EFF"/>
    <w:rsid w:val="00163F66"/>
    <w:rsid w:val="001648A7"/>
    <w:rsid w:val="001661FB"/>
    <w:rsid w:val="001671A0"/>
    <w:rsid w:val="001673A8"/>
    <w:rsid w:val="0016767F"/>
    <w:rsid w:val="0017105F"/>
    <w:rsid w:val="001714B4"/>
    <w:rsid w:val="00172174"/>
    <w:rsid w:val="00172601"/>
    <w:rsid w:val="001732F3"/>
    <w:rsid w:val="00173565"/>
    <w:rsid w:val="00173B07"/>
    <w:rsid w:val="00174462"/>
    <w:rsid w:val="00174905"/>
    <w:rsid w:val="001751FA"/>
    <w:rsid w:val="00176084"/>
    <w:rsid w:val="0018030E"/>
    <w:rsid w:val="00181D9C"/>
    <w:rsid w:val="00183C38"/>
    <w:rsid w:val="00183CDA"/>
    <w:rsid w:val="00184B0E"/>
    <w:rsid w:val="00185631"/>
    <w:rsid w:val="0018752F"/>
    <w:rsid w:val="00187AF2"/>
    <w:rsid w:val="0019155D"/>
    <w:rsid w:val="00192B06"/>
    <w:rsid w:val="00193017"/>
    <w:rsid w:val="00193838"/>
    <w:rsid w:val="00194AD8"/>
    <w:rsid w:val="00195222"/>
    <w:rsid w:val="00195B4F"/>
    <w:rsid w:val="00196AF1"/>
    <w:rsid w:val="00197549"/>
    <w:rsid w:val="001975D8"/>
    <w:rsid w:val="001A0097"/>
    <w:rsid w:val="001A0898"/>
    <w:rsid w:val="001A1075"/>
    <w:rsid w:val="001A1392"/>
    <w:rsid w:val="001A178E"/>
    <w:rsid w:val="001A1B4A"/>
    <w:rsid w:val="001A1FC5"/>
    <w:rsid w:val="001A2CC4"/>
    <w:rsid w:val="001A43FA"/>
    <w:rsid w:val="001A44B4"/>
    <w:rsid w:val="001A47C5"/>
    <w:rsid w:val="001A4A8A"/>
    <w:rsid w:val="001A50B9"/>
    <w:rsid w:val="001A59FB"/>
    <w:rsid w:val="001A5E9E"/>
    <w:rsid w:val="001A6354"/>
    <w:rsid w:val="001A6366"/>
    <w:rsid w:val="001A679F"/>
    <w:rsid w:val="001A700D"/>
    <w:rsid w:val="001A7072"/>
    <w:rsid w:val="001A71F6"/>
    <w:rsid w:val="001A7AE8"/>
    <w:rsid w:val="001A7D81"/>
    <w:rsid w:val="001B1A5A"/>
    <w:rsid w:val="001B204E"/>
    <w:rsid w:val="001B2372"/>
    <w:rsid w:val="001B3443"/>
    <w:rsid w:val="001B4D20"/>
    <w:rsid w:val="001B522A"/>
    <w:rsid w:val="001B5475"/>
    <w:rsid w:val="001B626E"/>
    <w:rsid w:val="001B7880"/>
    <w:rsid w:val="001C1DB9"/>
    <w:rsid w:val="001C25EA"/>
    <w:rsid w:val="001C2A9B"/>
    <w:rsid w:val="001C2AF4"/>
    <w:rsid w:val="001C4299"/>
    <w:rsid w:val="001C432F"/>
    <w:rsid w:val="001C4874"/>
    <w:rsid w:val="001C5574"/>
    <w:rsid w:val="001C5F3F"/>
    <w:rsid w:val="001C5F94"/>
    <w:rsid w:val="001C6793"/>
    <w:rsid w:val="001C6E66"/>
    <w:rsid w:val="001D0497"/>
    <w:rsid w:val="001D0AC0"/>
    <w:rsid w:val="001D1100"/>
    <w:rsid w:val="001D1391"/>
    <w:rsid w:val="001D25D7"/>
    <w:rsid w:val="001D311F"/>
    <w:rsid w:val="001D50B2"/>
    <w:rsid w:val="001D58B4"/>
    <w:rsid w:val="001D619B"/>
    <w:rsid w:val="001D630D"/>
    <w:rsid w:val="001D6569"/>
    <w:rsid w:val="001D6C57"/>
    <w:rsid w:val="001D7645"/>
    <w:rsid w:val="001E1271"/>
    <w:rsid w:val="001E1E86"/>
    <w:rsid w:val="001E238E"/>
    <w:rsid w:val="001E2483"/>
    <w:rsid w:val="001E2B1E"/>
    <w:rsid w:val="001E2CFF"/>
    <w:rsid w:val="001E2F24"/>
    <w:rsid w:val="001E30D4"/>
    <w:rsid w:val="001E34DF"/>
    <w:rsid w:val="001E4EB3"/>
    <w:rsid w:val="001E52EB"/>
    <w:rsid w:val="001E5A02"/>
    <w:rsid w:val="001E61D2"/>
    <w:rsid w:val="001E63E0"/>
    <w:rsid w:val="001E6711"/>
    <w:rsid w:val="001E671F"/>
    <w:rsid w:val="001E6C93"/>
    <w:rsid w:val="001E740C"/>
    <w:rsid w:val="001E789D"/>
    <w:rsid w:val="001F0EF5"/>
    <w:rsid w:val="001F10B4"/>
    <w:rsid w:val="001F1235"/>
    <w:rsid w:val="001F1CB3"/>
    <w:rsid w:val="001F2685"/>
    <w:rsid w:val="001F3228"/>
    <w:rsid w:val="001F38B5"/>
    <w:rsid w:val="001F3A1F"/>
    <w:rsid w:val="001F4081"/>
    <w:rsid w:val="001F478A"/>
    <w:rsid w:val="001F57E2"/>
    <w:rsid w:val="001F5874"/>
    <w:rsid w:val="001F5FA3"/>
    <w:rsid w:val="001F5FFB"/>
    <w:rsid w:val="001F7361"/>
    <w:rsid w:val="001F7FBC"/>
    <w:rsid w:val="002003D0"/>
    <w:rsid w:val="002011B0"/>
    <w:rsid w:val="002013B9"/>
    <w:rsid w:val="00201E4C"/>
    <w:rsid w:val="00201EB7"/>
    <w:rsid w:val="002020EF"/>
    <w:rsid w:val="00203181"/>
    <w:rsid w:val="00203783"/>
    <w:rsid w:val="0020385F"/>
    <w:rsid w:val="002038C7"/>
    <w:rsid w:val="00203B0C"/>
    <w:rsid w:val="002055F5"/>
    <w:rsid w:val="00205EEB"/>
    <w:rsid w:val="002068A0"/>
    <w:rsid w:val="00207021"/>
    <w:rsid w:val="00207283"/>
    <w:rsid w:val="0020732F"/>
    <w:rsid w:val="00207D00"/>
    <w:rsid w:val="002105C1"/>
    <w:rsid w:val="00212B68"/>
    <w:rsid w:val="00213115"/>
    <w:rsid w:val="00213EF5"/>
    <w:rsid w:val="00214F8A"/>
    <w:rsid w:val="00216759"/>
    <w:rsid w:val="00216BF5"/>
    <w:rsid w:val="00221E42"/>
    <w:rsid w:val="0022389C"/>
    <w:rsid w:val="002238A6"/>
    <w:rsid w:val="00223B49"/>
    <w:rsid w:val="00223D5A"/>
    <w:rsid w:val="00224DD4"/>
    <w:rsid w:val="002260D1"/>
    <w:rsid w:val="00226403"/>
    <w:rsid w:val="00227054"/>
    <w:rsid w:val="00227875"/>
    <w:rsid w:val="002278A0"/>
    <w:rsid w:val="00227A8F"/>
    <w:rsid w:val="002309CC"/>
    <w:rsid w:val="00231673"/>
    <w:rsid w:val="00231A4E"/>
    <w:rsid w:val="00231AF6"/>
    <w:rsid w:val="0023209F"/>
    <w:rsid w:val="00233C01"/>
    <w:rsid w:val="00233FAA"/>
    <w:rsid w:val="0023413C"/>
    <w:rsid w:val="002346F0"/>
    <w:rsid w:val="00234788"/>
    <w:rsid w:val="00235E65"/>
    <w:rsid w:val="0023629D"/>
    <w:rsid w:val="00237255"/>
    <w:rsid w:val="0023771A"/>
    <w:rsid w:val="00241926"/>
    <w:rsid w:val="00242401"/>
    <w:rsid w:val="002424AF"/>
    <w:rsid w:val="00242CFD"/>
    <w:rsid w:val="002439DC"/>
    <w:rsid w:val="002441D2"/>
    <w:rsid w:val="00244DC8"/>
    <w:rsid w:val="002450E8"/>
    <w:rsid w:val="00245627"/>
    <w:rsid w:val="002458BA"/>
    <w:rsid w:val="00245CE9"/>
    <w:rsid w:val="0024636C"/>
    <w:rsid w:val="00246D44"/>
    <w:rsid w:val="002478B9"/>
    <w:rsid w:val="00247925"/>
    <w:rsid w:val="00250179"/>
    <w:rsid w:val="00250C08"/>
    <w:rsid w:val="00251006"/>
    <w:rsid w:val="00251240"/>
    <w:rsid w:val="00251C9D"/>
    <w:rsid w:val="002524D5"/>
    <w:rsid w:val="00252C29"/>
    <w:rsid w:val="00253A41"/>
    <w:rsid w:val="00253A82"/>
    <w:rsid w:val="00253B1D"/>
    <w:rsid w:val="00254DCF"/>
    <w:rsid w:val="0025534B"/>
    <w:rsid w:val="0025583E"/>
    <w:rsid w:val="00255BB7"/>
    <w:rsid w:val="00256E08"/>
    <w:rsid w:val="00257541"/>
    <w:rsid w:val="00257A39"/>
    <w:rsid w:val="00257AC4"/>
    <w:rsid w:val="00257B72"/>
    <w:rsid w:val="00261846"/>
    <w:rsid w:val="00261946"/>
    <w:rsid w:val="00261EEF"/>
    <w:rsid w:val="00261F09"/>
    <w:rsid w:val="00262A1A"/>
    <w:rsid w:val="00262A87"/>
    <w:rsid w:val="00264D26"/>
    <w:rsid w:val="00265811"/>
    <w:rsid w:val="00265D73"/>
    <w:rsid w:val="00265DC1"/>
    <w:rsid w:val="002660A5"/>
    <w:rsid w:val="00267642"/>
    <w:rsid w:val="00267AEA"/>
    <w:rsid w:val="00267B01"/>
    <w:rsid w:val="00267C15"/>
    <w:rsid w:val="002700E6"/>
    <w:rsid w:val="00271763"/>
    <w:rsid w:val="00271D0B"/>
    <w:rsid w:val="0027294B"/>
    <w:rsid w:val="00273EB4"/>
    <w:rsid w:val="00274682"/>
    <w:rsid w:val="00274E3F"/>
    <w:rsid w:val="00275024"/>
    <w:rsid w:val="00275C5A"/>
    <w:rsid w:val="00275EC3"/>
    <w:rsid w:val="002774F2"/>
    <w:rsid w:val="00280931"/>
    <w:rsid w:val="00281014"/>
    <w:rsid w:val="002817D6"/>
    <w:rsid w:val="00283DCD"/>
    <w:rsid w:val="002855F4"/>
    <w:rsid w:val="0028665D"/>
    <w:rsid w:val="0028677B"/>
    <w:rsid w:val="00286CD6"/>
    <w:rsid w:val="002874AF"/>
    <w:rsid w:val="00287726"/>
    <w:rsid w:val="00287AA0"/>
    <w:rsid w:val="002918A8"/>
    <w:rsid w:val="002926D2"/>
    <w:rsid w:val="00294D8D"/>
    <w:rsid w:val="00297260"/>
    <w:rsid w:val="002976E3"/>
    <w:rsid w:val="00297EB4"/>
    <w:rsid w:val="002A0E1F"/>
    <w:rsid w:val="002A14AB"/>
    <w:rsid w:val="002A2ADE"/>
    <w:rsid w:val="002A2F50"/>
    <w:rsid w:val="002A3D06"/>
    <w:rsid w:val="002A53DB"/>
    <w:rsid w:val="002A5CFE"/>
    <w:rsid w:val="002A75D5"/>
    <w:rsid w:val="002A7FFD"/>
    <w:rsid w:val="002B01A1"/>
    <w:rsid w:val="002B05A1"/>
    <w:rsid w:val="002B0917"/>
    <w:rsid w:val="002B09A4"/>
    <w:rsid w:val="002B13F5"/>
    <w:rsid w:val="002B19AC"/>
    <w:rsid w:val="002B1C1F"/>
    <w:rsid w:val="002B2F3D"/>
    <w:rsid w:val="002B432F"/>
    <w:rsid w:val="002B516F"/>
    <w:rsid w:val="002B62B3"/>
    <w:rsid w:val="002B6754"/>
    <w:rsid w:val="002B6CCE"/>
    <w:rsid w:val="002B79CB"/>
    <w:rsid w:val="002C0B82"/>
    <w:rsid w:val="002C1340"/>
    <w:rsid w:val="002C18E6"/>
    <w:rsid w:val="002C2510"/>
    <w:rsid w:val="002C2775"/>
    <w:rsid w:val="002C27C1"/>
    <w:rsid w:val="002C2B53"/>
    <w:rsid w:val="002C30B0"/>
    <w:rsid w:val="002C334A"/>
    <w:rsid w:val="002C4E74"/>
    <w:rsid w:val="002C4F74"/>
    <w:rsid w:val="002C4FFD"/>
    <w:rsid w:val="002C5099"/>
    <w:rsid w:val="002C5889"/>
    <w:rsid w:val="002C5A6A"/>
    <w:rsid w:val="002C66FE"/>
    <w:rsid w:val="002C6705"/>
    <w:rsid w:val="002C6DE0"/>
    <w:rsid w:val="002C71CE"/>
    <w:rsid w:val="002D08F8"/>
    <w:rsid w:val="002D0AEC"/>
    <w:rsid w:val="002D1E07"/>
    <w:rsid w:val="002D36B1"/>
    <w:rsid w:val="002D38C8"/>
    <w:rsid w:val="002D3A9C"/>
    <w:rsid w:val="002D577C"/>
    <w:rsid w:val="002D7F88"/>
    <w:rsid w:val="002E1071"/>
    <w:rsid w:val="002E1203"/>
    <w:rsid w:val="002E15B9"/>
    <w:rsid w:val="002E161B"/>
    <w:rsid w:val="002E1718"/>
    <w:rsid w:val="002E1CCB"/>
    <w:rsid w:val="002E2158"/>
    <w:rsid w:val="002E28EF"/>
    <w:rsid w:val="002E4B74"/>
    <w:rsid w:val="002E4F02"/>
    <w:rsid w:val="002E510C"/>
    <w:rsid w:val="002E5C0D"/>
    <w:rsid w:val="002E6173"/>
    <w:rsid w:val="002E6D77"/>
    <w:rsid w:val="002E6E0C"/>
    <w:rsid w:val="002E7722"/>
    <w:rsid w:val="002F0378"/>
    <w:rsid w:val="002F03A0"/>
    <w:rsid w:val="002F07BA"/>
    <w:rsid w:val="002F0DA9"/>
    <w:rsid w:val="002F1014"/>
    <w:rsid w:val="002F3DAA"/>
    <w:rsid w:val="002F56F4"/>
    <w:rsid w:val="002F643C"/>
    <w:rsid w:val="002F71C0"/>
    <w:rsid w:val="002F74F1"/>
    <w:rsid w:val="002F78B3"/>
    <w:rsid w:val="002F7C89"/>
    <w:rsid w:val="00300A81"/>
    <w:rsid w:val="00301017"/>
    <w:rsid w:val="0030155F"/>
    <w:rsid w:val="00301DB3"/>
    <w:rsid w:val="00301E3A"/>
    <w:rsid w:val="00302F3A"/>
    <w:rsid w:val="003033C1"/>
    <w:rsid w:val="00303420"/>
    <w:rsid w:val="00304DCE"/>
    <w:rsid w:val="00305435"/>
    <w:rsid w:val="0030587B"/>
    <w:rsid w:val="00305A30"/>
    <w:rsid w:val="00305BD5"/>
    <w:rsid w:val="00306150"/>
    <w:rsid w:val="00306D98"/>
    <w:rsid w:val="0030786C"/>
    <w:rsid w:val="00307AC6"/>
    <w:rsid w:val="0031031A"/>
    <w:rsid w:val="00310607"/>
    <w:rsid w:val="00310981"/>
    <w:rsid w:val="003110F1"/>
    <w:rsid w:val="003124D9"/>
    <w:rsid w:val="00312594"/>
    <w:rsid w:val="00315498"/>
    <w:rsid w:val="00316474"/>
    <w:rsid w:val="0031666E"/>
    <w:rsid w:val="00316963"/>
    <w:rsid w:val="00317A0E"/>
    <w:rsid w:val="00321CB2"/>
    <w:rsid w:val="00322107"/>
    <w:rsid w:val="00322355"/>
    <w:rsid w:val="00322846"/>
    <w:rsid w:val="00322BEF"/>
    <w:rsid w:val="00325D37"/>
    <w:rsid w:val="00326CD7"/>
    <w:rsid w:val="00326DA7"/>
    <w:rsid w:val="003270E4"/>
    <w:rsid w:val="00330DAA"/>
    <w:rsid w:val="00330F5C"/>
    <w:rsid w:val="00331191"/>
    <w:rsid w:val="003356EA"/>
    <w:rsid w:val="00336301"/>
    <w:rsid w:val="003366C9"/>
    <w:rsid w:val="003371B0"/>
    <w:rsid w:val="00340DF1"/>
    <w:rsid w:val="003450B7"/>
    <w:rsid w:val="00345172"/>
    <w:rsid w:val="00345227"/>
    <w:rsid w:val="00346D12"/>
    <w:rsid w:val="003506FA"/>
    <w:rsid w:val="00350908"/>
    <w:rsid w:val="00350E9B"/>
    <w:rsid w:val="003517F9"/>
    <w:rsid w:val="00351BA9"/>
    <w:rsid w:val="00351CC9"/>
    <w:rsid w:val="003530AC"/>
    <w:rsid w:val="0035436B"/>
    <w:rsid w:val="00354DA2"/>
    <w:rsid w:val="00354F64"/>
    <w:rsid w:val="00354F77"/>
    <w:rsid w:val="0035620E"/>
    <w:rsid w:val="0035719D"/>
    <w:rsid w:val="00357FD6"/>
    <w:rsid w:val="00360345"/>
    <w:rsid w:val="00361A05"/>
    <w:rsid w:val="003624C4"/>
    <w:rsid w:val="0036322A"/>
    <w:rsid w:val="00363B00"/>
    <w:rsid w:val="00364293"/>
    <w:rsid w:val="003654AC"/>
    <w:rsid w:val="003710CF"/>
    <w:rsid w:val="0037358A"/>
    <w:rsid w:val="003736D7"/>
    <w:rsid w:val="0037494B"/>
    <w:rsid w:val="00374B1C"/>
    <w:rsid w:val="003750F6"/>
    <w:rsid w:val="0037598D"/>
    <w:rsid w:val="003760FC"/>
    <w:rsid w:val="0037729F"/>
    <w:rsid w:val="003801C8"/>
    <w:rsid w:val="00380C9A"/>
    <w:rsid w:val="00381A06"/>
    <w:rsid w:val="00381BD6"/>
    <w:rsid w:val="0038259C"/>
    <w:rsid w:val="0038365C"/>
    <w:rsid w:val="0038369B"/>
    <w:rsid w:val="00383B78"/>
    <w:rsid w:val="00383D5A"/>
    <w:rsid w:val="0038468F"/>
    <w:rsid w:val="00385A9D"/>
    <w:rsid w:val="00385C85"/>
    <w:rsid w:val="003902B1"/>
    <w:rsid w:val="00390A6B"/>
    <w:rsid w:val="00390AE2"/>
    <w:rsid w:val="0039179C"/>
    <w:rsid w:val="00393376"/>
    <w:rsid w:val="00393A26"/>
    <w:rsid w:val="003943C6"/>
    <w:rsid w:val="00395BA7"/>
    <w:rsid w:val="00396896"/>
    <w:rsid w:val="00396FD0"/>
    <w:rsid w:val="003979F2"/>
    <w:rsid w:val="003A1A7A"/>
    <w:rsid w:val="003A2392"/>
    <w:rsid w:val="003A2831"/>
    <w:rsid w:val="003A2CAC"/>
    <w:rsid w:val="003A369E"/>
    <w:rsid w:val="003A3CB6"/>
    <w:rsid w:val="003A3ED1"/>
    <w:rsid w:val="003A40BE"/>
    <w:rsid w:val="003A44DB"/>
    <w:rsid w:val="003A775F"/>
    <w:rsid w:val="003A77EA"/>
    <w:rsid w:val="003B075C"/>
    <w:rsid w:val="003B1D24"/>
    <w:rsid w:val="003B3131"/>
    <w:rsid w:val="003B31C9"/>
    <w:rsid w:val="003B3971"/>
    <w:rsid w:val="003B3FA4"/>
    <w:rsid w:val="003B55D1"/>
    <w:rsid w:val="003B59E2"/>
    <w:rsid w:val="003B5B61"/>
    <w:rsid w:val="003B6291"/>
    <w:rsid w:val="003B629E"/>
    <w:rsid w:val="003B6B8D"/>
    <w:rsid w:val="003C0DB5"/>
    <w:rsid w:val="003C1654"/>
    <w:rsid w:val="003C5273"/>
    <w:rsid w:val="003C5542"/>
    <w:rsid w:val="003C5F69"/>
    <w:rsid w:val="003C67B0"/>
    <w:rsid w:val="003C6D1A"/>
    <w:rsid w:val="003C7D19"/>
    <w:rsid w:val="003C7D2F"/>
    <w:rsid w:val="003D0836"/>
    <w:rsid w:val="003D1828"/>
    <w:rsid w:val="003D1DE4"/>
    <w:rsid w:val="003D1E9A"/>
    <w:rsid w:val="003D2422"/>
    <w:rsid w:val="003D2D01"/>
    <w:rsid w:val="003D31FB"/>
    <w:rsid w:val="003D39A1"/>
    <w:rsid w:val="003D3A0E"/>
    <w:rsid w:val="003D3B75"/>
    <w:rsid w:val="003D3FBF"/>
    <w:rsid w:val="003D40EF"/>
    <w:rsid w:val="003D4A30"/>
    <w:rsid w:val="003D587A"/>
    <w:rsid w:val="003D6332"/>
    <w:rsid w:val="003D7452"/>
    <w:rsid w:val="003D79BB"/>
    <w:rsid w:val="003D7C98"/>
    <w:rsid w:val="003D7D9D"/>
    <w:rsid w:val="003D7F94"/>
    <w:rsid w:val="003E0543"/>
    <w:rsid w:val="003E0EB5"/>
    <w:rsid w:val="003E34A5"/>
    <w:rsid w:val="003E38AB"/>
    <w:rsid w:val="003E4D28"/>
    <w:rsid w:val="003E53C5"/>
    <w:rsid w:val="003E6B89"/>
    <w:rsid w:val="003E6EC0"/>
    <w:rsid w:val="003E749E"/>
    <w:rsid w:val="003F028D"/>
    <w:rsid w:val="003F07A8"/>
    <w:rsid w:val="003F151B"/>
    <w:rsid w:val="003F2CC3"/>
    <w:rsid w:val="003F4156"/>
    <w:rsid w:val="003F4D81"/>
    <w:rsid w:val="003F4E97"/>
    <w:rsid w:val="003F5ADF"/>
    <w:rsid w:val="003F79FE"/>
    <w:rsid w:val="003F7CEB"/>
    <w:rsid w:val="0040045E"/>
    <w:rsid w:val="00400B29"/>
    <w:rsid w:val="00401170"/>
    <w:rsid w:val="004029FE"/>
    <w:rsid w:val="0040504B"/>
    <w:rsid w:val="004059F4"/>
    <w:rsid w:val="00407FE5"/>
    <w:rsid w:val="004101B0"/>
    <w:rsid w:val="00410326"/>
    <w:rsid w:val="00410708"/>
    <w:rsid w:val="00410EC7"/>
    <w:rsid w:val="00410F07"/>
    <w:rsid w:val="00410FE8"/>
    <w:rsid w:val="0041131E"/>
    <w:rsid w:val="004115E4"/>
    <w:rsid w:val="00411B39"/>
    <w:rsid w:val="004127A7"/>
    <w:rsid w:val="0041337B"/>
    <w:rsid w:val="00413A1E"/>
    <w:rsid w:val="00414476"/>
    <w:rsid w:val="004147C8"/>
    <w:rsid w:val="00414C2E"/>
    <w:rsid w:val="004151CF"/>
    <w:rsid w:val="00416364"/>
    <w:rsid w:val="004169A0"/>
    <w:rsid w:val="0042047F"/>
    <w:rsid w:val="00420AA6"/>
    <w:rsid w:val="00420B9F"/>
    <w:rsid w:val="0042192C"/>
    <w:rsid w:val="00422260"/>
    <w:rsid w:val="004229D4"/>
    <w:rsid w:val="00422BE3"/>
    <w:rsid w:val="0042413F"/>
    <w:rsid w:val="004302D5"/>
    <w:rsid w:val="0043178E"/>
    <w:rsid w:val="004319F8"/>
    <w:rsid w:val="00431E55"/>
    <w:rsid w:val="004321F6"/>
    <w:rsid w:val="00433044"/>
    <w:rsid w:val="00434088"/>
    <w:rsid w:val="0043512F"/>
    <w:rsid w:val="004375B9"/>
    <w:rsid w:val="00440702"/>
    <w:rsid w:val="004428D0"/>
    <w:rsid w:val="00444185"/>
    <w:rsid w:val="004443A7"/>
    <w:rsid w:val="0044442C"/>
    <w:rsid w:val="00444A64"/>
    <w:rsid w:val="00444DB3"/>
    <w:rsid w:val="00445072"/>
    <w:rsid w:val="00445941"/>
    <w:rsid w:val="00445CF2"/>
    <w:rsid w:val="004464EB"/>
    <w:rsid w:val="0044758E"/>
    <w:rsid w:val="00447D26"/>
    <w:rsid w:val="00447DFC"/>
    <w:rsid w:val="00450323"/>
    <w:rsid w:val="004509DB"/>
    <w:rsid w:val="00451C09"/>
    <w:rsid w:val="00451D86"/>
    <w:rsid w:val="00452283"/>
    <w:rsid w:val="00453648"/>
    <w:rsid w:val="0045424D"/>
    <w:rsid w:val="00455B9A"/>
    <w:rsid w:val="00455D45"/>
    <w:rsid w:val="00455FE9"/>
    <w:rsid w:val="0046130C"/>
    <w:rsid w:val="00461FA9"/>
    <w:rsid w:val="00463499"/>
    <w:rsid w:val="00464595"/>
    <w:rsid w:val="00464DD6"/>
    <w:rsid w:val="004658B5"/>
    <w:rsid w:val="00465D8B"/>
    <w:rsid w:val="00465DF4"/>
    <w:rsid w:val="00465EC0"/>
    <w:rsid w:val="004677E6"/>
    <w:rsid w:val="00467946"/>
    <w:rsid w:val="00467D41"/>
    <w:rsid w:val="00467DB1"/>
    <w:rsid w:val="004705C7"/>
    <w:rsid w:val="004712AC"/>
    <w:rsid w:val="00471336"/>
    <w:rsid w:val="00471EA5"/>
    <w:rsid w:val="00472A79"/>
    <w:rsid w:val="0047351F"/>
    <w:rsid w:val="00473F19"/>
    <w:rsid w:val="00475E22"/>
    <w:rsid w:val="00475F43"/>
    <w:rsid w:val="00476050"/>
    <w:rsid w:val="00476170"/>
    <w:rsid w:val="004773C9"/>
    <w:rsid w:val="00477A9F"/>
    <w:rsid w:val="00480589"/>
    <w:rsid w:val="00480877"/>
    <w:rsid w:val="0048088E"/>
    <w:rsid w:val="00480CBC"/>
    <w:rsid w:val="00480F2B"/>
    <w:rsid w:val="00482720"/>
    <w:rsid w:val="004828FD"/>
    <w:rsid w:val="004835E7"/>
    <w:rsid w:val="004854FF"/>
    <w:rsid w:val="004867E2"/>
    <w:rsid w:val="00486891"/>
    <w:rsid w:val="004868F7"/>
    <w:rsid w:val="0049043E"/>
    <w:rsid w:val="00490666"/>
    <w:rsid w:val="004908DA"/>
    <w:rsid w:val="00490A5D"/>
    <w:rsid w:val="00490B17"/>
    <w:rsid w:val="004913CE"/>
    <w:rsid w:val="0049187C"/>
    <w:rsid w:val="00491B3A"/>
    <w:rsid w:val="00492CFD"/>
    <w:rsid w:val="00494207"/>
    <w:rsid w:val="00494DD5"/>
    <w:rsid w:val="00495A42"/>
    <w:rsid w:val="00495E20"/>
    <w:rsid w:val="004962D2"/>
    <w:rsid w:val="004A0DA1"/>
    <w:rsid w:val="004A13D6"/>
    <w:rsid w:val="004A14B4"/>
    <w:rsid w:val="004A17DD"/>
    <w:rsid w:val="004A2BC6"/>
    <w:rsid w:val="004A31F1"/>
    <w:rsid w:val="004A36B9"/>
    <w:rsid w:val="004A52E9"/>
    <w:rsid w:val="004A6040"/>
    <w:rsid w:val="004A6597"/>
    <w:rsid w:val="004A7330"/>
    <w:rsid w:val="004A75CB"/>
    <w:rsid w:val="004A7848"/>
    <w:rsid w:val="004B1CB4"/>
    <w:rsid w:val="004B2F18"/>
    <w:rsid w:val="004B3070"/>
    <w:rsid w:val="004B366B"/>
    <w:rsid w:val="004B3735"/>
    <w:rsid w:val="004B3DDB"/>
    <w:rsid w:val="004B3E34"/>
    <w:rsid w:val="004B3EF6"/>
    <w:rsid w:val="004B44FD"/>
    <w:rsid w:val="004B456F"/>
    <w:rsid w:val="004B532D"/>
    <w:rsid w:val="004B5CFC"/>
    <w:rsid w:val="004B6F79"/>
    <w:rsid w:val="004B7700"/>
    <w:rsid w:val="004B774D"/>
    <w:rsid w:val="004C0892"/>
    <w:rsid w:val="004C08CF"/>
    <w:rsid w:val="004C15E5"/>
    <w:rsid w:val="004C1F27"/>
    <w:rsid w:val="004C2C71"/>
    <w:rsid w:val="004C3195"/>
    <w:rsid w:val="004C4AED"/>
    <w:rsid w:val="004C68F7"/>
    <w:rsid w:val="004C6DCA"/>
    <w:rsid w:val="004C7680"/>
    <w:rsid w:val="004D158A"/>
    <w:rsid w:val="004D2033"/>
    <w:rsid w:val="004D225C"/>
    <w:rsid w:val="004D2B60"/>
    <w:rsid w:val="004D2C2D"/>
    <w:rsid w:val="004D2CE7"/>
    <w:rsid w:val="004D3535"/>
    <w:rsid w:val="004D4429"/>
    <w:rsid w:val="004D4708"/>
    <w:rsid w:val="004D5724"/>
    <w:rsid w:val="004D62C3"/>
    <w:rsid w:val="004D69B5"/>
    <w:rsid w:val="004D7227"/>
    <w:rsid w:val="004D754B"/>
    <w:rsid w:val="004E09E9"/>
    <w:rsid w:val="004E0E7F"/>
    <w:rsid w:val="004E0EB8"/>
    <w:rsid w:val="004E18E9"/>
    <w:rsid w:val="004E2ADC"/>
    <w:rsid w:val="004E43B2"/>
    <w:rsid w:val="004F1D02"/>
    <w:rsid w:val="004F1FAF"/>
    <w:rsid w:val="004F2454"/>
    <w:rsid w:val="004F2679"/>
    <w:rsid w:val="004F2F21"/>
    <w:rsid w:val="004F3DE5"/>
    <w:rsid w:val="004F4204"/>
    <w:rsid w:val="004F67CF"/>
    <w:rsid w:val="004F6913"/>
    <w:rsid w:val="004F6E7C"/>
    <w:rsid w:val="004F6FFC"/>
    <w:rsid w:val="004F771D"/>
    <w:rsid w:val="004F7865"/>
    <w:rsid w:val="0050119A"/>
    <w:rsid w:val="0050174E"/>
    <w:rsid w:val="00501854"/>
    <w:rsid w:val="0050219B"/>
    <w:rsid w:val="005025BA"/>
    <w:rsid w:val="00502C6A"/>
    <w:rsid w:val="00503F17"/>
    <w:rsid w:val="00504607"/>
    <w:rsid w:val="00506789"/>
    <w:rsid w:val="00506928"/>
    <w:rsid w:val="005077EF"/>
    <w:rsid w:val="005112D9"/>
    <w:rsid w:val="005117CB"/>
    <w:rsid w:val="00511AD5"/>
    <w:rsid w:val="00511DC7"/>
    <w:rsid w:val="00511FA4"/>
    <w:rsid w:val="005127FA"/>
    <w:rsid w:val="00514120"/>
    <w:rsid w:val="005142C5"/>
    <w:rsid w:val="00514A0D"/>
    <w:rsid w:val="00514DF2"/>
    <w:rsid w:val="0051501B"/>
    <w:rsid w:val="005152B5"/>
    <w:rsid w:val="005207CB"/>
    <w:rsid w:val="0052123C"/>
    <w:rsid w:val="00521319"/>
    <w:rsid w:val="0052152A"/>
    <w:rsid w:val="005221FF"/>
    <w:rsid w:val="005222D0"/>
    <w:rsid w:val="00522BC8"/>
    <w:rsid w:val="005231F8"/>
    <w:rsid w:val="00523C28"/>
    <w:rsid w:val="00525E61"/>
    <w:rsid w:val="00527532"/>
    <w:rsid w:val="00527DA7"/>
    <w:rsid w:val="005309BA"/>
    <w:rsid w:val="0053176B"/>
    <w:rsid w:val="0053510A"/>
    <w:rsid w:val="00536F42"/>
    <w:rsid w:val="00537182"/>
    <w:rsid w:val="005403E0"/>
    <w:rsid w:val="005412DB"/>
    <w:rsid w:val="005419B7"/>
    <w:rsid w:val="00541EDD"/>
    <w:rsid w:val="00542743"/>
    <w:rsid w:val="0054293C"/>
    <w:rsid w:val="00542C2D"/>
    <w:rsid w:val="00543619"/>
    <w:rsid w:val="00544744"/>
    <w:rsid w:val="00544D1D"/>
    <w:rsid w:val="00545745"/>
    <w:rsid w:val="005463E0"/>
    <w:rsid w:val="005478BD"/>
    <w:rsid w:val="005479E3"/>
    <w:rsid w:val="00547AB6"/>
    <w:rsid w:val="00551985"/>
    <w:rsid w:val="00551A2A"/>
    <w:rsid w:val="00552BD3"/>
    <w:rsid w:val="005532A0"/>
    <w:rsid w:val="00553B4F"/>
    <w:rsid w:val="0055407F"/>
    <w:rsid w:val="00554AA2"/>
    <w:rsid w:val="00554E3D"/>
    <w:rsid w:val="00555109"/>
    <w:rsid w:val="00555F27"/>
    <w:rsid w:val="00556303"/>
    <w:rsid w:val="00556B35"/>
    <w:rsid w:val="0055741A"/>
    <w:rsid w:val="005611B7"/>
    <w:rsid w:val="005618D4"/>
    <w:rsid w:val="0056271A"/>
    <w:rsid w:val="00563C8D"/>
    <w:rsid w:val="0056468E"/>
    <w:rsid w:val="00564A83"/>
    <w:rsid w:val="00564F6D"/>
    <w:rsid w:val="005652CF"/>
    <w:rsid w:val="00565483"/>
    <w:rsid w:val="00565B27"/>
    <w:rsid w:val="00565DF0"/>
    <w:rsid w:val="0056696F"/>
    <w:rsid w:val="00572269"/>
    <w:rsid w:val="0057232F"/>
    <w:rsid w:val="0057244A"/>
    <w:rsid w:val="00572F26"/>
    <w:rsid w:val="005742BD"/>
    <w:rsid w:val="005750C5"/>
    <w:rsid w:val="005752DE"/>
    <w:rsid w:val="00575D8D"/>
    <w:rsid w:val="00576393"/>
    <w:rsid w:val="00576972"/>
    <w:rsid w:val="005801EA"/>
    <w:rsid w:val="005801FB"/>
    <w:rsid w:val="00580472"/>
    <w:rsid w:val="0058104B"/>
    <w:rsid w:val="00581932"/>
    <w:rsid w:val="00582D1D"/>
    <w:rsid w:val="00583699"/>
    <w:rsid w:val="0058411F"/>
    <w:rsid w:val="00584A6D"/>
    <w:rsid w:val="00585CDD"/>
    <w:rsid w:val="0058692E"/>
    <w:rsid w:val="00587058"/>
    <w:rsid w:val="00587EA5"/>
    <w:rsid w:val="00591957"/>
    <w:rsid w:val="005936E8"/>
    <w:rsid w:val="005946CB"/>
    <w:rsid w:val="00594C77"/>
    <w:rsid w:val="005952F6"/>
    <w:rsid w:val="00595F83"/>
    <w:rsid w:val="00597BF9"/>
    <w:rsid w:val="005A15B3"/>
    <w:rsid w:val="005A2234"/>
    <w:rsid w:val="005A309A"/>
    <w:rsid w:val="005A373D"/>
    <w:rsid w:val="005A4646"/>
    <w:rsid w:val="005A47F0"/>
    <w:rsid w:val="005A684A"/>
    <w:rsid w:val="005A699A"/>
    <w:rsid w:val="005B0357"/>
    <w:rsid w:val="005B0B58"/>
    <w:rsid w:val="005B1379"/>
    <w:rsid w:val="005B374A"/>
    <w:rsid w:val="005B37B7"/>
    <w:rsid w:val="005B398F"/>
    <w:rsid w:val="005B4E53"/>
    <w:rsid w:val="005B4EC0"/>
    <w:rsid w:val="005B5857"/>
    <w:rsid w:val="005B68A1"/>
    <w:rsid w:val="005B7A75"/>
    <w:rsid w:val="005C1B83"/>
    <w:rsid w:val="005C25FF"/>
    <w:rsid w:val="005C2D55"/>
    <w:rsid w:val="005C346B"/>
    <w:rsid w:val="005C3B6A"/>
    <w:rsid w:val="005C5AE4"/>
    <w:rsid w:val="005D044D"/>
    <w:rsid w:val="005D0ABD"/>
    <w:rsid w:val="005D18AD"/>
    <w:rsid w:val="005D1E1A"/>
    <w:rsid w:val="005D26B4"/>
    <w:rsid w:val="005D5CA8"/>
    <w:rsid w:val="005D5CB8"/>
    <w:rsid w:val="005D77B0"/>
    <w:rsid w:val="005D7809"/>
    <w:rsid w:val="005E0A8B"/>
    <w:rsid w:val="005E240D"/>
    <w:rsid w:val="005E2489"/>
    <w:rsid w:val="005E53BB"/>
    <w:rsid w:val="005E5954"/>
    <w:rsid w:val="005E6CBC"/>
    <w:rsid w:val="005E72FF"/>
    <w:rsid w:val="005E73C0"/>
    <w:rsid w:val="005F2706"/>
    <w:rsid w:val="005F3CD5"/>
    <w:rsid w:val="005F51D0"/>
    <w:rsid w:val="005F672C"/>
    <w:rsid w:val="005F6A8F"/>
    <w:rsid w:val="005F6BB7"/>
    <w:rsid w:val="005F707A"/>
    <w:rsid w:val="005F7588"/>
    <w:rsid w:val="00600767"/>
    <w:rsid w:val="006013E7"/>
    <w:rsid w:val="00601EDD"/>
    <w:rsid w:val="00602EEC"/>
    <w:rsid w:val="00602F76"/>
    <w:rsid w:val="00603DB9"/>
    <w:rsid w:val="00604DD4"/>
    <w:rsid w:val="00606FBA"/>
    <w:rsid w:val="00607669"/>
    <w:rsid w:val="006076F4"/>
    <w:rsid w:val="00607AFD"/>
    <w:rsid w:val="00607F56"/>
    <w:rsid w:val="00610B35"/>
    <w:rsid w:val="00611DB0"/>
    <w:rsid w:val="00612F97"/>
    <w:rsid w:val="0061345D"/>
    <w:rsid w:val="00613EF6"/>
    <w:rsid w:val="006142B3"/>
    <w:rsid w:val="0061505A"/>
    <w:rsid w:val="0061549B"/>
    <w:rsid w:val="006160AF"/>
    <w:rsid w:val="00616802"/>
    <w:rsid w:val="0061697A"/>
    <w:rsid w:val="0061767F"/>
    <w:rsid w:val="00617E12"/>
    <w:rsid w:val="00620C25"/>
    <w:rsid w:val="00621477"/>
    <w:rsid w:val="00621ADA"/>
    <w:rsid w:val="00621D12"/>
    <w:rsid w:val="00622A7B"/>
    <w:rsid w:val="00623F7B"/>
    <w:rsid w:val="006265EA"/>
    <w:rsid w:val="00627AAB"/>
    <w:rsid w:val="006306FA"/>
    <w:rsid w:val="0063158F"/>
    <w:rsid w:val="00631D6B"/>
    <w:rsid w:val="00632183"/>
    <w:rsid w:val="006330A1"/>
    <w:rsid w:val="006335E3"/>
    <w:rsid w:val="00633FD3"/>
    <w:rsid w:val="00634077"/>
    <w:rsid w:val="0063479F"/>
    <w:rsid w:val="00634DD0"/>
    <w:rsid w:val="00634E32"/>
    <w:rsid w:val="00635180"/>
    <w:rsid w:val="006353F0"/>
    <w:rsid w:val="006357B5"/>
    <w:rsid w:val="006364A1"/>
    <w:rsid w:val="0063678E"/>
    <w:rsid w:val="00636914"/>
    <w:rsid w:val="006373A3"/>
    <w:rsid w:val="00637BFD"/>
    <w:rsid w:val="00640290"/>
    <w:rsid w:val="00641885"/>
    <w:rsid w:val="00641C4E"/>
    <w:rsid w:val="00641FB3"/>
    <w:rsid w:val="0064255C"/>
    <w:rsid w:val="006440FA"/>
    <w:rsid w:val="0064434C"/>
    <w:rsid w:val="00644E27"/>
    <w:rsid w:val="006450E3"/>
    <w:rsid w:val="00645644"/>
    <w:rsid w:val="0064565C"/>
    <w:rsid w:val="00646389"/>
    <w:rsid w:val="006471CC"/>
    <w:rsid w:val="0064726C"/>
    <w:rsid w:val="00647A29"/>
    <w:rsid w:val="00647EC7"/>
    <w:rsid w:val="0065079F"/>
    <w:rsid w:val="006511EA"/>
    <w:rsid w:val="00652A28"/>
    <w:rsid w:val="006531E2"/>
    <w:rsid w:val="0065379F"/>
    <w:rsid w:val="00655547"/>
    <w:rsid w:val="00656188"/>
    <w:rsid w:val="006563A3"/>
    <w:rsid w:val="0065708A"/>
    <w:rsid w:val="0065715A"/>
    <w:rsid w:val="0066029F"/>
    <w:rsid w:val="006605EB"/>
    <w:rsid w:val="006610F1"/>
    <w:rsid w:val="00661C6B"/>
    <w:rsid w:val="006639A1"/>
    <w:rsid w:val="00663ADB"/>
    <w:rsid w:val="00664E8B"/>
    <w:rsid w:val="00665036"/>
    <w:rsid w:val="00665E2F"/>
    <w:rsid w:val="00667F9D"/>
    <w:rsid w:val="00671004"/>
    <w:rsid w:val="0067115B"/>
    <w:rsid w:val="00671BB3"/>
    <w:rsid w:val="00672646"/>
    <w:rsid w:val="00673E77"/>
    <w:rsid w:val="00674461"/>
    <w:rsid w:val="00674E42"/>
    <w:rsid w:val="00677961"/>
    <w:rsid w:val="00680426"/>
    <w:rsid w:val="006813F8"/>
    <w:rsid w:val="00682112"/>
    <w:rsid w:val="00682BA6"/>
    <w:rsid w:val="00684973"/>
    <w:rsid w:val="00685EAA"/>
    <w:rsid w:val="00685FB8"/>
    <w:rsid w:val="00686957"/>
    <w:rsid w:val="006872BA"/>
    <w:rsid w:val="006906A6"/>
    <w:rsid w:val="00690795"/>
    <w:rsid w:val="00690AA8"/>
    <w:rsid w:val="006913AF"/>
    <w:rsid w:val="00691648"/>
    <w:rsid w:val="006917D7"/>
    <w:rsid w:val="00692414"/>
    <w:rsid w:val="006924C1"/>
    <w:rsid w:val="0069434C"/>
    <w:rsid w:val="00694678"/>
    <w:rsid w:val="00694F44"/>
    <w:rsid w:val="00696F51"/>
    <w:rsid w:val="006976E8"/>
    <w:rsid w:val="006979A5"/>
    <w:rsid w:val="006A1ED2"/>
    <w:rsid w:val="006A3381"/>
    <w:rsid w:val="006A3B11"/>
    <w:rsid w:val="006A6B99"/>
    <w:rsid w:val="006A709E"/>
    <w:rsid w:val="006A7E5F"/>
    <w:rsid w:val="006A7FD2"/>
    <w:rsid w:val="006B261B"/>
    <w:rsid w:val="006B26B1"/>
    <w:rsid w:val="006B2716"/>
    <w:rsid w:val="006B2C90"/>
    <w:rsid w:val="006B2D85"/>
    <w:rsid w:val="006B35E6"/>
    <w:rsid w:val="006B406F"/>
    <w:rsid w:val="006B465A"/>
    <w:rsid w:val="006B50B7"/>
    <w:rsid w:val="006B53D8"/>
    <w:rsid w:val="006B6894"/>
    <w:rsid w:val="006B6DD0"/>
    <w:rsid w:val="006B7955"/>
    <w:rsid w:val="006C0399"/>
    <w:rsid w:val="006C125D"/>
    <w:rsid w:val="006C18AC"/>
    <w:rsid w:val="006C18ED"/>
    <w:rsid w:val="006C1E8A"/>
    <w:rsid w:val="006C1FF6"/>
    <w:rsid w:val="006C22CF"/>
    <w:rsid w:val="006C2A8E"/>
    <w:rsid w:val="006C3255"/>
    <w:rsid w:val="006C3ABD"/>
    <w:rsid w:val="006C3C2E"/>
    <w:rsid w:val="006C3F26"/>
    <w:rsid w:val="006C4C02"/>
    <w:rsid w:val="006C52A7"/>
    <w:rsid w:val="006D0D17"/>
    <w:rsid w:val="006D2D5F"/>
    <w:rsid w:val="006D3AD8"/>
    <w:rsid w:val="006D3C7D"/>
    <w:rsid w:val="006D4659"/>
    <w:rsid w:val="006D5D5F"/>
    <w:rsid w:val="006D68FB"/>
    <w:rsid w:val="006D6B6F"/>
    <w:rsid w:val="006E2868"/>
    <w:rsid w:val="006E38CE"/>
    <w:rsid w:val="006E4221"/>
    <w:rsid w:val="006E616E"/>
    <w:rsid w:val="006E62EB"/>
    <w:rsid w:val="006F0BAB"/>
    <w:rsid w:val="006F306C"/>
    <w:rsid w:val="006F325D"/>
    <w:rsid w:val="006F63A5"/>
    <w:rsid w:val="006F6675"/>
    <w:rsid w:val="00700129"/>
    <w:rsid w:val="00700A67"/>
    <w:rsid w:val="0070142B"/>
    <w:rsid w:val="007024DF"/>
    <w:rsid w:val="0070276E"/>
    <w:rsid w:val="00702F8F"/>
    <w:rsid w:val="007044CB"/>
    <w:rsid w:val="007047AA"/>
    <w:rsid w:val="007049CA"/>
    <w:rsid w:val="00704A48"/>
    <w:rsid w:val="00704E43"/>
    <w:rsid w:val="00705A02"/>
    <w:rsid w:val="007064C7"/>
    <w:rsid w:val="007079FC"/>
    <w:rsid w:val="00707B06"/>
    <w:rsid w:val="0071067A"/>
    <w:rsid w:val="00711459"/>
    <w:rsid w:val="00711A36"/>
    <w:rsid w:val="007121F4"/>
    <w:rsid w:val="0071321C"/>
    <w:rsid w:val="00713C68"/>
    <w:rsid w:val="007140C3"/>
    <w:rsid w:val="00714558"/>
    <w:rsid w:val="00714C26"/>
    <w:rsid w:val="0071529C"/>
    <w:rsid w:val="0071546D"/>
    <w:rsid w:val="0071555A"/>
    <w:rsid w:val="00715F9A"/>
    <w:rsid w:val="00716B2C"/>
    <w:rsid w:val="0071705B"/>
    <w:rsid w:val="007170DA"/>
    <w:rsid w:val="007172AD"/>
    <w:rsid w:val="00717AA8"/>
    <w:rsid w:val="00717F4A"/>
    <w:rsid w:val="007205A9"/>
    <w:rsid w:val="00720801"/>
    <w:rsid w:val="007211DA"/>
    <w:rsid w:val="0072227B"/>
    <w:rsid w:val="0072291E"/>
    <w:rsid w:val="00722B0D"/>
    <w:rsid w:val="00722B1B"/>
    <w:rsid w:val="00723CF3"/>
    <w:rsid w:val="00723DE0"/>
    <w:rsid w:val="0072416F"/>
    <w:rsid w:val="0072474C"/>
    <w:rsid w:val="00724EF8"/>
    <w:rsid w:val="00724F12"/>
    <w:rsid w:val="0072516D"/>
    <w:rsid w:val="00726E55"/>
    <w:rsid w:val="00726ECB"/>
    <w:rsid w:val="007270A5"/>
    <w:rsid w:val="00727697"/>
    <w:rsid w:val="00727C94"/>
    <w:rsid w:val="00730496"/>
    <w:rsid w:val="00731923"/>
    <w:rsid w:val="00731B0A"/>
    <w:rsid w:val="00731EAE"/>
    <w:rsid w:val="00732522"/>
    <w:rsid w:val="00733073"/>
    <w:rsid w:val="00735033"/>
    <w:rsid w:val="00735328"/>
    <w:rsid w:val="007365F0"/>
    <w:rsid w:val="00736764"/>
    <w:rsid w:val="0073685B"/>
    <w:rsid w:val="0073780F"/>
    <w:rsid w:val="00740C57"/>
    <w:rsid w:val="00741D3D"/>
    <w:rsid w:val="00742881"/>
    <w:rsid w:val="00742926"/>
    <w:rsid w:val="00742E1A"/>
    <w:rsid w:val="007449BF"/>
    <w:rsid w:val="00745B54"/>
    <w:rsid w:val="007468F8"/>
    <w:rsid w:val="00746BC0"/>
    <w:rsid w:val="00750362"/>
    <w:rsid w:val="00750493"/>
    <w:rsid w:val="007510B4"/>
    <w:rsid w:val="007516A2"/>
    <w:rsid w:val="00752142"/>
    <w:rsid w:val="007523F9"/>
    <w:rsid w:val="00752B9B"/>
    <w:rsid w:val="00752E4D"/>
    <w:rsid w:val="0075357E"/>
    <w:rsid w:val="00754963"/>
    <w:rsid w:val="00754FDE"/>
    <w:rsid w:val="00755E93"/>
    <w:rsid w:val="00756438"/>
    <w:rsid w:val="007567A7"/>
    <w:rsid w:val="00756EE4"/>
    <w:rsid w:val="007573E8"/>
    <w:rsid w:val="00757EA8"/>
    <w:rsid w:val="00760C4E"/>
    <w:rsid w:val="00760F9E"/>
    <w:rsid w:val="00761223"/>
    <w:rsid w:val="00761E93"/>
    <w:rsid w:val="007620D8"/>
    <w:rsid w:val="0076215C"/>
    <w:rsid w:val="007627BE"/>
    <w:rsid w:val="0076393C"/>
    <w:rsid w:val="00763A7F"/>
    <w:rsid w:val="007646F5"/>
    <w:rsid w:val="00764F03"/>
    <w:rsid w:val="00765697"/>
    <w:rsid w:val="00765B1A"/>
    <w:rsid w:val="00773428"/>
    <w:rsid w:val="007742A6"/>
    <w:rsid w:val="0077463D"/>
    <w:rsid w:val="00774BF2"/>
    <w:rsid w:val="0077544D"/>
    <w:rsid w:val="007771AE"/>
    <w:rsid w:val="00777335"/>
    <w:rsid w:val="007779AC"/>
    <w:rsid w:val="00781E4F"/>
    <w:rsid w:val="007843F2"/>
    <w:rsid w:val="00785A9F"/>
    <w:rsid w:val="00785C0C"/>
    <w:rsid w:val="00786E5D"/>
    <w:rsid w:val="007871FA"/>
    <w:rsid w:val="007875AB"/>
    <w:rsid w:val="00787E32"/>
    <w:rsid w:val="00787EC3"/>
    <w:rsid w:val="00790047"/>
    <w:rsid w:val="00790FDA"/>
    <w:rsid w:val="007923A4"/>
    <w:rsid w:val="007925DF"/>
    <w:rsid w:val="00792D63"/>
    <w:rsid w:val="007931B9"/>
    <w:rsid w:val="0079378C"/>
    <w:rsid w:val="00794554"/>
    <w:rsid w:val="007948CA"/>
    <w:rsid w:val="00795A94"/>
    <w:rsid w:val="007A02C7"/>
    <w:rsid w:val="007A08AA"/>
    <w:rsid w:val="007A0A12"/>
    <w:rsid w:val="007A132D"/>
    <w:rsid w:val="007A1345"/>
    <w:rsid w:val="007A23B8"/>
    <w:rsid w:val="007A2A45"/>
    <w:rsid w:val="007A2DDB"/>
    <w:rsid w:val="007A2F20"/>
    <w:rsid w:val="007A338B"/>
    <w:rsid w:val="007A33B3"/>
    <w:rsid w:val="007A5015"/>
    <w:rsid w:val="007A6245"/>
    <w:rsid w:val="007A694C"/>
    <w:rsid w:val="007A70BA"/>
    <w:rsid w:val="007A717A"/>
    <w:rsid w:val="007A71B6"/>
    <w:rsid w:val="007B0A59"/>
    <w:rsid w:val="007B0D68"/>
    <w:rsid w:val="007B1651"/>
    <w:rsid w:val="007B17AD"/>
    <w:rsid w:val="007B1ADE"/>
    <w:rsid w:val="007B1FCB"/>
    <w:rsid w:val="007B251D"/>
    <w:rsid w:val="007B2C3F"/>
    <w:rsid w:val="007B3969"/>
    <w:rsid w:val="007B4202"/>
    <w:rsid w:val="007B4F58"/>
    <w:rsid w:val="007B528D"/>
    <w:rsid w:val="007B63CA"/>
    <w:rsid w:val="007B77D1"/>
    <w:rsid w:val="007B7ACB"/>
    <w:rsid w:val="007C07C7"/>
    <w:rsid w:val="007C1CD9"/>
    <w:rsid w:val="007C32EF"/>
    <w:rsid w:val="007C3537"/>
    <w:rsid w:val="007C361D"/>
    <w:rsid w:val="007C4B84"/>
    <w:rsid w:val="007C5249"/>
    <w:rsid w:val="007C70FF"/>
    <w:rsid w:val="007C7C25"/>
    <w:rsid w:val="007C7E61"/>
    <w:rsid w:val="007D004F"/>
    <w:rsid w:val="007D049B"/>
    <w:rsid w:val="007D0B38"/>
    <w:rsid w:val="007D1439"/>
    <w:rsid w:val="007D2EA6"/>
    <w:rsid w:val="007D2FBC"/>
    <w:rsid w:val="007D4D1B"/>
    <w:rsid w:val="007D4DD1"/>
    <w:rsid w:val="007D5440"/>
    <w:rsid w:val="007D5D1B"/>
    <w:rsid w:val="007D652E"/>
    <w:rsid w:val="007D69EB"/>
    <w:rsid w:val="007D77B4"/>
    <w:rsid w:val="007E0CB0"/>
    <w:rsid w:val="007E128F"/>
    <w:rsid w:val="007E1EC7"/>
    <w:rsid w:val="007E2360"/>
    <w:rsid w:val="007E272F"/>
    <w:rsid w:val="007E31E8"/>
    <w:rsid w:val="007E3575"/>
    <w:rsid w:val="007E7A26"/>
    <w:rsid w:val="007F0996"/>
    <w:rsid w:val="007F1017"/>
    <w:rsid w:val="007F2AAD"/>
    <w:rsid w:val="007F4228"/>
    <w:rsid w:val="007F4537"/>
    <w:rsid w:val="007F4A3F"/>
    <w:rsid w:val="007F4A61"/>
    <w:rsid w:val="007F5255"/>
    <w:rsid w:val="007F56CC"/>
    <w:rsid w:val="007F57E4"/>
    <w:rsid w:val="007F61C2"/>
    <w:rsid w:val="007F7BB3"/>
    <w:rsid w:val="00800914"/>
    <w:rsid w:val="00801E1C"/>
    <w:rsid w:val="0080214B"/>
    <w:rsid w:val="00803E72"/>
    <w:rsid w:val="00805142"/>
    <w:rsid w:val="00805FCE"/>
    <w:rsid w:val="008065C6"/>
    <w:rsid w:val="00806F1A"/>
    <w:rsid w:val="008072B0"/>
    <w:rsid w:val="00807A8B"/>
    <w:rsid w:val="00811383"/>
    <w:rsid w:val="00812149"/>
    <w:rsid w:val="008122E7"/>
    <w:rsid w:val="00812CAC"/>
    <w:rsid w:val="00816361"/>
    <w:rsid w:val="008166EF"/>
    <w:rsid w:val="00816FEF"/>
    <w:rsid w:val="0082064A"/>
    <w:rsid w:val="00820A8C"/>
    <w:rsid w:val="008215FB"/>
    <w:rsid w:val="0082191D"/>
    <w:rsid w:val="00822FE9"/>
    <w:rsid w:val="00823174"/>
    <w:rsid w:val="008232FE"/>
    <w:rsid w:val="008233D0"/>
    <w:rsid w:val="00824426"/>
    <w:rsid w:val="0082545F"/>
    <w:rsid w:val="0082572D"/>
    <w:rsid w:val="00825751"/>
    <w:rsid w:val="008264EB"/>
    <w:rsid w:val="00827921"/>
    <w:rsid w:val="00831328"/>
    <w:rsid w:val="00832B6C"/>
    <w:rsid w:val="00833B05"/>
    <w:rsid w:val="00835222"/>
    <w:rsid w:val="008353D2"/>
    <w:rsid w:val="00835B41"/>
    <w:rsid w:val="00835CB1"/>
    <w:rsid w:val="008362B4"/>
    <w:rsid w:val="00836642"/>
    <w:rsid w:val="00836E6C"/>
    <w:rsid w:val="00837ABE"/>
    <w:rsid w:val="00840CA2"/>
    <w:rsid w:val="00843500"/>
    <w:rsid w:val="0084374F"/>
    <w:rsid w:val="008449B0"/>
    <w:rsid w:val="00844A22"/>
    <w:rsid w:val="00844AE5"/>
    <w:rsid w:val="00844E43"/>
    <w:rsid w:val="008450AD"/>
    <w:rsid w:val="00845E11"/>
    <w:rsid w:val="00846504"/>
    <w:rsid w:val="00846E96"/>
    <w:rsid w:val="0084736B"/>
    <w:rsid w:val="00847703"/>
    <w:rsid w:val="00847809"/>
    <w:rsid w:val="00847DF5"/>
    <w:rsid w:val="00851832"/>
    <w:rsid w:val="0085309D"/>
    <w:rsid w:val="008535B3"/>
    <w:rsid w:val="00853F78"/>
    <w:rsid w:val="00853F7A"/>
    <w:rsid w:val="0085506F"/>
    <w:rsid w:val="0085651A"/>
    <w:rsid w:val="00856897"/>
    <w:rsid w:val="00856E9A"/>
    <w:rsid w:val="008570AE"/>
    <w:rsid w:val="008571E2"/>
    <w:rsid w:val="008576A7"/>
    <w:rsid w:val="0086075D"/>
    <w:rsid w:val="0086109B"/>
    <w:rsid w:val="00861208"/>
    <w:rsid w:val="00862502"/>
    <w:rsid w:val="008625EB"/>
    <w:rsid w:val="00862AAA"/>
    <w:rsid w:val="00862CC1"/>
    <w:rsid w:val="00862ECE"/>
    <w:rsid w:val="00864147"/>
    <w:rsid w:val="00864F18"/>
    <w:rsid w:val="00865A3A"/>
    <w:rsid w:val="008660D4"/>
    <w:rsid w:val="00866204"/>
    <w:rsid w:val="00866258"/>
    <w:rsid w:val="00870847"/>
    <w:rsid w:val="00871FA9"/>
    <w:rsid w:val="008728E9"/>
    <w:rsid w:val="00872C20"/>
    <w:rsid w:val="00874C84"/>
    <w:rsid w:val="00877BE4"/>
    <w:rsid w:val="00880E3D"/>
    <w:rsid w:val="00882874"/>
    <w:rsid w:val="00882E3C"/>
    <w:rsid w:val="008831AC"/>
    <w:rsid w:val="00883787"/>
    <w:rsid w:val="0088489A"/>
    <w:rsid w:val="008855E4"/>
    <w:rsid w:val="00885F82"/>
    <w:rsid w:val="008860DB"/>
    <w:rsid w:val="0088625D"/>
    <w:rsid w:val="00886CD2"/>
    <w:rsid w:val="00887D90"/>
    <w:rsid w:val="00890080"/>
    <w:rsid w:val="00890557"/>
    <w:rsid w:val="008917E0"/>
    <w:rsid w:val="00891E6F"/>
    <w:rsid w:val="0089275D"/>
    <w:rsid w:val="00892A36"/>
    <w:rsid w:val="00893239"/>
    <w:rsid w:val="0089441E"/>
    <w:rsid w:val="00894489"/>
    <w:rsid w:val="00894913"/>
    <w:rsid w:val="00894DB5"/>
    <w:rsid w:val="0089512D"/>
    <w:rsid w:val="008963A5"/>
    <w:rsid w:val="00896971"/>
    <w:rsid w:val="00896D5D"/>
    <w:rsid w:val="00897113"/>
    <w:rsid w:val="00897BD9"/>
    <w:rsid w:val="008A0984"/>
    <w:rsid w:val="008A0C6D"/>
    <w:rsid w:val="008A281C"/>
    <w:rsid w:val="008A3363"/>
    <w:rsid w:val="008A3371"/>
    <w:rsid w:val="008A3C3E"/>
    <w:rsid w:val="008A6DF0"/>
    <w:rsid w:val="008A79DE"/>
    <w:rsid w:val="008A7E59"/>
    <w:rsid w:val="008A7F3B"/>
    <w:rsid w:val="008B1757"/>
    <w:rsid w:val="008B1B90"/>
    <w:rsid w:val="008B2DBC"/>
    <w:rsid w:val="008B31F0"/>
    <w:rsid w:val="008B387D"/>
    <w:rsid w:val="008B4CBD"/>
    <w:rsid w:val="008B5876"/>
    <w:rsid w:val="008B7992"/>
    <w:rsid w:val="008B7D7E"/>
    <w:rsid w:val="008C0859"/>
    <w:rsid w:val="008C1284"/>
    <w:rsid w:val="008C2E3C"/>
    <w:rsid w:val="008C30BE"/>
    <w:rsid w:val="008C3884"/>
    <w:rsid w:val="008C5610"/>
    <w:rsid w:val="008C5739"/>
    <w:rsid w:val="008C67B9"/>
    <w:rsid w:val="008C7ECB"/>
    <w:rsid w:val="008D0383"/>
    <w:rsid w:val="008D2E5D"/>
    <w:rsid w:val="008D321E"/>
    <w:rsid w:val="008D3B86"/>
    <w:rsid w:val="008D4755"/>
    <w:rsid w:val="008D4C3D"/>
    <w:rsid w:val="008D743C"/>
    <w:rsid w:val="008E00AE"/>
    <w:rsid w:val="008E0D3C"/>
    <w:rsid w:val="008E1410"/>
    <w:rsid w:val="008E1B9E"/>
    <w:rsid w:val="008E1C97"/>
    <w:rsid w:val="008E2DF7"/>
    <w:rsid w:val="008E384E"/>
    <w:rsid w:val="008E55AB"/>
    <w:rsid w:val="008E5F59"/>
    <w:rsid w:val="008E6724"/>
    <w:rsid w:val="008E6925"/>
    <w:rsid w:val="008E6F48"/>
    <w:rsid w:val="008E7712"/>
    <w:rsid w:val="008F120A"/>
    <w:rsid w:val="008F16A1"/>
    <w:rsid w:val="008F1CB9"/>
    <w:rsid w:val="008F27E0"/>
    <w:rsid w:val="008F2DFE"/>
    <w:rsid w:val="008F40DB"/>
    <w:rsid w:val="008F48EB"/>
    <w:rsid w:val="008F4F0B"/>
    <w:rsid w:val="008F5092"/>
    <w:rsid w:val="008F5836"/>
    <w:rsid w:val="008F5AAA"/>
    <w:rsid w:val="008F6880"/>
    <w:rsid w:val="008F69AD"/>
    <w:rsid w:val="008F7028"/>
    <w:rsid w:val="009008CE"/>
    <w:rsid w:val="00901AF1"/>
    <w:rsid w:val="00903281"/>
    <w:rsid w:val="009046C4"/>
    <w:rsid w:val="00904AED"/>
    <w:rsid w:val="009062A5"/>
    <w:rsid w:val="00906393"/>
    <w:rsid w:val="00906A11"/>
    <w:rsid w:val="00910FA7"/>
    <w:rsid w:val="00911272"/>
    <w:rsid w:val="0091331B"/>
    <w:rsid w:val="009135D6"/>
    <w:rsid w:val="009149DE"/>
    <w:rsid w:val="00914C77"/>
    <w:rsid w:val="00915CB5"/>
    <w:rsid w:val="00917011"/>
    <w:rsid w:val="00917FFB"/>
    <w:rsid w:val="00920FA7"/>
    <w:rsid w:val="009219E2"/>
    <w:rsid w:val="00921ACB"/>
    <w:rsid w:val="009230C3"/>
    <w:rsid w:val="009231BE"/>
    <w:rsid w:val="009234E5"/>
    <w:rsid w:val="0092369B"/>
    <w:rsid w:val="00926A8D"/>
    <w:rsid w:val="00926D83"/>
    <w:rsid w:val="00927978"/>
    <w:rsid w:val="009304FE"/>
    <w:rsid w:val="0093066D"/>
    <w:rsid w:val="0093077B"/>
    <w:rsid w:val="009317D2"/>
    <w:rsid w:val="00931901"/>
    <w:rsid w:val="0093371F"/>
    <w:rsid w:val="009339E9"/>
    <w:rsid w:val="00934412"/>
    <w:rsid w:val="009344FD"/>
    <w:rsid w:val="00934988"/>
    <w:rsid w:val="00935131"/>
    <w:rsid w:val="009353BF"/>
    <w:rsid w:val="00935D0A"/>
    <w:rsid w:val="00936B95"/>
    <w:rsid w:val="00937089"/>
    <w:rsid w:val="0094053F"/>
    <w:rsid w:val="00940E10"/>
    <w:rsid w:val="0094206B"/>
    <w:rsid w:val="00943781"/>
    <w:rsid w:val="00944DE5"/>
    <w:rsid w:val="00944ED0"/>
    <w:rsid w:val="00944F8A"/>
    <w:rsid w:val="0094572B"/>
    <w:rsid w:val="00946D79"/>
    <w:rsid w:val="0094782E"/>
    <w:rsid w:val="009510A2"/>
    <w:rsid w:val="00952962"/>
    <w:rsid w:val="0095323F"/>
    <w:rsid w:val="00953257"/>
    <w:rsid w:val="0095457D"/>
    <w:rsid w:val="00954732"/>
    <w:rsid w:val="0095474C"/>
    <w:rsid w:val="0095618C"/>
    <w:rsid w:val="0095678A"/>
    <w:rsid w:val="00956811"/>
    <w:rsid w:val="009573DE"/>
    <w:rsid w:val="00960D9D"/>
    <w:rsid w:val="009624F3"/>
    <w:rsid w:val="00962CB9"/>
    <w:rsid w:val="00962F91"/>
    <w:rsid w:val="00964312"/>
    <w:rsid w:val="0096447C"/>
    <w:rsid w:val="009650EB"/>
    <w:rsid w:val="00965790"/>
    <w:rsid w:val="00965B8A"/>
    <w:rsid w:val="00967196"/>
    <w:rsid w:val="00967362"/>
    <w:rsid w:val="0097030A"/>
    <w:rsid w:val="009706FC"/>
    <w:rsid w:val="0097071F"/>
    <w:rsid w:val="0097165B"/>
    <w:rsid w:val="009717AC"/>
    <w:rsid w:val="00972723"/>
    <w:rsid w:val="00972C31"/>
    <w:rsid w:val="00972F4B"/>
    <w:rsid w:val="009731F2"/>
    <w:rsid w:val="00973A75"/>
    <w:rsid w:val="00974546"/>
    <w:rsid w:val="009751C1"/>
    <w:rsid w:val="0097704B"/>
    <w:rsid w:val="0097718A"/>
    <w:rsid w:val="00980409"/>
    <w:rsid w:val="00980646"/>
    <w:rsid w:val="0098094A"/>
    <w:rsid w:val="009811F1"/>
    <w:rsid w:val="0098323F"/>
    <w:rsid w:val="00983757"/>
    <w:rsid w:val="00983E11"/>
    <w:rsid w:val="00983E57"/>
    <w:rsid w:val="00985D19"/>
    <w:rsid w:val="00985DE2"/>
    <w:rsid w:val="0098675D"/>
    <w:rsid w:val="00986E62"/>
    <w:rsid w:val="00987FC0"/>
    <w:rsid w:val="0099107D"/>
    <w:rsid w:val="0099217A"/>
    <w:rsid w:val="009926E0"/>
    <w:rsid w:val="0099451E"/>
    <w:rsid w:val="00996B1A"/>
    <w:rsid w:val="00996B24"/>
    <w:rsid w:val="00996EFB"/>
    <w:rsid w:val="009A0764"/>
    <w:rsid w:val="009A2DCC"/>
    <w:rsid w:val="009A3C34"/>
    <w:rsid w:val="009A4E9F"/>
    <w:rsid w:val="009A5ABC"/>
    <w:rsid w:val="009A7F10"/>
    <w:rsid w:val="009B17E7"/>
    <w:rsid w:val="009B1ADB"/>
    <w:rsid w:val="009B2E17"/>
    <w:rsid w:val="009B3E26"/>
    <w:rsid w:val="009B45AF"/>
    <w:rsid w:val="009B47A7"/>
    <w:rsid w:val="009B583D"/>
    <w:rsid w:val="009B6FD6"/>
    <w:rsid w:val="009B7C64"/>
    <w:rsid w:val="009C0F03"/>
    <w:rsid w:val="009C2138"/>
    <w:rsid w:val="009C36BC"/>
    <w:rsid w:val="009C3706"/>
    <w:rsid w:val="009C39C8"/>
    <w:rsid w:val="009C3A3A"/>
    <w:rsid w:val="009C3BEF"/>
    <w:rsid w:val="009C66E1"/>
    <w:rsid w:val="009C6CEA"/>
    <w:rsid w:val="009C7B85"/>
    <w:rsid w:val="009D0254"/>
    <w:rsid w:val="009D1A64"/>
    <w:rsid w:val="009D3C42"/>
    <w:rsid w:val="009D527F"/>
    <w:rsid w:val="009D589A"/>
    <w:rsid w:val="009D5B91"/>
    <w:rsid w:val="009D5D15"/>
    <w:rsid w:val="009D64D0"/>
    <w:rsid w:val="009D6DDD"/>
    <w:rsid w:val="009D735B"/>
    <w:rsid w:val="009D7626"/>
    <w:rsid w:val="009D792E"/>
    <w:rsid w:val="009E0D35"/>
    <w:rsid w:val="009E0DFE"/>
    <w:rsid w:val="009E2620"/>
    <w:rsid w:val="009E31F6"/>
    <w:rsid w:val="009E4C07"/>
    <w:rsid w:val="009E6730"/>
    <w:rsid w:val="009E6C89"/>
    <w:rsid w:val="009E6DE9"/>
    <w:rsid w:val="009F0587"/>
    <w:rsid w:val="009F0BF7"/>
    <w:rsid w:val="009F1860"/>
    <w:rsid w:val="009F2083"/>
    <w:rsid w:val="009F363E"/>
    <w:rsid w:val="009F41F2"/>
    <w:rsid w:val="009F5432"/>
    <w:rsid w:val="009F546B"/>
    <w:rsid w:val="009F5A87"/>
    <w:rsid w:val="00A003BD"/>
    <w:rsid w:val="00A00B1D"/>
    <w:rsid w:val="00A01184"/>
    <w:rsid w:val="00A03202"/>
    <w:rsid w:val="00A037C2"/>
    <w:rsid w:val="00A03D43"/>
    <w:rsid w:val="00A04380"/>
    <w:rsid w:val="00A04546"/>
    <w:rsid w:val="00A049CF"/>
    <w:rsid w:val="00A05472"/>
    <w:rsid w:val="00A05C32"/>
    <w:rsid w:val="00A0653F"/>
    <w:rsid w:val="00A113FD"/>
    <w:rsid w:val="00A11CD0"/>
    <w:rsid w:val="00A13948"/>
    <w:rsid w:val="00A139B7"/>
    <w:rsid w:val="00A147E8"/>
    <w:rsid w:val="00A14FD2"/>
    <w:rsid w:val="00A1555B"/>
    <w:rsid w:val="00A15594"/>
    <w:rsid w:val="00A155C5"/>
    <w:rsid w:val="00A16AD8"/>
    <w:rsid w:val="00A179CE"/>
    <w:rsid w:val="00A2192E"/>
    <w:rsid w:val="00A21C95"/>
    <w:rsid w:val="00A21CF3"/>
    <w:rsid w:val="00A223F0"/>
    <w:rsid w:val="00A23922"/>
    <w:rsid w:val="00A24813"/>
    <w:rsid w:val="00A25A64"/>
    <w:rsid w:val="00A26E2B"/>
    <w:rsid w:val="00A27AEC"/>
    <w:rsid w:val="00A27BA1"/>
    <w:rsid w:val="00A302A9"/>
    <w:rsid w:val="00A303CD"/>
    <w:rsid w:val="00A31DD1"/>
    <w:rsid w:val="00A320DB"/>
    <w:rsid w:val="00A324B8"/>
    <w:rsid w:val="00A33735"/>
    <w:rsid w:val="00A34379"/>
    <w:rsid w:val="00A34CE5"/>
    <w:rsid w:val="00A35D16"/>
    <w:rsid w:val="00A35E9B"/>
    <w:rsid w:val="00A36F54"/>
    <w:rsid w:val="00A37BCD"/>
    <w:rsid w:val="00A40194"/>
    <w:rsid w:val="00A401F4"/>
    <w:rsid w:val="00A41689"/>
    <w:rsid w:val="00A416F7"/>
    <w:rsid w:val="00A41820"/>
    <w:rsid w:val="00A41F59"/>
    <w:rsid w:val="00A42592"/>
    <w:rsid w:val="00A426A4"/>
    <w:rsid w:val="00A4278B"/>
    <w:rsid w:val="00A42B10"/>
    <w:rsid w:val="00A439CA"/>
    <w:rsid w:val="00A43C59"/>
    <w:rsid w:val="00A444C7"/>
    <w:rsid w:val="00A45748"/>
    <w:rsid w:val="00A45BF5"/>
    <w:rsid w:val="00A479EF"/>
    <w:rsid w:val="00A50ECD"/>
    <w:rsid w:val="00A518F3"/>
    <w:rsid w:val="00A52729"/>
    <w:rsid w:val="00A53675"/>
    <w:rsid w:val="00A539A3"/>
    <w:rsid w:val="00A54594"/>
    <w:rsid w:val="00A564D7"/>
    <w:rsid w:val="00A56B6A"/>
    <w:rsid w:val="00A574FD"/>
    <w:rsid w:val="00A578DC"/>
    <w:rsid w:val="00A60564"/>
    <w:rsid w:val="00A6076B"/>
    <w:rsid w:val="00A60F1E"/>
    <w:rsid w:val="00A621B2"/>
    <w:rsid w:val="00A62361"/>
    <w:rsid w:val="00A63A52"/>
    <w:rsid w:val="00A640E2"/>
    <w:rsid w:val="00A64D65"/>
    <w:rsid w:val="00A650EC"/>
    <w:rsid w:val="00A65C51"/>
    <w:rsid w:val="00A662AA"/>
    <w:rsid w:val="00A67119"/>
    <w:rsid w:val="00A6725B"/>
    <w:rsid w:val="00A674DC"/>
    <w:rsid w:val="00A7042F"/>
    <w:rsid w:val="00A70605"/>
    <w:rsid w:val="00A73134"/>
    <w:rsid w:val="00A73624"/>
    <w:rsid w:val="00A73715"/>
    <w:rsid w:val="00A74042"/>
    <w:rsid w:val="00A7412C"/>
    <w:rsid w:val="00A74BDA"/>
    <w:rsid w:val="00A7590E"/>
    <w:rsid w:val="00A7591B"/>
    <w:rsid w:val="00A76001"/>
    <w:rsid w:val="00A763C8"/>
    <w:rsid w:val="00A7648C"/>
    <w:rsid w:val="00A76599"/>
    <w:rsid w:val="00A76ED9"/>
    <w:rsid w:val="00A777B2"/>
    <w:rsid w:val="00A77A0D"/>
    <w:rsid w:val="00A77B61"/>
    <w:rsid w:val="00A80F74"/>
    <w:rsid w:val="00A825D4"/>
    <w:rsid w:val="00A828F6"/>
    <w:rsid w:val="00A82B73"/>
    <w:rsid w:val="00A832F6"/>
    <w:rsid w:val="00A8500E"/>
    <w:rsid w:val="00A86202"/>
    <w:rsid w:val="00A86E8B"/>
    <w:rsid w:val="00A87164"/>
    <w:rsid w:val="00A902B9"/>
    <w:rsid w:val="00A90F78"/>
    <w:rsid w:val="00A91936"/>
    <w:rsid w:val="00A924AE"/>
    <w:rsid w:val="00A93072"/>
    <w:rsid w:val="00A930BD"/>
    <w:rsid w:val="00A938BD"/>
    <w:rsid w:val="00A93953"/>
    <w:rsid w:val="00A93AF4"/>
    <w:rsid w:val="00A93B77"/>
    <w:rsid w:val="00A956B2"/>
    <w:rsid w:val="00A956FF"/>
    <w:rsid w:val="00A959D8"/>
    <w:rsid w:val="00A97EF4"/>
    <w:rsid w:val="00AA0D05"/>
    <w:rsid w:val="00AA0DF5"/>
    <w:rsid w:val="00AA113D"/>
    <w:rsid w:val="00AA137C"/>
    <w:rsid w:val="00AA1845"/>
    <w:rsid w:val="00AA41A4"/>
    <w:rsid w:val="00AA49B1"/>
    <w:rsid w:val="00AA5FDE"/>
    <w:rsid w:val="00AA634A"/>
    <w:rsid w:val="00AA6BD5"/>
    <w:rsid w:val="00AA6BD8"/>
    <w:rsid w:val="00AA6C7D"/>
    <w:rsid w:val="00AA7FD6"/>
    <w:rsid w:val="00AB042A"/>
    <w:rsid w:val="00AB0B5C"/>
    <w:rsid w:val="00AB0C13"/>
    <w:rsid w:val="00AB10A8"/>
    <w:rsid w:val="00AB1810"/>
    <w:rsid w:val="00AB18C7"/>
    <w:rsid w:val="00AB19EF"/>
    <w:rsid w:val="00AB2D34"/>
    <w:rsid w:val="00AB308F"/>
    <w:rsid w:val="00AB3430"/>
    <w:rsid w:val="00AB37B9"/>
    <w:rsid w:val="00AB403F"/>
    <w:rsid w:val="00AB4058"/>
    <w:rsid w:val="00AB445A"/>
    <w:rsid w:val="00AB45C7"/>
    <w:rsid w:val="00AB4AD1"/>
    <w:rsid w:val="00AB5E07"/>
    <w:rsid w:val="00AB64C2"/>
    <w:rsid w:val="00AB7333"/>
    <w:rsid w:val="00AB7CFA"/>
    <w:rsid w:val="00AC0B81"/>
    <w:rsid w:val="00AC1539"/>
    <w:rsid w:val="00AC2C40"/>
    <w:rsid w:val="00AC401B"/>
    <w:rsid w:val="00AC5B48"/>
    <w:rsid w:val="00AC5DD7"/>
    <w:rsid w:val="00AC7C21"/>
    <w:rsid w:val="00AD0D2D"/>
    <w:rsid w:val="00AD1450"/>
    <w:rsid w:val="00AD1E05"/>
    <w:rsid w:val="00AD2B85"/>
    <w:rsid w:val="00AD3171"/>
    <w:rsid w:val="00AD37BE"/>
    <w:rsid w:val="00AD42F9"/>
    <w:rsid w:val="00AD43D4"/>
    <w:rsid w:val="00AD6502"/>
    <w:rsid w:val="00AE0695"/>
    <w:rsid w:val="00AE086A"/>
    <w:rsid w:val="00AE08B0"/>
    <w:rsid w:val="00AE0A01"/>
    <w:rsid w:val="00AE0BA8"/>
    <w:rsid w:val="00AE2502"/>
    <w:rsid w:val="00AE3018"/>
    <w:rsid w:val="00AE3E7E"/>
    <w:rsid w:val="00AF0D1C"/>
    <w:rsid w:val="00AF1315"/>
    <w:rsid w:val="00AF1876"/>
    <w:rsid w:val="00AF19BF"/>
    <w:rsid w:val="00AF1F20"/>
    <w:rsid w:val="00AF252C"/>
    <w:rsid w:val="00AF2CAE"/>
    <w:rsid w:val="00AF2DC3"/>
    <w:rsid w:val="00AF3973"/>
    <w:rsid w:val="00AF3A2B"/>
    <w:rsid w:val="00AF4BC1"/>
    <w:rsid w:val="00AF559E"/>
    <w:rsid w:val="00AF5801"/>
    <w:rsid w:val="00B00067"/>
    <w:rsid w:val="00B00221"/>
    <w:rsid w:val="00B0056C"/>
    <w:rsid w:val="00B033E5"/>
    <w:rsid w:val="00B03795"/>
    <w:rsid w:val="00B03A63"/>
    <w:rsid w:val="00B043AC"/>
    <w:rsid w:val="00B06277"/>
    <w:rsid w:val="00B11C62"/>
    <w:rsid w:val="00B12D6B"/>
    <w:rsid w:val="00B1372F"/>
    <w:rsid w:val="00B137C7"/>
    <w:rsid w:val="00B15FB3"/>
    <w:rsid w:val="00B1613E"/>
    <w:rsid w:val="00B17770"/>
    <w:rsid w:val="00B201A4"/>
    <w:rsid w:val="00B201D1"/>
    <w:rsid w:val="00B20306"/>
    <w:rsid w:val="00B20B74"/>
    <w:rsid w:val="00B20F59"/>
    <w:rsid w:val="00B213A6"/>
    <w:rsid w:val="00B224DB"/>
    <w:rsid w:val="00B235B0"/>
    <w:rsid w:val="00B248C2"/>
    <w:rsid w:val="00B24D78"/>
    <w:rsid w:val="00B24DF6"/>
    <w:rsid w:val="00B25A31"/>
    <w:rsid w:val="00B263B6"/>
    <w:rsid w:val="00B26675"/>
    <w:rsid w:val="00B332A3"/>
    <w:rsid w:val="00B33305"/>
    <w:rsid w:val="00B33EEF"/>
    <w:rsid w:val="00B341B1"/>
    <w:rsid w:val="00B34BB4"/>
    <w:rsid w:val="00B34FE2"/>
    <w:rsid w:val="00B35166"/>
    <w:rsid w:val="00B35170"/>
    <w:rsid w:val="00B357D8"/>
    <w:rsid w:val="00B359F8"/>
    <w:rsid w:val="00B360F4"/>
    <w:rsid w:val="00B36A00"/>
    <w:rsid w:val="00B37BFC"/>
    <w:rsid w:val="00B40358"/>
    <w:rsid w:val="00B40740"/>
    <w:rsid w:val="00B40BB2"/>
    <w:rsid w:val="00B40D3C"/>
    <w:rsid w:val="00B40F2A"/>
    <w:rsid w:val="00B41614"/>
    <w:rsid w:val="00B42851"/>
    <w:rsid w:val="00B42F80"/>
    <w:rsid w:val="00B435CB"/>
    <w:rsid w:val="00B44285"/>
    <w:rsid w:val="00B4439F"/>
    <w:rsid w:val="00B44FFC"/>
    <w:rsid w:val="00B47C11"/>
    <w:rsid w:val="00B505C8"/>
    <w:rsid w:val="00B50DB8"/>
    <w:rsid w:val="00B51036"/>
    <w:rsid w:val="00B523AC"/>
    <w:rsid w:val="00B52CA6"/>
    <w:rsid w:val="00B53654"/>
    <w:rsid w:val="00B53905"/>
    <w:rsid w:val="00B53B65"/>
    <w:rsid w:val="00B542C0"/>
    <w:rsid w:val="00B54B5B"/>
    <w:rsid w:val="00B5562E"/>
    <w:rsid w:val="00B557EA"/>
    <w:rsid w:val="00B55D65"/>
    <w:rsid w:val="00B568BA"/>
    <w:rsid w:val="00B57000"/>
    <w:rsid w:val="00B60939"/>
    <w:rsid w:val="00B60AFD"/>
    <w:rsid w:val="00B62715"/>
    <w:rsid w:val="00B62D8A"/>
    <w:rsid w:val="00B635BE"/>
    <w:rsid w:val="00B63F3A"/>
    <w:rsid w:val="00B65611"/>
    <w:rsid w:val="00B706A7"/>
    <w:rsid w:val="00B709DD"/>
    <w:rsid w:val="00B70E8E"/>
    <w:rsid w:val="00B710CD"/>
    <w:rsid w:val="00B71413"/>
    <w:rsid w:val="00B71561"/>
    <w:rsid w:val="00B725C8"/>
    <w:rsid w:val="00B74B2E"/>
    <w:rsid w:val="00B76C92"/>
    <w:rsid w:val="00B77548"/>
    <w:rsid w:val="00B80BEF"/>
    <w:rsid w:val="00B818A4"/>
    <w:rsid w:val="00B822E8"/>
    <w:rsid w:val="00B84117"/>
    <w:rsid w:val="00B858F0"/>
    <w:rsid w:val="00B85AA2"/>
    <w:rsid w:val="00B8649C"/>
    <w:rsid w:val="00B8695D"/>
    <w:rsid w:val="00B87F0A"/>
    <w:rsid w:val="00B917F7"/>
    <w:rsid w:val="00B91854"/>
    <w:rsid w:val="00B91C16"/>
    <w:rsid w:val="00B92119"/>
    <w:rsid w:val="00B92D0B"/>
    <w:rsid w:val="00B93A05"/>
    <w:rsid w:val="00B94945"/>
    <w:rsid w:val="00B94DD6"/>
    <w:rsid w:val="00B96EE0"/>
    <w:rsid w:val="00B976DF"/>
    <w:rsid w:val="00B97F58"/>
    <w:rsid w:val="00BA064E"/>
    <w:rsid w:val="00BA2CA8"/>
    <w:rsid w:val="00BA322D"/>
    <w:rsid w:val="00BA3694"/>
    <w:rsid w:val="00BA45B3"/>
    <w:rsid w:val="00BA4822"/>
    <w:rsid w:val="00BA54E4"/>
    <w:rsid w:val="00BA60E1"/>
    <w:rsid w:val="00BA61A4"/>
    <w:rsid w:val="00BA63FA"/>
    <w:rsid w:val="00BA6686"/>
    <w:rsid w:val="00BA66AF"/>
    <w:rsid w:val="00BB00B3"/>
    <w:rsid w:val="00BB0BDD"/>
    <w:rsid w:val="00BB0CEE"/>
    <w:rsid w:val="00BB10C3"/>
    <w:rsid w:val="00BB176C"/>
    <w:rsid w:val="00BB20D2"/>
    <w:rsid w:val="00BB26F4"/>
    <w:rsid w:val="00BB2A73"/>
    <w:rsid w:val="00BB2A87"/>
    <w:rsid w:val="00BB2C92"/>
    <w:rsid w:val="00BB3A45"/>
    <w:rsid w:val="00BB4ACC"/>
    <w:rsid w:val="00BB581A"/>
    <w:rsid w:val="00BB642E"/>
    <w:rsid w:val="00BB703E"/>
    <w:rsid w:val="00BB732D"/>
    <w:rsid w:val="00BB7405"/>
    <w:rsid w:val="00BC0E0F"/>
    <w:rsid w:val="00BC0F3B"/>
    <w:rsid w:val="00BC19E9"/>
    <w:rsid w:val="00BC1C0B"/>
    <w:rsid w:val="00BC3631"/>
    <w:rsid w:val="00BC45DC"/>
    <w:rsid w:val="00BC4EBA"/>
    <w:rsid w:val="00BC525F"/>
    <w:rsid w:val="00BC5405"/>
    <w:rsid w:val="00BC5495"/>
    <w:rsid w:val="00BC591F"/>
    <w:rsid w:val="00BC7D6D"/>
    <w:rsid w:val="00BD2108"/>
    <w:rsid w:val="00BD28DD"/>
    <w:rsid w:val="00BD321E"/>
    <w:rsid w:val="00BD32FA"/>
    <w:rsid w:val="00BD5448"/>
    <w:rsid w:val="00BD5C7D"/>
    <w:rsid w:val="00BD6085"/>
    <w:rsid w:val="00BD68A3"/>
    <w:rsid w:val="00BD6938"/>
    <w:rsid w:val="00BD6CF3"/>
    <w:rsid w:val="00BD6E45"/>
    <w:rsid w:val="00BD73D2"/>
    <w:rsid w:val="00BD7522"/>
    <w:rsid w:val="00BD7836"/>
    <w:rsid w:val="00BE0ECA"/>
    <w:rsid w:val="00BE1A30"/>
    <w:rsid w:val="00BE2180"/>
    <w:rsid w:val="00BE21F2"/>
    <w:rsid w:val="00BE2961"/>
    <w:rsid w:val="00BE38EB"/>
    <w:rsid w:val="00BE4275"/>
    <w:rsid w:val="00BE7E24"/>
    <w:rsid w:val="00BF019A"/>
    <w:rsid w:val="00BF06AE"/>
    <w:rsid w:val="00BF0A2B"/>
    <w:rsid w:val="00BF0F95"/>
    <w:rsid w:val="00BF236C"/>
    <w:rsid w:val="00BF2433"/>
    <w:rsid w:val="00BF2691"/>
    <w:rsid w:val="00BF2B9D"/>
    <w:rsid w:val="00BF3192"/>
    <w:rsid w:val="00BF3A69"/>
    <w:rsid w:val="00BF53A7"/>
    <w:rsid w:val="00BF61C9"/>
    <w:rsid w:val="00BF6579"/>
    <w:rsid w:val="00BF6778"/>
    <w:rsid w:val="00BF6C94"/>
    <w:rsid w:val="00BF73AD"/>
    <w:rsid w:val="00C00424"/>
    <w:rsid w:val="00C019D9"/>
    <w:rsid w:val="00C01BB8"/>
    <w:rsid w:val="00C02A6B"/>
    <w:rsid w:val="00C02FEF"/>
    <w:rsid w:val="00C0341B"/>
    <w:rsid w:val="00C05972"/>
    <w:rsid w:val="00C1082B"/>
    <w:rsid w:val="00C110EE"/>
    <w:rsid w:val="00C1179F"/>
    <w:rsid w:val="00C1230A"/>
    <w:rsid w:val="00C12C14"/>
    <w:rsid w:val="00C13AA5"/>
    <w:rsid w:val="00C14F04"/>
    <w:rsid w:val="00C15F04"/>
    <w:rsid w:val="00C16AFE"/>
    <w:rsid w:val="00C16DAD"/>
    <w:rsid w:val="00C16FE9"/>
    <w:rsid w:val="00C179B3"/>
    <w:rsid w:val="00C17E3F"/>
    <w:rsid w:val="00C200AA"/>
    <w:rsid w:val="00C20421"/>
    <w:rsid w:val="00C20449"/>
    <w:rsid w:val="00C229CE"/>
    <w:rsid w:val="00C23320"/>
    <w:rsid w:val="00C235A8"/>
    <w:rsid w:val="00C237ED"/>
    <w:rsid w:val="00C24632"/>
    <w:rsid w:val="00C24D12"/>
    <w:rsid w:val="00C253C3"/>
    <w:rsid w:val="00C25418"/>
    <w:rsid w:val="00C2589E"/>
    <w:rsid w:val="00C25D9C"/>
    <w:rsid w:val="00C2778B"/>
    <w:rsid w:val="00C27F37"/>
    <w:rsid w:val="00C31649"/>
    <w:rsid w:val="00C32BD2"/>
    <w:rsid w:val="00C3434C"/>
    <w:rsid w:val="00C35C81"/>
    <w:rsid w:val="00C367CC"/>
    <w:rsid w:val="00C36F08"/>
    <w:rsid w:val="00C4015E"/>
    <w:rsid w:val="00C40385"/>
    <w:rsid w:val="00C40532"/>
    <w:rsid w:val="00C4153E"/>
    <w:rsid w:val="00C41768"/>
    <w:rsid w:val="00C43540"/>
    <w:rsid w:val="00C4484F"/>
    <w:rsid w:val="00C44F78"/>
    <w:rsid w:val="00C45F52"/>
    <w:rsid w:val="00C46745"/>
    <w:rsid w:val="00C475AA"/>
    <w:rsid w:val="00C50E11"/>
    <w:rsid w:val="00C52D74"/>
    <w:rsid w:val="00C53228"/>
    <w:rsid w:val="00C53C98"/>
    <w:rsid w:val="00C54E7C"/>
    <w:rsid w:val="00C56C89"/>
    <w:rsid w:val="00C56FCF"/>
    <w:rsid w:val="00C574CF"/>
    <w:rsid w:val="00C57B6C"/>
    <w:rsid w:val="00C60D37"/>
    <w:rsid w:val="00C61228"/>
    <w:rsid w:val="00C61498"/>
    <w:rsid w:val="00C628A6"/>
    <w:rsid w:val="00C64344"/>
    <w:rsid w:val="00C65108"/>
    <w:rsid w:val="00C65576"/>
    <w:rsid w:val="00C66165"/>
    <w:rsid w:val="00C7060A"/>
    <w:rsid w:val="00C70F25"/>
    <w:rsid w:val="00C70FB3"/>
    <w:rsid w:val="00C7151A"/>
    <w:rsid w:val="00C717E3"/>
    <w:rsid w:val="00C71F60"/>
    <w:rsid w:val="00C72241"/>
    <w:rsid w:val="00C73624"/>
    <w:rsid w:val="00C74797"/>
    <w:rsid w:val="00C750C8"/>
    <w:rsid w:val="00C7560F"/>
    <w:rsid w:val="00C7570F"/>
    <w:rsid w:val="00C80A0E"/>
    <w:rsid w:val="00C8213F"/>
    <w:rsid w:val="00C82409"/>
    <w:rsid w:val="00C84573"/>
    <w:rsid w:val="00C85154"/>
    <w:rsid w:val="00C85B7D"/>
    <w:rsid w:val="00C86980"/>
    <w:rsid w:val="00C8698A"/>
    <w:rsid w:val="00C8797A"/>
    <w:rsid w:val="00C87EC4"/>
    <w:rsid w:val="00C900B8"/>
    <w:rsid w:val="00C90C71"/>
    <w:rsid w:val="00C91FD1"/>
    <w:rsid w:val="00C921B3"/>
    <w:rsid w:val="00C931CF"/>
    <w:rsid w:val="00C935EE"/>
    <w:rsid w:val="00C938CF"/>
    <w:rsid w:val="00C94053"/>
    <w:rsid w:val="00C9624D"/>
    <w:rsid w:val="00C969DA"/>
    <w:rsid w:val="00CA29E1"/>
    <w:rsid w:val="00CA2C77"/>
    <w:rsid w:val="00CA3E00"/>
    <w:rsid w:val="00CA444F"/>
    <w:rsid w:val="00CA48EB"/>
    <w:rsid w:val="00CA5245"/>
    <w:rsid w:val="00CA71F4"/>
    <w:rsid w:val="00CA7B09"/>
    <w:rsid w:val="00CA7F82"/>
    <w:rsid w:val="00CB12A5"/>
    <w:rsid w:val="00CB1CAC"/>
    <w:rsid w:val="00CB2F2A"/>
    <w:rsid w:val="00CB32BE"/>
    <w:rsid w:val="00CB38D8"/>
    <w:rsid w:val="00CB5306"/>
    <w:rsid w:val="00CB5B1A"/>
    <w:rsid w:val="00CB6B22"/>
    <w:rsid w:val="00CB6FDE"/>
    <w:rsid w:val="00CB7576"/>
    <w:rsid w:val="00CB7F5F"/>
    <w:rsid w:val="00CC198A"/>
    <w:rsid w:val="00CC1B39"/>
    <w:rsid w:val="00CC35EA"/>
    <w:rsid w:val="00CC3848"/>
    <w:rsid w:val="00CC3F5E"/>
    <w:rsid w:val="00CC5164"/>
    <w:rsid w:val="00CC6A7F"/>
    <w:rsid w:val="00CC733E"/>
    <w:rsid w:val="00CD0D04"/>
    <w:rsid w:val="00CD1654"/>
    <w:rsid w:val="00CD16CD"/>
    <w:rsid w:val="00CD2481"/>
    <w:rsid w:val="00CD2733"/>
    <w:rsid w:val="00CD2DAB"/>
    <w:rsid w:val="00CD363E"/>
    <w:rsid w:val="00CD3F77"/>
    <w:rsid w:val="00CD5D43"/>
    <w:rsid w:val="00CD5F61"/>
    <w:rsid w:val="00CD6133"/>
    <w:rsid w:val="00CD6ADC"/>
    <w:rsid w:val="00CD7193"/>
    <w:rsid w:val="00CE32F2"/>
    <w:rsid w:val="00CE38C8"/>
    <w:rsid w:val="00CE6274"/>
    <w:rsid w:val="00CE77B6"/>
    <w:rsid w:val="00CE7BC2"/>
    <w:rsid w:val="00CF10FA"/>
    <w:rsid w:val="00CF2753"/>
    <w:rsid w:val="00CF2B8D"/>
    <w:rsid w:val="00CF2D31"/>
    <w:rsid w:val="00CF2E5B"/>
    <w:rsid w:val="00CF3674"/>
    <w:rsid w:val="00CF456B"/>
    <w:rsid w:val="00CF4648"/>
    <w:rsid w:val="00CF5A22"/>
    <w:rsid w:val="00CF6DAC"/>
    <w:rsid w:val="00CF7260"/>
    <w:rsid w:val="00D005AF"/>
    <w:rsid w:val="00D00739"/>
    <w:rsid w:val="00D010FC"/>
    <w:rsid w:val="00D02089"/>
    <w:rsid w:val="00D0262E"/>
    <w:rsid w:val="00D0376E"/>
    <w:rsid w:val="00D0387C"/>
    <w:rsid w:val="00D03AC0"/>
    <w:rsid w:val="00D04472"/>
    <w:rsid w:val="00D04779"/>
    <w:rsid w:val="00D05C3E"/>
    <w:rsid w:val="00D05E3D"/>
    <w:rsid w:val="00D06139"/>
    <w:rsid w:val="00D06201"/>
    <w:rsid w:val="00D0664E"/>
    <w:rsid w:val="00D07474"/>
    <w:rsid w:val="00D106A3"/>
    <w:rsid w:val="00D110BD"/>
    <w:rsid w:val="00D13675"/>
    <w:rsid w:val="00D141E1"/>
    <w:rsid w:val="00D14C77"/>
    <w:rsid w:val="00D15314"/>
    <w:rsid w:val="00D17D6C"/>
    <w:rsid w:val="00D214AC"/>
    <w:rsid w:val="00D2155B"/>
    <w:rsid w:val="00D23D11"/>
    <w:rsid w:val="00D241EE"/>
    <w:rsid w:val="00D244B6"/>
    <w:rsid w:val="00D250E1"/>
    <w:rsid w:val="00D251BB"/>
    <w:rsid w:val="00D266E4"/>
    <w:rsid w:val="00D26953"/>
    <w:rsid w:val="00D26FF4"/>
    <w:rsid w:val="00D274D9"/>
    <w:rsid w:val="00D2754D"/>
    <w:rsid w:val="00D279A4"/>
    <w:rsid w:val="00D27B27"/>
    <w:rsid w:val="00D300F1"/>
    <w:rsid w:val="00D30F94"/>
    <w:rsid w:val="00D32977"/>
    <w:rsid w:val="00D32C26"/>
    <w:rsid w:val="00D33BE9"/>
    <w:rsid w:val="00D33F93"/>
    <w:rsid w:val="00D357FF"/>
    <w:rsid w:val="00D37914"/>
    <w:rsid w:val="00D41A97"/>
    <w:rsid w:val="00D41B08"/>
    <w:rsid w:val="00D42039"/>
    <w:rsid w:val="00D424C7"/>
    <w:rsid w:val="00D42CA0"/>
    <w:rsid w:val="00D431FD"/>
    <w:rsid w:val="00D43B2A"/>
    <w:rsid w:val="00D43D83"/>
    <w:rsid w:val="00D44D1E"/>
    <w:rsid w:val="00D44D54"/>
    <w:rsid w:val="00D44EE1"/>
    <w:rsid w:val="00D455B7"/>
    <w:rsid w:val="00D459ED"/>
    <w:rsid w:val="00D47575"/>
    <w:rsid w:val="00D479A9"/>
    <w:rsid w:val="00D508CC"/>
    <w:rsid w:val="00D514F9"/>
    <w:rsid w:val="00D5243B"/>
    <w:rsid w:val="00D52E65"/>
    <w:rsid w:val="00D53139"/>
    <w:rsid w:val="00D533EC"/>
    <w:rsid w:val="00D53AB9"/>
    <w:rsid w:val="00D54494"/>
    <w:rsid w:val="00D55139"/>
    <w:rsid w:val="00D5517C"/>
    <w:rsid w:val="00D55E5F"/>
    <w:rsid w:val="00D56A95"/>
    <w:rsid w:val="00D56D14"/>
    <w:rsid w:val="00D60CFE"/>
    <w:rsid w:val="00D614DD"/>
    <w:rsid w:val="00D62677"/>
    <w:rsid w:val="00D6278A"/>
    <w:rsid w:val="00D643EC"/>
    <w:rsid w:val="00D649AF"/>
    <w:rsid w:val="00D64C43"/>
    <w:rsid w:val="00D66FC2"/>
    <w:rsid w:val="00D66FDD"/>
    <w:rsid w:val="00D67EE1"/>
    <w:rsid w:val="00D67F3A"/>
    <w:rsid w:val="00D70F16"/>
    <w:rsid w:val="00D71E8D"/>
    <w:rsid w:val="00D72F57"/>
    <w:rsid w:val="00D73B9D"/>
    <w:rsid w:val="00D74833"/>
    <w:rsid w:val="00D7511C"/>
    <w:rsid w:val="00D75C06"/>
    <w:rsid w:val="00D75C96"/>
    <w:rsid w:val="00D7601B"/>
    <w:rsid w:val="00D76607"/>
    <w:rsid w:val="00D768AF"/>
    <w:rsid w:val="00D76A44"/>
    <w:rsid w:val="00D76AB8"/>
    <w:rsid w:val="00D76C5D"/>
    <w:rsid w:val="00D7722D"/>
    <w:rsid w:val="00D77C91"/>
    <w:rsid w:val="00D815EF"/>
    <w:rsid w:val="00D81F26"/>
    <w:rsid w:val="00D83E2A"/>
    <w:rsid w:val="00D847B8"/>
    <w:rsid w:val="00D84B57"/>
    <w:rsid w:val="00D8530C"/>
    <w:rsid w:val="00D85B4B"/>
    <w:rsid w:val="00D86231"/>
    <w:rsid w:val="00D862AD"/>
    <w:rsid w:val="00D873E2"/>
    <w:rsid w:val="00D90697"/>
    <w:rsid w:val="00D91094"/>
    <w:rsid w:val="00D91274"/>
    <w:rsid w:val="00D9186A"/>
    <w:rsid w:val="00D91923"/>
    <w:rsid w:val="00D9242D"/>
    <w:rsid w:val="00D93753"/>
    <w:rsid w:val="00DA1B5A"/>
    <w:rsid w:val="00DA27B6"/>
    <w:rsid w:val="00DA2A8F"/>
    <w:rsid w:val="00DA3167"/>
    <w:rsid w:val="00DA3D01"/>
    <w:rsid w:val="00DA4213"/>
    <w:rsid w:val="00DA4DC3"/>
    <w:rsid w:val="00DA4FC3"/>
    <w:rsid w:val="00DA5385"/>
    <w:rsid w:val="00DA77A5"/>
    <w:rsid w:val="00DB10C6"/>
    <w:rsid w:val="00DB1F19"/>
    <w:rsid w:val="00DB1FD9"/>
    <w:rsid w:val="00DB271F"/>
    <w:rsid w:val="00DB2A82"/>
    <w:rsid w:val="00DB32CC"/>
    <w:rsid w:val="00DB3A98"/>
    <w:rsid w:val="00DB3DBF"/>
    <w:rsid w:val="00DB40A1"/>
    <w:rsid w:val="00DB4593"/>
    <w:rsid w:val="00DB484F"/>
    <w:rsid w:val="00DB4E9D"/>
    <w:rsid w:val="00DB55BF"/>
    <w:rsid w:val="00DC04F6"/>
    <w:rsid w:val="00DC0690"/>
    <w:rsid w:val="00DC0C77"/>
    <w:rsid w:val="00DC1604"/>
    <w:rsid w:val="00DC1D65"/>
    <w:rsid w:val="00DC3C57"/>
    <w:rsid w:val="00DC5501"/>
    <w:rsid w:val="00DC7154"/>
    <w:rsid w:val="00DC7521"/>
    <w:rsid w:val="00DC79EA"/>
    <w:rsid w:val="00DC7E8A"/>
    <w:rsid w:val="00DD0F5F"/>
    <w:rsid w:val="00DD0F78"/>
    <w:rsid w:val="00DD1C36"/>
    <w:rsid w:val="00DD273C"/>
    <w:rsid w:val="00DD349B"/>
    <w:rsid w:val="00DD3F28"/>
    <w:rsid w:val="00DD4537"/>
    <w:rsid w:val="00DD4E15"/>
    <w:rsid w:val="00DD7672"/>
    <w:rsid w:val="00DE12AB"/>
    <w:rsid w:val="00DE2304"/>
    <w:rsid w:val="00DE3138"/>
    <w:rsid w:val="00DE3561"/>
    <w:rsid w:val="00DE360C"/>
    <w:rsid w:val="00DE37F8"/>
    <w:rsid w:val="00DE424E"/>
    <w:rsid w:val="00DE4FCB"/>
    <w:rsid w:val="00DE5D07"/>
    <w:rsid w:val="00DE6A05"/>
    <w:rsid w:val="00DE6FAD"/>
    <w:rsid w:val="00DE70D4"/>
    <w:rsid w:val="00DE72A7"/>
    <w:rsid w:val="00DE7832"/>
    <w:rsid w:val="00DF18FC"/>
    <w:rsid w:val="00DF461D"/>
    <w:rsid w:val="00DF4720"/>
    <w:rsid w:val="00DF5D2B"/>
    <w:rsid w:val="00DF6F45"/>
    <w:rsid w:val="00DF6F5D"/>
    <w:rsid w:val="00DF77ED"/>
    <w:rsid w:val="00E00E8E"/>
    <w:rsid w:val="00E01149"/>
    <w:rsid w:val="00E01923"/>
    <w:rsid w:val="00E026D4"/>
    <w:rsid w:val="00E03A5B"/>
    <w:rsid w:val="00E04F98"/>
    <w:rsid w:val="00E05630"/>
    <w:rsid w:val="00E05993"/>
    <w:rsid w:val="00E06DBB"/>
    <w:rsid w:val="00E10149"/>
    <w:rsid w:val="00E107F2"/>
    <w:rsid w:val="00E11340"/>
    <w:rsid w:val="00E122A1"/>
    <w:rsid w:val="00E1353D"/>
    <w:rsid w:val="00E13656"/>
    <w:rsid w:val="00E1373F"/>
    <w:rsid w:val="00E145E2"/>
    <w:rsid w:val="00E16372"/>
    <w:rsid w:val="00E17610"/>
    <w:rsid w:val="00E20E4D"/>
    <w:rsid w:val="00E20ED6"/>
    <w:rsid w:val="00E21358"/>
    <w:rsid w:val="00E21388"/>
    <w:rsid w:val="00E21442"/>
    <w:rsid w:val="00E21F32"/>
    <w:rsid w:val="00E22032"/>
    <w:rsid w:val="00E2217B"/>
    <w:rsid w:val="00E2249B"/>
    <w:rsid w:val="00E22A0D"/>
    <w:rsid w:val="00E2382D"/>
    <w:rsid w:val="00E24069"/>
    <w:rsid w:val="00E244F6"/>
    <w:rsid w:val="00E25B2E"/>
    <w:rsid w:val="00E26F6A"/>
    <w:rsid w:val="00E2771E"/>
    <w:rsid w:val="00E311EF"/>
    <w:rsid w:val="00E31210"/>
    <w:rsid w:val="00E31EAE"/>
    <w:rsid w:val="00E32180"/>
    <w:rsid w:val="00E33AF1"/>
    <w:rsid w:val="00E34398"/>
    <w:rsid w:val="00E34948"/>
    <w:rsid w:val="00E3500B"/>
    <w:rsid w:val="00E36289"/>
    <w:rsid w:val="00E365EE"/>
    <w:rsid w:val="00E37569"/>
    <w:rsid w:val="00E401B2"/>
    <w:rsid w:val="00E41E30"/>
    <w:rsid w:val="00E42F73"/>
    <w:rsid w:val="00E43D70"/>
    <w:rsid w:val="00E43DAE"/>
    <w:rsid w:val="00E44265"/>
    <w:rsid w:val="00E45B35"/>
    <w:rsid w:val="00E461DD"/>
    <w:rsid w:val="00E466F3"/>
    <w:rsid w:val="00E47B2C"/>
    <w:rsid w:val="00E50BC0"/>
    <w:rsid w:val="00E50BF0"/>
    <w:rsid w:val="00E51560"/>
    <w:rsid w:val="00E53FC8"/>
    <w:rsid w:val="00E54347"/>
    <w:rsid w:val="00E55424"/>
    <w:rsid w:val="00E55915"/>
    <w:rsid w:val="00E55BB5"/>
    <w:rsid w:val="00E56976"/>
    <w:rsid w:val="00E574B5"/>
    <w:rsid w:val="00E578ED"/>
    <w:rsid w:val="00E608CE"/>
    <w:rsid w:val="00E62788"/>
    <w:rsid w:val="00E63D65"/>
    <w:rsid w:val="00E63E6B"/>
    <w:rsid w:val="00E65E79"/>
    <w:rsid w:val="00E66BA2"/>
    <w:rsid w:val="00E67416"/>
    <w:rsid w:val="00E67F02"/>
    <w:rsid w:val="00E70B4C"/>
    <w:rsid w:val="00E718B6"/>
    <w:rsid w:val="00E723BA"/>
    <w:rsid w:val="00E734A2"/>
    <w:rsid w:val="00E73581"/>
    <w:rsid w:val="00E73582"/>
    <w:rsid w:val="00E74885"/>
    <w:rsid w:val="00E758DC"/>
    <w:rsid w:val="00E764BA"/>
    <w:rsid w:val="00E770EC"/>
    <w:rsid w:val="00E80883"/>
    <w:rsid w:val="00E8203A"/>
    <w:rsid w:val="00E833F7"/>
    <w:rsid w:val="00E83628"/>
    <w:rsid w:val="00E83BDF"/>
    <w:rsid w:val="00E85025"/>
    <w:rsid w:val="00E876A3"/>
    <w:rsid w:val="00E87A1D"/>
    <w:rsid w:val="00E9094A"/>
    <w:rsid w:val="00E915ED"/>
    <w:rsid w:val="00E91856"/>
    <w:rsid w:val="00E91D35"/>
    <w:rsid w:val="00E922A3"/>
    <w:rsid w:val="00E926A5"/>
    <w:rsid w:val="00E93300"/>
    <w:rsid w:val="00E95393"/>
    <w:rsid w:val="00E97347"/>
    <w:rsid w:val="00E977CD"/>
    <w:rsid w:val="00E97C88"/>
    <w:rsid w:val="00EA0685"/>
    <w:rsid w:val="00EA0884"/>
    <w:rsid w:val="00EA1578"/>
    <w:rsid w:val="00EA17C3"/>
    <w:rsid w:val="00EA2A62"/>
    <w:rsid w:val="00EA2CAA"/>
    <w:rsid w:val="00EA3594"/>
    <w:rsid w:val="00EA3864"/>
    <w:rsid w:val="00EA52C7"/>
    <w:rsid w:val="00EA7128"/>
    <w:rsid w:val="00EA746C"/>
    <w:rsid w:val="00EA7F1C"/>
    <w:rsid w:val="00EB09C9"/>
    <w:rsid w:val="00EB15B6"/>
    <w:rsid w:val="00EB3D06"/>
    <w:rsid w:val="00EB41E2"/>
    <w:rsid w:val="00EB4916"/>
    <w:rsid w:val="00EB680D"/>
    <w:rsid w:val="00EC00C9"/>
    <w:rsid w:val="00EC0DD9"/>
    <w:rsid w:val="00EC1724"/>
    <w:rsid w:val="00EC1995"/>
    <w:rsid w:val="00EC2649"/>
    <w:rsid w:val="00EC2FA7"/>
    <w:rsid w:val="00EC3171"/>
    <w:rsid w:val="00EC31CC"/>
    <w:rsid w:val="00EC31ED"/>
    <w:rsid w:val="00EC40D2"/>
    <w:rsid w:val="00EC4E01"/>
    <w:rsid w:val="00EC5560"/>
    <w:rsid w:val="00EC5836"/>
    <w:rsid w:val="00EC688C"/>
    <w:rsid w:val="00EC7295"/>
    <w:rsid w:val="00ED2312"/>
    <w:rsid w:val="00ED57EA"/>
    <w:rsid w:val="00ED581E"/>
    <w:rsid w:val="00ED5BD4"/>
    <w:rsid w:val="00ED64D2"/>
    <w:rsid w:val="00ED7645"/>
    <w:rsid w:val="00EE07D3"/>
    <w:rsid w:val="00EE1454"/>
    <w:rsid w:val="00EE1996"/>
    <w:rsid w:val="00EE1C01"/>
    <w:rsid w:val="00EE1F1E"/>
    <w:rsid w:val="00EE22AF"/>
    <w:rsid w:val="00EE2DBD"/>
    <w:rsid w:val="00EE50C1"/>
    <w:rsid w:val="00EE6A91"/>
    <w:rsid w:val="00EE7CE9"/>
    <w:rsid w:val="00EF0171"/>
    <w:rsid w:val="00EF1985"/>
    <w:rsid w:val="00EF1A14"/>
    <w:rsid w:val="00EF1B25"/>
    <w:rsid w:val="00EF1DA0"/>
    <w:rsid w:val="00EF2C0B"/>
    <w:rsid w:val="00EF4747"/>
    <w:rsid w:val="00EF4BF8"/>
    <w:rsid w:val="00EF53DA"/>
    <w:rsid w:val="00EF5760"/>
    <w:rsid w:val="00F007C2"/>
    <w:rsid w:val="00F01556"/>
    <w:rsid w:val="00F01D84"/>
    <w:rsid w:val="00F02253"/>
    <w:rsid w:val="00F02302"/>
    <w:rsid w:val="00F02B73"/>
    <w:rsid w:val="00F03C2E"/>
    <w:rsid w:val="00F04A66"/>
    <w:rsid w:val="00F04B4B"/>
    <w:rsid w:val="00F0516C"/>
    <w:rsid w:val="00F054BC"/>
    <w:rsid w:val="00F0588B"/>
    <w:rsid w:val="00F05DBD"/>
    <w:rsid w:val="00F067A2"/>
    <w:rsid w:val="00F06CE5"/>
    <w:rsid w:val="00F070F1"/>
    <w:rsid w:val="00F07B9E"/>
    <w:rsid w:val="00F100A3"/>
    <w:rsid w:val="00F103E4"/>
    <w:rsid w:val="00F1116F"/>
    <w:rsid w:val="00F11AF0"/>
    <w:rsid w:val="00F120D5"/>
    <w:rsid w:val="00F1263A"/>
    <w:rsid w:val="00F146D9"/>
    <w:rsid w:val="00F14DF2"/>
    <w:rsid w:val="00F15B77"/>
    <w:rsid w:val="00F1681B"/>
    <w:rsid w:val="00F2064D"/>
    <w:rsid w:val="00F22A95"/>
    <w:rsid w:val="00F23447"/>
    <w:rsid w:val="00F234C6"/>
    <w:rsid w:val="00F24837"/>
    <w:rsid w:val="00F2575F"/>
    <w:rsid w:val="00F2614B"/>
    <w:rsid w:val="00F27565"/>
    <w:rsid w:val="00F3100E"/>
    <w:rsid w:val="00F310D4"/>
    <w:rsid w:val="00F31D5A"/>
    <w:rsid w:val="00F33552"/>
    <w:rsid w:val="00F33975"/>
    <w:rsid w:val="00F33DE9"/>
    <w:rsid w:val="00F340EF"/>
    <w:rsid w:val="00F357DD"/>
    <w:rsid w:val="00F35E6D"/>
    <w:rsid w:val="00F3619A"/>
    <w:rsid w:val="00F36200"/>
    <w:rsid w:val="00F363D7"/>
    <w:rsid w:val="00F372B3"/>
    <w:rsid w:val="00F40AAA"/>
    <w:rsid w:val="00F40BA7"/>
    <w:rsid w:val="00F40F9D"/>
    <w:rsid w:val="00F41ACD"/>
    <w:rsid w:val="00F435D9"/>
    <w:rsid w:val="00F43652"/>
    <w:rsid w:val="00F453C8"/>
    <w:rsid w:val="00F46CB6"/>
    <w:rsid w:val="00F46F0C"/>
    <w:rsid w:val="00F4756D"/>
    <w:rsid w:val="00F47DE8"/>
    <w:rsid w:val="00F47F14"/>
    <w:rsid w:val="00F51331"/>
    <w:rsid w:val="00F52345"/>
    <w:rsid w:val="00F52AE0"/>
    <w:rsid w:val="00F54007"/>
    <w:rsid w:val="00F5426F"/>
    <w:rsid w:val="00F5428F"/>
    <w:rsid w:val="00F542C1"/>
    <w:rsid w:val="00F54971"/>
    <w:rsid w:val="00F54CEB"/>
    <w:rsid w:val="00F555B8"/>
    <w:rsid w:val="00F55E73"/>
    <w:rsid w:val="00F55EDA"/>
    <w:rsid w:val="00F564FC"/>
    <w:rsid w:val="00F56C80"/>
    <w:rsid w:val="00F57ED5"/>
    <w:rsid w:val="00F60092"/>
    <w:rsid w:val="00F60344"/>
    <w:rsid w:val="00F61C18"/>
    <w:rsid w:val="00F61F65"/>
    <w:rsid w:val="00F620CB"/>
    <w:rsid w:val="00F62563"/>
    <w:rsid w:val="00F636EC"/>
    <w:rsid w:val="00F646AC"/>
    <w:rsid w:val="00F653DA"/>
    <w:rsid w:val="00F65F4B"/>
    <w:rsid w:val="00F675E6"/>
    <w:rsid w:val="00F67A69"/>
    <w:rsid w:val="00F67D0F"/>
    <w:rsid w:val="00F67E3F"/>
    <w:rsid w:val="00F7032E"/>
    <w:rsid w:val="00F70BFF"/>
    <w:rsid w:val="00F70C9D"/>
    <w:rsid w:val="00F71469"/>
    <w:rsid w:val="00F72A85"/>
    <w:rsid w:val="00F73C54"/>
    <w:rsid w:val="00F74CD9"/>
    <w:rsid w:val="00F75091"/>
    <w:rsid w:val="00F77379"/>
    <w:rsid w:val="00F77F5A"/>
    <w:rsid w:val="00F80535"/>
    <w:rsid w:val="00F80A72"/>
    <w:rsid w:val="00F80A7B"/>
    <w:rsid w:val="00F80E5D"/>
    <w:rsid w:val="00F81E1D"/>
    <w:rsid w:val="00F81E78"/>
    <w:rsid w:val="00F8417C"/>
    <w:rsid w:val="00F851CE"/>
    <w:rsid w:val="00F86FCA"/>
    <w:rsid w:val="00F90266"/>
    <w:rsid w:val="00F9115D"/>
    <w:rsid w:val="00F91219"/>
    <w:rsid w:val="00F912FE"/>
    <w:rsid w:val="00F92444"/>
    <w:rsid w:val="00F928A0"/>
    <w:rsid w:val="00F92F0B"/>
    <w:rsid w:val="00F93076"/>
    <w:rsid w:val="00F9393E"/>
    <w:rsid w:val="00F93969"/>
    <w:rsid w:val="00F95B80"/>
    <w:rsid w:val="00F96750"/>
    <w:rsid w:val="00F96FD0"/>
    <w:rsid w:val="00F97A78"/>
    <w:rsid w:val="00FA0B20"/>
    <w:rsid w:val="00FA0CF3"/>
    <w:rsid w:val="00FA0E98"/>
    <w:rsid w:val="00FA0EEE"/>
    <w:rsid w:val="00FA0F06"/>
    <w:rsid w:val="00FA1091"/>
    <w:rsid w:val="00FA13C5"/>
    <w:rsid w:val="00FA24E7"/>
    <w:rsid w:val="00FA2645"/>
    <w:rsid w:val="00FA2CA7"/>
    <w:rsid w:val="00FA3259"/>
    <w:rsid w:val="00FA35F9"/>
    <w:rsid w:val="00FA5293"/>
    <w:rsid w:val="00FA58D4"/>
    <w:rsid w:val="00FA5EE6"/>
    <w:rsid w:val="00FA633F"/>
    <w:rsid w:val="00FA668B"/>
    <w:rsid w:val="00FA7956"/>
    <w:rsid w:val="00FB0A4F"/>
    <w:rsid w:val="00FB2650"/>
    <w:rsid w:val="00FB2FCB"/>
    <w:rsid w:val="00FB4D1F"/>
    <w:rsid w:val="00FB5D06"/>
    <w:rsid w:val="00FB6468"/>
    <w:rsid w:val="00FB7687"/>
    <w:rsid w:val="00FB7C19"/>
    <w:rsid w:val="00FB7C55"/>
    <w:rsid w:val="00FB7D86"/>
    <w:rsid w:val="00FC0547"/>
    <w:rsid w:val="00FC1074"/>
    <w:rsid w:val="00FC183E"/>
    <w:rsid w:val="00FC1884"/>
    <w:rsid w:val="00FC29AF"/>
    <w:rsid w:val="00FC371D"/>
    <w:rsid w:val="00FC43CB"/>
    <w:rsid w:val="00FC5F0B"/>
    <w:rsid w:val="00FC66EA"/>
    <w:rsid w:val="00FC6D75"/>
    <w:rsid w:val="00FC77E3"/>
    <w:rsid w:val="00FD095F"/>
    <w:rsid w:val="00FD0AD8"/>
    <w:rsid w:val="00FD1820"/>
    <w:rsid w:val="00FD195C"/>
    <w:rsid w:val="00FD2100"/>
    <w:rsid w:val="00FD2777"/>
    <w:rsid w:val="00FD436C"/>
    <w:rsid w:val="00FD446D"/>
    <w:rsid w:val="00FD4F2C"/>
    <w:rsid w:val="00FD4FA5"/>
    <w:rsid w:val="00FD531E"/>
    <w:rsid w:val="00FD6394"/>
    <w:rsid w:val="00FD6C67"/>
    <w:rsid w:val="00FE0170"/>
    <w:rsid w:val="00FE088F"/>
    <w:rsid w:val="00FE0E6C"/>
    <w:rsid w:val="00FE1CDC"/>
    <w:rsid w:val="00FE70C3"/>
    <w:rsid w:val="00FF2AD9"/>
    <w:rsid w:val="00FF2C2F"/>
    <w:rsid w:val="00FF359F"/>
    <w:rsid w:val="00FF36C1"/>
    <w:rsid w:val="00FF3DCF"/>
    <w:rsid w:val="00FF4075"/>
    <w:rsid w:val="00FF4459"/>
    <w:rsid w:val="00FF492C"/>
    <w:rsid w:val="00FF4A21"/>
    <w:rsid w:val="00FF5AA3"/>
    <w:rsid w:val="00FF5AD8"/>
    <w:rsid w:val="00FF69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E5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E5"/>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Medical Caption,- H17,Bayer Caption,IB Caption,Caption PRIMA,Char,CSR Caption,Caption Char1,Caption Char Char,Char Char Char,Char Char1,Char1,Table caption,Caption 3,c,appendix,Figure caption,Figure caption1 Char Char,Caption SYNEVi,Bayer,Baye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Medical Caption Char,- H17 Char,Bayer Caption Char,IB Caption Char,Caption PRIMA Char,Char Char,CSR Caption Char,Caption Char1 Char,Caption Char Char Char,Char Char Char Char,Char Char1 Char,Char1 Char,Table caption Char,Caption 3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
    <w:name w:val="Table"/>
    <w:basedOn w:val="Normal"/>
    <w:link w:val="TableChar"/>
    <w:qFormat/>
    <w:rsid w:val="00FF4075"/>
    <w:pPr>
      <w:jc w:val="left"/>
    </w:pPr>
    <w:rPr>
      <w:rFonts w:eastAsiaTheme="majorEastAsia" w:cstheme="majorBidi"/>
      <w:sz w:val="20"/>
      <w:szCs w:val="22"/>
      <w:lang w:eastAsia="en-US" w:bidi="en-US"/>
    </w:rPr>
  </w:style>
  <w:style w:type="character" w:customStyle="1" w:styleId="TableChar">
    <w:name w:val="Table Char"/>
    <w:basedOn w:val="DefaultParagraphFont"/>
    <w:link w:val="Table"/>
    <w:locked/>
    <w:rsid w:val="00FF4075"/>
    <w:rPr>
      <w:rFonts w:ascii="Calibri" w:eastAsiaTheme="majorEastAsia" w:hAnsi="Calibri" w:cstheme="majorBidi"/>
      <w:szCs w:val="22"/>
      <w:lang w:eastAsia="en-US" w:bidi="en-US"/>
    </w:rPr>
  </w:style>
  <w:style w:type="paragraph" w:styleId="FootnoteText">
    <w:name w:val="footnote text"/>
    <w:basedOn w:val="Normal"/>
    <w:link w:val="FootnoteTextChar"/>
    <w:unhideWhenUsed/>
    <w:rsid w:val="00BF2B9D"/>
    <w:pPr>
      <w:widowControl w:val="0"/>
    </w:pPr>
    <w:rPr>
      <w:snapToGrid w:val="0"/>
      <w:sz w:val="20"/>
      <w:szCs w:val="20"/>
      <w:lang w:eastAsia="en-US"/>
    </w:rPr>
  </w:style>
  <w:style w:type="character" w:customStyle="1" w:styleId="FootnoteTextChar">
    <w:name w:val="Footnote Text Char"/>
    <w:basedOn w:val="DefaultParagraphFont"/>
    <w:link w:val="FootnoteText"/>
    <w:rsid w:val="00BF2B9D"/>
    <w:rPr>
      <w:rFonts w:ascii="Calibri" w:hAnsi="Calibri" w:cs="Arial"/>
      <w:snapToGrid w:val="0"/>
      <w:lang w:eastAsia="en-US"/>
    </w:rPr>
  </w:style>
  <w:style w:type="character" w:customStyle="1" w:styleId="UnresolvedMention1">
    <w:name w:val="Unresolved Mention1"/>
    <w:basedOn w:val="DefaultParagraphFont"/>
    <w:uiPriority w:val="99"/>
    <w:semiHidden/>
    <w:unhideWhenUsed/>
    <w:rsid w:val="00700129"/>
    <w:rPr>
      <w:color w:val="605E5C"/>
      <w:shd w:val="clear" w:color="auto" w:fill="E1DFDD"/>
    </w:rPr>
  </w:style>
  <w:style w:type="paragraph" w:customStyle="1" w:styleId="Default">
    <w:name w:val="Default"/>
    <w:rsid w:val="00410FE8"/>
    <w:pPr>
      <w:autoSpaceDE w:val="0"/>
      <w:autoSpaceDN w:val="0"/>
      <w:adjustRightInd w:val="0"/>
    </w:pPr>
    <w:rPr>
      <w:rFonts w:ascii="Arial" w:hAnsi="Arial" w:cs="Arial"/>
      <w:color w:val="000000"/>
      <w:sz w:val="24"/>
      <w:szCs w:val="24"/>
    </w:rPr>
  </w:style>
  <w:style w:type="table" w:customStyle="1" w:styleId="ASDTable1">
    <w:name w:val="ASD Table1"/>
    <w:basedOn w:val="TableNormal"/>
    <w:next w:val="TableGrid"/>
    <w:uiPriority w:val="39"/>
    <w:rsid w:val="00B97F58"/>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2">
    <w:name w:val="ASD Table2"/>
    <w:basedOn w:val="TableNormal"/>
    <w:next w:val="TableGrid"/>
    <w:uiPriority w:val="39"/>
    <w:rsid w:val="00310607"/>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3">
    <w:name w:val="ASD Table3"/>
    <w:basedOn w:val="TableNormal"/>
    <w:next w:val="TableGrid"/>
    <w:uiPriority w:val="39"/>
    <w:rsid w:val="00BD6E45"/>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uiPriority w:val="4"/>
    <w:qFormat/>
    <w:rsid w:val="00FA5293"/>
    <w:rPr>
      <w:rFonts w:ascii="Calibri" w:hAnsi="Calibri"/>
      <w:sz w:val="20"/>
    </w:rPr>
  </w:style>
  <w:style w:type="character" w:styleId="FootnoteReference">
    <w:name w:val="footnote reference"/>
    <w:basedOn w:val="DefaultParagraphFont"/>
    <w:uiPriority w:val="99"/>
    <w:unhideWhenUsed/>
    <w:rsid w:val="004C1F27"/>
    <w:rPr>
      <w:vertAlign w:val="superscript"/>
    </w:rPr>
  </w:style>
  <w:style w:type="paragraph" w:customStyle="1" w:styleId="Tablecentre">
    <w:name w:val="Table centre"/>
    <w:basedOn w:val="Normal"/>
    <w:qFormat/>
    <w:rsid w:val="00161CA1"/>
    <w:pPr>
      <w:jc w:val="center"/>
    </w:pPr>
    <w:rPr>
      <w:rFonts w:eastAsia="Calibri" w:cs="Times New Roman"/>
      <w:sz w:val="20"/>
      <w:szCs w:val="20"/>
      <w:lang w:eastAsia="en-US"/>
    </w:rPr>
  </w:style>
  <w:style w:type="numbering" w:customStyle="1" w:styleId="NoList1">
    <w:name w:val="No List1"/>
    <w:next w:val="NoList"/>
    <w:uiPriority w:val="99"/>
    <w:semiHidden/>
    <w:unhideWhenUsed/>
    <w:rsid w:val="00B15FB3"/>
  </w:style>
  <w:style w:type="character" w:customStyle="1" w:styleId="Heading3Char">
    <w:name w:val="Heading 3 Char"/>
    <w:basedOn w:val="DefaultParagraphFont"/>
    <w:link w:val="Heading3"/>
    <w:rsid w:val="00B15FB3"/>
    <w:rPr>
      <w:rFonts w:ascii="Calibri" w:hAnsi="Calibri" w:cs="Arial"/>
      <w:sz w:val="24"/>
      <w:szCs w:val="24"/>
      <w:u w:val="single"/>
    </w:rPr>
  </w:style>
  <w:style w:type="character" w:customStyle="1" w:styleId="Heading1Char">
    <w:name w:val="Heading 1 Char"/>
    <w:basedOn w:val="DefaultParagraphFont"/>
    <w:link w:val="Heading1"/>
    <w:uiPriority w:val="1"/>
    <w:rsid w:val="00B15FB3"/>
    <w:rPr>
      <w:rFonts w:ascii="Calibri" w:hAnsi="Calibri" w:cs="Arial"/>
      <w:b/>
      <w:caps/>
      <w:sz w:val="32"/>
      <w:szCs w:val="24"/>
    </w:rPr>
  </w:style>
  <w:style w:type="character" w:customStyle="1" w:styleId="Heading4Char">
    <w:name w:val="Heading 4 Char"/>
    <w:basedOn w:val="DefaultParagraphFont"/>
    <w:link w:val="Heading4"/>
    <w:rsid w:val="00B15FB3"/>
    <w:rPr>
      <w:rFonts w:ascii="Calibri" w:hAnsi="Calibri" w:cs="Arial"/>
      <w:b/>
      <w:bCs/>
      <w:i/>
      <w:sz w:val="26"/>
      <w:szCs w:val="28"/>
    </w:rPr>
  </w:style>
  <w:style w:type="numbering" w:customStyle="1" w:styleId="Style1">
    <w:name w:val="Style1"/>
    <w:uiPriority w:val="99"/>
    <w:rsid w:val="00B15FB3"/>
    <w:pPr>
      <w:numPr>
        <w:numId w:val="8"/>
      </w:numPr>
    </w:pPr>
  </w:style>
  <w:style w:type="numbering" w:customStyle="1" w:styleId="SectionBii">
    <w:name w:val="Section Bii"/>
    <w:uiPriority w:val="99"/>
    <w:rsid w:val="00B15FB3"/>
    <w:pPr>
      <w:numPr>
        <w:numId w:val="9"/>
      </w:numPr>
    </w:pPr>
  </w:style>
  <w:style w:type="character" w:customStyle="1" w:styleId="Heading5Char">
    <w:name w:val="Heading 5 Char"/>
    <w:basedOn w:val="DefaultParagraphFont"/>
    <w:link w:val="Heading5"/>
    <w:rsid w:val="00B15FB3"/>
    <w:rPr>
      <w:rFonts w:ascii="Calibri" w:hAnsi="Calibri" w:cs="Arial"/>
      <w:b/>
      <w:bCs/>
      <w:iCs/>
      <w:sz w:val="26"/>
      <w:szCs w:val="26"/>
    </w:rPr>
  </w:style>
  <w:style w:type="character" w:customStyle="1" w:styleId="Heading6Char">
    <w:name w:val="Heading 6 Char"/>
    <w:basedOn w:val="DefaultParagraphFont"/>
    <w:link w:val="Heading6"/>
    <w:rsid w:val="00B15FB3"/>
    <w:rPr>
      <w:rFonts w:ascii="Calibri" w:hAnsi="Calibri" w:cs="Arial"/>
      <w:b/>
      <w:bCs/>
      <w:i/>
      <w:sz w:val="24"/>
      <w:szCs w:val="24"/>
    </w:rPr>
  </w:style>
  <w:style w:type="table" w:styleId="LightShading">
    <w:name w:val="Light Shading"/>
    <w:basedOn w:val="TableNormal"/>
    <w:uiPriority w:val="60"/>
    <w:rsid w:val="00B15FB3"/>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B15FB3"/>
    <w:pPr>
      <w:tabs>
        <w:tab w:val="right" w:leader="dot" w:pos="9016"/>
      </w:tabs>
      <w:spacing w:before="40" w:after="120"/>
    </w:pPr>
    <w:rPr>
      <w:rFonts w:eastAsiaTheme="minorHAnsi" w:cstheme="minorBidi"/>
      <w:noProof/>
      <w:sz w:val="20"/>
      <w:szCs w:val="22"/>
      <w:lang w:eastAsia="en-US"/>
    </w:rPr>
  </w:style>
  <w:style w:type="table" w:customStyle="1" w:styleId="newstyle1">
    <w:name w:val="new style1"/>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15FB3"/>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15FB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5">
    <w:name w:val="Table Grid15"/>
    <w:basedOn w:val="TableNormal"/>
    <w:next w:val="TableGrid"/>
    <w:rsid w:val="00B15FB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
    <w:name w:val="Table Grid16"/>
    <w:basedOn w:val="TableNormal"/>
    <w:next w:val="TableGrid"/>
    <w:rsid w:val="00B15FB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
    <w:name w:val="Table Grid5"/>
    <w:basedOn w:val="TableNormal"/>
    <w:next w:val="TableGrid"/>
    <w:rsid w:val="00B15FB3"/>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15FB3"/>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5FB3"/>
    <w:rPr>
      <w:color w:val="808080"/>
    </w:rPr>
  </w:style>
  <w:style w:type="table" w:customStyle="1" w:styleId="TableGrid6">
    <w:name w:val="Table Grid6"/>
    <w:basedOn w:val="TableNormal"/>
    <w:rsid w:val="00B15FB3"/>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15FB3"/>
    <w:pPr>
      <w:spacing w:after="120" w:line="360" w:lineRule="auto"/>
      <w:jc w:val="center"/>
    </w:pPr>
    <w:rPr>
      <w:rFonts w:ascii="Arial" w:eastAsiaTheme="minorHAnsi" w:hAnsi="Arial"/>
      <w:noProof/>
      <w:sz w:val="22"/>
      <w:szCs w:val="22"/>
      <w:lang w:val="en-US" w:eastAsia="en-US"/>
    </w:rPr>
  </w:style>
  <w:style w:type="character" w:customStyle="1" w:styleId="EndNoteBibliographyTitleChar">
    <w:name w:val="EndNote Bibliography Title Char"/>
    <w:basedOn w:val="DefaultParagraphFont"/>
    <w:link w:val="EndNoteBibliographyTitle"/>
    <w:rsid w:val="00B15FB3"/>
    <w:rPr>
      <w:rFonts w:ascii="Arial" w:eastAsiaTheme="minorHAnsi" w:hAnsi="Arial" w:cs="Arial"/>
      <w:noProof/>
      <w:sz w:val="22"/>
      <w:szCs w:val="22"/>
      <w:lang w:val="en-US" w:eastAsia="en-US"/>
    </w:rPr>
  </w:style>
  <w:style w:type="paragraph" w:customStyle="1" w:styleId="EndNoteBibliography">
    <w:name w:val="EndNote Bibliography"/>
    <w:basedOn w:val="Normal"/>
    <w:link w:val="EndNoteBibliographyChar"/>
    <w:rsid w:val="00B15FB3"/>
    <w:pPr>
      <w:spacing w:after="120"/>
    </w:pPr>
    <w:rPr>
      <w:rFonts w:ascii="Arial" w:eastAsiaTheme="minorHAnsi" w:hAnsi="Arial"/>
      <w:noProof/>
      <w:sz w:val="22"/>
      <w:szCs w:val="22"/>
      <w:lang w:val="en-US" w:eastAsia="en-US"/>
    </w:rPr>
  </w:style>
  <w:style w:type="character" w:customStyle="1" w:styleId="EndNoteBibliographyChar">
    <w:name w:val="EndNote Bibliography Char"/>
    <w:basedOn w:val="DefaultParagraphFont"/>
    <w:link w:val="EndNoteBibliography"/>
    <w:rsid w:val="00B15FB3"/>
    <w:rPr>
      <w:rFonts w:ascii="Arial" w:eastAsiaTheme="minorHAnsi" w:hAnsi="Arial" w:cs="Arial"/>
      <w:noProof/>
      <w:sz w:val="22"/>
      <w:szCs w:val="22"/>
      <w:lang w:val="en-US" w:eastAsia="en-US"/>
    </w:rPr>
  </w:style>
  <w:style w:type="table" w:customStyle="1" w:styleId="TableGrid482">
    <w:name w:val="Table Grid482"/>
    <w:basedOn w:val="TableNormal"/>
    <w:next w:val="TableGrid"/>
    <w:rsid w:val="00B15FB3"/>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strength">
    <w:name w:val="form-strength"/>
    <w:basedOn w:val="DefaultParagraphFont"/>
    <w:rsid w:val="00B15FB3"/>
  </w:style>
  <w:style w:type="character" w:customStyle="1" w:styleId="apple-converted-space">
    <w:name w:val="apple-converted-space"/>
    <w:basedOn w:val="DefaultParagraphFont"/>
    <w:rsid w:val="00B15FB3"/>
  </w:style>
  <w:style w:type="table" w:customStyle="1" w:styleId="TableGrid28">
    <w:name w:val="Table Grid28"/>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15FB3"/>
    <w:pPr>
      <w:spacing w:after="120"/>
    </w:pPr>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B15FB3"/>
    <w:rPr>
      <w:rFonts w:ascii="Calibri" w:eastAsiaTheme="minorHAnsi" w:hAnsi="Calibri" w:cstheme="minorBidi"/>
      <w:lang w:eastAsia="en-US"/>
    </w:rPr>
  </w:style>
  <w:style w:type="character" w:styleId="EndnoteReference">
    <w:name w:val="endnote reference"/>
    <w:basedOn w:val="DefaultParagraphFont"/>
    <w:uiPriority w:val="99"/>
    <w:semiHidden/>
    <w:unhideWhenUsed/>
    <w:rsid w:val="00B15FB3"/>
    <w:rPr>
      <w:vertAlign w:val="superscript"/>
    </w:rPr>
  </w:style>
  <w:style w:type="numbering" w:customStyle="1" w:styleId="SectionBi">
    <w:name w:val="Section Bi"/>
    <w:uiPriority w:val="99"/>
    <w:rsid w:val="00B15FB3"/>
    <w:pPr>
      <w:numPr>
        <w:numId w:val="10"/>
      </w:numPr>
    </w:pPr>
  </w:style>
  <w:style w:type="numbering" w:customStyle="1" w:styleId="NoList11">
    <w:name w:val="No List11"/>
    <w:next w:val="NoList"/>
    <w:uiPriority w:val="99"/>
    <w:semiHidden/>
    <w:unhideWhenUsed/>
    <w:rsid w:val="00B15FB3"/>
  </w:style>
  <w:style w:type="numbering" w:customStyle="1" w:styleId="SectionBi1">
    <w:name w:val="Section Bi1"/>
    <w:uiPriority w:val="99"/>
    <w:rsid w:val="00B15FB3"/>
  </w:style>
  <w:style w:type="numbering" w:customStyle="1" w:styleId="Style11">
    <w:name w:val="Style11"/>
    <w:uiPriority w:val="99"/>
    <w:rsid w:val="00B15FB3"/>
  </w:style>
  <w:style w:type="table" w:customStyle="1" w:styleId="TableGrid11">
    <w:name w:val="Table Grid11"/>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15FB3"/>
  </w:style>
  <w:style w:type="numbering" w:customStyle="1" w:styleId="SectionBi2">
    <w:name w:val="Section Bi2"/>
    <w:uiPriority w:val="99"/>
    <w:rsid w:val="00B15FB3"/>
  </w:style>
  <w:style w:type="numbering" w:customStyle="1" w:styleId="Style12">
    <w:name w:val="Style12"/>
    <w:uiPriority w:val="99"/>
    <w:rsid w:val="00B15FB3"/>
  </w:style>
  <w:style w:type="paragraph" w:customStyle="1" w:styleId="SyneviNormal">
    <w:name w:val="Synevi Normal"/>
    <w:basedOn w:val="Normal"/>
    <w:link w:val="SyneviNormalChar"/>
    <w:qFormat/>
    <w:rsid w:val="00B15FB3"/>
    <w:pPr>
      <w:spacing w:after="120"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B15FB3"/>
    <w:rPr>
      <w:rFonts w:asciiTheme="minorHAnsi" w:hAnsiTheme="minorHAnsi"/>
      <w:sz w:val="22"/>
      <w:lang w:val="en-US" w:eastAsia="en-US"/>
    </w:rPr>
  </w:style>
  <w:style w:type="table" w:customStyle="1" w:styleId="Summarybox2">
    <w:name w:val="Summary box2"/>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2">
    <w:name w:val="Normal v2"/>
    <w:link w:val="Normalv2Char"/>
    <w:qFormat/>
    <w:rsid w:val="00B15FB3"/>
    <w:pPr>
      <w:spacing w:before="14" w:after="144" w:line="300" w:lineRule="atLeast"/>
    </w:pPr>
    <w:rPr>
      <w:rFonts w:eastAsiaTheme="minorHAnsi" w:cs="Arial"/>
      <w:sz w:val="24"/>
      <w:szCs w:val="22"/>
      <w:lang w:val="en-GB" w:eastAsia="en-US"/>
    </w:rPr>
  </w:style>
  <w:style w:type="character" w:customStyle="1" w:styleId="Normalv2Char">
    <w:name w:val="Normal v2 Char"/>
    <w:basedOn w:val="DefaultParagraphFont"/>
    <w:link w:val="Normalv2"/>
    <w:rsid w:val="00B15FB3"/>
    <w:rPr>
      <w:rFonts w:eastAsiaTheme="minorHAnsi" w:cs="Arial"/>
      <w:sz w:val="24"/>
      <w:szCs w:val="22"/>
      <w:lang w:val="en-GB" w:eastAsia="en-US"/>
    </w:rPr>
  </w:style>
  <w:style w:type="character" w:customStyle="1" w:styleId="FontHighlight">
    <w:name w:val="Font Highlight"/>
    <w:basedOn w:val="DefaultParagraphFont"/>
    <w:uiPriority w:val="2"/>
    <w:qFormat/>
    <w:rsid w:val="00B15FB3"/>
    <w:rPr>
      <w:rFonts w:ascii="Calibri" w:hAnsi="Calibri"/>
      <w:sz w:val="24"/>
      <w:bdr w:val="none" w:sz="0" w:space="0" w:color="auto"/>
      <w:shd w:val="clear" w:color="auto" w:fill="FFFF00"/>
    </w:rPr>
  </w:style>
  <w:style w:type="paragraph" w:customStyle="1" w:styleId="TableBullets">
    <w:name w:val="Table Bullets"/>
    <w:basedOn w:val="Table"/>
    <w:uiPriority w:val="5"/>
    <w:qFormat/>
    <w:rsid w:val="00B15FB3"/>
    <w:pPr>
      <w:numPr>
        <w:numId w:val="11"/>
      </w:numPr>
    </w:pPr>
  </w:style>
  <w:style w:type="character" w:customStyle="1" w:styleId="SmallHighlight">
    <w:name w:val="Small Highlight"/>
    <w:basedOn w:val="Small"/>
    <w:uiPriority w:val="1"/>
    <w:qFormat/>
    <w:rsid w:val="00B15FB3"/>
    <w:rPr>
      <w:rFonts w:ascii="Candara" w:hAnsi="Candara"/>
      <w:sz w:val="20"/>
      <w:bdr w:val="none" w:sz="0" w:space="0" w:color="auto"/>
      <w:shd w:val="clear" w:color="auto" w:fill="FFFF00"/>
    </w:rPr>
  </w:style>
  <w:style w:type="paragraph" w:customStyle="1" w:styleId="Reference">
    <w:name w:val="Reference"/>
    <w:basedOn w:val="Normal"/>
    <w:next w:val="Normal"/>
    <w:link w:val="ReferenceChar"/>
    <w:uiPriority w:val="99"/>
    <w:rsid w:val="00B15FB3"/>
    <w:pPr>
      <w:keepLines/>
      <w:spacing w:before="101" w:after="101" w:line="283" w:lineRule="exact"/>
      <w:ind w:left="216" w:hanging="216"/>
      <w:jc w:val="left"/>
    </w:pPr>
    <w:rPr>
      <w:rFonts w:ascii="Times New Roman" w:hAnsi="Times New Roman" w:cs="Times New Roman"/>
      <w:szCs w:val="20"/>
      <w:lang w:val="en-US" w:eastAsia="en-US"/>
    </w:rPr>
  </w:style>
  <w:style w:type="character" w:customStyle="1" w:styleId="ReferenceChar">
    <w:name w:val="Reference Char"/>
    <w:basedOn w:val="DefaultParagraphFont"/>
    <w:link w:val="Reference"/>
    <w:uiPriority w:val="99"/>
    <w:locked/>
    <w:rsid w:val="00B15FB3"/>
    <w:rPr>
      <w:sz w:val="24"/>
      <w:lang w:val="en-US" w:eastAsia="en-US"/>
    </w:rPr>
  </w:style>
  <w:style w:type="character" w:customStyle="1" w:styleId="Font">
    <w:name w:val="Font"/>
    <w:basedOn w:val="DefaultParagraphFont"/>
    <w:uiPriority w:val="1"/>
    <w:qFormat/>
    <w:rsid w:val="00B15FB3"/>
    <w:rPr>
      <w:rFonts w:ascii="Calibri" w:hAnsi="Calibri"/>
      <w:sz w:val="24"/>
    </w:rPr>
  </w:style>
  <w:style w:type="paragraph" w:customStyle="1" w:styleId="mdBrktdBullet">
    <w:name w:val="md_Brktd Bullet"/>
    <w:basedOn w:val="Normal"/>
    <w:link w:val="mdBrktdBulletChar"/>
    <w:uiPriority w:val="99"/>
    <w:rsid w:val="00B15FB3"/>
    <w:pPr>
      <w:keepLines/>
      <w:spacing w:before="14" w:after="144" w:line="279" w:lineRule="atLeast"/>
      <w:ind w:left="1080" w:right="720" w:hanging="504"/>
      <w:jc w:val="left"/>
    </w:pPr>
    <w:rPr>
      <w:rFonts w:ascii="Times New Roman" w:hAnsi="Times New Roman" w:cs="Times New Roman"/>
      <w:szCs w:val="20"/>
      <w:lang w:val="en-US" w:eastAsia="en-US"/>
    </w:rPr>
  </w:style>
  <w:style w:type="character" w:customStyle="1" w:styleId="mdBrktdBulletChar">
    <w:name w:val="md_Brktd Bullet Char"/>
    <w:basedOn w:val="DefaultParagraphFont"/>
    <w:link w:val="mdBrktdBullet"/>
    <w:uiPriority w:val="99"/>
    <w:locked/>
    <w:rsid w:val="00B15FB3"/>
    <w:rPr>
      <w:sz w:val="24"/>
      <w:lang w:val="en-US" w:eastAsia="en-US"/>
    </w:rPr>
  </w:style>
  <w:style w:type="paragraph" w:customStyle="1" w:styleId="Tableheading0">
    <w:name w:val="Table heading"/>
    <w:basedOn w:val="Normal"/>
    <w:qFormat/>
    <w:rsid w:val="00B15FB3"/>
    <w:pPr>
      <w:jc w:val="center"/>
    </w:pPr>
    <w:rPr>
      <w:rFonts w:asciiTheme="minorHAnsi" w:eastAsiaTheme="minorHAnsi" w:hAnsiTheme="minorHAnsi" w:cstheme="minorBidi"/>
      <w:b/>
      <w:sz w:val="20"/>
      <w:szCs w:val="20"/>
      <w:lang w:eastAsia="en-US"/>
    </w:rPr>
  </w:style>
  <w:style w:type="paragraph" w:customStyle="1" w:styleId="BNormal">
    <w:name w:val="B Normal"/>
    <w:basedOn w:val="Normal"/>
    <w:qFormat/>
    <w:rsid w:val="00B15FB3"/>
    <w:pPr>
      <w:keepNext/>
      <w:spacing w:after="120" w:line="360" w:lineRule="auto"/>
    </w:pPr>
    <w:rPr>
      <w:rFonts w:eastAsiaTheme="minorHAnsi" w:cstheme="minorBidi"/>
      <w:b/>
      <w:sz w:val="22"/>
      <w:szCs w:val="22"/>
      <w:lang w:eastAsia="en-US"/>
    </w:rPr>
  </w:style>
  <w:style w:type="paragraph" w:customStyle="1" w:styleId="NormalBulletList">
    <w:name w:val="Normal Bullet List"/>
    <w:basedOn w:val="Normal"/>
    <w:uiPriority w:val="3"/>
    <w:qFormat/>
    <w:rsid w:val="00B15FB3"/>
    <w:pPr>
      <w:numPr>
        <w:numId w:val="13"/>
      </w:numPr>
      <w:spacing w:after="240" w:line="276" w:lineRule="auto"/>
      <w:contextualSpacing/>
      <w:jc w:val="left"/>
    </w:pPr>
    <w:rPr>
      <w:rFonts w:eastAsiaTheme="majorEastAsia" w:cstheme="majorBidi"/>
      <w:szCs w:val="22"/>
      <w:lang w:eastAsia="en-US" w:bidi="en-US"/>
    </w:rPr>
  </w:style>
  <w:style w:type="paragraph" w:customStyle="1" w:styleId="NormalBulletList2">
    <w:name w:val="Normal Bullet List 2"/>
    <w:basedOn w:val="NormalBulletList"/>
    <w:qFormat/>
    <w:rsid w:val="00B15FB3"/>
    <w:pPr>
      <w:numPr>
        <w:ilvl w:val="1"/>
      </w:numPr>
      <w:spacing w:after="0"/>
      <w:ind w:left="709" w:hanging="357"/>
    </w:pPr>
  </w:style>
  <w:style w:type="table" w:customStyle="1" w:styleId="Summarybox6">
    <w:name w:val="Summary box6"/>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B15FB3"/>
  </w:style>
  <w:style w:type="character" w:customStyle="1" w:styleId="articletitle">
    <w:name w:val="articletitle"/>
    <w:basedOn w:val="DefaultParagraphFont"/>
    <w:rsid w:val="00B15FB3"/>
  </w:style>
  <w:style w:type="character" w:customStyle="1" w:styleId="journaltitle">
    <w:name w:val="journaltitle"/>
    <w:basedOn w:val="DefaultParagraphFont"/>
    <w:rsid w:val="00B15FB3"/>
  </w:style>
  <w:style w:type="character" w:customStyle="1" w:styleId="pubyear">
    <w:name w:val="pubyear"/>
    <w:basedOn w:val="DefaultParagraphFont"/>
    <w:rsid w:val="00B15FB3"/>
  </w:style>
  <w:style w:type="character" w:customStyle="1" w:styleId="vol">
    <w:name w:val="vol"/>
    <w:basedOn w:val="DefaultParagraphFont"/>
    <w:rsid w:val="00B15FB3"/>
  </w:style>
  <w:style w:type="character" w:customStyle="1" w:styleId="pagefirst">
    <w:name w:val="pagefirst"/>
    <w:basedOn w:val="DefaultParagraphFont"/>
    <w:rsid w:val="00B15FB3"/>
  </w:style>
  <w:style w:type="character" w:customStyle="1" w:styleId="pagelast">
    <w:name w:val="pagelast"/>
    <w:basedOn w:val="DefaultParagraphFont"/>
    <w:rsid w:val="00B15FB3"/>
  </w:style>
  <w:style w:type="paragraph" w:customStyle="1" w:styleId="StyleEndNoteBibliographyLeft0cmHanging127cm11">
    <w:name w:val="Style EndNote Bibliography + Left:  0 cm Hanging:  1.27 cm11"/>
    <w:basedOn w:val="Normal"/>
    <w:rsid w:val="00B15FB3"/>
    <w:pPr>
      <w:ind w:left="720" w:hanging="720"/>
      <w:jc w:val="left"/>
    </w:pPr>
    <w:rPr>
      <w:rFonts w:ascii="Arial" w:hAnsi="Arial" w:cs="Times New Roman"/>
      <w:color w:val="1F497D"/>
      <w:sz w:val="21"/>
      <w:szCs w:val="20"/>
      <w:lang w:val="en-GB" w:eastAsia="en-US"/>
    </w:rPr>
  </w:style>
  <w:style w:type="table" w:customStyle="1" w:styleId="Summarybox1">
    <w:name w:val="Summary box1"/>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emdtitle1">
    <w:name w:val="rfemdtitle1"/>
    <w:basedOn w:val="DefaultParagraphFont"/>
    <w:rsid w:val="00B15FB3"/>
    <w:rPr>
      <w:rFonts w:ascii="Arial" w:hAnsi="Arial" w:cs="Arial" w:hint="default"/>
      <w:b w:val="0"/>
      <w:bCs w:val="0"/>
      <w:color w:val="324D67"/>
      <w:sz w:val="24"/>
      <w:szCs w:val="24"/>
    </w:rPr>
  </w:style>
  <w:style w:type="paragraph" w:customStyle="1" w:styleId="mdTblEntry">
    <w:name w:val="md_Tbl Entry"/>
    <w:basedOn w:val="Normal"/>
    <w:link w:val="mdTblEntryChar"/>
    <w:uiPriority w:val="99"/>
    <w:rsid w:val="00B15FB3"/>
    <w:pPr>
      <w:keepLines/>
      <w:spacing w:line="259" w:lineRule="atLeast"/>
      <w:jc w:val="left"/>
    </w:pPr>
    <w:rPr>
      <w:rFonts w:ascii="Times New Roman" w:hAnsi="Times New Roman" w:cs="Times New Roman"/>
      <w:sz w:val="20"/>
      <w:szCs w:val="20"/>
      <w:lang w:val="en-US" w:eastAsia="en-US"/>
    </w:rPr>
  </w:style>
  <w:style w:type="character" w:customStyle="1" w:styleId="mdTblEntryChar">
    <w:name w:val="md_Tbl Entry Char"/>
    <w:basedOn w:val="DefaultParagraphFont"/>
    <w:link w:val="mdTblEntry"/>
    <w:uiPriority w:val="99"/>
    <w:locked/>
    <w:rsid w:val="00B15FB3"/>
    <w:rPr>
      <w:lang w:val="en-US" w:eastAsia="en-US"/>
    </w:rPr>
  </w:style>
  <w:style w:type="paragraph" w:customStyle="1" w:styleId="Landscapefooter">
    <w:name w:val="Landscape footer"/>
    <w:basedOn w:val="Header"/>
    <w:uiPriority w:val="99"/>
    <w:rsid w:val="00B15FB3"/>
    <w:pPr>
      <w:keepNext w:val="0"/>
      <w:tabs>
        <w:tab w:val="clear" w:pos="4513"/>
        <w:tab w:val="clear" w:pos="9026"/>
        <w:tab w:val="right" w:pos="12960"/>
      </w:tabs>
      <w:jc w:val="left"/>
    </w:pPr>
    <w:rPr>
      <w:rFonts w:ascii="Arial" w:hAnsi="Arial" w:cs="Times New Roman"/>
      <w:b/>
      <w:szCs w:val="20"/>
      <w:lang w:val="en-US" w:eastAsia="en-US"/>
    </w:rPr>
  </w:style>
  <w:style w:type="table" w:customStyle="1" w:styleId="Summarybox3">
    <w:name w:val="Summary box3"/>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qFormat/>
    <w:rsid w:val="00B15FB3"/>
    <w:rPr>
      <w:rFonts w:eastAsiaTheme="minorHAnsi" w:cstheme="minorBidi"/>
      <w:sz w:val="18"/>
      <w:szCs w:val="22"/>
      <w:lang w:eastAsia="en-US"/>
    </w:rPr>
  </w:style>
  <w:style w:type="paragraph" w:customStyle="1" w:styleId="Bull1tabletext">
    <w:name w:val="Bull1 table text"/>
    <w:basedOn w:val="Tabletext"/>
    <w:qFormat/>
    <w:rsid w:val="00B15FB3"/>
    <w:pPr>
      <w:keepNext/>
      <w:numPr>
        <w:numId w:val="25"/>
      </w:numPr>
      <w:tabs>
        <w:tab w:val="left" w:pos="416"/>
        <w:tab w:val="left" w:pos="582"/>
      </w:tabs>
      <w:spacing w:before="14"/>
      <w:contextualSpacing/>
      <w:jc w:val="both"/>
      <w:outlineLvl w:val="1"/>
    </w:pPr>
    <w:rPr>
      <w:rFonts w:asciiTheme="minorHAnsi" w:eastAsia="Calibri" w:hAnsiTheme="minorHAnsi" w:cstheme="minorHAnsi"/>
      <w:bCs/>
      <w:snapToGrid/>
      <w:szCs w:val="20"/>
      <w:shd w:val="clear" w:color="auto" w:fill="FAF9F8"/>
    </w:rPr>
  </w:style>
  <w:style w:type="paragraph" w:customStyle="1" w:styleId="Bull2tabletext">
    <w:name w:val="Bull2 table text"/>
    <w:basedOn w:val="Bull1tabletext"/>
    <w:qFormat/>
    <w:rsid w:val="00B15FB3"/>
    <w:pPr>
      <w:numPr>
        <w:ilvl w:val="1"/>
      </w:numPr>
      <w:ind w:left="757"/>
    </w:pPr>
  </w:style>
  <w:style w:type="paragraph" w:customStyle="1" w:styleId="BullNormal">
    <w:name w:val="Bull Normal"/>
    <w:basedOn w:val="ListParagraph"/>
    <w:qFormat/>
    <w:rsid w:val="00B15FB3"/>
    <w:pPr>
      <w:numPr>
        <w:numId w:val="0"/>
      </w:numPr>
      <w:spacing w:after="0" w:line="360" w:lineRule="auto"/>
      <w:ind w:left="360" w:hanging="360"/>
      <w:contextualSpacing/>
    </w:pPr>
    <w:rPr>
      <w:rFonts w:ascii="Calibri" w:eastAsiaTheme="minorHAnsi" w:hAnsi="Calibri" w:cstheme="minorBidi"/>
      <w:snapToGrid/>
      <w:sz w:val="22"/>
      <w:szCs w:val="22"/>
      <w:lang w:eastAsia="en-US"/>
    </w:rPr>
  </w:style>
  <w:style w:type="paragraph" w:customStyle="1" w:styleId="TblFootnote">
    <w:name w:val="Tbl Footnote"/>
    <w:basedOn w:val="Normal"/>
    <w:next w:val="Normal"/>
    <w:link w:val="TblFootnoteChar"/>
    <w:rsid w:val="00B15FB3"/>
    <w:pPr>
      <w:keepNext/>
      <w:keepLines/>
      <w:tabs>
        <w:tab w:val="left" w:pos="259"/>
      </w:tabs>
      <w:spacing w:line="259" w:lineRule="atLeast"/>
      <w:ind w:left="259" w:hanging="259"/>
      <w:jc w:val="left"/>
    </w:pPr>
    <w:rPr>
      <w:rFonts w:ascii="Times New Roman" w:hAnsi="Times New Roman" w:cs="Times New Roman"/>
      <w:sz w:val="20"/>
      <w:szCs w:val="20"/>
      <w:lang w:val="en-US" w:eastAsia="en-US"/>
    </w:rPr>
  </w:style>
  <w:style w:type="character" w:customStyle="1" w:styleId="TblFootnoteChar">
    <w:name w:val="Tbl Footnote Char"/>
    <w:basedOn w:val="DefaultParagraphFont"/>
    <w:link w:val="TblFootnote"/>
    <w:locked/>
    <w:rsid w:val="00B15FB3"/>
    <w:rPr>
      <w:lang w:val="en-US" w:eastAsia="en-US"/>
    </w:rPr>
  </w:style>
  <w:style w:type="paragraph" w:customStyle="1" w:styleId="FigureLegend">
    <w:name w:val="FigureLegend"/>
    <w:basedOn w:val="Normal"/>
    <w:rsid w:val="00B15FB3"/>
    <w:pPr>
      <w:keepLines/>
      <w:spacing w:after="160"/>
      <w:jc w:val="left"/>
    </w:pPr>
    <w:rPr>
      <w:rFonts w:asciiTheme="minorHAnsi" w:eastAsiaTheme="minorHAnsi" w:hAnsiTheme="minorHAnsi" w:cstheme="minorBidi"/>
      <w:sz w:val="18"/>
      <w:szCs w:val="22"/>
      <w:lang w:val="en-US" w:eastAsia="en-US"/>
    </w:rPr>
  </w:style>
  <w:style w:type="paragraph" w:customStyle="1" w:styleId="Tab1table">
    <w:name w:val="Tab1 table"/>
    <w:basedOn w:val="Tabletext"/>
    <w:qFormat/>
    <w:rsid w:val="00B15FB3"/>
    <w:pPr>
      <w:keepNext/>
      <w:tabs>
        <w:tab w:val="left" w:pos="416"/>
        <w:tab w:val="left" w:pos="582"/>
      </w:tabs>
      <w:spacing w:before="14"/>
      <w:ind w:left="283"/>
      <w:contextualSpacing/>
      <w:jc w:val="both"/>
      <w:outlineLvl w:val="1"/>
    </w:pPr>
    <w:rPr>
      <w:rFonts w:asciiTheme="minorHAnsi" w:eastAsia="Calibri" w:hAnsiTheme="minorHAnsi" w:cstheme="minorHAnsi"/>
      <w:bCs/>
      <w:snapToGrid/>
      <w:szCs w:val="20"/>
      <w:shd w:val="clear" w:color="auto" w:fill="FAF9F8"/>
    </w:rPr>
  </w:style>
  <w:style w:type="paragraph" w:customStyle="1" w:styleId="Heading8BoldItalic">
    <w:name w:val="Heading 8BoldItalic"/>
    <w:basedOn w:val="Normal"/>
    <w:next w:val="Normal"/>
    <w:rsid w:val="00B15FB3"/>
    <w:pPr>
      <w:keepNext/>
      <w:spacing w:after="160" w:line="259" w:lineRule="auto"/>
      <w:jc w:val="left"/>
    </w:pPr>
    <w:rPr>
      <w:rFonts w:asciiTheme="minorHAnsi" w:eastAsiaTheme="minorHAnsi" w:hAnsiTheme="minorHAnsi" w:cstheme="minorBidi"/>
      <w:b/>
      <w:i/>
      <w:sz w:val="22"/>
      <w:szCs w:val="22"/>
      <w:lang w:val="en-US" w:eastAsia="en-US"/>
    </w:rPr>
  </w:style>
  <w:style w:type="paragraph" w:customStyle="1" w:styleId="Tab2table">
    <w:name w:val="Tab2 table"/>
    <w:basedOn w:val="Tabletext"/>
    <w:qFormat/>
    <w:rsid w:val="00B15FB3"/>
    <w:pPr>
      <w:keepNext/>
      <w:tabs>
        <w:tab w:val="left" w:pos="416"/>
        <w:tab w:val="left" w:pos="582"/>
      </w:tabs>
      <w:spacing w:before="14"/>
      <w:ind w:left="567"/>
      <w:contextualSpacing/>
      <w:jc w:val="both"/>
      <w:outlineLvl w:val="1"/>
    </w:pPr>
    <w:rPr>
      <w:rFonts w:asciiTheme="minorHAnsi" w:eastAsia="Calibri" w:hAnsiTheme="minorHAnsi" w:cstheme="minorHAnsi"/>
      <w:bCs/>
      <w:snapToGrid/>
      <w:szCs w:val="20"/>
      <w:shd w:val="clear" w:color="auto" w:fill="FAF9F8"/>
    </w:rPr>
  </w:style>
  <w:style w:type="paragraph" w:styleId="BodyTextIndent2">
    <w:name w:val="Body Text Indent 2"/>
    <w:basedOn w:val="Normal"/>
    <w:link w:val="BodyTextIndent2Char"/>
    <w:uiPriority w:val="99"/>
    <w:semiHidden/>
    <w:unhideWhenUsed/>
    <w:rsid w:val="00B15FB3"/>
    <w:pPr>
      <w:spacing w:after="160" w:line="480" w:lineRule="auto"/>
      <w:ind w:left="360"/>
      <w:jc w:val="left"/>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uiPriority w:val="99"/>
    <w:semiHidden/>
    <w:rsid w:val="00B15FB3"/>
    <w:rPr>
      <w:rFonts w:asciiTheme="minorHAnsi" w:eastAsiaTheme="minorHAnsi" w:hAnsiTheme="minorHAnsi" w:cstheme="minorBidi"/>
      <w:sz w:val="22"/>
      <w:szCs w:val="22"/>
      <w:lang w:eastAsia="en-US"/>
    </w:rPr>
  </w:style>
  <w:style w:type="paragraph" w:styleId="BodyTextFirstIndent">
    <w:name w:val="Body Text First Indent"/>
    <w:basedOn w:val="BodyText"/>
    <w:link w:val="BodyTextFirstIndentChar"/>
    <w:uiPriority w:val="99"/>
    <w:unhideWhenUsed/>
    <w:rsid w:val="00B15FB3"/>
    <w:pPr>
      <w:spacing w:after="120" w:line="360" w:lineRule="auto"/>
      <w:ind w:firstLine="360"/>
      <w:jc w:val="both"/>
    </w:pPr>
    <w:rPr>
      <w:rFonts w:eastAsiaTheme="minorHAnsi" w:cstheme="minorBidi"/>
      <w:sz w:val="22"/>
      <w:szCs w:val="22"/>
      <w:lang w:eastAsia="en-US"/>
    </w:rPr>
  </w:style>
  <w:style w:type="character" w:customStyle="1" w:styleId="BodyTextFirstIndentChar">
    <w:name w:val="Body Text First Indent Char"/>
    <w:basedOn w:val="BodyTextChar"/>
    <w:link w:val="BodyTextFirstIndent"/>
    <w:uiPriority w:val="99"/>
    <w:rsid w:val="00B15FB3"/>
    <w:rPr>
      <w:rFonts w:ascii="Calibri" w:eastAsiaTheme="minorHAnsi" w:hAnsi="Calibri" w:cstheme="minorBidi"/>
      <w:snapToGrid/>
      <w:sz w:val="22"/>
      <w:szCs w:val="22"/>
      <w:lang w:eastAsia="en-US"/>
    </w:rPr>
  </w:style>
  <w:style w:type="paragraph" w:customStyle="1" w:styleId="UNormal">
    <w:name w:val="U Normal"/>
    <w:basedOn w:val="Normal"/>
    <w:next w:val="Normal"/>
    <w:qFormat/>
    <w:rsid w:val="00B15FB3"/>
    <w:pPr>
      <w:keepNext/>
      <w:spacing w:line="360" w:lineRule="auto"/>
    </w:pPr>
    <w:rPr>
      <w:rFonts w:eastAsiaTheme="minorHAnsi" w:cstheme="minorHAnsi"/>
      <w:sz w:val="22"/>
      <w:szCs w:val="22"/>
      <w:u w:val="single"/>
      <w:lang w:eastAsia="en-US"/>
    </w:rPr>
  </w:style>
  <w:style w:type="paragraph" w:customStyle="1" w:styleId="Num1table">
    <w:name w:val="Num1 table"/>
    <w:basedOn w:val="Tabletext"/>
    <w:qFormat/>
    <w:rsid w:val="00B15FB3"/>
    <w:pPr>
      <w:keepNext/>
      <w:numPr>
        <w:numId w:val="24"/>
      </w:numPr>
      <w:tabs>
        <w:tab w:val="left" w:pos="416"/>
        <w:tab w:val="left" w:pos="582"/>
      </w:tabs>
      <w:spacing w:before="14"/>
      <w:contextualSpacing/>
      <w:jc w:val="both"/>
      <w:outlineLvl w:val="1"/>
    </w:pPr>
    <w:rPr>
      <w:rFonts w:asciiTheme="minorHAnsi" w:eastAsia="Calibri" w:hAnsiTheme="minorHAnsi" w:cstheme="minorHAnsi"/>
      <w:bCs/>
      <w:snapToGrid/>
      <w:szCs w:val="20"/>
      <w:shd w:val="clear" w:color="auto" w:fill="FAF9F8"/>
    </w:rPr>
  </w:style>
  <w:style w:type="paragraph" w:customStyle="1" w:styleId="Btable">
    <w:name w:val="B table"/>
    <w:basedOn w:val="Tabletext"/>
    <w:qFormat/>
    <w:rsid w:val="00B15FB3"/>
    <w:pPr>
      <w:keepNext/>
      <w:spacing w:before="14"/>
      <w:jc w:val="both"/>
    </w:pPr>
    <w:rPr>
      <w:rFonts w:ascii="Calibri" w:eastAsiaTheme="minorHAnsi" w:hAnsi="Calibri" w:cstheme="minorBidi"/>
      <w:b/>
      <w:snapToGrid/>
      <w:szCs w:val="20"/>
      <w:lang w:eastAsia="en-US"/>
    </w:rPr>
  </w:style>
  <w:style w:type="paragraph" w:customStyle="1" w:styleId="PRISMAchart">
    <w:name w:val="PRISMA chart"/>
    <w:basedOn w:val="NormalWeb"/>
    <w:qFormat/>
    <w:rsid w:val="00B15FB3"/>
  </w:style>
  <w:style w:type="table" w:customStyle="1" w:styleId="Tabellengitternetz9pt1">
    <w:name w:val="Tabellengitternetz 9pt1"/>
    <w:basedOn w:val="TableNormal"/>
    <w:next w:val="TableGrid"/>
    <w:uiPriority w:val="59"/>
    <w:rsid w:val="00B15FB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pt2">
    <w:name w:val="Tabellengitternetz 9pt2"/>
    <w:basedOn w:val="TableNormal"/>
    <w:next w:val="TableGrid"/>
    <w:uiPriority w:val="59"/>
    <w:rsid w:val="00B15FB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0">
    <w:name w:val="SYNEVi Normal"/>
    <w:basedOn w:val="Normal"/>
    <w:qFormat/>
    <w:rsid w:val="00B15FB3"/>
    <w:pPr>
      <w:spacing w:line="360" w:lineRule="auto"/>
    </w:pPr>
    <w:rPr>
      <w:rFonts w:asciiTheme="minorHAnsi" w:eastAsiaTheme="minorHAnsi" w:hAnsiTheme="minorHAnsi" w:cstheme="minorHAnsi"/>
      <w:sz w:val="22"/>
      <w:szCs w:val="22"/>
      <w:lang w:eastAsia="en-US"/>
    </w:rPr>
  </w:style>
  <w:style w:type="table" w:customStyle="1" w:styleId="Tabellengitternetz9pt3">
    <w:name w:val="Tabellengitternetz 9pt3"/>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2">
    <w:name w:val="Summary box62"/>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1">
    <w:name w:val="Summary box61"/>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15FB3"/>
    <w:pPr>
      <w:spacing w:before="14" w:after="144" w:line="30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text"/>
    <w:qFormat/>
    <w:rsid w:val="00B15FB3"/>
    <w:pPr>
      <w:keepNext/>
      <w:numPr>
        <w:numId w:val="26"/>
      </w:numPr>
      <w:spacing w:before="14"/>
      <w:ind w:left="447"/>
      <w:contextualSpacing/>
      <w:jc w:val="both"/>
    </w:pPr>
    <w:rPr>
      <w:rFonts w:asciiTheme="minorHAnsi" w:hAnsiTheme="minorHAnsi"/>
      <w:snapToGrid/>
      <w:szCs w:val="20"/>
      <w:lang w:eastAsia="en-US"/>
    </w:rPr>
  </w:style>
  <w:style w:type="table" w:customStyle="1" w:styleId="Tabellengitternetz9pt4">
    <w:name w:val="Tabellengitternetz 9pt4"/>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2Normal">
    <w:name w:val="Bull2 Normal"/>
    <w:basedOn w:val="BullNormal"/>
    <w:qFormat/>
    <w:rsid w:val="00B15FB3"/>
    <w:pPr>
      <w:tabs>
        <w:tab w:val="num" w:pos="360"/>
      </w:tabs>
      <w:ind w:left="1080"/>
    </w:pPr>
  </w:style>
  <w:style w:type="paragraph" w:customStyle="1" w:styleId="Bull3Normal">
    <w:name w:val="Bull3 Normal"/>
    <w:basedOn w:val="Bull2Normal"/>
    <w:qFormat/>
    <w:rsid w:val="00B15FB3"/>
    <w:pPr>
      <w:ind w:left="1800"/>
    </w:pPr>
  </w:style>
  <w:style w:type="character" w:styleId="Emphasis">
    <w:name w:val="Emphasis"/>
    <w:basedOn w:val="DefaultParagraphFont"/>
    <w:uiPriority w:val="20"/>
    <w:qFormat/>
    <w:rsid w:val="00B15FB3"/>
    <w:rPr>
      <w:i/>
      <w:iCs/>
    </w:rPr>
  </w:style>
  <w:style w:type="paragraph" w:customStyle="1" w:styleId="Summarytext">
    <w:name w:val="Summary text"/>
    <w:basedOn w:val="Tabletext"/>
    <w:qFormat/>
    <w:rsid w:val="00B15FB3"/>
    <w:pPr>
      <w:tabs>
        <w:tab w:val="left" w:pos="416"/>
        <w:tab w:val="left" w:pos="582"/>
      </w:tabs>
      <w:contextualSpacing/>
      <w:jc w:val="both"/>
      <w:outlineLvl w:val="1"/>
    </w:pPr>
    <w:rPr>
      <w:rFonts w:asciiTheme="minorHAnsi" w:eastAsia="Calibri" w:hAnsiTheme="minorHAnsi" w:cstheme="minorHAnsi"/>
      <w:bCs/>
      <w:snapToGrid/>
      <w:szCs w:val="20"/>
      <w:shd w:val="clear" w:color="auto" w:fill="FAF9F8"/>
    </w:rPr>
  </w:style>
  <w:style w:type="paragraph" w:customStyle="1" w:styleId="Btabletext">
    <w:name w:val="B table text"/>
    <w:basedOn w:val="Normal"/>
    <w:qFormat/>
    <w:rsid w:val="00B15FB3"/>
    <w:pPr>
      <w:keepNext/>
      <w:jc w:val="left"/>
    </w:pPr>
    <w:rPr>
      <w:rFonts w:asciiTheme="minorHAnsi" w:eastAsiaTheme="minorHAnsi" w:hAnsiTheme="minorHAnsi" w:cstheme="minorHAnsi"/>
      <w:b/>
      <w:sz w:val="20"/>
      <w:szCs w:val="20"/>
      <w:lang w:eastAsia="en-US"/>
    </w:rPr>
  </w:style>
  <w:style w:type="table" w:customStyle="1" w:styleId="Summarybox21">
    <w:name w:val="Summary box21"/>
    <w:basedOn w:val="TableNormal"/>
    <w:next w:val="TableGrid"/>
    <w:uiPriority w:val="59"/>
    <w:rsid w:val="00B15F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s">
    <w:name w:val="Sources"/>
    <w:basedOn w:val="Normal"/>
    <w:qFormat/>
    <w:rsid w:val="00B15FB3"/>
    <w:rPr>
      <w:rFonts w:eastAsiaTheme="minorHAnsi" w:cstheme="minorBidi"/>
      <w:sz w:val="18"/>
      <w:szCs w:val="22"/>
      <w:lang w:eastAsia="en-US"/>
    </w:rPr>
  </w:style>
  <w:style w:type="table" w:customStyle="1" w:styleId="Summarybox211">
    <w:name w:val="Summary box211"/>
    <w:basedOn w:val="TableNormal"/>
    <w:uiPriority w:val="59"/>
    <w:rsid w:val="00B15FB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left">
    <w:name w:val="Table Heading left"/>
    <w:basedOn w:val="Normal"/>
    <w:next w:val="Normal"/>
    <w:qFormat/>
    <w:rsid w:val="00B15FB3"/>
    <w:pPr>
      <w:spacing w:before="40" w:after="40"/>
      <w:jc w:val="left"/>
    </w:pPr>
    <w:rPr>
      <w:rFonts w:asciiTheme="minorHAnsi" w:eastAsiaTheme="minorHAnsi" w:hAnsiTheme="minorHAnsi" w:cs="Tahoma"/>
      <w:b/>
      <w:sz w:val="18"/>
      <w:szCs w:val="18"/>
      <w:lang w:val="de-DE" w:eastAsia="en-US"/>
    </w:rPr>
  </w:style>
  <w:style w:type="paragraph" w:customStyle="1" w:styleId="Tabletextleft">
    <w:name w:val="Table text left"/>
    <w:basedOn w:val="Normal"/>
    <w:link w:val="TabletextleftChar"/>
    <w:qFormat/>
    <w:rsid w:val="00B15FB3"/>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B15FB3"/>
    <w:rPr>
      <w:rFonts w:asciiTheme="minorHAnsi" w:hAnsiTheme="minorHAnsi"/>
      <w:sz w:val="18"/>
    </w:rPr>
  </w:style>
  <w:style w:type="paragraph" w:customStyle="1" w:styleId="TableFigNotes18">
    <w:name w:val="TableFigNotes+18"/>
    <w:basedOn w:val="BodyText"/>
    <w:next w:val="BodyText"/>
    <w:link w:val="TableFigNotes18Char"/>
    <w:uiPriority w:val="4"/>
    <w:qFormat/>
    <w:rsid w:val="00B15FB3"/>
    <w:pPr>
      <w:keepLines/>
      <w:spacing w:after="360"/>
      <w:jc w:val="both"/>
    </w:pPr>
    <w:rPr>
      <w:rFonts w:asciiTheme="minorHAnsi" w:eastAsiaTheme="minorHAnsi" w:hAnsiTheme="minorHAnsi" w:cs="Tahoma"/>
      <w:color w:val="000000"/>
      <w:sz w:val="16"/>
      <w:szCs w:val="18"/>
      <w:lang w:val="en-GB"/>
    </w:rPr>
  </w:style>
  <w:style w:type="character" w:customStyle="1" w:styleId="TableFigNotes18Char">
    <w:name w:val="TableFigNotes+18 Char"/>
    <w:basedOn w:val="DefaultParagraphFont"/>
    <w:link w:val="TableFigNotes18"/>
    <w:uiPriority w:val="4"/>
    <w:rsid w:val="00B15FB3"/>
    <w:rPr>
      <w:rFonts w:asciiTheme="minorHAnsi" w:eastAsiaTheme="minorHAnsi" w:hAnsiTheme="minorHAnsi" w:cs="Tahoma"/>
      <w:color w:val="000000"/>
      <w:sz w:val="16"/>
      <w:szCs w:val="18"/>
      <w:lang w:val="en-GB"/>
    </w:rPr>
  </w:style>
  <w:style w:type="table" w:customStyle="1" w:styleId="HTATableshaded">
    <w:name w:val="HTA Table shaded"/>
    <w:basedOn w:val="TableNormal"/>
    <w:rsid w:val="00B15FB3"/>
    <w:pPr>
      <w:spacing w:before="20" w:after="20"/>
    </w:pPr>
    <w:rPr>
      <w:rFonts w:ascii="Calibri" w:hAnsi="Calibri"/>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tcPr>
    <w:tblStylePr w:type="firstRow">
      <w:rPr>
        <w:rFonts w:ascii="Calibri" w:hAnsi="Calibri"/>
        <w:b w:val="0"/>
        <w:sz w:val="22"/>
      </w:rPr>
      <w:tblPr/>
      <w:tcPr>
        <w:shd w:val="clear" w:color="auto" w:fill="F2F2F2" w:themeFill="background1" w:themeFillShade="F2"/>
      </w:tcPr>
    </w:tblStylePr>
  </w:style>
  <w:style w:type="paragraph" w:customStyle="1" w:styleId="TableH1">
    <w:name w:val="Table H1"/>
    <w:basedOn w:val="BodyText"/>
    <w:uiPriority w:val="4"/>
    <w:qFormat/>
    <w:rsid w:val="00B15FB3"/>
    <w:pPr>
      <w:keepNext/>
      <w:tabs>
        <w:tab w:val="left" w:pos="416"/>
        <w:tab w:val="left" w:pos="582"/>
        <w:tab w:val="left" w:pos="1134"/>
      </w:tabs>
      <w:spacing w:before="40" w:after="40"/>
      <w:jc w:val="both"/>
    </w:pPr>
    <w:rPr>
      <w:rFonts w:asciiTheme="minorHAnsi" w:eastAsiaTheme="minorHAnsi" w:hAnsiTheme="minorHAnsi" w:cs="Tahoma"/>
      <w:b/>
      <w:spacing w:val="-1"/>
      <w:sz w:val="18"/>
      <w:szCs w:val="18"/>
      <w:lang w:val="en-US" w:eastAsia="en-US"/>
    </w:rPr>
  </w:style>
  <w:style w:type="paragraph" w:customStyle="1" w:styleId="TableFigNotes6">
    <w:name w:val="TableFigNotes+6"/>
    <w:basedOn w:val="Normal"/>
    <w:uiPriority w:val="4"/>
    <w:rsid w:val="00B15FB3"/>
    <w:pPr>
      <w:keepNext/>
      <w:keepLines/>
      <w:spacing w:after="120"/>
      <w:jc w:val="left"/>
    </w:pPr>
    <w:rPr>
      <w:rFonts w:cs="Tahoma"/>
      <w:color w:val="000000"/>
      <w:sz w:val="16"/>
      <w:szCs w:val="18"/>
      <w:lang w:val="en-US"/>
    </w:rPr>
  </w:style>
  <w:style w:type="paragraph" w:customStyle="1" w:styleId="Tabletextcent">
    <w:name w:val="Table text cent"/>
    <w:basedOn w:val="Tabletextleft"/>
    <w:qFormat/>
    <w:rsid w:val="00B15FB3"/>
    <w:pPr>
      <w:ind w:left="113" w:right="113"/>
      <w:jc w:val="center"/>
    </w:pPr>
    <w:rPr>
      <w:rFonts w:ascii="Calibri" w:hAnsi="Calibri"/>
      <w:lang w:val="de-DE"/>
    </w:rPr>
  </w:style>
  <w:style w:type="paragraph" w:customStyle="1" w:styleId="Tableheadingcent">
    <w:name w:val="Table heading cent"/>
    <w:basedOn w:val="TableHeadingleft"/>
    <w:qFormat/>
    <w:rsid w:val="00B15FB3"/>
    <w:pPr>
      <w:jc w:val="center"/>
    </w:pPr>
  </w:style>
  <w:style w:type="table" w:customStyle="1" w:styleId="ELILILLYTABLE">
    <w:name w:val="ELI_LILLY TABLE"/>
    <w:basedOn w:val="TableNormal"/>
    <w:uiPriority w:val="99"/>
    <w:rsid w:val="00B15FB3"/>
    <w:pPr>
      <w:spacing w:before="20" w:after="20"/>
      <w:ind w:left="113" w:right="113"/>
    </w:pPr>
    <w:rPr>
      <w:rFonts w:ascii="Calibri" w:eastAsiaTheme="minorHAnsi" w:hAnsi="Calibr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hemeFill="background1" w:themeFillShade="F2"/>
      </w:tcPr>
    </w:tblStylePr>
  </w:style>
  <w:style w:type="table" w:styleId="GridTable1Light">
    <w:name w:val="Grid Table 1 Light"/>
    <w:basedOn w:val="TableNormal"/>
    <w:uiPriority w:val="46"/>
    <w:rsid w:val="00B15FB3"/>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PBAC">
    <w:name w:val="PBAC"/>
    <w:uiPriority w:val="99"/>
    <w:rsid w:val="00B15FB3"/>
    <w:pPr>
      <w:numPr>
        <w:numId w:val="27"/>
      </w:numPr>
    </w:pPr>
  </w:style>
  <w:style w:type="paragraph" w:customStyle="1" w:styleId="TableFigNotes0">
    <w:name w:val="TableFigNotes+0"/>
    <w:basedOn w:val="Normal"/>
    <w:uiPriority w:val="4"/>
    <w:rsid w:val="00B15FB3"/>
    <w:pPr>
      <w:keepNext/>
      <w:keepLines/>
      <w:jc w:val="left"/>
    </w:pPr>
    <w:rPr>
      <w:rFonts w:cs="Tahoma"/>
      <w:color w:val="000000"/>
      <w:sz w:val="16"/>
      <w:szCs w:val="18"/>
      <w:lang w:val="en-US"/>
    </w:rPr>
  </w:style>
  <w:style w:type="paragraph" w:customStyle="1" w:styleId="Dash0">
    <w:name w:val="Dash+0"/>
    <w:basedOn w:val="Normal"/>
    <w:uiPriority w:val="2"/>
    <w:rsid w:val="00B15FB3"/>
    <w:pPr>
      <w:numPr>
        <w:numId w:val="28"/>
      </w:numPr>
      <w:tabs>
        <w:tab w:val="left" w:pos="1134"/>
      </w:tabs>
      <w:spacing w:line="360" w:lineRule="auto"/>
    </w:pPr>
    <w:rPr>
      <w:rFonts w:asciiTheme="minorHAnsi" w:eastAsiaTheme="minorHAnsi" w:hAnsiTheme="minorHAnsi" w:cs="Tahoma"/>
      <w:color w:val="000000"/>
      <w:sz w:val="22"/>
      <w:szCs w:val="22"/>
    </w:rPr>
  </w:style>
  <w:style w:type="character" w:styleId="BookTitle">
    <w:name w:val="Book Title"/>
    <w:basedOn w:val="DefaultParagraphFont"/>
    <w:uiPriority w:val="33"/>
    <w:qFormat/>
    <w:rsid w:val="00B15FB3"/>
    <w:rPr>
      <w:b/>
      <w:bCs/>
      <w:i/>
      <w:iCs/>
      <w:spacing w:val="5"/>
    </w:rPr>
  </w:style>
  <w:style w:type="character" w:customStyle="1" w:styleId="normaltextrun">
    <w:name w:val="normaltextrun"/>
    <w:basedOn w:val="DefaultParagraphFont"/>
    <w:rsid w:val="00B15FB3"/>
  </w:style>
  <w:style w:type="character" w:customStyle="1" w:styleId="UnresolvedMention11">
    <w:name w:val="Unresolved Mention11"/>
    <w:basedOn w:val="DefaultParagraphFont"/>
    <w:uiPriority w:val="99"/>
    <w:semiHidden/>
    <w:unhideWhenUsed/>
    <w:rsid w:val="008E6925"/>
    <w:rPr>
      <w:color w:val="605E5C"/>
      <w:shd w:val="clear" w:color="auto" w:fill="E1DFDD"/>
    </w:rPr>
  </w:style>
  <w:style w:type="table" w:customStyle="1" w:styleId="TableGrid7">
    <w:name w:val="Table Grid7"/>
    <w:basedOn w:val="TableNormal"/>
    <w:next w:val="TableGrid"/>
    <w:uiPriority w:val="39"/>
    <w:rsid w:val="005F70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0533EA"/>
    <w:pPr>
      <w:keepNext/>
      <w:numPr>
        <w:numId w:val="32"/>
      </w:numPr>
      <w:pBdr>
        <w:bottom w:val="single" w:sz="4" w:space="6" w:color="auto"/>
      </w:pBdr>
      <w:spacing w:before="400" w:line="240" w:lineRule="atLeast"/>
      <w:outlineLvl w:val="0"/>
    </w:pPr>
    <w:rPr>
      <w:rFonts w:ascii="Times New Roman" w:eastAsia="SimSun" w:hAnsi="Times New Roman"/>
      <w:b/>
      <w:caps/>
    </w:rPr>
  </w:style>
  <w:style w:type="paragraph" w:customStyle="1" w:styleId="Levela">
    <w:name w:val="Level (a)"/>
    <w:basedOn w:val="Normal"/>
    <w:next w:val="Normal"/>
    <w:rsid w:val="000533EA"/>
    <w:pPr>
      <w:numPr>
        <w:ilvl w:val="2"/>
        <w:numId w:val="32"/>
      </w:numPr>
      <w:spacing w:before="200" w:line="240" w:lineRule="atLeast"/>
      <w:outlineLvl w:val="2"/>
    </w:pPr>
    <w:rPr>
      <w:rFonts w:ascii="Times New Roman" w:eastAsia="SimSun" w:hAnsi="Times New Roman"/>
    </w:rPr>
  </w:style>
  <w:style w:type="paragraph" w:customStyle="1" w:styleId="Leveli">
    <w:name w:val="Level (i)"/>
    <w:basedOn w:val="Normal"/>
    <w:next w:val="Normal"/>
    <w:rsid w:val="000533EA"/>
    <w:pPr>
      <w:numPr>
        <w:ilvl w:val="3"/>
        <w:numId w:val="32"/>
      </w:numPr>
      <w:spacing w:before="200" w:line="240" w:lineRule="atLeast"/>
      <w:outlineLvl w:val="3"/>
    </w:pPr>
    <w:rPr>
      <w:rFonts w:ascii="Times New Roman" w:eastAsia="SimSun" w:hAnsi="Times New Roman"/>
    </w:rPr>
  </w:style>
  <w:style w:type="paragraph" w:customStyle="1" w:styleId="LevelA0">
    <w:name w:val="Level(A)"/>
    <w:basedOn w:val="Normal"/>
    <w:next w:val="Normal"/>
    <w:rsid w:val="000533EA"/>
    <w:pPr>
      <w:numPr>
        <w:ilvl w:val="4"/>
        <w:numId w:val="32"/>
      </w:numPr>
      <w:spacing w:before="200" w:line="240" w:lineRule="atLeast"/>
      <w:outlineLvl w:val="4"/>
    </w:pPr>
    <w:rPr>
      <w:rFonts w:ascii="Arial" w:eastAsia="SimSun" w:hAnsi="Arial"/>
    </w:rPr>
  </w:style>
  <w:style w:type="paragraph" w:customStyle="1" w:styleId="Levelalower">
    <w:name w:val="Level (a) lower"/>
    <w:basedOn w:val="Normal"/>
    <w:next w:val="Normal"/>
    <w:uiPriority w:val="7"/>
    <w:rsid w:val="000533EA"/>
    <w:pPr>
      <w:numPr>
        <w:ilvl w:val="6"/>
        <w:numId w:val="32"/>
      </w:numPr>
      <w:tabs>
        <w:tab w:val="clear" w:pos="3901"/>
      </w:tabs>
      <w:spacing w:after="220" w:line="264" w:lineRule="auto"/>
      <w:ind w:left="5040" w:hanging="360"/>
    </w:pPr>
    <w:rPr>
      <w:rFonts w:ascii="Verdana" w:eastAsia="Calibri" w:hAnsi="Verdana"/>
      <w:sz w:val="18"/>
      <w:szCs w:val="18"/>
    </w:rPr>
  </w:style>
  <w:style w:type="table" w:customStyle="1" w:styleId="newstyle2">
    <w:name w:val="new style2"/>
    <w:basedOn w:val="TableNormal"/>
    <w:next w:val="TableGrid"/>
    <w:uiPriority w:val="39"/>
    <w:rsid w:val="000533EA"/>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8860">
      <w:bodyDiv w:val="1"/>
      <w:marLeft w:val="0"/>
      <w:marRight w:val="0"/>
      <w:marTop w:val="0"/>
      <w:marBottom w:val="0"/>
      <w:divBdr>
        <w:top w:val="none" w:sz="0" w:space="0" w:color="auto"/>
        <w:left w:val="none" w:sz="0" w:space="0" w:color="auto"/>
        <w:bottom w:val="none" w:sz="0" w:space="0" w:color="auto"/>
        <w:right w:val="none" w:sz="0" w:space="0" w:color="auto"/>
      </w:divBdr>
    </w:div>
    <w:div w:id="9066829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1851869">
      <w:bodyDiv w:val="1"/>
      <w:marLeft w:val="0"/>
      <w:marRight w:val="0"/>
      <w:marTop w:val="0"/>
      <w:marBottom w:val="0"/>
      <w:divBdr>
        <w:top w:val="none" w:sz="0" w:space="0" w:color="auto"/>
        <w:left w:val="none" w:sz="0" w:space="0" w:color="auto"/>
        <w:bottom w:val="none" w:sz="0" w:space="0" w:color="auto"/>
        <w:right w:val="none" w:sz="0" w:space="0" w:color="auto"/>
      </w:divBdr>
      <w:divsChild>
        <w:div w:id="1002974598">
          <w:marLeft w:val="360"/>
          <w:marRight w:val="0"/>
          <w:marTop w:val="200"/>
          <w:marBottom w:val="0"/>
          <w:divBdr>
            <w:top w:val="none" w:sz="0" w:space="0" w:color="auto"/>
            <w:left w:val="none" w:sz="0" w:space="0" w:color="auto"/>
            <w:bottom w:val="none" w:sz="0" w:space="0" w:color="auto"/>
            <w:right w:val="none" w:sz="0" w:space="0" w:color="auto"/>
          </w:divBdr>
        </w:div>
        <w:div w:id="1875120069">
          <w:marLeft w:val="1080"/>
          <w:marRight w:val="0"/>
          <w:marTop w:val="100"/>
          <w:marBottom w:val="0"/>
          <w:divBdr>
            <w:top w:val="none" w:sz="0" w:space="0" w:color="auto"/>
            <w:left w:val="none" w:sz="0" w:space="0" w:color="auto"/>
            <w:bottom w:val="none" w:sz="0" w:space="0" w:color="auto"/>
            <w:right w:val="none" w:sz="0" w:space="0" w:color="auto"/>
          </w:divBdr>
        </w:div>
      </w:divsChild>
    </w:div>
    <w:div w:id="277108793">
      <w:bodyDiv w:val="1"/>
      <w:marLeft w:val="0"/>
      <w:marRight w:val="0"/>
      <w:marTop w:val="0"/>
      <w:marBottom w:val="0"/>
      <w:divBdr>
        <w:top w:val="none" w:sz="0" w:space="0" w:color="auto"/>
        <w:left w:val="none" w:sz="0" w:space="0" w:color="auto"/>
        <w:bottom w:val="none" w:sz="0" w:space="0" w:color="auto"/>
        <w:right w:val="none" w:sz="0" w:space="0" w:color="auto"/>
      </w:divBdr>
    </w:div>
    <w:div w:id="289750320">
      <w:bodyDiv w:val="1"/>
      <w:marLeft w:val="0"/>
      <w:marRight w:val="0"/>
      <w:marTop w:val="0"/>
      <w:marBottom w:val="0"/>
      <w:divBdr>
        <w:top w:val="none" w:sz="0" w:space="0" w:color="auto"/>
        <w:left w:val="none" w:sz="0" w:space="0" w:color="auto"/>
        <w:bottom w:val="none" w:sz="0" w:space="0" w:color="auto"/>
        <w:right w:val="none" w:sz="0" w:space="0" w:color="auto"/>
      </w:divBdr>
      <w:divsChild>
        <w:div w:id="1878544814">
          <w:marLeft w:val="360"/>
          <w:marRight w:val="0"/>
          <w:marTop w:val="200"/>
          <w:marBottom w:val="0"/>
          <w:divBdr>
            <w:top w:val="none" w:sz="0" w:space="0" w:color="auto"/>
            <w:left w:val="none" w:sz="0" w:space="0" w:color="auto"/>
            <w:bottom w:val="none" w:sz="0" w:space="0" w:color="auto"/>
            <w:right w:val="none" w:sz="0" w:space="0" w:color="auto"/>
          </w:divBdr>
        </w:div>
        <w:div w:id="344064705">
          <w:marLeft w:val="360"/>
          <w:marRight w:val="0"/>
          <w:marTop w:val="200"/>
          <w:marBottom w:val="0"/>
          <w:divBdr>
            <w:top w:val="none" w:sz="0" w:space="0" w:color="auto"/>
            <w:left w:val="none" w:sz="0" w:space="0" w:color="auto"/>
            <w:bottom w:val="none" w:sz="0" w:space="0" w:color="auto"/>
            <w:right w:val="none" w:sz="0" w:space="0" w:color="auto"/>
          </w:divBdr>
        </w:div>
        <w:div w:id="1975482297">
          <w:marLeft w:val="360"/>
          <w:marRight w:val="0"/>
          <w:marTop w:val="200"/>
          <w:marBottom w:val="0"/>
          <w:divBdr>
            <w:top w:val="none" w:sz="0" w:space="0" w:color="auto"/>
            <w:left w:val="none" w:sz="0" w:space="0" w:color="auto"/>
            <w:bottom w:val="none" w:sz="0" w:space="0" w:color="auto"/>
            <w:right w:val="none" w:sz="0" w:space="0" w:color="auto"/>
          </w:divBdr>
        </w:div>
        <w:div w:id="499542445">
          <w:marLeft w:val="1080"/>
          <w:marRight w:val="0"/>
          <w:marTop w:val="100"/>
          <w:marBottom w:val="0"/>
          <w:divBdr>
            <w:top w:val="none" w:sz="0" w:space="0" w:color="auto"/>
            <w:left w:val="none" w:sz="0" w:space="0" w:color="auto"/>
            <w:bottom w:val="none" w:sz="0" w:space="0" w:color="auto"/>
            <w:right w:val="none" w:sz="0" w:space="0" w:color="auto"/>
          </w:divBdr>
        </w:div>
        <w:div w:id="1188252272">
          <w:marLeft w:val="1080"/>
          <w:marRight w:val="0"/>
          <w:marTop w:val="100"/>
          <w:marBottom w:val="0"/>
          <w:divBdr>
            <w:top w:val="none" w:sz="0" w:space="0" w:color="auto"/>
            <w:left w:val="none" w:sz="0" w:space="0" w:color="auto"/>
            <w:bottom w:val="none" w:sz="0" w:space="0" w:color="auto"/>
            <w:right w:val="none" w:sz="0" w:space="0" w:color="auto"/>
          </w:divBdr>
        </w:div>
        <w:div w:id="1775636351">
          <w:marLeft w:val="1080"/>
          <w:marRight w:val="0"/>
          <w:marTop w:val="100"/>
          <w:marBottom w:val="0"/>
          <w:divBdr>
            <w:top w:val="none" w:sz="0" w:space="0" w:color="auto"/>
            <w:left w:val="none" w:sz="0" w:space="0" w:color="auto"/>
            <w:bottom w:val="none" w:sz="0" w:space="0" w:color="auto"/>
            <w:right w:val="none" w:sz="0" w:space="0" w:color="auto"/>
          </w:divBdr>
        </w:div>
        <w:div w:id="1200506151">
          <w:marLeft w:val="1080"/>
          <w:marRight w:val="0"/>
          <w:marTop w:val="10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45926843">
      <w:bodyDiv w:val="1"/>
      <w:marLeft w:val="0"/>
      <w:marRight w:val="0"/>
      <w:marTop w:val="0"/>
      <w:marBottom w:val="0"/>
      <w:divBdr>
        <w:top w:val="none" w:sz="0" w:space="0" w:color="auto"/>
        <w:left w:val="none" w:sz="0" w:space="0" w:color="auto"/>
        <w:bottom w:val="none" w:sz="0" w:space="0" w:color="auto"/>
        <w:right w:val="none" w:sz="0" w:space="0" w:color="auto"/>
      </w:divBdr>
    </w:div>
    <w:div w:id="480929900">
      <w:bodyDiv w:val="1"/>
      <w:marLeft w:val="0"/>
      <w:marRight w:val="0"/>
      <w:marTop w:val="0"/>
      <w:marBottom w:val="0"/>
      <w:divBdr>
        <w:top w:val="none" w:sz="0" w:space="0" w:color="auto"/>
        <w:left w:val="none" w:sz="0" w:space="0" w:color="auto"/>
        <w:bottom w:val="none" w:sz="0" w:space="0" w:color="auto"/>
        <w:right w:val="none" w:sz="0" w:space="0" w:color="auto"/>
      </w:divBdr>
      <w:divsChild>
        <w:div w:id="637489448">
          <w:marLeft w:val="1080"/>
          <w:marRight w:val="0"/>
          <w:marTop w:val="100"/>
          <w:marBottom w:val="0"/>
          <w:divBdr>
            <w:top w:val="none" w:sz="0" w:space="0" w:color="auto"/>
            <w:left w:val="none" w:sz="0" w:space="0" w:color="auto"/>
            <w:bottom w:val="none" w:sz="0" w:space="0" w:color="auto"/>
            <w:right w:val="none" w:sz="0" w:space="0" w:color="auto"/>
          </w:divBdr>
        </w:div>
      </w:divsChild>
    </w:div>
    <w:div w:id="520515498">
      <w:bodyDiv w:val="1"/>
      <w:marLeft w:val="0"/>
      <w:marRight w:val="0"/>
      <w:marTop w:val="0"/>
      <w:marBottom w:val="0"/>
      <w:divBdr>
        <w:top w:val="none" w:sz="0" w:space="0" w:color="auto"/>
        <w:left w:val="none" w:sz="0" w:space="0" w:color="auto"/>
        <w:bottom w:val="none" w:sz="0" w:space="0" w:color="auto"/>
        <w:right w:val="none" w:sz="0" w:space="0" w:color="auto"/>
      </w:divBdr>
    </w:div>
    <w:div w:id="713391264">
      <w:bodyDiv w:val="1"/>
      <w:marLeft w:val="0"/>
      <w:marRight w:val="0"/>
      <w:marTop w:val="0"/>
      <w:marBottom w:val="0"/>
      <w:divBdr>
        <w:top w:val="none" w:sz="0" w:space="0" w:color="auto"/>
        <w:left w:val="none" w:sz="0" w:space="0" w:color="auto"/>
        <w:bottom w:val="none" w:sz="0" w:space="0" w:color="auto"/>
        <w:right w:val="none" w:sz="0" w:space="0" w:color="auto"/>
      </w:divBdr>
    </w:div>
    <w:div w:id="814368810">
      <w:bodyDiv w:val="1"/>
      <w:marLeft w:val="0"/>
      <w:marRight w:val="0"/>
      <w:marTop w:val="0"/>
      <w:marBottom w:val="0"/>
      <w:divBdr>
        <w:top w:val="none" w:sz="0" w:space="0" w:color="auto"/>
        <w:left w:val="none" w:sz="0" w:space="0" w:color="auto"/>
        <w:bottom w:val="none" w:sz="0" w:space="0" w:color="auto"/>
        <w:right w:val="none" w:sz="0" w:space="0" w:color="auto"/>
      </w:divBdr>
      <w:divsChild>
        <w:div w:id="2127389968">
          <w:marLeft w:val="360"/>
          <w:marRight w:val="0"/>
          <w:marTop w:val="200"/>
          <w:marBottom w:val="0"/>
          <w:divBdr>
            <w:top w:val="none" w:sz="0" w:space="0" w:color="auto"/>
            <w:left w:val="none" w:sz="0" w:space="0" w:color="auto"/>
            <w:bottom w:val="none" w:sz="0" w:space="0" w:color="auto"/>
            <w:right w:val="none" w:sz="0" w:space="0" w:color="auto"/>
          </w:divBdr>
        </w:div>
        <w:div w:id="967586510">
          <w:marLeft w:val="1080"/>
          <w:marRight w:val="0"/>
          <w:marTop w:val="200"/>
          <w:marBottom w:val="0"/>
          <w:divBdr>
            <w:top w:val="none" w:sz="0" w:space="0" w:color="auto"/>
            <w:left w:val="none" w:sz="0" w:space="0" w:color="auto"/>
            <w:bottom w:val="none" w:sz="0" w:space="0" w:color="auto"/>
            <w:right w:val="none" w:sz="0" w:space="0" w:color="auto"/>
          </w:divBdr>
        </w:div>
      </w:divsChild>
    </w:div>
    <w:div w:id="836460189">
      <w:bodyDiv w:val="1"/>
      <w:marLeft w:val="0"/>
      <w:marRight w:val="0"/>
      <w:marTop w:val="0"/>
      <w:marBottom w:val="0"/>
      <w:divBdr>
        <w:top w:val="none" w:sz="0" w:space="0" w:color="auto"/>
        <w:left w:val="none" w:sz="0" w:space="0" w:color="auto"/>
        <w:bottom w:val="none" w:sz="0" w:space="0" w:color="auto"/>
        <w:right w:val="none" w:sz="0" w:space="0" w:color="auto"/>
      </w:divBdr>
    </w:div>
    <w:div w:id="930745654">
      <w:bodyDiv w:val="1"/>
      <w:marLeft w:val="0"/>
      <w:marRight w:val="0"/>
      <w:marTop w:val="0"/>
      <w:marBottom w:val="0"/>
      <w:divBdr>
        <w:top w:val="none" w:sz="0" w:space="0" w:color="auto"/>
        <w:left w:val="none" w:sz="0" w:space="0" w:color="auto"/>
        <w:bottom w:val="none" w:sz="0" w:space="0" w:color="auto"/>
        <w:right w:val="none" w:sz="0" w:space="0" w:color="auto"/>
      </w:divBdr>
      <w:divsChild>
        <w:div w:id="601374421">
          <w:marLeft w:val="360"/>
          <w:marRight w:val="0"/>
          <w:marTop w:val="200"/>
          <w:marBottom w:val="0"/>
          <w:divBdr>
            <w:top w:val="none" w:sz="0" w:space="0" w:color="auto"/>
            <w:left w:val="none" w:sz="0" w:space="0" w:color="auto"/>
            <w:bottom w:val="none" w:sz="0" w:space="0" w:color="auto"/>
            <w:right w:val="none" w:sz="0" w:space="0" w:color="auto"/>
          </w:divBdr>
        </w:div>
        <w:div w:id="1319840976">
          <w:marLeft w:val="360"/>
          <w:marRight w:val="0"/>
          <w:marTop w:val="200"/>
          <w:marBottom w:val="0"/>
          <w:divBdr>
            <w:top w:val="none" w:sz="0" w:space="0" w:color="auto"/>
            <w:left w:val="none" w:sz="0" w:space="0" w:color="auto"/>
            <w:bottom w:val="none" w:sz="0" w:space="0" w:color="auto"/>
            <w:right w:val="none" w:sz="0" w:space="0" w:color="auto"/>
          </w:divBdr>
        </w:div>
      </w:divsChild>
    </w:div>
    <w:div w:id="95371171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53902">
      <w:bodyDiv w:val="1"/>
      <w:marLeft w:val="0"/>
      <w:marRight w:val="0"/>
      <w:marTop w:val="0"/>
      <w:marBottom w:val="0"/>
      <w:divBdr>
        <w:top w:val="none" w:sz="0" w:space="0" w:color="auto"/>
        <w:left w:val="none" w:sz="0" w:space="0" w:color="auto"/>
        <w:bottom w:val="none" w:sz="0" w:space="0" w:color="auto"/>
        <w:right w:val="none" w:sz="0" w:space="0" w:color="auto"/>
      </w:divBdr>
    </w:div>
    <w:div w:id="1263494371">
      <w:bodyDiv w:val="1"/>
      <w:marLeft w:val="0"/>
      <w:marRight w:val="0"/>
      <w:marTop w:val="0"/>
      <w:marBottom w:val="0"/>
      <w:divBdr>
        <w:top w:val="none" w:sz="0" w:space="0" w:color="auto"/>
        <w:left w:val="none" w:sz="0" w:space="0" w:color="auto"/>
        <w:bottom w:val="none" w:sz="0" w:space="0" w:color="auto"/>
        <w:right w:val="none" w:sz="0" w:space="0" w:color="auto"/>
      </w:divBdr>
    </w:div>
    <w:div w:id="1294674146">
      <w:bodyDiv w:val="1"/>
      <w:marLeft w:val="0"/>
      <w:marRight w:val="0"/>
      <w:marTop w:val="0"/>
      <w:marBottom w:val="0"/>
      <w:divBdr>
        <w:top w:val="none" w:sz="0" w:space="0" w:color="auto"/>
        <w:left w:val="none" w:sz="0" w:space="0" w:color="auto"/>
        <w:bottom w:val="none" w:sz="0" w:space="0" w:color="auto"/>
        <w:right w:val="none" w:sz="0" w:space="0" w:color="auto"/>
      </w:divBdr>
    </w:div>
    <w:div w:id="1395280830">
      <w:bodyDiv w:val="1"/>
      <w:marLeft w:val="0"/>
      <w:marRight w:val="0"/>
      <w:marTop w:val="0"/>
      <w:marBottom w:val="0"/>
      <w:divBdr>
        <w:top w:val="none" w:sz="0" w:space="0" w:color="auto"/>
        <w:left w:val="none" w:sz="0" w:space="0" w:color="auto"/>
        <w:bottom w:val="none" w:sz="0" w:space="0" w:color="auto"/>
        <w:right w:val="none" w:sz="0" w:space="0" w:color="auto"/>
      </w:divBdr>
    </w:div>
    <w:div w:id="1441223707">
      <w:bodyDiv w:val="1"/>
      <w:marLeft w:val="0"/>
      <w:marRight w:val="0"/>
      <w:marTop w:val="0"/>
      <w:marBottom w:val="0"/>
      <w:divBdr>
        <w:top w:val="none" w:sz="0" w:space="0" w:color="auto"/>
        <w:left w:val="none" w:sz="0" w:space="0" w:color="auto"/>
        <w:bottom w:val="none" w:sz="0" w:space="0" w:color="auto"/>
        <w:right w:val="none" w:sz="0" w:space="0" w:color="auto"/>
      </w:divBdr>
    </w:div>
    <w:div w:id="1634407387">
      <w:bodyDiv w:val="1"/>
      <w:marLeft w:val="0"/>
      <w:marRight w:val="0"/>
      <w:marTop w:val="0"/>
      <w:marBottom w:val="0"/>
      <w:divBdr>
        <w:top w:val="none" w:sz="0" w:space="0" w:color="auto"/>
        <w:left w:val="none" w:sz="0" w:space="0" w:color="auto"/>
        <w:bottom w:val="none" w:sz="0" w:space="0" w:color="auto"/>
        <w:right w:val="none" w:sz="0" w:space="0" w:color="auto"/>
      </w:divBdr>
    </w:div>
    <w:div w:id="1862206097">
      <w:bodyDiv w:val="1"/>
      <w:marLeft w:val="0"/>
      <w:marRight w:val="0"/>
      <w:marTop w:val="0"/>
      <w:marBottom w:val="0"/>
      <w:divBdr>
        <w:top w:val="none" w:sz="0" w:space="0" w:color="auto"/>
        <w:left w:val="none" w:sz="0" w:space="0" w:color="auto"/>
        <w:bottom w:val="none" w:sz="0" w:space="0" w:color="auto"/>
        <w:right w:val="none" w:sz="0" w:space="0" w:color="auto"/>
      </w:divBdr>
      <w:divsChild>
        <w:div w:id="1100416275">
          <w:marLeft w:val="360"/>
          <w:marRight w:val="0"/>
          <w:marTop w:val="200"/>
          <w:marBottom w:val="0"/>
          <w:divBdr>
            <w:top w:val="none" w:sz="0" w:space="0" w:color="auto"/>
            <w:left w:val="none" w:sz="0" w:space="0" w:color="auto"/>
            <w:bottom w:val="none" w:sz="0" w:space="0" w:color="auto"/>
            <w:right w:val="none" w:sz="0" w:space="0" w:color="auto"/>
          </w:divBdr>
        </w:div>
        <w:div w:id="178979933">
          <w:marLeft w:val="360"/>
          <w:marRight w:val="0"/>
          <w:marTop w:val="200"/>
          <w:marBottom w:val="0"/>
          <w:divBdr>
            <w:top w:val="none" w:sz="0" w:space="0" w:color="auto"/>
            <w:left w:val="none" w:sz="0" w:space="0" w:color="auto"/>
            <w:bottom w:val="none" w:sz="0" w:space="0" w:color="auto"/>
            <w:right w:val="none" w:sz="0" w:space="0" w:color="auto"/>
          </w:divBdr>
        </w:div>
        <w:div w:id="289484706">
          <w:marLeft w:val="360"/>
          <w:marRight w:val="0"/>
          <w:marTop w:val="200"/>
          <w:marBottom w:val="0"/>
          <w:divBdr>
            <w:top w:val="none" w:sz="0" w:space="0" w:color="auto"/>
            <w:left w:val="none" w:sz="0" w:space="0" w:color="auto"/>
            <w:bottom w:val="none" w:sz="0" w:space="0" w:color="auto"/>
            <w:right w:val="none" w:sz="0" w:space="0" w:color="auto"/>
          </w:divBdr>
        </w:div>
      </w:divsChild>
    </w:div>
    <w:div w:id="1865557257">
      <w:bodyDiv w:val="1"/>
      <w:marLeft w:val="0"/>
      <w:marRight w:val="0"/>
      <w:marTop w:val="0"/>
      <w:marBottom w:val="0"/>
      <w:divBdr>
        <w:top w:val="none" w:sz="0" w:space="0" w:color="auto"/>
        <w:left w:val="none" w:sz="0" w:space="0" w:color="auto"/>
        <w:bottom w:val="none" w:sz="0" w:space="0" w:color="auto"/>
        <w:right w:val="none" w:sz="0" w:space="0" w:color="auto"/>
      </w:divBdr>
      <w:divsChild>
        <w:div w:id="170265774">
          <w:marLeft w:val="360"/>
          <w:marRight w:val="0"/>
          <w:marTop w:val="200"/>
          <w:marBottom w:val="0"/>
          <w:divBdr>
            <w:top w:val="none" w:sz="0" w:space="0" w:color="auto"/>
            <w:left w:val="none" w:sz="0" w:space="0" w:color="auto"/>
            <w:bottom w:val="none" w:sz="0" w:space="0" w:color="auto"/>
            <w:right w:val="none" w:sz="0" w:space="0" w:color="auto"/>
          </w:divBdr>
        </w:div>
      </w:divsChild>
    </w:div>
    <w:div w:id="1869643244">
      <w:bodyDiv w:val="1"/>
      <w:marLeft w:val="0"/>
      <w:marRight w:val="0"/>
      <w:marTop w:val="0"/>
      <w:marBottom w:val="0"/>
      <w:divBdr>
        <w:top w:val="none" w:sz="0" w:space="0" w:color="auto"/>
        <w:left w:val="none" w:sz="0" w:space="0" w:color="auto"/>
        <w:bottom w:val="none" w:sz="0" w:space="0" w:color="auto"/>
        <w:right w:val="none" w:sz="0" w:space="0" w:color="auto"/>
      </w:divBdr>
      <w:divsChild>
        <w:div w:id="1285767771">
          <w:marLeft w:val="360"/>
          <w:marRight w:val="0"/>
          <w:marTop w:val="200"/>
          <w:marBottom w:val="0"/>
          <w:divBdr>
            <w:top w:val="none" w:sz="0" w:space="0" w:color="auto"/>
            <w:left w:val="none" w:sz="0" w:space="0" w:color="auto"/>
            <w:bottom w:val="none" w:sz="0" w:space="0" w:color="auto"/>
            <w:right w:val="none" w:sz="0" w:space="0" w:color="auto"/>
          </w:divBdr>
        </w:div>
        <w:div w:id="1772898562">
          <w:marLeft w:val="360"/>
          <w:marRight w:val="0"/>
          <w:marTop w:val="200"/>
          <w:marBottom w:val="0"/>
          <w:divBdr>
            <w:top w:val="none" w:sz="0" w:space="0" w:color="auto"/>
            <w:left w:val="none" w:sz="0" w:space="0" w:color="auto"/>
            <w:bottom w:val="none" w:sz="0" w:space="0" w:color="auto"/>
            <w:right w:val="none" w:sz="0" w:space="0" w:color="auto"/>
          </w:divBdr>
        </w:div>
      </w:divsChild>
    </w:div>
    <w:div w:id="1907642547">
      <w:bodyDiv w:val="1"/>
      <w:marLeft w:val="0"/>
      <w:marRight w:val="0"/>
      <w:marTop w:val="0"/>
      <w:marBottom w:val="0"/>
      <w:divBdr>
        <w:top w:val="none" w:sz="0" w:space="0" w:color="auto"/>
        <w:left w:val="none" w:sz="0" w:space="0" w:color="auto"/>
        <w:bottom w:val="none" w:sz="0" w:space="0" w:color="auto"/>
        <w:right w:val="none" w:sz="0" w:space="0" w:color="auto"/>
      </w:divBdr>
      <w:divsChild>
        <w:div w:id="168176994">
          <w:marLeft w:val="360"/>
          <w:marRight w:val="0"/>
          <w:marTop w:val="200"/>
          <w:marBottom w:val="0"/>
          <w:divBdr>
            <w:top w:val="none" w:sz="0" w:space="0" w:color="auto"/>
            <w:left w:val="none" w:sz="0" w:space="0" w:color="auto"/>
            <w:bottom w:val="none" w:sz="0" w:space="0" w:color="auto"/>
            <w:right w:val="none" w:sz="0" w:space="0" w:color="auto"/>
          </w:divBdr>
        </w:div>
        <w:div w:id="423235268">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73890409">
      <w:bodyDiv w:val="1"/>
      <w:marLeft w:val="0"/>
      <w:marRight w:val="0"/>
      <w:marTop w:val="0"/>
      <w:marBottom w:val="0"/>
      <w:divBdr>
        <w:top w:val="none" w:sz="0" w:space="0" w:color="auto"/>
        <w:left w:val="none" w:sz="0" w:space="0" w:color="auto"/>
        <w:bottom w:val="none" w:sz="0" w:space="0" w:color="auto"/>
        <w:right w:val="none" w:sz="0" w:space="0" w:color="auto"/>
      </w:divBdr>
    </w:div>
    <w:div w:id="2125074623">
      <w:bodyDiv w:val="1"/>
      <w:marLeft w:val="0"/>
      <w:marRight w:val="0"/>
      <w:marTop w:val="0"/>
      <w:marBottom w:val="0"/>
      <w:divBdr>
        <w:top w:val="none" w:sz="0" w:space="0" w:color="auto"/>
        <w:left w:val="none" w:sz="0" w:space="0" w:color="auto"/>
        <w:bottom w:val="none" w:sz="0" w:space="0" w:color="auto"/>
        <w:right w:val="none" w:sz="0" w:space="0" w:color="auto"/>
      </w:divBdr>
      <w:divsChild>
        <w:div w:id="1020397476">
          <w:marLeft w:val="360"/>
          <w:marRight w:val="0"/>
          <w:marTop w:val="200"/>
          <w:marBottom w:val="0"/>
          <w:divBdr>
            <w:top w:val="none" w:sz="0" w:space="0" w:color="auto"/>
            <w:left w:val="none" w:sz="0" w:space="0" w:color="auto"/>
            <w:bottom w:val="none" w:sz="0" w:space="0" w:color="auto"/>
            <w:right w:val="none" w:sz="0" w:space="0" w:color="auto"/>
          </w:divBdr>
        </w:div>
        <w:div w:id="360134440">
          <w:marLeft w:val="360"/>
          <w:marRight w:val="0"/>
          <w:marTop w:val="200"/>
          <w:marBottom w:val="0"/>
          <w:divBdr>
            <w:top w:val="none" w:sz="0" w:space="0" w:color="auto"/>
            <w:left w:val="none" w:sz="0" w:space="0" w:color="auto"/>
            <w:bottom w:val="none" w:sz="0" w:space="0" w:color="auto"/>
            <w:right w:val="none" w:sz="0" w:space="0" w:color="auto"/>
          </w:divBdr>
        </w:div>
        <w:div w:id="81241093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424DB-C0C0-44F1-B8F2-FFB3E03F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15143</Words>
  <Characters>81964</Characters>
  <Application>Microsoft Office Word</Application>
  <DocSecurity>0</DocSecurity>
  <Lines>683</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2021-11-01T09:39:00Z</dcterms:created>
  <dcterms:modified xsi:type="dcterms:W3CDTF">2021-11-01T09:39:00Z</dcterms:modified>
</cp:coreProperties>
</file>