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6E187F" w:rsidRDefault="0011211B" w:rsidP="004A6040">
      <w:pPr>
        <w:pStyle w:val="1-MainHeading"/>
      </w:pPr>
      <w:bookmarkStart w:id="0" w:name="_Toc72246584"/>
      <w:r w:rsidRPr="006E187F">
        <w:t>5.02</w:t>
      </w:r>
      <w:r w:rsidR="00163F66" w:rsidRPr="006E187F">
        <w:tab/>
      </w:r>
      <w:r w:rsidR="00561416" w:rsidRPr="006E187F">
        <w:t>D</w:t>
      </w:r>
      <w:r w:rsidRPr="006E187F">
        <w:t>ARATUMUMAB</w:t>
      </w:r>
      <w:r w:rsidR="00163F66" w:rsidRPr="006E187F">
        <w:t>,</w:t>
      </w:r>
      <w:r w:rsidR="00163F66" w:rsidRPr="006E187F">
        <w:br/>
      </w:r>
      <w:r w:rsidRPr="006E187F">
        <w:t xml:space="preserve">Solution for </w:t>
      </w:r>
      <w:r w:rsidR="007A2D15" w:rsidRPr="006E187F">
        <w:t xml:space="preserve">subcutaneous </w:t>
      </w:r>
      <w:r w:rsidR="00B62B77" w:rsidRPr="006E187F">
        <w:t>injection 1,800 mg in 15 </w:t>
      </w:r>
      <w:r w:rsidRPr="006E187F">
        <w:t>mL vial</w:t>
      </w:r>
      <w:r w:rsidR="00163F66" w:rsidRPr="006E187F">
        <w:t>,</w:t>
      </w:r>
      <w:r w:rsidR="00163F66" w:rsidRPr="006E187F">
        <w:br/>
      </w:r>
      <w:r w:rsidR="007A2D15" w:rsidRPr="006E187F">
        <w:t>D</w:t>
      </w:r>
      <w:r w:rsidR="00FF07B1" w:rsidRPr="006E187F">
        <w:t>arzalex</w:t>
      </w:r>
      <w:r w:rsidR="0077282B" w:rsidRPr="006E187F">
        <w:t xml:space="preserve"> SC</w:t>
      </w:r>
      <w:r w:rsidR="00B60939" w:rsidRPr="006E187F">
        <w:rPr>
          <w:vertAlign w:val="superscript"/>
        </w:rPr>
        <w:t>®</w:t>
      </w:r>
      <w:r w:rsidR="004A6040" w:rsidRPr="006E187F">
        <w:t>,</w:t>
      </w:r>
      <w:r w:rsidR="004A6040" w:rsidRPr="006E187F">
        <w:br/>
      </w:r>
      <w:r w:rsidR="007A2D15" w:rsidRPr="006E187F">
        <w:t>Janssen</w:t>
      </w:r>
      <w:r w:rsidR="007A2D15" w:rsidRPr="006E187F">
        <w:noBreakHyphen/>
        <w:t>Cilag Pty Ltd</w:t>
      </w:r>
      <w:r w:rsidR="00B60939" w:rsidRPr="006E187F">
        <w:t>.</w:t>
      </w:r>
      <w:bookmarkEnd w:id="0"/>
    </w:p>
    <w:p w:rsidR="00B50DB8" w:rsidRPr="006E187F" w:rsidRDefault="00B50DB8" w:rsidP="004A6040">
      <w:pPr>
        <w:pStyle w:val="2-SectionHeading"/>
      </w:pPr>
      <w:bookmarkStart w:id="1" w:name="_Toc72246586"/>
      <w:r w:rsidRPr="006E187F">
        <w:t xml:space="preserve">Purpose of </w:t>
      </w:r>
      <w:r w:rsidR="00D25F98" w:rsidRPr="006E187F">
        <w:t>Application</w:t>
      </w:r>
      <w:bookmarkEnd w:id="1"/>
    </w:p>
    <w:p w:rsidR="002C2775" w:rsidRPr="006E187F" w:rsidRDefault="007170DA" w:rsidP="004E18E9">
      <w:pPr>
        <w:pStyle w:val="3-BodyText"/>
      </w:pPr>
      <w:r w:rsidRPr="006E187F">
        <w:t xml:space="preserve">The </w:t>
      </w:r>
      <w:r w:rsidR="00F5766D">
        <w:t xml:space="preserve">Category 2 </w:t>
      </w:r>
      <w:r w:rsidRPr="006E187F">
        <w:t xml:space="preserve">submission requested </w:t>
      </w:r>
      <w:r w:rsidR="00644663" w:rsidRPr="006E187F">
        <w:t xml:space="preserve">an </w:t>
      </w:r>
      <w:r w:rsidR="00951AF4" w:rsidRPr="006E187F">
        <w:t>Authority Required</w:t>
      </w:r>
      <w:r w:rsidR="00385235" w:rsidRPr="006E187F">
        <w:t xml:space="preserve"> – Section 100 </w:t>
      </w:r>
      <w:r w:rsidR="001737EA" w:rsidRPr="006E187F">
        <w:t>(</w:t>
      </w:r>
      <w:r w:rsidR="00385235" w:rsidRPr="006E187F">
        <w:t>Highly Specialised Drug</w:t>
      </w:r>
      <w:r w:rsidR="003F0EE9" w:rsidRPr="006E187F">
        <w:t>s</w:t>
      </w:r>
      <w:r w:rsidR="00385235" w:rsidRPr="006E187F">
        <w:t xml:space="preserve"> Program</w:t>
      </w:r>
      <w:r w:rsidR="001737EA" w:rsidRPr="006E187F">
        <w:t>)</w:t>
      </w:r>
      <w:r w:rsidR="00951AF4" w:rsidRPr="006E187F">
        <w:t xml:space="preserve"> listing for daratumumab subcutaneous (SC) flat dosing regimen</w:t>
      </w:r>
      <w:r w:rsidR="0011211B" w:rsidRPr="006E187F">
        <w:t>, in combination with bortezomib and dexamethasone (DBd),</w:t>
      </w:r>
      <w:r w:rsidR="008B1757" w:rsidRPr="006E187F">
        <w:t xml:space="preserve"> for </w:t>
      </w:r>
      <w:r w:rsidR="0050174E" w:rsidRPr="006E187F">
        <w:t xml:space="preserve">the </w:t>
      </w:r>
      <w:r w:rsidR="008B1757" w:rsidRPr="006E187F">
        <w:t xml:space="preserve">treatment of </w:t>
      </w:r>
      <w:r w:rsidR="00951AF4" w:rsidRPr="006E187F">
        <w:t>second-line multiple myeloma</w:t>
      </w:r>
      <w:r w:rsidR="00176E86" w:rsidRPr="006E187F">
        <w:t xml:space="preserve"> (MM)</w:t>
      </w:r>
      <w:r w:rsidR="008B1757" w:rsidRPr="006E187F">
        <w:t xml:space="preserve">. </w:t>
      </w:r>
    </w:p>
    <w:p w:rsidR="00D119AF" w:rsidRPr="006E187F" w:rsidRDefault="00D119AF" w:rsidP="004E18E9">
      <w:pPr>
        <w:pStyle w:val="3-BodyText"/>
      </w:pPr>
      <w:r w:rsidRPr="006E187F">
        <w:t>The place in therapy is consistent with the current PBS restriction of daratumumab intravenous (IV), for use as DBd, as a second</w:t>
      </w:r>
      <w:r w:rsidRPr="006E187F">
        <w:noBreakHyphen/>
        <w:t>line MM treatment which was recommended in July 2020 (paragraph 6.1, daratumumab, Public Summary Document (PSD), July 2020).</w:t>
      </w:r>
    </w:p>
    <w:p w:rsidR="00342F63" w:rsidRPr="006E187F" w:rsidRDefault="005750C5" w:rsidP="004A6040">
      <w:pPr>
        <w:pStyle w:val="3-BodyText"/>
      </w:pPr>
      <w:r w:rsidRPr="006E187F">
        <w:t>Listing was requested on the basis of a cost-minimisation</w:t>
      </w:r>
      <w:r w:rsidR="00951AF4" w:rsidRPr="006E187F">
        <w:t xml:space="preserve"> </w:t>
      </w:r>
      <w:r w:rsidRPr="006E187F">
        <w:t xml:space="preserve">analysis </w:t>
      </w:r>
      <w:r w:rsidR="00385235" w:rsidRPr="006E187F">
        <w:t xml:space="preserve">between the 1,800 mg SC flat dosing regimen and the current 16 mg/kg </w:t>
      </w:r>
      <w:r w:rsidR="00BB2A61" w:rsidRPr="006E187F">
        <w:t>IV</w:t>
      </w:r>
      <w:r w:rsidR="00951AF4" w:rsidRPr="006E187F">
        <w:t xml:space="preserve"> weight</w:t>
      </w:r>
      <w:r w:rsidR="00951AF4" w:rsidRPr="006E187F">
        <w:noBreakHyphen/>
        <w:t>based dosing regimen</w:t>
      </w:r>
      <w:r w:rsidRPr="006E187F">
        <w:t xml:space="preserve">. </w:t>
      </w:r>
    </w:p>
    <w:p w:rsidR="00342F63" w:rsidRPr="006E187F" w:rsidRDefault="00B83340" w:rsidP="00342F63">
      <w:pPr>
        <w:pStyle w:val="TableFigureHeading"/>
      </w:pPr>
      <w:r w:rsidRPr="006E187F">
        <w:rPr>
          <w:rStyle w:val="CommentReference"/>
          <w:b/>
          <w:szCs w:val="24"/>
        </w:rPr>
        <w:t>Table 1</w:t>
      </w:r>
      <w:r w:rsidR="00003639" w:rsidRPr="006E187F">
        <w:rPr>
          <w:rStyle w:val="CommentReference"/>
          <w:b/>
          <w:szCs w:val="24"/>
        </w:rPr>
        <w:t>:</w:t>
      </w:r>
      <w:r w:rsidR="00342F63" w:rsidRPr="006E187F">
        <w:rPr>
          <w:rStyle w:val="CommentReference"/>
          <w:b/>
          <w:szCs w:val="24"/>
        </w:rPr>
        <w:t xml:space="preserve">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43"/>
      </w:tblGrid>
      <w:tr w:rsidR="00342F63" w:rsidRPr="006E187F" w:rsidTr="001C3405">
        <w:tc>
          <w:tcPr>
            <w:tcW w:w="1413" w:type="dxa"/>
            <w:vAlign w:val="center"/>
          </w:tcPr>
          <w:p w:rsidR="00342F63" w:rsidRPr="006E187F" w:rsidRDefault="00342F63" w:rsidP="001C3405">
            <w:pPr>
              <w:pStyle w:val="In-tableHeading"/>
              <w:rPr>
                <w:lang w:val="en-AU"/>
              </w:rPr>
            </w:pPr>
            <w:r w:rsidRPr="006E187F">
              <w:rPr>
                <w:lang w:val="en-AU"/>
              </w:rPr>
              <w:t>Component</w:t>
            </w:r>
          </w:p>
        </w:tc>
        <w:tc>
          <w:tcPr>
            <w:tcW w:w="7743" w:type="dxa"/>
            <w:vAlign w:val="center"/>
          </w:tcPr>
          <w:p w:rsidR="00342F63" w:rsidRPr="006E187F" w:rsidRDefault="00342F63" w:rsidP="001C3405">
            <w:pPr>
              <w:pStyle w:val="In-tableHeading"/>
              <w:rPr>
                <w:lang w:val="en-AU"/>
              </w:rPr>
            </w:pPr>
            <w:r w:rsidRPr="006E187F">
              <w:rPr>
                <w:lang w:val="en-AU"/>
              </w:rPr>
              <w:t>Description</w:t>
            </w:r>
          </w:p>
        </w:tc>
      </w:tr>
      <w:tr w:rsidR="00342F63" w:rsidRPr="006E187F" w:rsidTr="001C3405">
        <w:tc>
          <w:tcPr>
            <w:tcW w:w="1413" w:type="dxa"/>
            <w:vAlign w:val="center"/>
          </w:tcPr>
          <w:p w:rsidR="00342F63" w:rsidRPr="006E187F" w:rsidRDefault="00342F63" w:rsidP="001C3405">
            <w:pPr>
              <w:pStyle w:val="TableText0"/>
            </w:pPr>
            <w:r w:rsidRPr="006E187F">
              <w:t>Population</w:t>
            </w:r>
          </w:p>
        </w:tc>
        <w:tc>
          <w:tcPr>
            <w:tcW w:w="7743" w:type="dxa"/>
            <w:vAlign w:val="center"/>
          </w:tcPr>
          <w:p w:rsidR="00342F63" w:rsidRPr="006E187F" w:rsidRDefault="00342F63" w:rsidP="001C3405">
            <w:pPr>
              <w:pStyle w:val="TableText0"/>
            </w:pPr>
            <w:r w:rsidRPr="006E187F">
              <w:t>Multiple myeloma; patients with relapsed or refractory disease after one prior line of therapy (i.e., second line MM patients).</w:t>
            </w:r>
          </w:p>
        </w:tc>
      </w:tr>
      <w:tr w:rsidR="00342F63" w:rsidRPr="006E187F" w:rsidTr="001C3405">
        <w:tc>
          <w:tcPr>
            <w:tcW w:w="1413" w:type="dxa"/>
            <w:vAlign w:val="center"/>
          </w:tcPr>
          <w:p w:rsidR="00342F63" w:rsidRPr="006E187F" w:rsidRDefault="00342F63" w:rsidP="001C3405">
            <w:pPr>
              <w:pStyle w:val="TableText0"/>
            </w:pPr>
            <w:r w:rsidRPr="006E187F">
              <w:t>Intervention</w:t>
            </w:r>
          </w:p>
        </w:tc>
        <w:tc>
          <w:tcPr>
            <w:tcW w:w="7743" w:type="dxa"/>
            <w:vAlign w:val="center"/>
          </w:tcPr>
          <w:p w:rsidR="00342F63" w:rsidRPr="006E187F" w:rsidRDefault="00342F63" w:rsidP="00E926AA">
            <w:pPr>
              <w:pStyle w:val="TableText0"/>
            </w:pPr>
            <w:r w:rsidRPr="006E187F">
              <w:t>Daratumumab administered as a subcutaneous (SC) injection at a dose of 1</w:t>
            </w:r>
            <w:r w:rsidR="00E926AA" w:rsidRPr="006E187F">
              <w:t>,</w:t>
            </w:r>
            <w:r w:rsidRPr="006E187F">
              <w:t xml:space="preserve">800 mg in all patients irrespective of weight in combination with bortezomib and dexamethasone. Daratumumab is administered weekly for the first 3 cycles (each cycle is 3 weeks in duration), every three weeks from </w:t>
            </w:r>
            <w:r w:rsidR="00E926AA" w:rsidRPr="006E187F">
              <w:t>C</w:t>
            </w:r>
            <w:r w:rsidRPr="006E187F">
              <w:t xml:space="preserve">ycles 4 to 8 (each cycle is 3 weeks in duration) and then once every 4 weeks from </w:t>
            </w:r>
            <w:r w:rsidR="00E926AA" w:rsidRPr="006E187F">
              <w:t>C</w:t>
            </w:r>
            <w:r w:rsidRPr="006E187F">
              <w:t>ycle 9 onwards (i.e. each cycle is 4 weeks in duration) until disease progression or treatment-limiting toxicity.</w:t>
            </w:r>
          </w:p>
        </w:tc>
      </w:tr>
      <w:tr w:rsidR="00342F63" w:rsidRPr="006E187F" w:rsidTr="001C3405">
        <w:tc>
          <w:tcPr>
            <w:tcW w:w="1413" w:type="dxa"/>
            <w:vAlign w:val="center"/>
          </w:tcPr>
          <w:p w:rsidR="00342F63" w:rsidRPr="006E187F" w:rsidRDefault="00342F63" w:rsidP="001C3405">
            <w:pPr>
              <w:pStyle w:val="TableText0"/>
            </w:pPr>
            <w:r w:rsidRPr="006E187F">
              <w:t>Comparator</w:t>
            </w:r>
          </w:p>
        </w:tc>
        <w:tc>
          <w:tcPr>
            <w:tcW w:w="7743" w:type="dxa"/>
            <w:vAlign w:val="center"/>
          </w:tcPr>
          <w:p w:rsidR="00342F63" w:rsidRPr="006E187F" w:rsidRDefault="00342F63" w:rsidP="001C3405">
            <w:pPr>
              <w:pStyle w:val="TableText0"/>
            </w:pPr>
            <w:r w:rsidRPr="006E187F">
              <w:t>Daratumumab administered as an intravenous (IV) infusion at a dose of 16 mg/kg in combination with bortezomib and dexamethasone. Daratumumab IV is administered as per the same schedule as daratumumab SC.</w:t>
            </w:r>
          </w:p>
        </w:tc>
      </w:tr>
      <w:tr w:rsidR="00342F63" w:rsidRPr="006E187F" w:rsidTr="001C3405">
        <w:tc>
          <w:tcPr>
            <w:tcW w:w="1413" w:type="dxa"/>
            <w:vAlign w:val="center"/>
          </w:tcPr>
          <w:p w:rsidR="00342F63" w:rsidRPr="006E187F" w:rsidRDefault="00342F63" w:rsidP="001C3405">
            <w:pPr>
              <w:pStyle w:val="TableText0"/>
            </w:pPr>
            <w:r w:rsidRPr="006E187F">
              <w:t>Outcomes</w:t>
            </w:r>
          </w:p>
        </w:tc>
        <w:tc>
          <w:tcPr>
            <w:tcW w:w="7743" w:type="dxa"/>
            <w:vAlign w:val="center"/>
          </w:tcPr>
          <w:p w:rsidR="00342F63" w:rsidRPr="006E187F" w:rsidRDefault="00342F63" w:rsidP="001C3405">
            <w:pPr>
              <w:pStyle w:val="TableText0"/>
            </w:pPr>
            <w:r w:rsidRPr="006E187F">
              <w:t xml:space="preserve">Efficacy (overall response rate, progression-free survival, overall survival), pharmacokinetics </w:t>
            </w:r>
            <w:r w:rsidR="00644663" w:rsidRPr="006E187F">
              <w:t>(maximum C</w:t>
            </w:r>
            <w:r w:rsidR="00644663" w:rsidRPr="006E187F">
              <w:rPr>
                <w:vertAlign w:val="subscript"/>
              </w:rPr>
              <w:t>trough</w:t>
            </w:r>
            <w:r w:rsidR="00644663" w:rsidRPr="006E187F">
              <w:t xml:space="preserve">) </w:t>
            </w:r>
            <w:r w:rsidRPr="006E187F">
              <w:t>and safety/tolerability.</w:t>
            </w:r>
          </w:p>
        </w:tc>
      </w:tr>
      <w:tr w:rsidR="00342F63" w:rsidRPr="006E187F" w:rsidTr="001C3405">
        <w:tc>
          <w:tcPr>
            <w:tcW w:w="1413" w:type="dxa"/>
            <w:vAlign w:val="center"/>
          </w:tcPr>
          <w:p w:rsidR="00342F63" w:rsidRPr="006E187F" w:rsidRDefault="00342F63" w:rsidP="001C3405">
            <w:pPr>
              <w:pStyle w:val="TableText0"/>
            </w:pPr>
            <w:r w:rsidRPr="006E187F">
              <w:t>Clinical claim</w:t>
            </w:r>
          </w:p>
        </w:tc>
        <w:tc>
          <w:tcPr>
            <w:tcW w:w="7743" w:type="dxa"/>
            <w:vAlign w:val="center"/>
          </w:tcPr>
          <w:p w:rsidR="00342F63" w:rsidRPr="006E187F" w:rsidRDefault="00342F63" w:rsidP="001C3405">
            <w:pPr>
              <w:pStyle w:val="TableText0"/>
            </w:pPr>
            <w:r w:rsidRPr="006E187F">
              <w:t>In patients with RRMM multiple myeloma (second-line MM), daratumumab SC provides non-inferior efficacy, pharmacokinetics and safety/tolerability, with a reduced incidence of IRRs compared with weight-based 16 mg/kg daratumumab IV dosing</w:t>
            </w:r>
          </w:p>
        </w:tc>
      </w:tr>
    </w:tbl>
    <w:p w:rsidR="00342F63" w:rsidRPr="006E187F" w:rsidRDefault="00342F63" w:rsidP="00342F63">
      <w:pPr>
        <w:pStyle w:val="TableFigureFooter"/>
      </w:pPr>
      <w:r w:rsidRPr="006E187F">
        <w:t>Source: Table 1.1 of the submission.</w:t>
      </w:r>
    </w:p>
    <w:p w:rsidR="00342F63" w:rsidRPr="006E187F" w:rsidRDefault="00342F63" w:rsidP="004A6040">
      <w:pPr>
        <w:pStyle w:val="TableFigureFooter"/>
        <w:rPr>
          <w:sz w:val="20"/>
        </w:rPr>
      </w:pPr>
      <w:r w:rsidRPr="006E187F">
        <w:t>IRR = infusion related reaction,</w:t>
      </w:r>
      <w:r w:rsidR="00644663" w:rsidRPr="006E187F">
        <w:t xml:space="preserve"> IV = intravenous;</w:t>
      </w:r>
      <w:r w:rsidRPr="006E187F">
        <w:t xml:space="preserve"> MM = multiple myeloma, RRMM = relapsed and/or refractory multiple myeloma</w:t>
      </w:r>
      <w:r w:rsidR="00644663" w:rsidRPr="006E187F">
        <w:t>; SC = subcutaneous.</w:t>
      </w:r>
    </w:p>
    <w:p w:rsidR="005C25FF" w:rsidRPr="006E187F" w:rsidRDefault="005C25FF" w:rsidP="004A6040">
      <w:pPr>
        <w:pStyle w:val="2-SectionHeading"/>
      </w:pPr>
      <w:bookmarkStart w:id="2" w:name="_Toc72246587"/>
      <w:r w:rsidRPr="006E187F">
        <w:t>Background</w:t>
      </w:r>
      <w:bookmarkEnd w:id="2"/>
    </w:p>
    <w:p w:rsidR="005C25FF" w:rsidRPr="006E187F" w:rsidRDefault="005C25FF" w:rsidP="004A6040">
      <w:pPr>
        <w:pStyle w:val="4-SubsectionHeading"/>
      </w:pPr>
      <w:bookmarkStart w:id="3" w:name="_Toc22897638"/>
      <w:bookmarkStart w:id="4" w:name="_Toc72246588"/>
      <w:r w:rsidRPr="006E187F">
        <w:t>Registration status</w:t>
      </w:r>
      <w:bookmarkEnd w:id="3"/>
      <w:bookmarkEnd w:id="4"/>
    </w:p>
    <w:p w:rsidR="00EE7014" w:rsidRPr="006E187F" w:rsidRDefault="00EE7014" w:rsidP="00EE7014">
      <w:pPr>
        <w:pStyle w:val="3-BodyText"/>
      </w:pPr>
      <w:r w:rsidRPr="006E187F">
        <w:t xml:space="preserve">Daratumumab </w:t>
      </w:r>
      <w:r w:rsidR="00644663" w:rsidRPr="006E187F">
        <w:t xml:space="preserve">SC </w:t>
      </w:r>
      <w:r w:rsidRPr="006E187F">
        <w:t xml:space="preserve">formulation </w:t>
      </w:r>
      <w:r w:rsidR="005C25FF" w:rsidRPr="006E187F">
        <w:t xml:space="preserve">was TGA registered on </w:t>
      </w:r>
      <w:r w:rsidRPr="006E187F">
        <w:t>8 September 2020</w:t>
      </w:r>
      <w:r w:rsidR="00644663" w:rsidRPr="006E187F">
        <w:t>. The TGA registration is:</w:t>
      </w:r>
      <w:r w:rsidR="005C25FF" w:rsidRPr="006E187F">
        <w:t xml:space="preserve"> </w:t>
      </w:r>
    </w:p>
    <w:p w:rsidR="005C25FF" w:rsidRPr="006E187F" w:rsidRDefault="00EE7014" w:rsidP="004E1FEB">
      <w:pPr>
        <w:pStyle w:val="3-BodyText"/>
        <w:numPr>
          <w:ilvl w:val="0"/>
          <w:numId w:val="7"/>
        </w:numPr>
        <w:ind w:left="1077" w:hanging="357"/>
      </w:pPr>
      <w:r w:rsidRPr="006E187F">
        <w:lastRenderedPageBreak/>
        <w:t xml:space="preserve">in combination with lenalidomide and dexamethasone, or bortezomib and dexamethasone, for the treatment of patients with </w:t>
      </w:r>
      <w:r w:rsidR="00176E86" w:rsidRPr="006E187F">
        <w:t>MM</w:t>
      </w:r>
      <w:r w:rsidRPr="006E187F">
        <w:t xml:space="preserve"> who have received at least one prior therapy;</w:t>
      </w:r>
    </w:p>
    <w:p w:rsidR="00EE7014" w:rsidRPr="006E187F" w:rsidRDefault="00EE7014" w:rsidP="004E1FEB">
      <w:pPr>
        <w:pStyle w:val="3-BodyText"/>
        <w:numPr>
          <w:ilvl w:val="0"/>
          <w:numId w:val="7"/>
        </w:numPr>
        <w:ind w:left="1077" w:hanging="357"/>
      </w:pPr>
      <w:r w:rsidRPr="006E187F">
        <w:t xml:space="preserve">as monotherapy, for the treatment of patients with </w:t>
      </w:r>
      <w:r w:rsidR="00176E86" w:rsidRPr="006E187F">
        <w:t>MM</w:t>
      </w:r>
      <w:r w:rsidRPr="006E187F">
        <w:t xml:space="preserve"> who have received at least three prior lines of therapy including a proteasome inhibitor (PI) and an immunomodulatory agent or who are refractory to both a PI and an immunomodulatory agent;</w:t>
      </w:r>
    </w:p>
    <w:p w:rsidR="00EE7014" w:rsidRPr="006E187F" w:rsidRDefault="00EE7014" w:rsidP="004E1FEB">
      <w:pPr>
        <w:pStyle w:val="3-BodyText"/>
        <w:numPr>
          <w:ilvl w:val="0"/>
          <w:numId w:val="7"/>
        </w:numPr>
        <w:ind w:left="1077" w:hanging="357"/>
      </w:pPr>
      <w:r w:rsidRPr="006E187F">
        <w:t>in combination with bortezomib, melphalan and prednisolone for the treatment of patients with newly diagnosed MM who are ineligible for autologous stem cell transplant (ASCT).</w:t>
      </w:r>
    </w:p>
    <w:p w:rsidR="00AD2F4F" w:rsidRPr="006E187F" w:rsidRDefault="00AD2F4F" w:rsidP="00AD2F4F">
      <w:pPr>
        <w:pStyle w:val="3-BodyText"/>
        <w:numPr>
          <w:ilvl w:val="0"/>
          <w:numId w:val="0"/>
        </w:numPr>
        <w:ind w:left="720" w:hanging="720"/>
      </w:pPr>
    </w:p>
    <w:p w:rsidR="00B60939" w:rsidRPr="006E187F" w:rsidRDefault="00B50DB8" w:rsidP="00385235">
      <w:pPr>
        <w:pStyle w:val="2-SectionHeading"/>
      </w:pPr>
      <w:bookmarkStart w:id="5" w:name="_Toc72246589"/>
      <w:r w:rsidRPr="006E187F">
        <w:t>Requested listing</w:t>
      </w:r>
      <w:bookmarkEnd w:id="5"/>
    </w:p>
    <w:p w:rsidR="00617E12" w:rsidRPr="006E187F" w:rsidRDefault="00617E12" w:rsidP="00385235">
      <w:pPr>
        <w:keepNext/>
      </w:pPr>
    </w:p>
    <w:tbl>
      <w:tblPr>
        <w:tblW w:w="4977" w:type="pct"/>
        <w:tblInd w:w="28" w:type="dxa"/>
        <w:tblCellMar>
          <w:left w:w="28" w:type="dxa"/>
          <w:right w:w="28" w:type="dxa"/>
        </w:tblCellMar>
        <w:tblLook w:val="0000" w:firstRow="0" w:lastRow="0" w:firstColumn="0" w:lastColumn="0" w:noHBand="0" w:noVBand="0"/>
      </w:tblPr>
      <w:tblGrid>
        <w:gridCol w:w="1442"/>
        <w:gridCol w:w="2063"/>
        <w:gridCol w:w="949"/>
        <w:gridCol w:w="708"/>
        <w:gridCol w:w="1964"/>
        <w:gridCol w:w="1859"/>
      </w:tblGrid>
      <w:tr w:rsidR="003517F9" w:rsidRPr="006E187F" w:rsidTr="005A1F1F">
        <w:trPr>
          <w:cantSplit/>
          <w:trHeight w:val="463"/>
        </w:trPr>
        <w:tc>
          <w:tcPr>
            <w:tcW w:w="1801" w:type="pct"/>
            <w:gridSpan w:val="2"/>
            <w:tcBorders>
              <w:top w:val="single" w:sz="4" w:space="0" w:color="auto"/>
              <w:bottom w:val="single" w:sz="4" w:space="0" w:color="auto"/>
            </w:tcBorders>
            <w:vAlign w:val="center"/>
          </w:tcPr>
          <w:p w:rsidR="00617E12" w:rsidRPr="006E187F" w:rsidRDefault="00617E12" w:rsidP="00385235">
            <w:pPr>
              <w:keepNext/>
              <w:jc w:val="left"/>
              <w:rPr>
                <w:rFonts w:ascii="Arial Narrow" w:hAnsi="Arial Narrow"/>
                <w:b/>
                <w:sz w:val="20"/>
              </w:rPr>
            </w:pPr>
            <w:r w:rsidRPr="006E187F">
              <w:rPr>
                <w:rFonts w:ascii="Arial Narrow" w:hAnsi="Arial Narrow"/>
                <w:b/>
                <w:sz w:val="20"/>
              </w:rPr>
              <w:t>Name, Restriction,</w:t>
            </w:r>
          </w:p>
          <w:p w:rsidR="00617E12" w:rsidRPr="006E187F" w:rsidRDefault="00617E12" w:rsidP="00385235">
            <w:pPr>
              <w:keepNext/>
              <w:jc w:val="left"/>
              <w:rPr>
                <w:rFonts w:ascii="Arial Narrow" w:hAnsi="Arial Narrow"/>
                <w:b/>
                <w:sz w:val="20"/>
              </w:rPr>
            </w:pPr>
            <w:r w:rsidRPr="006E187F">
              <w:rPr>
                <w:rFonts w:ascii="Arial Narrow" w:hAnsi="Arial Narrow"/>
                <w:b/>
                <w:sz w:val="20"/>
              </w:rPr>
              <w:t>Manner of administration and form</w:t>
            </w:r>
          </w:p>
        </w:tc>
        <w:tc>
          <w:tcPr>
            <w:tcW w:w="566" w:type="pct"/>
            <w:tcBorders>
              <w:top w:val="single" w:sz="4" w:space="0" w:color="auto"/>
              <w:bottom w:val="single" w:sz="4" w:space="0" w:color="auto"/>
            </w:tcBorders>
            <w:vAlign w:val="center"/>
          </w:tcPr>
          <w:p w:rsidR="00617E12" w:rsidRPr="006E187F" w:rsidRDefault="00617E12" w:rsidP="00385235">
            <w:pPr>
              <w:keepNext/>
              <w:jc w:val="center"/>
              <w:rPr>
                <w:rFonts w:ascii="Arial Narrow" w:hAnsi="Arial Narrow"/>
                <w:b/>
                <w:sz w:val="20"/>
              </w:rPr>
            </w:pPr>
            <w:r w:rsidRPr="006E187F">
              <w:rPr>
                <w:rFonts w:ascii="Arial Narrow" w:hAnsi="Arial Narrow"/>
                <w:b/>
                <w:sz w:val="20"/>
              </w:rPr>
              <w:t>Max.</w:t>
            </w:r>
          </w:p>
          <w:p w:rsidR="00617E12" w:rsidRPr="006E187F" w:rsidRDefault="008B1757" w:rsidP="00385235">
            <w:pPr>
              <w:keepNext/>
              <w:jc w:val="center"/>
              <w:rPr>
                <w:rFonts w:ascii="Arial Narrow" w:hAnsi="Arial Narrow"/>
                <w:b/>
                <w:sz w:val="20"/>
              </w:rPr>
            </w:pPr>
            <w:r w:rsidRPr="006E187F">
              <w:rPr>
                <w:rFonts w:ascii="Arial Narrow" w:hAnsi="Arial Narrow"/>
                <w:b/>
                <w:sz w:val="20"/>
              </w:rPr>
              <w:t>Amt</w:t>
            </w:r>
          </w:p>
        </w:tc>
        <w:tc>
          <w:tcPr>
            <w:tcW w:w="431" w:type="pct"/>
            <w:tcBorders>
              <w:top w:val="single" w:sz="4" w:space="0" w:color="auto"/>
              <w:bottom w:val="single" w:sz="4" w:space="0" w:color="auto"/>
            </w:tcBorders>
            <w:vAlign w:val="center"/>
          </w:tcPr>
          <w:p w:rsidR="00617E12" w:rsidRPr="006E187F" w:rsidRDefault="00617E12" w:rsidP="00385235">
            <w:pPr>
              <w:keepNext/>
              <w:jc w:val="center"/>
              <w:rPr>
                <w:rFonts w:ascii="Arial Narrow" w:hAnsi="Arial Narrow"/>
                <w:b/>
                <w:sz w:val="20"/>
              </w:rPr>
            </w:pPr>
            <w:r w:rsidRPr="006E187F">
              <w:rPr>
                <w:rFonts w:ascii="Arial Narrow" w:hAnsi="Arial Narrow" w:cs="Times New Roman"/>
                <w:b/>
                <w:sz w:val="20"/>
              </w:rPr>
              <w:t>№</w:t>
            </w:r>
            <w:r w:rsidRPr="006E187F">
              <w:rPr>
                <w:rFonts w:ascii="Arial Narrow" w:hAnsi="Arial Narrow"/>
                <w:b/>
                <w:sz w:val="20"/>
              </w:rPr>
              <w:t>.of</w:t>
            </w:r>
          </w:p>
          <w:p w:rsidR="00617E12" w:rsidRPr="006E187F" w:rsidRDefault="00617E12" w:rsidP="00385235">
            <w:pPr>
              <w:keepNext/>
              <w:jc w:val="center"/>
              <w:rPr>
                <w:rFonts w:ascii="Arial Narrow" w:hAnsi="Arial Narrow"/>
                <w:b/>
                <w:sz w:val="20"/>
              </w:rPr>
            </w:pPr>
            <w:r w:rsidRPr="006E187F">
              <w:rPr>
                <w:rFonts w:ascii="Arial Narrow" w:hAnsi="Arial Narrow"/>
                <w:b/>
                <w:sz w:val="20"/>
              </w:rPr>
              <w:t>Rpts</w:t>
            </w:r>
          </w:p>
        </w:tc>
        <w:tc>
          <w:tcPr>
            <w:tcW w:w="1130" w:type="pct"/>
            <w:tcBorders>
              <w:top w:val="single" w:sz="4" w:space="0" w:color="auto"/>
              <w:bottom w:val="single" w:sz="4" w:space="0" w:color="auto"/>
            </w:tcBorders>
            <w:vAlign w:val="center"/>
          </w:tcPr>
          <w:p w:rsidR="00617E12" w:rsidRPr="006E187F" w:rsidRDefault="005A1F1F" w:rsidP="00385235">
            <w:pPr>
              <w:keepNext/>
              <w:jc w:val="center"/>
              <w:rPr>
                <w:rFonts w:ascii="Arial Narrow" w:hAnsi="Arial Narrow"/>
                <w:b/>
                <w:sz w:val="20"/>
              </w:rPr>
            </w:pPr>
            <w:r w:rsidRPr="006E187F">
              <w:rPr>
                <w:rFonts w:ascii="Arial Narrow" w:hAnsi="Arial Narrow"/>
                <w:b/>
                <w:sz w:val="20"/>
              </w:rPr>
              <w:t>Dispensed Price for Max. Amt</w:t>
            </w:r>
          </w:p>
        </w:tc>
        <w:tc>
          <w:tcPr>
            <w:tcW w:w="1072" w:type="pct"/>
            <w:tcBorders>
              <w:top w:val="single" w:sz="4" w:space="0" w:color="auto"/>
              <w:bottom w:val="single" w:sz="4" w:space="0" w:color="auto"/>
            </w:tcBorders>
            <w:vAlign w:val="center"/>
          </w:tcPr>
          <w:p w:rsidR="00617E12" w:rsidRPr="006E187F" w:rsidRDefault="00617E12" w:rsidP="00385235">
            <w:pPr>
              <w:keepNext/>
              <w:jc w:val="center"/>
              <w:rPr>
                <w:rFonts w:ascii="Arial Narrow" w:hAnsi="Arial Narrow"/>
                <w:b/>
                <w:sz w:val="20"/>
              </w:rPr>
            </w:pPr>
            <w:r w:rsidRPr="006E187F">
              <w:rPr>
                <w:rFonts w:ascii="Arial Narrow" w:hAnsi="Arial Narrow"/>
                <w:b/>
                <w:sz w:val="20"/>
              </w:rPr>
              <w:t>Proprietary Name and Manufacturer</w:t>
            </w:r>
          </w:p>
        </w:tc>
      </w:tr>
      <w:tr w:rsidR="005A1F1F" w:rsidRPr="006E187F" w:rsidTr="005A1F1F">
        <w:trPr>
          <w:cantSplit/>
          <w:trHeight w:val="567"/>
        </w:trPr>
        <w:tc>
          <w:tcPr>
            <w:tcW w:w="1801" w:type="pct"/>
            <w:gridSpan w:val="2"/>
            <w:vAlign w:val="center"/>
          </w:tcPr>
          <w:p w:rsidR="005A1F1F" w:rsidRPr="006E187F" w:rsidRDefault="005A1F1F" w:rsidP="00385235">
            <w:pPr>
              <w:keepNext/>
              <w:jc w:val="left"/>
              <w:rPr>
                <w:rFonts w:ascii="Arial Narrow" w:hAnsi="Arial Narrow"/>
                <w:smallCaps/>
                <w:sz w:val="20"/>
              </w:rPr>
            </w:pPr>
            <w:r w:rsidRPr="006E187F">
              <w:rPr>
                <w:rFonts w:ascii="Arial Narrow" w:hAnsi="Arial Narrow"/>
                <w:smallCaps/>
                <w:sz w:val="20"/>
              </w:rPr>
              <w:t>Initial treatment</w:t>
            </w:r>
          </w:p>
          <w:p w:rsidR="005A1F1F" w:rsidRPr="006E187F" w:rsidRDefault="005A1F1F" w:rsidP="00385235">
            <w:pPr>
              <w:keepNext/>
              <w:jc w:val="left"/>
              <w:rPr>
                <w:rFonts w:ascii="Arial Narrow" w:hAnsi="Arial Narrow"/>
                <w:smallCaps/>
                <w:sz w:val="20"/>
              </w:rPr>
            </w:pPr>
            <w:r w:rsidRPr="006E187F">
              <w:rPr>
                <w:rFonts w:ascii="Arial Narrow" w:hAnsi="Arial Narrow"/>
                <w:smallCaps/>
                <w:sz w:val="20"/>
              </w:rPr>
              <w:t>Daratumumab</w:t>
            </w:r>
          </w:p>
          <w:p w:rsidR="005A1F1F" w:rsidRPr="006E187F" w:rsidRDefault="005A1F1F" w:rsidP="00385235">
            <w:pPr>
              <w:keepNext/>
              <w:jc w:val="left"/>
              <w:rPr>
                <w:rFonts w:ascii="Arial Narrow" w:hAnsi="Arial Narrow"/>
                <w:smallCaps/>
                <w:sz w:val="20"/>
              </w:rPr>
            </w:pPr>
            <w:r w:rsidRPr="006E187F">
              <w:rPr>
                <w:rFonts w:ascii="Arial Narrow" w:hAnsi="Arial Narrow"/>
                <w:smallCaps/>
                <w:sz w:val="20"/>
              </w:rPr>
              <w:t>Subcutaneous vial 1800 mg</w:t>
            </w:r>
          </w:p>
          <w:p w:rsidR="00385235" w:rsidRPr="006E187F" w:rsidRDefault="00385235" w:rsidP="00385235">
            <w:pPr>
              <w:keepNext/>
              <w:jc w:val="left"/>
              <w:rPr>
                <w:rFonts w:ascii="Arial Narrow" w:hAnsi="Arial Narrow"/>
                <w:sz w:val="20"/>
              </w:rPr>
            </w:pPr>
          </w:p>
        </w:tc>
        <w:tc>
          <w:tcPr>
            <w:tcW w:w="566" w:type="pct"/>
            <w:vAlign w:val="center"/>
          </w:tcPr>
          <w:p w:rsidR="005A1F1F" w:rsidRPr="006E187F" w:rsidRDefault="005A1F1F" w:rsidP="00385235">
            <w:pPr>
              <w:keepNext/>
              <w:jc w:val="center"/>
              <w:rPr>
                <w:rFonts w:ascii="Arial Narrow" w:hAnsi="Arial Narrow"/>
                <w:sz w:val="20"/>
              </w:rPr>
            </w:pPr>
            <w:r w:rsidRPr="006E187F">
              <w:rPr>
                <w:rFonts w:ascii="Arial Narrow" w:hAnsi="Arial Narrow"/>
                <w:sz w:val="20"/>
              </w:rPr>
              <w:t>1800 mg</w:t>
            </w:r>
          </w:p>
        </w:tc>
        <w:tc>
          <w:tcPr>
            <w:tcW w:w="431" w:type="pct"/>
            <w:vAlign w:val="center"/>
          </w:tcPr>
          <w:p w:rsidR="005A1F1F" w:rsidRPr="006E187F" w:rsidRDefault="005A1F1F" w:rsidP="00385235">
            <w:pPr>
              <w:keepNext/>
              <w:jc w:val="center"/>
              <w:rPr>
                <w:rFonts w:ascii="Arial Narrow" w:hAnsi="Arial Narrow"/>
                <w:sz w:val="20"/>
              </w:rPr>
            </w:pPr>
            <w:r w:rsidRPr="006E187F">
              <w:rPr>
                <w:rFonts w:ascii="Arial Narrow" w:hAnsi="Arial Narrow"/>
                <w:sz w:val="20"/>
              </w:rPr>
              <w:t>8</w:t>
            </w:r>
          </w:p>
        </w:tc>
        <w:tc>
          <w:tcPr>
            <w:tcW w:w="1130" w:type="pct"/>
            <w:vAlign w:val="center"/>
          </w:tcPr>
          <w:p w:rsidR="005A1F1F" w:rsidRPr="006E187F" w:rsidRDefault="005A1F1F" w:rsidP="00385235">
            <w:pPr>
              <w:keepNext/>
              <w:jc w:val="center"/>
              <w:rPr>
                <w:rFonts w:ascii="Arial Narrow" w:hAnsi="Arial Narrow"/>
                <w:sz w:val="20"/>
              </w:rPr>
            </w:pPr>
            <w:r w:rsidRPr="006E187F">
              <w:rPr>
                <w:rFonts w:ascii="Arial Narrow" w:hAnsi="Arial Narrow"/>
                <w:sz w:val="20"/>
              </w:rPr>
              <w:t>$7,041.49 published price</w:t>
            </w:r>
          </w:p>
          <w:p w:rsidR="005A1F1F" w:rsidRPr="006E187F" w:rsidRDefault="005A1F1F" w:rsidP="00385235">
            <w:pPr>
              <w:keepNext/>
              <w:jc w:val="center"/>
              <w:rPr>
                <w:rFonts w:ascii="Arial Narrow" w:hAnsi="Arial Narrow"/>
                <w:sz w:val="20"/>
              </w:rPr>
            </w:pPr>
            <w:r w:rsidRPr="006E187F">
              <w:rPr>
                <w:rFonts w:ascii="Arial Narrow" w:hAnsi="Arial Narrow"/>
                <w:sz w:val="20"/>
              </w:rPr>
              <w:t>$</w:t>
            </w:r>
            <w:r w:rsidR="00733F84">
              <w:rPr>
                <w:rFonts w:ascii="Arial Narrow" w:hAnsi="Arial Narrow"/>
                <w:noProof/>
                <w:color w:val="000000"/>
                <w:sz w:val="20"/>
                <w:highlight w:val="black"/>
              </w:rPr>
              <w:t>'''''''''''''''''''''</w:t>
            </w:r>
            <w:r w:rsidRPr="006E187F">
              <w:rPr>
                <w:rFonts w:ascii="Arial Narrow" w:hAnsi="Arial Narrow"/>
                <w:sz w:val="20"/>
              </w:rPr>
              <w:t xml:space="preserve"> effective price</w:t>
            </w:r>
          </w:p>
        </w:tc>
        <w:tc>
          <w:tcPr>
            <w:tcW w:w="1072" w:type="pct"/>
          </w:tcPr>
          <w:p w:rsidR="005A1F1F" w:rsidRPr="006E187F" w:rsidRDefault="005A1F1F" w:rsidP="00385235">
            <w:pPr>
              <w:keepNext/>
              <w:jc w:val="center"/>
              <w:rPr>
                <w:rFonts w:ascii="Arial Narrow" w:hAnsi="Arial Narrow"/>
                <w:sz w:val="20"/>
              </w:rPr>
            </w:pPr>
            <w:r w:rsidRPr="006E187F">
              <w:rPr>
                <w:rFonts w:ascii="Arial Narrow" w:hAnsi="Arial Narrow"/>
                <w:sz w:val="20"/>
              </w:rPr>
              <w:t>DARZALEX®, Janssen Cilag Pty Ltd</w:t>
            </w:r>
          </w:p>
        </w:tc>
      </w:tr>
      <w:tr w:rsidR="00542C2D" w:rsidRPr="006E187F" w:rsidTr="00CC3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15" w:type="pct"/>
            <w:tcBorders>
              <w:top w:val="single" w:sz="4" w:space="0" w:color="auto"/>
              <w:left w:val="single" w:sz="4" w:space="0" w:color="auto"/>
              <w:bottom w:val="single" w:sz="4" w:space="0" w:color="auto"/>
              <w:right w:val="single" w:sz="4" w:space="0" w:color="auto"/>
            </w:tcBorders>
            <w:hideMark/>
          </w:tcPr>
          <w:p w:rsidR="00542C2D" w:rsidRPr="006E187F" w:rsidRDefault="00591957" w:rsidP="00591957">
            <w:pPr>
              <w:pStyle w:val="Tabletext"/>
            </w:pPr>
            <w:r w:rsidRPr="006E187F">
              <w:t>Category/Program:</w:t>
            </w:r>
          </w:p>
        </w:tc>
        <w:tc>
          <w:tcPr>
            <w:tcW w:w="4385" w:type="pct"/>
            <w:gridSpan w:val="5"/>
            <w:tcBorders>
              <w:top w:val="single" w:sz="4" w:space="0" w:color="auto"/>
              <w:left w:val="single" w:sz="4" w:space="0" w:color="auto"/>
              <w:bottom w:val="single" w:sz="4" w:space="0" w:color="auto"/>
              <w:right w:val="single" w:sz="4" w:space="0" w:color="auto"/>
            </w:tcBorders>
          </w:tcPr>
          <w:p w:rsidR="00542C2D" w:rsidRPr="006E187F" w:rsidRDefault="005A1F1F" w:rsidP="00874D30">
            <w:pPr>
              <w:pStyle w:val="Tabletext"/>
            </w:pPr>
            <w:r w:rsidRPr="006E187F">
              <w:t xml:space="preserve">Section 100 – Highly Specialised Drugs Program </w:t>
            </w:r>
            <w:r w:rsidR="00CC218A" w:rsidRPr="006E187F">
              <w:t>(Public/Private Hospital</w:t>
            </w:r>
            <w:r w:rsidR="008D6B4D" w:rsidRPr="006E187F">
              <w:t>)</w:t>
            </w:r>
          </w:p>
        </w:tc>
      </w:tr>
      <w:tr w:rsidR="00542C2D" w:rsidRPr="006E187F" w:rsidTr="00CC3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15" w:type="pct"/>
            <w:tcBorders>
              <w:top w:val="single" w:sz="4" w:space="0" w:color="auto"/>
              <w:left w:val="single" w:sz="4" w:space="0" w:color="auto"/>
              <w:bottom w:val="single" w:sz="4" w:space="0" w:color="auto"/>
              <w:right w:val="single" w:sz="4" w:space="0" w:color="auto"/>
            </w:tcBorders>
            <w:hideMark/>
          </w:tcPr>
          <w:p w:rsidR="00542C2D" w:rsidRPr="006E187F" w:rsidRDefault="00591957" w:rsidP="00591957">
            <w:pPr>
              <w:pStyle w:val="Tabletext"/>
            </w:pPr>
            <w:r w:rsidRPr="006E187F">
              <w:t>PBS indication:</w:t>
            </w:r>
          </w:p>
        </w:tc>
        <w:tc>
          <w:tcPr>
            <w:tcW w:w="4385" w:type="pct"/>
            <w:gridSpan w:val="5"/>
            <w:tcBorders>
              <w:top w:val="single" w:sz="4" w:space="0" w:color="auto"/>
              <w:left w:val="single" w:sz="4" w:space="0" w:color="auto"/>
              <w:bottom w:val="single" w:sz="4" w:space="0" w:color="auto"/>
              <w:right w:val="single" w:sz="4" w:space="0" w:color="auto"/>
            </w:tcBorders>
          </w:tcPr>
          <w:p w:rsidR="00542C2D" w:rsidRPr="006E187F" w:rsidRDefault="005A1F1F" w:rsidP="00591957">
            <w:pPr>
              <w:pStyle w:val="Tabletext"/>
            </w:pPr>
            <w:r w:rsidRPr="006E187F">
              <w:t>Relapsed and/or refractory multiple myeloma</w:t>
            </w:r>
          </w:p>
        </w:tc>
      </w:tr>
      <w:tr w:rsidR="00542C2D" w:rsidRPr="006E187F" w:rsidTr="00CC3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15" w:type="pct"/>
            <w:tcBorders>
              <w:top w:val="single" w:sz="4" w:space="0" w:color="auto"/>
              <w:left w:val="single" w:sz="4" w:space="0" w:color="auto"/>
              <w:bottom w:val="single" w:sz="4" w:space="0" w:color="auto"/>
              <w:right w:val="single" w:sz="4" w:space="0" w:color="auto"/>
            </w:tcBorders>
            <w:hideMark/>
          </w:tcPr>
          <w:p w:rsidR="00542C2D" w:rsidRPr="006E187F" w:rsidRDefault="00591957" w:rsidP="00591957">
            <w:pPr>
              <w:pStyle w:val="Tabletext"/>
            </w:pPr>
            <w:r w:rsidRPr="006E187F">
              <w:t>Treatment phase:</w:t>
            </w:r>
          </w:p>
        </w:tc>
        <w:tc>
          <w:tcPr>
            <w:tcW w:w="4385" w:type="pct"/>
            <w:gridSpan w:val="5"/>
            <w:tcBorders>
              <w:top w:val="single" w:sz="4" w:space="0" w:color="auto"/>
              <w:left w:val="single" w:sz="4" w:space="0" w:color="auto"/>
              <w:bottom w:val="single" w:sz="4" w:space="0" w:color="auto"/>
              <w:right w:val="single" w:sz="4" w:space="0" w:color="auto"/>
            </w:tcBorders>
          </w:tcPr>
          <w:p w:rsidR="00542C2D" w:rsidRPr="006E187F" w:rsidRDefault="005A1F1F" w:rsidP="00591957">
            <w:pPr>
              <w:pStyle w:val="Tabletext"/>
            </w:pPr>
            <w:r w:rsidRPr="006E187F">
              <w:t>Initial treatment as second-line drug therapy for weeks 1 to 9 (administered once weekly)</w:t>
            </w:r>
          </w:p>
        </w:tc>
      </w:tr>
      <w:tr w:rsidR="00542C2D" w:rsidRPr="006E187F" w:rsidTr="00CC3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15" w:type="pct"/>
            <w:tcBorders>
              <w:top w:val="single" w:sz="4" w:space="0" w:color="auto"/>
              <w:left w:val="single" w:sz="4" w:space="0" w:color="auto"/>
              <w:bottom w:val="single" w:sz="4" w:space="0" w:color="auto"/>
              <w:right w:val="single" w:sz="4" w:space="0" w:color="auto"/>
            </w:tcBorders>
            <w:hideMark/>
          </w:tcPr>
          <w:p w:rsidR="00542C2D" w:rsidRPr="006E187F" w:rsidRDefault="00542C2D" w:rsidP="00591957">
            <w:pPr>
              <w:pStyle w:val="Tabletext"/>
            </w:pPr>
            <w:r w:rsidRPr="006E187F">
              <w:t>Restriction</w:t>
            </w:r>
            <w:r w:rsidR="00591957" w:rsidRPr="006E187F">
              <w:t>:</w:t>
            </w:r>
          </w:p>
        </w:tc>
        <w:tc>
          <w:tcPr>
            <w:tcW w:w="4385" w:type="pct"/>
            <w:gridSpan w:val="5"/>
            <w:tcBorders>
              <w:top w:val="single" w:sz="4" w:space="0" w:color="auto"/>
              <w:left w:val="single" w:sz="4" w:space="0" w:color="auto"/>
              <w:bottom w:val="single" w:sz="4" w:space="0" w:color="auto"/>
              <w:right w:val="single" w:sz="4" w:space="0" w:color="auto"/>
            </w:tcBorders>
          </w:tcPr>
          <w:p w:rsidR="00542C2D" w:rsidRPr="006E187F" w:rsidRDefault="005A1F1F" w:rsidP="00591957">
            <w:pPr>
              <w:pStyle w:val="Tabletext"/>
            </w:pPr>
            <w:r w:rsidRPr="006E187F">
              <w:t>Authority Required – Telephone, Electronic</w:t>
            </w:r>
          </w:p>
        </w:tc>
      </w:tr>
      <w:tr w:rsidR="00542C2D" w:rsidRPr="006E187F" w:rsidTr="00CC3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15" w:type="pct"/>
            <w:tcBorders>
              <w:top w:val="single" w:sz="4" w:space="0" w:color="auto"/>
              <w:left w:val="single" w:sz="4" w:space="0" w:color="auto"/>
              <w:bottom w:val="single" w:sz="4" w:space="0" w:color="auto"/>
              <w:right w:val="single" w:sz="4" w:space="0" w:color="auto"/>
            </w:tcBorders>
            <w:hideMark/>
          </w:tcPr>
          <w:p w:rsidR="00542C2D" w:rsidRPr="006E187F" w:rsidRDefault="00542C2D" w:rsidP="00591957">
            <w:pPr>
              <w:pStyle w:val="Tabletext"/>
            </w:pPr>
            <w:r w:rsidRPr="006E187F">
              <w:t>Clinical criteria</w:t>
            </w:r>
            <w:r w:rsidR="00591957" w:rsidRPr="006E187F">
              <w:t>:</w:t>
            </w:r>
          </w:p>
        </w:tc>
        <w:tc>
          <w:tcPr>
            <w:tcW w:w="4385" w:type="pct"/>
            <w:gridSpan w:val="5"/>
            <w:tcBorders>
              <w:top w:val="single" w:sz="4" w:space="0" w:color="auto"/>
              <w:left w:val="single" w:sz="4" w:space="0" w:color="auto"/>
              <w:bottom w:val="single" w:sz="4" w:space="0" w:color="auto"/>
              <w:right w:val="single" w:sz="4" w:space="0" w:color="auto"/>
            </w:tcBorders>
          </w:tcPr>
          <w:p w:rsidR="005A1F1F" w:rsidRPr="006E187F" w:rsidRDefault="005A1F1F" w:rsidP="0020062D">
            <w:pPr>
              <w:pStyle w:val="Tabletext"/>
            </w:pPr>
            <w:r w:rsidRPr="006E187F">
              <w:t>•</w:t>
            </w:r>
            <w:r w:rsidRPr="006E187F">
              <w:tab/>
              <w:t>The condition must be confirmed by a histological diagnosis, AND</w:t>
            </w:r>
          </w:p>
          <w:p w:rsidR="005A1F1F" w:rsidRPr="006E187F" w:rsidRDefault="005A1F1F" w:rsidP="0020062D">
            <w:pPr>
              <w:pStyle w:val="Tabletext"/>
            </w:pPr>
            <w:r w:rsidRPr="006E187F">
              <w:t>•</w:t>
            </w:r>
            <w:r w:rsidRPr="006E187F">
              <w:tab/>
              <w:t>The treatment must be in combination with bortezomib and dexamethasone, AND</w:t>
            </w:r>
          </w:p>
          <w:p w:rsidR="005A1F1F" w:rsidRPr="006E187F" w:rsidRDefault="005A1F1F" w:rsidP="0020062D">
            <w:pPr>
              <w:pStyle w:val="Tabletext"/>
            </w:pPr>
            <w:r w:rsidRPr="006E187F">
              <w:t>•</w:t>
            </w:r>
            <w:r w:rsidRPr="006E187F">
              <w:tab/>
              <w:t>Patient must have progressive disease after only one prior therapy (i.e. use must be as second-line drug therapy; use as third-line drug therapy or beyond is not PBS-subsidised), AND</w:t>
            </w:r>
          </w:p>
          <w:p w:rsidR="005A1F1F" w:rsidRPr="006E187F" w:rsidRDefault="005A1F1F" w:rsidP="0020062D">
            <w:pPr>
              <w:pStyle w:val="Tabletext"/>
            </w:pPr>
            <w:r w:rsidRPr="006E187F">
              <w:t>•</w:t>
            </w:r>
            <w:r w:rsidRPr="006E187F">
              <w:tab/>
              <w:t>Patient must not be receiving concomitant PBS-subsidised carfilzomib, thalidomide or its analogues, AND</w:t>
            </w:r>
          </w:p>
          <w:p w:rsidR="005A1F1F" w:rsidRPr="006E187F" w:rsidRDefault="005A1F1F" w:rsidP="0020062D">
            <w:pPr>
              <w:pStyle w:val="Tabletext"/>
            </w:pPr>
            <w:r w:rsidRPr="006E187F">
              <w:t>•</w:t>
            </w:r>
            <w:r w:rsidRPr="006E187F">
              <w:tab/>
              <w:t xml:space="preserve">Patient must not have previously received this drug for this condition, OR </w:t>
            </w:r>
          </w:p>
          <w:p w:rsidR="00542C2D" w:rsidRPr="006E187F" w:rsidRDefault="005A1F1F" w:rsidP="0020062D">
            <w:pPr>
              <w:pStyle w:val="Tabletext"/>
            </w:pPr>
            <w:r w:rsidRPr="006E187F">
              <w:t>•</w:t>
            </w:r>
            <w:r w:rsidRPr="006E187F">
              <w:tab/>
              <w:t>If the patient is currently receiving the intravenous form of this drug for this condition, the patient can switch to receive the subcutaneous form of this drug for this condition.</w:t>
            </w:r>
          </w:p>
        </w:tc>
      </w:tr>
    </w:tbl>
    <w:p w:rsidR="00F30CDD" w:rsidRDefault="00F30CDD" w:rsidP="004B1CB4"/>
    <w:p w:rsidR="00F30CDD" w:rsidRDefault="00F30CDD">
      <w:pPr>
        <w:jc w:val="left"/>
      </w:pPr>
      <w:r>
        <w:br w:type="page"/>
      </w:r>
    </w:p>
    <w:p w:rsidR="00B60939" w:rsidRPr="006E187F" w:rsidRDefault="00B60939" w:rsidP="004B1CB4"/>
    <w:tbl>
      <w:tblPr>
        <w:tblW w:w="4977" w:type="pct"/>
        <w:tblInd w:w="28" w:type="dxa"/>
        <w:tblCellMar>
          <w:left w:w="28" w:type="dxa"/>
          <w:right w:w="28" w:type="dxa"/>
        </w:tblCellMar>
        <w:tblLook w:val="0000" w:firstRow="0" w:lastRow="0" w:firstColumn="0" w:lastColumn="0" w:noHBand="0" w:noVBand="0"/>
      </w:tblPr>
      <w:tblGrid>
        <w:gridCol w:w="1442"/>
        <w:gridCol w:w="1836"/>
        <w:gridCol w:w="1005"/>
        <w:gridCol w:w="766"/>
        <w:gridCol w:w="2022"/>
        <w:gridCol w:w="1914"/>
      </w:tblGrid>
      <w:tr w:rsidR="005A1F1F" w:rsidRPr="006E187F" w:rsidTr="00CC3C0E">
        <w:trPr>
          <w:cantSplit/>
          <w:trHeight w:val="463"/>
        </w:trPr>
        <w:tc>
          <w:tcPr>
            <w:tcW w:w="1824" w:type="pct"/>
            <w:gridSpan w:val="2"/>
            <w:tcBorders>
              <w:top w:val="single" w:sz="4" w:space="0" w:color="auto"/>
              <w:bottom w:val="single" w:sz="4" w:space="0" w:color="auto"/>
            </w:tcBorders>
            <w:vAlign w:val="center"/>
          </w:tcPr>
          <w:p w:rsidR="005A1F1F" w:rsidRPr="006E187F" w:rsidRDefault="005A1F1F" w:rsidP="005A1F1F">
            <w:pPr>
              <w:keepNext/>
              <w:jc w:val="left"/>
              <w:rPr>
                <w:rFonts w:ascii="Arial Narrow" w:hAnsi="Arial Narrow"/>
                <w:b/>
                <w:sz w:val="20"/>
              </w:rPr>
            </w:pPr>
            <w:r w:rsidRPr="006E187F">
              <w:rPr>
                <w:rFonts w:ascii="Arial Narrow" w:hAnsi="Arial Narrow"/>
                <w:b/>
                <w:sz w:val="20"/>
              </w:rPr>
              <w:t>Name, Restriction,</w:t>
            </w:r>
          </w:p>
          <w:p w:rsidR="005A1F1F" w:rsidRPr="006E187F" w:rsidRDefault="005A1F1F" w:rsidP="005A1F1F">
            <w:pPr>
              <w:keepNext/>
              <w:jc w:val="left"/>
              <w:rPr>
                <w:rFonts w:ascii="Arial Narrow" w:hAnsi="Arial Narrow"/>
                <w:b/>
                <w:sz w:val="20"/>
              </w:rPr>
            </w:pPr>
            <w:r w:rsidRPr="006E187F">
              <w:rPr>
                <w:rFonts w:ascii="Arial Narrow" w:hAnsi="Arial Narrow"/>
                <w:b/>
                <w:sz w:val="20"/>
              </w:rPr>
              <w:t>Manner of administration and form</w:t>
            </w:r>
          </w:p>
        </w:tc>
        <w:tc>
          <w:tcPr>
            <w:tcW w:w="560" w:type="pct"/>
            <w:tcBorders>
              <w:top w:val="single" w:sz="4" w:space="0" w:color="auto"/>
              <w:bottom w:val="single" w:sz="4" w:space="0" w:color="auto"/>
            </w:tcBorders>
            <w:vAlign w:val="center"/>
          </w:tcPr>
          <w:p w:rsidR="005A1F1F" w:rsidRPr="006E187F" w:rsidRDefault="005A1F1F" w:rsidP="005A1F1F">
            <w:pPr>
              <w:keepNext/>
              <w:jc w:val="center"/>
              <w:rPr>
                <w:rFonts w:ascii="Arial Narrow" w:hAnsi="Arial Narrow"/>
                <w:b/>
                <w:sz w:val="20"/>
              </w:rPr>
            </w:pPr>
            <w:r w:rsidRPr="006E187F">
              <w:rPr>
                <w:rFonts w:ascii="Arial Narrow" w:hAnsi="Arial Narrow"/>
                <w:b/>
                <w:sz w:val="20"/>
              </w:rPr>
              <w:t>Max.</w:t>
            </w:r>
          </w:p>
          <w:p w:rsidR="005A1F1F" w:rsidRPr="006E187F" w:rsidRDefault="005A1F1F" w:rsidP="005A1F1F">
            <w:pPr>
              <w:keepNext/>
              <w:jc w:val="center"/>
              <w:rPr>
                <w:rFonts w:ascii="Arial Narrow" w:hAnsi="Arial Narrow"/>
                <w:b/>
                <w:sz w:val="20"/>
              </w:rPr>
            </w:pPr>
            <w:r w:rsidRPr="006E187F">
              <w:rPr>
                <w:rFonts w:ascii="Arial Narrow" w:hAnsi="Arial Narrow"/>
                <w:b/>
                <w:sz w:val="20"/>
              </w:rPr>
              <w:t>Amt</w:t>
            </w:r>
          </w:p>
        </w:tc>
        <w:tc>
          <w:tcPr>
            <w:tcW w:w="426" w:type="pct"/>
            <w:tcBorders>
              <w:top w:val="single" w:sz="4" w:space="0" w:color="auto"/>
              <w:bottom w:val="single" w:sz="4" w:space="0" w:color="auto"/>
            </w:tcBorders>
            <w:vAlign w:val="center"/>
          </w:tcPr>
          <w:p w:rsidR="005A1F1F" w:rsidRPr="006E187F" w:rsidRDefault="005A1F1F" w:rsidP="005A1F1F">
            <w:pPr>
              <w:keepNext/>
              <w:jc w:val="center"/>
              <w:rPr>
                <w:rFonts w:ascii="Arial Narrow" w:hAnsi="Arial Narrow"/>
                <w:b/>
                <w:sz w:val="20"/>
              </w:rPr>
            </w:pPr>
            <w:r w:rsidRPr="006E187F">
              <w:rPr>
                <w:rFonts w:ascii="Arial Narrow" w:hAnsi="Arial Narrow" w:cs="Times New Roman"/>
                <w:b/>
                <w:sz w:val="20"/>
              </w:rPr>
              <w:t>№</w:t>
            </w:r>
            <w:r w:rsidRPr="006E187F">
              <w:rPr>
                <w:rFonts w:ascii="Arial Narrow" w:hAnsi="Arial Narrow"/>
                <w:b/>
                <w:sz w:val="20"/>
              </w:rPr>
              <w:t>.of</w:t>
            </w:r>
          </w:p>
          <w:p w:rsidR="005A1F1F" w:rsidRPr="006E187F" w:rsidRDefault="005A1F1F" w:rsidP="005A1F1F">
            <w:pPr>
              <w:keepNext/>
              <w:jc w:val="center"/>
              <w:rPr>
                <w:rFonts w:ascii="Arial Narrow" w:hAnsi="Arial Narrow"/>
                <w:b/>
                <w:sz w:val="20"/>
              </w:rPr>
            </w:pPr>
            <w:r w:rsidRPr="006E187F">
              <w:rPr>
                <w:rFonts w:ascii="Arial Narrow" w:hAnsi="Arial Narrow"/>
                <w:b/>
                <w:sz w:val="20"/>
              </w:rPr>
              <w:t>Rpts</w:t>
            </w:r>
          </w:p>
        </w:tc>
        <w:tc>
          <w:tcPr>
            <w:tcW w:w="1125" w:type="pct"/>
            <w:tcBorders>
              <w:top w:val="single" w:sz="4" w:space="0" w:color="auto"/>
              <w:bottom w:val="single" w:sz="4" w:space="0" w:color="auto"/>
            </w:tcBorders>
            <w:vAlign w:val="center"/>
          </w:tcPr>
          <w:p w:rsidR="005A1F1F" w:rsidRPr="006E187F" w:rsidRDefault="005A1F1F" w:rsidP="005A1F1F">
            <w:pPr>
              <w:keepNext/>
              <w:jc w:val="center"/>
              <w:rPr>
                <w:rFonts w:ascii="Arial Narrow" w:hAnsi="Arial Narrow"/>
                <w:b/>
                <w:sz w:val="20"/>
              </w:rPr>
            </w:pPr>
            <w:r w:rsidRPr="006E187F">
              <w:rPr>
                <w:rFonts w:ascii="Arial Narrow" w:hAnsi="Arial Narrow"/>
                <w:b/>
                <w:sz w:val="20"/>
              </w:rPr>
              <w:t>Dispensed Price for Max. Amt</w:t>
            </w:r>
          </w:p>
        </w:tc>
        <w:tc>
          <w:tcPr>
            <w:tcW w:w="1066" w:type="pct"/>
            <w:tcBorders>
              <w:top w:val="single" w:sz="4" w:space="0" w:color="auto"/>
              <w:bottom w:val="single" w:sz="4" w:space="0" w:color="auto"/>
            </w:tcBorders>
            <w:vAlign w:val="center"/>
          </w:tcPr>
          <w:p w:rsidR="005A1F1F" w:rsidRPr="006E187F" w:rsidRDefault="005A1F1F" w:rsidP="005A1F1F">
            <w:pPr>
              <w:keepNext/>
              <w:jc w:val="center"/>
              <w:rPr>
                <w:rFonts w:ascii="Arial Narrow" w:hAnsi="Arial Narrow"/>
                <w:b/>
                <w:sz w:val="20"/>
              </w:rPr>
            </w:pPr>
            <w:r w:rsidRPr="006E187F">
              <w:rPr>
                <w:rFonts w:ascii="Arial Narrow" w:hAnsi="Arial Narrow"/>
                <w:b/>
                <w:sz w:val="20"/>
              </w:rPr>
              <w:t>Proprietary Name and Manufacturer</w:t>
            </w:r>
          </w:p>
        </w:tc>
      </w:tr>
      <w:tr w:rsidR="005A1F1F" w:rsidRPr="006E187F" w:rsidTr="00CC3C0E">
        <w:trPr>
          <w:cantSplit/>
          <w:trHeight w:val="567"/>
        </w:trPr>
        <w:tc>
          <w:tcPr>
            <w:tcW w:w="1824" w:type="pct"/>
            <w:gridSpan w:val="2"/>
            <w:vAlign w:val="center"/>
          </w:tcPr>
          <w:p w:rsidR="005A1F1F" w:rsidRPr="006E187F" w:rsidRDefault="005A1F1F" w:rsidP="005A1F1F">
            <w:pPr>
              <w:keepNext/>
              <w:jc w:val="left"/>
              <w:rPr>
                <w:rFonts w:ascii="Arial Narrow" w:hAnsi="Arial Narrow"/>
                <w:smallCaps/>
                <w:sz w:val="20"/>
              </w:rPr>
            </w:pPr>
            <w:r w:rsidRPr="006E187F">
              <w:rPr>
                <w:rFonts w:ascii="Arial Narrow" w:hAnsi="Arial Narrow"/>
                <w:smallCaps/>
                <w:sz w:val="20"/>
              </w:rPr>
              <w:t>continuing treatment (Weeks 10 to 24)</w:t>
            </w:r>
          </w:p>
          <w:p w:rsidR="005A1F1F" w:rsidRPr="006E187F" w:rsidRDefault="005A1F1F" w:rsidP="005A1F1F">
            <w:pPr>
              <w:keepNext/>
              <w:jc w:val="left"/>
              <w:rPr>
                <w:rFonts w:ascii="Arial Narrow" w:hAnsi="Arial Narrow"/>
                <w:smallCaps/>
                <w:sz w:val="20"/>
              </w:rPr>
            </w:pPr>
            <w:r w:rsidRPr="006E187F">
              <w:rPr>
                <w:rFonts w:ascii="Arial Narrow" w:hAnsi="Arial Narrow"/>
                <w:smallCaps/>
                <w:sz w:val="20"/>
              </w:rPr>
              <w:t>Daratumumab</w:t>
            </w:r>
          </w:p>
          <w:p w:rsidR="005A1F1F" w:rsidRPr="006E187F" w:rsidRDefault="005A1F1F" w:rsidP="005A1F1F">
            <w:pPr>
              <w:keepNext/>
              <w:jc w:val="left"/>
              <w:rPr>
                <w:rFonts w:ascii="Arial Narrow" w:hAnsi="Arial Narrow"/>
                <w:smallCaps/>
                <w:sz w:val="20"/>
              </w:rPr>
            </w:pPr>
            <w:r w:rsidRPr="006E187F">
              <w:rPr>
                <w:rFonts w:ascii="Arial Narrow" w:hAnsi="Arial Narrow"/>
                <w:smallCaps/>
                <w:sz w:val="20"/>
              </w:rPr>
              <w:t>Subcutaneous vial 1800 mg</w:t>
            </w:r>
          </w:p>
          <w:p w:rsidR="00874D30" w:rsidRPr="006E187F" w:rsidRDefault="00874D30" w:rsidP="005A1F1F">
            <w:pPr>
              <w:keepNext/>
              <w:jc w:val="left"/>
              <w:rPr>
                <w:rFonts w:ascii="Arial Narrow" w:hAnsi="Arial Narrow"/>
                <w:sz w:val="20"/>
              </w:rPr>
            </w:pPr>
          </w:p>
        </w:tc>
        <w:tc>
          <w:tcPr>
            <w:tcW w:w="560" w:type="pct"/>
            <w:vAlign w:val="center"/>
          </w:tcPr>
          <w:p w:rsidR="005A1F1F" w:rsidRPr="006E187F" w:rsidRDefault="005A1F1F" w:rsidP="005A1F1F">
            <w:pPr>
              <w:keepNext/>
              <w:jc w:val="center"/>
              <w:rPr>
                <w:rFonts w:ascii="Arial Narrow" w:hAnsi="Arial Narrow"/>
                <w:sz w:val="20"/>
              </w:rPr>
            </w:pPr>
            <w:r w:rsidRPr="006E187F">
              <w:rPr>
                <w:rFonts w:ascii="Arial Narrow" w:hAnsi="Arial Narrow"/>
                <w:sz w:val="20"/>
              </w:rPr>
              <w:t>1800 mg</w:t>
            </w:r>
          </w:p>
        </w:tc>
        <w:tc>
          <w:tcPr>
            <w:tcW w:w="426" w:type="pct"/>
            <w:vAlign w:val="center"/>
          </w:tcPr>
          <w:p w:rsidR="005A1F1F" w:rsidRPr="006E187F" w:rsidRDefault="005A1F1F" w:rsidP="005A1F1F">
            <w:pPr>
              <w:keepNext/>
              <w:jc w:val="center"/>
              <w:rPr>
                <w:rFonts w:ascii="Arial Narrow" w:hAnsi="Arial Narrow"/>
                <w:sz w:val="20"/>
              </w:rPr>
            </w:pPr>
            <w:r w:rsidRPr="006E187F">
              <w:rPr>
                <w:rFonts w:ascii="Arial Narrow" w:hAnsi="Arial Narrow"/>
                <w:sz w:val="20"/>
              </w:rPr>
              <w:t>4</w:t>
            </w:r>
          </w:p>
        </w:tc>
        <w:tc>
          <w:tcPr>
            <w:tcW w:w="1125" w:type="pct"/>
            <w:vAlign w:val="center"/>
          </w:tcPr>
          <w:p w:rsidR="005A1F1F" w:rsidRPr="006E187F" w:rsidRDefault="005A1F1F" w:rsidP="005A1F1F">
            <w:pPr>
              <w:keepNext/>
              <w:jc w:val="center"/>
              <w:rPr>
                <w:rFonts w:ascii="Arial Narrow" w:hAnsi="Arial Narrow"/>
                <w:sz w:val="20"/>
              </w:rPr>
            </w:pPr>
            <w:r w:rsidRPr="006E187F">
              <w:rPr>
                <w:rFonts w:ascii="Arial Narrow" w:hAnsi="Arial Narrow"/>
                <w:sz w:val="20"/>
              </w:rPr>
              <w:t>$7,041.49 published price</w:t>
            </w:r>
          </w:p>
          <w:p w:rsidR="005A1F1F" w:rsidRPr="006E187F" w:rsidRDefault="005A1F1F" w:rsidP="005A1F1F">
            <w:pPr>
              <w:keepNext/>
              <w:jc w:val="center"/>
              <w:rPr>
                <w:rFonts w:ascii="Arial Narrow" w:hAnsi="Arial Narrow"/>
                <w:sz w:val="20"/>
              </w:rPr>
            </w:pPr>
            <w:r w:rsidRPr="006E187F">
              <w:rPr>
                <w:rFonts w:ascii="Arial Narrow" w:hAnsi="Arial Narrow"/>
                <w:sz w:val="20"/>
              </w:rPr>
              <w:t>$</w:t>
            </w:r>
            <w:r w:rsidR="00733F84">
              <w:rPr>
                <w:rFonts w:ascii="Arial Narrow" w:hAnsi="Arial Narrow"/>
                <w:noProof/>
                <w:color w:val="000000"/>
                <w:sz w:val="20"/>
                <w:highlight w:val="black"/>
              </w:rPr>
              <w:t>'''''''''''''''''''''</w:t>
            </w:r>
            <w:r w:rsidRPr="006E187F">
              <w:rPr>
                <w:rFonts w:ascii="Arial Narrow" w:hAnsi="Arial Narrow"/>
                <w:sz w:val="20"/>
              </w:rPr>
              <w:t xml:space="preserve"> effective price</w:t>
            </w:r>
          </w:p>
        </w:tc>
        <w:tc>
          <w:tcPr>
            <w:tcW w:w="1066" w:type="pct"/>
          </w:tcPr>
          <w:p w:rsidR="005A1F1F" w:rsidRPr="006E187F" w:rsidRDefault="005A1F1F" w:rsidP="005A1F1F">
            <w:pPr>
              <w:keepNext/>
              <w:jc w:val="center"/>
              <w:rPr>
                <w:rFonts w:ascii="Arial Narrow" w:hAnsi="Arial Narrow"/>
                <w:sz w:val="20"/>
              </w:rPr>
            </w:pPr>
            <w:r w:rsidRPr="006E187F">
              <w:rPr>
                <w:rFonts w:ascii="Arial Narrow" w:hAnsi="Arial Narrow"/>
                <w:sz w:val="20"/>
              </w:rPr>
              <w:t>DARZALEX®, Janssen Cilag Pty Ltd</w:t>
            </w:r>
          </w:p>
        </w:tc>
      </w:tr>
      <w:tr w:rsidR="005A1F1F" w:rsidRPr="006E187F" w:rsidTr="00CC3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02" w:type="pct"/>
            <w:tcBorders>
              <w:top w:val="single" w:sz="4" w:space="0" w:color="auto"/>
              <w:left w:val="single" w:sz="4" w:space="0" w:color="auto"/>
              <w:bottom w:val="single" w:sz="4" w:space="0" w:color="auto"/>
              <w:right w:val="single" w:sz="4" w:space="0" w:color="auto"/>
            </w:tcBorders>
            <w:hideMark/>
          </w:tcPr>
          <w:p w:rsidR="005A1F1F" w:rsidRPr="006E187F" w:rsidRDefault="005A1F1F" w:rsidP="005A1F1F">
            <w:pPr>
              <w:pStyle w:val="Tabletext"/>
            </w:pPr>
            <w:r w:rsidRPr="006E187F">
              <w:t>Category/Program:</w:t>
            </w:r>
          </w:p>
        </w:tc>
        <w:tc>
          <w:tcPr>
            <w:tcW w:w="4198" w:type="pct"/>
            <w:gridSpan w:val="5"/>
            <w:tcBorders>
              <w:top w:val="single" w:sz="4" w:space="0" w:color="auto"/>
              <w:left w:val="single" w:sz="4" w:space="0" w:color="auto"/>
              <w:bottom w:val="single" w:sz="4" w:space="0" w:color="auto"/>
              <w:right w:val="single" w:sz="4" w:space="0" w:color="auto"/>
            </w:tcBorders>
          </w:tcPr>
          <w:p w:rsidR="005A1F1F" w:rsidRPr="006E187F" w:rsidRDefault="005A1F1F" w:rsidP="00874D30">
            <w:pPr>
              <w:pStyle w:val="Tabletext"/>
            </w:pPr>
            <w:r w:rsidRPr="006E187F">
              <w:t xml:space="preserve">Section 100 – Highly Specialised Drugs Program </w:t>
            </w:r>
            <w:r w:rsidR="00CC218A" w:rsidRPr="006E187F">
              <w:t>(Public/Private Hospital)</w:t>
            </w:r>
          </w:p>
        </w:tc>
      </w:tr>
      <w:tr w:rsidR="005A1F1F" w:rsidRPr="006E187F" w:rsidTr="00CC3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02" w:type="pct"/>
            <w:tcBorders>
              <w:top w:val="single" w:sz="4" w:space="0" w:color="auto"/>
              <w:left w:val="single" w:sz="4" w:space="0" w:color="auto"/>
              <w:bottom w:val="single" w:sz="4" w:space="0" w:color="auto"/>
              <w:right w:val="single" w:sz="4" w:space="0" w:color="auto"/>
            </w:tcBorders>
            <w:hideMark/>
          </w:tcPr>
          <w:p w:rsidR="005A1F1F" w:rsidRPr="006E187F" w:rsidRDefault="005A1F1F" w:rsidP="005A1F1F">
            <w:pPr>
              <w:pStyle w:val="Tabletext"/>
            </w:pPr>
            <w:r w:rsidRPr="006E187F">
              <w:t>PBS indication:</w:t>
            </w:r>
          </w:p>
        </w:tc>
        <w:tc>
          <w:tcPr>
            <w:tcW w:w="4198" w:type="pct"/>
            <w:gridSpan w:val="5"/>
            <w:tcBorders>
              <w:top w:val="single" w:sz="4" w:space="0" w:color="auto"/>
              <w:left w:val="single" w:sz="4" w:space="0" w:color="auto"/>
              <w:bottom w:val="single" w:sz="4" w:space="0" w:color="auto"/>
              <w:right w:val="single" w:sz="4" w:space="0" w:color="auto"/>
            </w:tcBorders>
          </w:tcPr>
          <w:p w:rsidR="005A1F1F" w:rsidRPr="006E187F" w:rsidRDefault="005A1F1F" w:rsidP="005A1F1F">
            <w:pPr>
              <w:pStyle w:val="Tabletext"/>
            </w:pPr>
            <w:r w:rsidRPr="006E187F">
              <w:t>Relapsed and/or refractory multiple myeloma</w:t>
            </w:r>
          </w:p>
        </w:tc>
      </w:tr>
      <w:tr w:rsidR="005A1F1F" w:rsidRPr="006E187F" w:rsidTr="00CC3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02" w:type="pct"/>
            <w:tcBorders>
              <w:top w:val="single" w:sz="4" w:space="0" w:color="auto"/>
              <w:left w:val="single" w:sz="4" w:space="0" w:color="auto"/>
              <w:bottom w:val="single" w:sz="4" w:space="0" w:color="auto"/>
              <w:right w:val="single" w:sz="4" w:space="0" w:color="auto"/>
            </w:tcBorders>
            <w:hideMark/>
          </w:tcPr>
          <w:p w:rsidR="005A1F1F" w:rsidRPr="006E187F" w:rsidRDefault="005A1F1F" w:rsidP="005A1F1F">
            <w:pPr>
              <w:pStyle w:val="Tabletext"/>
            </w:pPr>
            <w:r w:rsidRPr="006E187F">
              <w:t>Treatment phase:</w:t>
            </w:r>
          </w:p>
        </w:tc>
        <w:tc>
          <w:tcPr>
            <w:tcW w:w="4198" w:type="pct"/>
            <w:gridSpan w:val="5"/>
            <w:tcBorders>
              <w:top w:val="single" w:sz="4" w:space="0" w:color="auto"/>
              <w:left w:val="single" w:sz="4" w:space="0" w:color="auto"/>
              <w:bottom w:val="single" w:sz="4" w:space="0" w:color="auto"/>
              <w:right w:val="single" w:sz="4" w:space="0" w:color="auto"/>
            </w:tcBorders>
          </w:tcPr>
          <w:p w:rsidR="005A1F1F" w:rsidRPr="006E187F" w:rsidRDefault="00BB2A61" w:rsidP="005A1F1F">
            <w:pPr>
              <w:pStyle w:val="Tabletext"/>
            </w:pPr>
            <w:r w:rsidRPr="006E187F">
              <w:t>Continuing treatment of second-line drug therapy for weeks 10 to 24 (administered every 3 weeks)</w:t>
            </w:r>
          </w:p>
        </w:tc>
      </w:tr>
      <w:tr w:rsidR="005A1F1F" w:rsidRPr="006E187F" w:rsidTr="00CC3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02" w:type="pct"/>
            <w:tcBorders>
              <w:top w:val="single" w:sz="4" w:space="0" w:color="auto"/>
              <w:left w:val="single" w:sz="4" w:space="0" w:color="auto"/>
              <w:bottom w:val="single" w:sz="4" w:space="0" w:color="auto"/>
              <w:right w:val="single" w:sz="4" w:space="0" w:color="auto"/>
            </w:tcBorders>
            <w:hideMark/>
          </w:tcPr>
          <w:p w:rsidR="005A1F1F" w:rsidRPr="006E187F" w:rsidRDefault="005A1F1F" w:rsidP="005A1F1F">
            <w:pPr>
              <w:pStyle w:val="Tabletext"/>
            </w:pPr>
            <w:r w:rsidRPr="006E187F">
              <w:t>Restriction:</w:t>
            </w:r>
          </w:p>
        </w:tc>
        <w:tc>
          <w:tcPr>
            <w:tcW w:w="4198" w:type="pct"/>
            <w:gridSpan w:val="5"/>
            <w:tcBorders>
              <w:top w:val="single" w:sz="4" w:space="0" w:color="auto"/>
              <w:left w:val="single" w:sz="4" w:space="0" w:color="auto"/>
              <w:bottom w:val="single" w:sz="4" w:space="0" w:color="auto"/>
              <w:right w:val="single" w:sz="4" w:space="0" w:color="auto"/>
            </w:tcBorders>
          </w:tcPr>
          <w:p w:rsidR="005A1F1F" w:rsidRPr="006E187F" w:rsidRDefault="005A1F1F" w:rsidP="005A1F1F">
            <w:pPr>
              <w:pStyle w:val="Tabletext"/>
            </w:pPr>
            <w:r w:rsidRPr="006E187F">
              <w:t>Authority Required – Telephone, Electronic</w:t>
            </w:r>
          </w:p>
        </w:tc>
      </w:tr>
      <w:tr w:rsidR="005A1F1F" w:rsidRPr="006E187F" w:rsidTr="00CC3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02" w:type="pct"/>
            <w:tcBorders>
              <w:top w:val="single" w:sz="4" w:space="0" w:color="auto"/>
              <w:left w:val="single" w:sz="4" w:space="0" w:color="auto"/>
              <w:bottom w:val="single" w:sz="4" w:space="0" w:color="auto"/>
              <w:right w:val="single" w:sz="4" w:space="0" w:color="auto"/>
            </w:tcBorders>
            <w:hideMark/>
          </w:tcPr>
          <w:p w:rsidR="005A1F1F" w:rsidRPr="006E187F" w:rsidRDefault="005A1F1F" w:rsidP="005A1F1F">
            <w:pPr>
              <w:pStyle w:val="Tabletext"/>
            </w:pPr>
            <w:r w:rsidRPr="006E187F">
              <w:t>Clinical criteria:</w:t>
            </w:r>
          </w:p>
        </w:tc>
        <w:tc>
          <w:tcPr>
            <w:tcW w:w="4198" w:type="pct"/>
            <w:gridSpan w:val="5"/>
            <w:tcBorders>
              <w:top w:val="single" w:sz="4" w:space="0" w:color="auto"/>
              <w:left w:val="single" w:sz="4" w:space="0" w:color="auto"/>
              <w:bottom w:val="single" w:sz="4" w:space="0" w:color="auto"/>
              <w:right w:val="single" w:sz="4" w:space="0" w:color="auto"/>
            </w:tcBorders>
          </w:tcPr>
          <w:p w:rsidR="0020062D" w:rsidRPr="006E187F" w:rsidRDefault="0020062D" w:rsidP="0020062D">
            <w:pPr>
              <w:pStyle w:val="Tabletext"/>
            </w:pPr>
            <w:r w:rsidRPr="006E187F">
              <w:t>•</w:t>
            </w:r>
            <w:r w:rsidRPr="006E187F">
              <w:tab/>
              <w:t>Patient must have previously received PBS-subsidised treatment with this drug for this condition, AND</w:t>
            </w:r>
          </w:p>
          <w:p w:rsidR="0020062D" w:rsidRPr="006E187F" w:rsidRDefault="0020062D" w:rsidP="0020062D">
            <w:pPr>
              <w:pStyle w:val="Tabletext"/>
            </w:pPr>
            <w:r w:rsidRPr="006E187F">
              <w:t>•</w:t>
            </w:r>
            <w:r w:rsidRPr="006E187F">
              <w:tab/>
              <w:t>The treatment must be in combination with bortezomib and dexamethasone, AND</w:t>
            </w:r>
          </w:p>
          <w:p w:rsidR="0020062D" w:rsidRPr="006E187F" w:rsidRDefault="0020062D" w:rsidP="0020062D">
            <w:pPr>
              <w:pStyle w:val="Tabletext"/>
            </w:pPr>
            <w:r w:rsidRPr="006E187F">
              <w:t>•</w:t>
            </w:r>
            <w:r w:rsidRPr="006E187F">
              <w:tab/>
              <w:t>Patient must not have developed disease progression while receiving treatment with this drug for this condition, AND</w:t>
            </w:r>
          </w:p>
          <w:p w:rsidR="0020062D" w:rsidRPr="006E187F" w:rsidRDefault="0020062D" w:rsidP="0020062D">
            <w:pPr>
              <w:pStyle w:val="Tabletext"/>
            </w:pPr>
            <w:r w:rsidRPr="006E187F">
              <w:t>•</w:t>
            </w:r>
            <w:r w:rsidRPr="006E187F">
              <w:tab/>
              <w:t>Patient must not be receiving concomitant PBS-subsidised carfilzomib, thalidomide or its analogues, AND</w:t>
            </w:r>
          </w:p>
          <w:p w:rsidR="005A1F1F" w:rsidRPr="006E187F" w:rsidRDefault="0020062D" w:rsidP="0020062D">
            <w:pPr>
              <w:pStyle w:val="Tabletext"/>
            </w:pPr>
            <w:r w:rsidRPr="006E187F">
              <w:t>•</w:t>
            </w:r>
            <w:r w:rsidRPr="006E187F">
              <w:tab/>
              <w:t>If the patient is currently receiving the intravenous form of this drug for this condition, the patient can switch to receive the subcutaneous form of this drug for this condition.</w:t>
            </w:r>
          </w:p>
        </w:tc>
      </w:tr>
    </w:tbl>
    <w:p w:rsidR="005A1F1F" w:rsidRPr="006E187F" w:rsidRDefault="005A1F1F" w:rsidP="004B1CB4"/>
    <w:tbl>
      <w:tblPr>
        <w:tblW w:w="4977" w:type="pct"/>
        <w:tblInd w:w="28" w:type="dxa"/>
        <w:tblCellMar>
          <w:left w:w="28" w:type="dxa"/>
          <w:right w:w="28" w:type="dxa"/>
        </w:tblCellMar>
        <w:tblLook w:val="0000" w:firstRow="0" w:lastRow="0" w:firstColumn="0" w:lastColumn="0" w:noHBand="0" w:noVBand="0"/>
      </w:tblPr>
      <w:tblGrid>
        <w:gridCol w:w="1442"/>
        <w:gridCol w:w="2202"/>
        <w:gridCol w:w="811"/>
        <w:gridCol w:w="707"/>
        <w:gridCol w:w="1964"/>
        <w:gridCol w:w="1859"/>
      </w:tblGrid>
      <w:tr w:rsidR="005A1F1F" w:rsidRPr="006E187F" w:rsidTr="0020062D">
        <w:trPr>
          <w:cantSplit/>
          <w:trHeight w:val="463"/>
        </w:trPr>
        <w:tc>
          <w:tcPr>
            <w:tcW w:w="1878" w:type="pct"/>
            <w:gridSpan w:val="2"/>
            <w:tcBorders>
              <w:top w:val="single" w:sz="4" w:space="0" w:color="auto"/>
              <w:bottom w:val="single" w:sz="4" w:space="0" w:color="auto"/>
            </w:tcBorders>
            <w:vAlign w:val="center"/>
          </w:tcPr>
          <w:p w:rsidR="005A1F1F" w:rsidRPr="006E187F" w:rsidRDefault="005A1F1F" w:rsidP="005A1F1F">
            <w:pPr>
              <w:keepNext/>
              <w:jc w:val="left"/>
              <w:rPr>
                <w:rFonts w:ascii="Arial Narrow" w:hAnsi="Arial Narrow"/>
                <w:b/>
                <w:sz w:val="20"/>
              </w:rPr>
            </w:pPr>
            <w:r w:rsidRPr="006E187F">
              <w:rPr>
                <w:rFonts w:ascii="Arial Narrow" w:hAnsi="Arial Narrow"/>
                <w:b/>
                <w:sz w:val="20"/>
              </w:rPr>
              <w:t>Name, Restriction,</w:t>
            </w:r>
          </w:p>
          <w:p w:rsidR="005A1F1F" w:rsidRPr="006E187F" w:rsidRDefault="005A1F1F" w:rsidP="005A1F1F">
            <w:pPr>
              <w:keepNext/>
              <w:jc w:val="left"/>
              <w:rPr>
                <w:rFonts w:ascii="Arial Narrow" w:hAnsi="Arial Narrow"/>
                <w:b/>
                <w:sz w:val="20"/>
              </w:rPr>
            </w:pPr>
            <w:r w:rsidRPr="006E187F">
              <w:rPr>
                <w:rFonts w:ascii="Arial Narrow" w:hAnsi="Arial Narrow"/>
                <w:b/>
                <w:sz w:val="20"/>
              </w:rPr>
              <w:t>Manner of administration and form</w:t>
            </w:r>
          </w:p>
        </w:tc>
        <w:tc>
          <w:tcPr>
            <w:tcW w:w="489" w:type="pct"/>
            <w:tcBorders>
              <w:top w:val="single" w:sz="4" w:space="0" w:color="auto"/>
              <w:bottom w:val="single" w:sz="4" w:space="0" w:color="auto"/>
            </w:tcBorders>
            <w:vAlign w:val="center"/>
          </w:tcPr>
          <w:p w:rsidR="005A1F1F" w:rsidRPr="006E187F" w:rsidRDefault="005A1F1F" w:rsidP="005A1F1F">
            <w:pPr>
              <w:keepNext/>
              <w:jc w:val="center"/>
              <w:rPr>
                <w:rFonts w:ascii="Arial Narrow" w:hAnsi="Arial Narrow"/>
                <w:b/>
                <w:sz w:val="20"/>
              </w:rPr>
            </w:pPr>
            <w:r w:rsidRPr="006E187F">
              <w:rPr>
                <w:rFonts w:ascii="Arial Narrow" w:hAnsi="Arial Narrow"/>
                <w:b/>
                <w:sz w:val="20"/>
              </w:rPr>
              <w:t>Max.</w:t>
            </w:r>
          </w:p>
          <w:p w:rsidR="005A1F1F" w:rsidRPr="006E187F" w:rsidRDefault="005A1F1F" w:rsidP="005A1F1F">
            <w:pPr>
              <w:keepNext/>
              <w:jc w:val="center"/>
              <w:rPr>
                <w:rFonts w:ascii="Arial Narrow" w:hAnsi="Arial Narrow"/>
                <w:b/>
                <w:sz w:val="20"/>
              </w:rPr>
            </w:pPr>
            <w:r w:rsidRPr="006E187F">
              <w:rPr>
                <w:rFonts w:ascii="Arial Narrow" w:hAnsi="Arial Narrow"/>
                <w:b/>
                <w:sz w:val="20"/>
              </w:rPr>
              <w:t>Amt</w:t>
            </w:r>
          </w:p>
        </w:tc>
        <w:tc>
          <w:tcPr>
            <w:tcW w:w="431" w:type="pct"/>
            <w:tcBorders>
              <w:top w:val="single" w:sz="4" w:space="0" w:color="auto"/>
              <w:bottom w:val="single" w:sz="4" w:space="0" w:color="auto"/>
            </w:tcBorders>
            <w:vAlign w:val="center"/>
          </w:tcPr>
          <w:p w:rsidR="005A1F1F" w:rsidRPr="006E187F" w:rsidRDefault="005A1F1F" w:rsidP="005A1F1F">
            <w:pPr>
              <w:keepNext/>
              <w:jc w:val="center"/>
              <w:rPr>
                <w:rFonts w:ascii="Arial Narrow" w:hAnsi="Arial Narrow"/>
                <w:b/>
                <w:sz w:val="20"/>
              </w:rPr>
            </w:pPr>
            <w:r w:rsidRPr="006E187F">
              <w:rPr>
                <w:rFonts w:ascii="Arial Narrow" w:hAnsi="Arial Narrow" w:cs="Times New Roman"/>
                <w:b/>
                <w:sz w:val="20"/>
              </w:rPr>
              <w:t>№</w:t>
            </w:r>
            <w:r w:rsidRPr="006E187F">
              <w:rPr>
                <w:rFonts w:ascii="Arial Narrow" w:hAnsi="Arial Narrow"/>
                <w:b/>
                <w:sz w:val="20"/>
              </w:rPr>
              <w:t>.of</w:t>
            </w:r>
          </w:p>
          <w:p w:rsidR="005A1F1F" w:rsidRPr="006E187F" w:rsidRDefault="005A1F1F" w:rsidP="005A1F1F">
            <w:pPr>
              <w:keepNext/>
              <w:jc w:val="center"/>
              <w:rPr>
                <w:rFonts w:ascii="Arial Narrow" w:hAnsi="Arial Narrow"/>
                <w:b/>
                <w:sz w:val="20"/>
              </w:rPr>
            </w:pPr>
            <w:r w:rsidRPr="006E187F">
              <w:rPr>
                <w:rFonts w:ascii="Arial Narrow" w:hAnsi="Arial Narrow"/>
                <w:b/>
                <w:sz w:val="20"/>
              </w:rPr>
              <w:t>Rpts</w:t>
            </w:r>
          </w:p>
        </w:tc>
        <w:tc>
          <w:tcPr>
            <w:tcW w:w="1130" w:type="pct"/>
            <w:tcBorders>
              <w:top w:val="single" w:sz="4" w:space="0" w:color="auto"/>
              <w:bottom w:val="single" w:sz="4" w:space="0" w:color="auto"/>
            </w:tcBorders>
            <w:vAlign w:val="center"/>
          </w:tcPr>
          <w:p w:rsidR="005A1F1F" w:rsidRPr="006E187F" w:rsidRDefault="005A1F1F" w:rsidP="005A1F1F">
            <w:pPr>
              <w:keepNext/>
              <w:jc w:val="center"/>
              <w:rPr>
                <w:rFonts w:ascii="Arial Narrow" w:hAnsi="Arial Narrow"/>
                <w:b/>
                <w:sz w:val="20"/>
              </w:rPr>
            </w:pPr>
            <w:r w:rsidRPr="006E187F">
              <w:rPr>
                <w:rFonts w:ascii="Arial Narrow" w:hAnsi="Arial Narrow"/>
                <w:b/>
                <w:sz w:val="20"/>
              </w:rPr>
              <w:t>Dispensed Price for Max. Amt</w:t>
            </w:r>
          </w:p>
        </w:tc>
        <w:tc>
          <w:tcPr>
            <w:tcW w:w="1072" w:type="pct"/>
            <w:tcBorders>
              <w:top w:val="single" w:sz="4" w:space="0" w:color="auto"/>
              <w:bottom w:val="single" w:sz="4" w:space="0" w:color="auto"/>
            </w:tcBorders>
            <w:vAlign w:val="center"/>
          </w:tcPr>
          <w:p w:rsidR="005A1F1F" w:rsidRPr="006E187F" w:rsidRDefault="005A1F1F" w:rsidP="005A1F1F">
            <w:pPr>
              <w:keepNext/>
              <w:jc w:val="center"/>
              <w:rPr>
                <w:rFonts w:ascii="Arial Narrow" w:hAnsi="Arial Narrow"/>
                <w:b/>
                <w:sz w:val="20"/>
              </w:rPr>
            </w:pPr>
            <w:r w:rsidRPr="006E187F">
              <w:rPr>
                <w:rFonts w:ascii="Arial Narrow" w:hAnsi="Arial Narrow"/>
                <w:b/>
                <w:sz w:val="20"/>
              </w:rPr>
              <w:t>Proprietary Name and Manufacturer</w:t>
            </w:r>
          </w:p>
        </w:tc>
      </w:tr>
      <w:tr w:rsidR="005A1F1F" w:rsidRPr="006E187F" w:rsidTr="0020062D">
        <w:trPr>
          <w:cantSplit/>
          <w:trHeight w:val="567"/>
        </w:trPr>
        <w:tc>
          <w:tcPr>
            <w:tcW w:w="1878" w:type="pct"/>
            <w:gridSpan w:val="2"/>
            <w:vAlign w:val="center"/>
          </w:tcPr>
          <w:p w:rsidR="005A1F1F" w:rsidRPr="006E187F" w:rsidRDefault="005A1F1F" w:rsidP="005A1F1F">
            <w:pPr>
              <w:keepNext/>
              <w:jc w:val="left"/>
              <w:rPr>
                <w:rFonts w:ascii="Arial Narrow" w:hAnsi="Arial Narrow"/>
                <w:smallCaps/>
                <w:sz w:val="20"/>
              </w:rPr>
            </w:pPr>
            <w:r w:rsidRPr="006E187F">
              <w:rPr>
                <w:rFonts w:ascii="Arial Narrow" w:hAnsi="Arial Narrow"/>
                <w:smallCaps/>
                <w:sz w:val="20"/>
              </w:rPr>
              <w:t xml:space="preserve">continuing treatment (Weeks </w:t>
            </w:r>
            <w:r w:rsidR="0020062D" w:rsidRPr="006E187F">
              <w:rPr>
                <w:rFonts w:ascii="Arial Narrow" w:hAnsi="Arial Narrow"/>
                <w:smallCaps/>
                <w:sz w:val="20"/>
              </w:rPr>
              <w:t>25 onwards</w:t>
            </w:r>
            <w:r w:rsidRPr="006E187F">
              <w:rPr>
                <w:rFonts w:ascii="Arial Narrow" w:hAnsi="Arial Narrow"/>
                <w:smallCaps/>
                <w:sz w:val="20"/>
              </w:rPr>
              <w:t>)</w:t>
            </w:r>
          </w:p>
          <w:p w:rsidR="005A1F1F" w:rsidRPr="006E187F" w:rsidRDefault="005A1F1F" w:rsidP="005A1F1F">
            <w:pPr>
              <w:keepNext/>
              <w:jc w:val="left"/>
              <w:rPr>
                <w:rFonts w:ascii="Arial Narrow" w:hAnsi="Arial Narrow"/>
                <w:smallCaps/>
                <w:sz w:val="20"/>
              </w:rPr>
            </w:pPr>
            <w:r w:rsidRPr="006E187F">
              <w:rPr>
                <w:rFonts w:ascii="Arial Narrow" w:hAnsi="Arial Narrow"/>
                <w:smallCaps/>
                <w:sz w:val="20"/>
              </w:rPr>
              <w:t>Daratumumab</w:t>
            </w:r>
          </w:p>
          <w:p w:rsidR="005A1F1F" w:rsidRPr="006E187F" w:rsidRDefault="005A1F1F" w:rsidP="005A1F1F">
            <w:pPr>
              <w:keepNext/>
              <w:jc w:val="left"/>
              <w:rPr>
                <w:rFonts w:ascii="Arial Narrow" w:hAnsi="Arial Narrow"/>
                <w:smallCaps/>
                <w:sz w:val="20"/>
              </w:rPr>
            </w:pPr>
            <w:r w:rsidRPr="006E187F">
              <w:rPr>
                <w:rFonts w:ascii="Arial Narrow" w:hAnsi="Arial Narrow"/>
                <w:smallCaps/>
                <w:sz w:val="20"/>
              </w:rPr>
              <w:t>Subcutaneous vial 1800 mg</w:t>
            </w:r>
          </w:p>
          <w:p w:rsidR="00874D30" w:rsidRPr="006E187F" w:rsidRDefault="00874D30" w:rsidP="005A1F1F">
            <w:pPr>
              <w:keepNext/>
              <w:jc w:val="left"/>
              <w:rPr>
                <w:rFonts w:ascii="Arial Narrow" w:hAnsi="Arial Narrow"/>
                <w:sz w:val="20"/>
              </w:rPr>
            </w:pPr>
          </w:p>
        </w:tc>
        <w:tc>
          <w:tcPr>
            <w:tcW w:w="489" w:type="pct"/>
            <w:vAlign w:val="center"/>
          </w:tcPr>
          <w:p w:rsidR="005A1F1F" w:rsidRPr="006E187F" w:rsidRDefault="005A1F1F" w:rsidP="005A1F1F">
            <w:pPr>
              <w:keepNext/>
              <w:jc w:val="center"/>
              <w:rPr>
                <w:rFonts w:ascii="Arial Narrow" w:hAnsi="Arial Narrow"/>
                <w:sz w:val="20"/>
              </w:rPr>
            </w:pPr>
            <w:r w:rsidRPr="006E187F">
              <w:rPr>
                <w:rFonts w:ascii="Arial Narrow" w:hAnsi="Arial Narrow"/>
                <w:sz w:val="20"/>
              </w:rPr>
              <w:t>1800 mg</w:t>
            </w:r>
          </w:p>
        </w:tc>
        <w:tc>
          <w:tcPr>
            <w:tcW w:w="431" w:type="pct"/>
            <w:vAlign w:val="center"/>
          </w:tcPr>
          <w:p w:rsidR="005A1F1F" w:rsidRPr="006E187F" w:rsidRDefault="0020062D" w:rsidP="005A1F1F">
            <w:pPr>
              <w:keepNext/>
              <w:jc w:val="center"/>
              <w:rPr>
                <w:rFonts w:ascii="Arial Narrow" w:hAnsi="Arial Narrow"/>
                <w:sz w:val="20"/>
              </w:rPr>
            </w:pPr>
            <w:r w:rsidRPr="006E187F">
              <w:rPr>
                <w:rFonts w:ascii="Arial Narrow" w:hAnsi="Arial Narrow"/>
                <w:sz w:val="20"/>
              </w:rPr>
              <w:t>5</w:t>
            </w:r>
          </w:p>
        </w:tc>
        <w:tc>
          <w:tcPr>
            <w:tcW w:w="1130" w:type="pct"/>
            <w:vAlign w:val="center"/>
          </w:tcPr>
          <w:p w:rsidR="005A1F1F" w:rsidRPr="006E187F" w:rsidRDefault="005A1F1F" w:rsidP="005A1F1F">
            <w:pPr>
              <w:keepNext/>
              <w:jc w:val="center"/>
              <w:rPr>
                <w:rFonts w:ascii="Arial Narrow" w:hAnsi="Arial Narrow"/>
                <w:sz w:val="20"/>
              </w:rPr>
            </w:pPr>
            <w:r w:rsidRPr="006E187F">
              <w:rPr>
                <w:rFonts w:ascii="Arial Narrow" w:hAnsi="Arial Narrow"/>
                <w:sz w:val="20"/>
              </w:rPr>
              <w:t>$7,041.49 published price</w:t>
            </w:r>
          </w:p>
          <w:p w:rsidR="005A1F1F" w:rsidRPr="006E187F" w:rsidRDefault="005A1F1F" w:rsidP="005A1F1F">
            <w:pPr>
              <w:keepNext/>
              <w:jc w:val="center"/>
              <w:rPr>
                <w:rFonts w:ascii="Arial Narrow" w:hAnsi="Arial Narrow"/>
                <w:sz w:val="20"/>
              </w:rPr>
            </w:pPr>
            <w:r w:rsidRPr="006E187F">
              <w:rPr>
                <w:rFonts w:ascii="Arial Narrow" w:hAnsi="Arial Narrow"/>
                <w:sz w:val="20"/>
              </w:rPr>
              <w:t>$</w:t>
            </w:r>
            <w:r w:rsidR="00733F84">
              <w:rPr>
                <w:rFonts w:ascii="Arial Narrow" w:hAnsi="Arial Narrow"/>
                <w:noProof/>
                <w:color w:val="000000"/>
                <w:sz w:val="20"/>
                <w:highlight w:val="black"/>
              </w:rPr>
              <w:t>''''''''''''''''''''</w:t>
            </w:r>
            <w:r w:rsidRPr="006E187F">
              <w:rPr>
                <w:rFonts w:ascii="Arial Narrow" w:hAnsi="Arial Narrow"/>
                <w:sz w:val="20"/>
              </w:rPr>
              <w:t xml:space="preserve"> effective price</w:t>
            </w:r>
          </w:p>
        </w:tc>
        <w:tc>
          <w:tcPr>
            <w:tcW w:w="1072" w:type="pct"/>
          </w:tcPr>
          <w:p w:rsidR="005A1F1F" w:rsidRPr="006E187F" w:rsidRDefault="005A1F1F" w:rsidP="005A1F1F">
            <w:pPr>
              <w:keepNext/>
              <w:jc w:val="center"/>
              <w:rPr>
                <w:rFonts w:ascii="Arial Narrow" w:hAnsi="Arial Narrow"/>
                <w:sz w:val="20"/>
              </w:rPr>
            </w:pPr>
            <w:r w:rsidRPr="006E187F">
              <w:rPr>
                <w:rFonts w:ascii="Arial Narrow" w:hAnsi="Arial Narrow"/>
                <w:sz w:val="20"/>
              </w:rPr>
              <w:t>DARZALEX®, Janssen Cilag Pty Ltd</w:t>
            </w:r>
          </w:p>
        </w:tc>
      </w:tr>
      <w:tr w:rsidR="005A1F1F" w:rsidRPr="006E187F" w:rsidTr="00CC3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15" w:type="pct"/>
            <w:tcBorders>
              <w:top w:val="single" w:sz="4" w:space="0" w:color="auto"/>
              <w:left w:val="single" w:sz="4" w:space="0" w:color="auto"/>
              <w:bottom w:val="single" w:sz="4" w:space="0" w:color="auto"/>
              <w:right w:val="single" w:sz="4" w:space="0" w:color="auto"/>
            </w:tcBorders>
            <w:hideMark/>
          </w:tcPr>
          <w:p w:rsidR="005A1F1F" w:rsidRPr="006E187F" w:rsidRDefault="005A1F1F" w:rsidP="005A1F1F">
            <w:pPr>
              <w:pStyle w:val="Tabletext"/>
            </w:pPr>
            <w:r w:rsidRPr="006E187F">
              <w:t>Category/Program:</w:t>
            </w:r>
          </w:p>
        </w:tc>
        <w:tc>
          <w:tcPr>
            <w:tcW w:w="4385" w:type="pct"/>
            <w:gridSpan w:val="5"/>
            <w:tcBorders>
              <w:top w:val="single" w:sz="4" w:space="0" w:color="auto"/>
              <w:left w:val="single" w:sz="4" w:space="0" w:color="auto"/>
              <w:bottom w:val="single" w:sz="4" w:space="0" w:color="auto"/>
              <w:right w:val="single" w:sz="4" w:space="0" w:color="auto"/>
            </w:tcBorders>
          </w:tcPr>
          <w:p w:rsidR="005A1F1F" w:rsidRPr="006E187F" w:rsidRDefault="005A1F1F" w:rsidP="00CC218A">
            <w:pPr>
              <w:pStyle w:val="Tabletext"/>
            </w:pPr>
            <w:r w:rsidRPr="006E187F">
              <w:t xml:space="preserve">Section 100 – Highly Specialised Drugs Program </w:t>
            </w:r>
            <w:r w:rsidR="00CC218A" w:rsidRPr="006E187F">
              <w:t>(Public/Private Hospital)</w:t>
            </w:r>
          </w:p>
        </w:tc>
      </w:tr>
      <w:tr w:rsidR="005A1F1F" w:rsidRPr="006E187F" w:rsidTr="00CC3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15" w:type="pct"/>
            <w:tcBorders>
              <w:top w:val="single" w:sz="4" w:space="0" w:color="auto"/>
              <w:left w:val="single" w:sz="4" w:space="0" w:color="auto"/>
              <w:bottom w:val="single" w:sz="4" w:space="0" w:color="auto"/>
              <w:right w:val="single" w:sz="4" w:space="0" w:color="auto"/>
            </w:tcBorders>
            <w:hideMark/>
          </w:tcPr>
          <w:p w:rsidR="005A1F1F" w:rsidRPr="006E187F" w:rsidRDefault="005A1F1F" w:rsidP="005A1F1F">
            <w:pPr>
              <w:pStyle w:val="Tabletext"/>
            </w:pPr>
            <w:r w:rsidRPr="006E187F">
              <w:t>PBS indication:</w:t>
            </w:r>
          </w:p>
        </w:tc>
        <w:tc>
          <w:tcPr>
            <w:tcW w:w="4385" w:type="pct"/>
            <w:gridSpan w:val="5"/>
            <w:tcBorders>
              <w:top w:val="single" w:sz="4" w:space="0" w:color="auto"/>
              <w:left w:val="single" w:sz="4" w:space="0" w:color="auto"/>
              <w:bottom w:val="single" w:sz="4" w:space="0" w:color="auto"/>
              <w:right w:val="single" w:sz="4" w:space="0" w:color="auto"/>
            </w:tcBorders>
          </w:tcPr>
          <w:p w:rsidR="005A1F1F" w:rsidRPr="006E187F" w:rsidRDefault="005A1F1F" w:rsidP="005A1F1F">
            <w:pPr>
              <w:pStyle w:val="Tabletext"/>
            </w:pPr>
            <w:r w:rsidRPr="006E187F">
              <w:t>Relapsed and/or refractory multiple myeloma</w:t>
            </w:r>
          </w:p>
        </w:tc>
      </w:tr>
      <w:tr w:rsidR="005A1F1F" w:rsidRPr="006E187F" w:rsidTr="00CC3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15" w:type="pct"/>
            <w:tcBorders>
              <w:top w:val="single" w:sz="4" w:space="0" w:color="auto"/>
              <w:left w:val="single" w:sz="4" w:space="0" w:color="auto"/>
              <w:bottom w:val="single" w:sz="4" w:space="0" w:color="auto"/>
              <w:right w:val="single" w:sz="4" w:space="0" w:color="auto"/>
            </w:tcBorders>
            <w:hideMark/>
          </w:tcPr>
          <w:p w:rsidR="005A1F1F" w:rsidRPr="006E187F" w:rsidRDefault="005A1F1F" w:rsidP="005A1F1F">
            <w:pPr>
              <w:pStyle w:val="Tabletext"/>
            </w:pPr>
            <w:r w:rsidRPr="006E187F">
              <w:t>Treatment phase:</w:t>
            </w:r>
          </w:p>
        </w:tc>
        <w:tc>
          <w:tcPr>
            <w:tcW w:w="4385" w:type="pct"/>
            <w:gridSpan w:val="5"/>
            <w:tcBorders>
              <w:top w:val="single" w:sz="4" w:space="0" w:color="auto"/>
              <w:left w:val="single" w:sz="4" w:space="0" w:color="auto"/>
              <w:bottom w:val="single" w:sz="4" w:space="0" w:color="auto"/>
              <w:right w:val="single" w:sz="4" w:space="0" w:color="auto"/>
            </w:tcBorders>
          </w:tcPr>
          <w:p w:rsidR="005A1F1F" w:rsidRPr="006E187F" w:rsidRDefault="0020062D" w:rsidP="005A1F1F">
            <w:pPr>
              <w:pStyle w:val="Tabletext"/>
            </w:pPr>
            <w:r w:rsidRPr="006E187F">
              <w:t>Continuing treatment of second-line drug therapy from week 25 until disease progression (administered every 4 weeks)</w:t>
            </w:r>
          </w:p>
        </w:tc>
      </w:tr>
      <w:tr w:rsidR="005A1F1F" w:rsidRPr="006E187F" w:rsidTr="00CC3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15" w:type="pct"/>
            <w:tcBorders>
              <w:top w:val="single" w:sz="4" w:space="0" w:color="auto"/>
              <w:left w:val="single" w:sz="4" w:space="0" w:color="auto"/>
              <w:bottom w:val="single" w:sz="4" w:space="0" w:color="auto"/>
              <w:right w:val="single" w:sz="4" w:space="0" w:color="auto"/>
            </w:tcBorders>
            <w:hideMark/>
          </w:tcPr>
          <w:p w:rsidR="005A1F1F" w:rsidRPr="006E187F" w:rsidRDefault="005A1F1F" w:rsidP="005A1F1F">
            <w:pPr>
              <w:pStyle w:val="Tabletext"/>
            </w:pPr>
            <w:r w:rsidRPr="006E187F">
              <w:t>Restriction:</w:t>
            </w:r>
          </w:p>
        </w:tc>
        <w:tc>
          <w:tcPr>
            <w:tcW w:w="4385" w:type="pct"/>
            <w:gridSpan w:val="5"/>
            <w:tcBorders>
              <w:top w:val="single" w:sz="4" w:space="0" w:color="auto"/>
              <w:left w:val="single" w:sz="4" w:space="0" w:color="auto"/>
              <w:bottom w:val="single" w:sz="4" w:space="0" w:color="auto"/>
              <w:right w:val="single" w:sz="4" w:space="0" w:color="auto"/>
            </w:tcBorders>
          </w:tcPr>
          <w:p w:rsidR="005A1F1F" w:rsidRPr="006E187F" w:rsidRDefault="005A1F1F" w:rsidP="005A1F1F">
            <w:pPr>
              <w:pStyle w:val="Tabletext"/>
            </w:pPr>
            <w:r w:rsidRPr="006E187F">
              <w:t>Authority Required – Telephone, Electronic</w:t>
            </w:r>
          </w:p>
        </w:tc>
      </w:tr>
      <w:tr w:rsidR="005A1F1F" w:rsidRPr="006E187F" w:rsidTr="00CC3C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15" w:type="pct"/>
            <w:tcBorders>
              <w:top w:val="single" w:sz="4" w:space="0" w:color="auto"/>
              <w:left w:val="single" w:sz="4" w:space="0" w:color="auto"/>
              <w:bottom w:val="single" w:sz="4" w:space="0" w:color="auto"/>
              <w:right w:val="single" w:sz="4" w:space="0" w:color="auto"/>
            </w:tcBorders>
            <w:hideMark/>
          </w:tcPr>
          <w:p w:rsidR="005A1F1F" w:rsidRPr="006E187F" w:rsidRDefault="005A1F1F" w:rsidP="005A1F1F">
            <w:pPr>
              <w:pStyle w:val="Tabletext"/>
            </w:pPr>
            <w:r w:rsidRPr="006E187F">
              <w:t>Clinical criteria:</w:t>
            </w:r>
          </w:p>
        </w:tc>
        <w:tc>
          <w:tcPr>
            <w:tcW w:w="4385" w:type="pct"/>
            <w:gridSpan w:val="5"/>
            <w:tcBorders>
              <w:top w:val="single" w:sz="4" w:space="0" w:color="auto"/>
              <w:left w:val="single" w:sz="4" w:space="0" w:color="auto"/>
              <w:bottom w:val="single" w:sz="4" w:space="0" w:color="auto"/>
              <w:right w:val="single" w:sz="4" w:space="0" w:color="auto"/>
            </w:tcBorders>
          </w:tcPr>
          <w:p w:rsidR="0020062D" w:rsidRPr="006E187F" w:rsidRDefault="0020062D" w:rsidP="0020062D">
            <w:pPr>
              <w:pStyle w:val="Tabletext"/>
            </w:pPr>
            <w:r w:rsidRPr="006E187F">
              <w:t>•</w:t>
            </w:r>
            <w:r w:rsidRPr="006E187F">
              <w:tab/>
              <w:t>Patient must have previously received PBS-subsidised treatment with this drug for this condition, AND</w:t>
            </w:r>
          </w:p>
          <w:p w:rsidR="0020062D" w:rsidRPr="006E187F" w:rsidRDefault="0020062D" w:rsidP="0020062D">
            <w:pPr>
              <w:pStyle w:val="Tabletext"/>
            </w:pPr>
            <w:r w:rsidRPr="006E187F">
              <w:t>•</w:t>
            </w:r>
            <w:r w:rsidRPr="006E187F">
              <w:tab/>
              <w:t>Patient must not have developed disease progression while receiving treatment with this drug for this condition, AND</w:t>
            </w:r>
          </w:p>
          <w:p w:rsidR="0020062D" w:rsidRPr="006E187F" w:rsidRDefault="0020062D" w:rsidP="0020062D">
            <w:pPr>
              <w:pStyle w:val="Tabletext"/>
            </w:pPr>
            <w:r w:rsidRPr="006E187F">
              <w:t>•</w:t>
            </w:r>
            <w:r w:rsidRPr="006E187F">
              <w:tab/>
              <w:t>Patient must not be receiving concomitant PBS-subsidised bortezomib, carfilzomib or thalidomide or its analogues, AND</w:t>
            </w:r>
          </w:p>
          <w:p w:rsidR="005A1F1F" w:rsidRPr="006E187F" w:rsidRDefault="0020062D" w:rsidP="0020062D">
            <w:pPr>
              <w:pStyle w:val="Tabletext"/>
            </w:pPr>
            <w:r w:rsidRPr="006E187F">
              <w:t>•</w:t>
            </w:r>
            <w:r w:rsidRPr="006E187F">
              <w:tab/>
              <w:t>If the patient is currently receiving the intravenous form of this drug for this condition, the patient can switch to receive the subcutaneous form of this drug for this condition</w:t>
            </w:r>
          </w:p>
        </w:tc>
      </w:tr>
    </w:tbl>
    <w:p w:rsidR="005A1F1F" w:rsidRPr="006E187F" w:rsidRDefault="008052AC" w:rsidP="008052AC">
      <w:pPr>
        <w:pStyle w:val="TableFigureFooter"/>
      </w:pPr>
      <w:r w:rsidRPr="006E187F">
        <w:t xml:space="preserve">Source: Table 1.6, pp.22-23 of the submission. </w:t>
      </w:r>
    </w:p>
    <w:p w:rsidR="00176E86" w:rsidRPr="006E187F" w:rsidRDefault="00176E86" w:rsidP="004B1CB4"/>
    <w:p w:rsidR="00775A0F" w:rsidRDefault="00582F22" w:rsidP="00C733E1">
      <w:pPr>
        <w:pStyle w:val="3-BodyText"/>
      </w:pPr>
      <w:r w:rsidRPr="006E187F">
        <w:t xml:space="preserve">The submission proposed a </w:t>
      </w:r>
      <w:r w:rsidR="006E187F">
        <w:t>S</w:t>
      </w:r>
      <w:r w:rsidR="006E187F" w:rsidRPr="006E187F">
        <w:t xml:space="preserve">pecial </w:t>
      </w:r>
      <w:r w:rsidR="006E187F">
        <w:t>P</w:t>
      </w:r>
      <w:r w:rsidR="006E187F" w:rsidRPr="006E187F">
        <w:t xml:space="preserve">ricing </w:t>
      </w:r>
      <w:r w:rsidR="006E187F">
        <w:t>A</w:t>
      </w:r>
      <w:r w:rsidR="006E187F" w:rsidRPr="006E187F">
        <w:t xml:space="preserve">rrangement </w:t>
      </w:r>
      <w:r w:rsidR="00997BC9" w:rsidRPr="006E187F">
        <w:t xml:space="preserve">(SPA) </w:t>
      </w:r>
      <w:r w:rsidRPr="006E187F">
        <w:t xml:space="preserve">with a rebate of </w:t>
      </w:r>
      <w:r w:rsidR="00733F84">
        <w:rPr>
          <w:noProof/>
          <w:color w:val="000000"/>
          <w:highlight w:val="black"/>
        </w:rPr>
        <w:t>'''''''''''</w:t>
      </w:r>
      <w:r w:rsidRPr="006E187F">
        <w:t>% for daratumumab SC under a Section 100 (Highly Specialised Drugs Program) listing.</w:t>
      </w:r>
      <w:r w:rsidR="00775A0F" w:rsidRPr="006E187F">
        <w:t xml:space="preserve"> In its </w:t>
      </w:r>
      <w:r w:rsidR="00EC2676" w:rsidRPr="006E187F">
        <w:t>p</w:t>
      </w:r>
      <w:r w:rsidR="00775A0F" w:rsidRPr="006E187F">
        <w:t>re-PBAC Response</w:t>
      </w:r>
      <w:r w:rsidR="00D538A9">
        <w:t xml:space="preserve"> </w:t>
      </w:r>
      <w:r w:rsidR="00775A0F" w:rsidRPr="006E187F">
        <w:t xml:space="preserve">the </w:t>
      </w:r>
      <w:r w:rsidR="006237A7" w:rsidRPr="006E187F">
        <w:t xml:space="preserve">sponsor reiterated that the Highly Specialised Drugs Program is the most appropriate place for daratumumab SC on the PBS, on the basis that this formulation was a ready-to-use formulation that does not require reconstitution or require any specialised equipment or preparation outside of the standard practice for preparing drugs for parenteral use. </w:t>
      </w:r>
    </w:p>
    <w:p w:rsidR="00C733E1" w:rsidRPr="006E187F" w:rsidRDefault="00C733E1" w:rsidP="00C733E1">
      <w:pPr>
        <w:pStyle w:val="3-BodyText"/>
      </w:pPr>
      <w:r>
        <w:t xml:space="preserve">The PBAC recalled that, when considering the SC forms of rituximab (November 2014) and trastuzumab (July 2015), for which IV forms of these agents were listed on the PBS under the Section 100 (Efficient Funding of Chemotherapy), it had recommended a dual listing for the SC forms under the General Schedule and the Section 100 (Efficient Funding of Chemotherapy – </w:t>
      </w:r>
      <w:r w:rsidR="00275982">
        <w:t>Related Benefits</w:t>
      </w:r>
      <w:r w:rsidR="00FD3BC0">
        <w:t>)</w:t>
      </w:r>
      <w:r>
        <w:t xml:space="preserve">. The PBAC </w:t>
      </w:r>
      <w:r w:rsidR="00275982">
        <w:t xml:space="preserve">could not see any differences in the circumstances of listing SC daratumumab to those which led to the listing of SC rituximab and SC trastuzumab in </w:t>
      </w:r>
      <w:r w:rsidR="00BE5C17">
        <w:t>two</w:t>
      </w:r>
      <w:r w:rsidR="00275982">
        <w:t xml:space="preserve"> separate sections of the PBS Schedule. Therefore</w:t>
      </w:r>
      <w:r w:rsidR="00BE5C17">
        <w:t>,</w:t>
      </w:r>
      <w:r w:rsidR="00275982">
        <w:t xml:space="preserve"> for consistency, </w:t>
      </w:r>
      <w:r>
        <w:t>the</w:t>
      </w:r>
      <w:r w:rsidR="00BE5C17">
        <w:t xml:space="preserve"> PBAC considered that the</w:t>
      </w:r>
      <w:r>
        <w:t xml:space="preserve"> </w:t>
      </w:r>
      <w:r w:rsidR="00275982">
        <w:t xml:space="preserve">listing of the </w:t>
      </w:r>
      <w:r>
        <w:t>SC form of daratumumab should</w:t>
      </w:r>
      <w:r w:rsidR="00275982">
        <w:t xml:space="preserve"> follow the examples of SC rituximab and SC trast</w:t>
      </w:r>
      <w:r w:rsidR="00BE5C17">
        <w:t>u</w:t>
      </w:r>
      <w:r w:rsidR="00275982">
        <w:t>zumab</w:t>
      </w:r>
      <w:r>
        <w:t>.</w:t>
      </w:r>
    </w:p>
    <w:p w:rsidR="00083146" w:rsidRPr="006E187F" w:rsidRDefault="00856CA5" w:rsidP="00083146">
      <w:pPr>
        <w:pStyle w:val="3-BodyText"/>
      </w:pPr>
      <w:r w:rsidRPr="006E187F">
        <w:rPr>
          <w:iCs/>
        </w:rPr>
        <w:t xml:space="preserve">The proposed PBS restriction of </w:t>
      </w:r>
      <w:r w:rsidR="000D3E0F" w:rsidRPr="006E187F">
        <w:rPr>
          <w:iCs/>
        </w:rPr>
        <w:t xml:space="preserve">SC </w:t>
      </w:r>
      <w:r w:rsidRPr="006E187F">
        <w:rPr>
          <w:iCs/>
        </w:rPr>
        <w:t>DBd</w:t>
      </w:r>
      <w:r w:rsidR="000D3E0F" w:rsidRPr="006E187F">
        <w:rPr>
          <w:iCs/>
        </w:rPr>
        <w:t xml:space="preserve"> was for use as a </w:t>
      </w:r>
      <w:r w:rsidRPr="006E187F">
        <w:rPr>
          <w:iCs/>
        </w:rPr>
        <w:t>second</w:t>
      </w:r>
      <w:r w:rsidRPr="006E187F">
        <w:rPr>
          <w:iCs/>
        </w:rPr>
        <w:noBreakHyphen/>
        <w:t xml:space="preserve">line MM </w:t>
      </w:r>
      <w:r w:rsidR="000D3E0F" w:rsidRPr="006E187F">
        <w:rPr>
          <w:iCs/>
        </w:rPr>
        <w:t>treatment</w:t>
      </w:r>
      <w:r w:rsidR="00724394" w:rsidRPr="006E187F">
        <w:rPr>
          <w:iCs/>
        </w:rPr>
        <w:t>.</w:t>
      </w:r>
      <w:r w:rsidR="00724394" w:rsidRPr="006E187F">
        <w:t xml:space="preserve"> This </w:t>
      </w:r>
      <w:r w:rsidR="000062A2" w:rsidRPr="006E187F">
        <w:t>was</w:t>
      </w:r>
      <w:r w:rsidR="00724394" w:rsidRPr="006E187F">
        <w:t xml:space="preserve"> consistent with the PBS restriction for IV</w:t>
      </w:r>
      <w:r w:rsidR="000D3E0F" w:rsidRPr="006E187F">
        <w:t xml:space="preserve"> DBd; </w:t>
      </w:r>
      <w:r w:rsidR="00724394" w:rsidRPr="006E187F">
        <w:t>however</w:t>
      </w:r>
      <w:r w:rsidR="000D3E0F" w:rsidRPr="006E187F">
        <w:t>,</w:t>
      </w:r>
      <w:r w:rsidRPr="006E187F">
        <w:t xml:space="preserve"> </w:t>
      </w:r>
      <w:r w:rsidR="000062A2" w:rsidRPr="006E187F">
        <w:t>was</w:t>
      </w:r>
      <w:r w:rsidRPr="006E187F">
        <w:t xml:space="preserve"> inconsistent with the COLUMBA trial</w:t>
      </w:r>
      <w:r w:rsidR="00FC5A62" w:rsidRPr="006E187F">
        <w:t xml:space="preserve"> </w:t>
      </w:r>
      <w:r w:rsidR="000D3E0F" w:rsidRPr="006E187F">
        <w:t xml:space="preserve">which formed the basis of the </w:t>
      </w:r>
      <w:r w:rsidR="00FC5A62" w:rsidRPr="006E187F">
        <w:t>clinical claim,</w:t>
      </w:r>
      <w:r w:rsidRPr="006E187F">
        <w:t xml:space="preserve"> </w:t>
      </w:r>
      <w:r w:rsidR="000D3E0F" w:rsidRPr="006E187F">
        <w:t xml:space="preserve">in which </w:t>
      </w:r>
      <w:r w:rsidRPr="006E187F">
        <w:t>patients receiv</w:t>
      </w:r>
      <w:r w:rsidR="000D3E0F" w:rsidRPr="006E187F">
        <w:t>ed</w:t>
      </w:r>
      <w:r w:rsidRPr="006E187F">
        <w:t xml:space="preserve"> daratumumab SC monotherapy</w:t>
      </w:r>
      <w:r w:rsidR="00930E50" w:rsidRPr="006E187F">
        <w:t xml:space="preserve"> after receiving at least </w:t>
      </w:r>
      <w:r w:rsidR="000D3E0F" w:rsidRPr="006E187F">
        <w:t>three</w:t>
      </w:r>
      <w:r w:rsidR="00930E50" w:rsidRPr="006E187F">
        <w:t xml:space="preserve"> prior lines of therapy</w:t>
      </w:r>
      <w:r w:rsidRPr="006E187F">
        <w:t>.</w:t>
      </w:r>
      <w:r w:rsidR="00930E50" w:rsidRPr="006E187F">
        <w:t xml:space="preserve"> </w:t>
      </w:r>
      <w:r w:rsidR="006237A7" w:rsidRPr="006E187F">
        <w:t>However,</w:t>
      </w:r>
      <w:r w:rsidR="00685EEE" w:rsidRPr="006E187F">
        <w:t xml:space="preserve"> </w:t>
      </w:r>
      <w:r w:rsidR="00420164" w:rsidRPr="006E187F">
        <w:t>the TGA Delegate’s Overview</w:t>
      </w:r>
      <w:r w:rsidR="00C61779" w:rsidRPr="006E187F">
        <w:t xml:space="preserve"> </w:t>
      </w:r>
      <w:r w:rsidR="00420164" w:rsidRPr="006E187F">
        <w:t>concluded that the data “supported the use of daratumumab SC in all the indications for which IV administration is currently approved”. The submission concluded that the results from the COLUMBA trial are applicable for daratumumab when used in combination and in other MM indications.</w:t>
      </w:r>
    </w:p>
    <w:p w:rsidR="00083146" w:rsidRPr="006E187F" w:rsidRDefault="00D42206" w:rsidP="006E187F">
      <w:pPr>
        <w:pStyle w:val="3-BodyText"/>
      </w:pPr>
      <w:r w:rsidRPr="006E187F">
        <w:t xml:space="preserve">The pre-PBAC response clarified that for a patient whose body weight is less than 112.5 kg, switching from daratumumab IV, 16 mg/kg (total dose = 1,800 mg) to the 1,800 mg SC formulation would not be considered an overdose. </w:t>
      </w:r>
      <w:r w:rsidR="00C61779" w:rsidRPr="006E187F">
        <w:t xml:space="preserve">The pre-PBAC response stated that this was based on a subgroup analysis of the COLUMBA trial which demonstrated acceptable tolerability and safety in lower weight patients. This was also confirmed in the TGA’s Clinical Evaluator response which stated that the various exposure-response analyses did not indicate lower efficacy in high body weight patients or increased toxicity in low bodyweight patients as a result of the daratumumab SC flat-dosing. </w:t>
      </w:r>
      <w:r w:rsidR="00003B0B">
        <w:t>It was noted in the Product Information that in refractory/relapsed myeloma, when given in combination with bortezomib and dexamethasone, the dosing schedule for the SC form is the same as that for the IV form, meaning that the number of repeats for the existing IV form could be transcribed over into the SC form listing.</w:t>
      </w:r>
    </w:p>
    <w:p w:rsidR="00AD2F4F" w:rsidRPr="006E187F" w:rsidRDefault="00AD2F4F" w:rsidP="00685EEE">
      <w:pPr>
        <w:ind w:firstLine="709"/>
      </w:pPr>
      <w:r w:rsidRPr="006E187F">
        <w:rPr>
          <w:rFonts w:asciiTheme="minorHAnsi" w:hAnsiTheme="minorHAnsi"/>
          <w:i/>
        </w:rPr>
        <w:t>For more detail on PBAC’s view, see section 7 PBAC outcome.</w:t>
      </w:r>
    </w:p>
    <w:p w:rsidR="00B50DB8" w:rsidRPr="006E187F" w:rsidRDefault="00203181" w:rsidP="004E18E9">
      <w:pPr>
        <w:pStyle w:val="2-SectionHeading"/>
      </w:pPr>
      <w:bookmarkStart w:id="6" w:name="_Toc72246590"/>
      <w:r w:rsidRPr="006E187F">
        <w:t xml:space="preserve">Population and </w:t>
      </w:r>
      <w:r w:rsidR="008E0D3C" w:rsidRPr="006E187F">
        <w:t>d</w:t>
      </w:r>
      <w:r w:rsidRPr="006E187F">
        <w:t>isease</w:t>
      </w:r>
      <w:bookmarkEnd w:id="6"/>
    </w:p>
    <w:p w:rsidR="00894489" w:rsidRPr="006E187F" w:rsidRDefault="004478D6" w:rsidP="004478D6">
      <w:pPr>
        <w:pStyle w:val="3-BodyText"/>
      </w:pPr>
      <w:r w:rsidRPr="006E187F">
        <w:t>MM is a cytogenetically heterogeneous clonal plasma cell proliferative disorder characterised by an abnormal serum and/or urine immunoglobulin. As MM progresses and patients relapse following initial treatment, the presence of subclonal populations of malignant plasma cells becomes increasingly prevalent. Typical clinical features include: bone disease (and bone loss) with skeletal pain, impaired renal function, anaemia, fatigue, hypercalcaemia, recurrent and/or persistent bacterial infection, and/or hyperviscosity of the blood (paragraph 4.1, Daratumumab, Public Summary Document, November 2017).</w:t>
      </w:r>
    </w:p>
    <w:p w:rsidR="007627BE" w:rsidRPr="006E187F" w:rsidRDefault="00E21820" w:rsidP="004E18E9">
      <w:pPr>
        <w:pStyle w:val="3-BodyText"/>
      </w:pPr>
      <w:r w:rsidRPr="006E187F">
        <w:t>Daratumumab SC is a monoclonal antibody with ATC classification L01XC24.</w:t>
      </w:r>
    </w:p>
    <w:p w:rsidR="004C684B" w:rsidRPr="006E187F" w:rsidRDefault="004C684B" w:rsidP="004C684B">
      <w:pPr>
        <w:pStyle w:val="3-BodyText"/>
      </w:pPr>
      <w:r w:rsidRPr="006E187F">
        <w:t>The submission proposed the addition of the 1</w:t>
      </w:r>
      <w:r w:rsidR="000D3E0F" w:rsidRPr="006E187F">
        <w:t>,</w:t>
      </w:r>
      <w:r w:rsidRPr="006E187F">
        <w:t>800 mg daratumumab SC flat dosing for second line MM. T</w:t>
      </w:r>
      <w:r w:rsidR="006E187F">
        <w:t>he PBAC considered t</w:t>
      </w:r>
      <w:r w:rsidRPr="006E187F">
        <w:t xml:space="preserve">his was reasonable. </w:t>
      </w:r>
    </w:p>
    <w:p w:rsidR="00AD2F4F" w:rsidRPr="006E187F" w:rsidRDefault="00AD2F4F" w:rsidP="00685EEE">
      <w:pPr>
        <w:ind w:firstLine="709"/>
      </w:pPr>
      <w:r w:rsidRPr="006E187F">
        <w:rPr>
          <w:rFonts w:asciiTheme="minorHAnsi" w:hAnsiTheme="minorHAnsi"/>
          <w:i/>
        </w:rPr>
        <w:t>For more detail on PBAC’s view, see section 7 PBAC outcome.</w:t>
      </w:r>
    </w:p>
    <w:p w:rsidR="00B50DB8" w:rsidRPr="006E187F" w:rsidRDefault="00B50DB8" w:rsidP="004E18E9">
      <w:pPr>
        <w:pStyle w:val="2-SectionHeading"/>
      </w:pPr>
      <w:bookmarkStart w:id="7" w:name="_Toc72246591"/>
      <w:r w:rsidRPr="006E187F">
        <w:t>Comparator</w:t>
      </w:r>
      <w:bookmarkEnd w:id="7"/>
    </w:p>
    <w:p w:rsidR="00A05472" w:rsidRPr="006E187F" w:rsidRDefault="004478D6" w:rsidP="004478D6">
      <w:pPr>
        <w:pStyle w:val="3-BodyText"/>
        <w:rPr>
          <w:snapToGrid/>
        </w:rPr>
      </w:pPr>
      <w:r w:rsidRPr="006E187F">
        <w:t>The submission nominated daratumumab 16 mg/kg IV infusion as the main comparator. The submission noted that daratumumab SC is expected to replace the PBS listed IV form of daratumumab, given they are the same active medicine for the same PBS-subsidised population.</w:t>
      </w:r>
      <w:r w:rsidR="00BC591F" w:rsidRPr="006E187F">
        <w:t xml:space="preserve"> </w:t>
      </w:r>
      <w:r w:rsidRPr="006E187F">
        <w:t xml:space="preserve">This </w:t>
      </w:r>
      <w:r w:rsidR="00E21820" w:rsidRPr="006E187F">
        <w:t>was</w:t>
      </w:r>
      <w:r w:rsidRPr="006E187F">
        <w:t xml:space="preserve"> appropriate.</w:t>
      </w:r>
    </w:p>
    <w:p w:rsidR="00AD2F4F" w:rsidRPr="006E187F" w:rsidRDefault="00AD2F4F" w:rsidP="00AD2F4F">
      <w:pPr>
        <w:ind w:firstLine="709"/>
        <w:rPr>
          <w:rFonts w:asciiTheme="minorHAnsi" w:hAnsiTheme="minorHAnsi"/>
          <w:i/>
        </w:rPr>
      </w:pPr>
      <w:r w:rsidRPr="006E187F">
        <w:rPr>
          <w:rFonts w:asciiTheme="minorHAnsi" w:hAnsiTheme="minorHAnsi"/>
          <w:i/>
        </w:rPr>
        <w:t>For more detail on PBAC’s view, see section 7 PBAC outcome.</w:t>
      </w:r>
    </w:p>
    <w:p w:rsidR="00223D5A" w:rsidRPr="006E187F" w:rsidRDefault="00223D5A" w:rsidP="00223D5A">
      <w:pPr>
        <w:pStyle w:val="2-SectionHeading"/>
        <w:numPr>
          <w:ilvl w:val="0"/>
          <w:numId w:val="1"/>
        </w:numPr>
      </w:pPr>
      <w:bookmarkStart w:id="8" w:name="_Toc72246592"/>
      <w:bookmarkStart w:id="9" w:name="_Toc22897640"/>
      <w:r w:rsidRPr="006E187F">
        <w:t>Consideration of the evidence</w:t>
      </w:r>
      <w:bookmarkEnd w:id="8"/>
    </w:p>
    <w:p w:rsidR="00E537B2" w:rsidRPr="006E187F" w:rsidRDefault="00E537B2" w:rsidP="00321EB2">
      <w:pPr>
        <w:pStyle w:val="4-SubsectionHeading"/>
        <w:rPr>
          <w:snapToGrid w:val="0"/>
        </w:rPr>
      </w:pPr>
      <w:bookmarkStart w:id="10" w:name="_Toc72246593"/>
      <w:r w:rsidRPr="006E187F">
        <w:rPr>
          <w:snapToGrid w:val="0"/>
        </w:rPr>
        <w:t>Sponsor hearing</w:t>
      </w:r>
    </w:p>
    <w:p w:rsidR="00E537B2" w:rsidRPr="006E187F" w:rsidRDefault="00E537B2" w:rsidP="00E537B2">
      <w:pPr>
        <w:widowControl w:val="0"/>
        <w:numPr>
          <w:ilvl w:val="1"/>
          <w:numId w:val="1"/>
        </w:numPr>
        <w:spacing w:after="120"/>
        <w:rPr>
          <w:rFonts w:asciiTheme="minorHAnsi" w:hAnsiTheme="minorHAnsi"/>
          <w:bCs/>
          <w:snapToGrid w:val="0"/>
        </w:rPr>
      </w:pPr>
      <w:r w:rsidRPr="006E187F">
        <w:rPr>
          <w:rFonts w:asciiTheme="minorHAnsi" w:hAnsiTheme="minorHAnsi"/>
          <w:bCs/>
          <w:snapToGrid w:val="0"/>
        </w:rPr>
        <w:t>There was no hearing for this item.</w:t>
      </w:r>
    </w:p>
    <w:p w:rsidR="00E537B2" w:rsidRPr="006E187F" w:rsidRDefault="00E537B2" w:rsidP="00321EB2">
      <w:pPr>
        <w:pStyle w:val="4-SubsectionHeading"/>
        <w:rPr>
          <w:snapToGrid w:val="0"/>
        </w:rPr>
      </w:pPr>
      <w:r w:rsidRPr="006E187F">
        <w:rPr>
          <w:snapToGrid w:val="0"/>
        </w:rPr>
        <w:t>Consumer comments</w:t>
      </w:r>
    </w:p>
    <w:p w:rsidR="00E537B2" w:rsidRPr="006E187F" w:rsidRDefault="00E537B2" w:rsidP="00685EEE">
      <w:pPr>
        <w:widowControl w:val="0"/>
        <w:numPr>
          <w:ilvl w:val="1"/>
          <w:numId w:val="1"/>
        </w:numPr>
        <w:spacing w:after="120"/>
        <w:rPr>
          <w:rFonts w:asciiTheme="minorHAnsi" w:hAnsiTheme="minorHAnsi"/>
          <w:bCs/>
          <w:snapToGrid w:val="0"/>
        </w:rPr>
      </w:pPr>
      <w:r w:rsidRPr="006E187F">
        <w:rPr>
          <w:rFonts w:asciiTheme="minorHAnsi" w:hAnsiTheme="minorHAnsi"/>
          <w:bCs/>
          <w:snapToGrid w:val="0"/>
        </w:rPr>
        <w:t>The PBAC noted and welcomed the input from individuals (38), health care professionals (1) and organisations (3) via the Consumer Comments facility on the PBS website</w:t>
      </w:r>
      <w:r w:rsidR="006E187F">
        <w:rPr>
          <w:rFonts w:asciiTheme="minorHAnsi" w:hAnsiTheme="minorHAnsi"/>
          <w:bCs/>
          <w:snapToGrid w:val="0"/>
        </w:rPr>
        <w:t xml:space="preserve">. </w:t>
      </w:r>
      <w:r w:rsidR="00685EEE" w:rsidRPr="006E187F">
        <w:rPr>
          <w:rFonts w:asciiTheme="minorHAnsi" w:hAnsiTheme="minorHAnsi"/>
          <w:bCs/>
          <w:snapToGrid w:val="0"/>
        </w:rPr>
        <w:t>Both t</w:t>
      </w:r>
      <w:r w:rsidRPr="006E187F">
        <w:rPr>
          <w:rFonts w:asciiTheme="minorHAnsi" w:hAnsiTheme="minorHAnsi"/>
          <w:bCs/>
          <w:snapToGrid w:val="0"/>
        </w:rPr>
        <w:t>he</w:t>
      </w:r>
      <w:r w:rsidR="00685EEE" w:rsidRPr="006E187F">
        <w:rPr>
          <w:rFonts w:asciiTheme="minorHAnsi" w:hAnsiTheme="minorHAnsi"/>
          <w:bCs/>
          <w:snapToGrid w:val="0"/>
        </w:rPr>
        <w:t xml:space="preserve"> individual</w:t>
      </w:r>
      <w:r w:rsidRPr="006E187F">
        <w:rPr>
          <w:rFonts w:asciiTheme="minorHAnsi" w:hAnsiTheme="minorHAnsi"/>
          <w:bCs/>
          <w:snapToGrid w:val="0"/>
        </w:rPr>
        <w:t xml:space="preserve"> comments </w:t>
      </w:r>
      <w:r w:rsidR="00685EEE" w:rsidRPr="006E187F">
        <w:rPr>
          <w:rFonts w:asciiTheme="minorHAnsi" w:hAnsiTheme="minorHAnsi"/>
          <w:bCs/>
          <w:snapToGrid w:val="0"/>
        </w:rPr>
        <w:t xml:space="preserve">and the advice received from the Myeloma Australia, Myeloma Australia’s Medical and Scientific Advisory Group and the Leukaemia Foundation </w:t>
      </w:r>
      <w:r w:rsidR="00942BCF" w:rsidRPr="006E187F">
        <w:rPr>
          <w:rFonts w:asciiTheme="minorHAnsi" w:hAnsiTheme="minorHAnsi"/>
          <w:bCs/>
          <w:snapToGrid w:val="0"/>
        </w:rPr>
        <w:t xml:space="preserve">highlighted the quality of life and convenience benefits that a </w:t>
      </w:r>
      <w:r w:rsidR="00685EEE" w:rsidRPr="006E187F">
        <w:rPr>
          <w:rFonts w:asciiTheme="minorHAnsi" w:hAnsiTheme="minorHAnsi"/>
          <w:bCs/>
          <w:snapToGrid w:val="0"/>
        </w:rPr>
        <w:t>five</w:t>
      </w:r>
      <w:r w:rsidR="00942BCF" w:rsidRPr="006E187F">
        <w:rPr>
          <w:rFonts w:asciiTheme="minorHAnsi" w:hAnsiTheme="minorHAnsi"/>
          <w:bCs/>
          <w:snapToGrid w:val="0"/>
        </w:rPr>
        <w:t xml:space="preserve">-minute </w:t>
      </w:r>
      <w:r w:rsidR="00685EEE" w:rsidRPr="006E187F">
        <w:rPr>
          <w:rFonts w:asciiTheme="minorHAnsi" w:hAnsiTheme="minorHAnsi"/>
          <w:bCs/>
          <w:snapToGrid w:val="0"/>
        </w:rPr>
        <w:t>SC</w:t>
      </w:r>
      <w:r w:rsidR="00942BCF" w:rsidRPr="006E187F">
        <w:rPr>
          <w:rFonts w:asciiTheme="minorHAnsi" w:hAnsiTheme="minorHAnsi"/>
          <w:bCs/>
          <w:snapToGrid w:val="0"/>
        </w:rPr>
        <w:t xml:space="preserve"> </w:t>
      </w:r>
      <w:r w:rsidR="00685EEE" w:rsidRPr="006E187F">
        <w:rPr>
          <w:rFonts w:asciiTheme="minorHAnsi" w:hAnsiTheme="minorHAnsi"/>
          <w:bCs/>
          <w:snapToGrid w:val="0"/>
        </w:rPr>
        <w:t>injection</w:t>
      </w:r>
      <w:r w:rsidR="00942BCF" w:rsidRPr="006E187F">
        <w:rPr>
          <w:rFonts w:asciiTheme="minorHAnsi" w:hAnsiTheme="minorHAnsi"/>
          <w:bCs/>
          <w:snapToGrid w:val="0"/>
        </w:rPr>
        <w:t xml:space="preserve"> of daratumumab w</w:t>
      </w:r>
      <w:r w:rsidR="00685EEE" w:rsidRPr="006E187F">
        <w:rPr>
          <w:rFonts w:asciiTheme="minorHAnsi" w:hAnsiTheme="minorHAnsi"/>
          <w:bCs/>
          <w:snapToGrid w:val="0"/>
        </w:rPr>
        <w:t>ould</w:t>
      </w:r>
      <w:r w:rsidR="00942BCF" w:rsidRPr="006E187F">
        <w:rPr>
          <w:rFonts w:asciiTheme="minorHAnsi" w:hAnsiTheme="minorHAnsi"/>
          <w:bCs/>
          <w:snapToGrid w:val="0"/>
        </w:rPr>
        <w:t xml:space="preserve"> provide for patients over the current </w:t>
      </w:r>
      <w:r w:rsidR="008E300E" w:rsidRPr="006E187F">
        <w:rPr>
          <w:rFonts w:asciiTheme="minorHAnsi" w:hAnsiTheme="minorHAnsi"/>
          <w:bCs/>
          <w:snapToGrid w:val="0"/>
        </w:rPr>
        <w:t>multi-hour IV administration requirements.</w:t>
      </w:r>
    </w:p>
    <w:p w:rsidR="00B60939" w:rsidRPr="006E187F" w:rsidRDefault="00B60939" w:rsidP="002E4F02">
      <w:pPr>
        <w:pStyle w:val="4-SubsectionHeading"/>
      </w:pPr>
      <w:r w:rsidRPr="006E187F">
        <w:t>Clinical trial</w:t>
      </w:r>
      <w:bookmarkEnd w:id="9"/>
      <w:bookmarkEnd w:id="10"/>
    </w:p>
    <w:p w:rsidR="007F1017" w:rsidRPr="006E187F" w:rsidRDefault="00A73134" w:rsidP="002E4F02">
      <w:pPr>
        <w:pStyle w:val="3-BodyText"/>
      </w:pPr>
      <w:r w:rsidRPr="006E187F">
        <w:rPr>
          <w:snapToGrid/>
        </w:rPr>
        <w:t xml:space="preserve">The submission </w:t>
      </w:r>
      <w:r w:rsidR="00D5243B" w:rsidRPr="006E187F">
        <w:rPr>
          <w:snapToGrid/>
        </w:rPr>
        <w:t>wa</w:t>
      </w:r>
      <w:r w:rsidR="00582F22" w:rsidRPr="006E187F">
        <w:rPr>
          <w:snapToGrid/>
        </w:rPr>
        <w:t xml:space="preserve">s based on </w:t>
      </w:r>
      <w:r w:rsidRPr="006E187F">
        <w:rPr>
          <w:snapToGrid/>
        </w:rPr>
        <w:t>one head-to-head trial</w:t>
      </w:r>
      <w:r w:rsidR="00582F22" w:rsidRPr="006E187F">
        <w:rPr>
          <w:snapToGrid/>
        </w:rPr>
        <w:t xml:space="preserve"> </w:t>
      </w:r>
      <w:r w:rsidR="00D6141A" w:rsidRPr="006E187F">
        <w:rPr>
          <w:snapToGrid/>
        </w:rPr>
        <w:t xml:space="preserve">(COLUMBA, N=522) </w:t>
      </w:r>
      <w:r w:rsidRPr="006E187F">
        <w:rPr>
          <w:snapToGrid/>
        </w:rPr>
        <w:t xml:space="preserve">comparing </w:t>
      </w:r>
      <w:r w:rsidR="00582F22" w:rsidRPr="006E187F">
        <w:rPr>
          <w:snapToGrid/>
        </w:rPr>
        <w:t>daratumumab SC monotherapy</w:t>
      </w:r>
      <w:r w:rsidRPr="006E187F">
        <w:rPr>
          <w:snapToGrid/>
        </w:rPr>
        <w:t xml:space="preserve"> to </w:t>
      </w:r>
      <w:r w:rsidR="00582F22" w:rsidRPr="006E187F">
        <w:rPr>
          <w:snapToGrid/>
        </w:rPr>
        <w:t>daratumumab IV monotherapy</w:t>
      </w:r>
      <w:r w:rsidRPr="006E187F">
        <w:rPr>
          <w:snapToGrid/>
        </w:rPr>
        <w:t xml:space="preserve">. </w:t>
      </w:r>
    </w:p>
    <w:p w:rsidR="00862502" w:rsidRPr="006E187F" w:rsidRDefault="006E187F" w:rsidP="002E4F02">
      <w:pPr>
        <w:pStyle w:val="3-BodyText"/>
      </w:pPr>
      <w:r>
        <w:rPr>
          <w:snapToGrid/>
        </w:rPr>
        <w:t>The table below provides d</w:t>
      </w:r>
      <w:r w:rsidRPr="006E187F">
        <w:rPr>
          <w:snapToGrid/>
        </w:rPr>
        <w:t xml:space="preserve">etails </w:t>
      </w:r>
      <w:r w:rsidR="00A73134" w:rsidRPr="006E187F">
        <w:rPr>
          <w:snapToGrid/>
        </w:rPr>
        <w:t xml:space="preserve">of the </w:t>
      </w:r>
      <w:r w:rsidR="0020062D" w:rsidRPr="006E187F">
        <w:rPr>
          <w:snapToGrid/>
        </w:rPr>
        <w:t>trial</w:t>
      </w:r>
      <w:r w:rsidR="00A73134" w:rsidRPr="006E187F">
        <w:rPr>
          <w:snapToGrid/>
        </w:rPr>
        <w:t xml:space="preserve"> presented in the submission.</w:t>
      </w:r>
    </w:p>
    <w:p w:rsidR="008E0D3C" w:rsidRPr="006E187F" w:rsidRDefault="00582F22" w:rsidP="002E4F02">
      <w:pPr>
        <w:pStyle w:val="TableFigureHeading"/>
        <w:rPr>
          <w:rStyle w:val="CommentReference"/>
          <w:b/>
          <w:szCs w:val="24"/>
        </w:rPr>
      </w:pPr>
      <w:r w:rsidRPr="006E187F">
        <w:rPr>
          <w:rStyle w:val="CommentReference"/>
          <w:b/>
          <w:szCs w:val="24"/>
        </w:rPr>
        <w:t xml:space="preserve">Table </w:t>
      </w:r>
      <w:r w:rsidR="00B83340" w:rsidRPr="006E187F">
        <w:rPr>
          <w:rStyle w:val="CommentReference"/>
          <w:b/>
          <w:szCs w:val="24"/>
        </w:rPr>
        <w:t>2</w:t>
      </w:r>
      <w:r w:rsidR="008E0D3C" w:rsidRPr="006E187F">
        <w:rPr>
          <w:rStyle w:val="CommentReference"/>
          <w:b/>
          <w:szCs w:val="24"/>
        </w:rPr>
        <w:t>:</w:t>
      </w:r>
      <w:r w:rsidR="00BC591F" w:rsidRPr="006E187F">
        <w:rPr>
          <w:rStyle w:val="CommentReference"/>
          <w:b/>
          <w:szCs w:val="24"/>
        </w:rPr>
        <w:t xml:space="preserve"> </w:t>
      </w:r>
      <w:r w:rsidR="008E0D3C" w:rsidRPr="006E187F">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8E0D3C" w:rsidRPr="006E187F" w:rsidTr="0020062D">
        <w:trPr>
          <w:cantSplit/>
          <w:tblHeader/>
        </w:trPr>
        <w:tc>
          <w:tcPr>
            <w:tcW w:w="795" w:type="pct"/>
            <w:tcBorders>
              <w:bottom w:val="single" w:sz="4" w:space="0" w:color="auto"/>
            </w:tcBorders>
            <w:vAlign w:val="center"/>
          </w:tcPr>
          <w:p w:rsidR="008E0D3C" w:rsidRPr="006E187F" w:rsidRDefault="008E0D3C" w:rsidP="00685EEE">
            <w:pPr>
              <w:pStyle w:val="In-tableHeading"/>
              <w:rPr>
                <w:lang w:val="en-AU"/>
              </w:rPr>
            </w:pPr>
            <w:r w:rsidRPr="006E187F">
              <w:rPr>
                <w:lang w:val="en-AU"/>
              </w:rPr>
              <w:t>Trial ID</w:t>
            </w:r>
          </w:p>
        </w:tc>
        <w:tc>
          <w:tcPr>
            <w:tcW w:w="2803" w:type="pct"/>
            <w:tcBorders>
              <w:bottom w:val="single" w:sz="4" w:space="0" w:color="auto"/>
            </w:tcBorders>
            <w:vAlign w:val="center"/>
          </w:tcPr>
          <w:p w:rsidR="008E0D3C" w:rsidRPr="006E187F" w:rsidRDefault="008E0D3C" w:rsidP="002E4F02">
            <w:pPr>
              <w:pStyle w:val="In-tableHeading"/>
              <w:rPr>
                <w:lang w:val="en-AU"/>
              </w:rPr>
            </w:pPr>
            <w:r w:rsidRPr="006E187F">
              <w:rPr>
                <w:lang w:val="en-AU"/>
              </w:rPr>
              <w:t>Protocol title/Publication title</w:t>
            </w:r>
          </w:p>
        </w:tc>
        <w:tc>
          <w:tcPr>
            <w:tcW w:w="1402" w:type="pct"/>
            <w:tcBorders>
              <w:bottom w:val="single" w:sz="4" w:space="0" w:color="auto"/>
            </w:tcBorders>
            <w:vAlign w:val="center"/>
          </w:tcPr>
          <w:p w:rsidR="008E0D3C" w:rsidRPr="006E187F" w:rsidRDefault="008E0D3C" w:rsidP="002E4F02">
            <w:pPr>
              <w:pStyle w:val="In-tableHeading"/>
              <w:rPr>
                <w:lang w:val="en-AU"/>
              </w:rPr>
            </w:pPr>
            <w:r w:rsidRPr="006E187F">
              <w:rPr>
                <w:lang w:val="en-AU"/>
              </w:rPr>
              <w:t>Publication citation</w:t>
            </w:r>
          </w:p>
        </w:tc>
      </w:tr>
      <w:tr w:rsidR="002E4F02" w:rsidRPr="006E187F" w:rsidTr="00BB732D">
        <w:trPr>
          <w:cantSplit/>
        </w:trPr>
        <w:tc>
          <w:tcPr>
            <w:tcW w:w="795" w:type="pct"/>
            <w:vMerge w:val="restart"/>
            <w:vAlign w:val="center"/>
          </w:tcPr>
          <w:p w:rsidR="002E4F02" w:rsidRPr="006E187F" w:rsidRDefault="0020062D" w:rsidP="00685EEE">
            <w:pPr>
              <w:pStyle w:val="TableText0"/>
              <w:rPr>
                <w:rFonts w:ascii="Times" w:hAnsi="Times"/>
              </w:rPr>
            </w:pPr>
            <w:r w:rsidRPr="006E187F">
              <w:t>COLUMBA</w:t>
            </w:r>
          </w:p>
        </w:tc>
        <w:tc>
          <w:tcPr>
            <w:tcW w:w="2803" w:type="pct"/>
            <w:tcBorders>
              <w:bottom w:val="nil"/>
            </w:tcBorders>
            <w:vAlign w:val="center"/>
          </w:tcPr>
          <w:p w:rsidR="002E4F02" w:rsidRPr="006E187F" w:rsidRDefault="0020062D" w:rsidP="00EC5836">
            <w:pPr>
              <w:pStyle w:val="TableText0"/>
            </w:pPr>
            <w:r w:rsidRPr="006E187F">
              <w:t>A Phase 3 Randomi</w:t>
            </w:r>
            <w:r w:rsidR="00BC2B37" w:rsidRPr="006E187F">
              <w:t>s</w:t>
            </w:r>
            <w:r w:rsidRPr="006E187F">
              <w:t>ed, Multicent</w:t>
            </w:r>
            <w:r w:rsidR="00BC2B37" w:rsidRPr="006E187F">
              <w:t>re</w:t>
            </w:r>
            <w:r w:rsidRPr="006E187F">
              <w:t xml:space="preserve"> Study of Subcutaneous versus Intravenous Administration of Daratumumab in Subjects with Relapsed or Refractory Multiple Myeloma. Primary analysis Clinical Study Report</w:t>
            </w:r>
          </w:p>
        </w:tc>
        <w:tc>
          <w:tcPr>
            <w:tcW w:w="1402" w:type="pct"/>
            <w:tcBorders>
              <w:bottom w:val="nil"/>
            </w:tcBorders>
            <w:vAlign w:val="center"/>
          </w:tcPr>
          <w:p w:rsidR="002E4F02" w:rsidRPr="006E187F" w:rsidRDefault="0020062D" w:rsidP="00EC5836">
            <w:pPr>
              <w:pStyle w:val="TableText0"/>
            </w:pPr>
            <w:r w:rsidRPr="006E187F">
              <w:t>8 January 2019</w:t>
            </w:r>
          </w:p>
        </w:tc>
      </w:tr>
      <w:tr w:rsidR="002E4F02" w:rsidRPr="006E187F" w:rsidTr="00BB732D">
        <w:trPr>
          <w:cantSplit/>
        </w:trPr>
        <w:tc>
          <w:tcPr>
            <w:tcW w:w="795" w:type="pct"/>
            <w:vMerge/>
            <w:vAlign w:val="center"/>
          </w:tcPr>
          <w:p w:rsidR="002E4F02" w:rsidRPr="006E187F" w:rsidRDefault="002E4F02" w:rsidP="00EC5836">
            <w:pPr>
              <w:pStyle w:val="TableText0"/>
              <w:jc w:val="center"/>
            </w:pPr>
          </w:p>
        </w:tc>
        <w:tc>
          <w:tcPr>
            <w:tcW w:w="2803" w:type="pct"/>
            <w:tcBorders>
              <w:top w:val="nil"/>
              <w:bottom w:val="nil"/>
            </w:tcBorders>
            <w:vAlign w:val="center"/>
          </w:tcPr>
          <w:p w:rsidR="002E4F02" w:rsidRPr="006E187F" w:rsidRDefault="0020062D" w:rsidP="00EC5836">
            <w:pPr>
              <w:pStyle w:val="TableText0"/>
            </w:pPr>
            <w:r w:rsidRPr="006E187F">
              <w:t>A Phase 3 Randomi</w:t>
            </w:r>
            <w:r w:rsidR="00BC2B37" w:rsidRPr="006E187F">
              <w:t>s</w:t>
            </w:r>
            <w:r w:rsidRPr="006E187F">
              <w:t>ed, Multicent</w:t>
            </w:r>
            <w:r w:rsidR="00A267FF" w:rsidRPr="006E187F">
              <w:t>r</w:t>
            </w:r>
            <w:r w:rsidR="00BC2B37" w:rsidRPr="006E187F">
              <w:t>e</w:t>
            </w:r>
            <w:r w:rsidRPr="006E187F">
              <w:t xml:space="preserve"> Study of Subcutaneous versus Intravenous Administration of Daratumumab in Subjects with Relapsed or Refractory Multiple Myeloma. Synoptic Clinical Study Report (6-month update)</w:t>
            </w:r>
          </w:p>
        </w:tc>
        <w:tc>
          <w:tcPr>
            <w:tcW w:w="1402" w:type="pct"/>
            <w:tcBorders>
              <w:top w:val="nil"/>
              <w:bottom w:val="nil"/>
            </w:tcBorders>
            <w:vAlign w:val="center"/>
          </w:tcPr>
          <w:p w:rsidR="002E4F02" w:rsidRPr="006E187F" w:rsidRDefault="0020062D" w:rsidP="00EC5836">
            <w:pPr>
              <w:pStyle w:val="TableText0"/>
            </w:pPr>
            <w:r w:rsidRPr="006E187F">
              <w:t>8 July 2019</w:t>
            </w:r>
          </w:p>
        </w:tc>
      </w:tr>
      <w:tr w:rsidR="002E4F02" w:rsidRPr="006E187F" w:rsidTr="0020062D">
        <w:trPr>
          <w:cantSplit/>
        </w:trPr>
        <w:tc>
          <w:tcPr>
            <w:tcW w:w="795" w:type="pct"/>
            <w:vMerge/>
            <w:tcBorders>
              <w:bottom w:val="single" w:sz="4" w:space="0" w:color="auto"/>
            </w:tcBorders>
            <w:vAlign w:val="center"/>
          </w:tcPr>
          <w:p w:rsidR="002E4F02" w:rsidRPr="006E187F" w:rsidRDefault="002E4F02" w:rsidP="00EC5836">
            <w:pPr>
              <w:pStyle w:val="TableText0"/>
              <w:jc w:val="center"/>
            </w:pPr>
          </w:p>
        </w:tc>
        <w:tc>
          <w:tcPr>
            <w:tcW w:w="2803" w:type="pct"/>
            <w:tcBorders>
              <w:top w:val="nil"/>
              <w:bottom w:val="single" w:sz="4" w:space="0" w:color="auto"/>
            </w:tcBorders>
            <w:vAlign w:val="center"/>
          </w:tcPr>
          <w:p w:rsidR="002E4F02" w:rsidRPr="006E187F" w:rsidRDefault="002A001D" w:rsidP="002A001D">
            <w:pPr>
              <w:pStyle w:val="TableText0"/>
            </w:pPr>
            <w:r w:rsidRPr="006E187F">
              <w:t xml:space="preserve">Mateos MV, et al. (2020). </w:t>
            </w:r>
            <w:r w:rsidR="0020062D" w:rsidRPr="006E187F">
              <w:t xml:space="preserve">Subcutaneous versus intravenous daratumumab in patients with relapsed or refractory multiple myeloma (COLUMBA): a multicentre, open-label, non-inferiority, randomised, phase 3 trial. </w:t>
            </w:r>
          </w:p>
        </w:tc>
        <w:tc>
          <w:tcPr>
            <w:tcW w:w="1402" w:type="pct"/>
            <w:tcBorders>
              <w:top w:val="nil"/>
              <w:bottom w:val="single" w:sz="4" w:space="0" w:color="auto"/>
            </w:tcBorders>
            <w:vAlign w:val="center"/>
          </w:tcPr>
          <w:p w:rsidR="002E4F02" w:rsidRPr="006E187F" w:rsidRDefault="0020062D" w:rsidP="00EC5836">
            <w:pPr>
              <w:pStyle w:val="TableText0"/>
            </w:pPr>
            <w:r w:rsidRPr="006E187F">
              <w:t>Lancet Haematology 2020; 7(5):e370-e380</w:t>
            </w:r>
          </w:p>
        </w:tc>
      </w:tr>
    </w:tbl>
    <w:p w:rsidR="008E0D3C" w:rsidRPr="006E187F" w:rsidRDefault="008E0D3C" w:rsidP="00EC5836">
      <w:pPr>
        <w:pStyle w:val="TableFigureFooter"/>
        <w:rPr>
          <w:sz w:val="20"/>
        </w:rPr>
      </w:pPr>
      <w:r w:rsidRPr="006E187F">
        <w:t xml:space="preserve">Source: </w:t>
      </w:r>
      <w:r w:rsidR="0020062D" w:rsidRPr="006E187F">
        <w:t>Table 2.5, p.31 of the submission.</w:t>
      </w:r>
    </w:p>
    <w:p w:rsidR="000D3E0F" w:rsidRPr="006E187F" w:rsidRDefault="008F120A" w:rsidP="00EC5836">
      <w:pPr>
        <w:pStyle w:val="3-BodyText"/>
      </w:pPr>
      <w:r w:rsidRPr="006E187F">
        <w:t xml:space="preserve">The key features of the </w:t>
      </w:r>
      <w:r w:rsidR="00E21820" w:rsidRPr="006E187F">
        <w:t xml:space="preserve">direct randomised trial </w:t>
      </w:r>
      <w:r w:rsidRPr="006E187F">
        <w:t xml:space="preserve">are summarised in </w:t>
      </w:r>
      <w:r w:rsidR="00EE6E9A" w:rsidRPr="006E187F">
        <w:t>Table 3</w:t>
      </w:r>
      <w:r w:rsidRPr="006E187F">
        <w:t>.</w:t>
      </w:r>
      <w:r w:rsidR="00BC591F" w:rsidRPr="006E187F">
        <w:t xml:space="preserve"> </w:t>
      </w:r>
    </w:p>
    <w:p w:rsidR="007F1017" w:rsidRPr="006E187F" w:rsidRDefault="00C46662" w:rsidP="00EC5836">
      <w:pPr>
        <w:pStyle w:val="3-BodyText"/>
      </w:pPr>
      <w:r w:rsidRPr="006E187F">
        <w:t xml:space="preserve">The dosing schedule </w:t>
      </w:r>
      <w:r w:rsidR="001737EA" w:rsidRPr="006E187F">
        <w:t xml:space="preserve">of the SC and IV daratumumab monotherapy </w:t>
      </w:r>
      <w:r w:rsidRPr="006E187F">
        <w:t xml:space="preserve">in the COLUMBA trial </w:t>
      </w:r>
      <w:r w:rsidR="00874D30" w:rsidRPr="006E187F">
        <w:t>(</w:t>
      </w:r>
      <w:r w:rsidR="001737EA" w:rsidRPr="006E187F">
        <w:t xml:space="preserve">weekly for Cycles 1 and 2, every two weeks for Cycles 3 to 6 and every four weeks from Cycle 7; 23 prescriptions per year) </w:t>
      </w:r>
      <w:r w:rsidRPr="006E187F">
        <w:t>differ</w:t>
      </w:r>
      <w:r w:rsidR="001737EA" w:rsidRPr="006E187F">
        <w:t>ed</w:t>
      </w:r>
      <w:r w:rsidRPr="006E187F">
        <w:t xml:space="preserve"> to </w:t>
      </w:r>
      <w:r w:rsidR="001737EA" w:rsidRPr="006E187F">
        <w:t xml:space="preserve">the proposed </w:t>
      </w:r>
      <w:r w:rsidRPr="006E187F">
        <w:t xml:space="preserve">PBS listing of </w:t>
      </w:r>
      <w:r w:rsidR="001737EA" w:rsidRPr="006E187F">
        <w:t xml:space="preserve">SC </w:t>
      </w:r>
      <w:r w:rsidRPr="006E187F">
        <w:t>DBd</w:t>
      </w:r>
      <w:r w:rsidR="001737EA" w:rsidRPr="006E187F">
        <w:t xml:space="preserve"> and the current PBS listing of IV DBd (weekly for Cycles 1 to 3; every three weeks for Cycles 4 to 8 and every four weeks from Cycle 9; 21 prescriptions per year)</w:t>
      </w:r>
      <w:r w:rsidRPr="006E187F">
        <w:t xml:space="preserve">. </w:t>
      </w:r>
    </w:p>
    <w:p w:rsidR="008E300E" w:rsidRPr="006E187F" w:rsidRDefault="008E300E">
      <w:pPr>
        <w:jc w:val="left"/>
        <w:rPr>
          <w:rStyle w:val="CommentReference"/>
          <w:rFonts w:eastAsiaTheme="majorEastAsia" w:cstheme="majorBidi"/>
          <w:bCs/>
          <w:szCs w:val="24"/>
        </w:rPr>
      </w:pPr>
    </w:p>
    <w:p w:rsidR="007F1017" w:rsidRPr="006E187F" w:rsidRDefault="007F1017" w:rsidP="00EC5836">
      <w:pPr>
        <w:pStyle w:val="TableFigureHeading"/>
        <w:rPr>
          <w:rStyle w:val="CommentReference"/>
          <w:b/>
          <w:szCs w:val="24"/>
        </w:rPr>
      </w:pPr>
      <w:r w:rsidRPr="006E187F">
        <w:rPr>
          <w:rStyle w:val="CommentReference"/>
          <w:b/>
          <w:szCs w:val="24"/>
        </w:rPr>
        <w:t xml:space="preserve">Table </w:t>
      </w:r>
      <w:r w:rsidR="00B83340" w:rsidRPr="006E187F">
        <w:rPr>
          <w:rStyle w:val="CommentReference"/>
          <w:b/>
          <w:szCs w:val="24"/>
        </w:rPr>
        <w:t>3</w:t>
      </w:r>
      <w:r w:rsidRPr="006E187F">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8"/>
        <w:gridCol w:w="992"/>
        <w:gridCol w:w="1843"/>
        <w:gridCol w:w="992"/>
        <w:gridCol w:w="1558"/>
        <w:gridCol w:w="2644"/>
      </w:tblGrid>
      <w:tr w:rsidR="005D052E" w:rsidRPr="006E187F" w:rsidTr="00E21820">
        <w:trPr>
          <w:cantSplit/>
          <w:tblHeader/>
        </w:trPr>
        <w:tc>
          <w:tcPr>
            <w:tcW w:w="548" w:type="pct"/>
            <w:shd w:val="clear" w:color="auto" w:fill="auto"/>
            <w:vAlign w:val="center"/>
          </w:tcPr>
          <w:p w:rsidR="005D052E" w:rsidRPr="006E187F" w:rsidRDefault="005D052E" w:rsidP="001E34DF">
            <w:pPr>
              <w:pStyle w:val="In-tableHeading"/>
              <w:rPr>
                <w:lang w:val="en-AU"/>
              </w:rPr>
            </w:pPr>
            <w:r w:rsidRPr="006E187F">
              <w:rPr>
                <w:lang w:val="en-AU"/>
              </w:rPr>
              <w:t>Trial</w:t>
            </w:r>
          </w:p>
        </w:tc>
        <w:tc>
          <w:tcPr>
            <w:tcW w:w="550" w:type="pct"/>
            <w:shd w:val="clear" w:color="auto" w:fill="auto"/>
            <w:vAlign w:val="center"/>
          </w:tcPr>
          <w:p w:rsidR="005D052E" w:rsidRPr="006E187F" w:rsidRDefault="005D052E" w:rsidP="00EC5836">
            <w:pPr>
              <w:pStyle w:val="In-tableHeading"/>
              <w:jc w:val="center"/>
              <w:rPr>
                <w:lang w:val="en-AU"/>
              </w:rPr>
            </w:pPr>
            <w:r w:rsidRPr="006E187F">
              <w:rPr>
                <w:lang w:val="en-AU"/>
              </w:rPr>
              <w:t>N</w:t>
            </w:r>
          </w:p>
        </w:tc>
        <w:tc>
          <w:tcPr>
            <w:tcW w:w="1022" w:type="pct"/>
            <w:shd w:val="clear" w:color="auto" w:fill="auto"/>
            <w:vAlign w:val="center"/>
          </w:tcPr>
          <w:p w:rsidR="005D052E" w:rsidRPr="006E187F" w:rsidRDefault="005D052E" w:rsidP="00EC5836">
            <w:pPr>
              <w:pStyle w:val="In-tableHeading"/>
              <w:jc w:val="center"/>
              <w:rPr>
                <w:lang w:val="en-AU"/>
              </w:rPr>
            </w:pPr>
            <w:r w:rsidRPr="006E187F">
              <w:rPr>
                <w:lang w:val="en-AU"/>
              </w:rPr>
              <w:t>Design/ duration</w:t>
            </w:r>
          </w:p>
        </w:tc>
        <w:tc>
          <w:tcPr>
            <w:tcW w:w="550" w:type="pct"/>
            <w:shd w:val="clear" w:color="auto" w:fill="auto"/>
            <w:vAlign w:val="center"/>
          </w:tcPr>
          <w:p w:rsidR="005D052E" w:rsidRPr="006E187F" w:rsidRDefault="005D052E" w:rsidP="00EC5836">
            <w:pPr>
              <w:pStyle w:val="In-tableHeading"/>
              <w:jc w:val="center"/>
              <w:rPr>
                <w:lang w:val="en-AU"/>
              </w:rPr>
            </w:pPr>
            <w:r w:rsidRPr="006E187F">
              <w:rPr>
                <w:lang w:val="en-AU"/>
              </w:rPr>
              <w:t>Risk of bias</w:t>
            </w:r>
          </w:p>
        </w:tc>
        <w:tc>
          <w:tcPr>
            <w:tcW w:w="864" w:type="pct"/>
            <w:shd w:val="clear" w:color="auto" w:fill="auto"/>
            <w:vAlign w:val="center"/>
          </w:tcPr>
          <w:p w:rsidR="005D052E" w:rsidRPr="006E187F" w:rsidRDefault="005D052E" w:rsidP="00EC5836">
            <w:pPr>
              <w:pStyle w:val="In-tableHeading"/>
              <w:jc w:val="center"/>
              <w:rPr>
                <w:lang w:val="en-AU"/>
              </w:rPr>
            </w:pPr>
            <w:r w:rsidRPr="006E187F">
              <w:rPr>
                <w:lang w:val="en-AU"/>
              </w:rPr>
              <w:t>Patient population</w:t>
            </w:r>
          </w:p>
        </w:tc>
        <w:tc>
          <w:tcPr>
            <w:tcW w:w="1466" w:type="pct"/>
            <w:shd w:val="clear" w:color="auto" w:fill="auto"/>
            <w:vAlign w:val="center"/>
          </w:tcPr>
          <w:p w:rsidR="005D052E" w:rsidRPr="006E187F" w:rsidRDefault="005D052E" w:rsidP="00EC5836">
            <w:pPr>
              <w:pStyle w:val="In-tableHeading"/>
              <w:jc w:val="center"/>
              <w:rPr>
                <w:lang w:val="en-AU"/>
              </w:rPr>
            </w:pPr>
            <w:r w:rsidRPr="006E187F">
              <w:rPr>
                <w:lang w:val="en-AU"/>
              </w:rPr>
              <w:t>Outcomes</w:t>
            </w:r>
          </w:p>
        </w:tc>
      </w:tr>
      <w:tr w:rsidR="005D052E" w:rsidRPr="006E187F" w:rsidTr="00E21820">
        <w:trPr>
          <w:cantSplit/>
        </w:trPr>
        <w:tc>
          <w:tcPr>
            <w:tcW w:w="5000" w:type="pct"/>
            <w:gridSpan w:val="6"/>
            <w:shd w:val="clear" w:color="auto" w:fill="auto"/>
            <w:vAlign w:val="center"/>
          </w:tcPr>
          <w:p w:rsidR="005D052E" w:rsidRPr="006E187F" w:rsidRDefault="00E21820" w:rsidP="00E21820">
            <w:pPr>
              <w:pStyle w:val="In-tableHeading"/>
              <w:rPr>
                <w:lang w:val="en-AU"/>
              </w:rPr>
            </w:pPr>
            <w:r w:rsidRPr="006E187F">
              <w:rPr>
                <w:lang w:val="en-AU"/>
              </w:rPr>
              <w:t>Daratumumab SC</w:t>
            </w:r>
            <w:r w:rsidR="005D052E" w:rsidRPr="006E187F">
              <w:rPr>
                <w:lang w:val="en-AU"/>
              </w:rPr>
              <w:t xml:space="preserve"> vs. </w:t>
            </w:r>
            <w:r w:rsidRPr="006E187F">
              <w:rPr>
                <w:lang w:val="en-AU"/>
              </w:rPr>
              <w:t>Daratumumab IV</w:t>
            </w:r>
          </w:p>
        </w:tc>
      </w:tr>
      <w:tr w:rsidR="005D052E" w:rsidRPr="006E187F" w:rsidTr="00E21820">
        <w:trPr>
          <w:cantSplit/>
        </w:trPr>
        <w:tc>
          <w:tcPr>
            <w:tcW w:w="548" w:type="pct"/>
            <w:shd w:val="clear" w:color="auto" w:fill="auto"/>
            <w:vAlign w:val="center"/>
          </w:tcPr>
          <w:p w:rsidR="005D052E" w:rsidRPr="006E187F" w:rsidRDefault="005D052E" w:rsidP="00EC5836">
            <w:pPr>
              <w:pStyle w:val="TableText0"/>
            </w:pPr>
            <w:r w:rsidRPr="006E187F">
              <w:t>COLUMBA</w:t>
            </w:r>
          </w:p>
        </w:tc>
        <w:tc>
          <w:tcPr>
            <w:tcW w:w="550" w:type="pct"/>
            <w:shd w:val="clear" w:color="auto" w:fill="auto"/>
            <w:vAlign w:val="center"/>
          </w:tcPr>
          <w:p w:rsidR="005D052E" w:rsidRPr="006E187F" w:rsidRDefault="00FF4D03" w:rsidP="00FF4D03">
            <w:pPr>
              <w:pStyle w:val="TableText0"/>
              <w:jc w:val="center"/>
            </w:pPr>
            <w:r w:rsidRPr="006E187F">
              <w:t>522</w:t>
            </w:r>
          </w:p>
        </w:tc>
        <w:tc>
          <w:tcPr>
            <w:tcW w:w="1022" w:type="pct"/>
            <w:shd w:val="clear" w:color="auto" w:fill="auto"/>
            <w:vAlign w:val="center"/>
          </w:tcPr>
          <w:p w:rsidR="005D052E" w:rsidRPr="006E187F" w:rsidRDefault="005D052E" w:rsidP="00E21820">
            <w:pPr>
              <w:pStyle w:val="TableText0"/>
              <w:jc w:val="center"/>
            </w:pPr>
            <w:r w:rsidRPr="006E187F">
              <w:t>R, OL, MC</w:t>
            </w:r>
            <w:r w:rsidR="00E21820" w:rsidRPr="006E187F">
              <w:t>, median follow</w:t>
            </w:r>
            <w:r w:rsidR="00E21820" w:rsidRPr="006E187F">
              <w:noBreakHyphen/>
              <w:t>up 13.73 months</w:t>
            </w:r>
          </w:p>
        </w:tc>
        <w:tc>
          <w:tcPr>
            <w:tcW w:w="550" w:type="pct"/>
            <w:shd w:val="clear" w:color="auto" w:fill="auto"/>
            <w:vAlign w:val="center"/>
          </w:tcPr>
          <w:p w:rsidR="005D052E" w:rsidRPr="006E187F" w:rsidRDefault="005D052E" w:rsidP="00EC5836">
            <w:pPr>
              <w:pStyle w:val="TableText0"/>
              <w:jc w:val="center"/>
            </w:pPr>
            <w:r w:rsidRPr="006E187F">
              <w:t>Low</w:t>
            </w:r>
          </w:p>
        </w:tc>
        <w:tc>
          <w:tcPr>
            <w:tcW w:w="864" w:type="pct"/>
            <w:shd w:val="clear" w:color="auto" w:fill="auto"/>
            <w:vAlign w:val="center"/>
          </w:tcPr>
          <w:p w:rsidR="005D052E" w:rsidRPr="006E187F" w:rsidRDefault="005D052E" w:rsidP="00EC5836">
            <w:pPr>
              <w:pStyle w:val="TableText0"/>
              <w:jc w:val="center"/>
            </w:pPr>
            <w:r w:rsidRPr="006E187F">
              <w:t>RRMM</w:t>
            </w:r>
          </w:p>
        </w:tc>
        <w:tc>
          <w:tcPr>
            <w:tcW w:w="1466" w:type="pct"/>
            <w:shd w:val="clear" w:color="auto" w:fill="auto"/>
            <w:vAlign w:val="center"/>
          </w:tcPr>
          <w:p w:rsidR="005D052E" w:rsidRPr="006E187F" w:rsidRDefault="005D052E" w:rsidP="00EC5836">
            <w:pPr>
              <w:pStyle w:val="TableText0"/>
              <w:jc w:val="center"/>
            </w:pPr>
            <w:r w:rsidRPr="006E187F">
              <w:t>Maximum C</w:t>
            </w:r>
            <w:r w:rsidRPr="006E187F">
              <w:rPr>
                <w:vertAlign w:val="subscript"/>
              </w:rPr>
              <w:t>trough</w:t>
            </w:r>
            <w:r w:rsidRPr="006E187F">
              <w:t>, ORR, PFS, OS</w:t>
            </w:r>
          </w:p>
        </w:tc>
      </w:tr>
    </w:tbl>
    <w:p w:rsidR="00045017" w:rsidRPr="006E187F" w:rsidRDefault="00045017" w:rsidP="00EC5836">
      <w:pPr>
        <w:pStyle w:val="TableFigureFooter"/>
      </w:pPr>
      <w:r w:rsidRPr="006E187F">
        <w:t xml:space="preserve">Source: </w:t>
      </w:r>
      <w:r w:rsidR="00FF4D03" w:rsidRPr="006E187F">
        <w:t>Table 2.7, Table 2.11, Table 2.15, Table 2.16 of the submission</w:t>
      </w:r>
    </w:p>
    <w:p w:rsidR="00C46662" w:rsidRPr="006E187F" w:rsidRDefault="00620C25" w:rsidP="00EC5836">
      <w:pPr>
        <w:pStyle w:val="TableFigureFooter"/>
      </w:pPr>
      <w:r w:rsidRPr="006E187F">
        <w:t>MC = multicentre; OL = open label;</w:t>
      </w:r>
      <w:r w:rsidR="008C114B" w:rsidRPr="006E187F">
        <w:t xml:space="preserve"> ORR = overall response rate;</w:t>
      </w:r>
      <w:r w:rsidRPr="006E187F">
        <w:t xml:space="preserve"> OS = overall survival; PFS = progression-free survival; R = randomised</w:t>
      </w:r>
      <w:r w:rsidR="008C114B" w:rsidRPr="006E187F">
        <w:t>; RRMM = relapsed and/or refractory multiple myeloma</w:t>
      </w:r>
      <w:r w:rsidRPr="006E187F">
        <w:t>.</w:t>
      </w:r>
    </w:p>
    <w:p w:rsidR="00C46662" w:rsidRPr="006E187F" w:rsidRDefault="00C46662" w:rsidP="00EC5836">
      <w:pPr>
        <w:pStyle w:val="TableFigureFooter"/>
        <w:rPr>
          <w:sz w:val="20"/>
        </w:rPr>
      </w:pPr>
    </w:p>
    <w:p w:rsidR="00B60939" w:rsidRPr="006E187F" w:rsidRDefault="00B60939" w:rsidP="00EC5836">
      <w:pPr>
        <w:pStyle w:val="4-SubsectionHeading"/>
      </w:pPr>
      <w:bookmarkStart w:id="11" w:name="_Toc22897641"/>
      <w:bookmarkStart w:id="12" w:name="_Toc72246594"/>
      <w:r w:rsidRPr="006E187F">
        <w:t>Comparative effectiveness</w:t>
      </w:r>
      <w:bookmarkEnd w:id="11"/>
      <w:bookmarkEnd w:id="12"/>
    </w:p>
    <w:p w:rsidR="00C46662" w:rsidRPr="006E187F" w:rsidRDefault="00C46662" w:rsidP="003857F2">
      <w:pPr>
        <w:pStyle w:val="3-BodyText"/>
      </w:pPr>
      <w:r w:rsidRPr="006E187F">
        <w:t>The non-inferiority of daratumumab SC relative to daratumumab IV for C</w:t>
      </w:r>
      <w:r w:rsidRPr="006E187F">
        <w:rPr>
          <w:vertAlign w:val="subscript"/>
        </w:rPr>
        <w:t>trough</w:t>
      </w:r>
      <w:r w:rsidRPr="006E187F">
        <w:t xml:space="preserve"> was defined using a non-inferiority margin of at least 80% of the ratio of geometric mean (GM) of maximum C</w:t>
      </w:r>
      <w:r w:rsidRPr="006E187F">
        <w:rPr>
          <w:vertAlign w:val="subscript"/>
        </w:rPr>
        <w:t>trough</w:t>
      </w:r>
      <w:r w:rsidRPr="006E187F">
        <w:t>. Non-inferiority of daratumumab SC to daratumumab IV based on maximum C</w:t>
      </w:r>
      <w:r w:rsidRPr="006E187F">
        <w:rPr>
          <w:vertAlign w:val="subscript"/>
        </w:rPr>
        <w:t xml:space="preserve">trough </w:t>
      </w:r>
      <w:r w:rsidRPr="006E187F">
        <w:t xml:space="preserve">was declared if the lower bound of the 90% </w:t>
      </w:r>
      <w:r w:rsidR="001737EA" w:rsidRPr="006E187F">
        <w:t>confidence interval (</w:t>
      </w:r>
      <w:r w:rsidRPr="006E187F">
        <w:t>CI</w:t>
      </w:r>
      <w:r w:rsidR="001737EA" w:rsidRPr="006E187F">
        <w:t>)</w:t>
      </w:r>
      <w:r w:rsidRPr="006E187F">
        <w:t xml:space="preserve"> for the ratio of the GMs was at least 80%.</w:t>
      </w:r>
    </w:p>
    <w:p w:rsidR="00C46662" w:rsidRPr="006E187F" w:rsidRDefault="00E23644" w:rsidP="003857F2">
      <w:pPr>
        <w:pStyle w:val="3-BodyText"/>
      </w:pPr>
      <w:r w:rsidRPr="006E187F">
        <w:t>The n</w:t>
      </w:r>
      <w:r w:rsidR="00C46662" w:rsidRPr="006E187F">
        <w:t xml:space="preserve">on-inferiority of daratumumab SC relative to daratumumab IV </w:t>
      </w:r>
      <w:r w:rsidRPr="006E187F">
        <w:t xml:space="preserve">for </w:t>
      </w:r>
      <w:r w:rsidR="000D3E0F" w:rsidRPr="006E187F">
        <w:t>overall response rate (</w:t>
      </w:r>
      <w:r w:rsidRPr="006E187F">
        <w:t>ORR</w:t>
      </w:r>
      <w:r w:rsidR="000D3E0F" w:rsidRPr="006E187F">
        <w:t>)</w:t>
      </w:r>
      <w:r w:rsidRPr="006E187F">
        <w:t xml:space="preserve"> </w:t>
      </w:r>
      <w:r w:rsidR="00C46662" w:rsidRPr="006E187F">
        <w:t>was def</w:t>
      </w:r>
      <w:r w:rsidRPr="006E187F">
        <w:t xml:space="preserve">ined using 60% retention of </w:t>
      </w:r>
      <w:r w:rsidR="00C46662" w:rsidRPr="006E187F">
        <w:t>the lower bound of th</w:t>
      </w:r>
      <w:r w:rsidRPr="006E187F">
        <w:t xml:space="preserve">e 95% CI from the SIRIUS study </w:t>
      </w:r>
      <w:r w:rsidR="00C46662" w:rsidRPr="006E187F">
        <w:t>(Lonial</w:t>
      </w:r>
      <w:r w:rsidR="002A001D" w:rsidRPr="006E187F">
        <w:t>,</w:t>
      </w:r>
      <w:r w:rsidR="00C46662" w:rsidRPr="006E187F">
        <w:t xml:space="preserve"> et al. 2016)</w:t>
      </w:r>
      <w:r w:rsidR="00C46662" w:rsidRPr="006E187F">
        <w:rPr>
          <w:rStyle w:val="FootnoteReference"/>
        </w:rPr>
        <w:footnoteReference w:id="1"/>
      </w:r>
      <w:r w:rsidRPr="006E187F">
        <w:t>. The SIRIUS study</w:t>
      </w:r>
      <w:r w:rsidR="00C46662" w:rsidRPr="006E187F">
        <w:t xml:space="preserve"> enrolled 106 patients with </w:t>
      </w:r>
      <w:r w:rsidR="001737EA" w:rsidRPr="006E187F">
        <w:t>RRMM who had received at least three</w:t>
      </w:r>
      <w:r w:rsidR="00C46662" w:rsidRPr="006E187F">
        <w:t xml:space="preserve"> prior therapies and who were treate</w:t>
      </w:r>
      <w:r w:rsidRPr="006E187F">
        <w:t>d with daratumumab IV 16 mg/kg and a</w:t>
      </w:r>
      <w:r w:rsidR="00C46662" w:rsidRPr="006E187F">
        <w:t>n ORR of 29.2% (95%</w:t>
      </w:r>
      <w:r w:rsidRPr="006E187F">
        <w:t xml:space="preserve"> CI: 20.8%, 38.9%) was observed</w:t>
      </w:r>
      <w:r w:rsidR="00C46662" w:rsidRPr="006E187F">
        <w:t xml:space="preserve">. Non-inferiority was declared if the lower bound of the two-sided 95% CI of the relative risk </w:t>
      </w:r>
      <w:r w:rsidR="00EF03F5" w:rsidRPr="006E187F">
        <w:t>was</w:t>
      </w:r>
      <w:r w:rsidR="00C46662" w:rsidRPr="006E187F">
        <w:t xml:space="preserve"> &gt; 60%</w:t>
      </w:r>
      <w:r w:rsidRPr="006E187F">
        <w:t>.</w:t>
      </w:r>
    </w:p>
    <w:p w:rsidR="00EF0524" w:rsidRPr="006E187F" w:rsidRDefault="00E6093D" w:rsidP="003857F2">
      <w:pPr>
        <w:pStyle w:val="3-BodyText"/>
      </w:pPr>
      <w:r>
        <w:t>Table 4 presents the r</w:t>
      </w:r>
      <w:r w:rsidR="00E36C2A" w:rsidRPr="006E187F">
        <w:t>esults of maximum C</w:t>
      </w:r>
      <w:r w:rsidR="00E36C2A" w:rsidRPr="006E187F">
        <w:rPr>
          <w:vertAlign w:val="subscript"/>
        </w:rPr>
        <w:t>trough</w:t>
      </w:r>
      <w:r w:rsidR="00E36C2A" w:rsidRPr="006E187F">
        <w:t xml:space="preserve"> concentration in COLUMBA.</w:t>
      </w:r>
      <w:r w:rsidR="006C2770" w:rsidRPr="006E187F">
        <w:t xml:space="preserve"> </w:t>
      </w:r>
      <w:r w:rsidR="003C2E66" w:rsidRPr="006E187F">
        <w:t>At the 6-month update (13.7 months follow-up) the geometric mean ratio for maximum C</w:t>
      </w:r>
      <w:r w:rsidR="003C2E66" w:rsidRPr="006E187F">
        <w:rPr>
          <w:vertAlign w:val="subscript"/>
        </w:rPr>
        <w:t>trough</w:t>
      </w:r>
      <w:r w:rsidR="003C2E66" w:rsidRPr="006E187F">
        <w:t xml:space="preserve"> was 110.30% (95% CI: 98.08%</w:t>
      </w:r>
      <w:r w:rsidR="0043394C" w:rsidRPr="006E187F">
        <w:t xml:space="preserve">, </w:t>
      </w:r>
      <w:r w:rsidR="003C2E66" w:rsidRPr="006E187F">
        <w:t>124.05%), and the lower bound of the 95% CI (98</w:t>
      </w:r>
      <w:r w:rsidR="000D3E0F" w:rsidRPr="006E187F">
        <w:t>.08</w:t>
      </w:r>
      <w:r w:rsidR="003C2E66" w:rsidRPr="006E187F">
        <w:t>%) was greater than the pre-specified non-inferiority margin of 80%</w:t>
      </w:r>
      <w:r w:rsidR="007B6024" w:rsidRPr="006E187F">
        <w:t>.</w:t>
      </w:r>
    </w:p>
    <w:p w:rsidR="00EF0524" w:rsidRPr="006E187F" w:rsidRDefault="00EF0524" w:rsidP="00EF0524">
      <w:pPr>
        <w:pStyle w:val="TableFigureHeading"/>
        <w:rPr>
          <w:rStyle w:val="CommentReference"/>
          <w:b/>
          <w:szCs w:val="24"/>
        </w:rPr>
      </w:pPr>
      <w:r w:rsidRPr="006E187F">
        <w:rPr>
          <w:rStyle w:val="CommentReference"/>
          <w:b/>
          <w:szCs w:val="24"/>
        </w:rPr>
        <w:t xml:space="preserve">Table </w:t>
      </w:r>
      <w:r w:rsidR="00B83340" w:rsidRPr="006E187F">
        <w:rPr>
          <w:rStyle w:val="CommentReference"/>
          <w:b/>
          <w:szCs w:val="24"/>
        </w:rPr>
        <w:t>4</w:t>
      </w:r>
      <w:r w:rsidRPr="006E187F">
        <w:rPr>
          <w:rStyle w:val="CommentReference"/>
          <w:b/>
          <w:szCs w:val="24"/>
        </w:rPr>
        <w:t>: Results of maximum C</w:t>
      </w:r>
      <w:r w:rsidRPr="006E187F">
        <w:rPr>
          <w:rStyle w:val="CommentReference"/>
          <w:b/>
          <w:szCs w:val="24"/>
          <w:vertAlign w:val="subscript"/>
        </w:rPr>
        <w:t>trough</w:t>
      </w:r>
      <w:r w:rsidRPr="006E187F">
        <w:rPr>
          <w:rStyle w:val="CommentReference"/>
          <w:b/>
          <w:szCs w:val="24"/>
        </w:rPr>
        <w:t xml:space="preserve"> concentration (µg/mL, cycle 3, day 1 pre</w:t>
      </w:r>
      <w:r w:rsidR="00593BEA" w:rsidRPr="006E187F">
        <w:rPr>
          <w:rStyle w:val="CommentReference"/>
          <w:b/>
          <w:szCs w:val="24"/>
        </w:rPr>
        <w:t>-</w:t>
      </w:r>
      <w:r w:rsidRPr="006E187F">
        <w:rPr>
          <w:rStyle w:val="CommentReference"/>
          <w:b/>
          <w:szCs w:val="24"/>
        </w:rPr>
        <w:t>dose) (PK-evaluable) in COLUMBA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4"/>
        <w:gridCol w:w="1134"/>
        <w:gridCol w:w="1417"/>
        <w:gridCol w:w="1133"/>
        <w:gridCol w:w="1419"/>
        <w:gridCol w:w="2500"/>
      </w:tblGrid>
      <w:tr w:rsidR="00EF0524" w:rsidRPr="006E187F" w:rsidTr="00CC3C0E">
        <w:trPr>
          <w:tblHeader/>
        </w:trPr>
        <w:tc>
          <w:tcPr>
            <w:tcW w:w="784" w:type="pct"/>
            <w:vAlign w:val="center"/>
          </w:tcPr>
          <w:p w:rsidR="00EF0524" w:rsidRPr="006E187F" w:rsidRDefault="00EF0524" w:rsidP="00EE17AF">
            <w:pPr>
              <w:pStyle w:val="In-tableHeading"/>
              <w:rPr>
                <w:lang w:val="en-AU"/>
              </w:rPr>
            </w:pPr>
          </w:p>
        </w:tc>
        <w:tc>
          <w:tcPr>
            <w:tcW w:w="1415" w:type="pct"/>
            <w:gridSpan w:val="2"/>
            <w:vAlign w:val="center"/>
          </w:tcPr>
          <w:p w:rsidR="00EF0524" w:rsidRPr="006E187F" w:rsidRDefault="00EF0524" w:rsidP="00EE17AF">
            <w:pPr>
              <w:pStyle w:val="In-tableHeading"/>
              <w:jc w:val="center"/>
              <w:rPr>
                <w:lang w:val="en-AU"/>
              </w:rPr>
            </w:pPr>
            <w:r w:rsidRPr="006E187F">
              <w:rPr>
                <w:iCs/>
                <w:lang w:val="en-AU"/>
              </w:rPr>
              <w:t xml:space="preserve">Daratumumab SC </w:t>
            </w:r>
          </w:p>
        </w:tc>
        <w:tc>
          <w:tcPr>
            <w:tcW w:w="1415" w:type="pct"/>
            <w:gridSpan w:val="2"/>
            <w:vAlign w:val="center"/>
          </w:tcPr>
          <w:p w:rsidR="00EF0524" w:rsidRPr="006E187F" w:rsidRDefault="00EF0524" w:rsidP="00EE17AF">
            <w:pPr>
              <w:pStyle w:val="In-tableHeading"/>
              <w:jc w:val="center"/>
              <w:rPr>
                <w:lang w:val="en-AU"/>
              </w:rPr>
            </w:pPr>
            <w:r w:rsidRPr="006E187F">
              <w:rPr>
                <w:iCs/>
                <w:lang w:val="en-AU"/>
              </w:rPr>
              <w:t xml:space="preserve">Daratumumab IV </w:t>
            </w:r>
          </w:p>
        </w:tc>
        <w:tc>
          <w:tcPr>
            <w:tcW w:w="1387" w:type="pct"/>
            <w:vAlign w:val="center"/>
          </w:tcPr>
          <w:p w:rsidR="00EF0524" w:rsidRPr="006E187F" w:rsidRDefault="00EF0524" w:rsidP="00EE17AF">
            <w:pPr>
              <w:pStyle w:val="In-tableHeading"/>
              <w:jc w:val="center"/>
              <w:rPr>
                <w:lang w:val="en-AU"/>
              </w:rPr>
            </w:pPr>
          </w:p>
        </w:tc>
      </w:tr>
      <w:tr w:rsidR="00CC3C0E" w:rsidRPr="006E187F" w:rsidTr="00CC3C0E">
        <w:tc>
          <w:tcPr>
            <w:tcW w:w="784" w:type="pct"/>
            <w:vAlign w:val="center"/>
          </w:tcPr>
          <w:p w:rsidR="00EF0524" w:rsidRPr="006E187F" w:rsidRDefault="00EF0524" w:rsidP="00EE17AF">
            <w:pPr>
              <w:pStyle w:val="TableText0"/>
            </w:pPr>
          </w:p>
        </w:tc>
        <w:tc>
          <w:tcPr>
            <w:tcW w:w="629" w:type="pct"/>
            <w:vAlign w:val="center"/>
          </w:tcPr>
          <w:p w:rsidR="00EF0524" w:rsidRPr="006E187F" w:rsidRDefault="00EF0524" w:rsidP="00EE17AF">
            <w:pPr>
              <w:pStyle w:val="TableText0"/>
              <w:jc w:val="center"/>
              <w:rPr>
                <w:b/>
              </w:rPr>
            </w:pPr>
            <w:r w:rsidRPr="006E187F">
              <w:rPr>
                <w:b/>
                <w:iCs/>
              </w:rPr>
              <w:t>N, mean (SD)</w:t>
            </w:r>
          </w:p>
        </w:tc>
        <w:tc>
          <w:tcPr>
            <w:tcW w:w="786" w:type="pct"/>
            <w:vAlign w:val="center"/>
          </w:tcPr>
          <w:p w:rsidR="00EF0524" w:rsidRPr="006E187F" w:rsidRDefault="00EF0524" w:rsidP="00EE17AF">
            <w:pPr>
              <w:pStyle w:val="TableText0"/>
              <w:jc w:val="center"/>
              <w:rPr>
                <w:b/>
              </w:rPr>
            </w:pPr>
            <w:r w:rsidRPr="006E187F">
              <w:rPr>
                <w:b/>
              </w:rPr>
              <w:t>Geometric mean</w:t>
            </w:r>
            <w:r w:rsidRPr="006E187F">
              <w:rPr>
                <w:b/>
                <w:vertAlign w:val="superscript"/>
              </w:rPr>
              <w:t>a</w:t>
            </w:r>
          </w:p>
        </w:tc>
        <w:tc>
          <w:tcPr>
            <w:tcW w:w="628" w:type="pct"/>
            <w:vAlign w:val="center"/>
          </w:tcPr>
          <w:p w:rsidR="00EF0524" w:rsidRPr="006E187F" w:rsidRDefault="00EF0524" w:rsidP="00EE17AF">
            <w:pPr>
              <w:pStyle w:val="TableText0"/>
              <w:jc w:val="center"/>
              <w:rPr>
                <w:b/>
              </w:rPr>
            </w:pPr>
            <w:r w:rsidRPr="006E187F">
              <w:rPr>
                <w:b/>
                <w:iCs/>
              </w:rPr>
              <w:t>N, mean (SD)</w:t>
            </w:r>
          </w:p>
        </w:tc>
        <w:tc>
          <w:tcPr>
            <w:tcW w:w="786" w:type="pct"/>
            <w:vAlign w:val="center"/>
          </w:tcPr>
          <w:p w:rsidR="00EF0524" w:rsidRPr="006E187F" w:rsidRDefault="00EF0524" w:rsidP="00EE17AF">
            <w:pPr>
              <w:pStyle w:val="TableText0"/>
              <w:jc w:val="center"/>
              <w:rPr>
                <w:b/>
              </w:rPr>
            </w:pPr>
            <w:r w:rsidRPr="006E187F">
              <w:rPr>
                <w:b/>
              </w:rPr>
              <w:t>Geometric mean</w:t>
            </w:r>
            <w:r w:rsidRPr="006E187F">
              <w:rPr>
                <w:b/>
                <w:vertAlign w:val="superscript"/>
              </w:rPr>
              <w:t>a</w:t>
            </w:r>
          </w:p>
        </w:tc>
        <w:tc>
          <w:tcPr>
            <w:tcW w:w="1387" w:type="pct"/>
            <w:vAlign w:val="center"/>
          </w:tcPr>
          <w:p w:rsidR="00EF0524" w:rsidRPr="006E187F" w:rsidRDefault="00EF0524" w:rsidP="00EE17AF">
            <w:pPr>
              <w:pStyle w:val="TableText0"/>
              <w:jc w:val="center"/>
              <w:rPr>
                <w:b/>
              </w:rPr>
            </w:pPr>
            <w:r w:rsidRPr="006E187F">
              <w:rPr>
                <w:b/>
                <w:iCs/>
              </w:rPr>
              <w:t>Ratio (95% CI)</w:t>
            </w:r>
          </w:p>
        </w:tc>
      </w:tr>
      <w:tr w:rsidR="00CC3C0E" w:rsidRPr="006E187F" w:rsidTr="00CC3C0E">
        <w:tc>
          <w:tcPr>
            <w:tcW w:w="784" w:type="pct"/>
            <w:vAlign w:val="center"/>
          </w:tcPr>
          <w:p w:rsidR="00EF0524" w:rsidRPr="006E187F" w:rsidRDefault="00EF0524" w:rsidP="00EE17AF">
            <w:pPr>
              <w:pStyle w:val="TableText0"/>
            </w:pPr>
            <w:r w:rsidRPr="006E187F">
              <w:t>Primary analysis</w:t>
            </w:r>
            <w:r w:rsidRPr="006E187F">
              <w:rPr>
                <w:vertAlign w:val="superscript"/>
              </w:rPr>
              <w:t>b</w:t>
            </w:r>
          </w:p>
        </w:tc>
        <w:tc>
          <w:tcPr>
            <w:tcW w:w="629" w:type="pct"/>
            <w:vAlign w:val="center"/>
          </w:tcPr>
          <w:p w:rsidR="00EF0524" w:rsidRPr="006E187F" w:rsidRDefault="00EF0524" w:rsidP="00EE17AF">
            <w:pPr>
              <w:pStyle w:val="TableText0"/>
              <w:jc w:val="center"/>
            </w:pPr>
            <w:r w:rsidRPr="006E187F">
              <w:t>149, 593 (306)</w:t>
            </w:r>
          </w:p>
        </w:tc>
        <w:tc>
          <w:tcPr>
            <w:tcW w:w="786" w:type="pct"/>
            <w:vAlign w:val="center"/>
          </w:tcPr>
          <w:p w:rsidR="00EF0524" w:rsidRPr="006E187F" w:rsidRDefault="00EF0524" w:rsidP="00EE17AF">
            <w:pPr>
              <w:pStyle w:val="TableText0"/>
              <w:jc w:val="center"/>
            </w:pPr>
            <w:r w:rsidRPr="006E187F">
              <w:t>499</w:t>
            </w:r>
          </w:p>
        </w:tc>
        <w:tc>
          <w:tcPr>
            <w:tcW w:w="628" w:type="pct"/>
            <w:vAlign w:val="center"/>
          </w:tcPr>
          <w:p w:rsidR="00EF0524" w:rsidRPr="006E187F" w:rsidRDefault="00EF0524" w:rsidP="00EE17AF">
            <w:pPr>
              <w:pStyle w:val="TableText0"/>
              <w:jc w:val="center"/>
            </w:pPr>
            <w:r w:rsidRPr="006E187F">
              <w:t>146, 522 (226)</w:t>
            </w:r>
          </w:p>
        </w:tc>
        <w:tc>
          <w:tcPr>
            <w:tcW w:w="786" w:type="pct"/>
            <w:vAlign w:val="center"/>
          </w:tcPr>
          <w:p w:rsidR="00EF0524" w:rsidRPr="006E187F" w:rsidRDefault="00EF0524" w:rsidP="00EE17AF">
            <w:pPr>
              <w:pStyle w:val="TableText0"/>
              <w:jc w:val="center"/>
            </w:pPr>
            <w:r w:rsidRPr="006E187F">
              <w:t>463</w:t>
            </w:r>
          </w:p>
        </w:tc>
        <w:tc>
          <w:tcPr>
            <w:tcW w:w="1387" w:type="pct"/>
            <w:vAlign w:val="center"/>
          </w:tcPr>
          <w:p w:rsidR="00EF0524" w:rsidRPr="006E187F" w:rsidRDefault="00EF0524" w:rsidP="00EE17AF">
            <w:pPr>
              <w:pStyle w:val="TableText0"/>
              <w:jc w:val="center"/>
            </w:pPr>
            <w:r w:rsidRPr="006E187F">
              <w:t>107.93% (95.74%</w:t>
            </w:r>
            <w:r w:rsidR="00CC3C0E" w:rsidRPr="006E187F">
              <w:t xml:space="preserve">, </w:t>
            </w:r>
            <w:r w:rsidRPr="006E187F">
              <w:t>121.67%)</w:t>
            </w:r>
          </w:p>
        </w:tc>
      </w:tr>
      <w:tr w:rsidR="00CC3C0E" w:rsidRPr="006E187F" w:rsidTr="00CC3C0E">
        <w:tc>
          <w:tcPr>
            <w:tcW w:w="784" w:type="pct"/>
            <w:vAlign w:val="center"/>
          </w:tcPr>
          <w:p w:rsidR="00EF0524" w:rsidRPr="006E187F" w:rsidRDefault="00EF0524" w:rsidP="00EE17AF">
            <w:pPr>
              <w:pStyle w:val="TableText0"/>
            </w:pPr>
            <w:r w:rsidRPr="006E187F">
              <w:t>6-month update</w:t>
            </w:r>
            <w:r w:rsidRPr="006E187F">
              <w:rPr>
                <w:vertAlign w:val="superscript"/>
              </w:rPr>
              <w:t>c</w:t>
            </w:r>
          </w:p>
        </w:tc>
        <w:tc>
          <w:tcPr>
            <w:tcW w:w="629" w:type="pct"/>
            <w:vAlign w:val="center"/>
          </w:tcPr>
          <w:p w:rsidR="00EF0524" w:rsidRPr="006E187F" w:rsidRDefault="00EF0524" w:rsidP="00EE17AF">
            <w:pPr>
              <w:pStyle w:val="TableText0"/>
              <w:jc w:val="center"/>
            </w:pPr>
            <w:r w:rsidRPr="006E187F">
              <w:t>157, 611 (318)</w:t>
            </w:r>
          </w:p>
        </w:tc>
        <w:tc>
          <w:tcPr>
            <w:tcW w:w="786" w:type="pct"/>
            <w:vAlign w:val="center"/>
          </w:tcPr>
          <w:p w:rsidR="00EF0524" w:rsidRPr="006E187F" w:rsidRDefault="00EF0524" w:rsidP="00EE17AF">
            <w:pPr>
              <w:pStyle w:val="TableText0"/>
              <w:jc w:val="center"/>
            </w:pPr>
            <w:r w:rsidRPr="006E187F">
              <w:t>514</w:t>
            </w:r>
          </w:p>
        </w:tc>
        <w:tc>
          <w:tcPr>
            <w:tcW w:w="628" w:type="pct"/>
            <w:vAlign w:val="center"/>
          </w:tcPr>
          <w:p w:rsidR="00EF0524" w:rsidRPr="006E187F" w:rsidRDefault="00EF0524" w:rsidP="00EE17AF">
            <w:pPr>
              <w:pStyle w:val="TableText0"/>
              <w:jc w:val="center"/>
            </w:pPr>
            <w:r w:rsidRPr="006E187F">
              <w:t>150, 525 (227)</w:t>
            </w:r>
          </w:p>
        </w:tc>
        <w:tc>
          <w:tcPr>
            <w:tcW w:w="786" w:type="pct"/>
            <w:vAlign w:val="center"/>
          </w:tcPr>
          <w:p w:rsidR="00EF0524" w:rsidRPr="006E187F" w:rsidRDefault="00EF0524" w:rsidP="00EE17AF">
            <w:pPr>
              <w:pStyle w:val="TableText0"/>
              <w:jc w:val="center"/>
            </w:pPr>
            <w:r w:rsidRPr="006E187F">
              <w:t>466</w:t>
            </w:r>
          </w:p>
        </w:tc>
        <w:tc>
          <w:tcPr>
            <w:tcW w:w="1387" w:type="pct"/>
            <w:vAlign w:val="center"/>
          </w:tcPr>
          <w:p w:rsidR="00EF0524" w:rsidRPr="006E187F" w:rsidRDefault="00EF0524" w:rsidP="00EE17AF">
            <w:pPr>
              <w:pStyle w:val="TableText0"/>
              <w:jc w:val="center"/>
            </w:pPr>
            <w:r w:rsidRPr="006E187F">
              <w:t>110.30% (98.08%</w:t>
            </w:r>
            <w:r w:rsidR="00CC3C0E" w:rsidRPr="006E187F">
              <w:t xml:space="preserve">, </w:t>
            </w:r>
            <w:r w:rsidRPr="006E187F">
              <w:t>124.05%)</w:t>
            </w:r>
          </w:p>
        </w:tc>
      </w:tr>
    </w:tbl>
    <w:p w:rsidR="00EF0524" w:rsidRPr="006E187F" w:rsidRDefault="00EF0524" w:rsidP="00EE17AF">
      <w:pPr>
        <w:pStyle w:val="TableFigureFooter"/>
        <w:keepNext/>
        <w:rPr>
          <w:sz w:val="20"/>
        </w:rPr>
      </w:pPr>
      <w:r w:rsidRPr="006E187F">
        <w:t>Source: Table 2.17, p.47 of the submission, Table 13, p.52 COLUMBA Primary analysis CSR of Attachment 6 of the submission</w:t>
      </w:r>
    </w:p>
    <w:p w:rsidR="00EF0524" w:rsidRPr="006E187F" w:rsidRDefault="00EF0524" w:rsidP="00EE17AF">
      <w:pPr>
        <w:pStyle w:val="TableFigureFooter"/>
        <w:keepNext/>
      </w:pPr>
      <w:r w:rsidRPr="006E187F">
        <w:t>CI = confidence interval; IV = intravenous; PK = pharmacokinetic; SC = subcutaneous; SD = standard deviation</w:t>
      </w:r>
    </w:p>
    <w:p w:rsidR="00EF0524" w:rsidRPr="006E187F" w:rsidRDefault="00EF0524" w:rsidP="00EF0524">
      <w:pPr>
        <w:pStyle w:val="TableFigureFooter"/>
      </w:pPr>
      <w:r w:rsidRPr="006E187F">
        <w:rPr>
          <w:vertAlign w:val="superscript"/>
        </w:rPr>
        <w:t>a</w:t>
      </w:r>
      <w:r w:rsidRPr="006E187F">
        <w:t xml:space="preserve"> Maximum C</w:t>
      </w:r>
      <w:r w:rsidRPr="006E187F">
        <w:rPr>
          <w:vertAlign w:val="subscript"/>
        </w:rPr>
        <w:t>trough</w:t>
      </w:r>
      <w:r w:rsidRPr="006E187F">
        <w:t xml:space="preserve"> concentration data were natural log (ln) transformed prior to the calculation of geometric mean, the ratio of geometric mean and its 90% confidence interval, and then transformed back to the linear scale.</w:t>
      </w:r>
    </w:p>
    <w:p w:rsidR="00EF0524" w:rsidRPr="006E187F" w:rsidRDefault="00EF0524" w:rsidP="00EF0524">
      <w:pPr>
        <w:pStyle w:val="TableFigureFooter"/>
      </w:pPr>
      <w:r w:rsidRPr="006E187F">
        <w:rPr>
          <w:vertAlign w:val="superscript"/>
        </w:rPr>
        <w:t>b</w:t>
      </w:r>
      <w:r w:rsidRPr="006E187F">
        <w:t xml:space="preserve"> Primary analysis with median 7.5 month follow-up</w:t>
      </w:r>
    </w:p>
    <w:p w:rsidR="00EF0524" w:rsidRPr="006E187F" w:rsidRDefault="00EF0524" w:rsidP="000D3E0F">
      <w:pPr>
        <w:pStyle w:val="TableFigureFooter"/>
        <w:spacing w:after="0"/>
      </w:pPr>
      <w:r w:rsidRPr="006E187F">
        <w:rPr>
          <w:vertAlign w:val="superscript"/>
        </w:rPr>
        <w:t>c</w:t>
      </w:r>
      <w:r w:rsidRPr="006E187F">
        <w:t xml:space="preserve"> 6-month update analysis with median 13.7 month follow-up</w:t>
      </w:r>
    </w:p>
    <w:p w:rsidR="00EF0524" w:rsidRPr="006E187F" w:rsidRDefault="00EF0524" w:rsidP="000D3E0F"/>
    <w:p w:rsidR="00EF0524" w:rsidRPr="006E187F" w:rsidRDefault="00E6093D" w:rsidP="00EF0524">
      <w:pPr>
        <w:pStyle w:val="3-BodyText"/>
      </w:pPr>
      <w:r>
        <w:rPr>
          <w:snapToGrid/>
        </w:rPr>
        <w:t>Table 5 presents the r</w:t>
      </w:r>
      <w:r w:rsidR="00CF2737" w:rsidRPr="006E187F">
        <w:rPr>
          <w:snapToGrid/>
        </w:rPr>
        <w:t>esults of ORR.</w:t>
      </w:r>
      <w:r w:rsidR="00A330CB" w:rsidRPr="006E187F">
        <w:t xml:space="preserve"> At the 6-month update</w:t>
      </w:r>
      <w:r>
        <w:t>,</w:t>
      </w:r>
      <w:r w:rsidR="00A330CB" w:rsidRPr="006E187F">
        <w:t xml:space="preserve"> the lower bound of the 95% CI of the estimated RR of ORR was </w:t>
      </w:r>
      <w:r w:rsidRPr="006E187F">
        <w:t>0.90 that</w:t>
      </w:r>
      <w:r w:rsidR="00A330CB" w:rsidRPr="006E187F">
        <w:t xml:space="preserve"> </w:t>
      </w:r>
      <w:r w:rsidR="00A434E9" w:rsidRPr="006E187F">
        <w:t>was</w:t>
      </w:r>
      <w:r w:rsidR="00A330CB" w:rsidRPr="006E187F">
        <w:t xml:space="preserve"> greater than the pre-specified non-inferiority margin of 0.60</w:t>
      </w:r>
      <w:r w:rsidR="0046529B" w:rsidRPr="006E187F">
        <w:t>.</w:t>
      </w:r>
    </w:p>
    <w:p w:rsidR="00EF0524" w:rsidRPr="006E187F" w:rsidRDefault="00EF0524" w:rsidP="00EF0524">
      <w:pPr>
        <w:pStyle w:val="TableFigureHeading"/>
        <w:rPr>
          <w:rStyle w:val="CommentReference"/>
          <w:b/>
          <w:szCs w:val="24"/>
        </w:rPr>
      </w:pPr>
      <w:r w:rsidRPr="006E187F">
        <w:rPr>
          <w:rStyle w:val="CommentReference"/>
          <w:b/>
          <w:szCs w:val="24"/>
        </w:rPr>
        <w:t xml:space="preserve">Table </w:t>
      </w:r>
      <w:r w:rsidR="00B83340" w:rsidRPr="006E187F">
        <w:rPr>
          <w:rStyle w:val="CommentReference"/>
          <w:b/>
          <w:szCs w:val="24"/>
        </w:rPr>
        <w:t>5</w:t>
      </w:r>
      <w:r w:rsidRPr="006E187F">
        <w:rPr>
          <w:rStyle w:val="CommentReference"/>
          <w:b/>
          <w:szCs w:val="24"/>
        </w:rPr>
        <w:t>: Results of ORR in ITT population in COLUMBA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669"/>
        <w:gridCol w:w="2554"/>
        <w:gridCol w:w="1933"/>
      </w:tblGrid>
      <w:tr w:rsidR="00EF0524" w:rsidRPr="006E187F" w:rsidTr="00CC3C0E">
        <w:trPr>
          <w:tblHeader/>
        </w:trPr>
        <w:tc>
          <w:tcPr>
            <w:tcW w:w="1032" w:type="pct"/>
            <w:tcBorders>
              <w:bottom w:val="single" w:sz="4" w:space="0" w:color="auto"/>
            </w:tcBorders>
            <w:vAlign w:val="center"/>
          </w:tcPr>
          <w:p w:rsidR="00EF0524" w:rsidRPr="006E187F" w:rsidRDefault="00EF0524" w:rsidP="003857F2">
            <w:pPr>
              <w:pStyle w:val="In-tableHeading"/>
              <w:rPr>
                <w:lang w:val="en-AU"/>
              </w:rPr>
            </w:pPr>
          </w:p>
        </w:tc>
        <w:tc>
          <w:tcPr>
            <w:tcW w:w="1480" w:type="pct"/>
            <w:tcBorders>
              <w:bottom w:val="single" w:sz="4" w:space="0" w:color="auto"/>
            </w:tcBorders>
            <w:vAlign w:val="center"/>
          </w:tcPr>
          <w:p w:rsidR="00EF0524" w:rsidRPr="006E187F" w:rsidRDefault="00EF0524" w:rsidP="003857F2">
            <w:pPr>
              <w:pStyle w:val="In-tableHeading"/>
              <w:jc w:val="center"/>
              <w:rPr>
                <w:lang w:val="en-AU"/>
              </w:rPr>
            </w:pPr>
            <w:r w:rsidRPr="006E187F">
              <w:rPr>
                <w:lang w:val="en-AU"/>
              </w:rPr>
              <w:t>Daratumumab SC</w:t>
            </w:r>
          </w:p>
          <w:p w:rsidR="00EF0524" w:rsidRPr="006E187F" w:rsidRDefault="00CC3C0E" w:rsidP="00CC3C0E">
            <w:pPr>
              <w:pStyle w:val="In-tableHeading"/>
              <w:jc w:val="center"/>
              <w:rPr>
                <w:lang w:val="en-AU"/>
              </w:rPr>
            </w:pPr>
            <w:r w:rsidRPr="006E187F">
              <w:rPr>
                <w:lang w:val="en-AU"/>
              </w:rPr>
              <w:t>n</w:t>
            </w:r>
            <w:r w:rsidR="00EF0524" w:rsidRPr="006E187F">
              <w:rPr>
                <w:lang w:val="en-AU"/>
              </w:rPr>
              <w:t>/N (%, 95% CI)</w:t>
            </w:r>
          </w:p>
        </w:tc>
        <w:tc>
          <w:tcPr>
            <w:tcW w:w="1416" w:type="pct"/>
            <w:tcBorders>
              <w:bottom w:val="single" w:sz="4" w:space="0" w:color="auto"/>
            </w:tcBorders>
            <w:vAlign w:val="center"/>
          </w:tcPr>
          <w:p w:rsidR="00EF0524" w:rsidRPr="006E187F" w:rsidRDefault="00EF0524" w:rsidP="003857F2">
            <w:pPr>
              <w:pStyle w:val="In-tableHeading"/>
              <w:jc w:val="center"/>
              <w:rPr>
                <w:lang w:val="en-AU"/>
              </w:rPr>
            </w:pPr>
            <w:r w:rsidRPr="006E187F">
              <w:rPr>
                <w:lang w:val="en-AU"/>
              </w:rPr>
              <w:t>Daratumumab IV</w:t>
            </w:r>
          </w:p>
          <w:p w:rsidR="00EF0524" w:rsidRPr="006E187F" w:rsidRDefault="00CC3C0E" w:rsidP="00CC3C0E">
            <w:pPr>
              <w:pStyle w:val="In-tableHeading"/>
              <w:jc w:val="center"/>
              <w:rPr>
                <w:lang w:val="en-AU"/>
              </w:rPr>
            </w:pPr>
            <w:r w:rsidRPr="006E187F">
              <w:rPr>
                <w:lang w:val="en-AU"/>
              </w:rPr>
              <w:t>n</w:t>
            </w:r>
            <w:r w:rsidR="00EF0524" w:rsidRPr="006E187F">
              <w:rPr>
                <w:lang w:val="en-AU"/>
              </w:rPr>
              <w:t>/N (%, 95% CI)</w:t>
            </w:r>
          </w:p>
        </w:tc>
        <w:tc>
          <w:tcPr>
            <w:tcW w:w="1072" w:type="pct"/>
            <w:tcBorders>
              <w:bottom w:val="single" w:sz="4" w:space="0" w:color="auto"/>
            </w:tcBorders>
            <w:vAlign w:val="center"/>
          </w:tcPr>
          <w:p w:rsidR="00EF0524" w:rsidRPr="006E187F" w:rsidRDefault="00EF0524" w:rsidP="003857F2">
            <w:pPr>
              <w:pStyle w:val="In-tableHeading"/>
              <w:jc w:val="center"/>
              <w:rPr>
                <w:lang w:val="en-AU"/>
              </w:rPr>
            </w:pPr>
            <w:r w:rsidRPr="006E187F">
              <w:rPr>
                <w:lang w:val="en-AU"/>
              </w:rPr>
              <w:t xml:space="preserve">Relative risk (95% CI), </w:t>
            </w:r>
            <w:r w:rsidR="00CC3C0E" w:rsidRPr="006E187F">
              <w:rPr>
                <w:lang w:val="en-AU"/>
              </w:rPr>
              <w:br/>
            </w:r>
            <w:r w:rsidRPr="006E187F">
              <w:rPr>
                <w:lang w:val="en-AU"/>
              </w:rPr>
              <w:t>p-value</w:t>
            </w:r>
            <w:r w:rsidRPr="006E187F">
              <w:rPr>
                <w:vertAlign w:val="superscript"/>
                <w:lang w:val="en-AU"/>
              </w:rPr>
              <w:t>a</w:t>
            </w:r>
          </w:p>
        </w:tc>
      </w:tr>
      <w:tr w:rsidR="00EF0524" w:rsidRPr="006E187F" w:rsidTr="003857F2">
        <w:tc>
          <w:tcPr>
            <w:tcW w:w="5000" w:type="pct"/>
            <w:gridSpan w:val="4"/>
            <w:tcBorders>
              <w:bottom w:val="single" w:sz="4" w:space="0" w:color="auto"/>
            </w:tcBorders>
            <w:vAlign w:val="center"/>
          </w:tcPr>
          <w:p w:rsidR="00EF0524" w:rsidRPr="006E187F" w:rsidRDefault="00EF0524" w:rsidP="003857F2">
            <w:pPr>
              <w:pStyle w:val="TableText0"/>
              <w:rPr>
                <w:b/>
                <w:bCs w:val="0"/>
              </w:rPr>
            </w:pPr>
            <w:r w:rsidRPr="006E187F">
              <w:rPr>
                <w:b/>
                <w:bCs w:val="0"/>
              </w:rPr>
              <w:t>Primary analysis</w:t>
            </w:r>
            <w:r w:rsidRPr="006E187F">
              <w:rPr>
                <w:b/>
                <w:bCs w:val="0"/>
                <w:vertAlign w:val="superscript"/>
              </w:rPr>
              <w:t>b</w:t>
            </w:r>
          </w:p>
        </w:tc>
      </w:tr>
      <w:tr w:rsidR="00EF0524" w:rsidRPr="006E187F" w:rsidTr="00CC3C0E">
        <w:tc>
          <w:tcPr>
            <w:tcW w:w="1032" w:type="pct"/>
            <w:tcBorders>
              <w:bottom w:val="single" w:sz="4" w:space="0" w:color="auto"/>
            </w:tcBorders>
            <w:vAlign w:val="center"/>
          </w:tcPr>
          <w:p w:rsidR="00EF0524" w:rsidRPr="006E187F" w:rsidRDefault="00EF0524" w:rsidP="003857F2">
            <w:pPr>
              <w:pStyle w:val="TableText0"/>
            </w:pPr>
            <w:r w:rsidRPr="006E187F">
              <w:t>ORR (sCR+CR+VGPR+PR)</w:t>
            </w:r>
          </w:p>
        </w:tc>
        <w:tc>
          <w:tcPr>
            <w:tcW w:w="1480" w:type="pct"/>
            <w:tcBorders>
              <w:bottom w:val="single" w:sz="4" w:space="0" w:color="auto"/>
            </w:tcBorders>
            <w:vAlign w:val="center"/>
          </w:tcPr>
          <w:p w:rsidR="00EF0524" w:rsidRPr="006E187F" w:rsidRDefault="00EF0524" w:rsidP="00CC3C0E">
            <w:pPr>
              <w:pStyle w:val="TableText0"/>
              <w:jc w:val="center"/>
            </w:pPr>
            <w:r w:rsidRPr="006E187F">
              <w:t>108/263 (41.1%</w:t>
            </w:r>
            <w:r w:rsidR="00CC3C0E" w:rsidRPr="006E187F">
              <w:t>;</w:t>
            </w:r>
            <w:r w:rsidRPr="006E187F">
              <w:t xml:space="preserve"> 35.1%</w:t>
            </w:r>
            <w:r w:rsidR="00CC3C0E" w:rsidRPr="006E187F">
              <w:t xml:space="preserve">, </w:t>
            </w:r>
            <w:r w:rsidRPr="006E187F">
              <w:t>47.3%)</w:t>
            </w:r>
          </w:p>
        </w:tc>
        <w:tc>
          <w:tcPr>
            <w:tcW w:w="1416" w:type="pct"/>
            <w:tcBorders>
              <w:bottom w:val="single" w:sz="4" w:space="0" w:color="auto"/>
            </w:tcBorders>
            <w:vAlign w:val="center"/>
          </w:tcPr>
          <w:p w:rsidR="00EF0524" w:rsidRPr="006E187F" w:rsidRDefault="00EF0524" w:rsidP="00CC3C0E">
            <w:pPr>
              <w:pStyle w:val="TableText0"/>
              <w:jc w:val="center"/>
            </w:pPr>
            <w:r w:rsidRPr="006E187F">
              <w:t>96/259 (37.1</w:t>
            </w:r>
            <w:r w:rsidR="00CC3C0E" w:rsidRPr="006E187F">
              <w:t>%;</w:t>
            </w:r>
            <w:r w:rsidRPr="006E187F">
              <w:t xml:space="preserve"> 31.2%</w:t>
            </w:r>
            <w:r w:rsidR="00CC3C0E" w:rsidRPr="006E187F">
              <w:t xml:space="preserve">, </w:t>
            </w:r>
            <w:r w:rsidRPr="006E187F">
              <w:t>43.3%)</w:t>
            </w:r>
          </w:p>
        </w:tc>
        <w:tc>
          <w:tcPr>
            <w:tcW w:w="1072" w:type="pct"/>
            <w:tcBorders>
              <w:bottom w:val="single" w:sz="4" w:space="0" w:color="auto"/>
            </w:tcBorders>
            <w:vAlign w:val="center"/>
          </w:tcPr>
          <w:p w:rsidR="00EF0524" w:rsidRPr="006E187F" w:rsidRDefault="00EF0524" w:rsidP="003857F2">
            <w:pPr>
              <w:pStyle w:val="TableText0"/>
              <w:jc w:val="center"/>
              <w:rPr>
                <w:b/>
              </w:rPr>
            </w:pPr>
            <w:r w:rsidRPr="006E187F">
              <w:rPr>
                <w:b/>
              </w:rPr>
              <w:t xml:space="preserve">1.11 (0.89,1.37), </w:t>
            </w:r>
            <w:r w:rsidR="00CC3C0E" w:rsidRPr="006E187F">
              <w:rPr>
                <w:b/>
              </w:rPr>
              <w:br/>
            </w:r>
            <w:r w:rsidRPr="006E187F">
              <w:rPr>
                <w:b/>
              </w:rPr>
              <w:t>p&lt;0.001</w:t>
            </w:r>
          </w:p>
        </w:tc>
      </w:tr>
      <w:tr w:rsidR="00EF0524" w:rsidRPr="006E187F" w:rsidTr="00CC3C0E">
        <w:tc>
          <w:tcPr>
            <w:tcW w:w="1032" w:type="pct"/>
            <w:tcBorders>
              <w:bottom w:val="single" w:sz="4" w:space="0" w:color="auto"/>
            </w:tcBorders>
            <w:vAlign w:val="center"/>
          </w:tcPr>
          <w:p w:rsidR="00EF0524" w:rsidRPr="006E187F" w:rsidRDefault="00EF0524" w:rsidP="003857F2">
            <w:pPr>
              <w:pStyle w:val="TableText0"/>
            </w:pPr>
            <w:r w:rsidRPr="006E187F">
              <w:t xml:space="preserve">CR or better </w:t>
            </w:r>
            <w:r w:rsidR="00CC3C0E" w:rsidRPr="006E187F">
              <w:br/>
            </w:r>
            <w:r w:rsidRPr="006E187F">
              <w:t>(sCR+CR)</w:t>
            </w:r>
          </w:p>
        </w:tc>
        <w:tc>
          <w:tcPr>
            <w:tcW w:w="1480" w:type="pct"/>
            <w:tcBorders>
              <w:bottom w:val="single" w:sz="4" w:space="0" w:color="auto"/>
            </w:tcBorders>
            <w:vAlign w:val="center"/>
          </w:tcPr>
          <w:p w:rsidR="00EF0524" w:rsidRPr="006E187F" w:rsidRDefault="00EF0524" w:rsidP="00CC3C0E">
            <w:pPr>
              <w:pStyle w:val="TableText0"/>
              <w:jc w:val="center"/>
            </w:pPr>
            <w:r w:rsidRPr="006E187F">
              <w:t>5/263 (1.9%</w:t>
            </w:r>
            <w:r w:rsidR="00CC3C0E" w:rsidRPr="006E187F">
              <w:t>;</w:t>
            </w:r>
            <w:r w:rsidRPr="006E187F">
              <w:t xml:space="preserve"> 0.6%</w:t>
            </w:r>
            <w:r w:rsidR="00CC3C0E" w:rsidRPr="006E187F">
              <w:t xml:space="preserve">, </w:t>
            </w:r>
            <w:r w:rsidRPr="006E187F">
              <w:t>4.4%)</w:t>
            </w:r>
          </w:p>
        </w:tc>
        <w:tc>
          <w:tcPr>
            <w:tcW w:w="1416" w:type="pct"/>
            <w:tcBorders>
              <w:bottom w:val="single" w:sz="4" w:space="0" w:color="auto"/>
            </w:tcBorders>
            <w:vAlign w:val="center"/>
          </w:tcPr>
          <w:p w:rsidR="00EF0524" w:rsidRPr="006E187F" w:rsidRDefault="00EF0524" w:rsidP="00CC3C0E">
            <w:pPr>
              <w:pStyle w:val="TableText0"/>
              <w:jc w:val="center"/>
            </w:pPr>
            <w:r w:rsidRPr="006E187F">
              <w:t>7/259 (2.7%</w:t>
            </w:r>
            <w:r w:rsidR="00CC3C0E" w:rsidRPr="006E187F">
              <w:t>;</w:t>
            </w:r>
            <w:r w:rsidRPr="006E187F">
              <w:t xml:space="preserve"> 1.1%</w:t>
            </w:r>
            <w:r w:rsidR="00CC3C0E" w:rsidRPr="006E187F">
              <w:t xml:space="preserve">, </w:t>
            </w:r>
            <w:r w:rsidRPr="006E187F">
              <w:t>5.5%)</w:t>
            </w:r>
          </w:p>
        </w:tc>
        <w:tc>
          <w:tcPr>
            <w:tcW w:w="1072" w:type="pct"/>
            <w:tcBorders>
              <w:bottom w:val="single" w:sz="4" w:space="0" w:color="auto"/>
            </w:tcBorders>
            <w:vAlign w:val="center"/>
          </w:tcPr>
          <w:p w:rsidR="00EF0524" w:rsidRPr="006E187F" w:rsidRDefault="00EF0524" w:rsidP="003857F2">
            <w:pPr>
              <w:pStyle w:val="TableText0"/>
              <w:jc w:val="center"/>
            </w:pPr>
            <w:r w:rsidRPr="006E187F">
              <w:t>NR</w:t>
            </w:r>
          </w:p>
        </w:tc>
      </w:tr>
      <w:tr w:rsidR="00EF0524" w:rsidRPr="006E187F" w:rsidTr="00CC3C0E">
        <w:tc>
          <w:tcPr>
            <w:tcW w:w="1032" w:type="pct"/>
            <w:tcBorders>
              <w:bottom w:val="single" w:sz="4" w:space="0" w:color="auto"/>
            </w:tcBorders>
            <w:vAlign w:val="center"/>
          </w:tcPr>
          <w:p w:rsidR="00EF0524" w:rsidRPr="006E187F" w:rsidRDefault="00EF0524" w:rsidP="003857F2">
            <w:pPr>
              <w:pStyle w:val="TableText0"/>
            </w:pPr>
            <w:r w:rsidRPr="006E187F">
              <w:t>VGPR or better (sCR+CR+VGPR)</w:t>
            </w:r>
          </w:p>
        </w:tc>
        <w:tc>
          <w:tcPr>
            <w:tcW w:w="1480" w:type="pct"/>
            <w:tcBorders>
              <w:bottom w:val="single" w:sz="4" w:space="0" w:color="auto"/>
            </w:tcBorders>
            <w:vAlign w:val="center"/>
          </w:tcPr>
          <w:p w:rsidR="00EF0524" w:rsidRPr="006E187F" w:rsidRDefault="00EF0524" w:rsidP="00CC3C0E">
            <w:pPr>
              <w:pStyle w:val="TableText0"/>
              <w:jc w:val="center"/>
            </w:pPr>
            <w:r w:rsidRPr="006E187F">
              <w:t>50/263 (19.0%</w:t>
            </w:r>
            <w:r w:rsidR="00CC3C0E" w:rsidRPr="006E187F">
              <w:t>;</w:t>
            </w:r>
            <w:r w:rsidRPr="006E187F">
              <w:t xml:space="preserve"> 14.5%</w:t>
            </w:r>
            <w:r w:rsidR="00CC3C0E" w:rsidRPr="006E187F">
              <w:t xml:space="preserve">, </w:t>
            </w:r>
            <w:r w:rsidRPr="006E187F">
              <w:t>24.3%)</w:t>
            </w:r>
          </w:p>
        </w:tc>
        <w:tc>
          <w:tcPr>
            <w:tcW w:w="1416" w:type="pct"/>
            <w:tcBorders>
              <w:bottom w:val="single" w:sz="4" w:space="0" w:color="auto"/>
            </w:tcBorders>
            <w:vAlign w:val="center"/>
          </w:tcPr>
          <w:p w:rsidR="00EF0524" w:rsidRPr="006E187F" w:rsidRDefault="00EF0524" w:rsidP="00CC3C0E">
            <w:pPr>
              <w:pStyle w:val="TableText0"/>
              <w:jc w:val="center"/>
            </w:pPr>
            <w:r w:rsidRPr="006E187F">
              <w:t>44/259 (17.0%</w:t>
            </w:r>
            <w:r w:rsidR="00CC3C0E" w:rsidRPr="006E187F">
              <w:t>;</w:t>
            </w:r>
            <w:r w:rsidRPr="006E187F">
              <w:t xml:space="preserve"> 12.6%</w:t>
            </w:r>
            <w:r w:rsidR="00CC3C0E" w:rsidRPr="006E187F">
              <w:t xml:space="preserve">, </w:t>
            </w:r>
            <w:r w:rsidRPr="006E187F">
              <w:t>22.1%)</w:t>
            </w:r>
          </w:p>
        </w:tc>
        <w:tc>
          <w:tcPr>
            <w:tcW w:w="1072" w:type="pct"/>
            <w:tcBorders>
              <w:bottom w:val="single" w:sz="4" w:space="0" w:color="auto"/>
            </w:tcBorders>
            <w:vAlign w:val="center"/>
          </w:tcPr>
          <w:p w:rsidR="00EF0524" w:rsidRPr="006E187F" w:rsidRDefault="00EF0524" w:rsidP="003857F2">
            <w:pPr>
              <w:pStyle w:val="TableText0"/>
              <w:jc w:val="center"/>
            </w:pPr>
            <w:r w:rsidRPr="006E187F">
              <w:t>NR</w:t>
            </w:r>
          </w:p>
        </w:tc>
      </w:tr>
      <w:tr w:rsidR="00EF0524" w:rsidRPr="006E187F" w:rsidTr="003857F2">
        <w:tc>
          <w:tcPr>
            <w:tcW w:w="5000" w:type="pct"/>
            <w:gridSpan w:val="4"/>
            <w:vAlign w:val="center"/>
          </w:tcPr>
          <w:p w:rsidR="00EF0524" w:rsidRPr="006E187F" w:rsidRDefault="00EF0524" w:rsidP="003857F2">
            <w:pPr>
              <w:pStyle w:val="TableText0"/>
              <w:rPr>
                <w:b/>
                <w:bCs w:val="0"/>
              </w:rPr>
            </w:pPr>
            <w:r w:rsidRPr="006E187F">
              <w:rPr>
                <w:b/>
                <w:bCs w:val="0"/>
              </w:rPr>
              <w:t>6-month update</w:t>
            </w:r>
            <w:r w:rsidRPr="006E187F">
              <w:rPr>
                <w:b/>
                <w:bCs w:val="0"/>
                <w:vertAlign w:val="superscript"/>
              </w:rPr>
              <w:t>c</w:t>
            </w:r>
          </w:p>
        </w:tc>
      </w:tr>
      <w:tr w:rsidR="00EF0524" w:rsidRPr="006E187F" w:rsidTr="00CC3C0E">
        <w:tc>
          <w:tcPr>
            <w:tcW w:w="1032" w:type="pct"/>
            <w:vAlign w:val="center"/>
          </w:tcPr>
          <w:p w:rsidR="00EF0524" w:rsidRPr="006E187F" w:rsidRDefault="00EF0524" w:rsidP="003857F2">
            <w:pPr>
              <w:pStyle w:val="TableText0"/>
            </w:pPr>
            <w:r w:rsidRPr="006E187F">
              <w:t>ORR (sCR+CR+VGPR+PR)</w:t>
            </w:r>
          </w:p>
        </w:tc>
        <w:tc>
          <w:tcPr>
            <w:tcW w:w="1480" w:type="pct"/>
            <w:vAlign w:val="center"/>
          </w:tcPr>
          <w:p w:rsidR="00EF0524" w:rsidRPr="006E187F" w:rsidRDefault="00EF0524" w:rsidP="00CC3C0E">
            <w:pPr>
              <w:pStyle w:val="TableText0"/>
              <w:jc w:val="center"/>
            </w:pPr>
            <w:r w:rsidRPr="006E187F">
              <w:t>114/263 (43.3%</w:t>
            </w:r>
            <w:r w:rsidR="00CC3C0E" w:rsidRPr="006E187F">
              <w:t>;</w:t>
            </w:r>
            <w:r w:rsidRPr="006E187F">
              <w:t xml:space="preserve"> 37.3%</w:t>
            </w:r>
            <w:r w:rsidR="00CC3C0E" w:rsidRPr="006E187F">
              <w:t xml:space="preserve">, </w:t>
            </w:r>
            <w:r w:rsidRPr="006E187F">
              <w:t>49.6%)</w:t>
            </w:r>
          </w:p>
        </w:tc>
        <w:tc>
          <w:tcPr>
            <w:tcW w:w="1416" w:type="pct"/>
            <w:vAlign w:val="center"/>
          </w:tcPr>
          <w:p w:rsidR="00EF0524" w:rsidRPr="006E187F" w:rsidRDefault="00EF0524" w:rsidP="00CC3C0E">
            <w:pPr>
              <w:pStyle w:val="TableText0"/>
              <w:jc w:val="center"/>
            </w:pPr>
            <w:r w:rsidRPr="006E187F">
              <w:t>102/259 (39.4%</w:t>
            </w:r>
            <w:r w:rsidR="00CC3C0E" w:rsidRPr="006E187F">
              <w:t xml:space="preserve">; </w:t>
            </w:r>
            <w:r w:rsidRPr="006E187F">
              <w:t>33.4%</w:t>
            </w:r>
            <w:r w:rsidR="00CC3C0E" w:rsidRPr="006E187F">
              <w:t xml:space="preserve">, </w:t>
            </w:r>
            <w:r w:rsidRPr="006E187F">
              <w:t>45.6%)</w:t>
            </w:r>
          </w:p>
        </w:tc>
        <w:tc>
          <w:tcPr>
            <w:tcW w:w="1072" w:type="pct"/>
            <w:vAlign w:val="center"/>
          </w:tcPr>
          <w:p w:rsidR="00EF0524" w:rsidRPr="006E187F" w:rsidRDefault="00EF0524" w:rsidP="003857F2">
            <w:pPr>
              <w:pStyle w:val="TableText0"/>
              <w:jc w:val="center"/>
              <w:rPr>
                <w:b/>
              </w:rPr>
            </w:pPr>
            <w:r w:rsidRPr="006E187F">
              <w:rPr>
                <w:b/>
              </w:rPr>
              <w:t xml:space="preserve">1.10 (0.90, 1.35), </w:t>
            </w:r>
            <w:r w:rsidR="00CC3C0E" w:rsidRPr="006E187F">
              <w:rPr>
                <w:b/>
              </w:rPr>
              <w:br/>
            </w:r>
            <w:r w:rsidRPr="006E187F">
              <w:rPr>
                <w:b/>
              </w:rPr>
              <w:t>p&lt;0.0001</w:t>
            </w:r>
          </w:p>
        </w:tc>
      </w:tr>
      <w:tr w:rsidR="00EF0524" w:rsidRPr="006E187F" w:rsidTr="00CC3C0E">
        <w:tc>
          <w:tcPr>
            <w:tcW w:w="1032" w:type="pct"/>
            <w:vAlign w:val="center"/>
          </w:tcPr>
          <w:p w:rsidR="00EF0524" w:rsidRPr="006E187F" w:rsidRDefault="00EF0524" w:rsidP="003857F2">
            <w:pPr>
              <w:pStyle w:val="TableText0"/>
            </w:pPr>
            <w:r w:rsidRPr="006E187F">
              <w:t xml:space="preserve">CR or better </w:t>
            </w:r>
            <w:r w:rsidR="00CC3C0E" w:rsidRPr="006E187F">
              <w:br/>
            </w:r>
            <w:r w:rsidRPr="006E187F">
              <w:t>(sCR+CR)</w:t>
            </w:r>
          </w:p>
        </w:tc>
        <w:tc>
          <w:tcPr>
            <w:tcW w:w="1480" w:type="pct"/>
            <w:vAlign w:val="center"/>
          </w:tcPr>
          <w:p w:rsidR="00EF0524" w:rsidRPr="006E187F" w:rsidRDefault="00EF0524" w:rsidP="00CC3C0E">
            <w:pPr>
              <w:pStyle w:val="TableText0"/>
              <w:jc w:val="center"/>
            </w:pPr>
            <w:r w:rsidRPr="006E187F">
              <w:t>8/263 (3.0%</w:t>
            </w:r>
            <w:r w:rsidR="00CC3C0E" w:rsidRPr="006E187F">
              <w:t>;</w:t>
            </w:r>
            <w:r w:rsidRPr="006E187F">
              <w:t xml:space="preserve"> 1.3%</w:t>
            </w:r>
            <w:r w:rsidR="00CC3C0E" w:rsidRPr="006E187F">
              <w:t xml:space="preserve">, </w:t>
            </w:r>
            <w:r w:rsidRPr="006E187F">
              <w:t>5.9%)</w:t>
            </w:r>
          </w:p>
        </w:tc>
        <w:tc>
          <w:tcPr>
            <w:tcW w:w="1416" w:type="pct"/>
            <w:vAlign w:val="center"/>
          </w:tcPr>
          <w:p w:rsidR="00EF0524" w:rsidRPr="006E187F" w:rsidRDefault="00EF0524" w:rsidP="00CC3C0E">
            <w:pPr>
              <w:pStyle w:val="TableText0"/>
              <w:jc w:val="center"/>
            </w:pPr>
            <w:r w:rsidRPr="006E187F">
              <w:t>12/259 (4.6%</w:t>
            </w:r>
            <w:r w:rsidR="00CC3C0E" w:rsidRPr="006E187F">
              <w:t>;</w:t>
            </w:r>
            <w:r w:rsidRPr="006E187F">
              <w:t xml:space="preserve"> 2.4%</w:t>
            </w:r>
            <w:r w:rsidR="00CC3C0E" w:rsidRPr="006E187F">
              <w:t xml:space="preserve">. </w:t>
            </w:r>
            <w:r w:rsidRPr="006E187F">
              <w:t>8.0%)</w:t>
            </w:r>
          </w:p>
        </w:tc>
        <w:tc>
          <w:tcPr>
            <w:tcW w:w="1072" w:type="pct"/>
            <w:vAlign w:val="center"/>
          </w:tcPr>
          <w:p w:rsidR="00EF0524" w:rsidRPr="006E187F" w:rsidRDefault="00EF0524" w:rsidP="003857F2">
            <w:pPr>
              <w:pStyle w:val="TableText0"/>
              <w:jc w:val="center"/>
            </w:pPr>
            <w:r w:rsidRPr="006E187F">
              <w:t>NR</w:t>
            </w:r>
          </w:p>
        </w:tc>
      </w:tr>
      <w:tr w:rsidR="00EF0524" w:rsidRPr="006E187F" w:rsidTr="00CC3C0E">
        <w:tc>
          <w:tcPr>
            <w:tcW w:w="1032" w:type="pct"/>
            <w:vAlign w:val="center"/>
          </w:tcPr>
          <w:p w:rsidR="00EF0524" w:rsidRPr="006E187F" w:rsidRDefault="00EF0524" w:rsidP="003857F2">
            <w:pPr>
              <w:pStyle w:val="TableText0"/>
            </w:pPr>
            <w:r w:rsidRPr="006E187F">
              <w:t>VGPR or better (sCR+CR+VGPR)</w:t>
            </w:r>
          </w:p>
        </w:tc>
        <w:tc>
          <w:tcPr>
            <w:tcW w:w="1480" w:type="pct"/>
            <w:vAlign w:val="center"/>
          </w:tcPr>
          <w:p w:rsidR="00EF0524" w:rsidRPr="006E187F" w:rsidRDefault="00EF0524" w:rsidP="00CC3C0E">
            <w:pPr>
              <w:pStyle w:val="TableText0"/>
              <w:jc w:val="center"/>
            </w:pPr>
            <w:r w:rsidRPr="006E187F">
              <w:t>57/263 (21.7%</w:t>
            </w:r>
            <w:r w:rsidR="00CC3C0E" w:rsidRPr="006E187F">
              <w:t xml:space="preserve">; 16.8%, </w:t>
            </w:r>
            <w:r w:rsidRPr="006E187F">
              <w:t>27.1%)</w:t>
            </w:r>
          </w:p>
        </w:tc>
        <w:tc>
          <w:tcPr>
            <w:tcW w:w="1416" w:type="pct"/>
            <w:vAlign w:val="center"/>
          </w:tcPr>
          <w:p w:rsidR="00EF0524" w:rsidRPr="006E187F" w:rsidRDefault="00EF0524" w:rsidP="00CC3C0E">
            <w:pPr>
              <w:pStyle w:val="TableText0"/>
              <w:jc w:val="center"/>
            </w:pPr>
            <w:r w:rsidRPr="006E187F">
              <w:t>54/259 (20.8%</w:t>
            </w:r>
            <w:r w:rsidR="00CC3C0E" w:rsidRPr="006E187F">
              <w:t xml:space="preserve">; </w:t>
            </w:r>
            <w:r w:rsidRPr="006E187F">
              <w:t>16.1%</w:t>
            </w:r>
            <w:r w:rsidR="00CC3C0E" w:rsidRPr="006E187F">
              <w:t xml:space="preserve">, </w:t>
            </w:r>
            <w:r w:rsidRPr="006E187F">
              <w:t>26.3%)</w:t>
            </w:r>
          </w:p>
        </w:tc>
        <w:tc>
          <w:tcPr>
            <w:tcW w:w="1072" w:type="pct"/>
            <w:vAlign w:val="center"/>
          </w:tcPr>
          <w:p w:rsidR="00EF0524" w:rsidRPr="006E187F" w:rsidRDefault="00EF0524" w:rsidP="003857F2">
            <w:pPr>
              <w:pStyle w:val="TableText0"/>
              <w:jc w:val="center"/>
            </w:pPr>
            <w:r w:rsidRPr="006E187F">
              <w:t>NR</w:t>
            </w:r>
          </w:p>
        </w:tc>
      </w:tr>
    </w:tbl>
    <w:p w:rsidR="00EF0524" w:rsidRPr="006E187F" w:rsidRDefault="00EF0524" w:rsidP="00EF0524">
      <w:pPr>
        <w:pStyle w:val="TableFigureFooter"/>
        <w:rPr>
          <w:sz w:val="20"/>
        </w:rPr>
      </w:pPr>
      <w:r w:rsidRPr="006E187F">
        <w:t>Source: Table 2.19, p.50 of the submission, Table 16, p.62 COLUMBA Primary analysis CSR of Attachment 6 of the submission</w:t>
      </w:r>
    </w:p>
    <w:p w:rsidR="00EF0524" w:rsidRPr="006E187F" w:rsidRDefault="00EF0524" w:rsidP="00EF0524">
      <w:pPr>
        <w:pStyle w:val="TableFigureFooter"/>
        <w:rPr>
          <w:rFonts w:eastAsia="Calibri"/>
        </w:rPr>
      </w:pPr>
      <w:r w:rsidRPr="006E187F">
        <w:rPr>
          <w:rFonts w:eastAsia="Calibri"/>
        </w:rPr>
        <w:t xml:space="preserve">CI = confidence interval; CR=complete response; n = number of participants with event; </w:t>
      </w:r>
      <w:r w:rsidR="004D6A49" w:rsidRPr="006E187F">
        <w:rPr>
          <w:rFonts w:eastAsia="Calibri"/>
        </w:rPr>
        <w:t xml:space="preserve">IV=intravenous; </w:t>
      </w:r>
      <w:r w:rsidRPr="006E187F">
        <w:rPr>
          <w:rFonts w:eastAsia="Calibri"/>
        </w:rPr>
        <w:t xml:space="preserve">N = total participants in group, </w:t>
      </w:r>
      <w:r w:rsidR="00794F5E" w:rsidRPr="006E187F">
        <w:rPr>
          <w:rFonts w:eastAsia="Calibri"/>
        </w:rPr>
        <w:t xml:space="preserve">NR = not reported; </w:t>
      </w:r>
      <w:r w:rsidRPr="006E187F">
        <w:rPr>
          <w:rFonts w:eastAsia="Calibri"/>
        </w:rPr>
        <w:t>PR=partial response; RR=relative risk, SC=subcutaneous; sCR=Stringent complete response, VGPR=very good partial response;</w:t>
      </w:r>
    </w:p>
    <w:p w:rsidR="00EF0524" w:rsidRPr="006E187F" w:rsidRDefault="00EF0524" w:rsidP="00EF0524">
      <w:pPr>
        <w:pStyle w:val="TableFigureFooter"/>
        <w:rPr>
          <w:rFonts w:eastAsia="Calibri"/>
        </w:rPr>
      </w:pPr>
      <w:r w:rsidRPr="006E187F">
        <w:rPr>
          <w:rFonts w:eastAsia="Calibri"/>
          <w:b/>
        </w:rPr>
        <w:t>Bold</w:t>
      </w:r>
      <w:r w:rsidRPr="006E187F">
        <w:rPr>
          <w:rFonts w:eastAsia="Calibri"/>
        </w:rPr>
        <w:t xml:space="preserve"> indicates statistically significant results.</w:t>
      </w:r>
    </w:p>
    <w:p w:rsidR="00EF0524" w:rsidRPr="006E187F" w:rsidRDefault="00EF0524" w:rsidP="00EF0524">
      <w:pPr>
        <w:pStyle w:val="TableFigureFooter"/>
        <w:rPr>
          <w:rFonts w:eastAsia="Calibri"/>
        </w:rPr>
      </w:pPr>
      <w:r w:rsidRPr="006E187F">
        <w:rPr>
          <w:rFonts w:eastAsia="Calibri"/>
          <w:vertAlign w:val="superscript"/>
        </w:rPr>
        <w:t xml:space="preserve">a </w:t>
      </w:r>
      <w:r w:rsidRPr="006E187F">
        <w:rPr>
          <w:rFonts w:eastAsia="Calibri"/>
        </w:rPr>
        <w:t>Farrington-Manning estimates of the relative risk of daratumumab SC over daratumumab IV and associated CI and the p-value is from Farrington-Manning test for the non-inferiority hypothesis that daratumumab SC retains at least 60% of ORR in Dara IV.</w:t>
      </w:r>
    </w:p>
    <w:p w:rsidR="00EF0524" w:rsidRPr="006E187F" w:rsidRDefault="00EF0524" w:rsidP="00EF0524">
      <w:pPr>
        <w:pStyle w:val="TableFigureFooter"/>
      </w:pPr>
      <w:r w:rsidRPr="006E187F">
        <w:rPr>
          <w:vertAlign w:val="superscript"/>
        </w:rPr>
        <w:t>b</w:t>
      </w:r>
      <w:r w:rsidRPr="006E187F">
        <w:t xml:space="preserve"> Primary analysis with median 7.5 month follow-up</w:t>
      </w:r>
    </w:p>
    <w:p w:rsidR="00EF0524" w:rsidRPr="006E187F" w:rsidRDefault="00EF0524" w:rsidP="00EF0524">
      <w:pPr>
        <w:pStyle w:val="TableFigureFooter"/>
      </w:pPr>
      <w:r w:rsidRPr="006E187F">
        <w:rPr>
          <w:vertAlign w:val="superscript"/>
        </w:rPr>
        <w:t>c</w:t>
      </w:r>
      <w:r w:rsidRPr="006E187F">
        <w:t xml:space="preserve"> 6-month update analysis with median 13.7 month follow-up</w:t>
      </w:r>
    </w:p>
    <w:p w:rsidR="00EF0524" w:rsidRPr="006E187F" w:rsidRDefault="00EF0524" w:rsidP="00EF0524"/>
    <w:p w:rsidR="00EF0524" w:rsidRPr="006E187F" w:rsidRDefault="00E6093D" w:rsidP="00E36C2A">
      <w:pPr>
        <w:pStyle w:val="3-BodyText"/>
      </w:pPr>
      <w:r>
        <w:rPr>
          <w:snapToGrid/>
        </w:rPr>
        <w:t>Table 6 presents the r</w:t>
      </w:r>
      <w:r w:rsidR="00CF2737" w:rsidRPr="006E187F">
        <w:rPr>
          <w:snapToGrid/>
        </w:rPr>
        <w:t>esults of PFS and OS.</w:t>
      </w:r>
    </w:p>
    <w:p w:rsidR="00EF0524" w:rsidRPr="006E187F" w:rsidRDefault="00E36C2A" w:rsidP="00A267FF">
      <w:pPr>
        <w:keepNext/>
        <w:rPr>
          <w:rStyle w:val="CommentReference"/>
        </w:rPr>
      </w:pPr>
      <w:r w:rsidRPr="006E187F">
        <w:rPr>
          <w:rStyle w:val="CommentReference"/>
        </w:rPr>
        <w:t>Table</w:t>
      </w:r>
      <w:r w:rsidR="00CF2737" w:rsidRPr="006E187F">
        <w:rPr>
          <w:rStyle w:val="CommentReference"/>
        </w:rPr>
        <w:t xml:space="preserve"> </w:t>
      </w:r>
      <w:r w:rsidR="00B83340" w:rsidRPr="006E187F">
        <w:rPr>
          <w:rStyle w:val="CommentReference"/>
        </w:rPr>
        <w:t>6</w:t>
      </w:r>
      <w:r w:rsidR="00EF0524" w:rsidRPr="006E187F">
        <w:rPr>
          <w:rStyle w:val="CommentReference"/>
        </w:rPr>
        <w:t>: Summary of survival outcomes in COLUMBA (6-month update)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2268"/>
        <w:gridCol w:w="1984"/>
      </w:tblGrid>
      <w:tr w:rsidR="00EF0524" w:rsidRPr="006E187F" w:rsidTr="003857F2">
        <w:tc>
          <w:tcPr>
            <w:tcW w:w="2547" w:type="dxa"/>
            <w:vAlign w:val="center"/>
          </w:tcPr>
          <w:p w:rsidR="00EF0524" w:rsidRPr="006E187F" w:rsidRDefault="00EF0524" w:rsidP="00A267FF">
            <w:pPr>
              <w:pStyle w:val="In-tableHeading"/>
              <w:rPr>
                <w:lang w:val="en-AU"/>
              </w:rPr>
            </w:pPr>
          </w:p>
        </w:tc>
        <w:tc>
          <w:tcPr>
            <w:tcW w:w="2268" w:type="dxa"/>
            <w:vAlign w:val="center"/>
          </w:tcPr>
          <w:p w:rsidR="00EF0524" w:rsidRPr="006E187F" w:rsidRDefault="00CC3C0E" w:rsidP="00A267FF">
            <w:pPr>
              <w:pStyle w:val="In-tableHeading"/>
              <w:jc w:val="center"/>
              <w:rPr>
                <w:lang w:val="en-AU"/>
              </w:rPr>
            </w:pPr>
            <w:r w:rsidRPr="006E187F">
              <w:rPr>
                <w:lang w:val="en-AU"/>
              </w:rPr>
              <w:t>Daratumumab SC</w:t>
            </w:r>
          </w:p>
        </w:tc>
        <w:tc>
          <w:tcPr>
            <w:tcW w:w="2268" w:type="dxa"/>
            <w:vAlign w:val="center"/>
          </w:tcPr>
          <w:p w:rsidR="00EF0524" w:rsidRPr="006E187F" w:rsidRDefault="00CC3C0E" w:rsidP="00A267FF">
            <w:pPr>
              <w:pStyle w:val="In-tableHeading"/>
              <w:jc w:val="center"/>
              <w:rPr>
                <w:lang w:val="en-AU"/>
              </w:rPr>
            </w:pPr>
            <w:r w:rsidRPr="006E187F">
              <w:rPr>
                <w:lang w:val="en-AU"/>
              </w:rPr>
              <w:t>Daratumumab IV</w:t>
            </w:r>
          </w:p>
        </w:tc>
        <w:tc>
          <w:tcPr>
            <w:tcW w:w="1984" w:type="dxa"/>
            <w:vAlign w:val="center"/>
          </w:tcPr>
          <w:p w:rsidR="00EF0524" w:rsidRPr="006E187F" w:rsidRDefault="00EF0524" w:rsidP="00A267FF">
            <w:pPr>
              <w:pStyle w:val="In-tableHeading"/>
              <w:jc w:val="center"/>
              <w:rPr>
                <w:lang w:val="en-AU"/>
              </w:rPr>
            </w:pPr>
            <w:r w:rsidRPr="006E187F">
              <w:rPr>
                <w:lang w:val="en-AU"/>
              </w:rPr>
              <w:t>HR (95% CI)</w:t>
            </w:r>
          </w:p>
        </w:tc>
      </w:tr>
      <w:tr w:rsidR="00EF0524" w:rsidRPr="006E187F" w:rsidTr="003857F2">
        <w:tc>
          <w:tcPr>
            <w:tcW w:w="7083" w:type="dxa"/>
            <w:gridSpan w:val="3"/>
            <w:vAlign w:val="center"/>
          </w:tcPr>
          <w:p w:rsidR="00EF0524" w:rsidRPr="006E187F" w:rsidRDefault="00EF0524" w:rsidP="00A267FF">
            <w:pPr>
              <w:pStyle w:val="In-tableHeading"/>
              <w:rPr>
                <w:lang w:val="en-AU"/>
              </w:rPr>
            </w:pPr>
            <w:r w:rsidRPr="006E187F">
              <w:rPr>
                <w:lang w:val="en-AU"/>
              </w:rPr>
              <w:t>Progression-free survival</w:t>
            </w:r>
          </w:p>
        </w:tc>
        <w:tc>
          <w:tcPr>
            <w:tcW w:w="1984" w:type="dxa"/>
            <w:vAlign w:val="center"/>
          </w:tcPr>
          <w:p w:rsidR="00EF0524" w:rsidRPr="006E187F" w:rsidRDefault="00EF0524" w:rsidP="00A267FF">
            <w:pPr>
              <w:pStyle w:val="In-tableHeading"/>
              <w:rPr>
                <w:lang w:val="en-AU"/>
              </w:rPr>
            </w:pPr>
          </w:p>
        </w:tc>
      </w:tr>
      <w:tr w:rsidR="00EF0524" w:rsidRPr="006E187F" w:rsidTr="003857F2">
        <w:tc>
          <w:tcPr>
            <w:tcW w:w="2547" w:type="dxa"/>
            <w:vAlign w:val="center"/>
          </w:tcPr>
          <w:p w:rsidR="00EF0524" w:rsidRPr="006E187F" w:rsidRDefault="00EF0524" w:rsidP="00A267FF">
            <w:pPr>
              <w:pStyle w:val="TableText0"/>
            </w:pPr>
            <w:r w:rsidRPr="006E187F">
              <w:t>Patients with event</w:t>
            </w:r>
            <w:r w:rsidR="00CC3C0E" w:rsidRPr="006E187F">
              <w:t>, n/N (%)</w:t>
            </w:r>
          </w:p>
        </w:tc>
        <w:tc>
          <w:tcPr>
            <w:tcW w:w="2268" w:type="dxa"/>
            <w:vAlign w:val="center"/>
          </w:tcPr>
          <w:p w:rsidR="00EF0524" w:rsidRPr="006E187F" w:rsidRDefault="00EF0524" w:rsidP="00A267FF">
            <w:pPr>
              <w:pStyle w:val="TableText0"/>
              <w:jc w:val="center"/>
            </w:pPr>
            <w:r w:rsidRPr="006E187F">
              <w:t>180/263 (68.4%)</w:t>
            </w:r>
          </w:p>
        </w:tc>
        <w:tc>
          <w:tcPr>
            <w:tcW w:w="2268" w:type="dxa"/>
            <w:vAlign w:val="center"/>
          </w:tcPr>
          <w:p w:rsidR="00EF0524" w:rsidRPr="006E187F" w:rsidRDefault="00EF0524" w:rsidP="00A267FF">
            <w:pPr>
              <w:pStyle w:val="TableText0"/>
              <w:jc w:val="center"/>
            </w:pPr>
            <w:r w:rsidRPr="006E187F">
              <w:t>180/259 (69.5%)</w:t>
            </w:r>
          </w:p>
        </w:tc>
        <w:tc>
          <w:tcPr>
            <w:tcW w:w="1984" w:type="dxa"/>
            <w:vAlign w:val="center"/>
          </w:tcPr>
          <w:p w:rsidR="00EF0524" w:rsidRPr="006E187F" w:rsidRDefault="00EF0524" w:rsidP="00A267FF">
            <w:pPr>
              <w:pStyle w:val="TableText0"/>
              <w:jc w:val="center"/>
            </w:pPr>
            <w:r w:rsidRPr="006E187F">
              <w:t>-</w:t>
            </w:r>
          </w:p>
        </w:tc>
      </w:tr>
      <w:tr w:rsidR="00EF0524" w:rsidRPr="006E187F" w:rsidTr="003857F2">
        <w:tc>
          <w:tcPr>
            <w:tcW w:w="2547" w:type="dxa"/>
            <w:vAlign w:val="center"/>
          </w:tcPr>
          <w:p w:rsidR="00EF0524" w:rsidRPr="006E187F" w:rsidRDefault="00EF0524" w:rsidP="00A267FF">
            <w:pPr>
              <w:pStyle w:val="TableText0"/>
            </w:pPr>
            <w:r w:rsidRPr="006E187F">
              <w:t>Median PFS</w:t>
            </w:r>
            <w:r w:rsidR="00CC3C0E" w:rsidRPr="006E187F">
              <w:t>,</w:t>
            </w:r>
            <w:r w:rsidRPr="006E187F">
              <w:t xml:space="preserve"> months (95% CI)</w:t>
            </w:r>
          </w:p>
        </w:tc>
        <w:tc>
          <w:tcPr>
            <w:tcW w:w="2268" w:type="dxa"/>
            <w:vAlign w:val="center"/>
          </w:tcPr>
          <w:p w:rsidR="00EF0524" w:rsidRPr="006E187F" w:rsidRDefault="00EF0524" w:rsidP="00956863">
            <w:pPr>
              <w:pStyle w:val="TableText0"/>
              <w:jc w:val="center"/>
            </w:pPr>
            <w:r w:rsidRPr="006E187F">
              <w:t>5.62 (4.70</w:t>
            </w:r>
            <w:r w:rsidR="00956863" w:rsidRPr="006E187F">
              <w:t xml:space="preserve">, </w:t>
            </w:r>
            <w:r w:rsidRPr="006E187F">
              <w:t>7.49)</w:t>
            </w:r>
          </w:p>
        </w:tc>
        <w:tc>
          <w:tcPr>
            <w:tcW w:w="2268" w:type="dxa"/>
            <w:vAlign w:val="center"/>
          </w:tcPr>
          <w:p w:rsidR="00EF0524" w:rsidRPr="006E187F" w:rsidRDefault="00EF0524" w:rsidP="00956863">
            <w:pPr>
              <w:pStyle w:val="TableText0"/>
              <w:jc w:val="center"/>
            </w:pPr>
            <w:r w:rsidRPr="006E187F">
              <w:t>6.08 (4.73</w:t>
            </w:r>
            <w:r w:rsidR="00956863" w:rsidRPr="006E187F">
              <w:t xml:space="preserve">, </w:t>
            </w:r>
            <w:r w:rsidRPr="006E187F">
              <w:t>7.43)</w:t>
            </w:r>
          </w:p>
        </w:tc>
        <w:tc>
          <w:tcPr>
            <w:tcW w:w="1984" w:type="dxa"/>
            <w:vAlign w:val="center"/>
          </w:tcPr>
          <w:p w:rsidR="00EF0524" w:rsidRPr="006E187F" w:rsidRDefault="00EF0524" w:rsidP="00956863">
            <w:pPr>
              <w:pStyle w:val="TableText0"/>
              <w:jc w:val="center"/>
            </w:pPr>
            <w:r w:rsidRPr="006E187F">
              <w:t>1.00 (0.81</w:t>
            </w:r>
            <w:r w:rsidR="00956863" w:rsidRPr="006E187F">
              <w:t xml:space="preserve">, </w:t>
            </w:r>
            <w:r w:rsidRPr="006E187F">
              <w:t>1.23)</w:t>
            </w:r>
          </w:p>
        </w:tc>
      </w:tr>
      <w:tr w:rsidR="00EF0524" w:rsidRPr="006E187F" w:rsidTr="003857F2">
        <w:tc>
          <w:tcPr>
            <w:tcW w:w="7083" w:type="dxa"/>
            <w:gridSpan w:val="3"/>
            <w:vAlign w:val="center"/>
          </w:tcPr>
          <w:p w:rsidR="00EF0524" w:rsidRPr="006E187F" w:rsidRDefault="00EF0524" w:rsidP="00A267FF">
            <w:pPr>
              <w:pStyle w:val="In-tableHeading"/>
              <w:rPr>
                <w:lang w:val="en-AU"/>
              </w:rPr>
            </w:pPr>
            <w:r w:rsidRPr="006E187F">
              <w:rPr>
                <w:lang w:val="en-AU"/>
              </w:rPr>
              <w:t>Overall survival</w:t>
            </w:r>
          </w:p>
        </w:tc>
        <w:tc>
          <w:tcPr>
            <w:tcW w:w="1984" w:type="dxa"/>
            <w:vAlign w:val="center"/>
          </w:tcPr>
          <w:p w:rsidR="00EF0524" w:rsidRPr="006E187F" w:rsidRDefault="00EF0524" w:rsidP="00A267FF">
            <w:pPr>
              <w:pStyle w:val="In-tableHeading"/>
              <w:rPr>
                <w:lang w:val="en-AU"/>
              </w:rPr>
            </w:pPr>
          </w:p>
        </w:tc>
      </w:tr>
      <w:tr w:rsidR="00EF0524" w:rsidRPr="006E187F" w:rsidTr="003857F2">
        <w:tc>
          <w:tcPr>
            <w:tcW w:w="2547" w:type="dxa"/>
            <w:vAlign w:val="center"/>
          </w:tcPr>
          <w:p w:rsidR="00EF0524" w:rsidRPr="006E187F" w:rsidRDefault="00EF0524" w:rsidP="00A267FF">
            <w:pPr>
              <w:pStyle w:val="TableText0"/>
            </w:pPr>
            <w:r w:rsidRPr="006E187F">
              <w:t>Patients with event</w:t>
            </w:r>
            <w:r w:rsidR="00CC3C0E" w:rsidRPr="006E187F">
              <w:t>, n/N (%)</w:t>
            </w:r>
          </w:p>
        </w:tc>
        <w:tc>
          <w:tcPr>
            <w:tcW w:w="2268" w:type="dxa"/>
            <w:vAlign w:val="center"/>
          </w:tcPr>
          <w:p w:rsidR="00EF0524" w:rsidRPr="006E187F" w:rsidRDefault="00EF0524" w:rsidP="00A267FF">
            <w:pPr>
              <w:pStyle w:val="TableText0"/>
              <w:jc w:val="center"/>
            </w:pPr>
            <w:r w:rsidRPr="006E187F">
              <w:t>74/263 (28.1%)</w:t>
            </w:r>
          </w:p>
        </w:tc>
        <w:tc>
          <w:tcPr>
            <w:tcW w:w="2268" w:type="dxa"/>
            <w:vAlign w:val="center"/>
          </w:tcPr>
          <w:p w:rsidR="00EF0524" w:rsidRPr="006E187F" w:rsidRDefault="00EF0524" w:rsidP="00A267FF">
            <w:pPr>
              <w:pStyle w:val="TableText0"/>
              <w:jc w:val="center"/>
            </w:pPr>
            <w:r w:rsidRPr="006E187F">
              <w:t>77/259 (29.7%)</w:t>
            </w:r>
          </w:p>
        </w:tc>
        <w:tc>
          <w:tcPr>
            <w:tcW w:w="1984" w:type="dxa"/>
            <w:vAlign w:val="center"/>
          </w:tcPr>
          <w:p w:rsidR="00EF0524" w:rsidRPr="006E187F" w:rsidRDefault="00EF0524" w:rsidP="00A267FF">
            <w:pPr>
              <w:pStyle w:val="TableText0"/>
              <w:jc w:val="center"/>
            </w:pPr>
            <w:r w:rsidRPr="006E187F">
              <w:t>-</w:t>
            </w:r>
          </w:p>
        </w:tc>
      </w:tr>
      <w:tr w:rsidR="00EF0524" w:rsidRPr="006E187F" w:rsidTr="003857F2">
        <w:tc>
          <w:tcPr>
            <w:tcW w:w="2547" w:type="dxa"/>
            <w:vAlign w:val="center"/>
          </w:tcPr>
          <w:p w:rsidR="00EF0524" w:rsidRPr="006E187F" w:rsidRDefault="00EF0524" w:rsidP="00CC3C0E">
            <w:pPr>
              <w:pStyle w:val="TableText0"/>
            </w:pPr>
            <w:r w:rsidRPr="006E187F">
              <w:t xml:space="preserve">Median </w:t>
            </w:r>
            <w:r w:rsidR="00CC3C0E" w:rsidRPr="006E187F">
              <w:t xml:space="preserve">OS, </w:t>
            </w:r>
            <w:r w:rsidRPr="006E187F">
              <w:t>months (95% CI)</w:t>
            </w:r>
          </w:p>
        </w:tc>
        <w:tc>
          <w:tcPr>
            <w:tcW w:w="2268" w:type="dxa"/>
            <w:vAlign w:val="center"/>
          </w:tcPr>
          <w:p w:rsidR="00EF0524" w:rsidRPr="006E187F" w:rsidRDefault="00EF0524" w:rsidP="00A267FF">
            <w:pPr>
              <w:pStyle w:val="TableText0"/>
              <w:jc w:val="center"/>
            </w:pPr>
            <w:r w:rsidRPr="006E187F">
              <w:t>NE</w:t>
            </w:r>
          </w:p>
        </w:tc>
        <w:tc>
          <w:tcPr>
            <w:tcW w:w="2268" w:type="dxa"/>
            <w:vAlign w:val="center"/>
          </w:tcPr>
          <w:p w:rsidR="00EF0524" w:rsidRPr="006E187F" w:rsidRDefault="00EF0524" w:rsidP="00A267FF">
            <w:pPr>
              <w:pStyle w:val="TableText0"/>
              <w:jc w:val="center"/>
            </w:pPr>
            <w:r w:rsidRPr="006E187F">
              <w:t>NE (17.02, NE)</w:t>
            </w:r>
          </w:p>
        </w:tc>
        <w:tc>
          <w:tcPr>
            <w:tcW w:w="1984" w:type="dxa"/>
            <w:vAlign w:val="center"/>
          </w:tcPr>
          <w:p w:rsidR="00EF0524" w:rsidRPr="006E187F" w:rsidRDefault="00EF0524" w:rsidP="00A267FF">
            <w:pPr>
              <w:pStyle w:val="TableText0"/>
              <w:jc w:val="center"/>
            </w:pPr>
            <w:r w:rsidRPr="006E187F">
              <w:t>0.91 (0.66,1.25)</w:t>
            </w:r>
          </w:p>
        </w:tc>
      </w:tr>
    </w:tbl>
    <w:p w:rsidR="00EF0524" w:rsidRPr="006E187F" w:rsidRDefault="00EF0524" w:rsidP="00A267FF">
      <w:pPr>
        <w:pStyle w:val="TableFigureFooter"/>
        <w:keepNext/>
      </w:pPr>
      <w:r w:rsidRPr="006E187F">
        <w:t xml:space="preserve">Source: Table 2.20, p.52 </w:t>
      </w:r>
      <w:r w:rsidR="004C684B" w:rsidRPr="006E187F">
        <w:t xml:space="preserve">and Table 2.21, p.53 </w:t>
      </w:r>
      <w:r w:rsidRPr="006E187F">
        <w:t>of the submission.</w:t>
      </w:r>
    </w:p>
    <w:p w:rsidR="00EF0524" w:rsidRPr="006E187F" w:rsidRDefault="00EF0524" w:rsidP="00A267FF">
      <w:pPr>
        <w:pStyle w:val="TableFigureFooter"/>
        <w:keepNext/>
      </w:pPr>
      <w:r w:rsidRPr="006E187F">
        <w:t xml:space="preserve">HR = hazard ratio; IV = intravenous; </w:t>
      </w:r>
      <w:r w:rsidR="00963556" w:rsidRPr="006E187F">
        <w:rPr>
          <w:rFonts w:eastAsia="Calibri"/>
        </w:rPr>
        <w:t xml:space="preserve">n = number of participants reporting data; N = total participants in group; </w:t>
      </w:r>
      <w:r w:rsidRPr="006E187F">
        <w:t xml:space="preserve">NE= </w:t>
      </w:r>
      <w:r w:rsidR="00794F5E" w:rsidRPr="006E187F">
        <w:t>not evaluable</w:t>
      </w:r>
      <w:r w:rsidRPr="006E187F">
        <w:t>; PFS = progression free survival; OS = overall survival; SC = subcutaneous.</w:t>
      </w:r>
    </w:p>
    <w:p w:rsidR="00B60939" w:rsidRPr="006E187F" w:rsidRDefault="00B60939" w:rsidP="00D86231">
      <w:pPr>
        <w:pStyle w:val="4-SubsectionHeading"/>
      </w:pPr>
      <w:bookmarkStart w:id="13" w:name="_Toc22897642"/>
      <w:bookmarkStart w:id="14" w:name="_Toc72246595"/>
      <w:r w:rsidRPr="006E187F">
        <w:t>Comparative harms</w:t>
      </w:r>
      <w:bookmarkEnd w:id="13"/>
      <w:bookmarkEnd w:id="14"/>
    </w:p>
    <w:p w:rsidR="00B60939" w:rsidRPr="006E187F" w:rsidRDefault="00E6093D" w:rsidP="00D86231">
      <w:pPr>
        <w:pStyle w:val="3-BodyText"/>
      </w:pPr>
      <w:r>
        <w:t>Present</w:t>
      </w:r>
      <w:r w:rsidR="004D2DFC">
        <w:t>ed</w:t>
      </w:r>
      <w:r>
        <w:t xml:space="preserve"> below is a </w:t>
      </w:r>
      <w:r w:rsidR="004C5A2A" w:rsidRPr="006E187F">
        <w:t>summary of key adverse events in COLUMBA</w:t>
      </w:r>
      <w:r w:rsidR="005549DB" w:rsidRPr="006E187F">
        <w:t>.</w:t>
      </w:r>
    </w:p>
    <w:p w:rsidR="00B60939" w:rsidRPr="006E187F" w:rsidRDefault="00173565" w:rsidP="00D86231">
      <w:pPr>
        <w:pStyle w:val="TableFigureHeading"/>
        <w:rPr>
          <w:rStyle w:val="CommentReference"/>
          <w:b/>
          <w:szCs w:val="24"/>
        </w:rPr>
      </w:pPr>
      <w:r w:rsidRPr="006E187F">
        <w:rPr>
          <w:rStyle w:val="CommentReference"/>
          <w:b/>
          <w:szCs w:val="24"/>
        </w:rPr>
        <w:t xml:space="preserve">Table </w:t>
      </w:r>
      <w:r w:rsidR="00B83340" w:rsidRPr="006E187F">
        <w:rPr>
          <w:rStyle w:val="CommentReference"/>
          <w:b/>
          <w:szCs w:val="24"/>
        </w:rPr>
        <w:t>7</w:t>
      </w:r>
      <w:r w:rsidR="005D26B4" w:rsidRPr="006E187F">
        <w:rPr>
          <w:rStyle w:val="CommentReference"/>
          <w:b/>
          <w:szCs w:val="24"/>
        </w:rPr>
        <w:t>:</w:t>
      </w:r>
      <w:r w:rsidR="00BC591F" w:rsidRPr="006E187F">
        <w:rPr>
          <w:rStyle w:val="CommentReference"/>
          <w:b/>
          <w:szCs w:val="24"/>
        </w:rPr>
        <w:t xml:space="preserve"> </w:t>
      </w:r>
      <w:r w:rsidR="005D26B4" w:rsidRPr="006E187F">
        <w:rPr>
          <w:rStyle w:val="CommentReference"/>
          <w:b/>
          <w:szCs w:val="24"/>
        </w:rPr>
        <w:t xml:space="preserve">Summary of key adverse events in </w:t>
      </w:r>
      <w:r w:rsidR="00804891" w:rsidRPr="006E187F">
        <w:rPr>
          <w:rStyle w:val="CommentReference"/>
          <w:b/>
          <w:szCs w:val="24"/>
        </w:rPr>
        <w:t>COLUMBA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701"/>
        <w:gridCol w:w="1697"/>
        <w:gridCol w:w="2222"/>
      </w:tblGrid>
      <w:tr w:rsidR="005D26B4" w:rsidRPr="006E187F" w:rsidTr="004C5A2A">
        <w:trPr>
          <w:cantSplit/>
          <w:tblHeader/>
        </w:trPr>
        <w:tc>
          <w:tcPr>
            <w:tcW w:w="1884" w:type="pct"/>
            <w:vAlign w:val="center"/>
          </w:tcPr>
          <w:p w:rsidR="005D26B4" w:rsidRPr="006E187F" w:rsidRDefault="005D26B4" w:rsidP="00D86231">
            <w:pPr>
              <w:pStyle w:val="In-tableHeading"/>
              <w:rPr>
                <w:lang w:val="en-AU"/>
              </w:rPr>
            </w:pPr>
            <w:r w:rsidRPr="006E187F">
              <w:rPr>
                <w:lang w:val="en-AU"/>
              </w:rPr>
              <w:t>Trial ID</w:t>
            </w:r>
          </w:p>
        </w:tc>
        <w:tc>
          <w:tcPr>
            <w:tcW w:w="943" w:type="pct"/>
            <w:vAlign w:val="center"/>
          </w:tcPr>
          <w:p w:rsidR="005D26B4" w:rsidRPr="006E187F" w:rsidRDefault="00CF2737" w:rsidP="00CC3C0E">
            <w:pPr>
              <w:pStyle w:val="In-tableHeading"/>
              <w:jc w:val="center"/>
              <w:rPr>
                <w:lang w:val="en-AU"/>
              </w:rPr>
            </w:pPr>
            <w:r w:rsidRPr="006E187F">
              <w:rPr>
                <w:lang w:val="en-AU"/>
              </w:rPr>
              <w:t>Daratumumab SC</w:t>
            </w:r>
          </w:p>
        </w:tc>
        <w:tc>
          <w:tcPr>
            <w:tcW w:w="941" w:type="pct"/>
            <w:vAlign w:val="center"/>
          </w:tcPr>
          <w:p w:rsidR="005D26B4" w:rsidRPr="006E187F" w:rsidRDefault="00CF2737" w:rsidP="00CC3C0E">
            <w:pPr>
              <w:pStyle w:val="In-tableHeading"/>
              <w:jc w:val="center"/>
              <w:rPr>
                <w:lang w:val="en-AU"/>
              </w:rPr>
            </w:pPr>
            <w:r w:rsidRPr="006E187F">
              <w:rPr>
                <w:lang w:val="en-AU"/>
              </w:rPr>
              <w:t>Daratumumab IV</w:t>
            </w:r>
          </w:p>
        </w:tc>
        <w:tc>
          <w:tcPr>
            <w:tcW w:w="1232" w:type="pct"/>
            <w:vAlign w:val="center"/>
          </w:tcPr>
          <w:p w:rsidR="005D26B4" w:rsidRPr="006E187F" w:rsidRDefault="00852F7D" w:rsidP="00D86231">
            <w:pPr>
              <w:pStyle w:val="In-tableHeading"/>
              <w:jc w:val="center"/>
              <w:rPr>
                <w:lang w:val="en-AU"/>
              </w:rPr>
            </w:pPr>
            <w:r w:rsidRPr="006E187F">
              <w:rPr>
                <w:lang w:val="en-AU"/>
              </w:rPr>
              <w:t>OR</w:t>
            </w:r>
            <w:r w:rsidR="005D26B4" w:rsidRPr="006E187F">
              <w:rPr>
                <w:lang w:val="en-AU"/>
              </w:rPr>
              <w:t xml:space="preserve"> (95% CI)</w:t>
            </w:r>
          </w:p>
        </w:tc>
      </w:tr>
      <w:tr w:rsidR="005D26B4" w:rsidRPr="006E187F" w:rsidTr="00682BA6">
        <w:trPr>
          <w:cantSplit/>
        </w:trPr>
        <w:tc>
          <w:tcPr>
            <w:tcW w:w="5000" w:type="pct"/>
            <w:gridSpan w:val="4"/>
            <w:vAlign w:val="center"/>
          </w:tcPr>
          <w:p w:rsidR="005D26B4" w:rsidRPr="006E187F" w:rsidRDefault="00852F7D" w:rsidP="00D86231">
            <w:pPr>
              <w:pStyle w:val="TableText0"/>
              <w:rPr>
                <w:b/>
              </w:rPr>
            </w:pPr>
            <w:r w:rsidRPr="006E187F">
              <w:rPr>
                <w:b/>
              </w:rPr>
              <w:t>6 month update</w:t>
            </w:r>
            <w:r w:rsidR="00CC3C0E" w:rsidRPr="006E187F">
              <w:rPr>
                <w:b/>
              </w:rPr>
              <w:t>, n/N (%)</w:t>
            </w:r>
          </w:p>
        </w:tc>
      </w:tr>
      <w:tr w:rsidR="005D26B4" w:rsidRPr="006E187F" w:rsidTr="004C5A2A">
        <w:trPr>
          <w:cantSplit/>
        </w:trPr>
        <w:tc>
          <w:tcPr>
            <w:tcW w:w="1884" w:type="pct"/>
            <w:vAlign w:val="center"/>
          </w:tcPr>
          <w:p w:rsidR="005D26B4" w:rsidRPr="006E187F" w:rsidRDefault="004C5A2A" w:rsidP="00D86231">
            <w:pPr>
              <w:pStyle w:val="TableText0"/>
            </w:pPr>
            <w:r w:rsidRPr="006E187F">
              <w:t>Any TEAE</w:t>
            </w:r>
          </w:p>
        </w:tc>
        <w:tc>
          <w:tcPr>
            <w:tcW w:w="943" w:type="pct"/>
            <w:vAlign w:val="center"/>
          </w:tcPr>
          <w:p w:rsidR="005D26B4" w:rsidRPr="006E187F" w:rsidRDefault="004C5A2A" w:rsidP="00D86231">
            <w:pPr>
              <w:pStyle w:val="TableText0"/>
              <w:jc w:val="center"/>
            </w:pPr>
            <w:r w:rsidRPr="006E187F">
              <w:t>233/260 (89.6%)</w:t>
            </w:r>
          </w:p>
        </w:tc>
        <w:tc>
          <w:tcPr>
            <w:tcW w:w="941" w:type="pct"/>
            <w:vAlign w:val="center"/>
          </w:tcPr>
          <w:p w:rsidR="005D26B4" w:rsidRPr="006E187F" w:rsidRDefault="004C5A2A" w:rsidP="00D86231">
            <w:pPr>
              <w:pStyle w:val="TableText0"/>
              <w:jc w:val="center"/>
            </w:pPr>
            <w:r w:rsidRPr="006E187F">
              <w:t>237/258 (91.9%)</w:t>
            </w:r>
          </w:p>
        </w:tc>
        <w:tc>
          <w:tcPr>
            <w:tcW w:w="1232" w:type="pct"/>
            <w:vAlign w:val="center"/>
          </w:tcPr>
          <w:p w:rsidR="005D26B4" w:rsidRPr="006E187F" w:rsidRDefault="002A0E3D" w:rsidP="00D86231">
            <w:pPr>
              <w:pStyle w:val="TableText0"/>
              <w:jc w:val="center"/>
              <w:rPr>
                <w:i/>
              </w:rPr>
            </w:pPr>
            <w:r w:rsidRPr="006E187F">
              <w:rPr>
                <w:i/>
              </w:rPr>
              <w:t xml:space="preserve"> 0.76</w:t>
            </w:r>
            <w:r w:rsidR="00E23644" w:rsidRPr="006E187F">
              <w:rPr>
                <w:i/>
              </w:rPr>
              <w:t xml:space="preserve"> (0.42, 1.39)</w:t>
            </w:r>
          </w:p>
        </w:tc>
      </w:tr>
      <w:tr w:rsidR="004C5A2A" w:rsidRPr="006E187F" w:rsidTr="004C5A2A">
        <w:trPr>
          <w:cantSplit/>
        </w:trPr>
        <w:tc>
          <w:tcPr>
            <w:tcW w:w="1884" w:type="pct"/>
            <w:vAlign w:val="center"/>
          </w:tcPr>
          <w:p w:rsidR="004C5A2A" w:rsidRPr="006E187F" w:rsidRDefault="004C5A2A" w:rsidP="00D86231">
            <w:pPr>
              <w:pStyle w:val="TableText0"/>
            </w:pPr>
            <w:r w:rsidRPr="006E187F">
              <w:t>TEAE leading to treatment discontinuation</w:t>
            </w:r>
          </w:p>
        </w:tc>
        <w:tc>
          <w:tcPr>
            <w:tcW w:w="943" w:type="pct"/>
            <w:vAlign w:val="center"/>
          </w:tcPr>
          <w:p w:rsidR="004C5A2A" w:rsidRPr="006E187F" w:rsidRDefault="004C5A2A" w:rsidP="00D86231">
            <w:pPr>
              <w:pStyle w:val="TableText0"/>
              <w:jc w:val="center"/>
            </w:pPr>
            <w:r w:rsidRPr="006E187F">
              <w:t>19/260 (7.3%)</w:t>
            </w:r>
          </w:p>
        </w:tc>
        <w:tc>
          <w:tcPr>
            <w:tcW w:w="941" w:type="pct"/>
            <w:vAlign w:val="center"/>
          </w:tcPr>
          <w:p w:rsidR="004C5A2A" w:rsidRPr="006E187F" w:rsidRDefault="004C5A2A" w:rsidP="00D86231">
            <w:pPr>
              <w:pStyle w:val="TableText0"/>
              <w:jc w:val="center"/>
            </w:pPr>
            <w:r w:rsidRPr="006E187F">
              <w:t>22/258 (8.5%)</w:t>
            </w:r>
          </w:p>
        </w:tc>
        <w:tc>
          <w:tcPr>
            <w:tcW w:w="1232" w:type="pct"/>
            <w:vAlign w:val="center"/>
          </w:tcPr>
          <w:p w:rsidR="004C5A2A" w:rsidRPr="006E187F" w:rsidRDefault="00E23644" w:rsidP="00D86231">
            <w:pPr>
              <w:pStyle w:val="TableText0"/>
              <w:jc w:val="center"/>
              <w:rPr>
                <w:i/>
              </w:rPr>
            </w:pPr>
            <w:r w:rsidRPr="006E187F">
              <w:rPr>
                <w:i/>
              </w:rPr>
              <w:t>0</w:t>
            </w:r>
            <w:r w:rsidR="002A0E3D" w:rsidRPr="006E187F">
              <w:rPr>
                <w:i/>
              </w:rPr>
              <w:t>.85</w:t>
            </w:r>
            <w:r w:rsidRPr="006E187F">
              <w:rPr>
                <w:i/>
              </w:rPr>
              <w:t xml:space="preserve"> (0.45, 1.60)</w:t>
            </w:r>
          </w:p>
        </w:tc>
      </w:tr>
      <w:tr w:rsidR="005D26B4" w:rsidRPr="006E187F" w:rsidTr="004C5A2A">
        <w:trPr>
          <w:cantSplit/>
        </w:trPr>
        <w:tc>
          <w:tcPr>
            <w:tcW w:w="1884" w:type="pct"/>
            <w:vAlign w:val="center"/>
          </w:tcPr>
          <w:p w:rsidR="005D26B4" w:rsidRPr="006E187F" w:rsidRDefault="00852F7D" w:rsidP="00D86231">
            <w:pPr>
              <w:pStyle w:val="TableText0"/>
            </w:pPr>
            <w:r w:rsidRPr="006E187F">
              <w:t>Grade 3 or 4 TEAEs</w:t>
            </w:r>
          </w:p>
        </w:tc>
        <w:tc>
          <w:tcPr>
            <w:tcW w:w="943" w:type="pct"/>
            <w:vAlign w:val="center"/>
          </w:tcPr>
          <w:p w:rsidR="005D26B4" w:rsidRPr="006E187F" w:rsidRDefault="00691E4B" w:rsidP="00D86231">
            <w:pPr>
              <w:pStyle w:val="TableText0"/>
              <w:jc w:val="center"/>
            </w:pPr>
            <w:r w:rsidRPr="006E187F">
              <w:t>127/260 (48.8%)</w:t>
            </w:r>
          </w:p>
        </w:tc>
        <w:tc>
          <w:tcPr>
            <w:tcW w:w="941" w:type="pct"/>
            <w:vAlign w:val="center"/>
          </w:tcPr>
          <w:p w:rsidR="005D26B4" w:rsidRPr="006E187F" w:rsidRDefault="00691E4B" w:rsidP="00D86231">
            <w:pPr>
              <w:pStyle w:val="TableText0"/>
              <w:jc w:val="center"/>
            </w:pPr>
            <w:r w:rsidRPr="006E187F">
              <w:t>134/258 (51.9%)</w:t>
            </w:r>
          </w:p>
        </w:tc>
        <w:tc>
          <w:tcPr>
            <w:tcW w:w="1232" w:type="pct"/>
            <w:vAlign w:val="center"/>
          </w:tcPr>
          <w:p w:rsidR="005D26B4" w:rsidRPr="006E187F" w:rsidRDefault="002A0E3D" w:rsidP="002A0E3D">
            <w:pPr>
              <w:pStyle w:val="TableText0"/>
              <w:jc w:val="center"/>
              <w:rPr>
                <w:i/>
              </w:rPr>
            </w:pPr>
            <w:r w:rsidRPr="006E187F">
              <w:rPr>
                <w:i/>
              </w:rPr>
              <w:t>0.88</w:t>
            </w:r>
            <w:r w:rsidR="00E23644" w:rsidRPr="006E187F">
              <w:rPr>
                <w:i/>
              </w:rPr>
              <w:t xml:space="preserve"> (0.63, </w:t>
            </w:r>
            <w:r w:rsidRPr="006E187F">
              <w:rPr>
                <w:i/>
              </w:rPr>
              <w:t>1</w:t>
            </w:r>
            <w:r w:rsidR="00E23644" w:rsidRPr="006E187F">
              <w:rPr>
                <w:i/>
              </w:rPr>
              <w:t>.25)</w:t>
            </w:r>
          </w:p>
        </w:tc>
      </w:tr>
      <w:tr w:rsidR="005D26B4" w:rsidRPr="006E187F" w:rsidTr="004C5A2A">
        <w:trPr>
          <w:cantSplit/>
        </w:trPr>
        <w:tc>
          <w:tcPr>
            <w:tcW w:w="1884" w:type="pct"/>
            <w:vAlign w:val="center"/>
          </w:tcPr>
          <w:p w:rsidR="005D26B4" w:rsidRPr="006E187F" w:rsidRDefault="00852F7D" w:rsidP="00D86231">
            <w:pPr>
              <w:pStyle w:val="TableText0"/>
            </w:pPr>
            <w:r w:rsidRPr="006E187F">
              <w:t>IRRs</w:t>
            </w:r>
          </w:p>
        </w:tc>
        <w:tc>
          <w:tcPr>
            <w:tcW w:w="943" w:type="pct"/>
            <w:vAlign w:val="center"/>
          </w:tcPr>
          <w:p w:rsidR="005D26B4" w:rsidRPr="006E187F" w:rsidRDefault="00852F7D" w:rsidP="00D86231">
            <w:pPr>
              <w:pStyle w:val="TableText0"/>
              <w:jc w:val="center"/>
            </w:pPr>
            <w:r w:rsidRPr="006E187F">
              <w:t>33/260 (12.7%)</w:t>
            </w:r>
          </w:p>
        </w:tc>
        <w:tc>
          <w:tcPr>
            <w:tcW w:w="941" w:type="pct"/>
            <w:vAlign w:val="center"/>
          </w:tcPr>
          <w:p w:rsidR="005D26B4" w:rsidRPr="006E187F" w:rsidRDefault="00852F7D" w:rsidP="00D86231">
            <w:pPr>
              <w:pStyle w:val="TableText0"/>
              <w:jc w:val="center"/>
            </w:pPr>
            <w:r w:rsidRPr="006E187F">
              <w:t>89/258 (34.5%)</w:t>
            </w:r>
          </w:p>
        </w:tc>
        <w:tc>
          <w:tcPr>
            <w:tcW w:w="1232" w:type="pct"/>
            <w:vAlign w:val="center"/>
          </w:tcPr>
          <w:p w:rsidR="005D26B4" w:rsidRPr="006E187F" w:rsidRDefault="00852F7D" w:rsidP="00D86231">
            <w:pPr>
              <w:pStyle w:val="TableText0"/>
              <w:jc w:val="center"/>
            </w:pPr>
            <w:r w:rsidRPr="006E187F">
              <w:t>0.28 (0.18,0.44)</w:t>
            </w:r>
            <w:r w:rsidR="002A0E3D" w:rsidRPr="006E187F">
              <w:rPr>
                <w:vertAlign w:val="superscript"/>
              </w:rPr>
              <w:t>a</w:t>
            </w:r>
            <w:r w:rsidRPr="006E187F">
              <w:t>, p&lt;0.0001</w:t>
            </w:r>
          </w:p>
        </w:tc>
      </w:tr>
    </w:tbl>
    <w:p w:rsidR="005D26B4" w:rsidRPr="006E187F" w:rsidRDefault="005D26B4" w:rsidP="00D86231">
      <w:pPr>
        <w:pStyle w:val="TableFigureFooter"/>
        <w:rPr>
          <w:sz w:val="20"/>
        </w:rPr>
      </w:pPr>
      <w:r w:rsidRPr="006E187F">
        <w:t xml:space="preserve">Source: </w:t>
      </w:r>
      <w:r w:rsidR="004C5A2A" w:rsidRPr="006E187F">
        <w:t xml:space="preserve">Table 2.28, p.61, </w:t>
      </w:r>
      <w:r w:rsidR="00691E4B" w:rsidRPr="006E187F">
        <w:t xml:space="preserve">Table </w:t>
      </w:r>
      <w:r w:rsidR="004C5A2A" w:rsidRPr="006E187F">
        <w:t xml:space="preserve">2.30, p.62, </w:t>
      </w:r>
      <w:r w:rsidR="00852F7D" w:rsidRPr="006E187F">
        <w:t>Table 2.33, p.65 of the submission</w:t>
      </w:r>
      <w:r w:rsidR="00E23644" w:rsidRPr="006E187F">
        <w:t xml:space="preserve"> and calculated during the evaluation</w:t>
      </w:r>
      <w:r w:rsidR="00E23644" w:rsidRPr="006E187F">
        <w:rPr>
          <w:i/>
        </w:rPr>
        <w:t>.</w:t>
      </w:r>
    </w:p>
    <w:p w:rsidR="005D26B4" w:rsidRPr="006E187F" w:rsidRDefault="005D26B4" w:rsidP="00D86231">
      <w:pPr>
        <w:pStyle w:val="TableFigureFooter"/>
        <w:rPr>
          <w:rFonts w:eastAsia="Calibri"/>
        </w:rPr>
      </w:pPr>
      <w:r w:rsidRPr="006E187F">
        <w:rPr>
          <w:rFonts w:eastAsia="Calibri"/>
        </w:rPr>
        <w:t>CI = confidence interval;</w:t>
      </w:r>
      <w:r w:rsidR="00691E4B" w:rsidRPr="006E187F">
        <w:rPr>
          <w:rFonts w:eastAsia="Calibri"/>
        </w:rPr>
        <w:t xml:space="preserve"> IRR = infusion related reaction;</w:t>
      </w:r>
      <w:r w:rsidRPr="006E187F">
        <w:rPr>
          <w:rFonts w:eastAsia="Calibri"/>
        </w:rPr>
        <w:t xml:space="preserve"> n = number of participants reporting data; N = total participants in group; </w:t>
      </w:r>
      <w:r w:rsidR="00294892" w:rsidRPr="006E187F">
        <w:rPr>
          <w:rFonts w:eastAsia="Calibri"/>
        </w:rPr>
        <w:t xml:space="preserve">NR = </w:t>
      </w:r>
      <w:r w:rsidR="00224D7F" w:rsidRPr="006E187F">
        <w:rPr>
          <w:rFonts w:eastAsia="Calibri"/>
        </w:rPr>
        <w:t xml:space="preserve">not reported; </w:t>
      </w:r>
      <w:r w:rsidR="00691E4B" w:rsidRPr="006E187F">
        <w:rPr>
          <w:rFonts w:eastAsia="Calibri"/>
        </w:rPr>
        <w:t>OR = odds ratio; TEAE = treatment emergent adverse event.</w:t>
      </w:r>
    </w:p>
    <w:p w:rsidR="002A0E3D" w:rsidRPr="006E187F" w:rsidRDefault="002A0E3D" w:rsidP="00D86231">
      <w:pPr>
        <w:pStyle w:val="TableFigureFooter"/>
      </w:pPr>
      <w:r w:rsidRPr="006E187F">
        <w:rPr>
          <w:rFonts w:eastAsia="Calibri"/>
        </w:rPr>
        <w:t xml:space="preserve">Note: </w:t>
      </w:r>
      <w:r w:rsidRPr="006E187F">
        <w:rPr>
          <w:rFonts w:eastAsia="Calibri"/>
          <w:vertAlign w:val="superscript"/>
        </w:rPr>
        <w:t>a</w:t>
      </w:r>
      <w:r w:rsidRPr="006E187F">
        <w:t xml:space="preserve"> </w:t>
      </w:r>
      <w:r w:rsidRPr="006E187F">
        <w:rPr>
          <w:rFonts w:eastAsia="Calibri"/>
        </w:rPr>
        <w:t xml:space="preserve">Stratified Cochran-Mantel-Haenszel estimate of the common odds ratio of </w:t>
      </w:r>
      <w:r w:rsidR="000D3E0F" w:rsidRPr="006E187F">
        <w:rPr>
          <w:rFonts w:eastAsia="Calibri"/>
        </w:rPr>
        <w:t>d</w:t>
      </w:r>
      <w:r w:rsidRPr="006E187F">
        <w:rPr>
          <w:rFonts w:eastAsia="Calibri"/>
        </w:rPr>
        <w:t>ara</w:t>
      </w:r>
      <w:r w:rsidR="000D3E0F" w:rsidRPr="006E187F">
        <w:rPr>
          <w:rFonts w:eastAsia="Calibri"/>
        </w:rPr>
        <w:t>tumumab SC over d</w:t>
      </w:r>
      <w:r w:rsidRPr="006E187F">
        <w:rPr>
          <w:rFonts w:eastAsia="Calibri"/>
        </w:rPr>
        <w:t>ara</w:t>
      </w:r>
      <w:r w:rsidR="000D3E0F" w:rsidRPr="006E187F">
        <w:rPr>
          <w:rFonts w:eastAsia="Calibri"/>
        </w:rPr>
        <w:t>tumumab</w:t>
      </w:r>
      <w:r w:rsidRPr="006E187F">
        <w:rPr>
          <w:rFonts w:eastAsia="Calibri"/>
        </w:rPr>
        <w:t xml:space="preserve"> IV is used. The stratification factors include body weight at baseline (≤</w:t>
      </w:r>
      <w:r w:rsidR="000D3E0F" w:rsidRPr="006E187F">
        <w:rPr>
          <w:rFonts w:eastAsia="Calibri"/>
        </w:rPr>
        <w:t xml:space="preserve"> </w:t>
      </w:r>
      <w:r w:rsidRPr="006E187F">
        <w:rPr>
          <w:rFonts w:eastAsia="Calibri"/>
        </w:rPr>
        <w:t>65 kg, 66 kg to 85 kg, &gt;</w:t>
      </w:r>
      <w:r w:rsidR="000D3E0F" w:rsidRPr="006E187F">
        <w:rPr>
          <w:rFonts w:eastAsia="Calibri"/>
        </w:rPr>
        <w:t xml:space="preserve"> </w:t>
      </w:r>
      <w:r w:rsidRPr="006E187F">
        <w:rPr>
          <w:rFonts w:eastAsia="Calibri"/>
        </w:rPr>
        <w:t>85 kg), number of prior lines of therapy (≤</w:t>
      </w:r>
      <w:r w:rsidR="000D3E0F" w:rsidRPr="006E187F">
        <w:rPr>
          <w:rFonts w:eastAsia="Calibri"/>
        </w:rPr>
        <w:t xml:space="preserve"> </w:t>
      </w:r>
      <w:r w:rsidRPr="006E187F">
        <w:rPr>
          <w:rFonts w:eastAsia="Calibri"/>
        </w:rPr>
        <w:t>4 prior lines versus &gt;</w:t>
      </w:r>
      <w:r w:rsidR="000D3E0F" w:rsidRPr="006E187F">
        <w:rPr>
          <w:rFonts w:eastAsia="Calibri"/>
        </w:rPr>
        <w:t xml:space="preserve"> </w:t>
      </w:r>
      <w:r w:rsidRPr="006E187F">
        <w:rPr>
          <w:rFonts w:eastAsia="Calibri"/>
        </w:rPr>
        <w:t>4 prior lines), and type of myeloma (IgG versus non-IgG).</w:t>
      </w:r>
    </w:p>
    <w:p w:rsidR="007F1017" w:rsidRPr="006E187F" w:rsidRDefault="007F1017" w:rsidP="00D86231">
      <w:pPr>
        <w:pStyle w:val="4-SubsectionHeading"/>
      </w:pPr>
      <w:bookmarkStart w:id="15" w:name="_Toc22897643"/>
      <w:bookmarkStart w:id="16" w:name="_Toc72246596"/>
      <w:r w:rsidRPr="006E187F">
        <w:t>Benefits/harms</w:t>
      </w:r>
      <w:bookmarkEnd w:id="15"/>
      <w:bookmarkEnd w:id="16"/>
    </w:p>
    <w:p w:rsidR="007A1345" w:rsidRPr="006E187F" w:rsidRDefault="005549DB" w:rsidP="00D2155B">
      <w:pPr>
        <w:pStyle w:val="3-BodyText"/>
      </w:pPr>
      <w:r w:rsidRPr="006E187F">
        <w:rPr>
          <w:snapToGrid/>
        </w:rPr>
        <w:t>A benefits/harms analysis was not presented as the clinical claim is of non</w:t>
      </w:r>
      <w:r w:rsidRPr="006E187F">
        <w:rPr>
          <w:snapToGrid/>
        </w:rPr>
        <w:noBreakHyphen/>
        <w:t>inferiority.</w:t>
      </w:r>
    </w:p>
    <w:p w:rsidR="00B60939" w:rsidRPr="006E187F" w:rsidRDefault="00B60939" w:rsidP="00E9094A">
      <w:pPr>
        <w:pStyle w:val="4-SubsectionHeading"/>
      </w:pPr>
      <w:bookmarkStart w:id="17" w:name="_Toc22897644"/>
      <w:bookmarkStart w:id="18" w:name="_Toc72246597"/>
      <w:r w:rsidRPr="006E187F">
        <w:t>Clinical claim</w:t>
      </w:r>
      <w:bookmarkEnd w:id="17"/>
      <w:bookmarkEnd w:id="18"/>
    </w:p>
    <w:p w:rsidR="005F7588" w:rsidRPr="006E187F" w:rsidRDefault="005F7588" w:rsidP="00E9094A">
      <w:pPr>
        <w:pStyle w:val="3-BodyText"/>
        <w:rPr>
          <w:rFonts w:eastAsia="Calibri"/>
        </w:rPr>
      </w:pPr>
      <w:r w:rsidRPr="006E187F">
        <w:rPr>
          <w:rFonts w:eastAsia="Calibri"/>
        </w:rPr>
        <w:t xml:space="preserve">The submission described </w:t>
      </w:r>
      <w:r w:rsidR="00956863" w:rsidRPr="006E187F">
        <w:rPr>
          <w:rFonts w:eastAsia="Calibri"/>
        </w:rPr>
        <w:t xml:space="preserve">the 1,800 mg flat dosing regimen of </w:t>
      </w:r>
      <w:r w:rsidR="00823649" w:rsidRPr="006E187F">
        <w:rPr>
          <w:rFonts w:eastAsia="Calibri"/>
        </w:rPr>
        <w:t>daratumumab SC</w:t>
      </w:r>
      <w:r w:rsidRPr="006E187F">
        <w:rPr>
          <w:rFonts w:eastAsia="Calibri"/>
        </w:rPr>
        <w:t xml:space="preserve"> </w:t>
      </w:r>
      <w:r w:rsidR="00956863" w:rsidRPr="006E187F">
        <w:rPr>
          <w:rFonts w:eastAsia="Calibri"/>
        </w:rPr>
        <w:t xml:space="preserve">monotherapy </w:t>
      </w:r>
      <w:r w:rsidRPr="006E187F">
        <w:rPr>
          <w:rFonts w:eastAsia="Calibri"/>
        </w:rPr>
        <w:t xml:space="preserve">as </w:t>
      </w:r>
      <w:r w:rsidR="00823649" w:rsidRPr="006E187F">
        <w:rPr>
          <w:rFonts w:eastAsia="Calibri"/>
        </w:rPr>
        <w:t>non-inferior</w:t>
      </w:r>
      <w:r w:rsidRPr="006E187F">
        <w:rPr>
          <w:rFonts w:eastAsia="Calibri"/>
        </w:rPr>
        <w:t xml:space="preserve"> in terms of effectiveness compared to </w:t>
      </w:r>
      <w:r w:rsidR="00956863" w:rsidRPr="006E187F">
        <w:rPr>
          <w:rFonts w:eastAsia="Calibri"/>
        </w:rPr>
        <w:t xml:space="preserve">the 16 mg/kg weight-based regimen of </w:t>
      </w:r>
      <w:r w:rsidR="00823649" w:rsidRPr="006E187F">
        <w:rPr>
          <w:rFonts w:eastAsia="Calibri"/>
        </w:rPr>
        <w:t>daratumumab IV</w:t>
      </w:r>
      <w:r w:rsidR="00956863" w:rsidRPr="006E187F">
        <w:rPr>
          <w:rFonts w:eastAsia="Calibri"/>
        </w:rPr>
        <w:t xml:space="preserve"> monotherapy</w:t>
      </w:r>
      <w:r w:rsidR="005549DB" w:rsidRPr="006E187F">
        <w:rPr>
          <w:rFonts w:eastAsia="Calibri"/>
        </w:rPr>
        <w:t>. Th</w:t>
      </w:r>
      <w:r w:rsidR="006C1A87" w:rsidRPr="006E187F">
        <w:rPr>
          <w:rFonts w:eastAsia="Calibri"/>
        </w:rPr>
        <w:t xml:space="preserve">e ESC considered that this </w:t>
      </w:r>
      <w:r w:rsidR="005549DB" w:rsidRPr="006E187F">
        <w:rPr>
          <w:rFonts w:eastAsia="Calibri"/>
        </w:rPr>
        <w:t>claim was</w:t>
      </w:r>
      <w:r w:rsidR="007C70FF" w:rsidRPr="006E187F">
        <w:rPr>
          <w:rFonts w:eastAsia="Calibri"/>
        </w:rPr>
        <w:t xml:space="preserve"> adequately supported</w:t>
      </w:r>
      <w:r w:rsidRPr="006E187F">
        <w:rPr>
          <w:rFonts w:eastAsia="Calibri"/>
        </w:rPr>
        <w:t>.</w:t>
      </w:r>
      <w:r w:rsidR="00BC591F" w:rsidRPr="006E187F">
        <w:rPr>
          <w:rFonts w:eastAsia="Calibri"/>
        </w:rPr>
        <w:t xml:space="preserve"> </w:t>
      </w:r>
    </w:p>
    <w:p w:rsidR="005F7588" w:rsidRPr="006E187F" w:rsidRDefault="005F7588" w:rsidP="00E9094A">
      <w:pPr>
        <w:pStyle w:val="3-BodyText"/>
        <w:rPr>
          <w:rFonts w:eastAsia="Calibri"/>
        </w:rPr>
      </w:pPr>
      <w:r w:rsidRPr="006E187F">
        <w:rPr>
          <w:rFonts w:eastAsia="Calibri"/>
        </w:rPr>
        <w:t xml:space="preserve">The submission described </w:t>
      </w:r>
      <w:r w:rsidR="0043394C" w:rsidRPr="006E187F">
        <w:rPr>
          <w:rFonts w:eastAsia="Calibri"/>
        </w:rPr>
        <w:t xml:space="preserve">the 1,800 mg flat dosing regimen of </w:t>
      </w:r>
      <w:r w:rsidR="00823649" w:rsidRPr="006E187F">
        <w:rPr>
          <w:rFonts w:eastAsia="Calibri"/>
        </w:rPr>
        <w:t>daratumumab SC</w:t>
      </w:r>
      <w:r w:rsidR="0043394C" w:rsidRPr="006E187F">
        <w:rPr>
          <w:rFonts w:eastAsia="Calibri"/>
        </w:rPr>
        <w:t xml:space="preserve"> monotherapy</w:t>
      </w:r>
      <w:r w:rsidRPr="006E187F">
        <w:rPr>
          <w:rFonts w:eastAsia="Calibri"/>
        </w:rPr>
        <w:t xml:space="preserve"> as </w:t>
      </w:r>
      <w:r w:rsidR="00823649" w:rsidRPr="006E187F">
        <w:rPr>
          <w:rFonts w:eastAsia="Calibri"/>
        </w:rPr>
        <w:t>non-inferior</w:t>
      </w:r>
      <w:r w:rsidRPr="006E187F">
        <w:rPr>
          <w:rFonts w:eastAsia="Calibri"/>
        </w:rPr>
        <w:t xml:space="preserve"> in term</w:t>
      </w:r>
      <w:r w:rsidR="00156F8F" w:rsidRPr="006E187F">
        <w:rPr>
          <w:rFonts w:eastAsia="Calibri"/>
        </w:rPr>
        <w:t>s</w:t>
      </w:r>
      <w:r w:rsidRPr="006E187F">
        <w:rPr>
          <w:rFonts w:eastAsia="Calibri"/>
        </w:rPr>
        <w:t xml:space="preserve"> of safety compared to </w:t>
      </w:r>
      <w:r w:rsidR="0043394C" w:rsidRPr="006E187F">
        <w:rPr>
          <w:rFonts w:eastAsia="Calibri"/>
        </w:rPr>
        <w:t xml:space="preserve">the 16 mg/kg weight-based regimen of </w:t>
      </w:r>
      <w:r w:rsidR="00823649" w:rsidRPr="006E187F">
        <w:rPr>
          <w:rFonts w:eastAsia="Calibri"/>
        </w:rPr>
        <w:t>daratumumab IV</w:t>
      </w:r>
      <w:r w:rsidR="0043394C" w:rsidRPr="006E187F">
        <w:rPr>
          <w:rFonts w:eastAsia="Calibri"/>
        </w:rPr>
        <w:t xml:space="preserve"> monotherapy</w:t>
      </w:r>
      <w:r w:rsidRPr="006E187F">
        <w:rPr>
          <w:rFonts w:eastAsia="Calibri"/>
        </w:rPr>
        <w:t xml:space="preserve">. </w:t>
      </w:r>
      <w:r w:rsidR="006C1A87" w:rsidRPr="006E187F">
        <w:rPr>
          <w:rFonts w:eastAsia="Calibri"/>
        </w:rPr>
        <w:t>The ESC considered that t</w:t>
      </w:r>
      <w:r w:rsidR="005549DB" w:rsidRPr="006E187F">
        <w:rPr>
          <w:rFonts w:eastAsia="Calibri"/>
        </w:rPr>
        <w:t>his claim was</w:t>
      </w:r>
      <w:r w:rsidR="007C70FF" w:rsidRPr="006E187F">
        <w:rPr>
          <w:rFonts w:eastAsia="Calibri"/>
        </w:rPr>
        <w:t xml:space="preserve"> </w:t>
      </w:r>
      <w:r w:rsidRPr="006E187F">
        <w:rPr>
          <w:rFonts w:eastAsia="Calibri"/>
        </w:rPr>
        <w:t>adequately supported</w:t>
      </w:r>
      <w:r w:rsidR="007C70FF" w:rsidRPr="006E187F">
        <w:rPr>
          <w:rFonts w:eastAsia="Calibri"/>
        </w:rPr>
        <w:t>.</w:t>
      </w:r>
    </w:p>
    <w:p w:rsidR="00E537B2" w:rsidRPr="006E187F" w:rsidRDefault="00E537B2" w:rsidP="00E537B2">
      <w:pPr>
        <w:pStyle w:val="ExecSumBodyText"/>
        <w:numPr>
          <w:ilvl w:val="1"/>
          <w:numId w:val="1"/>
        </w:numPr>
      </w:pPr>
      <w:r w:rsidRPr="006E187F">
        <w:t>The PBAC considered that the claim of non-inferior comparati</w:t>
      </w:r>
      <w:r w:rsidR="008E300E" w:rsidRPr="006E187F">
        <w:t>ve effectiveness was reasonable.</w:t>
      </w:r>
    </w:p>
    <w:p w:rsidR="00E537B2" w:rsidRPr="006E187F" w:rsidRDefault="00E537B2" w:rsidP="00E537B2">
      <w:pPr>
        <w:pStyle w:val="ExecSumBodyText"/>
        <w:numPr>
          <w:ilvl w:val="1"/>
          <w:numId w:val="1"/>
        </w:numPr>
      </w:pPr>
      <w:r w:rsidRPr="006E187F">
        <w:t>The PBAC considered that the claim</w:t>
      </w:r>
      <w:r w:rsidR="008E300E" w:rsidRPr="006E187F">
        <w:t xml:space="preserve"> of</w:t>
      </w:r>
      <w:r w:rsidRPr="006E187F">
        <w:t xml:space="preserve"> non-inferior comparative safety was reasonable</w:t>
      </w:r>
      <w:r w:rsidR="008E300E" w:rsidRPr="006E187F">
        <w:t>.</w:t>
      </w:r>
    </w:p>
    <w:p w:rsidR="00B60939" w:rsidRPr="006E187F" w:rsidRDefault="00B60939" w:rsidP="00E9094A">
      <w:pPr>
        <w:pStyle w:val="4-SubsectionHeading"/>
      </w:pPr>
      <w:bookmarkStart w:id="19" w:name="_Toc22897645"/>
      <w:bookmarkStart w:id="20" w:name="_Toc72246598"/>
      <w:r w:rsidRPr="006E187F">
        <w:t>Economic analysis</w:t>
      </w:r>
      <w:bookmarkEnd w:id="19"/>
      <w:bookmarkEnd w:id="20"/>
      <w:r w:rsidR="00491B3A" w:rsidRPr="006E187F">
        <w:t xml:space="preserve"> </w:t>
      </w:r>
    </w:p>
    <w:p w:rsidR="00275C5A" w:rsidRPr="006E187F" w:rsidRDefault="00626CC2" w:rsidP="00641FB3">
      <w:pPr>
        <w:pStyle w:val="3-BodyText"/>
        <w:rPr>
          <w:b/>
          <w:bCs/>
        </w:rPr>
      </w:pPr>
      <w:r w:rsidRPr="006E187F">
        <w:rPr>
          <w:snapToGrid/>
        </w:rPr>
        <w:t>A cost</w:t>
      </w:r>
      <w:r w:rsidRPr="006E187F">
        <w:rPr>
          <w:snapToGrid/>
        </w:rPr>
        <w:noBreakHyphen/>
        <w:t xml:space="preserve">minimisation analysis was presented. This was consistent with the clinical evidence. </w:t>
      </w:r>
    </w:p>
    <w:p w:rsidR="0043394C" w:rsidRPr="006E187F" w:rsidRDefault="00E21820" w:rsidP="00E21820">
      <w:pPr>
        <w:pStyle w:val="3-BodyText"/>
        <w:rPr>
          <w:i/>
        </w:rPr>
      </w:pPr>
      <w:r w:rsidRPr="006E187F">
        <w:t xml:space="preserve">The </w:t>
      </w:r>
      <w:r w:rsidR="0043394C" w:rsidRPr="006E187F">
        <w:t>equi-effective doses estimated by the submission were:</w:t>
      </w:r>
    </w:p>
    <w:p w:rsidR="0043394C" w:rsidRPr="006E187F" w:rsidRDefault="0043394C" w:rsidP="0043394C">
      <w:pPr>
        <w:pStyle w:val="3-BodyText"/>
        <w:numPr>
          <w:ilvl w:val="0"/>
          <w:numId w:val="0"/>
        </w:numPr>
        <w:ind w:left="720" w:firstLine="720"/>
        <w:rPr>
          <w:i/>
        </w:rPr>
      </w:pPr>
      <w:r w:rsidRPr="006E187F">
        <w:t>1,800 mg dara</w:t>
      </w:r>
      <w:r w:rsidR="005D52CC" w:rsidRPr="006E187F">
        <w:t>t</w:t>
      </w:r>
      <w:r w:rsidRPr="006E187F">
        <w:t>umumab SC = 1,200 mg daratumumab IV</w:t>
      </w:r>
    </w:p>
    <w:p w:rsidR="00A86E8B" w:rsidRPr="006E187F" w:rsidRDefault="0043394C" w:rsidP="00E21820">
      <w:pPr>
        <w:pStyle w:val="3-BodyText"/>
        <w:rPr>
          <w:i/>
        </w:rPr>
      </w:pPr>
      <w:r w:rsidRPr="006E187F">
        <w:t xml:space="preserve">The </w:t>
      </w:r>
      <w:r w:rsidR="00E21820" w:rsidRPr="006E187F">
        <w:t>submission estimated the equi</w:t>
      </w:r>
      <w:r w:rsidR="00E21820" w:rsidRPr="006E187F">
        <w:noBreakHyphen/>
        <w:t xml:space="preserve">effective dose of daratumumab </w:t>
      </w:r>
      <w:r w:rsidRPr="006E187F">
        <w:t xml:space="preserve">IV </w:t>
      </w:r>
      <w:r w:rsidR="007459C0" w:rsidRPr="006E187F">
        <w:t xml:space="preserve">as </w:t>
      </w:r>
      <w:r w:rsidR="00224D7F" w:rsidRPr="006E187F">
        <w:t>1,200 </w:t>
      </w:r>
      <w:r w:rsidR="007459C0" w:rsidRPr="006E187F">
        <w:t xml:space="preserve">mg </w:t>
      </w:r>
      <w:r w:rsidR="00E21820" w:rsidRPr="006E187F">
        <w:t>using the mean weight (77.69</w:t>
      </w:r>
      <w:r w:rsidRPr="006E187F">
        <w:t xml:space="preserve"> </w:t>
      </w:r>
      <w:r w:rsidR="00E21820" w:rsidRPr="006E187F">
        <w:t xml:space="preserve">kg, n=478) and mean dose intensity (93.36%, n=243) of daratumumab IV reported in the CASTOR trial. </w:t>
      </w:r>
      <w:r w:rsidR="006B0F79" w:rsidRPr="006E187F">
        <w:t xml:space="preserve">The submission estimated an </w:t>
      </w:r>
      <w:r w:rsidR="001E62F5" w:rsidRPr="006E187F">
        <w:t xml:space="preserve">efficient vial combination of 3 x 400mg vials. </w:t>
      </w:r>
      <w:r w:rsidR="005B76A8" w:rsidRPr="006E187F">
        <w:t xml:space="preserve">This was also the mean dose of DBd per infusion applied in the July 2020 model. </w:t>
      </w:r>
      <w:r w:rsidR="00E21820" w:rsidRPr="006E187F">
        <w:t xml:space="preserve">The submission justified the use of the CASTOR trial as the basis of the estimation of the equi-effective dose </w:t>
      </w:r>
      <w:r w:rsidR="00E6093D">
        <w:t xml:space="preserve">as </w:t>
      </w:r>
      <w:r w:rsidR="00E21820" w:rsidRPr="006E187F">
        <w:t xml:space="preserve">the CASTOR population more closely represented the proposed PBS population than the COLUMBA population. </w:t>
      </w:r>
      <w:r w:rsidR="00224D7F" w:rsidRPr="006E187F">
        <w:t>A sensitivity analysis conducted during the evaluation b</w:t>
      </w:r>
      <w:r w:rsidR="00E21820" w:rsidRPr="006E187F">
        <w:t>ased on the mean weight (74.14</w:t>
      </w:r>
      <w:r w:rsidR="005B76A8" w:rsidRPr="006E187F">
        <w:t xml:space="preserve"> </w:t>
      </w:r>
      <w:r w:rsidR="00E21820" w:rsidRPr="006E187F">
        <w:t xml:space="preserve">kg) and mean dose intensity (96.8%) reported in the COLUMBA trial, </w:t>
      </w:r>
      <w:r w:rsidR="005B76A8" w:rsidRPr="006E187F">
        <w:t xml:space="preserve">resulted in an </w:t>
      </w:r>
      <w:r w:rsidR="00E21820" w:rsidRPr="006E187F">
        <w:t xml:space="preserve">average dose of daratumumab IV </w:t>
      </w:r>
      <w:r w:rsidR="005B76A8" w:rsidRPr="006E187F">
        <w:t>of</w:t>
      </w:r>
      <w:r w:rsidR="00E21820" w:rsidRPr="006E187F">
        <w:t xml:space="preserve"> 1,148 mg, </w:t>
      </w:r>
      <w:r w:rsidR="005B76A8" w:rsidRPr="006E187F">
        <w:t xml:space="preserve">and </w:t>
      </w:r>
      <w:r w:rsidR="00E21820" w:rsidRPr="006E187F">
        <w:t xml:space="preserve">an efficient vial combination of 3 x 400 mg vials. The </w:t>
      </w:r>
      <w:r w:rsidR="00E05981" w:rsidRPr="006E187F">
        <w:t xml:space="preserve">ESC considered that the </w:t>
      </w:r>
      <w:r w:rsidR="00E21820" w:rsidRPr="006E187F">
        <w:t>submission’s estimation of the equi-effective daratumumab IV</w:t>
      </w:r>
      <w:r w:rsidR="005B76A8" w:rsidRPr="006E187F">
        <w:t xml:space="preserve"> dose, based on the CASTOR trial,</w:t>
      </w:r>
      <w:r w:rsidR="00E21820" w:rsidRPr="006E187F">
        <w:t xml:space="preserve"> was appropriate.</w:t>
      </w:r>
    </w:p>
    <w:p w:rsidR="00E21820" w:rsidRPr="006E187F" w:rsidRDefault="00E6093D" w:rsidP="00930E50">
      <w:pPr>
        <w:pStyle w:val="3-BodyText"/>
        <w:rPr>
          <w:i/>
        </w:rPr>
      </w:pPr>
      <w:r>
        <w:t>Table 8 presents the r</w:t>
      </w:r>
      <w:r w:rsidRPr="006E187F">
        <w:t xml:space="preserve">esults </w:t>
      </w:r>
      <w:r w:rsidR="00794F5E" w:rsidRPr="006E187F">
        <w:t>of the cost</w:t>
      </w:r>
      <w:r w:rsidR="00794F5E" w:rsidRPr="006E187F">
        <w:noBreakHyphen/>
        <w:t xml:space="preserve">minimisation analysis. The </w:t>
      </w:r>
      <w:r w:rsidR="006C1A87" w:rsidRPr="006E187F">
        <w:t xml:space="preserve">ESC considered that the </w:t>
      </w:r>
      <w:r w:rsidR="00794F5E" w:rsidRPr="006E187F">
        <w:t>estimation of the cost</w:t>
      </w:r>
      <w:r w:rsidR="00794F5E" w:rsidRPr="006E187F">
        <w:noBreakHyphen/>
        <w:t xml:space="preserve">minimisation analysis </w:t>
      </w:r>
      <w:r w:rsidR="006B0E43" w:rsidRPr="006E187F">
        <w:t>was</w:t>
      </w:r>
      <w:r w:rsidR="00794F5E" w:rsidRPr="006E187F">
        <w:t xml:space="preserve"> reasonable</w:t>
      </w:r>
      <w:r w:rsidR="006B0E43" w:rsidRPr="006E187F">
        <w:t>, although t</w:t>
      </w:r>
      <w:r w:rsidR="00794F5E" w:rsidRPr="006E187F">
        <w:t xml:space="preserve">here </w:t>
      </w:r>
      <w:r w:rsidR="006B0E43" w:rsidRPr="006E187F">
        <w:t>were</w:t>
      </w:r>
      <w:r w:rsidR="00794F5E" w:rsidRPr="006E187F">
        <w:t xml:space="preserve"> differences in the net cost to the Government due to the lower mark-ups and fees applied to the daratumumab SC formulation listing Section 100 </w:t>
      </w:r>
      <w:r w:rsidR="000D3E0F" w:rsidRPr="006E187F">
        <w:t>(</w:t>
      </w:r>
      <w:r w:rsidR="00794F5E" w:rsidRPr="006E187F">
        <w:t xml:space="preserve">Highly Specialised Drugs) compared with daratumumab IV listing Section 100 </w:t>
      </w:r>
      <w:r w:rsidR="000D3E0F" w:rsidRPr="006E187F">
        <w:t>(</w:t>
      </w:r>
      <w:r w:rsidR="00794F5E" w:rsidRPr="006E187F">
        <w:t>Efficient Funding of Chemotherapy).</w:t>
      </w:r>
      <w:r w:rsidR="006C1A87" w:rsidRPr="006E187F">
        <w:t xml:space="preserve"> </w:t>
      </w:r>
      <w:r w:rsidR="00FD3BC0">
        <w:t>The PBAC noted that the mark-ups and fees applied to the SC formulation would differ if listed on the General Schedule and Section 100 (Efficient Funding of Chemotherapy –</w:t>
      </w:r>
      <w:r w:rsidR="00BE5C17">
        <w:t xml:space="preserve"> </w:t>
      </w:r>
      <w:r w:rsidR="00275982">
        <w:t>Related Benefits</w:t>
      </w:r>
      <w:r w:rsidR="00FD3BC0">
        <w:t>).</w:t>
      </w:r>
    </w:p>
    <w:p w:rsidR="00794F5E" w:rsidRPr="006E187F" w:rsidRDefault="00B83340" w:rsidP="00950BF9">
      <w:pPr>
        <w:pStyle w:val="TableFigureHeading"/>
      </w:pPr>
      <w:r w:rsidRPr="006E187F">
        <w:rPr>
          <w:rStyle w:val="CommentReference"/>
          <w:b/>
          <w:szCs w:val="24"/>
        </w:rPr>
        <w:t>Table 8</w:t>
      </w:r>
      <w:r w:rsidR="00794F5E" w:rsidRPr="006E187F">
        <w:rPr>
          <w:rStyle w:val="CommentReference"/>
          <w:b/>
          <w:szCs w:val="24"/>
        </w:rPr>
        <w:t>: Results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9"/>
        <w:gridCol w:w="3120"/>
        <w:gridCol w:w="3068"/>
      </w:tblGrid>
      <w:tr w:rsidR="00794F5E" w:rsidRPr="006E187F" w:rsidTr="005B76A8">
        <w:trPr>
          <w:trHeight w:val="20"/>
        </w:trPr>
        <w:tc>
          <w:tcPr>
            <w:tcW w:w="1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5E" w:rsidRPr="006E187F" w:rsidRDefault="00794F5E" w:rsidP="00950BF9">
            <w:pPr>
              <w:pStyle w:val="TableFigureHeading"/>
            </w:pPr>
          </w:p>
        </w:tc>
        <w:tc>
          <w:tcPr>
            <w:tcW w:w="1730" w:type="pct"/>
            <w:tcBorders>
              <w:top w:val="single" w:sz="4" w:space="0" w:color="auto"/>
              <w:left w:val="single" w:sz="4" w:space="0" w:color="auto"/>
              <w:bottom w:val="single" w:sz="4" w:space="0" w:color="auto"/>
              <w:right w:val="single" w:sz="4" w:space="0" w:color="auto"/>
            </w:tcBorders>
            <w:shd w:val="clear" w:color="auto" w:fill="auto"/>
            <w:noWrap/>
          </w:tcPr>
          <w:p w:rsidR="00794F5E" w:rsidRPr="006E187F" w:rsidRDefault="00794F5E" w:rsidP="00950BF9">
            <w:pPr>
              <w:pStyle w:val="TableFigureHeading"/>
            </w:pPr>
            <w:r w:rsidRPr="006E187F">
              <w:t>Daratumumab SC</w:t>
            </w:r>
          </w:p>
        </w:tc>
        <w:tc>
          <w:tcPr>
            <w:tcW w:w="1701" w:type="pct"/>
            <w:tcBorders>
              <w:top w:val="single" w:sz="4" w:space="0" w:color="auto"/>
              <w:left w:val="single" w:sz="4" w:space="0" w:color="auto"/>
              <w:bottom w:val="single" w:sz="4" w:space="0" w:color="auto"/>
              <w:right w:val="single" w:sz="4" w:space="0" w:color="auto"/>
            </w:tcBorders>
            <w:shd w:val="clear" w:color="auto" w:fill="auto"/>
            <w:noWrap/>
          </w:tcPr>
          <w:p w:rsidR="00794F5E" w:rsidRPr="006E187F" w:rsidRDefault="00794F5E" w:rsidP="00950BF9">
            <w:pPr>
              <w:pStyle w:val="TableFigureHeading"/>
            </w:pPr>
            <w:r w:rsidRPr="006E187F">
              <w:t>Daratumumab IV</w:t>
            </w:r>
          </w:p>
        </w:tc>
      </w:tr>
      <w:tr w:rsidR="00794F5E" w:rsidRPr="006E187F" w:rsidTr="005B76A8">
        <w:trPr>
          <w:trHeight w:val="20"/>
        </w:trPr>
        <w:tc>
          <w:tcPr>
            <w:tcW w:w="1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5E" w:rsidRPr="006E187F" w:rsidRDefault="00794F5E" w:rsidP="00950BF9">
            <w:pPr>
              <w:pStyle w:val="TableText0"/>
            </w:pPr>
            <w:r w:rsidRPr="006E187F">
              <w:t>Route of administration</w:t>
            </w:r>
          </w:p>
        </w:tc>
        <w:tc>
          <w:tcPr>
            <w:tcW w:w="1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5E" w:rsidRPr="006E187F" w:rsidRDefault="00794F5E" w:rsidP="00950BF9">
            <w:pPr>
              <w:pStyle w:val="TableText0"/>
            </w:pPr>
            <w:r w:rsidRPr="006E187F">
              <w:t>Subcutaneous</w:t>
            </w:r>
          </w:p>
        </w:tc>
        <w:tc>
          <w:tcPr>
            <w:tcW w:w="17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5E" w:rsidRPr="006E187F" w:rsidRDefault="00794F5E" w:rsidP="00950BF9">
            <w:pPr>
              <w:pStyle w:val="TableText0"/>
            </w:pPr>
            <w:r w:rsidRPr="006E187F">
              <w:t>Intravenous</w:t>
            </w:r>
          </w:p>
        </w:tc>
      </w:tr>
      <w:tr w:rsidR="00794F5E" w:rsidRPr="006E187F" w:rsidTr="003857F2">
        <w:trPr>
          <w:trHeight w:val="20"/>
        </w:trPr>
        <w:tc>
          <w:tcPr>
            <w:tcW w:w="1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5E" w:rsidRPr="006E187F" w:rsidRDefault="00794F5E" w:rsidP="00950BF9">
            <w:pPr>
              <w:pStyle w:val="TableText0"/>
            </w:pPr>
            <w:r w:rsidRPr="006E187F">
              <w:t>Dosing schedule</w:t>
            </w:r>
          </w:p>
        </w:tc>
        <w:tc>
          <w:tcPr>
            <w:tcW w:w="343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794F5E" w:rsidP="00950BF9">
            <w:pPr>
              <w:pStyle w:val="TableText0"/>
            </w:pPr>
            <w:r w:rsidRPr="006E187F">
              <w:t>Administered weekly for the first 3 cycles (each cycle is 3 weeks in duration), every three weeks from cycles 4 to 8 (each cycle is 3 weeks in duration) and then once every 4 weeks from cycle 9 onwards (each cycle is 4 weeks in duration) until disease progression or treatment-limiting toxicity)</w:t>
            </w:r>
            <w:r w:rsidR="005B76A8" w:rsidRPr="006E187F">
              <w:t>.</w:t>
            </w:r>
          </w:p>
        </w:tc>
      </w:tr>
      <w:tr w:rsidR="006C1A87" w:rsidRPr="006E187F" w:rsidTr="006C1A87">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C1A87" w:rsidRPr="006E187F" w:rsidRDefault="006C1A87" w:rsidP="00950BF9">
            <w:pPr>
              <w:pStyle w:val="TableText0"/>
              <w:rPr>
                <w:b/>
              </w:rPr>
            </w:pPr>
            <w:r w:rsidRPr="006E187F">
              <w:rPr>
                <w:b/>
              </w:rPr>
              <w:t xml:space="preserve">Cost minimisation as per submission </w:t>
            </w:r>
          </w:p>
        </w:tc>
      </w:tr>
      <w:tr w:rsidR="00794F5E" w:rsidRPr="006E187F" w:rsidTr="005B76A8">
        <w:trPr>
          <w:trHeight w:val="20"/>
        </w:trPr>
        <w:tc>
          <w:tcPr>
            <w:tcW w:w="15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794F5E" w:rsidP="00950BF9">
            <w:pPr>
              <w:pStyle w:val="TableText0"/>
            </w:pPr>
            <w:r w:rsidRPr="006E187F">
              <w:t>Publi</w:t>
            </w:r>
            <w:r w:rsidR="005B76A8" w:rsidRPr="006E187F">
              <w:t>shed</w:t>
            </w:r>
            <w:r w:rsidRPr="006E187F">
              <w:t xml:space="preserve"> AEMP </w:t>
            </w:r>
            <w:r w:rsidR="005B76A8" w:rsidRPr="006E187F">
              <w:t>per vial</w:t>
            </w:r>
          </w:p>
        </w:tc>
        <w:tc>
          <w:tcPr>
            <w:tcW w:w="17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794F5E" w:rsidP="00950BF9">
            <w:pPr>
              <w:pStyle w:val="TableText0"/>
            </w:pPr>
            <w:r w:rsidRPr="006E187F">
              <w:t>N/A</w:t>
            </w:r>
          </w:p>
        </w:tc>
        <w:tc>
          <w:tcPr>
            <w:tcW w:w="17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794F5E" w:rsidP="00950BF9">
            <w:pPr>
              <w:pStyle w:val="TableText0"/>
            </w:pPr>
            <w:r w:rsidRPr="006E187F">
              <w:t>$2,336.76 per 400 mg vial</w:t>
            </w:r>
          </w:p>
        </w:tc>
      </w:tr>
      <w:tr w:rsidR="00794F5E" w:rsidRPr="006E187F" w:rsidTr="005B76A8">
        <w:trPr>
          <w:trHeight w:val="20"/>
        </w:trPr>
        <w:tc>
          <w:tcPr>
            <w:tcW w:w="15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5B76A8" w:rsidP="00950BF9">
            <w:pPr>
              <w:pStyle w:val="TableText0"/>
            </w:pPr>
            <w:r w:rsidRPr="006E187F">
              <w:t>E</w:t>
            </w:r>
            <w:r w:rsidR="00794F5E" w:rsidRPr="006E187F">
              <w:t>ffective AEMP</w:t>
            </w:r>
            <w:r w:rsidRPr="006E187F">
              <w:t xml:space="preserve"> per vial</w:t>
            </w:r>
          </w:p>
        </w:tc>
        <w:tc>
          <w:tcPr>
            <w:tcW w:w="17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794F5E" w:rsidP="00950BF9">
            <w:pPr>
              <w:pStyle w:val="TableText0"/>
            </w:pPr>
            <w:r w:rsidRPr="006E187F">
              <w:t>N/A</w:t>
            </w:r>
          </w:p>
        </w:tc>
        <w:tc>
          <w:tcPr>
            <w:tcW w:w="17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794F5E" w:rsidP="00950BF9">
            <w:pPr>
              <w:pStyle w:val="TableText0"/>
            </w:pPr>
            <w:r w:rsidRPr="006E187F">
              <w:t>$</w:t>
            </w:r>
            <w:r w:rsidR="00733F84">
              <w:rPr>
                <w:noProof/>
                <w:color w:val="000000"/>
                <w:highlight w:val="black"/>
              </w:rPr>
              <w:t>'''''''''''''''''''''</w:t>
            </w:r>
            <w:r w:rsidRPr="006E187F">
              <w:t xml:space="preserve"> per 400 mg vial</w:t>
            </w:r>
          </w:p>
        </w:tc>
      </w:tr>
      <w:tr w:rsidR="00794F5E" w:rsidRPr="006E187F" w:rsidTr="005B76A8">
        <w:trPr>
          <w:trHeight w:val="20"/>
        </w:trPr>
        <w:tc>
          <w:tcPr>
            <w:tcW w:w="15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5B76A8" w:rsidP="00950BF9">
            <w:pPr>
              <w:pStyle w:val="TableText0"/>
            </w:pPr>
            <w:r w:rsidRPr="006E187F">
              <w:t>Equi-effective doses</w:t>
            </w:r>
          </w:p>
        </w:tc>
        <w:tc>
          <w:tcPr>
            <w:tcW w:w="1730" w:type="pct"/>
            <w:tcBorders>
              <w:top w:val="single" w:sz="4" w:space="0" w:color="auto"/>
              <w:left w:val="single" w:sz="4" w:space="0" w:color="auto"/>
              <w:bottom w:val="single" w:sz="4" w:space="0" w:color="auto"/>
              <w:right w:val="single" w:sz="4" w:space="0" w:color="auto"/>
            </w:tcBorders>
            <w:shd w:val="clear" w:color="auto" w:fill="auto"/>
            <w:noWrap/>
          </w:tcPr>
          <w:p w:rsidR="00794F5E" w:rsidRPr="006E187F" w:rsidRDefault="00794F5E" w:rsidP="00950BF9">
            <w:pPr>
              <w:pStyle w:val="TableText0"/>
            </w:pPr>
            <w:r w:rsidRPr="006E187F">
              <w:t>1</w:t>
            </w:r>
            <w:r w:rsidR="005B76A8" w:rsidRPr="006E187F">
              <w:t>,</w:t>
            </w:r>
            <w:r w:rsidRPr="006E187F">
              <w:t>800 mg vial</w:t>
            </w:r>
          </w:p>
        </w:tc>
        <w:tc>
          <w:tcPr>
            <w:tcW w:w="1701" w:type="pct"/>
            <w:tcBorders>
              <w:top w:val="single" w:sz="4" w:space="0" w:color="auto"/>
              <w:left w:val="single" w:sz="4" w:space="0" w:color="auto"/>
              <w:bottom w:val="single" w:sz="4" w:space="0" w:color="auto"/>
              <w:right w:val="single" w:sz="4" w:space="0" w:color="auto"/>
            </w:tcBorders>
            <w:shd w:val="clear" w:color="auto" w:fill="auto"/>
            <w:noWrap/>
          </w:tcPr>
          <w:p w:rsidR="00794F5E" w:rsidRPr="006E187F" w:rsidRDefault="00794F5E" w:rsidP="00950BF9">
            <w:pPr>
              <w:pStyle w:val="TableText0"/>
            </w:pPr>
            <w:r w:rsidRPr="006E187F">
              <w:t>1</w:t>
            </w:r>
            <w:r w:rsidR="005B76A8" w:rsidRPr="006E187F">
              <w:t>,</w:t>
            </w:r>
            <w:r w:rsidRPr="006E187F">
              <w:t xml:space="preserve">200 mg as 3 x 400 mg vials </w:t>
            </w:r>
          </w:p>
        </w:tc>
      </w:tr>
      <w:tr w:rsidR="00794F5E" w:rsidRPr="006E187F" w:rsidTr="005B76A8">
        <w:trPr>
          <w:trHeight w:val="20"/>
        </w:trPr>
        <w:tc>
          <w:tcPr>
            <w:tcW w:w="15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794F5E" w:rsidP="00950BF9">
            <w:pPr>
              <w:pStyle w:val="TableText0"/>
            </w:pPr>
            <w:r w:rsidRPr="006E187F">
              <w:t>Publi</w:t>
            </w:r>
            <w:r w:rsidR="005B76A8" w:rsidRPr="006E187F">
              <w:t>shed</w:t>
            </w:r>
            <w:r w:rsidRPr="006E187F">
              <w:t xml:space="preserve"> AEMP </w:t>
            </w:r>
          </w:p>
        </w:tc>
        <w:tc>
          <w:tcPr>
            <w:tcW w:w="17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794F5E" w:rsidP="00950BF9">
            <w:pPr>
              <w:pStyle w:val="TableText0"/>
            </w:pPr>
            <w:r w:rsidRPr="006E187F">
              <w:t>$7,010.28</w:t>
            </w:r>
          </w:p>
        </w:tc>
        <w:tc>
          <w:tcPr>
            <w:tcW w:w="17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794F5E" w:rsidP="00950BF9">
            <w:pPr>
              <w:pStyle w:val="TableText0"/>
            </w:pPr>
            <w:r w:rsidRPr="006E187F">
              <w:t>$7,010.28</w:t>
            </w:r>
          </w:p>
        </w:tc>
      </w:tr>
      <w:tr w:rsidR="00794F5E" w:rsidRPr="006E187F" w:rsidTr="005B76A8">
        <w:trPr>
          <w:trHeight w:val="20"/>
        </w:trPr>
        <w:tc>
          <w:tcPr>
            <w:tcW w:w="15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5B76A8" w:rsidP="00950BF9">
            <w:pPr>
              <w:pStyle w:val="TableText0"/>
            </w:pPr>
            <w:r w:rsidRPr="006E187F">
              <w:t>E</w:t>
            </w:r>
            <w:r w:rsidR="00794F5E" w:rsidRPr="006E187F">
              <w:t>ffective AEMP</w:t>
            </w:r>
            <w:r w:rsidRPr="006E187F">
              <w:t xml:space="preserve"> </w:t>
            </w:r>
          </w:p>
        </w:tc>
        <w:tc>
          <w:tcPr>
            <w:tcW w:w="17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794F5E" w:rsidP="00950BF9">
            <w:pPr>
              <w:pStyle w:val="TableText0"/>
            </w:pPr>
            <w:r w:rsidRPr="006E187F">
              <w:t>$</w:t>
            </w:r>
            <w:r w:rsidR="00733F84">
              <w:rPr>
                <w:noProof/>
                <w:color w:val="000000"/>
                <w:highlight w:val="black"/>
              </w:rPr>
              <w:t>''''''''''''''''''''''</w:t>
            </w:r>
          </w:p>
        </w:tc>
        <w:tc>
          <w:tcPr>
            <w:tcW w:w="17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794F5E" w:rsidP="00950BF9">
            <w:pPr>
              <w:pStyle w:val="TableText0"/>
            </w:pPr>
            <w:r w:rsidRPr="006E187F">
              <w:t>$</w:t>
            </w:r>
            <w:r w:rsidR="00733F84">
              <w:rPr>
                <w:noProof/>
                <w:color w:val="000000"/>
                <w:highlight w:val="black"/>
              </w:rPr>
              <w:t>''''''''''''''''''''</w:t>
            </w:r>
          </w:p>
        </w:tc>
      </w:tr>
      <w:tr w:rsidR="00794F5E" w:rsidRPr="006E187F" w:rsidTr="005B76A8">
        <w:trPr>
          <w:trHeight w:val="20"/>
        </w:trPr>
        <w:tc>
          <w:tcPr>
            <w:tcW w:w="1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5E" w:rsidRPr="006E187F" w:rsidRDefault="00794F5E" w:rsidP="00950BF9">
            <w:pPr>
              <w:pStyle w:val="TableText0"/>
            </w:pPr>
            <w:r w:rsidRPr="006E187F">
              <w:t>Other costs (e.g. MBS)</w:t>
            </w:r>
          </w:p>
        </w:tc>
        <w:tc>
          <w:tcPr>
            <w:tcW w:w="1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5E" w:rsidRPr="006E187F" w:rsidRDefault="00794F5E" w:rsidP="00950BF9">
            <w:pPr>
              <w:pStyle w:val="TableText0"/>
            </w:pPr>
            <w:r w:rsidRPr="006E187F">
              <w:t>None applied</w:t>
            </w:r>
          </w:p>
        </w:tc>
        <w:tc>
          <w:tcPr>
            <w:tcW w:w="17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5E" w:rsidRPr="006E187F" w:rsidRDefault="00794F5E" w:rsidP="00950BF9">
            <w:pPr>
              <w:pStyle w:val="TableText0"/>
            </w:pPr>
            <w:r w:rsidRPr="006E187F">
              <w:t>None applied</w:t>
            </w:r>
          </w:p>
        </w:tc>
      </w:tr>
      <w:tr w:rsidR="00794F5E" w:rsidRPr="006E187F" w:rsidTr="005B76A8">
        <w:trPr>
          <w:trHeight w:val="20"/>
        </w:trPr>
        <w:tc>
          <w:tcPr>
            <w:tcW w:w="15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794F5E" w:rsidP="00950BF9">
            <w:pPr>
              <w:pStyle w:val="TableText0"/>
              <w:rPr>
                <w:vertAlign w:val="superscript"/>
              </w:rPr>
            </w:pPr>
            <w:r w:rsidRPr="006E187F">
              <w:t>Net effective DPMQ (weighted)</w:t>
            </w:r>
            <w:r w:rsidR="002E51E7" w:rsidRPr="006E187F">
              <w:rPr>
                <w:vertAlign w:val="superscript"/>
              </w:rPr>
              <w:t>a</w:t>
            </w:r>
          </w:p>
        </w:tc>
        <w:tc>
          <w:tcPr>
            <w:tcW w:w="17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794F5E" w:rsidP="00950BF9">
            <w:pPr>
              <w:pStyle w:val="TableText0"/>
            </w:pPr>
            <w:r w:rsidRPr="006E187F">
              <w:t>$</w:t>
            </w:r>
            <w:r w:rsidR="00733F84">
              <w:rPr>
                <w:noProof/>
                <w:color w:val="000000"/>
                <w:highlight w:val="black"/>
              </w:rPr>
              <w:t>''''''''''''''''''''</w:t>
            </w:r>
          </w:p>
        </w:tc>
        <w:tc>
          <w:tcPr>
            <w:tcW w:w="17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794F5E" w:rsidP="00950BF9">
            <w:pPr>
              <w:pStyle w:val="TableText0"/>
            </w:pPr>
            <w:r w:rsidRPr="006E187F">
              <w:t>$</w:t>
            </w:r>
            <w:r w:rsidR="00733F84">
              <w:rPr>
                <w:noProof/>
                <w:color w:val="000000"/>
                <w:highlight w:val="black"/>
              </w:rPr>
              <w:t>''''''''''''''''''''''</w:t>
            </w:r>
          </w:p>
        </w:tc>
      </w:tr>
      <w:tr w:rsidR="00794F5E" w:rsidRPr="006E187F" w:rsidTr="003857F2">
        <w:trPr>
          <w:trHeight w:val="20"/>
        </w:trPr>
        <w:tc>
          <w:tcPr>
            <w:tcW w:w="15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4F5E" w:rsidRPr="006E187F" w:rsidRDefault="00794F5E" w:rsidP="00950BF9">
            <w:pPr>
              <w:pStyle w:val="TableText0"/>
            </w:pPr>
            <w:r w:rsidRPr="006E187F">
              <w:t xml:space="preserve">Difference in net effective DPMQ </w:t>
            </w:r>
          </w:p>
        </w:tc>
        <w:tc>
          <w:tcPr>
            <w:tcW w:w="3431" w:type="pct"/>
            <w:gridSpan w:val="2"/>
            <w:tcBorders>
              <w:top w:val="single" w:sz="4" w:space="0" w:color="auto"/>
              <w:left w:val="single" w:sz="4" w:space="0" w:color="auto"/>
              <w:bottom w:val="single" w:sz="4" w:space="0" w:color="auto"/>
              <w:right w:val="single" w:sz="4" w:space="0" w:color="auto"/>
            </w:tcBorders>
            <w:shd w:val="clear" w:color="auto" w:fill="auto"/>
            <w:noWrap/>
          </w:tcPr>
          <w:p w:rsidR="00794F5E" w:rsidRPr="006E187F" w:rsidRDefault="00794F5E" w:rsidP="00950BF9">
            <w:pPr>
              <w:pStyle w:val="TableText0"/>
              <w:jc w:val="center"/>
            </w:pPr>
            <w:r w:rsidRPr="006E187F">
              <w:t>-$</w:t>
            </w:r>
            <w:r w:rsidR="00733F84">
              <w:rPr>
                <w:noProof/>
                <w:color w:val="000000"/>
                <w:highlight w:val="black"/>
              </w:rPr>
              <w:t>''''''''''''''''</w:t>
            </w:r>
          </w:p>
        </w:tc>
      </w:tr>
    </w:tbl>
    <w:p w:rsidR="00794F5E" w:rsidRPr="006E187F" w:rsidRDefault="00794F5E" w:rsidP="00794F5E">
      <w:pPr>
        <w:pStyle w:val="TableFigureFooter"/>
      </w:pPr>
      <w:r w:rsidRPr="006E187F">
        <w:t>Source: Table 3.2 of the submission, sheet ‘3c.Impact – proposed (eff) in Excel spreadsheet ‘Daratumumab SC utilisation cost model’, Attachment 13 of the submission and calculated during the evaluation.</w:t>
      </w:r>
    </w:p>
    <w:p w:rsidR="00794F5E" w:rsidRPr="006E187F" w:rsidRDefault="00794F5E" w:rsidP="00794F5E">
      <w:pPr>
        <w:pStyle w:val="TableFigureFooter"/>
      </w:pPr>
      <w:r w:rsidRPr="006E187F">
        <w:t>AEMP = approved ex-manufacturer price</w:t>
      </w:r>
      <w:r w:rsidR="004D2DFC">
        <w:t xml:space="preserve">; </w:t>
      </w:r>
      <w:r w:rsidR="007536F4" w:rsidRPr="006E187F">
        <w:t xml:space="preserve">DPMQ = dispensed price for maximum quantity; </w:t>
      </w:r>
      <w:r w:rsidRPr="006E187F">
        <w:t>IV = intravenous; N/A = not applicable, SC = subcutaneous</w:t>
      </w:r>
    </w:p>
    <w:p w:rsidR="002E51E7" w:rsidRPr="006E187F" w:rsidRDefault="002E51E7" w:rsidP="00685EEE">
      <w:pPr>
        <w:pStyle w:val="TableFigureFooter"/>
        <w:spacing w:after="0"/>
      </w:pPr>
      <w:r w:rsidRPr="006E187F">
        <w:t xml:space="preserve">Note: </w:t>
      </w:r>
      <w:r w:rsidRPr="006E187F">
        <w:rPr>
          <w:vertAlign w:val="superscript"/>
        </w:rPr>
        <w:t>a.</w:t>
      </w:r>
      <w:r w:rsidRPr="006E187F">
        <w:t>Public and private split is 34.63% and 65.37%, respectively.</w:t>
      </w:r>
    </w:p>
    <w:p w:rsidR="00C25D9C" w:rsidRPr="006E187F" w:rsidRDefault="00823649" w:rsidP="00BB732D">
      <w:pPr>
        <w:pStyle w:val="4-SubsectionHeading"/>
      </w:pPr>
      <w:bookmarkStart w:id="21" w:name="_Toc22897646"/>
      <w:bookmarkStart w:id="22" w:name="_Toc72246599"/>
      <w:r w:rsidRPr="006E187F">
        <w:t>D</w:t>
      </w:r>
      <w:r w:rsidR="00D25F98" w:rsidRPr="006E187F">
        <w:t>rug</w:t>
      </w:r>
      <w:r w:rsidR="005C61AB" w:rsidRPr="006E187F">
        <w:t xml:space="preserve"> cost/patient/</w:t>
      </w:r>
      <w:r w:rsidR="00C25D9C" w:rsidRPr="006E187F">
        <w:t>year</w:t>
      </w:r>
      <w:bookmarkEnd w:id="21"/>
      <w:bookmarkEnd w:id="22"/>
    </w:p>
    <w:p w:rsidR="00494207" w:rsidRPr="006E187F" w:rsidRDefault="00B83340" w:rsidP="00BB732D">
      <w:pPr>
        <w:pStyle w:val="TableFigureHeading"/>
        <w:rPr>
          <w:rStyle w:val="CommentReference"/>
          <w:b/>
          <w:szCs w:val="24"/>
        </w:rPr>
      </w:pPr>
      <w:r w:rsidRPr="006E187F">
        <w:rPr>
          <w:rStyle w:val="CommentReference"/>
          <w:b/>
          <w:szCs w:val="24"/>
        </w:rPr>
        <w:t>Table 9:</w:t>
      </w:r>
      <w:r w:rsidR="00494207" w:rsidRPr="006E187F">
        <w:rPr>
          <w:rStyle w:val="CommentReference"/>
          <w:b/>
          <w:szCs w:val="24"/>
        </w:rPr>
        <w:t xml:space="preserve"> Drug cost per patient for </w:t>
      </w:r>
      <w:r w:rsidR="00E926AA" w:rsidRPr="006E187F">
        <w:rPr>
          <w:rStyle w:val="CommentReference"/>
          <w:b/>
          <w:szCs w:val="24"/>
        </w:rPr>
        <w:t xml:space="preserve">daratumumab SC </w:t>
      </w:r>
      <w:r w:rsidR="00494207" w:rsidRPr="006E187F">
        <w:rPr>
          <w:rStyle w:val="CommentReference"/>
          <w:b/>
          <w:szCs w:val="24"/>
        </w:rPr>
        <w:t xml:space="preserve">and </w:t>
      </w:r>
      <w:r w:rsidR="00E926AA" w:rsidRPr="006E187F">
        <w:rPr>
          <w:rStyle w:val="CommentReference"/>
          <w:b/>
          <w:szCs w:val="24"/>
        </w:rPr>
        <w:t>daratumumab IV</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5"/>
        <w:gridCol w:w="1986"/>
        <w:gridCol w:w="1702"/>
        <w:gridCol w:w="2025"/>
        <w:gridCol w:w="1749"/>
      </w:tblGrid>
      <w:tr w:rsidR="005B76A8" w:rsidRPr="006E187F" w:rsidTr="005B76A8">
        <w:trPr>
          <w:cantSplit/>
          <w:tblHeader/>
          <w:jc w:val="center"/>
        </w:trPr>
        <w:tc>
          <w:tcPr>
            <w:tcW w:w="862" w:type="pct"/>
            <w:vMerge w:val="restart"/>
            <w:shd w:val="clear" w:color="auto" w:fill="auto"/>
            <w:vAlign w:val="center"/>
          </w:tcPr>
          <w:p w:rsidR="005B76A8" w:rsidRPr="006E187F" w:rsidRDefault="005B76A8" w:rsidP="00BB732D">
            <w:pPr>
              <w:pStyle w:val="In-tableHeading"/>
              <w:jc w:val="center"/>
              <w:rPr>
                <w:lang w:val="en-AU"/>
              </w:rPr>
            </w:pPr>
          </w:p>
        </w:tc>
        <w:tc>
          <w:tcPr>
            <w:tcW w:w="2045" w:type="pct"/>
            <w:gridSpan w:val="2"/>
            <w:shd w:val="clear" w:color="auto" w:fill="auto"/>
            <w:vAlign w:val="center"/>
          </w:tcPr>
          <w:p w:rsidR="005B76A8" w:rsidRPr="006E187F" w:rsidRDefault="005B76A8" w:rsidP="00BB732D">
            <w:pPr>
              <w:pStyle w:val="In-tableHeading"/>
              <w:jc w:val="center"/>
              <w:rPr>
                <w:lang w:val="en-AU"/>
              </w:rPr>
            </w:pPr>
            <w:r w:rsidRPr="006E187F">
              <w:rPr>
                <w:lang w:val="en-AU"/>
              </w:rPr>
              <w:t>Daratumumab SC</w:t>
            </w:r>
          </w:p>
        </w:tc>
        <w:tc>
          <w:tcPr>
            <w:tcW w:w="2093" w:type="pct"/>
            <w:gridSpan w:val="2"/>
            <w:shd w:val="clear" w:color="auto" w:fill="auto"/>
            <w:vAlign w:val="center"/>
          </w:tcPr>
          <w:p w:rsidR="005B76A8" w:rsidRPr="006E187F" w:rsidRDefault="005B76A8" w:rsidP="001E165E">
            <w:pPr>
              <w:pStyle w:val="In-tableHeading"/>
              <w:jc w:val="center"/>
              <w:rPr>
                <w:lang w:val="en-AU"/>
              </w:rPr>
            </w:pPr>
            <w:r w:rsidRPr="006E187F">
              <w:rPr>
                <w:lang w:val="en-AU"/>
              </w:rPr>
              <w:t>Daratumumab IV</w:t>
            </w:r>
          </w:p>
        </w:tc>
      </w:tr>
      <w:tr w:rsidR="005B76A8" w:rsidRPr="006E187F" w:rsidTr="005B76A8">
        <w:trPr>
          <w:cantSplit/>
          <w:tblHeader/>
          <w:jc w:val="center"/>
        </w:trPr>
        <w:tc>
          <w:tcPr>
            <w:tcW w:w="862" w:type="pct"/>
            <w:vMerge/>
            <w:shd w:val="clear" w:color="auto" w:fill="auto"/>
            <w:vAlign w:val="center"/>
          </w:tcPr>
          <w:p w:rsidR="005B76A8" w:rsidRPr="006E187F" w:rsidRDefault="005B76A8" w:rsidP="00BB732D">
            <w:pPr>
              <w:pStyle w:val="In-tableHeading"/>
              <w:jc w:val="center"/>
              <w:rPr>
                <w:lang w:val="en-AU"/>
              </w:rPr>
            </w:pPr>
          </w:p>
        </w:tc>
        <w:tc>
          <w:tcPr>
            <w:tcW w:w="1101" w:type="pct"/>
            <w:shd w:val="clear" w:color="auto" w:fill="auto"/>
            <w:vAlign w:val="center"/>
          </w:tcPr>
          <w:p w:rsidR="005B76A8" w:rsidRPr="006E187F" w:rsidRDefault="005B76A8" w:rsidP="001E165E">
            <w:pPr>
              <w:pStyle w:val="In-tableHeading"/>
              <w:jc w:val="center"/>
              <w:rPr>
                <w:lang w:val="en-AU"/>
              </w:rPr>
            </w:pPr>
            <w:r w:rsidRPr="006E187F">
              <w:rPr>
                <w:lang w:val="en-AU"/>
              </w:rPr>
              <w:t>Trial dose and duration</w:t>
            </w:r>
            <w:r w:rsidR="00E926AA" w:rsidRPr="006E187F">
              <w:rPr>
                <w:vertAlign w:val="superscript"/>
                <w:lang w:val="en-AU"/>
              </w:rPr>
              <w:t>a</w:t>
            </w:r>
          </w:p>
        </w:tc>
        <w:tc>
          <w:tcPr>
            <w:tcW w:w="944" w:type="pct"/>
            <w:shd w:val="clear" w:color="auto" w:fill="auto"/>
            <w:vAlign w:val="center"/>
          </w:tcPr>
          <w:p w:rsidR="005B76A8" w:rsidRPr="006E187F" w:rsidRDefault="005B76A8" w:rsidP="00BB732D">
            <w:pPr>
              <w:pStyle w:val="In-tableHeading"/>
              <w:jc w:val="center"/>
              <w:rPr>
                <w:lang w:val="en-AU"/>
              </w:rPr>
            </w:pPr>
            <w:r w:rsidRPr="006E187F">
              <w:rPr>
                <w:lang w:val="en-AU"/>
              </w:rPr>
              <w:t>CMA</w:t>
            </w:r>
            <w:r w:rsidR="00E926AA" w:rsidRPr="006E187F">
              <w:rPr>
                <w:vertAlign w:val="superscript"/>
                <w:lang w:val="en-AU"/>
              </w:rPr>
              <w:t>b</w:t>
            </w:r>
          </w:p>
        </w:tc>
        <w:tc>
          <w:tcPr>
            <w:tcW w:w="1123" w:type="pct"/>
            <w:shd w:val="clear" w:color="auto" w:fill="auto"/>
            <w:vAlign w:val="center"/>
          </w:tcPr>
          <w:p w:rsidR="005B76A8" w:rsidRPr="006E187F" w:rsidRDefault="005B76A8" w:rsidP="00BB732D">
            <w:pPr>
              <w:pStyle w:val="In-tableHeading"/>
              <w:jc w:val="center"/>
              <w:rPr>
                <w:lang w:val="en-AU"/>
              </w:rPr>
            </w:pPr>
            <w:r w:rsidRPr="006E187F">
              <w:rPr>
                <w:lang w:val="en-AU"/>
              </w:rPr>
              <w:t>Trial dose and duration</w:t>
            </w:r>
            <w:r w:rsidR="00E926AA" w:rsidRPr="006E187F">
              <w:rPr>
                <w:vertAlign w:val="superscript"/>
                <w:lang w:val="en-AU"/>
              </w:rPr>
              <w:t>a</w:t>
            </w:r>
          </w:p>
        </w:tc>
        <w:tc>
          <w:tcPr>
            <w:tcW w:w="970" w:type="pct"/>
            <w:shd w:val="clear" w:color="auto" w:fill="auto"/>
            <w:vAlign w:val="center"/>
          </w:tcPr>
          <w:p w:rsidR="005B76A8" w:rsidRPr="006E187F" w:rsidRDefault="005B76A8" w:rsidP="00BB732D">
            <w:pPr>
              <w:pStyle w:val="In-tableHeading"/>
              <w:jc w:val="center"/>
              <w:rPr>
                <w:lang w:val="en-AU"/>
              </w:rPr>
            </w:pPr>
            <w:r w:rsidRPr="006E187F">
              <w:rPr>
                <w:lang w:val="en-AU"/>
              </w:rPr>
              <w:t>CMA</w:t>
            </w:r>
            <w:r w:rsidR="00E926AA" w:rsidRPr="006E187F">
              <w:rPr>
                <w:vertAlign w:val="superscript"/>
                <w:lang w:val="en-AU"/>
              </w:rPr>
              <w:t>b</w:t>
            </w:r>
          </w:p>
        </w:tc>
      </w:tr>
      <w:tr w:rsidR="008153D7" w:rsidRPr="006E187F" w:rsidTr="005B76A8">
        <w:trPr>
          <w:cantSplit/>
          <w:jc w:val="center"/>
        </w:trPr>
        <w:tc>
          <w:tcPr>
            <w:tcW w:w="862" w:type="pct"/>
            <w:shd w:val="clear" w:color="auto" w:fill="auto"/>
            <w:vAlign w:val="center"/>
          </w:tcPr>
          <w:p w:rsidR="008153D7" w:rsidRPr="006E187F" w:rsidRDefault="008153D7" w:rsidP="00BB732D">
            <w:pPr>
              <w:pStyle w:val="TableText0"/>
            </w:pPr>
            <w:r w:rsidRPr="006E187F">
              <w:t>Dosing schedule</w:t>
            </w:r>
          </w:p>
        </w:tc>
        <w:tc>
          <w:tcPr>
            <w:tcW w:w="1101" w:type="pct"/>
            <w:shd w:val="clear" w:color="auto" w:fill="auto"/>
            <w:vAlign w:val="center"/>
          </w:tcPr>
          <w:p w:rsidR="008153D7" w:rsidRPr="006E187F" w:rsidRDefault="008153D7" w:rsidP="005B76A8">
            <w:pPr>
              <w:pStyle w:val="TableText0"/>
            </w:pPr>
            <w:r w:rsidRPr="006E187F">
              <w:t>Once weekly (</w:t>
            </w:r>
            <w:r w:rsidR="005B76A8" w:rsidRPr="006E187F">
              <w:t>C</w:t>
            </w:r>
            <w:r w:rsidRPr="006E187F">
              <w:t>ycles 1 and 2), every</w:t>
            </w:r>
            <w:r w:rsidR="005B76A8" w:rsidRPr="006E187F">
              <w:t xml:space="preserve"> </w:t>
            </w:r>
            <w:r w:rsidRPr="006E187F">
              <w:t>2 weeks (</w:t>
            </w:r>
            <w:r w:rsidR="005B76A8" w:rsidRPr="006E187F">
              <w:t>C</w:t>
            </w:r>
            <w:r w:rsidRPr="006E187F">
              <w:t>ycles 3–6), and then every 4 weeks until progressive disease or toxicity.</w:t>
            </w:r>
          </w:p>
        </w:tc>
        <w:tc>
          <w:tcPr>
            <w:tcW w:w="944" w:type="pct"/>
            <w:shd w:val="clear" w:color="auto" w:fill="auto"/>
            <w:vAlign w:val="center"/>
          </w:tcPr>
          <w:p w:rsidR="008153D7" w:rsidRPr="006E187F" w:rsidRDefault="008153D7" w:rsidP="005B76A8">
            <w:pPr>
              <w:pStyle w:val="TableText0"/>
            </w:pPr>
            <w:r w:rsidRPr="006E187F">
              <w:t>Once weekly (</w:t>
            </w:r>
            <w:r w:rsidR="005B76A8" w:rsidRPr="006E187F">
              <w:t>C</w:t>
            </w:r>
            <w:r w:rsidRPr="006E187F">
              <w:t>ycles 1-3, 3-week cycles), every 3 weeks (</w:t>
            </w:r>
            <w:r w:rsidR="005B76A8" w:rsidRPr="006E187F">
              <w:t>C</w:t>
            </w:r>
            <w:r w:rsidRPr="006E187F">
              <w:t>ycles 4-8, 3 week cycles), and then every 4 weeks until disease progression or toxicity</w:t>
            </w:r>
          </w:p>
        </w:tc>
        <w:tc>
          <w:tcPr>
            <w:tcW w:w="1123" w:type="pct"/>
            <w:shd w:val="clear" w:color="auto" w:fill="auto"/>
            <w:vAlign w:val="center"/>
          </w:tcPr>
          <w:p w:rsidR="008153D7" w:rsidRPr="006E187F" w:rsidRDefault="008153D7" w:rsidP="005B76A8">
            <w:pPr>
              <w:pStyle w:val="TableText0"/>
            </w:pPr>
            <w:r w:rsidRPr="006E187F">
              <w:t>Once weekly (</w:t>
            </w:r>
            <w:r w:rsidR="005B76A8" w:rsidRPr="006E187F">
              <w:t>C</w:t>
            </w:r>
            <w:r w:rsidRPr="006E187F">
              <w:t>ycles 1 and 2), every 2 weeks (</w:t>
            </w:r>
            <w:r w:rsidR="005B76A8" w:rsidRPr="006E187F">
              <w:t>C</w:t>
            </w:r>
            <w:r w:rsidRPr="006E187F">
              <w:t>ycles 3–6), and then every 4 weeks until progressive disease or toxicity.</w:t>
            </w:r>
          </w:p>
        </w:tc>
        <w:tc>
          <w:tcPr>
            <w:tcW w:w="970" w:type="pct"/>
            <w:shd w:val="clear" w:color="auto" w:fill="auto"/>
            <w:vAlign w:val="center"/>
          </w:tcPr>
          <w:p w:rsidR="008153D7" w:rsidRPr="006E187F" w:rsidRDefault="008153D7" w:rsidP="005B76A8">
            <w:pPr>
              <w:pStyle w:val="TableText0"/>
            </w:pPr>
            <w:r w:rsidRPr="006E187F">
              <w:t>Once weekly (</w:t>
            </w:r>
            <w:r w:rsidR="005B76A8" w:rsidRPr="006E187F">
              <w:t>C</w:t>
            </w:r>
            <w:r w:rsidRPr="006E187F">
              <w:t>ycles 1-3, 3-week cycles), every 3 weeks (</w:t>
            </w:r>
            <w:r w:rsidR="005B76A8" w:rsidRPr="006E187F">
              <w:t>C</w:t>
            </w:r>
            <w:r w:rsidRPr="006E187F">
              <w:t>ycles 4-8, 3 week cycles), and then every 4 weeks until disease progression or toxicity</w:t>
            </w:r>
          </w:p>
        </w:tc>
      </w:tr>
      <w:tr w:rsidR="00810081" w:rsidRPr="006E187F" w:rsidTr="005B76A8">
        <w:trPr>
          <w:cantSplit/>
          <w:jc w:val="center"/>
        </w:trPr>
        <w:tc>
          <w:tcPr>
            <w:tcW w:w="862" w:type="pct"/>
            <w:shd w:val="clear" w:color="auto" w:fill="auto"/>
            <w:vAlign w:val="center"/>
          </w:tcPr>
          <w:p w:rsidR="00810081" w:rsidRPr="006E187F" w:rsidRDefault="00810081" w:rsidP="00BB732D">
            <w:pPr>
              <w:pStyle w:val="TableText0"/>
            </w:pPr>
            <w:r w:rsidRPr="006E187F">
              <w:t>Mean dose</w:t>
            </w:r>
          </w:p>
        </w:tc>
        <w:tc>
          <w:tcPr>
            <w:tcW w:w="1101" w:type="pct"/>
            <w:shd w:val="clear" w:color="auto" w:fill="auto"/>
            <w:vAlign w:val="center"/>
          </w:tcPr>
          <w:p w:rsidR="00810081" w:rsidRPr="006E187F" w:rsidRDefault="008153D7" w:rsidP="00BB732D">
            <w:pPr>
              <w:pStyle w:val="TableText0"/>
              <w:jc w:val="center"/>
            </w:pPr>
            <w:r w:rsidRPr="006E187F">
              <w:t>1,800 mg</w:t>
            </w:r>
          </w:p>
        </w:tc>
        <w:tc>
          <w:tcPr>
            <w:tcW w:w="944" w:type="pct"/>
            <w:shd w:val="clear" w:color="auto" w:fill="auto"/>
            <w:vAlign w:val="center"/>
          </w:tcPr>
          <w:p w:rsidR="00810081" w:rsidRPr="006E187F" w:rsidRDefault="00810081" w:rsidP="00BB732D">
            <w:pPr>
              <w:pStyle w:val="TableText0"/>
              <w:jc w:val="center"/>
            </w:pPr>
            <w:r w:rsidRPr="006E187F">
              <w:t>1,800 mg</w:t>
            </w:r>
          </w:p>
        </w:tc>
        <w:tc>
          <w:tcPr>
            <w:tcW w:w="1123" w:type="pct"/>
            <w:shd w:val="clear" w:color="auto" w:fill="auto"/>
            <w:vAlign w:val="center"/>
          </w:tcPr>
          <w:p w:rsidR="00810081" w:rsidRPr="006E187F" w:rsidRDefault="008153D7" w:rsidP="00BB732D">
            <w:pPr>
              <w:pStyle w:val="TableText0"/>
              <w:jc w:val="center"/>
            </w:pPr>
            <w:r w:rsidRPr="006E187F">
              <w:t>1,200 mg</w:t>
            </w:r>
          </w:p>
        </w:tc>
        <w:tc>
          <w:tcPr>
            <w:tcW w:w="970" w:type="pct"/>
            <w:shd w:val="clear" w:color="auto" w:fill="auto"/>
            <w:vAlign w:val="center"/>
          </w:tcPr>
          <w:p w:rsidR="00810081" w:rsidRPr="006E187F" w:rsidRDefault="00810081" w:rsidP="00BB732D">
            <w:pPr>
              <w:pStyle w:val="TableText0"/>
              <w:jc w:val="center"/>
            </w:pPr>
            <w:r w:rsidRPr="006E187F">
              <w:t>1,200 mg</w:t>
            </w:r>
          </w:p>
        </w:tc>
      </w:tr>
      <w:tr w:rsidR="00810081" w:rsidRPr="006E187F" w:rsidTr="005B76A8">
        <w:trPr>
          <w:cantSplit/>
          <w:jc w:val="center"/>
        </w:trPr>
        <w:tc>
          <w:tcPr>
            <w:tcW w:w="862" w:type="pct"/>
            <w:shd w:val="clear" w:color="auto" w:fill="auto"/>
            <w:vAlign w:val="center"/>
          </w:tcPr>
          <w:p w:rsidR="00810081" w:rsidRPr="006E187F" w:rsidRDefault="00810081" w:rsidP="00BB732D">
            <w:pPr>
              <w:pStyle w:val="TableText0"/>
            </w:pPr>
            <w:r w:rsidRPr="006E187F">
              <w:t>Mean duration</w:t>
            </w:r>
          </w:p>
        </w:tc>
        <w:tc>
          <w:tcPr>
            <w:tcW w:w="1101" w:type="pct"/>
            <w:shd w:val="clear" w:color="auto" w:fill="auto"/>
            <w:vAlign w:val="center"/>
          </w:tcPr>
          <w:p w:rsidR="00810081" w:rsidRPr="006E187F" w:rsidRDefault="00810081" w:rsidP="00BB732D">
            <w:pPr>
              <w:pStyle w:val="TableText0"/>
              <w:jc w:val="center"/>
            </w:pPr>
            <w:r w:rsidRPr="006E187F">
              <w:t>6.7 months</w:t>
            </w:r>
          </w:p>
        </w:tc>
        <w:tc>
          <w:tcPr>
            <w:tcW w:w="944" w:type="pct"/>
            <w:shd w:val="clear" w:color="auto" w:fill="auto"/>
            <w:vAlign w:val="center"/>
          </w:tcPr>
          <w:p w:rsidR="00810081" w:rsidRPr="006E187F" w:rsidRDefault="00810081" w:rsidP="00BB732D">
            <w:pPr>
              <w:pStyle w:val="TableText0"/>
              <w:jc w:val="center"/>
            </w:pPr>
            <w:r w:rsidRPr="006E187F">
              <w:t>NR</w:t>
            </w:r>
          </w:p>
        </w:tc>
        <w:tc>
          <w:tcPr>
            <w:tcW w:w="1123" w:type="pct"/>
            <w:shd w:val="clear" w:color="auto" w:fill="auto"/>
            <w:vAlign w:val="center"/>
          </w:tcPr>
          <w:p w:rsidR="00810081" w:rsidRPr="006E187F" w:rsidRDefault="00810081" w:rsidP="00BB732D">
            <w:pPr>
              <w:pStyle w:val="TableText0"/>
              <w:jc w:val="center"/>
            </w:pPr>
            <w:r w:rsidRPr="006E187F">
              <w:t>6.9 months</w:t>
            </w:r>
          </w:p>
        </w:tc>
        <w:tc>
          <w:tcPr>
            <w:tcW w:w="970" w:type="pct"/>
            <w:shd w:val="clear" w:color="auto" w:fill="auto"/>
            <w:vAlign w:val="center"/>
          </w:tcPr>
          <w:p w:rsidR="00810081" w:rsidRPr="006E187F" w:rsidRDefault="00810081" w:rsidP="00BB732D">
            <w:pPr>
              <w:pStyle w:val="TableText0"/>
              <w:jc w:val="center"/>
            </w:pPr>
            <w:r w:rsidRPr="006E187F">
              <w:t>NR</w:t>
            </w:r>
          </w:p>
        </w:tc>
      </w:tr>
      <w:tr w:rsidR="00810081" w:rsidRPr="006E187F" w:rsidTr="005B76A8">
        <w:trPr>
          <w:cantSplit/>
          <w:jc w:val="center"/>
        </w:trPr>
        <w:tc>
          <w:tcPr>
            <w:tcW w:w="862" w:type="pct"/>
            <w:shd w:val="clear" w:color="auto" w:fill="auto"/>
            <w:vAlign w:val="center"/>
          </w:tcPr>
          <w:p w:rsidR="00810081" w:rsidRPr="006E187F" w:rsidRDefault="00810081" w:rsidP="001E165E">
            <w:pPr>
              <w:pStyle w:val="TableText0"/>
            </w:pPr>
            <w:r w:rsidRPr="006E187F">
              <w:t>Median duration</w:t>
            </w:r>
          </w:p>
        </w:tc>
        <w:tc>
          <w:tcPr>
            <w:tcW w:w="1101" w:type="pct"/>
            <w:shd w:val="clear" w:color="auto" w:fill="auto"/>
            <w:vAlign w:val="center"/>
          </w:tcPr>
          <w:p w:rsidR="00810081" w:rsidRPr="006E187F" w:rsidRDefault="00810081" w:rsidP="00BB732D">
            <w:pPr>
              <w:pStyle w:val="TableText0"/>
              <w:jc w:val="center"/>
            </w:pPr>
            <w:r w:rsidRPr="006E187F">
              <w:t>5.5 months</w:t>
            </w:r>
          </w:p>
        </w:tc>
        <w:tc>
          <w:tcPr>
            <w:tcW w:w="944" w:type="pct"/>
            <w:shd w:val="clear" w:color="auto" w:fill="auto"/>
            <w:vAlign w:val="center"/>
          </w:tcPr>
          <w:p w:rsidR="00810081" w:rsidRPr="006E187F" w:rsidRDefault="00810081" w:rsidP="00BB732D">
            <w:pPr>
              <w:pStyle w:val="TableText0"/>
              <w:jc w:val="center"/>
            </w:pPr>
            <w:r w:rsidRPr="006E187F">
              <w:t>NR</w:t>
            </w:r>
          </w:p>
        </w:tc>
        <w:tc>
          <w:tcPr>
            <w:tcW w:w="1123" w:type="pct"/>
            <w:shd w:val="clear" w:color="auto" w:fill="auto"/>
            <w:vAlign w:val="center"/>
          </w:tcPr>
          <w:p w:rsidR="00810081" w:rsidRPr="006E187F" w:rsidRDefault="00810081" w:rsidP="00BB732D">
            <w:pPr>
              <w:pStyle w:val="TableText0"/>
              <w:jc w:val="center"/>
            </w:pPr>
            <w:r w:rsidRPr="006E187F">
              <w:t>6.0 months</w:t>
            </w:r>
          </w:p>
        </w:tc>
        <w:tc>
          <w:tcPr>
            <w:tcW w:w="970" w:type="pct"/>
            <w:shd w:val="clear" w:color="auto" w:fill="auto"/>
            <w:vAlign w:val="center"/>
          </w:tcPr>
          <w:p w:rsidR="00810081" w:rsidRPr="006E187F" w:rsidRDefault="00810081" w:rsidP="00BB732D">
            <w:pPr>
              <w:pStyle w:val="TableText0"/>
              <w:jc w:val="center"/>
            </w:pPr>
            <w:r w:rsidRPr="006E187F">
              <w:t>NR</w:t>
            </w:r>
          </w:p>
        </w:tc>
      </w:tr>
      <w:tr w:rsidR="00810081" w:rsidRPr="006E187F" w:rsidTr="005B76A8">
        <w:trPr>
          <w:cantSplit/>
          <w:jc w:val="center"/>
        </w:trPr>
        <w:tc>
          <w:tcPr>
            <w:tcW w:w="862" w:type="pct"/>
            <w:shd w:val="clear" w:color="auto" w:fill="auto"/>
            <w:vAlign w:val="center"/>
          </w:tcPr>
          <w:p w:rsidR="00810081" w:rsidRPr="006E187F" w:rsidRDefault="00810081" w:rsidP="001E165E">
            <w:pPr>
              <w:pStyle w:val="TableText0"/>
            </w:pPr>
            <w:r w:rsidRPr="006E187F">
              <w:t>Cost/patient/cycle</w:t>
            </w:r>
          </w:p>
        </w:tc>
        <w:tc>
          <w:tcPr>
            <w:tcW w:w="1101" w:type="pct"/>
            <w:shd w:val="clear" w:color="auto" w:fill="auto"/>
            <w:vAlign w:val="center"/>
          </w:tcPr>
          <w:p w:rsidR="008153D7" w:rsidRPr="006E187F" w:rsidRDefault="008153D7" w:rsidP="008153D7">
            <w:pPr>
              <w:pStyle w:val="TableText0"/>
              <w:jc w:val="center"/>
            </w:pPr>
            <w:r w:rsidRPr="006E187F">
              <w:t>Cycle 1-</w:t>
            </w:r>
            <w:r w:rsidR="0086274D" w:rsidRPr="006E187F">
              <w:t>2</w:t>
            </w:r>
            <w:r w:rsidRPr="006E187F">
              <w:t>: $</w:t>
            </w:r>
            <w:r w:rsidR="00733F84">
              <w:rPr>
                <w:noProof/>
                <w:color w:val="000000"/>
                <w:highlight w:val="black"/>
              </w:rPr>
              <w:t>'''''''''''''''''''''</w:t>
            </w:r>
          </w:p>
          <w:p w:rsidR="008153D7" w:rsidRPr="006E187F" w:rsidRDefault="008153D7" w:rsidP="008153D7">
            <w:pPr>
              <w:pStyle w:val="TableText0"/>
              <w:jc w:val="center"/>
            </w:pPr>
            <w:r w:rsidRPr="006E187F">
              <w:t xml:space="preserve">Cycle </w:t>
            </w:r>
            <w:r w:rsidR="0086274D" w:rsidRPr="006E187F">
              <w:t>3</w:t>
            </w:r>
            <w:r w:rsidRPr="006E187F">
              <w:t>-</w:t>
            </w:r>
            <w:r w:rsidR="0086274D" w:rsidRPr="006E187F">
              <w:t>6</w:t>
            </w:r>
            <w:r w:rsidRPr="006E187F">
              <w:t>: $</w:t>
            </w:r>
            <w:r w:rsidR="00733F84">
              <w:rPr>
                <w:noProof/>
                <w:color w:val="000000"/>
                <w:highlight w:val="black"/>
              </w:rPr>
              <w:t>'''''''''''''''''''''''''</w:t>
            </w:r>
          </w:p>
          <w:p w:rsidR="00810081" w:rsidRPr="006E187F" w:rsidRDefault="008153D7" w:rsidP="00484655">
            <w:pPr>
              <w:pStyle w:val="TableText0"/>
              <w:jc w:val="center"/>
            </w:pPr>
            <w:r w:rsidRPr="006E187F">
              <w:t xml:space="preserve">Cycle </w:t>
            </w:r>
            <w:r w:rsidR="0086274D" w:rsidRPr="006E187F">
              <w:t>7</w:t>
            </w:r>
            <w:r w:rsidR="00484655" w:rsidRPr="006E187F">
              <w:t>+</w:t>
            </w:r>
            <w:r w:rsidRPr="006E187F">
              <w:t>: $</w:t>
            </w:r>
            <w:r w:rsidR="00733F84">
              <w:rPr>
                <w:noProof/>
                <w:color w:val="000000"/>
                <w:highlight w:val="black"/>
              </w:rPr>
              <w:t>'''''''''''''''''''''</w:t>
            </w:r>
          </w:p>
        </w:tc>
        <w:tc>
          <w:tcPr>
            <w:tcW w:w="944" w:type="pct"/>
            <w:shd w:val="clear" w:color="auto" w:fill="auto"/>
            <w:vAlign w:val="center"/>
          </w:tcPr>
          <w:p w:rsidR="00810081" w:rsidRPr="006E187F" w:rsidRDefault="00810081" w:rsidP="00810081">
            <w:pPr>
              <w:pStyle w:val="TableText0"/>
              <w:jc w:val="center"/>
            </w:pPr>
            <w:r w:rsidRPr="006E187F">
              <w:t>Cycle 1-3: $</w:t>
            </w:r>
            <w:r w:rsidR="00733F84">
              <w:rPr>
                <w:noProof/>
                <w:color w:val="000000"/>
                <w:highlight w:val="black"/>
              </w:rPr>
              <w:t>'''''''''''''''''''''''</w:t>
            </w:r>
          </w:p>
          <w:p w:rsidR="00810081" w:rsidRPr="006E187F" w:rsidRDefault="00810081" w:rsidP="00810081">
            <w:pPr>
              <w:pStyle w:val="TableText0"/>
              <w:jc w:val="center"/>
            </w:pPr>
            <w:r w:rsidRPr="006E187F">
              <w:t>Cycle 4-8: $</w:t>
            </w:r>
            <w:r w:rsidR="00733F84">
              <w:rPr>
                <w:noProof/>
                <w:color w:val="000000"/>
                <w:highlight w:val="black"/>
              </w:rPr>
              <w:t>'''''''''''''''''''''''''</w:t>
            </w:r>
          </w:p>
          <w:p w:rsidR="00810081" w:rsidRPr="006E187F" w:rsidRDefault="00810081" w:rsidP="00484655">
            <w:pPr>
              <w:pStyle w:val="TableText0"/>
              <w:jc w:val="center"/>
            </w:pPr>
            <w:r w:rsidRPr="006E187F">
              <w:t>Cycle 9</w:t>
            </w:r>
            <w:r w:rsidR="00484655" w:rsidRPr="006E187F">
              <w:t>+</w:t>
            </w:r>
            <w:r w:rsidRPr="006E187F">
              <w:t>: $</w:t>
            </w:r>
            <w:r w:rsidR="00733F84">
              <w:rPr>
                <w:noProof/>
                <w:color w:val="000000"/>
                <w:highlight w:val="black"/>
              </w:rPr>
              <w:t>'''''''''''''''''''''</w:t>
            </w:r>
          </w:p>
        </w:tc>
        <w:tc>
          <w:tcPr>
            <w:tcW w:w="1123" w:type="pct"/>
            <w:shd w:val="clear" w:color="auto" w:fill="auto"/>
            <w:vAlign w:val="center"/>
          </w:tcPr>
          <w:p w:rsidR="008153D7" w:rsidRPr="006E187F" w:rsidRDefault="008153D7" w:rsidP="008153D7">
            <w:pPr>
              <w:pStyle w:val="TableText0"/>
              <w:jc w:val="center"/>
            </w:pPr>
            <w:r w:rsidRPr="006E187F">
              <w:t>Cycle 1-</w:t>
            </w:r>
            <w:r w:rsidR="0086274D" w:rsidRPr="006E187F">
              <w:t>2</w:t>
            </w:r>
            <w:r w:rsidRPr="006E187F">
              <w:t>: $</w:t>
            </w:r>
            <w:r w:rsidR="00733F84">
              <w:rPr>
                <w:noProof/>
                <w:color w:val="000000"/>
                <w:highlight w:val="black"/>
              </w:rPr>
              <w:t>''''''''''''''''''''''''</w:t>
            </w:r>
          </w:p>
          <w:p w:rsidR="008153D7" w:rsidRPr="006E187F" w:rsidRDefault="008153D7" w:rsidP="008153D7">
            <w:pPr>
              <w:pStyle w:val="TableText0"/>
              <w:jc w:val="center"/>
            </w:pPr>
            <w:r w:rsidRPr="006E187F">
              <w:t xml:space="preserve">Cycle </w:t>
            </w:r>
            <w:r w:rsidR="0086274D" w:rsidRPr="006E187F">
              <w:t>3</w:t>
            </w:r>
            <w:r w:rsidRPr="006E187F">
              <w:t>-</w:t>
            </w:r>
            <w:r w:rsidR="0086274D" w:rsidRPr="006E187F">
              <w:t>6</w:t>
            </w:r>
            <w:r w:rsidRPr="006E187F">
              <w:t>: $</w:t>
            </w:r>
            <w:r w:rsidR="00733F84">
              <w:rPr>
                <w:noProof/>
                <w:color w:val="000000"/>
                <w:highlight w:val="black"/>
              </w:rPr>
              <w:t>'''''''''''''''''''''''''</w:t>
            </w:r>
          </w:p>
          <w:p w:rsidR="00810081" w:rsidRPr="006E187F" w:rsidRDefault="008153D7" w:rsidP="00484655">
            <w:pPr>
              <w:pStyle w:val="TableText0"/>
              <w:jc w:val="center"/>
            </w:pPr>
            <w:r w:rsidRPr="006E187F">
              <w:t xml:space="preserve">Cycle </w:t>
            </w:r>
            <w:r w:rsidR="00484655" w:rsidRPr="006E187F">
              <w:t>7+</w:t>
            </w:r>
            <w:r w:rsidRPr="006E187F">
              <w:t>: $</w:t>
            </w:r>
            <w:r w:rsidR="00733F84">
              <w:rPr>
                <w:noProof/>
                <w:color w:val="000000"/>
                <w:highlight w:val="black"/>
              </w:rPr>
              <w:t>'''''''''''''''''''''</w:t>
            </w:r>
          </w:p>
        </w:tc>
        <w:tc>
          <w:tcPr>
            <w:tcW w:w="970" w:type="pct"/>
            <w:shd w:val="clear" w:color="auto" w:fill="auto"/>
            <w:vAlign w:val="center"/>
          </w:tcPr>
          <w:p w:rsidR="00810081" w:rsidRPr="006E187F" w:rsidRDefault="00810081" w:rsidP="00810081">
            <w:pPr>
              <w:pStyle w:val="TableText0"/>
              <w:jc w:val="center"/>
            </w:pPr>
            <w:r w:rsidRPr="006E187F">
              <w:t>Cycle 1-3: $</w:t>
            </w:r>
            <w:r w:rsidR="00733F84">
              <w:rPr>
                <w:noProof/>
                <w:color w:val="000000"/>
                <w:highlight w:val="black"/>
              </w:rPr>
              <w:t>''''''''''''''''''''''</w:t>
            </w:r>
          </w:p>
          <w:p w:rsidR="00810081" w:rsidRPr="006E187F" w:rsidRDefault="00810081" w:rsidP="00810081">
            <w:pPr>
              <w:pStyle w:val="TableText0"/>
              <w:jc w:val="center"/>
            </w:pPr>
            <w:r w:rsidRPr="006E187F">
              <w:t>Cycle 4-8: $</w:t>
            </w:r>
            <w:r w:rsidR="00733F84">
              <w:rPr>
                <w:noProof/>
                <w:color w:val="000000"/>
                <w:highlight w:val="black"/>
              </w:rPr>
              <w:t>''''''''''''''''''''''''</w:t>
            </w:r>
          </w:p>
          <w:p w:rsidR="00810081" w:rsidRPr="006E187F" w:rsidRDefault="00810081" w:rsidP="00484655">
            <w:pPr>
              <w:pStyle w:val="TableText0"/>
              <w:jc w:val="center"/>
            </w:pPr>
            <w:r w:rsidRPr="006E187F">
              <w:t>Cycle 9</w:t>
            </w:r>
            <w:r w:rsidR="00484655" w:rsidRPr="006E187F">
              <w:t>+</w:t>
            </w:r>
            <w:r w:rsidRPr="006E187F">
              <w:t>: $</w:t>
            </w:r>
            <w:r w:rsidR="00733F84">
              <w:rPr>
                <w:noProof/>
                <w:color w:val="000000"/>
                <w:highlight w:val="black"/>
              </w:rPr>
              <w:t>'''''''''''''''''''</w:t>
            </w:r>
          </w:p>
        </w:tc>
      </w:tr>
      <w:tr w:rsidR="008153D7" w:rsidRPr="006E187F" w:rsidTr="005B76A8">
        <w:trPr>
          <w:cantSplit/>
          <w:jc w:val="center"/>
        </w:trPr>
        <w:tc>
          <w:tcPr>
            <w:tcW w:w="862" w:type="pct"/>
            <w:shd w:val="clear" w:color="auto" w:fill="auto"/>
            <w:vAlign w:val="center"/>
          </w:tcPr>
          <w:p w:rsidR="008153D7" w:rsidRPr="006E187F" w:rsidRDefault="008153D7" w:rsidP="008153D7">
            <w:pPr>
              <w:pStyle w:val="TableText0"/>
            </w:pPr>
            <w:r w:rsidRPr="006E187F">
              <w:t>Cost/patient/year</w:t>
            </w:r>
          </w:p>
        </w:tc>
        <w:tc>
          <w:tcPr>
            <w:tcW w:w="1101" w:type="pct"/>
            <w:shd w:val="clear" w:color="auto" w:fill="auto"/>
          </w:tcPr>
          <w:p w:rsidR="008153D7" w:rsidRPr="006E187F" w:rsidRDefault="008153D7" w:rsidP="008153D7">
            <w:pPr>
              <w:pStyle w:val="TableText0"/>
              <w:jc w:val="center"/>
            </w:pPr>
            <w:r w:rsidRPr="006E187F">
              <w:t>$</w:t>
            </w:r>
            <w:r w:rsidR="00733F84">
              <w:rPr>
                <w:noProof/>
                <w:color w:val="000000"/>
                <w:highlight w:val="black"/>
              </w:rPr>
              <w:t>''''''''''''''''''''''''</w:t>
            </w:r>
          </w:p>
        </w:tc>
        <w:tc>
          <w:tcPr>
            <w:tcW w:w="944" w:type="pct"/>
            <w:shd w:val="clear" w:color="auto" w:fill="auto"/>
          </w:tcPr>
          <w:p w:rsidR="008153D7" w:rsidRPr="006E187F" w:rsidRDefault="008153D7" w:rsidP="008153D7">
            <w:pPr>
              <w:pStyle w:val="TableText0"/>
              <w:jc w:val="center"/>
            </w:pPr>
            <w:r w:rsidRPr="006E187F">
              <w:t>$</w:t>
            </w:r>
            <w:r w:rsidR="00733F84">
              <w:rPr>
                <w:noProof/>
                <w:color w:val="000000"/>
                <w:highlight w:val="black"/>
              </w:rPr>
              <w:t>''''''''''''''''''''''</w:t>
            </w:r>
          </w:p>
        </w:tc>
        <w:tc>
          <w:tcPr>
            <w:tcW w:w="1123" w:type="pct"/>
            <w:shd w:val="clear" w:color="auto" w:fill="auto"/>
          </w:tcPr>
          <w:p w:rsidR="008153D7" w:rsidRPr="006E187F" w:rsidRDefault="008153D7" w:rsidP="008153D7">
            <w:pPr>
              <w:pStyle w:val="TableText0"/>
              <w:jc w:val="center"/>
            </w:pPr>
            <w:r w:rsidRPr="006E187F">
              <w:t>$</w:t>
            </w:r>
            <w:r w:rsidR="00733F84">
              <w:rPr>
                <w:noProof/>
                <w:color w:val="000000"/>
                <w:highlight w:val="black"/>
              </w:rPr>
              <w:t>''''''''''''''''''''''''</w:t>
            </w:r>
          </w:p>
        </w:tc>
        <w:tc>
          <w:tcPr>
            <w:tcW w:w="970" w:type="pct"/>
            <w:shd w:val="clear" w:color="auto" w:fill="auto"/>
          </w:tcPr>
          <w:p w:rsidR="008153D7" w:rsidRPr="006E187F" w:rsidRDefault="008153D7" w:rsidP="008153D7">
            <w:pPr>
              <w:pStyle w:val="TableText0"/>
              <w:jc w:val="center"/>
            </w:pPr>
            <w:r w:rsidRPr="006E187F">
              <w:t>$</w:t>
            </w:r>
            <w:r w:rsidR="00733F84">
              <w:rPr>
                <w:noProof/>
                <w:color w:val="000000"/>
                <w:highlight w:val="black"/>
              </w:rPr>
              <w:t>'''''''''''''''''''''''''</w:t>
            </w:r>
          </w:p>
        </w:tc>
      </w:tr>
    </w:tbl>
    <w:p w:rsidR="00494207" w:rsidRPr="006E187F" w:rsidRDefault="00494207" w:rsidP="00C94053">
      <w:pPr>
        <w:pStyle w:val="TableFigureFooter"/>
      </w:pPr>
      <w:r w:rsidRPr="006E187F">
        <w:t xml:space="preserve">Source: </w:t>
      </w:r>
      <w:r w:rsidR="00F12911" w:rsidRPr="006E187F">
        <w:t>Tab</w:t>
      </w:r>
      <w:r w:rsidR="00AA41A7" w:rsidRPr="006E187F">
        <w:t>le 2.12</w:t>
      </w:r>
      <w:r w:rsidR="00B33D96">
        <w:t xml:space="preserve"> </w:t>
      </w:r>
      <w:r w:rsidR="00AA41A7" w:rsidRPr="006E187F">
        <w:t xml:space="preserve">of the submission </w:t>
      </w:r>
      <w:r w:rsidR="00AA41A7" w:rsidRPr="004D2DFC">
        <w:rPr>
          <w:iCs/>
        </w:rPr>
        <w:t>and calculated during the evaluation.</w:t>
      </w:r>
    </w:p>
    <w:p w:rsidR="00E926AA" w:rsidRPr="006E187F" w:rsidRDefault="00E926AA" w:rsidP="00E926AA">
      <w:pPr>
        <w:pStyle w:val="TableFigureFooter"/>
      </w:pPr>
      <w:r w:rsidRPr="006E187F">
        <w:rPr>
          <w:vertAlign w:val="superscript"/>
        </w:rPr>
        <w:t>a</w:t>
      </w:r>
      <w:r w:rsidRPr="006E187F">
        <w:t xml:space="preserve"> Assuming 23 prescriptions per year (2 initial cycles (8 scripts in Cycle 1-2) and 10 continuing cycles (8 scripts in Cycle 3-6 and 7 scripts in Cycle 7 to 13) in COLUMBA.</w:t>
      </w:r>
    </w:p>
    <w:p w:rsidR="008153D7" w:rsidRPr="006E187F" w:rsidRDefault="00E926AA" w:rsidP="00C94053">
      <w:pPr>
        <w:pStyle w:val="TableFigureFooter"/>
      </w:pPr>
      <w:r w:rsidRPr="006E187F">
        <w:rPr>
          <w:vertAlign w:val="superscript"/>
        </w:rPr>
        <w:t>b</w:t>
      </w:r>
      <w:r w:rsidR="008153D7" w:rsidRPr="006E187F">
        <w:t xml:space="preserve"> Assuming 21 </w:t>
      </w:r>
      <w:r w:rsidRPr="006E187F">
        <w:t>pre</w:t>
      </w:r>
      <w:r w:rsidR="008153D7" w:rsidRPr="006E187F">
        <w:t>script</w:t>
      </w:r>
      <w:r w:rsidRPr="006E187F">
        <w:t>ion</w:t>
      </w:r>
      <w:r w:rsidR="008153D7" w:rsidRPr="006E187F">
        <w:t>s per year (3 initial cycles (9 scripts in Cycle 1-3) and 10 continuing cycles (5 scripts in Cycle 4-8 and 7 scripts in Cycle 9-14).</w:t>
      </w:r>
    </w:p>
    <w:p w:rsidR="00224D7F" w:rsidRPr="006E187F" w:rsidRDefault="00224D7F" w:rsidP="008153D7">
      <w:pPr>
        <w:pStyle w:val="TableFigureFooter"/>
      </w:pPr>
      <w:r w:rsidRPr="006E187F">
        <w:t xml:space="preserve">CMA = cost-minimisation analysis; </w:t>
      </w:r>
      <w:r w:rsidR="00856210" w:rsidRPr="006E187F">
        <w:t xml:space="preserve">IV = intravenous; </w:t>
      </w:r>
      <w:r w:rsidRPr="006E187F">
        <w:t>NR = not reported</w:t>
      </w:r>
      <w:r w:rsidR="00856210" w:rsidRPr="006E187F">
        <w:t>; SC</w:t>
      </w:r>
      <w:r w:rsidR="000E23D5" w:rsidRPr="006E187F">
        <w:t xml:space="preserve"> </w:t>
      </w:r>
      <w:r w:rsidR="00856210" w:rsidRPr="006E187F">
        <w:t>= subcutaneous</w:t>
      </w:r>
      <w:r w:rsidRPr="006E187F">
        <w:t>.</w:t>
      </w:r>
    </w:p>
    <w:p w:rsidR="008153D7" w:rsidRPr="006E187F" w:rsidRDefault="008153D7" w:rsidP="00C94053">
      <w:pPr>
        <w:pStyle w:val="TableFigureFooter"/>
      </w:pPr>
    </w:p>
    <w:p w:rsidR="00CD5F08" w:rsidRPr="006E187F" w:rsidRDefault="00CD5F08" w:rsidP="002B05A1">
      <w:pPr>
        <w:pStyle w:val="3-BodyText"/>
        <w:rPr>
          <w:snapToGrid/>
        </w:rPr>
      </w:pPr>
      <w:r w:rsidRPr="006E187F">
        <w:rPr>
          <w:snapToGrid/>
        </w:rPr>
        <w:t>The annual cost of daratumumab SC is $</w:t>
      </w:r>
      <w:r w:rsidR="00733F84">
        <w:rPr>
          <w:noProof/>
          <w:snapToGrid/>
          <w:color w:val="000000"/>
          <w:highlight w:val="black"/>
        </w:rPr>
        <w:t>'''''''''''''''''</w:t>
      </w:r>
      <w:r w:rsidRPr="006E187F">
        <w:rPr>
          <w:snapToGrid/>
        </w:rPr>
        <w:t xml:space="preserve"> </w:t>
      </w:r>
      <w:r w:rsidR="000E23D5" w:rsidRPr="006E187F">
        <w:rPr>
          <w:snapToGrid/>
        </w:rPr>
        <w:t xml:space="preserve"> </w:t>
      </w:r>
      <w:r w:rsidRPr="006E187F">
        <w:rPr>
          <w:snapToGrid/>
        </w:rPr>
        <w:t>per patient, based on the proposed DPMQ of $</w:t>
      </w:r>
      <w:r w:rsidR="00733F84">
        <w:rPr>
          <w:noProof/>
          <w:snapToGrid/>
          <w:color w:val="000000"/>
          <w:highlight w:val="black"/>
        </w:rPr>
        <w:t>'''''''''''''''</w:t>
      </w:r>
      <w:r w:rsidRPr="006E187F">
        <w:rPr>
          <w:snapToGrid/>
        </w:rPr>
        <w:t xml:space="preserve"> and </w:t>
      </w:r>
      <w:r w:rsidR="004C7FE6" w:rsidRPr="006E187F">
        <w:rPr>
          <w:snapToGrid/>
        </w:rPr>
        <w:t>2</w:t>
      </w:r>
      <w:r w:rsidR="00B56D56" w:rsidRPr="006E187F">
        <w:rPr>
          <w:snapToGrid/>
        </w:rPr>
        <w:t>1</w:t>
      </w:r>
      <w:r w:rsidR="004C7FE6" w:rsidRPr="006E187F">
        <w:rPr>
          <w:snapToGrid/>
        </w:rPr>
        <w:t xml:space="preserve"> </w:t>
      </w:r>
      <w:r w:rsidR="00E926AA" w:rsidRPr="006E187F">
        <w:rPr>
          <w:snapToGrid/>
        </w:rPr>
        <w:t>pre</w:t>
      </w:r>
      <w:r w:rsidR="00CF3763" w:rsidRPr="006E187F">
        <w:rPr>
          <w:snapToGrid/>
        </w:rPr>
        <w:t>script</w:t>
      </w:r>
      <w:r w:rsidR="00E926AA" w:rsidRPr="006E187F">
        <w:rPr>
          <w:snapToGrid/>
        </w:rPr>
        <w:t>ion</w:t>
      </w:r>
      <w:r w:rsidR="00CF3763" w:rsidRPr="006E187F">
        <w:rPr>
          <w:snapToGrid/>
        </w:rPr>
        <w:t>s</w:t>
      </w:r>
      <w:r w:rsidR="00B56D56" w:rsidRPr="006E187F">
        <w:rPr>
          <w:snapToGrid/>
        </w:rPr>
        <w:t xml:space="preserve"> per year</w:t>
      </w:r>
      <w:r w:rsidR="004C7FE6" w:rsidRPr="006E187F">
        <w:rPr>
          <w:snapToGrid/>
        </w:rPr>
        <w:t xml:space="preserve"> (3 initial cycles (9 </w:t>
      </w:r>
      <w:r w:rsidR="00E926AA" w:rsidRPr="006E187F">
        <w:rPr>
          <w:snapToGrid/>
        </w:rPr>
        <w:t>pre</w:t>
      </w:r>
      <w:r w:rsidR="00CF3763" w:rsidRPr="006E187F">
        <w:rPr>
          <w:snapToGrid/>
        </w:rPr>
        <w:t>script</w:t>
      </w:r>
      <w:r w:rsidR="00E926AA" w:rsidRPr="006E187F">
        <w:rPr>
          <w:snapToGrid/>
        </w:rPr>
        <w:t>ion</w:t>
      </w:r>
      <w:r w:rsidR="00CF3763" w:rsidRPr="006E187F">
        <w:rPr>
          <w:snapToGrid/>
        </w:rPr>
        <w:t>s</w:t>
      </w:r>
      <w:r w:rsidR="00B56D56" w:rsidRPr="006E187F">
        <w:rPr>
          <w:snapToGrid/>
        </w:rPr>
        <w:t xml:space="preserve"> in Cycle 1-3</w:t>
      </w:r>
      <w:r w:rsidR="004C7FE6" w:rsidRPr="006E187F">
        <w:rPr>
          <w:snapToGrid/>
        </w:rPr>
        <w:t xml:space="preserve">) and 10 continuing cycles </w:t>
      </w:r>
      <w:r w:rsidR="00B56D56" w:rsidRPr="006E187F">
        <w:rPr>
          <w:snapToGrid/>
        </w:rPr>
        <w:t xml:space="preserve">(5 </w:t>
      </w:r>
      <w:r w:rsidR="00E926AA" w:rsidRPr="006E187F">
        <w:rPr>
          <w:snapToGrid/>
        </w:rPr>
        <w:t>pre</w:t>
      </w:r>
      <w:r w:rsidR="00CF3763" w:rsidRPr="006E187F">
        <w:rPr>
          <w:snapToGrid/>
        </w:rPr>
        <w:t>script</w:t>
      </w:r>
      <w:r w:rsidR="00E926AA" w:rsidRPr="006E187F">
        <w:rPr>
          <w:snapToGrid/>
        </w:rPr>
        <w:t>ion</w:t>
      </w:r>
      <w:r w:rsidR="00CF3763" w:rsidRPr="006E187F">
        <w:rPr>
          <w:snapToGrid/>
        </w:rPr>
        <w:t>s</w:t>
      </w:r>
      <w:r w:rsidR="00B56D56" w:rsidRPr="006E187F">
        <w:rPr>
          <w:snapToGrid/>
        </w:rPr>
        <w:t xml:space="preserve"> in Cycle 4-8 and 7 </w:t>
      </w:r>
      <w:r w:rsidR="00E926AA" w:rsidRPr="006E187F">
        <w:rPr>
          <w:snapToGrid/>
        </w:rPr>
        <w:t>pre</w:t>
      </w:r>
      <w:r w:rsidR="00CF3763" w:rsidRPr="006E187F">
        <w:rPr>
          <w:snapToGrid/>
        </w:rPr>
        <w:t>script</w:t>
      </w:r>
      <w:r w:rsidR="00E926AA" w:rsidRPr="006E187F">
        <w:rPr>
          <w:snapToGrid/>
        </w:rPr>
        <w:t>ion</w:t>
      </w:r>
      <w:r w:rsidR="00CF3763" w:rsidRPr="006E187F">
        <w:rPr>
          <w:snapToGrid/>
        </w:rPr>
        <w:t>s</w:t>
      </w:r>
      <w:r w:rsidR="00B56D56" w:rsidRPr="006E187F">
        <w:rPr>
          <w:snapToGrid/>
        </w:rPr>
        <w:t xml:space="preserve"> in Cycle 9-14). </w:t>
      </w:r>
    </w:p>
    <w:p w:rsidR="00B60939" w:rsidRPr="006E187F" w:rsidRDefault="00B60939" w:rsidP="002B05A1">
      <w:pPr>
        <w:pStyle w:val="4-SubsectionHeading"/>
      </w:pPr>
      <w:bookmarkStart w:id="23" w:name="_Toc22897647"/>
      <w:bookmarkStart w:id="24" w:name="_Toc72246600"/>
      <w:r w:rsidRPr="006E187F">
        <w:t>Estimated PBS usage &amp; financial implications</w:t>
      </w:r>
      <w:bookmarkEnd w:id="23"/>
      <w:bookmarkEnd w:id="24"/>
    </w:p>
    <w:p w:rsidR="0072416F" w:rsidRPr="006E187F" w:rsidRDefault="00FF2368" w:rsidP="006B20A8">
      <w:pPr>
        <w:pStyle w:val="3-BodyText"/>
      </w:pPr>
      <w:r>
        <w:t>DUSC did not consider t</w:t>
      </w:r>
      <w:r w:rsidRPr="006E187F">
        <w:t xml:space="preserve">his </w:t>
      </w:r>
      <w:r w:rsidR="00C25D9C" w:rsidRPr="006E187F">
        <w:t>submission</w:t>
      </w:r>
      <w:r w:rsidR="006B20A8" w:rsidRPr="006E187F">
        <w:t xml:space="preserve">. </w:t>
      </w:r>
      <w:r>
        <w:t>The submission used a</w:t>
      </w:r>
      <w:r w:rsidRPr="006E187F">
        <w:t xml:space="preserve"> </w:t>
      </w:r>
      <w:r w:rsidR="006B20A8" w:rsidRPr="006E187F">
        <w:t xml:space="preserve">market share approach </w:t>
      </w:r>
      <w:r w:rsidR="00567B66" w:rsidRPr="006E187F">
        <w:t>to derive the utilisation estimates</w:t>
      </w:r>
      <w:r w:rsidR="006B20A8" w:rsidRPr="006E187F">
        <w:t>.</w:t>
      </w:r>
    </w:p>
    <w:p w:rsidR="005F62B3" w:rsidRPr="006E187F" w:rsidRDefault="00B83340" w:rsidP="005F62B3">
      <w:pPr>
        <w:pStyle w:val="TableFigureHeading"/>
      </w:pPr>
      <w:r w:rsidRPr="006E187F">
        <w:rPr>
          <w:rStyle w:val="CommentReference"/>
          <w:b/>
          <w:szCs w:val="24"/>
        </w:rPr>
        <w:t>Table 10</w:t>
      </w:r>
      <w:r w:rsidR="00E42F73" w:rsidRPr="006E187F">
        <w:rPr>
          <w:rStyle w:val="CommentReference"/>
          <w:b/>
          <w:szCs w:val="24"/>
        </w:rPr>
        <w:t>: Key inputs for financial estimates</w:t>
      </w:r>
      <w:bookmarkStart w:id="25" w:name="_GoBack"/>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11"/>
        <w:gridCol w:w="4353"/>
        <w:gridCol w:w="3353"/>
      </w:tblGrid>
      <w:tr w:rsidR="005F62B3" w:rsidRPr="006E187F" w:rsidTr="006B20A8">
        <w:trPr>
          <w:trHeight w:val="57"/>
          <w:tblHeader/>
        </w:trPr>
        <w:tc>
          <w:tcPr>
            <w:tcW w:w="727" w:type="pct"/>
            <w:vAlign w:val="center"/>
          </w:tcPr>
          <w:p w:rsidR="005F62B3" w:rsidRPr="006E187F" w:rsidRDefault="006B20A8" w:rsidP="003857F2">
            <w:pPr>
              <w:pStyle w:val="In-tableHeading"/>
              <w:jc w:val="center"/>
              <w:rPr>
                <w:lang w:val="en-AU"/>
              </w:rPr>
            </w:pPr>
            <w:r w:rsidRPr="006E187F">
              <w:rPr>
                <w:lang w:val="en-AU"/>
              </w:rPr>
              <w:t>Parameter</w:t>
            </w:r>
          </w:p>
        </w:tc>
        <w:tc>
          <w:tcPr>
            <w:tcW w:w="2414" w:type="pct"/>
            <w:vAlign w:val="center"/>
          </w:tcPr>
          <w:p w:rsidR="005F62B3" w:rsidRPr="006E187F" w:rsidRDefault="005F62B3" w:rsidP="005F62B3">
            <w:pPr>
              <w:pStyle w:val="In-tableHeading"/>
              <w:jc w:val="center"/>
              <w:rPr>
                <w:lang w:val="en-AU"/>
              </w:rPr>
            </w:pPr>
            <w:r w:rsidRPr="006E187F">
              <w:rPr>
                <w:lang w:val="en-AU"/>
              </w:rPr>
              <w:t>Value applied and source</w:t>
            </w:r>
          </w:p>
        </w:tc>
        <w:tc>
          <w:tcPr>
            <w:tcW w:w="1859" w:type="pct"/>
            <w:vAlign w:val="center"/>
          </w:tcPr>
          <w:p w:rsidR="005F62B3" w:rsidRPr="006E187F" w:rsidRDefault="005F62B3" w:rsidP="003857F2">
            <w:pPr>
              <w:pStyle w:val="In-tableHeading"/>
              <w:jc w:val="center"/>
              <w:rPr>
                <w:lang w:val="en-AU"/>
              </w:rPr>
            </w:pPr>
            <w:r w:rsidRPr="006E187F">
              <w:rPr>
                <w:lang w:val="en-AU"/>
              </w:rPr>
              <w:t>Comment</w:t>
            </w:r>
          </w:p>
        </w:tc>
      </w:tr>
      <w:tr w:rsidR="005F62B3" w:rsidRPr="006E187F" w:rsidTr="006B20A8">
        <w:trPr>
          <w:trHeight w:val="57"/>
        </w:trPr>
        <w:tc>
          <w:tcPr>
            <w:tcW w:w="727" w:type="pct"/>
            <w:vAlign w:val="center"/>
          </w:tcPr>
          <w:p w:rsidR="005F62B3" w:rsidRPr="006E187F" w:rsidRDefault="005F62B3" w:rsidP="003857F2">
            <w:pPr>
              <w:pStyle w:val="TableText0"/>
            </w:pPr>
            <w:r w:rsidRPr="006E187F">
              <w:t>Number of doses total</w:t>
            </w:r>
          </w:p>
        </w:tc>
        <w:tc>
          <w:tcPr>
            <w:tcW w:w="2414" w:type="pct"/>
            <w:vAlign w:val="center"/>
          </w:tcPr>
          <w:p w:rsidR="005F62B3" w:rsidRPr="006E187F" w:rsidRDefault="005F62B3" w:rsidP="003857F2">
            <w:pPr>
              <w:pStyle w:val="TableText0"/>
            </w:pPr>
            <w:r w:rsidRPr="006E187F">
              <w:t>DBd IV utilisation cost model based on Alternative case 2 in the DBd IV July 2020 PBAC submission post-recommendation negotiations of the RSA (Attachment 14)</w:t>
            </w:r>
          </w:p>
        </w:tc>
        <w:tc>
          <w:tcPr>
            <w:tcW w:w="1859" w:type="pct"/>
            <w:vAlign w:val="center"/>
          </w:tcPr>
          <w:p w:rsidR="005F62B3" w:rsidRPr="006E187F" w:rsidRDefault="005F62B3" w:rsidP="00E926AA">
            <w:pPr>
              <w:pStyle w:val="TableText0"/>
            </w:pPr>
            <w:r w:rsidRPr="006E187F">
              <w:t>This scenario was considered to best represent the current situation in July 2020 (paragraph 5.21, daratumumab, P</w:t>
            </w:r>
            <w:r w:rsidR="00E926AA" w:rsidRPr="006E187F">
              <w:t>SD</w:t>
            </w:r>
            <w:r w:rsidRPr="006E187F">
              <w:t xml:space="preserve">, July 2020). </w:t>
            </w:r>
          </w:p>
        </w:tc>
      </w:tr>
      <w:tr w:rsidR="005F62B3" w:rsidRPr="006E187F" w:rsidTr="006B20A8">
        <w:trPr>
          <w:trHeight w:val="57"/>
        </w:trPr>
        <w:tc>
          <w:tcPr>
            <w:tcW w:w="727" w:type="pct"/>
            <w:vAlign w:val="center"/>
          </w:tcPr>
          <w:p w:rsidR="005F62B3" w:rsidRPr="006E187F" w:rsidRDefault="005F62B3" w:rsidP="003857F2">
            <w:pPr>
              <w:pStyle w:val="TableText0"/>
            </w:pPr>
            <w:r w:rsidRPr="006E187F">
              <w:t>Uptake rate</w:t>
            </w:r>
          </w:p>
        </w:tc>
        <w:tc>
          <w:tcPr>
            <w:tcW w:w="2414" w:type="pct"/>
            <w:vAlign w:val="center"/>
          </w:tcPr>
          <w:p w:rsidR="005F62B3" w:rsidRPr="006E187F" w:rsidRDefault="005F62B3" w:rsidP="003857F2">
            <w:pPr>
              <w:pStyle w:val="TableText0"/>
            </w:pPr>
            <w:r w:rsidRPr="006E187F">
              <w:t>Y</w:t>
            </w:r>
            <w:r w:rsidR="00224D7F" w:rsidRPr="006E187F">
              <w:t>ea</w:t>
            </w:r>
            <w:r w:rsidRPr="006E187F">
              <w:t xml:space="preserve">r 1: 45%, </w:t>
            </w:r>
            <w:r w:rsidR="00CC3C0E" w:rsidRPr="006E187F">
              <w:br/>
            </w:r>
            <w:r w:rsidRPr="006E187F">
              <w:t>Y</w:t>
            </w:r>
            <w:r w:rsidR="00224D7F" w:rsidRPr="006E187F">
              <w:t>ea</w:t>
            </w:r>
            <w:r w:rsidRPr="006E187F">
              <w:t xml:space="preserve">r 2: 60%, </w:t>
            </w:r>
            <w:r w:rsidR="00CC3C0E" w:rsidRPr="006E187F">
              <w:br/>
            </w:r>
            <w:r w:rsidRPr="006E187F">
              <w:t>Y</w:t>
            </w:r>
            <w:r w:rsidR="00224D7F" w:rsidRPr="006E187F">
              <w:t>ea</w:t>
            </w:r>
            <w:r w:rsidRPr="006E187F">
              <w:t>r 3-Yr 6: 70%</w:t>
            </w:r>
          </w:p>
          <w:p w:rsidR="005F62B3" w:rsidRPr="006E187F" w:rsidRDefault="005F62B3" w:rsidP="003857F2">
            <w:pPr>
              <w:pStyle w:val="TableText0"/>
            </w:pPr>
            <w:r w:rsidRPr="006E187F">
              <w:t>Assumption</w:t>
            </w:r>
          </w:p>
        </w:tc>
        <w:tc>
          <w:tcPr>
            <w:tcW w:w="1859" w:type="pct"/>
            <w:vAlign w:val="center"/>
          </w:tcPr>
          <w:p w:rsidR="005F62B3" w:rsidRPr="006E187F" w:rsidRDefault="005F62B3" w:rsidP="000E23D5">
            <w:pPr>
              <w:pStyle w:val="TableText0"/>
            </w:pPr>
            <w:r w:rsidRPr="006E187F">
              <w:t xml:space="preserve">It is likely that the uptake of daratumumab SC will be higher than assumed by the submission. </w:t>
            </w:r>
          </w:p>
        </w:tc>
      </w:tr>
      <w:tr w:rsidR="005F62B3" w:rsidRPr="006E187F" w:rsidTr="006B20A8">
        <w:trPr>
          <w:trHeight w:val="57"/>
        </w:trPr>
        <w:tc>
          <w:tcPr>
            <w:tcW w:w="727" w:type="pct"/>
            <w:vAlign w:val="center"/>
          </w:tcPr>
          <w:p w:rsidR="005F62B3" w:rsidRPr="006E187F" w:rsidRDefault="005F62B3" w:rsidP="003857F2">
            <w:pPr>
              <w:pStyle w:val="TableText0"/>
            </w:pPr>
            <w:r w:rsidRPr="006E187F">
              <w:t>Scripts dispensed</w:t>
            </w:r>
          </w:p>
        </w:tc>
        <w:tc>
          <w:tcPr>
            <w:tcW w:w="2414" w:type="pct"/>
            <w:vAlign w:val="center"/>
          </w:tcPr>
          <w:p w:rsidR="005F62B3" w:rsidRPr="006E187F" w:rsidRDefault="005F62B3" w:rsidP="003857F2">
            <w:pPr>
              <w:pStyle w:val="TableText0"/>
            </w:pPr>
            <w:r w:rsidRPr="006E187F">
              <w:t xml:space="preserve">Number of </w:t>
            </w:r>
            <w:r w:rsidR="00E926AA" w:rsidRPr="006E187F">
              <w:t>pre</w:t>
            </w:r>
            <w:r w:rsidRPr="006E187F">
              <w:t>script</w:t>
            </w:r>
            <w:r w:rsidR="00E926AA" w:rsidRPr="006E187F">
              <w:t>ion</w:t>
            </w:r>
            <w:r w:rsidRPr="006E187F">
              <w:t xml:space="preserve">s equated to number of doses of daratumumab. </w:t>
            </w:r>
          </w:p>
        </w:tc>
        <w:tc>
          <w:tcPr>
            <w:tcW w:w="1859" w:type="pct"/>
            <w:vAlign w:val="center"/>
          </w:tcPr>
          <w:p w:rsidR="005F62B3" w:rsidRPr="006E187F" w:rsidRDefault="0053240D" w:rsidP="003857F2">
            <w:pPr>
              <w:pStyle w:val="TableText0"/>
            </w:pPr>
            <w:r>
              <w:t>-</w:t>
            </w:r>
          </w:p>
        </w:tc>
      </w:tr>
      <w:tr w:rsidR="005F62B3" w:rsidRPr="006E187F" w:rsidTr="006B20A8">
        <w:trPr>
          <w:trHeight w:val="57"/>
        </w:trPr>
        <w:tc>
          <w:tcPr>
            <w:tcW w:w="727" w:type="pct"/>
            <w:vAlign w:val="center"/>
          </w:tcPr>
          <w:p w:rsidR="005F62B3" w:rsidRPr="006E187F" w:rsidRDefault="005F62B3" w:rsidP="003857F2">
            <w:pPr>
              <w:pStyle w:val="TableText0"/>
            </w:pPr>
            <w:r w:rsidRPr="006E187F">
              <w:t>Daratumumab subcutaneous</w:t>
            </w:r>
          </w:p>
        </w:tc>
        <w:tc>
          <w:tcPr>
            <w:tcW w:w="2414" w:type="pct"/>
            <w:vAlign w:val="center"/>
          </w:tcPr>
          <w:p w:rsidR="005F62B3" w:rsidRPr="006E187F" w:rsidRDefault="006B20A8" w:rsidP="003857F2">
            <w:pPr>
              <w:pStyle w:val="TableText0"/>
            </w:pPr>
            <w:r w:rsidRPr="006E187F">
              <w:t xml:space="preserve">Published: $7,010.28 (public), </w:t>
            </w:r>
            <w:r w:rsidR="005F62B3" w:rsidRPr="006E187F">
              <w:t>$7</w:t>
            </w:r>
            <w:r w:rsidRPr="006E187F">
              <w:t xml:space="preserve">,058.02 (private), </w:t>
            </w:r>
            <w:r w:rsidR="005F62B3" w:rsidRPr="006E187F">
              <w:t>$</w:t>
            </w:r>
            <w:r w:rsidR="00733F84">
              <w:rPr>
                <w:noProof/>
                <w:color w:val="000000"/>
                <w:highlight w:val="black"/>
              </w:rPr>
              <w:t>'''''''''''''''''''''</w:t>
            </w:r>
            <w:r w:rsidR="005F62B3" w:rsidRPr="006E187F">
              <w:t xml:space="preserve"> (weighted)</w:t>
            </w:r>
          </w:p>
          <w:p w:rsidR="005F62B3" w:rsidRPr="006E187F" w:rsidRDefault="006B20A8" w:rsidP="003857F2">
            <w:pPr>
              <w:pStyle w:val="TableText0"/>
            </w:pPr>
            <w:r w:rsidRPr="006E187F">
              <w:t>Effective: $</w:t>
            </w:r>
            <w:r w:rsidR="00733F84">
              <w:rPr>
                <w:noProof/>
                <w:color w:val="000000"/>
                <w:highlight w:val="black"/>
              </w:rPr>
              <w:t>'''''''''''''''''''</w:t>
            </w:r>
            <w:r w:rsidRPr="006E187F">
              <w:t xml:space="preserve"> (public), $</w:t>
            </w:r>
            <w:r w:rsidR="00733F84">
              <w:rPr>
                <w:noProof/>
                <w:color w:val="000000"/>
                <w:highlight w:val="black"/>
              </w:rPr>
              <w:t>'''''''''''''''''''</w:t>
            </w:r>
            <w:r w:rsidRPr="006E187F">
              <w:t xml:space="preserve"> (private), </w:t>
            </w:r>
            <w:r w:rsidR="005F62B3" w:rsidRPr="006E187F">
              <w:t>$</w:t>
            </w:r>
            <w:r w:rsidR="00733F84">
              <w:rPr>
                <w:noProof/>
                <w:color w:val="000000"/>
                <w:highlight w:val="black"/>
              </w:rPr>
              <w:t>''''''''''''''''''''</w:t>
            </w:r>
            <w:r w:rsidR="005F62B3" w:rsidRPr="006E187F">
              <w:t xml:space="preserve"> (weighted)</w:t>
            </w:r>
          </w:p>
        </w:tc>
        <w:tc>
          <w:tcPr>
            <w:tcW w:w="1859" w:type="pct"/>
            <w:vAlign w:val="center"/>
          </w:tcPr>
          <w:p w:rsidR="005F62B3" w:rsidRPr="006E187F" w:rsidRDefault="005F62B3" w:rsidP="003857F2">
            <w:pPr>
              <w:pStyle w:val="TableText0"/>
            </w:pPr>
            <w:r w:rsidRPr="006E187F">
              <w:t>The</w:t>
            </w:r>
            <w:r w:rsidR="00224D7F" w:rsidRPr="006E187F">
              <w:t xml:space="preserve"> proposed</w:t>
            </w:r>
            <w:r w:rsidRPr="006E187F">
              <w:t xml:space="preserve"> SPA for daratumumab SC is a </w:t>
            </w:r>
            <w:r w:rsidR="00733F84">
              <w:rPr>
                <w:noProof/>
                <w:color w:val="000000"/>
                <w:highlight w:val="black"/>
              </w:rPr>
              <w:t>''''''''''''''</w:t>
            </w:r>
            <w:r w:rsidRPr="006E187F">
              <w:t>% rebate.</w:t>
            </w:r>
          </w:p>
        </w:tc>
      </w:tr>
      <w:tr w:rsidR="005F62B3" w:rsidRPr="006E187F" w:rsidTr="006B20A8">
        <w:trPr>
          <w:trHeight w:val="57"/>
        </w:trPr>
        <w:tc>
          <w:tcPr>
            <w:tcW w:w="727" w:type="pct"/>
            <w:vAlign w:val="center"/>
          </w:tcPr>
          <w:p w:rsidR="005F62B3" w:rsidRPr="006E187F" w:rsidRDefault="005F62B3" w:rsidP="003857F2">
            <w:pPr>
              <w:pStyle w:val="TableText0"/>
            </w:pPr>
            <w:r w:rsidRPr="006E187F">
              <w:t>Daratumumab intravenous 100mg/400 mg</w:t>
            </w:r>
          </w:p>
        </w:tc>
        <w:tc>
          <w:tcPr>
            <w:tcW w:w="2414" w:type="pct"/>
            <w:vAlign w:val="center"/>
          </w:tcPr>
          <w:p w:rsidR="005F62B3" w:rsidRPr="006E187F" w:rsidRDefault="006B20A8" w:rsidP="003857F2">
            <w:pPr>
              <w:pStyle w:val="TableText0"/>
            </w:pPr>
            <w:r w:rsidRPr="006E187F">
              <w:t xml:space="preserve">Published: </w:t>
            </w:r>
            <w:r w:rsidR="005F62B3" w:rsidRPr="006E187F">
              <w:t>$7,096.06 (public)</w:t>
            </w:r>
            <w:r w:rsidRPr="006E187F">
              <w:t xml:space="preserve">, </w:t>
            </w:r>
            <w:r w:rsidR="005F62B3" w:rsidRPr="006E187F">
              <w:t>$7,234.83 (private)</w:t>
            </w:r>
            <w:r w:rsidRPr="006E187F">
              <w:t xml:space="preserve">, </w:t>
            </w:r>
            <w:r w:rsidR="005F62B3" w:rsidRPr="006E187F">
              <w:t>$</w:t>
            </w:r>
            <w:r w:rsidR="00733F84">
              <w:rPr>
                <w:noProof/>
                <w:color w:val="000000"/>
                <w:highlight w:val="black"/>
              </w:rPr>
              <w:t>''''''''''''''''''''</w:t>
            </w:r>
            <w:r w:rsidR="005F62B3" w:rsidRPr="006E187F">
              <w:t xml:space="preserve"> (weighted)</w:t>
            </w:r>
          </w:p>
          <w:p w:rsidR="005F62B3" w:rsidRPr="006E187F" w:rsidRDefault="006B20A8" w:rsidP="003857F2">
            <w:pPr>
              <w:pStyle w:val="TableText0"/>
            </w:pPr>
            <w:r w:rsidRPr="006E187F">
              <w:t xml:space="preserve">Effective: </w:t>
            </w:r>
            <w:r w:rsidR="005F62B3" w:rsidRPr="006E187F">
              <w:t>$</w:t>
            </w:r>
            <w:r w:rsidR="00733F84">
              <w:rPr>
                <w:noProof/>
                <w:color w:val="000000"/>
                <w:highlight w:val="black"/>
              </w:rPr>
              <w:t>''''''''''''''''''''''</w:t>
            </w:r>
            <w:r w:rsidRPr="006E187F">
              <w:t xml:space="preserve"> (public), </w:t>
            </w:r>
            <w:r w:rsidR="005F62B3" w:rsidRPr="006E187F">
              <w:t>$</w:t>
            </w:r>
            <w:r w:rsidR="00733F84">
              <w:rPr>
                <w:noProof/>
                <w:color w:val="000000"/>
                <w:highlight w:val="black"/>
              </w:rPr>
              <w:t>'''''''''''''''''''''</w:t>
            </w:r>
            <w:r w:rsidR="00E926AA" w:rsidRPr="006E187F">
              <w:t xml:space="preserve"> </w:t>
            </w:r>
            <w:r w:rsidR="005F62B3" w:rsidRPr="006E187F">
              <w:t>(private)</w:t>
            </w:r>
            <w:r w:rsidRPr="006E187F">
              <w:t xml:space="preserve">, </w:t>
            </w:r>
            <w:r w:rsidR="005F62B3" w:rsidRPr="006E187F">
              <w:t>$</w:t>
            </w:r>
            <w:r w:rsidR="00733F84">
              <w:rPr>
                <w:noProof/>
                <w:color w:val="000000"/>
                <w:highlight w:val="black"/>
              </w:rPr>
              <w:t>''''''''''''''''''''''</w:t>
            </w:r>
            <w:r w:rsidR="005F62B3" w:rsidRPr="006E187F">
              <w:t xml:space="preserve"> (weighted)</w:t>
            </w:r>
          </w:p>
          <w:p w:rsidR="005F62B3" w:rsidRPr="006E187F" w:rsidRDefault="005F62B3" w:rsidP="006B20A8">
            <w:pPr>
              <w:pStyle w:val="TableText0"/>
            </w:pPr>
            <w:r w:rsidRPr="006E187F">
              <w:t>Daratumumab IV PB11a form</w:t>
            </w:r>
            <w:r w:rsidR="006B20A8" w:rsidRPr="006E187F">
              <w:t>,</w:t>
            </w:r>
            <w:r w:rsidRPr="006E187F">
              <w:t xml:space="preserve"> 1,200 mg (3*400 mg vial</w:t>
            </w:r>
            <w:r w:rsidR="00FA6456" w:rsidRPr="006E187F">
              <w:t>s</w:t>
            </w:r>
            <w:r w:rsidRPr="006E187F">
              <w:t>)</w:t>
            </w:r>
          </w:p>
        </w:tc>
        <w:tc>
          <w:tcPr>
            <w:tcW w:w="1859" w:type="pct"/>
            <w:vAlign w:val="center"/>
          </w:tcPr>
          <w:p w:rsidR="005F62B3" w:rsidRPr="006E187F" w:rsidRDefault="005F62B3" w:rsidP="003857F2">
            <w:pPr>
              <w:pStyle w:val="TableText0"/>
            </w:pPr>
            <w:r w:rsidRPr="006E187F">
              <w:t xml:space="preserve">The SPA for daratumumab IV is a </w:t>
            </w:r>
            <w:r w:rsidR="00733F84">
              <w:rPr>
                <w:noProof/>
                <w:color w:val="000000"/>
                <w:highlight w:val="black"/>
              </w:rPr>
              <w:t>''''''''''''''</w:t>
            </w:r>
            <w:r w:rsidRPr="006E187F">
              <w:t>% rebate. The difference between the SPA percentage rebate for daratumumab IV and daratumumab SC is a result of differences in the mark-up fees.</w:t>
            </w:r>
          </w:p>
        </w:tc>
      </w:tr>
    </w:tbl>
    <w:p w:rsidR="00E42F73" w:rsidRPr="006E187F" w:rsidRDefault="00E42F73" w:rsidP="007925DF">
      <w:pPr>
        <w:pStyle w:val="TableFigureFooter"/>
      </w:pPr>
      <w:r w:rsidRPr="006E187F">
        <w:t xml:space="preserve">Source: </w:t>
      </w:r>
      <w:r w:rsidR="006B20A8" w:rsidRPr="006E187F">
        <w:t>Table 4.1 and Table 4.2</w:t>
      </w:r>
      <w:r w:rsidR="00CA429C">
        <w:t xml:space="preserve"> </w:t>
      </w:r>
      <w:r w:rsidR="006B20A8" w:rsidRPr="006E187F">
        <w:t>of the submission.</w:t>
      </w:r>
    </w:p>
    <w:p w:rsidR="00224D7F" w:rsidRPr="006E187F" w:rsidRDefault="00224D7F" w:rsidP="007925DF">
      <w:pPr>
        <w:pStyle w:val="TableFigureFooter"/>
      </w:pPr>
      <w:r w:rsidRPr="006E187F">
        <w:t>DBd = daratumumab, bortezomib and dexamethasone; IV = intravenous; RSA = risk share arrangement; SC = subcutaneous; SPA = special pricing arrangement.</w:t>
      </w:r>
    </w:p>
    <w:p w:rsidR="00B505C8" w:rsidRPr="006E187F" w:rsidRDefault="003857F2" w:rsidP="00B505C8">
      <w:pPr>
        <w:pStyle w:val="3-BodyText"/>
        <w:rPr>
          <w:color w:val="0066FF"/>
        </w:rPr>
      </w:pPr>
      <w:r w:rsidRPr="006E187F">
        <w:t>The estimated use and financial implications are presented below.</w:t>
      </w:r>
    </w:p>
    <w:p w:rsidR="00C25D9C" w:rsidRPr="006E187F" w:rsidRDefault="002A2F50" w:rsidP="00606FBA">
      <w:pPr>
        <w:pStyle w:val="TableFigureHeading"/>
      </w:pPr>
      <w:r w:rsidRPr="006E187F">
        <w:rPr>
          <w:rStyle w:val="CommentReference"/>
          <w:b/>
          <w:szCs w:val="24"/>
        </w:rPr>
        <w:t xml:space="preserve">Table </w:t>
      </w:r>
      <w:r w:rsidR="00B83340" w:rsidRPr="006E187F">
        <w:rPr>
          <w:rStyle w:val="CommentReference"/>
          <w:b/>
          <w:szCs w:val="24"/>
        </w:rPr>
        <w:t>11</w:t>
      </w:r>
      <w:r w:rsidRPr="006E187F">
        <w:rPr>
          <w:rStyle w:val="CommentReference"/>
          <w:b/>
          <w:szCs w:val="24"/>
        </w:rPr>
        <w:t>: Estimated use and financial implications</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0"/>
        <w:gridCol w:w="1168"/>
        <w:gridCol w:w="1168"/>
        <w:gridCol w:w="1179"/>
        <w:gridCol w:w="1157"/>
        <w:gridCol w:w="1252"/>
        <w:gridCol w:w="1274"/>
      </w:tblGrid>
      <w:tr w:rsidR="00385A9D" w:rsidRPr="006E187F" w:rsidTr="00F30CDD">
        <w:trPr>
          <w:tblHeader/>
        </w:trPr>
        <w:tc>
          <w:tcPr>
            <w:tcW w:w="1092" w:type="pct"/>
            <w:shd w:val="clear" w:color="auto" w:fill="auto"/>
            <w:vAlign w:val="center"/>
          </w:tcPr>
          <w:p w:rsidR="00385A9D" w:rsidRPr="006E187F" w:rsidRDefault="00385A9D" w:rsidP="00606FBA">
            <w:pPr>
              <w:pStyle w:val="In-tableHeading"/>
              <w:jc w:val="center"/>
              <w:rPr>
                <w:lang w:val="en-AU"/>
              </w:rPr>
            </w:pPr>
          </w:p>
        </w:tc>
        <w:tc>
          <w:tcPr>
            <w:tcW w:w="634" w:type="pct"/>
            <w:shd w:val="clear" w:color="auto" w:fill="auto"/>
            <w:vAlign w:val="center"/>
          </w:tcPr>
          <w:p w:rsidR="00385A9D" w:rsidRPr="006E187F" w:rsidRDefault="00385A9D" w:rsidP="00606FBA">
            <w:pPr>
              <w:pStyle w:val="In-tableHeading"/>
              <w:jc w:val="center"/>
              <w:rPr>
                <w:lang w:val="en-AU"/>
              </w:rPr>
            </w:pPr>
            <w:r w:rsidRPr="006E187F">
              <w:rPr>
                <w:lang w:val="en-AU"/>
              </w:rPr>
              <w:t>Year 1</w:t>
            </w:r>
          </w:p>
        </w:tc>
        <w:tc>
          <w:tcPr>
            <w:tcW w:w="634" w:type="pct"/>
            <w:shd w:val="clear" w:color="auto" w:fill="auto"/>
            <w:vAlign w:val="center"/>
          </w:tcPr>
          <w:p w:rsidR="00385A9D" w:rsidRPr="006E187F" w:rsidRDefault="00385A9D" w:rsidP="00606FBA">
            <w:pPr>
              <w:pStyle w:val="In-tableHeading"/>
              <w:jc w:val="center"/>
              <w:rPr>
                <w:lang w:val="en-AU"/>
              </w:rPr>
            </w:pPr>
            <w:r w:rsidRPr="006E187F">
              <w:rPr>
                <w:lang w:val="en-AU"/>
              </w:rPr>
              <w:t>Year 2</w:t>
            </w:r>
          </w:p>
        </w:tc>
        <w:tc>
          <w:tcPr>
            <w:tcW w:w="640" w:type="pct"/>
            <w:shd w:val="clear" w:color="auto" w:fill="auto"/>
            <w:vAlign w:val="center"/>
          </w:tcPr>
          <w:p w:rsidR="00385A9D" w:rsidRPr="006E187F" w:rsidRDefault="00385A9D" w:rsidP="00606FBA">
            <w:pPr>
              <w:pStyle w:val="In-tableHeading"/>
              <w:jc w:val="center"/>
              <w:rPr>
                <w:lang w:val="en-AU"/>
              </w:rPr>
            </w:pPr>
            <w:r w:rsidRPr="006E187F">
              <w:rPr>
                <w:lang w:val="en-AU"/>
              </w:rPr>
              <w:t>Year 3</w:t>
            </w:r>
          </w:p>
        </w:tc>
        <w:tc>
          <w:tcPr>
            <w:tcW w:w="628" w:type="pct"/>
            <w:shd w:val="clear" w:color="auto" w:fill="auto"/>
            <w:vAlign w:val="center"/>
          </w:tcPr>
          <w:p w:rsidR="00385A9D" w:rsidRPr="006E187F" w:rsidRDefault="00385A9D" w:rsidP="00606FBA">
            <w:pPr>
              <w:pStyle w:val="In-tableHeading"/>
              <w:jc w:val="center"/>
              <w:rPr>
                <w:lang w:val="en-AU"/>
              </w:rPr>
            </w:pPr>
            <w:r w:rsidRPr="006E187F">
              <w:rPr>
                <w:lang w:val="en-AU"/>
              </w:rPr>
              <w:t>Year 4</w:t>
            </w:r>
          </w:p>
        </w:tc>
        <w:tc>
          <w:tcPr>
            <w:tcW w:w="680" w:type="pct"/>
            <w:shd w:val="clear" w:color="auto" w:fill="auto"/>
            <w:vAlign w:val="center"/>
          </w:tcPr>
          <w:p w:rsidR="00385A9D" w:rsidRPr="006E187F" w:rsidRDefault="00385A9D" w:rsidP="00606FBA">
            <w:pPr>
              <w:pStyle w:val="In-tableHeading"/>
              <w:jc w:val="center"/>
              <w:rPr>
                <w:lang w:val="en-AU"/>
              </w:rPr>
            </w:pPr>
            <w:r w:rsidRPr="006E187F">
              <w:rPr>
                <w:lang w:val="en-AU"/>
              </w:rPr>
              <w:t>Year 5</w:t>
            </w:r>
          </w:p>
        </w:tc>
        <w:tc>
          <w:tcPr>
            <w:tcW w:w="693" w:type="pct"/>
          </w:tcPr>
          <w:p w:rsidR="00385A9D" w:rsidRPr="006E187F" w:rsidRDefault="00385A9D" w:rsidP="00606FBA">
            <w:pPr>
              <w:pStyle w:val="In-tableHeading"/>
              <w:jc w:val="center"/>
              <w:rPr>
                <w:lang w:val="en-AU"/>
              </w:rPr>
            </w:pPr>
            <w:r w:rsidRPr="006E187F">
              <w:rPr>
                <w:lang w:val="en-AU"/>
              </w:rPr>
              <w:t>Year 6</w:t>
            </w:r>
          </w:p>
        </w:tc>
      </w:tr>
      <w:tr w:rsidR="00385A9D" w:rsidRPr="006E187F" w:rsidTr="00F30CDD">
        <w:tc>
          <w:tcPr>
            <w:tcW w:w="5000" w:type="pct"/>
            <w:gridSpan w:val="7"/>
            <w:shd w:val="clear" w:color="auto" w:fill="auto"/>
            <w:vAlign w:val="center"/>
          </w:tcPr>
          <w:p w:rsidR="00385A9D" w:rsidRPr="006E187F" w:rsidRDefault="00385A9D" w:rsidP="00606FBA">
            <w:pPr>
              <w:pStyle w:val="In-tableHeading"/>
              <w:rPr>
                <w:bCs/>
                <w:color w:val="000000"/>
                <w:lang w:val="en-AU"/>
              </w:rPr>
            </w:pPr>
            <w:r w:rsidRPr="006E187F">
              <w:rPr>
                <w:bCs/>
                <w:color w:val="000000"/>
                <w:lang w:val="en-AU"/>
              </w:rPr>
              <w:t>Estimated extent of use</w:t>
            </w:r>
          </w:p>
        </w:tc>
      </w:tr>
      <w:tr w:rsidR="00CF3763" w:rsidRPr="006E187F" w:rsidTr="00F30CDD">
        <w:tc>
          <w:tcPr>
            <w:tcW w:w="1092" w:type="pct"/>
            <w:shd w:val="clear" w:color="auto" w:fill="auto"/>
            <w:vAlign w:val="center"/>
          </w:tcPr>
          <w:p w:rsidR="00CF3763" w:rsidRPr="006E187F" w:rsidRDefault="00CF3763" w:rsidP="00CF3763">
            <w:pPr>
              <w:pStyle w:val="TableText0"/>
              <w:rPr>
                <w:rFonts w:ascii="Times" w:hAnsi="Times"/>
              </w:rPr>
            </w:pPr>
            <w:r w:rsidRPr="006E187F">
              <w:t>Number of scripts dispensed</w:t>
            </w:r>
            <w:r w:rsidRPr="006E187F">
              <w:rPr>
                <w:vertAlign w:val="superscript"/>
              </w:rPr>
              <w:t>a</w:t>
            </w:r>
          </w:p>
        </w:tc>
        <w:tc>
          <w:tcPr>
            <w:tcW w:w="634" w:type="pct"/>
            <w:shd w:val="clear" w:color="auto" w:fill="auto"/>
            <w:vAlign w:val="center"/>
          </w:tcPr>
          <w:p w:rsidR="00CF3763" w:rsidRPr="00733F84" w:rsidRDefault="00733F84" w:rsidP="00FF2368">
            <w:pPr>
              <w:pStyle w:val="TableText0"/>
              <w:jc w:val="right"/>
              <w:rPr>
                <w:color w:val="000000"/>
                <w:vertAlign w:val="superscript"/>
              </w:rPr>
            </w:pPr>
            <w:r>
              <w:rPr>
                <w:noProof/>
                <w:color w:val="000000"/>
                <w:highlight w:val="black"/>
              </w:rPr>
              <w:t>'''''''''''''</w:t>
            </w:r>
            <w:r w:rsidR="00CA429C" w:rsidRPr="00CA429C">
              <w:rPr>
                <w:vertAlign w:val="superscript"/>
              </w:rPr>
              <w:t>1</w:t>
            </w:r>
          </w:p>
        </w:tc>
        <w:tc>
          <w:tcPr>
            <w:tcW w:w="634" w:type="pct"/>
            <w:shd w:val="clear" w:color="auto" w:fill="auto"/>
            <w:vAlign w:val="center"/>
          </w:tcPr>
          <w:p w:rsidR="00CF3763" w:rsidRPr="00733F84" w:rsidRDefault="00733F84" w:rsidP="00FF2368">
            <w:pPr>
              <w:pStyle w:val="TableText0"/>
              <w:jc w:val="right"/>
              <w:rPr>
                <w:color w:val="000000"/>
                <w:vertAlign w:val="superscript"/>
              </w:rPr>
            </w:pPr>
            <w:r>
              <w:rPr>
                <w:noProof/>
                <w:color w:val="000000"/>
                <w:highlight w:val="black"/>
              </w:rPr>
              <w:t>'''''''''''''''</w:t>
            </w:r>
            <w:r w:rsidR="00CA429C" w:rsidRPr="00CA429C">
              <w:rPr>
                <w:vertAlign w:val="superscript"/>
              </w:rPr>
              <w:t>2</w:t>
            </w:r>
          </w:p>
        </w:tc>
        <w:tc>
          <w:tcPr>
            <w:tcW w:w="640" w:type="pct"/>
            <w:shd w:val="clear" w:color="auto" w:fill="auto"/>
            <w:vAlign w:val="center"/>
          </w:tcPr>
          <w:p w:rsidR="00CF3763" w:rsidRPr="00733F84" w:rsidRDefault="00733F84" w:rsidP="00FF2368">
            <w:pPr>
              <w:pStyle w:val="TableText0"/>
              <w:jc w:val="right"/>
              <w:rPr>
                <w:color w:val="000000"/>
              </w:rPr>
            </w:pPr>
            <w:r>
              <w:rPr>
                <w:noProof/>
                <w:color w:val="000000"/>
                <w:highlight w:val="black"/>
              </w:rPr>
              <w:t>''''''''''''''''''</w:t>
            </w:r>
            <w:r w:rsidR="00CA429C" w:rsidRPr="00CA429C">
              <w:rPr>
                <w:vertAlign w:val="superscript"/>
              </w:rPr>
              <w:t>2</w:t>
            </w:r>
          </w:p>
        </w:tc>
        <w:tc>
          <w:tcPr>
            <w:tcW w:w="628" w:type="pct"/>
            <w:shd w:val="clear" w:color="auto" w:fill="auto"/>
            <w:vAlign w:val="center"/>
          </w:tcPr>
          <w:p w:rsidR="00CF3763" w:rsidRPr="00733F84" w:rsidRDefault="00733F84" w:rsidP="00FF2368">
            <w:pPr>
              <w:pStyle w:val="TableText0"/>
              <w:jc w:val="right"/>
              <w:rPr>
                <w:color w:val="000000"/>
              </w:rPr>
            </w:pPr>
            <w:r>
              <w:rPr>
                <w:noProof/>
                <w:color w:val="000000"/>
                <w:highlight w:val="black"/>
              </w:rPr>
              <w:t>''''''''''''''''</w:t>
            </w:r>
            <w:r w:rsidR="00CA429C" w:rsidRPr="00CA429C">
              <w:rPr>
                <w:vertAlign w:val="superscript"/>
              </w:rPr>
              <w:t>2</w:t>
            </w:r>
          </w:p>
        </w:tc>
        <w:tc>
          <w:tcPr>
            <w:tcW w:w="680" w:type="pct"/>
            <w:shd w:val="clear" w:color="auto" w:fill="auto"/>
            <w:vAlign w:val="center"/>
          </w:tcPr>
          <w:p w:rsidR="00CF3763" w:rsidRPr="00733F84" w:rsidRDefault="00733F84" w:rsidP="00FF2368">
            <w:pPr>
              <w:pStyle w:val="TableText0"/>
              <w:jc w:val="right"/>
              <w:rPr>
                <w:color w:val="000000"/>
              </w:rPr>
            </w:pPr>
            <w:r>
              <w:rPr>
                <w:noProof/>
                <w:color w:val="000000"/>
                <w:highlight w:val="black"/>
              </w:rPr>
              <w:t>'''''''''''''''</w:t>
            </w:r>
            <w:r w:rsidR="00CA429C">
              <w:rPr>
                <w:vertAlign w:val="superscript"/>
              </w:rPr>
              <w:t>3</w:t>
            </w:r>
          </w:p>
        </w:tc>
        <w:tc>
          <w:tcPr>
            <w:tcW w:w="693" w:type="pct"/>
            <w:vAlign w:val="center"/>
          </w:tcPr>
          <w:p w:rsidR="00CF3763" w:rsidRPr="00733F84" w:rsidRDefault="00733F84" w:rsidP="00FF2368">
            <w:pPr>
              <w:pStyle w:val="TableText0"/>
              <w:jc w:val="right"/>
              <w:rPr>
                <w:color w:val="000000"/>
              </w:rPr>
            </w:pPr>
            <w:r>
              <w:rPr>
                <w:noProof/>
                <w:color w:val="000000"/>
                <w:highlight w:val="black"/>
              </w:rPr>
              <w:t>''''''''''''''''</w:t>
            </w:r>
            <w:r w:rsidR="00CA429C">
              <w:rPr>
                <w:vertAlign w:val="superscript"/>
              </w:rPr>
              <w:t>3</w:t>
            </w:r>
          </w:p>
        </w:tc>
      </w:tr>
      <w:tr w:rsidR="00385A9D" w:rsidRPr="006E187F" w:rsidTr="00F30CDD">
        <w:tc>
          <w:tcPr>
            <w:tcW w:w="5000" w:type="pct"/>
            <w:gridSpan w:val="7"/>
            <w:shd w:val="clear" w:color="auto" w:fill="auto"/>
            <w:vAlign w:val="center"/>
          </w:tcPr>
          <w:p w:rsidR="00385A9D" w:rsidRPr="006E187F" w:rsidRDefault="00385A9D" w:rsidP="00CF3763">
            <w:pPr>
              <w:pStyle w:val="In-tableHeading"/>
              <w:rPr>
                <w:lang w:val="en-AU"/>
              </w:rPr>
            </w:pPr>
            <w:r w:rsidRPr="006E187F">
              <w:rPr>
                <w:lang w:val="en-AU"/>
              </w:rPr>
              <w:t xml:space="preserve">Estimated financial implications of </w:t>
            </w:r>
            <w:r w:rsidR="00CF3763" w:rsidRPr="006E187F">
              <w:rPr>
                <w:lang w:val="en-AU"/>
              </w:rPr>
              <w:t>daratumumab SC</w:t>
            </w:r>
          </w:p>
        </w:tc>
      </w:tr>
      <w:tr w:rsidR="00CF3763" w:rsidRPr="006E187F" w:rsidTr="00F30CDD">
        <w:tc>
          <w:tcPr>
            <w:tcW w:w="1092" w:type="pct"/>
            <w:shd w:val="clear" w:color="auto" w:fill="auto"/>
            <w:vAlign w:val="center"/>
          </w:tcPr>
          <w:p w:rsidR="00CF3763" w:rsidRPr="006E187F" w:rsidRDefault="00CF3763" w:rsidP="00CF3763">
            <w:pPr>
              <w:pStyle w:val="TableText0"/>
              <w:rPr>
                <w:sz w:val="19"/>
                <w:szCs w:val="19"/>
              </w:rPr>
            </w:pPr>
            <w:r w:rsidRPr="006E187F">
              <w:rPr>
                <w:sz w:val="19"/>
                <w:szCs w:val="19"/>
              </w:rPr>
              <w:t>Cost to PBS/RPBS less copayments</w:t>
            </w:r>
          </w:p>
        </w:tc>
        <w:tc>
          <w:tcPr>
            <w:tcW w:w="634" w:type="pct"/>
            <w:shd w:val="clear" w:color="auto" w:fill="auto"/>
            <w:vAlign w:val="center"/>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4</w:t>
            </w:r>
          </w:p>
        </w:tc>
        <w:tc>
          <w:tcPr>
            <w:tcW w:w="634" w:type="pct"/>
            <w:shd w:val="clear" w:color="auto" w:fill="auto"/>
            <w:vAlign w:val="center"/>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6</w:t>
            </w:r>
          </w:p>
        </w:tc>
        <w:tc>
          <w:tcPr>
            <w:tcW w:w="640" w:type="pct"/>
            <w:shd w:val="clear" w:color="auto" w:fill="auto"/>
            <w:vAlign w:val="center"/>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7</w:t>
            </w:r>
          </w:p>
        </w:tc>
        <w:tc>
          <w:tcPr>
            <w:tcW w:w="628" w:type="pct"/>
            <w:shd w:val="clear" w:color="auto" w:fill="auto"/>
            <w:vAlign w:val="center"/>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8</w:t>
            </w:r>
          </w:p>
        </w:tc>
        <w:tc>
          <w:tcPr>
            <w:tcW w:w="680" w:type="pct"/>
            <w:shd w:val="clear" w:color="auto" w:fill="auto"/>
            <w:vAlign w:val="center"/>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9</w:t>
            </w:r>
          </w:p>
        </w:tc>
        <w:tc>
          <w:tcPr>
            <w:tcW w:w="693" w:type="pct"/>
            <w:vAlign w:val="center"/>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11</w:t>
            </w:r>
          </w:p>
        </w:tc>
      </w:tr>
      <w:tr w:rsidR="00385A9D" w:rsidRPr="006E187F" w:rsidTr="00F30CDD">
        <w:tc>
          <w:tcPr>
            <w:tcW w:w="5000" w:type="pct"/>
            <w:gridSpan w:val="7"/>
            <w:shd w:val="clear" w:color="auto" w:fill="auto"/>
            <w:vAlign w:val="center"/>
          </w:tcPr>
          <w:p w:rsidR="00385A9D" w:rsidRPr="006E187F" w:rsidRDefault="00385A9D" w:rsidP="00CF3763">
            <w:pPr>
              <w:pStyle w:val="TableText0"/>
              <w:rPr>
                <w:b/>
              </w:rPr>
            </w:pPr>
            <w:r w:rsidRPr="006E187F">
              <w:rPr>
                <w:b/>
              </w:rPr>
              <w:t xml:space="preserve">Estimated financial implications for </w:t>
            </w:r>
            <w:r w:rsidR="00CF3763" w:rsidRPr="006E187F">
              <w:rPr>
                <w:b/>
              </w:rPr>
              <w:t>daratumumab IV</w:t>
            </w:r>
          </w:p>
        </w:tc>
      </w:tr>
      <w:tr w:rsidR="00CF3763" w:rsidRPr="006E187F" w:rsidTr="00F30CDD">
        <w:tc>
          <w:tcPr>
            <w:tcW w:w="1092" w:type="pct"/>
            <w:shd w:val="clear" w:color="auto" w:fill="auto"/>
            <w:vAlign w:val="center"/>
          </w:tcPr>
          <w:p w:rsidR="00CF3763" w:rsidRPr="006E187F" w:rsidRDefault="00CF3763" w:rsidP="00CF3763">
            <w:pPr>
              <w:pStyle w:val="TableText0"/>
              <w:rPr>
                <w:sz w:val="19"/>
                <w:szCs w:val="19"/>
              </w:rPr>
            </w:pPr>
            <w:r w:rsidRPr="006E187F">
              <w:rPr>
                <w:sz w:val="19"/>
                <w:szCs w:val="19"/>
              </w:rPr>
              <w:t>Cost to PBS/RPBS less copayments</w:t>
            </w:r>
          </w:p>
        </w:tc>
        <w:tc>
          <w:tcPr>
            <w:tcW w:w="634" w:type="pct"/>
            <w:shd w:val="clear" w:color="auto" w:fill="auto"/>
            <w:vAlign w:val="center"/>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4</w:t>
            </w:r>
          </w:p>
        </w:tc>
        <w:tc>
          <w:tcPr>
            <w:tcW w:w="634" w:type="pct"/>
            <w:shd w:val="clear" w:color="auto" w:fill="auto"/>
            <w:vAlign w:val="center"/>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6</w:t>
            </w:r>
          </w:p>
        </w:tc>
        <w:tc>
          <w:tcPr>
            <w:tcW w:w="640" w:type="pct"/>
            <w:shd w:val="clear" w:color="auto" w:fill="auto"/>
            <w:vAlign w:val="center"/>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8</w:t>
            </w:r>
          </w:p>
        </w:tc>
        <w:tc>
          <w:tcPr>
            <w:tcW w:w="628" w:type="pct"/>
            <w:shd w:val="clear" w:color="auto" w:fill="auto"/>
            <w:vAlign w:val="center"/>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9</w:t>
            </w:r>
          </w:p>
        </w:tc>
        <w:tc>
          <w:tcPr>
            <w:tcW w:w="680" w:type="pct"/>
            <w:shd w:val="clear" w:color="auto" w:fill="auto"/>
            <w:vAlign w:val="center"/>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10</w:t>
            </w:r>
          </w:p>
        </w:tc>
        <w:tc>
          <w:tcPr>
            <w:tcW w:w="693" w:type="pct"/>
            <w:vAlign w:val="center"/>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11</w:t>
            </w:r>
          </w:p>
        </w:tc>
      </w:tr>
      <w:tr w:rsidR="00385A9D" w:rsidRPr="006E187F" w:rsidTr="00F30CDD">
        <w:tc>
          <w:tcPr>
            <w:tcW w:w="5000" w:type="pct"/>
            <w:gridSpan w:val="7"/>
            <w:shd w:val="clear" w:color="auto" w:fill="auto"/>
            <w:vAlign w:val="center"/>
          </w:tcPr>
          <w:p w:rsidR="00385A9D" w:rsidRPr="006E187F" w:rsidRDefault="00385A9D" w:rsidP="00CF3763">
            <w:pPr>
              <w:pStyle w:val="In-tableHeading"/>
              <w:rPr>
                <w:lang w:val="en-AU"/>
              </w:rPr>
            </w:pPr>
            <w:r w:rsidRPr="006E187F">
              <w:rPr>
                <w:lang w:val="en-AU"/>
              </w:rPr>
              <w:t>Net financial implications</w:t>
            </w:r>
          </w:p>
        </w:tc>
      </w:tr>
      <w:tr w:rsidR="00CF3763" w:rsidRPr="006E187F" w:rsidTr="00F30CDD">
        <w:tc>
          <w:tcPr>
            <w:tcW w:w="1092" w:type="pct"/>
            <w:shd w:val="clear" w:color="auto" w:fill="auto"/>
            <w:vAlign w:val="center"/>
          </w:tcPr>
          <w:p w:rsidR="00CF3763" w:rsidRPr="006E187F" w:rsidRDefault="00CF3763" w:rsidP="00CF3763">
            <w:pPr>
              <w:pStyle w:val="TableText0"/>
              <w:rPr>
                <w:sz w:val="19"/>
                <w:szCs w:val="19"/>
              </w:rPr>
            </w:pPr>
            <w:r w:rsidRPr="006E187F">
              <w:rPr>
                <w:sz w:val="19"/>
                <w:szCs w:val="19"/>
              </w:rPr>
              <w:t>Net cost to PBS/RPBS</w:t>
            </w:r>
          </w:p>
        </w:tc>
        <w:tc>
          <w:tcPr>
            <w:tcW w:w="634" w:type="pct"/>
            <w:shd w:val="clear" w:color="auto" w:fill="auto"/>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5</w:t>
            </w:r>
          </w:p>
        </w:tc>
        <w:tc>
          <w:tcPr>
            <w:tcW w:w="634" w:type="pct"/>
            <w:shd w:val="clear" w:color="auto" w:fill="auto"/>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5</w:t>
            </w:r>
          </w:p>
        </w:tc>
        <w:tc>
          <w:tcPr>
            <w:tcW w:w="640" w:type="pct"/>
            <w:shd w:val="clear" w:color="auto" w:fill="auto"/>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5</w:t>
            </w:r>
          </w:p>
        </w:tc>
        <w:tc>
          <w:tcPr>
            <w:tcW w:w="628" w:type="pct"/>
            <w:shd w:val="clear" w:color="auto" w:fill="auto"/>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5</w:t>
            </w:r>
          </w:p>
        </w:tc>
        <w:tc>
          <w:tcPr>
            <w:tcW w:w="680" w:type="pct"/>
            <w:shd w:val="clear" w:color="auto" w:fill="auto"/>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5</w:t>
            </w:r>
          </w:p>
        </w:tc>
        <w:tc>
          <w:tcPr>
            <w:tcW w:w="693" w:type="pct"/>
          </w:tcPr>
          <w:p w:rsidR="00CF3763" w:rsidRPr="006E187F" w:rsidRDefault="00CF3763" w:rsidP="00FF2368">
            <w:pPr>
              <w:pStyle w:val="TableText0"/>
              <w:jc w:val="right"/>
            </w:pPr>
            <w:r w:rsidRPr="006E187F">
              <w:t>-$</w:t>
            </w:r>
            <w:r w:rsidR="00733F84">
              <w:rPr>
                <w:noProof/>
                <w:color w:val="000000"/>
                <w:highlight w:val="black"/>
              </w:rPr>
              <w:t>'''''''''''''''''''''''''</w:t>
            </w:r>
            <w:r w:rsidR="00CA429C">
              <w:rPr>
                <w:vertAlign w:val="superscript"/>
              </w:rPr>
              <w:t>5</w:t>
            </w:r>
          </w:p>
        </w:tc>
      </w:tr>
    </w:tbl>
    <w:p w:rsidR="00620C25" w:rsidRPr="006E187F" w:rsidRDefault="00620C25" w:rsidP="00620C25">
      <w:pPr>
        <w:pStyle w:val="TableFigureFooter"/>
        <w:rPr>
          <w:rStyle w:val="CommentReference"/>
        </w:rPr>
      </w:pPr>
      <w:r w:rsidRPr="006E187F">
        <w:t xml:space="preserve">Source: </w:t>
      </w:r>
      <w:r w:rsidR="00CF3763" w:rsidRPr="006E187F">
        <w:t>Table 4.3, Table 4.8, Table 4.10</w:t>
      </w:r>
      <w:r w:rsidR="00CA429C">
        <w:t xml:space="preserve"> </w:t>
      </w:r>
      <w:r w:rsidR="00CF3763" w:rsidRPr="006E187F">
        <w:t>of the submission.</w:t>
      </w:r>
    </w:p>
    <w:p w:rsidR="00E466F3" w:rsidRPr="006E187F" w:rsidRDefault="00E466F3" w:rsidP="00606FBA">
      <w:pPr>
        <w:pStyle w:val="TableFigureFooter"/>
      </w:pPr>
      <w:r w:rsidRPr="006E187F">
        <w:rPr>
          <w:vertAlign w:val="superscript"/>
        </w:rPr>
        <w:t>a</w:t>
      </w:r>
      <w:r w:rsidR="00606FBA" w:rsidRPr="006E187F">
        <w:t xml:space="preserve"> </w:t>
      </w:r>
      <w:r w:rsidRPr="006E187F">
        <w:t xml:space="preserve">Assuming </w:t>
      </w:r>
      <w:r w:rsidR="00CF3763" w:rsidRPr="006E187F">
        <w:t>21 scripts</w:t>
      </w:r>
      <w:r w:rsidRPr="006E187F">
        <w:t xml:space="preserve"> per year </w:t>
      </w:r>
      <w:r w:rsidR="00CF3763" w:rsidRPr="006E187F">
        <w:t xml:space="preserve">(3 initial cycles (9 scripts in Cycle 1-3) and 10 continuing cycles (5 scripts in Cycle 4-8 and 7 scripts in Cycle 9-14) </w:t>
      </w:r>
      <w:r w:rsidRPr="006E187F">
        <w:t>as estimated by the submission.</w:t>
      </w:r>
    </w:p>
    <w:p w:rsidR="000E23D5" w:rsidRDefault="000E23D5" w:rsidP="00606FBA">
      <w:pPr>
        <w:pStyle w:val="TableFigureFooter"/>
      </w:pPr>
      <w:r w:rsidRPr="006E187F">
        <w:t>IV = intravenous; PBS = Pharmaceutical Benefits Scheme; RPBS = Repatriation Pharmaceutical Benefits Scheme; SC = subcutaneous</w:t>
      </w:r>
    </w:p>
    <w:p w:rsidR="00CA429C" w:rsidRPr="00CA429C" w:rsidRDefault="00CA429C" w:rsidP="00606FBA">
      <w:pPr>
        <w:pStyle w:val="TableFigureFooter"/>
        <w:rPr>
          <w:i/>
        </w:rPr>
      </w:pPr>
      <w:r w:rsidRPr="00CA429C">
        <w:rPr>
          <w:i/>
        </w:rPr>
        <w:t>The redacted values correspond to the following ranges:</w:t>
      </w:r>
    </w:p>
    <w:p w:rsidR="00CA429C" w:rsidRPr="00CA429C" w:rsidRDefault="00CA429C" w:rsidP="00606FBA">
      <w:pPr>
        <w:pStyle w:val="TableFigureFooter"/>
        <w:rPr>
          <w:i/>
        </w:rPr>
      </w:pPr>
      <w:r w:rsidRPr="00CA429C">
        <w:rPr>
          <w:i/>
          <w:vertAlign w:val="superscript"/>
        </w:rPr>
        <w:t>1</w:t>
      </w:r>
      <w:r w:rsidRPr="00CA429C">
        <w:rPr>
          <w:i/>
        </w:rPr>
        <w:t xml:space="preserve"> 5,000 to &lt; 10,000</w:t>
      </w:r>
    </w:p>
    <w:p w:rsidR="00CA429C" w:rsidRPr="00CA429C" w:rsidRDefault="00CA429C" w:rsidP="00606FBA">
      <w:pPr>
        <w:pStyle w:val="TableFigureFooter"/>
        <w:rPr>
          <w:i/>
        </w:rPr>
      </w:pPr>
      <w:r w:rsidRPr="00CA429C">
        <w:rPr>
          <w:i/>
          <w:vertAlign w:val="superscript"/>
        </w:rPr>
        <w:t>2</w:t>
      </w:r>
      <w:r w:rsidRPr="00CA429C">
        <w:rPr>
          <w:i/>
        </w:rPr>
        <w:t xml:space="preserve"> 10,000 to &lt; 20,000</w:t>
      </w:r>
    </w:p>
    <w:p w:rsidR="00CA429C" w:rsidRPr="00CA429C" w:rsidRDefault="00CA429C" w:rsidP="00606FBA">
      <w:pPr>
        <w:pStyle w:val="TableFigureFooter"/>
        <w:rPr>
          <w:i/>
        </w:rPr>
      </w:pPr>
      <w:r w:rsidRPr="00CA429C">
        <w:rPr>
          <w:i/>
          <w:vertAlign w:val="superscript"/>
        </w:rPr>
        <w:t>3</w:t>
      </w:r>
      <w:r w:rsidRPr="00CA429C">
        <w:rPr>
          <w:i/>
        </w:rPr>
        <w:t xml:space="preserve"> 20,000 to &lt; 30,000</w:t>
      </w:r>
    </w:p>
    <w:p w:rsidR="00CA429C" w:rsidRPr="00CA429C" w:rsidRDefault="00CA429C" w:rsidP="00606FBA">
      <w:pPr>
        <w:pStyle w:val="TableFigureFooter"/>
        <w:rPr>
          <w:i/>
        </w:rPr>
      </w:pPr>
      <w:r w:rsidRPr="00CA429C">
        <w:rPr>
          <w:i/>
          <w:vertAlign w:val="superscript"/>
        </w:rPr>
        <w:t>4</w:t>
      </w:r>
      <w:r w:rsidRPr="00CA429C">
        <w:rPr>
          <w:i/>
        </w:rPr>
        <w:t xml:space="preserve"> $20 million to &lt; $30 million</w:t>
      </w:r>
    </w:p>
    <w:p w:rsidR="00CA429C" w:rsidRPr="00CA429C" w:rsidRDefault="00CA429C" w:rsidP="00606FBA">
      <w:pPr>
        <w:pStyle w:val="TableFigureFooter"/>
        <w:rPr>
          <w:i/>
        </w:rPr>
      </w:pPr>
      <w:r w:rsidRPr="00CA429C">
        <w:rPr>
          <w:i/>
          <w:vertAlign w:val="superscript"/>
        </w:rPr>
        <w:t>5</w:t>
      </w:r>
      <w:r w:rsidRPr="00CA429C">
        <w:rPr>
          <w:i/>
        </w:rPr>
        <w:t xml:space="preserve"> $0 to &lt; $10 million</w:t>
      </w:r>
    </w:p>
    <w:p w:rsidR="00CA429C" w:rsidRPr="00CA429C" w:rsidRDefault="00CA429C" w:rsidP="00606FBA">
      <w:pPr>
        <w:pStyle w:val="TableFigureFooter"/>
        <w:rPr>
          <w:i/>
        </w:rPr>
      </w:pPr>
      <w:r w:rsidRPr="00CA429C">
        <w:rPr>
          <w:i/>
          <w:vertAlign w:val="superscript"/>
        </w:rPr>
        <w:t>6</w:t>
      </w:r>
      <w:r w:rsidRPr="00CA429C">
        <w:rPr>
          <w:i/>
        </w:rPr>
        <w:t xml:space="preserve"> $40 million to &lt; $50 million</w:t>
      </w:r>
    </w:p>
    <w:p w:rsidR="00CA429C" w:rsidRPr="00CA429C" w:rsidRDefault="00CA429C" w:rsidP="00606FBA">
      <w:pPr>
        <w:pStyle w:val="TableFigureFooter"/>
        <w:rPr>
          <w:i/>
        </w:rPr>
      </w:pPr>
      <w:r w:rsidRPr="00CA429C">
        <w:rPr>
          <w:i/>
          <w:vertAlign w:val="superscript"/>
        </w:rPr>
        <w:t>7</w:t>
      </w:r>
      <w:r w:rsidRPr="00CA429C">
        <w:rPr>
          <w:i/>
        </w:rPr>
        <w:t xml:space="preserve"> $50 million to &lt; $60 million</w:t>
      </w:r>
    </w:p>
    <w:p w:rsidR="00CA429C" w:rsidRPr="00CA429C" w:rsidRDefault="00CA429C" w:rsidP="00606FBA">
      <w:pPr>
        <w:pStyle w:val="TableFigureFooter"/>
        <w:rPr>
          <w:i/>
        </w:rPr>
      </w:pPr>
      <w:r w:rsidRPr="00CA429C">
        <w:rPr>
          <w:i/>
          <w:vertAlign w:val="superscript"/>
        </w:rPr>
        <w:t>8</w:t>
      </w:r>
      <w:r w:rsidRPr="00CA429C">
        <w:rPr>
          <w:i/>
        </w:rPr>
        <w:t xml:space="preserve"> $60 million to &lt; $70 million</w:t>
      </w:r>
    </w:p>
    <w:p w:rsidR="00CA429C" w:rsidRPr="00CA429C" w:rsidRDefault="00CA429C" w:rsidP="00606FBA">
      <w:pPr>
        <w:pStyle w:val="TableFigureFooter"/>
        <w:rPr>
          <w:i/>
        </w:rPr>
      </w:pPr>
      <w:r w:rsidRPr="00CA429C">
        <w:rPr>
          <w:i/>
          <w:vertAlign w:val="superscript"/>
        </w:rPr>
        <w:t>9</w:t>
      </w:r>
      <w:r w:rsidRPr="00CA429C">
        <w:rPr>
          <w:i/>
        </w:rPr>
        <w:t xml:space="preserve"> $70 million to &lt; $80 million</w:t>
      </w:r>
    </w:p>
    <w:p w:rsidR="00CA429C" w:rsidRPr="00CA429C" w:rsidRDefault="00CA429C" w:rsidP="00606FBA">
      <w:pPr>
        <w:pStyle w:val="TableFigureFooter"/>
        <w:rPr>
          <w:i/>
        </w:rPr>
      </w:pPr>
      <w:r w:rsidRPr="00CA429C">
        <w:rPr>
          <w:i/>
          <w:vertAlign w:val="superscript"/>
        </w:rPr>
        <w:t>10</w:t>
      </w:r>
      <w:r w:rsidRPr="00CA429C">
        <w:rPr>
          <w:i/>
        </w:rPr>
        <w:t xml:space="preserve"> $80 million to &lt; $90 million</w:t>
      </w:r>
    </w:p>
    <w:p w:rsidR="00CA429C" w:rsidRPr="00CA429C" w:rsidRDefault="00CA429C" w:rsidP="00606FBA">
      <w:pPr>
        <w:pStyle w:val="TableFigureFooter"/>
        <w:rPr>
          <w:i/>
        </w:rPr>
      </w:pPr>
      <w:r w:rsidRPr="00CA429C">
        <w:rPr>
          <w:i/>
          <w:vertAlign w:val="superscript"/>
        </w:rPr>
        <w:t>11</w:t>
      </w:r>
      <w:r w:rsidRPr="00CA429C">
        <w:rPr>
          <w:i/>
        </w:rPr>
        <w:t xml:space="preserve"> $90 million to &lt; $100 million</w:t>
      </w:r>
    </w:p>
    <w:p w:rsidR="00E05981" w:rsidRPr="006E187F" w:rsidRDefault="000E23D5" w:rsidP="00D244B6">
      <w:pPr>
        <w:pStyle w:val="3-BodyText"/>
      </w:pPr>
      <w:r w:rsidRPr="006E187F">
        <w:t>As per the submission, if daratumumab SC was listed as a Section 100 (Highly Specialised Drugs Program), t</w:t>
      </w:r>
      <w:r w:rsidR="000902D9" w:rsidRPr="006E187F">
        <w:t xml:space="preserve">he total cost to the PBS/RPBS of listing </w:t>
      </w:r>
      <w:r w:rsidR="005C61AB" w:rsidRPr="006E187F">
        <w:t>daratumumab SC</w:t>
      </w:r>
      <w:r w:rsidR="000902D9" w:rsidRPr="006E187F">
        <w:t xml:space="preserve"> was estimated </w:t>
      </w:r>
      <w:r w:rsidR="00A05C32" w:rsidRPr="006E187F">
        <w:t>to be</w:t>
      </w:r>
      <w:r w:rsidR="000902D9" w:rsidRPr="006E187F">
        <w:t xml:space="preserve"> </w:t>
      </w:r>
      <w:r w:rsidR="005C61AB" w:rsidRPr="006E187F">
        <w:t xml:space="preserve">a cost saving of </w:t>
      </w:r>
      <w:r w:rsidR="000902D9" w:rsidRPr="006E187F">
        <w:t>$</w:t>
      </w:r>
      <w:r w:rsidR="00D538A9">
        <w:t xml:space="preserve">0 to &lt; $10 </w:t>
      </w:r>
      <w:r w:rsidR="000902D9" w:rsidRPr="006E187F">
        <w:t xml:space="preserve">million in Year 6, and a total </w:t>
      </w:r>
      <w:r w:rsidR="005C61AB" w:rsidRPr="006E187F">
        <w:t xml:space="preserve">cost saving of </w:t>
      </w:r>
      <w:r w:rsidR="000902D9" w:rsidRPr="006E187F">
        <w:t>$</w:t>
      </w:r>
      <w:r w:rsidR="00D538A9">
        <w:t xml:space="preserve">10 </w:t>
      </w:r>
      <w:r w:rsidR="00C21DD5">
        <w:t xml:space="preserve">million </w:t>
      </w:r>
      <w:r w:rsidR="00D538A9">
        <w:t>to &lt; $20</w:t>
      </w:r>
      <w:r w:rsidR="000902D9" w:rsidRPr="006E187F">
        <w:t xml:space="preserve"> million </w:t>
      </w:r>
      <w:r w:rsidR="00E926AA" w:rsidRPr="006E187F">
        <w:t xml:space="preserve">over </w:t>
      </w:r>
      <w:r w:rsidR="000902D9" w:rsidRPr="006E187F">
        <w:t>the first 6 years of listing</w:t>
      </w:r>
      <w:r w:rsidR="005C61AB" w:rsidRPr="006E187F">
        <w:t>.</w:t>
      </w:r>
      <w:r w:rsidRPr="006E187F">
        <w:rPr>
          <w:color w:val="3366FF"/>
        </w:rPr>
        <w:t xml:space="preserve"> </w:t>
      </w:r>
      <w:r w:rsidR="00E05981" w:rsidRPr="006E187F">
        <w:t>The estimated net cost saving to the PBS/RPBS was due to differences in dispensing fees and mark-ups between the Highly Specialised Drugs Program and Efficient Funding of Chemotherapy.</w:t>
      </w:r>
    </w:p>
    <w:p w:rsidR="00576972" w:rsidRPr="006E187F" w:rsidRDefault="00576972" w:rsidP="00606FBA">
      <w:pPr>
        <w:pStyle w:val="4-SubsectionHeading"/>
      </w:pPr>
      <w:bookmarkStart w:id="26" w:name="_Toc22897648"/>
      <w:bookmarkStart w:id="27" w:name="_Toc72246601"/>
      <w:r w:rsidRPr="006E187F">
        <w:t>Quality Use of Medicines</w:t>
      </w:r>
      <w:bookmarkEnd w:id="26"/>
      <w:bookmarkEnd w:id="27"/>
    </w:p>
    <w:p w:rsidR="00576972" w:rsidRPr="006E187F" w:rsidRDefault="00B12CB6" w:rsidP="00B12CB6">
      <w:pPr>
        <w:pStyle w:val="3-BodyText"/>
      </w:pPr>
      <w:r w:rsidRPr="006E187F">
        <w:t>The submission provided materials to be distributed to healthcare professionals and patients.</w:t>
      </w:r>
    </w:p>
    <w:p w:rsidR="00576972" w:rsidRPr="006E187F" w:rsidRDefault="00576972" w:rsidP="00606FBA">
      <w:pPr>
        <w:pStyle w:val="4-SubsectionHeading"/>
      </w:pPr>
      <w:bookmarkStart w:id="28" w:name="_Toc22897649"/>
      <w:bookmarkStart w:id="29" w:name="_Toc72246602"/>
      <w:r w:rsidRPr="006E187F">
        <w:t>Financial Management – Risk Sharing Arrangements</w:t>
      </w:r>
      <w:bookmarkEnd w:id="28"/>
      <w:bookmarkEnd w:id="29"/>
    </w:p>
    <w:p w:rsidR="00930E50" w:rsidRPr="006E187F" w:rsidRDefault="00930E50" w:rsidP="00930E50">
      <w:pPr>
        <w:pStyle w:val="3-BodyText"/>
      </w:pPr>
      <w:r w:rsidRPr="006E187F">
        <w:t>The submission requested that daratumumab SC join the agreed daratumumab IV RSA and did not propose any changes to the subsidisation caps or rebates. The submission estimated that the per patient cost of daratumumab SC was lower than the per patient cost of daratumumab IV</w:t>
      </w:r>
      <w:r w:rsidR="00E05981" w:rsidRPr="006E187F">
        <w:t xml:space="preserve"> due to differences in fees and mark-ups between the Section 100 (Highly Specialised Drugs Program) and the Section 100 (Efficient Funding of Chemotherapy)</w:t>
      </w:r>
      <w:r w:rsidRPr="006E187F">
        <w:t xml:space="preserve">. Therefore, </w:t>
      </w:r>
      <w:r w:rsidR="00E05981" w:rsidRPr="006E187F">
        <w:t xml:space="preserve">if daratumumab SC </w:t>
      </w:r>
      <w:r w:rsidR="00FF2368">
        <w:t>i</w:t>
      </w:r>
      <w:r w:rsidR="00FF2368" w:rsidRPr="006E187F">
        <w:t xml:space="preserve">s </w:t>
      </w:r>
      <w:r w:rsidR="00E05981" w:rsidRPr="006E187F">
        <w:t xml:space="preserve">listed as a Section 100 (Highly Specialised Drugs Program), </w:t>
      </w:r>
      <w:r w:rsidRPr="006E187F">
        <w:t xml:space="preserve">maintaining the subsidisation caps at the existing level would allow for an increase in the number of </w:t>
      </w:r>
      <w:r w:rsidR="00C1411B" w:rsidRPr="006E187F">
        <w:t xml:space="preserve">doses </w:t>
      </w:r>
      <w:r w:rsidR="00912AB8" w:rsidRPr="006E187F">
        <w:t xml:space="preserve">supplied </w:t>
      </w:r>
      <w:r w:rsidRPr="006E187F">
        <w:t xml:space="preserve">under the cap. </w:t>
      </w:r>
    </w:p>
    <w:p w:rsidR="004E43BC" w:rsidRPr="006E187F" w:rsidRDefault="004E43BC" w:rsidP="00E56139">
      <w:pPr>
        <w:pStyle w:val="3-BodyText"/>
      </w:pPr>
      <w:r w:rsidRPr="006E187F">
        <w:t xml:space="preserve">The </w:t>
      </w:r>
      <w:r w:rsidR="00321EB2" w:rsidRPr="006E187F">
        <w:t>p</w:t>
      </w:r>
      <w:r w:rsidRPr="006E187F">
        <w:t xml:space="preserve">re-PBAC Response </w:t>
      </w:r>
      <w:r w:rsidR="001A6F4D" w:rsidRPr="006E187F">
        <w:t>reiterated the submission’s argument it was reasonable to maintain the current RSA caps for daratumumab, as it would allow additional patients to be treated and as the new SC form offers tangible advantages over the IV formulation given the simpler preparation and administration requirements.</w:t>
      </w:r>
    </w:p>
    <w:p w:rsidR="006025D9" w:rsidRPr="006E187F" w:rsidRDefault="00AD2F4F" w:rsidP="00321EB2">
      <w:pPr>
        <w:ind w:firstLine="709"/>
      </w:pPr>
      <w:r w:rsidRPr="006E187F">
        <w:rPr>
          <w:rFonts w:asciiTheme="minorHAnsi" w:hAnsiTheme="minorHAnsi"/>
          <w:i/>
        </w:rPr>
        <w:t>For more detail on PBAC’s view, see section 7 PBAC outcome.</w:t>
      </w:r>
    </w:p>
    <w:p w:rsidR="004E1FEB" w:rsidRPr="006E187F" w:rsidRDefault="004E1FEB" w:rsidP="007114A8">
      <w:pPr>
        <w:keepNext/>
        <w:widowControl w:val="0"/>
        <w:numPr>
          <w:ilvl w:val="0"/>
          <w:numId w:val="1"/>
        </w:numPr>
        <w:spacing w:before="240" w:after="120"/>
        <w:outlineLvl w:val="0"/>
        <w:rPr>
          <w:rFonts w:asciiTheme="minorHAnsi" w:hAnsiTheme="minorHAnsi"/>
          <w:b/>
          <w:bCs/>
          <w:snapToGrid w:val="0"/>
          <w:sz w:val="32"/>
        </w:rPr>
      </w:pPr>
      <w:r w:rsidRPr="006E187F">
        <w:rPr>
          <w:rFonts w:asciiTheme="minorHAnsi" w:hAnsiTheme="minorHAnsi"/>
          <w:b/>
          <w:bCs/>
          <w:snapToGrid w:val="0"/>
          <w:sz w:val="32"/>
        </w:rPr>
        <w:t>PBAC Outcome</w:t>
      </w:r>
    </w:p>
    <w:p w:rsidR="004E1FEB" w:rsidRPr="006E187F" w:rsidRDefault="00A50324" w:rsidP="004E1FEB">
      <w:pPr>
        <w:widowControl w:val="0"/>
        <w:numPr>
          <w:ilvl w:val="1"/>
          <w:numId w:val="1"/>
        </w:numPr>
        <w:spacing w:after="120"/>
        <w:rPr>
          <w:rFonts w:asciiTheme="minorHAnsi" w:hAnsiTheme="minorHAnsi"/>
          <w:bCs/>
          <w:snapToGrid w:val="0"/>
        </w:rPr>
      </w:pPr>
      <w:r w:rsidRPr="006E187F">
        <w:rPr>
          <w:rFonts w:asciiTheme="minorHAnsi" w:hAnsiTheme="minorHAnsi"/>
          <w:bCs/>
          <w:snapToGrid w:val="0"/>
        </w:rPr>
        <w:t>The PBAC recommended the</w:t>
      </w:r>
      <w:r w:rsidR="00FD3BC0">
        <w:rPr>
          <w:rFonts w:asciiTheme="minorHAnsi" w:hAnsiTheme="minorHAnsi"/>
          <w:bCs/>
          <w:snapToGrid w:val="0"/>
        </w:rPr>
        <w:t xml:space="preserve"> dual</w:t>
      </w:r>
      <w:r w:rsidRPr="006E187F">
        <w:rPr>
          <w:rFonts w:asciiTheme="minorHAnsi" w:hAnsiTheme="minorHAnsi"/>
          <w:bCs/>
          <w:snapToGrid w:val="0"/>
        </w:rPr>
        <w:t xml:space="preserve"> </w:t>
      </w:r>
      <w:r w:rsidR="00FD3BC0">
        <w:rPr>
          <w:rFonts w:asciiTheme="minorHAnsi" w:hAnsiTheme="minorHAnsi"/>
          <w:bCs/>
          <w:snapToGrid w:val="0"/>
        </w:rPr>
        <w:t xml:space="preserve">General Schedule and </w:t>
      </w:r>
      <w:r w:rsidRPr="006E187F">
        <w:rPr>
          <w:rFonts w:asciiTheme="minorHAnsi" w:hAnsiTheme="minorHAnsi"/>
          <w:bCs/>
          <w:snapToGrid w:val="0"/>
        </w:rPr>
        <w:t>Section 100 (</w:t>
      </w:r>
      <w:r w:rsidR="00FD3BC0">
        <w:rPr>
          <w:rFonts w:asciiTheme="minorHAnsi" w:hAnsiTheme="minorHAnsi"/>
          <w:bCs/>
          <w:snapToGrid w:val="0"/>
        </w:rPr>
        <w:t>Efficient Funding of Chemotherapy –</w:t>
      </w:r>
      <w:r w:rsidR="00BE5C17">
        <w:rPr>
          <w:rFonts w:asciiTheme="minorHAnsi" w:hAnsiTheme="minorHAnsi"/>
          <w:bCs/>
          <w:snapToGrid w:val="0"/>
        </w:rPr>
        <w:t xml:space="preserve"> </w:t>
      </w:r>
      <w:r w:rsidR="00275982">
        <w:rPr>
          <w:rFonts w:asciiTheme="minorHAnsi" w:hAnsiTheme="minorHAnsi"/>
          <w:bCs/>
          <w:snapToGrid w:val="0"/>
        </w:rPr>
        <w:t>Related Ben</w:t>
      </w:r>
      <w:r w:rsidR="00741915">
        <w:rPr>
          <w:rFonts w:asciiTheme="minorHAnsi" w:hAnsiTheme="minorHAnsi"/>
          <w:bCs/>
          <w:snapToGrid w:val="0"/>
        </w:rPr>
        <w:t>efits</w:t>
      </w:r>
      <w:r w:rsidRPr="006E187F">
        <w:rPr>
          <w:rFonts w:asciiTheme="minorHAnsi" w:hAnsiTheme="minorHAnsi"/>
          <w:bCs/>
          <w:snapToGrid w:val="0"/>
        </w:rPr>
        <w:t xml:space="preserve">), Authority Required </w:t>
      </w:r>
      <w:r w:rsidR="00A540B9" w:rsidRPr="006E187F">
        <w:rPr>
          <w:rFonts w:asciiTheme="minorHAnsi" w:hAnsiTheme="minorHAnsi"/>
          <w:bCs/>
          <w:snapToGrid w:val="0"/>
        </w:rPr>
        <w:t>listing</w:t>
      </w:r>
      <w:r w:rsidR="00FD3BC0">
        <w:rPr>
          <w:rFonts w:asciiTheme="minorHAnsi" w:hAnsiTheme="minorHAnsi"/>
          <w:bCs/>
          <w:snapToGrid w:val="0"/>
        </w:rPr>
        <w:t>s</w:t>
      </w:r>
      <w:r w:rsidR="00A540B9" w:rsidRPr="006E187F">
        <w:rPr>
          <w:rFonts w:asciiTheme="minorHAnsi" w:hAnsiTheme="minorHAnsi"/>
          <w:bCs/>
          <w:snapToGrid w:val="0"/>
        </w:rPr>
        <w:t xml:space="preserve"> of a flat 1,800</w:t>
      </w:r>
      <w:r w:rsidR="00D42206" w:rsidRPr="006E187F">
        <w:rPr>
          <w:rFonts w:asciiTheme="minorHAnsi" w:hAnsiTheme="minorHAnsi"/>
          <w:bCs/>
          <w:snapToGrid w:val="0"/>
        </w:rPr>
        <w:t xml:space="preserve"> </w:t>
      </w:r>
      <w:r w:rsidR="00A540B9" w:rsidRPr="006E187F">
        <w:rPr>
          <w:rFonts w:asciiTheme="minorHAnsi" w:hAnsiTheme="minorHAnsi"/>
          <w:bCs/>
          <w:snapToGrid w:val="0"/>
        </w:rPr>
        <w:t>mg subcutaneously (SC) delivered form of daratumumab for all indications for which the intravenous (IV) form of daratumumab is currently listed.</w:t>
      </w:r>
      <w:r w:rsidRPr="006E187F">
        <w:rPr>
          <w:rFonts w:asciiTheme="minorHAnsi" w:hAnsiTheme="minorHAnsi"/>
          <w:bCs/>
          <w:snapToGrid w:val="0"/>
        </w:rPr>
        <w:t xml:space="preserve"> </w:t>
      </w:r>
      <w:r w:rsidR="00A540B9" w:rsidRPr="006E187F">
        <w:rPr>
          <w:rFonts w:asciiTheme="minorHAnsi" w:hAnsiTheme="minorHAnsi"/>
          <w:bCs/>
          <w:snapToGrid w:val="0"/>
        </w:rPr>
        <w:t>The PBAC advised the listing</w:t>
      </w:r>
      <w:r w:rsidR="007114A8" w:rsidRPr="006E187F">
        <w:rPr>
          <w:rFonts w:asciiTheme="minorHAnsi" w:hAnsiTheme="minorHAnsi"/>
          <w:bCs/>
          <w:snapToGrid w:val="0"/>
        </w:rPr>
        <w:t xml:space="preserve"> of the SC form</w:t>
      </w:r>
      <w:r w:rsidR="00A540B9" w:rsidRPr="006E187F">
        <w:rPr>
          <w:rFonts w:asciiTheme="minorHAnsi" w:hAnsiTheme="minorHAnsi"/>
          <w:bCs/>
          <w:snapToGrid w:val="0"/>
        </w:rPr>
        <w:t xml:space="preserve"> should be on a cost minimisation basis with the IV formulation of daratumumab.</w:t>
      </w:r>
    </w:p>
    <w:p w:rsidR="004E43BC" w:rsidRPr="006E187F" w:rsidRDefault="004E43BC" w:rsidP="004E1FEB">
      <w:pPr>
        <w:widowControl w:val="0"/>
        <w:numPr>
          <w:ilvl w:val="1"/>
          <w:numId w:val="1"/>
        </w:numPr>
        <w:spacing w:after="120"/>
        <w:rPr>
          <w:rFonts w:asciiTheme="minorHAnsi" w:hAnsiTheme="minorHAnsi"/>
          <w:bCs/>
          <w:snapToGrid w:val="0"/>
        </w:rPr>
      </w:pPr>
      <w:r w:rsidRPr="006E187F">
        <w:rPr>
          <w:rFonts w:asciiTheme="minorHAnsi" w:hAnsiTheme="minorHAnsi"/>
          <w:bCs/>
          <w:snapToGrid w:val="0"/>
        </w:rPr>
        <w:t xml:space="preserve">In making this recommendation, the PBAC agreed </w:t>
      </w:r>
      <w:r w:rsidR="00321EB2" w:rsidRPr="006E187F">
        <w:rPr>
          <w:rFonts w:asciiTheme="minorHAnsi" w:hAnsiTheme="minorHAnsi"/>
          <w:bCs/>
          <w:snapToGrid w:val="0"/>
        </w:rPr>
        <w:t xml:space="preserve">with the consumer comments that </w:t>
      </w:r>
      <w:r w:rsidRPr="006E187F">
        <w:rPr>
          <w:rFonts w:asciiTheme="minorHAnsi" w:hAnsiTheme="minorHAnsi"/>
          <w:bCs/>
          <w:snapToGrid w:val="0"/>
        </w:rPr>
        <w:t>the SC form of daratumumab offer</w:t>
      </w:r>
      <w:r w:rsidR="00321EB2" w:rsidRPr="006E187F">
        <w:rPr>
          <w:rFonts w:asciiTheme="minorHAnsi" w:hAnsiTheme="minorHAnsi"/>
          <w:bCs/>
          <w:snapToGrid w:val="0"/>
        </w:rPr>
        <w:t>ed</w:t>
      </w:r>
      <w:r w:rsidRPr="006E187F">
        <w:rPr>
          <w:rFonts w:asciiTheme="minorHAnsi" w:hAnsiTheme="minorHAnsi"/>
          <w:bCs/>
          <w:snapToGrid w:val="0"/>
        </w:rPr>
        <w:t xml:space="preserve"> additional </w:t>
      </w:r>
      <w:r w:rsidR="00321EB2" w:rsidRPr="006E187F">
        <w:rPr>
          <w:rFonts w:asciiTheme="minorHAnsi" w:hAnsiTheme="minorHAnsi"/>
          <w:bCs/>
          <w:snapToGrid w:val="0"/>
        </w:rPr>
        <w:t>quality of life and convenience benefits over the IV form.</w:t>
      </w:r>
    </w:p>
    <w:p w:rsidR="00321EB2" w:rsidRPr="006E187F" w:rsidRDefault="007114A8" w:rsidP="004E43BC">
      <w:pPr>
        <w:pStyle w:val="3-BodyText"/>
        <w:rPr>
          <w:bCs/>
        </w:rPr>
      </w:pPr>
      <w:r w:rsidRPr="006E187F">
        <w:rPr>
          <w:bCs/>
        </w:rPr>
        <w:t>The PBAC advised the equi-effective doses</w:t>
      </w:r>
      <w:r w:rsidR="00321EB2" w:rsidRPr="006E187F">
        <w:rPr>
          <w:bCs/>
        </w:rPr>
        <w:t>, based on the mean weight and dose intensity of the IV formulation reported in the CASTOR trial</w:t>
      </w:r>
      <w:r w:rsidRPr="006E187F">
        <w:rPr>
          <w:bCs/>
        </w:rPr>
        <w:t xml:space="preserve"> were</w:t>
      </w:r>
      <w:r w:rsidR="00321EB2" w:rsidRPr="006E187F">
        <w:rPr>
          <w:bCs/>
        </w:rPr>
        <w:t>:</w:t>
      </w:r>
      <w:r w:rsidRPr="006E187F">
        <w:rPr>
          <w:bCs/>
        </w:rPr>
        <w:t xml:space="preserve"> </w:t>
      </w:r>
    </w:p>
    <w:p w:rsidR="004E43BC" w:rsidRPr="006E187F" w:rsidRDefault="007114A8" w:rsidP="00321EB2">
      <w:pPr>
        <w:pStyle w:val="3-BodyText"/>
        <w:numPr>
          <w:ilvl w:val="0"/>
          <w:numId w:val="0"/>
        </w:numPr>
        <w:ind w:left="720" w:firstLine="720"/>
        <w:rPr>
          <w:bCs/>
        </w:rPr>
      </w:pPr>
      <w:r w:rsidRPr="006E187F">
        <w:rPr>
          <w:bCs/>
        </w:rPr>
        <w:t>1,800 mg daratumumab SC = 1,200 mg daratumumab IV</w:t>
      </w:r>
    </w:p>
    <w:p w:rsidR="000B5145" w:rsidRPr="006E187F" w:rsidRDefault="000B5145" w:rsidP="000B5145">
      <w:pPr>
        <w:widowControl w:val="0"/>
        <w:numPr>
          <w:ilvl w:val="1"/>
          <w:numId w:val="1"/>
        </w:numPr>
        <w:spacing w:after="120"/>
        <w:rPr>
          <w:rFonts w:asciiTheme="minorHAnsi" w:hAnsiTheme="minorHAnsi"/>
          <w:bCs/>
          <w:snapToGrid w:val="0"/>
        </w:rPr>
      </w:pPr>
      <w:r w:rsidRPr="006E187F">
        <w:rPr>
          <w:rFonts w:asciiTheme="minorHAnsi" w:hAnsiTheme="minorHAnsi"/>
          <w:bCs/>
          <w:snapToGrid w:val="0"/>
        </w:rPr>
        <w:t>The PBAC considered the nominated comparator of IV daratumumab was appropriate.</w:t>
      </w:r>
    </w:p>
    <w:p w:rsidR="004E1FEB" w:rsidRPr="006E187F" w:rsidRDefault="00321EB2" w:rsidP="00083146">
      <w:pPr>
        <w:widowControl w:val="0"/>
        <w:numPr>
          <w:ilvl w:val="1"/>
          <w:numId w:val="1"/>
        </w:numPr>
        <w:spacing w:after="120"/>
        <w:rPr>
          <w:bCs/>
        </w:rPr>
      </w:pPr>
      <w:r w:rsidRPr="006E187F">
        <w:rPr>
          <w:rFonts w:asciiTheme="minorHAnsi" w:hAnsiTheme="minorHAnsi"/>
          <w:bCs/>
          <w:snapToGrid w:val="0"/>
        </w:rPr>
        <w:t xml:space="preserve">The PBAC noted the clinical evidence presented which compared daratumumab SC monotherapy with daratumumab IV monotherapy (COLUMBA trial). </w:t>
      </w:r>
      <w:r w:rsidR="004E43BC" w:rsidRPr="006E187F">
        <w:rPr>
          <w:rFonts w:asciiTheme="minorHAnsi" w:hAnsiTheme="minorHAnsi"/>
          <w:bCs/>
          <w:snapToGrid w:val="0"/>
        </w:rPr>
        <w:t>T</w:t>
      </w:r>
      <w:r w:rsidR="00480A49" w:rsidRPr="006E187F">
        <w:rPr>
          <w:rFonts w:asciiTheme="minorHAnsi" w:hAnsiTheme="minorHAnsi"/>
          <w:bCs/>
          <w:snapToGrid w:val="0"/>
        </w:rPr>
        <w:t>he PBAC considered</w:t>
      </w:r>
      <w:r w:rsidR="004E43BC" w:rsidRPr="006E187F">
        <w:rPr>
          <w:rFonts w:asciiTheme="minorHAnsi" w:hAnsiTheme="minorHAnsi"/>
          <w:bCs/>
          <w:snapToGrid w:val="0"/>
        </w:rPr>
        <w:t xml:space="preserve"> the clinical evidence supported a conclusion that the</w:t>
      </w:r>
      <w:r w:rsidR="001A6F4D" w:rsidRPr="006E187F">
        <w:rPr>
          <w:rFonts w:asciiTheme="minorHAnsi" w:hAnsiTheme="minorHAnsi"/>
          <w:bCs/>
          <w:snapToGrid w:val="0"/>
        </w:rPr>
        <w:t xml:space="preserve"> 1,800</w:t>
      </w:r>
      <w:r w:rsidR="00EC2676" w:rsidRPr="006E187F">
        <w:rPr>
          <w:rFonts w:asciiTheme="minorHAnsi" w:hAnsiTheme="minorHAnsi"/>
          <w:bCs/>
          <w:snapToGrid w:val="0"/>
        </w:rPr>
        <w:t xml:space="preserve"> </w:t>
      </w:r>
      <w:r w:rsidR="001A6F4D" w:rsidRPr="006E187F">
        <w:rPr>
          <w:rFonts w:asciiTheme="minorHAnsi" w:hAnsiTheme="minorHAnsi"/>
          <w:bCs/>
          <w:snapToGrid w:val="0"/>
        </w:rPr>
        <w:t>mg flat dose</w:t>
      </w:r>
      <w:r w:rsidR="004E43BC" w:rsidRPr="006E187F">
        <w:rPr>
          <w:rFonts w:asciiTheme="minorHAnsi" w:hAnsiTheme="minorHAnsi"/>
          <w:bCs/>
          <w:snapToGrid w:val="0"/>
        </w:rPr>
        <w:t xml:space="preserve"> SC formulation of </w:t>
      </w:r>
      <w:r w:rsidR="001A6F4D" w:rsidRPr="006E187F">
        <w:rPr>
          <w:rFonts w:asciiTheme="minorHAnsi" w:hAnsiTheme="minorHAnsi"/>
          <w:bCs/>
          <w:snapToGrid w:val="0"/>
        </w:rPr>
        <w:t xml:space="preserve">daratumumab </w:t>
      </w:r>
      <w:r w:rsidRPr="006E187F">
        <w:rPr>
          <w:rFonts w:asciiTheme="minorHAnsi" w:hAnsiTheme="minorHAnsi"/>
          <w:bCs/>
          <w:snapToGrid w:val="0"/>
        </w:rPr>
        <w:t>was</w:t>
      </w:r>
      <w:r w:rsidR="001A6F4D" w:rsidRPr="006E187F">
        <w:rPr>
          <w:rFonts w:asciiTheme="minorHAnsi" w:hAnsiTheme="minorHAnsi"/>
          <w:bCs/>
          <w:snapToGrid w:val="0"/>
        </w:rPr>
        <w:t xml:space="preserve"> non-inferior </w:t>
      </w:r>
      <w:r w:rsidRPr="006E187F">
        <w:rPr>
          <w:rFonts w:asciiTheme="minorHAnsi" w:hAnsiTheme="minorHAnsi"/>
          <w:bCs/>
          <w:snapToGrid w:val="0"/>
        </w:rPr>
        <w:t xml:space="preserve">in terms of </w:t>
      </w:r>
      <w:r w:rsidR="001A6F4D" w:rsidRPr="006E187F">
        <w:rPr>
          <w:rFonts w:asciiTheme="minorHAnsi" w:hAnsiTheme="minorHAnsi"/>
          <w:bCs/>
          <w:snapToGrid w:val="0"/>
        </w:rPr>
        <w:t xml:space="preserve">comparative </w:t>
      </w:r>
      <w:r w:rsidRPr="006E187F">
        <w:rPr>
          <w:rFonts w:asciiTheme="minorHAnsi" w:hAnsiTheme="minorHAnsi"/>
          <w:bCs/>
          <w:snapToGrid w:val="0"/>
        </w:rPr>
        <w:t xml:space="preserve">efficacy and </w:t>
      </w:r>
      <w:r w:rsidR="001A6F4D" w:rsidRPr="006E187F">
        <w:rPr>
          <w:rFonts w:asciiTheme="minorHAnsi" w:hAnsiTheme="minorHAnsi"/>
          <w:bCs/>
          <w:snapToGrid w:val="0"/>
        </w:rPr>
        <w:t xml:space="preserve">safety </w:t>
      </w:r>
      <w:r w:rsidRPr="006E187F">
        <w:rPr>
          <w:rFonts w:asciiTheme="minorHAnsi" w:hAnsiTheme="minorHAnsi"/>
          <w:bCs/>
          <w:snapToGrid w:val="0"/>
        </w:rPr>
        <w:t xml:space="preserve">compared </w:t>
      </w:r>
      <w:r w:rsidR="001A6F4D" w:rsidRPr="006E187F">
        <w:rPr>
          <w:rFonts w:asciiTheme="minorHAnsi" w:hAnsiTheme="minorHAnsi"/>
          <w:bCs/>
          <w:snapToGrid w:val="0"/>
        </w:rPr>
        <w:t xml:space="preserve">to the </w:t>
      </w:r>
      <w:r w:rsidR="00480A49" w:rsidRPr="006E187F">
        <w:rPr>
          <w:rFonts w:asciiTheme="minorHAnsi" w:hAnsiTheme="minorHAnsi"/>
          <w:bCs/>
          <w:snapToGrid w:val="0"/>
        </w:rPr>
        <w:t>weight-based IV formulation of daratumumab</w:t>
      </w:r>
      <w:r w:rsidR="004E1FEB" w:rsidRPr="006E187F">
        <w:rPr>
          <w:rFonts w:asciiTheme="minorHAnsi" w:hAnsiTheme="minorHAnsi"/>
          <w:bCs/>
          <w:snapToGrid w:val="0"/>
        </w:rPr>
        <w:t xml:space="preserve">. </w:t>
      </w:r>
      <w:r w:rsidR="00480A49" w:rsidRPr="006E187F">
        <w:rPr>
          <w:rFonts w:asciiTheme="minorHAnsi" w:hAnsiTheme="minorHAnsi"/>
          <w:bCs/>
          <w:snapToGrid w:val="0"/>
        </w:rPr>
        <w:t xml:space="preserve">The </w:t>
      </w:r>
      <w:r w:rsidRPr="006E187F">
        <w:rPr>
          <w:rFonts w:asciiTheme="minorHAnsi" w:hAnsiTheme="minorHAnsi"/>
          <w:bCs/>
          <w:snapToGrid w:val="0"/>
        </w:rPr>
        <w:t xml:space="preserve">PBAC also </w:t>
      </w:r>
      <w:r w:rsidR="00480A49" w:rsidRPr="006E187F">
        <w:rPr>
          <w:rFonts w:asciiTheme="minorHAnsi" w:hAnsiTheme="minorHAnsi"/>
          <w:bCs/>
          <w:snapToGrid w:val="0"/>
        </w:rPr>
        <w:t>noted the TGA Delegate</w:t>
      </w:r>
      <w:r w:rsidRPr="006E187F">
        <w:rPr>
          <w:rFonts w:asciiTheme="minorHAnsi" w:hAnsiTheme="minorHAnsi"/>
          <w:bCs/>
          <w:snapToGrid w:val="0"/>
        </w:rPr>
        <w:t>’s Overview</w:t>
      </w:r>
      <w:r w:rsidR="00480A49" w:rsidRPr="006E187F">
        <w:rPr>
          <w:rFonts w:asciiTheme="minorHAnsi" w:hAnsiTheme="minorHAnsi"/>
          <w:bCs/>
          <w:snapToGrid w:val="0"/>
        </w:rPr>
        <w:t xml:space="preserve"> </w:t>
      </w:r>
      <w:r w:rsidRPr="006E187F">
        <w:rPr>
          <w:rFonts w:asciiTheme="minorHAnsi" w:hAnsiTheme="minorHAnsi"/>
          <w:bCs/>
          <w:snapToGrid w:val="0"/>
        </w:rPr>
        <w:t xml:space="preserve">which </w:t>
      </w:r>
      <w:r w:rsidR="00083146" w:rsidRPr="006E187F">
        <w:rPr>
          <w:rFonts w:asciiTheme="minorHAnsi" w:hAnsiTheme="minorHAnsi"/>
          <w:bCs/>
          <w:snapToGrid w:val="0"/>
        </w:rPr>
        <w:t xml:space="preserve">concluded that the data </w:t>
      </w:r>
      <w:r w:rsidR="00480A49" w:rsidRPr="006E187F">
        <w:rPr>
          <w:rFonts w:asciiTheme="minorHAnsi" w:hAnsiTheme="minorHAnsi"/>
          <w:bCs/>
          <w:snapToGrid w:val="0"/>
        </w:rPr>
        <w:t>from the COLUMBA trial</w:t>
      </w:r>
      <w:r w:rsidR="00083146" w:rsidRPr="006E187F">
        <w:rPr>
          <w:rFonts w:asciiTheme="minorHAnsi" w:hAnsiTheme="minorHAnsi"/>
          <w:bCs/>
          <w:snapToGrid w:val="0"/>
        </w:rPr>
        <w:t xml:space="preserve"> supported the use of daratumumab SC in all the indications for which the IV administration is currently approved</w:t>
      </w:r>
      <w:r w:rsidR="00480A49" w:rsidRPr="006E187F">
        <w:rPr>
          <w:rFonts w:asciiTheme="minorHAnsi" w:hAnsiTheme="minorHAnsi"/>
          <w:bCs/>
          <w:snapToGrid w:val="0"/>
        </w:rPr>
        <w:t xml:space="preserve">, </w:t>
      </w:r>
      <w:r w:rsidR="00083146" w:rsidRPr="006E187F">
        <w:rPr>
          <w:rFonts w:asciiTheme="minorHAnsi" w:hAnsiTheme="minorHAnsi"/>
          <w:bCs/>
          <w:snapToGrid w:val="0"/>
        </w:rPr>
        <w:t xml:space="preserve">including </w:t>
      </w:r>
      <w:r w:rsidR="00480A49" w:rsidRPr="006E187F">
        <w:rPr>
          <w:rFonts w:asciiTheme="minorHAnsi" w:hAnsiTheme="minorHAnsi"/>
          <w:bCs/>
          <w:snapToGrid w:val="0"/>
        </w:rPr>
        <w:t>its combination use indications, which form the basis of the current PBS listings for daratumumab.</w:t>
      </w:r>
    </w:p>
    <w:p w:rsidR="004E1FEB" w:rsidRPr="006E187F" w:rsidRDefault="000B5145" w:rsidP="004E1FEB">
      <w:pPr>
        <w:widowControl w:val="0"/>
        <w:numPr>
          <w:ilvl w:val="1"/>
          <w:numId w:val="1"/>
        </w:numPr>
        <w:spacing w:after="120"/>
        <w:rPr>
          <w:rFonts w:asciiTheme="minorHAnsi" w:hAnsiTheme="minorHAnsi"/>
          <w:bCs/>
          <w:snapToGrid w:val="0"/>
        </w:rPr>
      </w:pPr>
      <w:r w:rsidRPr="006E187F">
        <w:rPr>
          <w:rFonts w:asciiTheme="minorHAnsi" w:hAnsiTheme="minorHAnsi"/>
          <w:bCs/>
          <w:snapToGrid w:val="0"/>
        </w:rPr>
        <w:t xml:space="preserve">The PBAC considered the cost minimisation analysis presented </w:t>
      </w:r>
      <w:r w:rsidR="00083146" w:rsidRPr="006E187F">
        <w:rPr>
          <w:rFonts w:asciiTheme="minorHAnsi" w:hAnsiTheme="minorHAnsi"/>
          <w:bCs/>
          <w:snapToGrid w:val="0"/>
        </w:rPr>
        <w:t xml:space="preserve">in the submission </w:t>
      </w:r>
      <w:r w:rsidRPr="006E187F">
        <w:rPr>
          <w:rFonts w:asciiTheme="minorHAnsi" w:hAnsiTheme="minorHAnsi"/>
          <w:bCs/>
          <w:snapToGrid w:val="0"/>
        </w:rPr>
        <w:t>was reasonable</w:t>
      </w:r>
      <w:r w:rsidR="00083146" w:rsidRPr="006E187F">
        <w:rPr>
          <w:rFonts w:asciiTheme="minorHAnsi" w:hAnsiTheme="minorHAnsi"/>
          <w:bCs/>
          <w:snapToGrid w:val="0"/>
        </w:rPr>
        <w:t>,</w:t>
      </w:r>
      <w:r w:rsidRPr="006E187F">
        <w:rPr>
          <w:rFonts w:asciiTheme="minorHAnsi" w:hAnsiTheme="minorHAnsi"/>
          <w:bCs/>
          <w:snapToGrid w:val="0"/>
        </w:rPr>
        <w:t xml:space="preserve"> not</w:t>
      </w:r>
      <w:r w:rsidR="00083146" w:rsidRPr="006E187F">
        <w:rPr>
          <w:rFonts w:asciiTheme="minorHAnsi" w:hAnsiTheme="minorHAnsi"/>
          <w:bCs/>
          <w:snapToGrid w:val="0"/>
        </w:rPr>
        <w:t>ing that</w:t>
      </w:r>
      <w:r w:rsidRPr="006E187F">
        <w:rPr>
          <w:rFonts w:asciiTheme="minorHAnsi" w:hAnsiTheme="minorHAnsi"/>
          <w:bCs/>
          <w:snapToGrid w:val="0"/>
        </w:rPr>
        <w:t xml:space="preserve"> </w:t>
      </w:r>
      <w:r w:rsidR="00C56931">
        <w:rPr>
          <w:rFonts w:asciiTheme="minorHAnsi" w:hAnsiTheme="minorHAnsi"/>
          <w:bCs/>
          <w:snapToGrid w:val="0"/>
        </w:rPr>
        <w:t xml:space="preserve">dispensed </w:t>
      </w:r>
      <w:r w:rsidRPr="006E187F">
        <w:rPr>
          <w:rFonts w:asciiTheme="minorHAnsi" w:hAnsiTheme="minorHAnsi"/>
          <w:bCs/>
          <w:snapToGrid w:val="0"/>
        </w:rPr>
        <w:t xml:space="preserve">price </w:t>
      </w:r>
      <w:r w:rsidR="00FD3BC0">
        <w:rPr>
          <w:rFonts w:asciiTheme="minorHAnsi" w:hAnsiTheme="minorHAnsi"/>
          <w:bCs/>
          <w:snapToGrid w:val="0"/>
        </w:rPr>
        <w:t>of</w:t>
      </w:r>
      <w:r w:rsidR="00FD3BC0" w:rsidRPr="006E187F">
        <w:rPr>
          <w:rFonts w:asciiTheme="minorHAnsi" w:hAnsiTheme="minorHAnsi"/>
          <w:bCs/>
          <w:snapToGrid w:val="0"/>
        </w:rPr>
        <w:t xml:space="preserve"> </w:t>
      </w:r>
      <w:r w:rsidRPr="006E187F">
        <w:rPr>
          <w:rFonts w:asciiTheme="minorHAnsi" w:hAnsiTheme="minorHAnsi"/>
          <w:bCs/>
          <w:snapToGrid w:val="0"/>
        </w:rPr>
        <w:t xml:space="preserve">the SC </w:t>
      </w:r>
      <w:r w:rsidR="00FD3BC0">
        <w:rPr>
          <w:rFonts w:asciiTheme="minorHAnsi" w:hAnsiTheme="minorHAnsi"/>
          <w:bCs/>
          <w:snapToGrid w:val="0"/>
        </w:rPr>
        <w:t xml:space="preserve">formulation would vary from that of the </w:t>
      </w:r>
      <w:r w:rsidRPr="006E187F">
        <w:rPr>
          <w:rFonts w:asciiTheme="minorHAnsi" w:hAnsiTheme="minorHAnsi"/>
          <w:bCs/>
          <w:snapToGrid w:val="0"/>
        </w:rPr>
        <w:t xml:space="preserve">IV </w:t>
      </w:r>
      <w:r w:rsidR="00083146" w:rsidRPr="006E187F">
        <w:rPr>
          <w:rFonts w:asciiTheme="minorHAnsi" w:hAnsiTheme="minorHAnsi"/>
          <w:bCs/>
          <w:snapToGrid w:val="0"/>
        </w:rPr>
        <w:t>formulation</w:t>
      </w:r>
      <w:r w:rsidR="00BE5C17">
        <w:rPr>
          <w:rFonts w:asciiTheme="minorHAnsi" w:hAnsiTheme="minorHAnsi"/>
          <w:bCs/>
          <w:snapToGrid w:val="0"/>
        </w:rPr>
        <w:t xml:space="preserve"> </w:t>
      </w:r>
      <w:r w:rsidR="00FD3BC0">
        <w:rPr>
          <w:rFonts w:asciiTheme="minorHAnsi" w:hAnsiTheme="minorHAnsi"/>
          <w:bCs/>
          <w:snapToGrid w:val="0"/>
        </w:rPr>
        <w:t xml:space="preserve">due to </w:t>
      </w:r>
      <w:r w:rsidRPr="006E187F">
        <w:rPr>
          <w:rFonts w:asciiTheme="minorHAnsi" w:hAnsiTheme="minorHAnsi"/>
          <w:bCs/>
          <w:snapToGrid w:val="0"/>
        </w:rPr>
        <w:t xml:space="preserve">differences in </w:t>
      </w:r>
      <w:r w:rsidR="00083146" w:rsidRPr="006E187F">
        <w:rPr>
          <w:rFonts w:asciiTheme="minorHAnsi" w:hAnsiTheme="minorHAnsi"/>
          <w:bCs/>
          <w:snapToGrid w:val="0"/>
        </w:rPr>
        <w:t xml:space="preserve">the </w:t>
      </w:r>
      <w:r w:rsidRPr="006E187F">
        <w:rPr>
          <w:rFonts w:asciiTheme="minorHAnsi" w:hAnsiTheme="minorHAnsi"/>
          <w:bCs/>
          <w:snapToGrid w:val="0"/>
        </w:rPr>
        <w:t>mark-ups between the different schedules.</w:t>
      </w:r>
    </w:p>
    <w:p w:rsidR="0037637B" w:rsidRPr="006E187F" w:rsidRDefault="00715F38" w:rsidP="004E1FEB">
      <w:pPr>
        <w:widowControl w:val="0"/>
        <w:numPr>
          <w:ilvl w:val="1"/>
          <w:numId w:val="1"/>
        </w:numPr>
        <w:spacing w:after="120"/>
      </w:pPr>
      <w:r w:rsidRPr="006E187F">
        <w:rPr>
          <w:rFonts w:asciiTheme="minorHAnsi" w:hAnsiTheme="minorHAnsi"/>
          <w:bCs/>
          <w:snapToGrid w:val="0"/>
        </w:rPr>
        <w:t xml:space="preserve">The PBAC </w:t>
      </w:r>
      <w:r w:rsidR="00FD3BC0">
        <w:rPr>
          <w:rFonts w:asciiTheme="minorHAnsi" w:hAnsiTheme="minorHAnsi"/>
          <w:bCs/>
          <w:snapToGrid w:val="0"/>
        </w:rPr>
        <w:t xml:space="preserve">considered that although there would be minor differences </w:t>
      </w:r>
      <w:r w:rsidRPr="006E187F">
        <w:rPr>
          <w:rFonts w:asciiTheme="minorHAnsi" w:hAnsiTheme="minorHAnsi"/>
          <w:bCs/>
          <w:snapToGrid w:val="0"/>
        </w:rPr>
        <w:t xml:space="preserve">due to the differences in mark-ups between </w:t>
      </w:r>
      <w:r w:rsidR="00083146" w:rsidRPr="006E187F">
        <w:rPr>
          <w:rFonts w:asciiTheme="minorHAnsi" w:hAnsiTheme="minorHAnsi"/>
          <w:bCs/>
          <w:snapToGrid w:val="0"/>
        </w:rPr>
        <w:t xml:space="preserve">the </w:t>
      </w:r>
      <w:r w:rsidRPr="006E187F">
        <w:rPr>
          <w:rFonts w:asciiTheme="minorHAnsi" w:hAnsiTheme="minorHAnsi"/>
          <w:bCs/>
          <w:snapToGrid w:val="0"/>
        </w:rPr>
        <w:t>schedules</w:t>
      </w:r>
      <w:r w:rsidR="00083146" w:rsidRPr="006E187F">
        <w:rPr>
          <w:rFonts w:asciiTheme="minorHAnsi" w:hAnsiTheme="minorHAnsi"/>
          <w:bCs/>
          <w:snapToGrid w:val="0"/>
        </w:rPr>
        <w:t>,</w:t>
      </w:r>
      <w:r w:rsidRPr="006E187F">
        <w:rPr>
          <w:rFonts w:asciiTheme="minorHAnsi" w:hAnsiTheme="minorHAnsi"/>
          <w:bCs/>
          <w:snapToGrid w:val="0"/>
        </w:rPr>
        <w:t xml:space="preserve"> daratumumab SC </w:t>
      </w:r>
      <w:r w:rsidR="00FD3BC0">
        <w:rPr>
          <w:rFonts w:asciiTheme="minorHAnsi" w:hAnsiTheme="minorHAnsi"/>
          <w:bCs/>
          <w:snapToGrid w:val="0"/>
        </w:rPr>
        <w:t xml:space="preserve">would essentially be cost neutral </w:t>
      </w:r>
      <w:r w:rsidRPr="006E187F">
        <w:rPr>
          <w:rFonts w:asciiTheme="minorHAnsi" w:hAnsiTheme="minorHAnsi"/>
          <w:bCs/>
          <w:snapToGrid w:val="0"/>
        </w:rPr>
        <w:t xml:space="preserve">compared to the current IV listing. </w:t>
      </w:r>
    </w:p>
    <w:p w:rsidR="004E1FEB" w:rsidRPr="006E187F" w:rsidRDefault="00715F38" w:rsidP="004E1FEB">
      <w:pPr>
        <w:widowControl w:val="0"/>
        <w:numPr>
          <w:ilvl w:val="1"/>
          <w:numId w:val="1"/>
        </w:numPr>
        <w:spacing w:after="120"/>
      </w:pPr>
      <w:r w:rsidRPr="006E187F">
        <w:rPr>
          <w:rFonts w:asciiTheme="minorHAnsi" w:hAnsiTheme="minorHAnsi"/>
          <w:bCs/>
          <w:snapToGrid w:val="0"/>
        </w:rPr>
        <w:t xml:space="preserve">The </w:t>
      </w:r>
      <w:r w:rsidR="0037637B" w:rsidRPr="006E187F">
        <w:rPr>
          <w:rFonts w:asciiTheme="minorHAnsi" w:hAnsiTheme="minorHAnsi"/>
          <w:bCs/>
          <w:snapToGrid w:val="0"/>
        </w:rPr>
        <w:t xml:space="preserve">PBAC considered that it would be </w:t>
      </w:r>
      <w:r w:rsidRPr="006E187F">
        <w:rPr>
          <w:rFonts w:asciiTheme="minorHAnsi" w:hAnsiTheme="minorHAnsi"/>
          <w:bCs/>
          <w:snapToGrid w:val="0"/>
        </w:rPr>
        <w:t xml:space="preserve">reasonable </w:t>
      </w:r>
      <w:r w:rsidR="002C22A8">
        <w:rPr>
          <w:rFonts w:asciiTheme="minorHAnsi" w:hAnsiTheme="minorHAnsi"/>
          <w:bCs/>
          <w:snapToGrid w:val="0"/>
        </w:rPr>
        <w:t xml:space="preserve">for daratumumab SC to join the existing </w:t>
      </w:r>
      <w:r w:rsidRPr="006E187F">
        <w:rPr>
          <w:rFonts w:asciiTheme="minorHAnsi" w:hAnsiTheme="minorHAnsi"/>
          <w:bCs/>
          <w:snapToGrid w:val="0"/>
        </w:rPr>
        <w:t xml:space="preserve">RSA caps at </w:t>
      </w:r>
      <w:r w:rsidR="00C56931">
        <w:rPr>
          <w:rFonts w:asciiTheme="minorHAnsi" w:hAnsiTheme="minorHAnsi"/>
          <w:bCs/>
          <w:snapToGrid w:val="0"/>
        </w:rPr>
        <w:t>the</w:t>
      </w:r>
      <w:r w:rsidR="00C56931" w:rsidRPr="006E187F">
        <w:rPr>
          <w:rFonts w:asciiTheme="minorHAnsi" w:hAnsiTheme="minorHAnsi"/>
          <w:bCs/>
          <w:snapToGrid w:val="0"/>
        </w:rPr>
        <w:t xml:space="preserve"> </w:t>
      </w:r>
      <w:r w:rsidRPr="006E187F">
        <w:rPr>
          <w:rFonts w:asciiTheme="minorHAnsi" w:hAnsiTheme="minorHAnsi"/>
          <w:bCs/>
          <w:snapToGrid w:val="0"/>
        </w:rPr>
        <w:t>current levels</w:t>
      </w:r>
      <w:r w:rsidR="00C56931">
        <w:rPr>
          <w:rFonts w:asciiTheme="minorHAnsi" w:hAnsiTheme="minorHAnsi"/>
          <w:bCs/>
          <w:snapToGrid w:val="0"/>
        </w:rPr>
        <w:t xml:space="preserve"> established for the IV form as </w:t>
      </w:r>
      <w:r w:rsidRPr="006E187F">
        <w:rPr>
          <w:rFonts w:asciiTheme="minorHAnsi" w:hAnsiTheme="minorHAnsi"/>
          <w:bCs/>
          <w:snapToGrid w:val="0"/>
        </w:rPr>
        <w:t xml:space="preserve">the </w:t>
      </w:r>
      <w:r w:rsidR="00C56931">
        <w:rPr>
          <w:rFonts w:asciiTheme="minorHAnsi" w:hAnsiTheme="minorHAnsi"/>
          <w:bCs/>
          <w:snapToGrid w:val="0"/>
        </w:rPr>
        <w:t xml:space="preserve">existing </w:t>
      </w:r>
      <w:r w:rsidRPr="006E187F">
        <w:rPr>
          <w:rFonts w:asciiTheme="minorHAnsi" w:hAnsiTheme="minorHAnsi"/>
          <w:bCs/>
          <w:snapToGrid w:val="0"/>
        </w:rPr>
        <w:t xml:space="preserve">RSA </w:t>
      </w:r>
      <w:r w:rsidR="00C56931">
        <w:rPr>
          <w:rFonts w:asciiTheme="minorHAnsi" w:hAnsiTheme="minorHAnsi"/>
          <w:bCs/>
          <w:snapToGrid w:val="0"/>
        </w:rPr>
        <w:t xml:space="preserve">structure </w:t>
      </w:r>
      <w:r w:rsidR="00733F84">
        <w:rPr>
          <w:rFonts w:asciiTheme="minorHAnsi" w:hAnsiTheme="minorHAnsi"/>
          <w:bCs/>
          <w:noProof/>
          <w:snapToGrid w:val="0"/>
          <w:color w:val="000000"/>
          <w:highlight w:val="black"/>
        </w:rPr>
        <w:t>''''''' ''''''''''''''' '''''' ''''' '''''''''''''''''''''''' '''''''''' '''''' ''''''' ''''''''''''''''''''''''''''''' '''' '''''''''''''''''''''''''''</w:t>
      </w:r>
    </w:p>
    <w:p w:rsidR="00083146" w:rsidRPr="006E187F" w:rsidRDefault="00083146" w:rsidP="00083146">
      <w:pPr>
        <w:widowControl w:val="0"/>
        <w:numPr>
          <w:ilvl w:val="1"/>
          <w:numId w:val="1"/>
        </w:numPr>
        <w:spacing w:after="40"/>
        <w:contextualSpacing/>
        <w:rPr>
          <w:rFonts w:asciiTheme="minorHAnsi" w:hAnsiTheme="minorHAnsi"/>
          <w:bCs/>
          <w:snapToGrid w:val="0"/>
        </w:rPr>
      </w:pPr>
      <w:r w:rsidRPr="006E187F">
        <w:rPr>
          <w:rFonts w:asciiTheme="minorHAnsi" w:hAnsiTheme="minorHAnsi"/>
          <w:bCs/>
          <w:snapToGrid w:val="0"/>
        </w:rPr>
        <w:t xml:space="preserve">Regarding the proposed restriction, the PBAC considered the listing for daratumumab SC should mirror that of the current IV listing (albeit in the </w:t>
      </w:r>
      <w:r w:rsidR="00FD3BC0">
        <w:rPr>
          <w:rFonts w:asciiTheme="minorHAnsi" w:hAnsiTheme="minorHAnsi"/>
          <w:bCs/>
          <w:snapToGrid w:val="0"/>
        </w:rPr>
        <w:t>listed schedules</w:t>
      </w:r>
      <w:r w:rsidRPr="006E187F">
        <w:rPr>
          <w:rFonts w:asciiTheme="minorHAnsi" w:hAnsiTheme="minorHAnsi"/>
          <w:bCs/>
          <w:snapToGrid w:val="0"/>
        </w:rPr>
        <w:t>) and</w:t>
      </w:r>
      <w:r w:rsidR="00FD3BC0">
        <w:rPr>
          <w:rFonts w:asciiTheme="minorHAnsi" w:hAnsiTheme="minorHAnsi"/>
          <w:bCs/>
          <w:snapToGrid w:val="0"/>
        </w:rPr>
        <w:t xml:space="preserve"> </w:t>
      </w:r>
      <w:r w:rsidR="005D7093">
        <w:rPr>
          <w:rFonts w:asciiTheme="minorHAnsi" w:hAnsiTheme="minorHAnsi"/>
          <w:bCs/>
          <w:snapToGrid w:val="0"/>
        </w:rPr>
        <w:t>permit</w:t>
      </w:r>
      <w:r w:rsidRPr="006E187F">
        <w:rPr>
          <w:rFonts w:asciiTheme="minorHAnsi" w:hAnsiTheme="minorHAnsi"/>
          <w:bCs/>
          <w:snapToGrid w:val="0"/>
        </w:rPr>
        <w:t>:</w:t>
      </w:r>
    </w:p>
    <w:p w:rsidR="00083146" w:rsidRPr="006E187F" w:rsidRDefault="005D7093" w:rsidP="00083146">
      <w:pPr>
        <w:pStyle w:val="ListParagraph"/>
        <w:widowControl w:val="0"/>
        <w:numPr>
          <w:ilvl w:val="0"/>
          <w:numId w:val="15"/>
        </w:numPr>
        <w:spacing w:after="40"/>
        <w:ind w:left="1077" w:hanging="357"/>
        <w:rPr>
          <w:bCs/>
        </w:rPr>
      </w:pPr>
      <w:r>
        <w:rPr>
          <w:bCs/>
        </w:rPr>
        <w:t xml:space="preserve">switching between </w:t>
      </w:r>
      <w:r w:rsidR="00083146" w:rsidRPr="006E187F">
        <w:rPr>
          <w:bCs/>
        </w:rPr>
        <w:t xml:space="preserve">the IV formulation </w:t>
      </w:r>
      <w:r>
        <w:rPr>
          <w:bCs/>
        </w:rPr>
        <w:t xml:space="preserve">and </w:t>
      </w:r>
      <w:r w:rsidR="00083146" w:rsidRPr="006E187F">
        <w:rPr>
          <w:bCs/>
        </w:rPr>
        <w:t>the SC formulation; and</w:t>
      </w:r>
    </w:p>
    <w:p w:rsidR="00083146" w:rsidRPr="006E187F" w:rsidRDefault="00083146" w:rsidP="00083146">
      <w:pPr>
        <w:pStyle w:val="ListParagraph"/>
        <w:widowControl w:val="0"/>
        <w:numPr>
          <w:ilvl w:val="0"/>
          <w:numId w:val="15"/>
        </w:numPr>
        <w:ind w:left="1077" w:hanging="357"/>
        <w:contextualSpacing/>
        <w:rPr>
          <w:bCs/>
        </w:rPr>
      </w:pPr>
      <w:r w:rsidRPr="006E187F">
        <w:rPr>
          <w:bCs/>
        </w:rPr>
        <w:t xml:space="preserve">a grandfather restriction to allow for patients entering a planned product familiarisation program to transition to PBS subsidised therapy. The PBAC noted the sponsor </w:t>
      </w:r>
      <w:r w:rsidR="00D42206" w:rsidRPr="006E187F">
        <w:rPr>
          <w:bCs/>
        </w:rPr>
        <w:t>stated that</w:t>
      </w:r>
      <w:r w:rsidRPr="006E187F">
        <w:rPr>
          <w:bCs/>
        </w:rPr>
        <w:t xml:space="preserve"> the grandfather restriction would be required for </w:t>
      </w:r>
      <w:r w:rsidR="00D42206" w:rsidRPr="006E187F">
        <w:rPr>
          <w:bCs/>
        </w:rPr>
        <w:t>three</w:t>
      </w:r>
      <w:r w:rsidRPr="006E187F">
        <w:rPr>
          <w:bCs/>
        </w:rPr>
        <w:t xml:space="preserve"> months </w:t>
      </w:r>
      <w:r w:rsidR="00D42206" w:rsidRPr="006E187F">
        <w:rPr>
          <w:bCs/>
        </w:rPr>
        <w:t xml:space="preserve">only </w:t>
      </w:r>
      <w:r w:rsidRPr="006E187F">
        <w:rPr>
          <w:bCs/>
        </w:rPr>
        <w:t xml:space="preserve">and considered </w:t>
      </w:r>
      <w:r w:rsidR="00D42206" w:rsidRPr="006E187F">
        <w:rPr>
          <w:bCs/>
        </w:rPr>
        <w:t xml:space="preserve">that </w:t>
      </w:r>
      <w:r w:rsidRPr="006E187F">
        <w:rPr>
          <w:bCs/>
        </w:rPr>
        <w:t>this was reasonable.</w:t>
      </w:r>
    </w:p>
    <w:p w:rsidR="004E1FEB" w:rsidRPr="006E187F" w:rsidRDefault="004E1FEB" w:rsidP="00BB6478">
      <w:pPr>
        <w:widowControl w:val="0"/>
        <w:numPr>
          <w:ilvl w:val="1"/>
          <w:numId w:val="1"/>
        </w:numPr>
        <w:spacing w:after="120"/>
        <w:rPr>
          <w:rFonts w:asciiTheme="minorHAnsi" w:hAnsiTheme="minorHAnsi"/>
          <w:bCs/>
          <w:snapToGrid w:val="0"/>
        </w:rPr>
      </w:pPr>
      <w:r w:rsidRPr="006E187F">
        <w:rPr>
          <w:rFonts w:asciiTheme="minorHAnsi" w:hAnsiTheme="minorHAnsi"/>
          <w:bCs/>
          <w:snapToGrid w:val="0"/>
        </w:rPr>
        <w:t xml:space="preserve">The PBAC advised, under </w:t>
      </w:r>
      <w:r w:rsidRPr="00B100FA">
        <w:rPr>
          <w:rFonts w:asciiTheme="minorHAnsi" w:hAnsiTheme="minorHAnsi"/>
          <w:bCs/>
          <w:i/>
          <w:iCs/>
          <w:snapToGrid w:val="0"/>
        </w:rPr>
        <w:t>Section 101 (4AACD) of the National Health Act</w:t>
      </w:r>
      <w:r w:rsidRPr="006E187F">
        <w:rPr>
          <w:rFonts w:asciiTheme="minorHAnsi" w:hAnsiTheme="minorHAnsi"/>
          <w:bCs/>
          <w:snapToGrid w:val="0"/>
        </w:rPr>
        <w:t xml:space="preserve">, that </w:t>
      </w:r>
      <w:r w:rsidR="00BB6478" w:rsidRPr="006E187F">
        <w:rPr>
          <w:rFonts w:asciiTheme="minorHAnsi" w:hAnsiTheme="minorHAnsi"/>
          <w:bCs/>
          <w:snapToGrid w:val="0"/>
        </w:rPr>
        <w:t>the SC and IV forms of daratumumab should not</w:t>
      </w:r>
      <w:r w:rsidRPr="006E187F">
        <w:rPr>
          <w:rFonts w:asciiTheme="minorHAnsi" w:hAnsiTheme="minorHAnsi"/>
          <w:bCs/>
          <w:snapToGrid w:val="0"/>
        </w:rPr>
        <w:t xml:space="preserve"> </w:t>
      </w:r>
      <w:r w:rsidR="00B100FA">
        <w:rPr>
          <w:rFonts w:asciiTheme="minorHAnsi" w:hAnsiTheme="minorHAnsi"/>
          <w:bCs/>
          <w:snapToGrid w:val="0"/>
        </w:rPr>
        <w:t xml:space="preserve">be </w:t>
      </w:r>
      <w:r w:rsidRPr="006E187F">
        <w:rPr>
          <w:rFonts w:asciiTheme="minorHAnsi" w:hAnsiTheme="minorHAnsi"/>
          <w:bCs/>
          <w:snapToGrid w:val="0"/>
        </w:rPr>
        <w:t>considered equivalent f</w:t>
      </w:r>
      <w:r w:rsidR="00BB6478" w:rsidRPr="006E187F">
        <w:rPr>
          <w:rFonts w:asciiTheme="minorHAnsi" w:hAnsiTheme="minorHAnsi"/>
          <w:bCs/>
          <w:snapToGrid w:val="0"/>
        </w:rPr>
        <w:t>or the purposes of substitution, given the differences in dosing, preparation and administration requirements.</w:t>
      </w:r>
    </w:p>
    <w:p w:rsidR="004E1FEB" w:rsidRPr="006E187F" w:rsidRDefault="004E1FEB" w:rsidP="00BB6478">
      <w:pPr>
        <w:widowControl w:val="0"/>
        <w:numPr>
          <w:ilvl w:val="1"/>
          <w:numId w:val="1"/>
        </w:numPr>
        <w:spacing w:after="120"/>
        <w:rPr>
          <w:rFonts w:asciiTheme="minorHAnsi" w:hAnsiTheme="minorHAnsi"/>
          <w:bCs/>
          <w:snapToGrid w:val="0"/>
        </w:rPr>
      </w:pPr>
      <w:r w:rsidRPr="006E187F">
        <w:rPr>
          <w:rFonts w:asciiTheme="minorHAnsi" w:hAnsiTheme="minorHAnsi"/>
          <w:bCs/>
          <w:snapToGrid w:val="0"/>
        </w:rPr>
        <w:t xml:space="preserve">The PBAC noted that its recommendation was on a cost-minimisation basis and advised that, because </w:t>
      </w:r>
      <w:r w:rsidR="00BB6478" w:rsidRPr="006E187F">
        <w:rPr>
          <w:rFonts w:asciiTheme="minorHAnsi" w:hAnsiTheme="minorHAnsi"/>
          <w:bCs/>
          <w:snapToGrid w:val="0"/>
        </w:rPr>
        <w:t xml:space="preserve">the SC form of daratumumab </w:t>
      </w:r>
      <w:r w:rsidRPr="006E187F">
        <w:rPr>
          <w:rFonts w:asciiTheme="minorHAnsi" w:hAnsiTheme="minorHAnsi"/>
          <w:bCs/>
          <w:snapToGrid w:val="0"/>
        </w:rPr>
        <w:t xml:space="preserve">is not expected to provide a substantial and clinically relevant improvement in efficacy, </w:t>
      </w:r>
      <w:r w:rsidR="00BB6478" w:rsidRPr="006E187F">
        <w:rPr>
          <w:rFonts w:asciiTheme="minorHAnsi" w:hAnsiTheme="minorHAnsi"/>
          <w:bCs/>
          <w:snapToGrid w:val="0"/>
        </w:rPr>
        <w:t>or reduction of toxicity, over its IV form</w:t>
      </w:r>
      <w:r w:rsidRPr="006E187F">
        <w:rPr>
          <w:rFonts w:asciiTheme="minorHAnsi" w:hAnsiTheme="minorHAnsi"/>
          <w:bCs/>
          <w:snapToGrid w:val="0"/>
        </w:rPr>
        <w:t xml:space="preserve">, </w:t>
      </w:r>
      <w:r w:rsidR="00D42206" w:rsidRPr="006E187F">
        <w:rPr>
          <w:rFonts w:asciiTheme="minorHAnsi" w:hAnsiTheme="minorHAnsi"/>
          <w:bCs/>
          <w:snapToGrid w:val="0"/>
        </w:rPr>
        <w:t xml:space="preserve">and </w:t>
      </w:r>
      <w:r w:rsidRPr="006E187F">
        <w:rPr>
          <w:rFonts w:asciiTheme="minorHAnsi" w:hAnsiTheme="minorHAnsi"/>
          <w:bCs/>
          <w:snapToGrid w:val="0"/>
        </w:rPr>
        <w:t>not expected to address a high and urgent unmet clinical need given the presence of an alternative therapy, the criteria prescribed by the National Health (Pharmaceuticals and Vaccines – Cost Recovery) Regulations 2009 for Pricing Pathway A were not met.</w:t>
      </w:r>
    </w:p>
    <w:p w:rsidR="004E1FEB" w:rsidRPr="006E187F" w:rsidRDefault="004E1FEB" w:rsidP="00BB6478">
      <w:pPr>
        <w:widowControl w:val="0"/>
        <w:numPr>
          <w:ilvl w:val="1"/>
          <w:numId w:val="1"/>
        </w:numPr>
        <w:spacing w:after="120"/>
        <w:rPr>
          <w:rFonts w:asciiTheme="minorHAnsi" w:hAnsiTheme="minorHAnsi"/>
          <w:bCs/>
          <w:snapToGrid w:val="0"/>
        </w:rPr>
      </w:pPr>
      <w:r w:rsidRPr="006E187F">
        <w:rPr>
          <w:rFonts w:asciiTheme="minorHAnsi" w:hAnsiTheme="minorHAnsi"/>
          <w:bCs/>
          <w:snapToGrid w:val="0"/>
        </w:rPr>
        <w:t>The PBA</w:t>
      </w:r>
      <w:r w:rsidR="00BB6478" w:rsidRPr="006E187F">
        <w:rPr>
          <w:rFonts w:asciiTheme="minorHAnsi" w:hAnsiTheme="minorHAnsi"/>
          <w:bCs/>
          <w:snapToGrid w:val="0"/>
        </w:rPr>
        <w:t xml:space="preserve">C noted that this submission </w:t>
      </w:r>
      <w:r w:rsidRPr="006E187F">
        <w:rPr>
          <w:rFonts w:asciiTheme="minorHAnsi" w:hAnsiTheme="minorHAnsi"/>
          <w:bCs/>
          <w:snapToGrid w:val="0"/>
        </w:rPr>
        <w:t>is not elig</w:t>
      </w:r>
      <w:r w:rsidR="00BB6478" w:rsidRPr="006E187F">
        <w:rPr>
          <w:rFonts w:asciiTheme="minorHAnsi" w:hAnsiTheme="minorHAnsi"/>
          <w:bCs/>
          <w:snapToGrid w:val="0"/>
        </w:rPr>
        <w:t>ible for an Independent Review as it received a positive recommendation.</w:t>
      </w:r>
    </w:p>
    <w:p w:rsidR="004E1FEB" w:rsidRPr="006E187F" w:rsidRDefault="00BB6478" w:rsidP="00BB6478">
      <w:pPr>
        <w:spacing w:before="240"/>
        <w:rPr>
          <w:rFonts w:asciiTheme="minorHAnsi" w:hAnsiTheme="minorHAnsi"/>
          <w:b/>
          <w:bCs/>
          <w:snapToGrid w:val="0"/>
        </w:rPr>
      </w:pPr>
      <w:r w:rsidRPr="006E187F">
        <w:rPr>
          <w:rFonts w:asciiTheme="minorHAnsi" w:hAnsiTheme="minorHAnsi"/>
          <w:b/>
          <w:bCs/>
          <w:snapToGrid w:val="0"/>
        </w:rPr>
        <w:t xml:space="preserve">Outcome: </w:t>
      </w:r>
      <w:r w:rsidRPr="006E187F">
        <w:rPr>
          <w:rFonts w:asciiTheme="minorHAnsi" w:hAnsiTheme="minorHAnsi"/>
          <w:b/>
          <w:bCs/>
          <w:snapToGrid w:val="0"/>
        </w:rPr>
        <w:br/>
      </w:r>
      <w:r w:rsidRPr="006E187F">
        <w:rPr>
          <w:rFonts w:asciiTheme="minorHAnsi" w:hAnsiTheme="minorHAnsi"/>
          <w:bCs/>
          <w:snapToGrid w:val="0"/>
        </w:rPr>
        <w:t>Recommended</w:t>
      </w:r>
    </w:p>
    <w:p w:rsidR="004E1FEB" w:rsidRPr="006E187F" w:rsidRDefault="004E1FEB" w:rsidP="004E1FEB">
      <w:pPr>
        <w:widowControl w:val="0"/>
        <w:rPr>
          <w:rFonts w:asciiTheme="minorHAnsi" w:hAnsiTheme="minorHAnsi"/>
          <w:b/>
          <w:bCs/>
          <w:snapToGrid w:val="0"/>
        </w:rPr>
      </w:pPr>
    </w:p>
    <w:p w:rsidR="004E1FEB" w:rsidRPr="006E187F" w:rsidRDefault="004E1FEB" w:rsidP="00D42206">
      <w:pPr>
        <w:pStyle w:val="2-SectionHeading"/>
        <w:rPr>
          <w:i/>
        </w:rPr>
      </w:pPr>
      <w:r w:rsidRPr="006E187F">
        <w:t>Recommended listing</w:t>
      </w:r>
    </w:p>
    <w:p w:rsidR="004E1FEB" w:rsidRPr="006E187F" w:rsidRDefault="004E1FEB" w:rsidP="00D42206">
      <w:pPr>
        <w:widowControl w:val="0"/>
        <w:numPr>
          <w:ilvl w:val="1"/>
          <w:numId w:val="1"/>
        </w:numPr>
        <w:spacing w:after="120"/>
        <w:contextualSpacing/>
        <w:rPr>
          <w:rFonts w:asciiTheme="minorHAnsi" w:hAnsiTheme="minorHAnsi"/>
          <w:bCs/>
          <w:snapToGrid w:val="0"/>
        </w:rPr>
      </w:pPr>
      <w:r w:rsidRPr="006E187F">
        <w:rPr>
          <w:rFonts w:asciiTheme="minorHAnsi" w:hAnsiTheme="minorHAnsi"/>
          <w:bCs/>
          <w:snapToGrid w:val="0"/>
        </w:rPr>
        <w:t xml:space="preserve">Add new </w:t>
      </w:r>
      <w:r w:rsidR="005F0AAA">
        <w:rPr>
          <w:rFonts w:asciiTheme="minorHAnsi" w:hAnsiTheme="minorHAnsi"/>
          <w:bCs/>
          <w:snapToGrid w:val="0"/>
        </w:rPr>
        <w:t>medicinal product pack (new form) as follows</w:t>
      </w:r>
      <w:r w:rsidRPr="006E187F">
        <w:rPr>
          <w:rFonts w:asciiTheme="minorHAnsi" w:hAnsiTheme="minorHAnsi"/>
          <w:bCs/>
          <w:snapToGrid w:val="0"/>
        </w:rPr>
        <w:t>:</w:t>
      </w:r>
    </w:p>
    <w:p w:rsidR="00BB6478" w:rsidRPr="006E187F" w:rsidRDefault="00BB6478" w:rsidP="004E1FEB">
      <w:pPr>
        <w:widowControl w:val="0"/>
        <w:ind w:firstLine="720"/>
        <w:contextualSpacing/>
        <w:rPr>
          <w:rFonts w:asciiTheme="minorHAnsi" w:hAnsiTheme="minorHAnsi"/>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
        <w:gridCol w:w="705"/>
        <w:gridCol w:w="2559"/>
        <w:gridCol w:w="1845"/>
        <w:gridCol w:w="849"/>
        <w:gridCol w:w="851"/>
        <w:gridCol w:w="709"/>
        <w:gridCol w:w="1225"/>
      </w:tblGrid>
      <w:tr w:rsidR="00575A7C" w:rsidRPr="006E187F" w:rsidTr="00741915">
        <w:trPr>
          <w:cantSplit/>
          <w:trHeight w:val="471"/>
        </w:trPr>
        <w:tc>
          <w:tcPr>
            <w:tcW w:w="1962" w:type="pct"/>
            <w:gridSpan w:val="3"/>
          </w:tcPr>
          <w:p w:rsidR="00575A7C" w:rsidRPr="006E187F" w:rsidRDefault="00575A7C" w:rsidP="00F10037">
            <w:pPr>
              <w:keepNext/>
              <w:ind w:left="-57"/>
              <w:rPr>
                <w:rFonts w:ascii="Arial Narrow" w:hAnsi="Arial Narrow"/>
                <w:b/>
                <w:sz w:val="20"/>
                <w:szCs w:val="20"/>
              </w:rPr>
            </w:pPr>
            <w:bookmarkStart w:id="30" w:name="_Hlk77802100"/>
            <w:r w:rsidRPr="006E187F">
              <w:rPr>
                <w:rFonts w:ascii="Arial Narrow" w:hAnsi="Arial Narrow"/>
                <w:b/>
                <w:sz w:val="20"/>
                <w:szCs w:val="20"/>
              </w:rPr>
              <w:t>MEDICINAL PRODUCT</w:t>
            </w:r>
          </w:p>
          <w:p w:rsidR="00575A7C" w:rsidRPr="006E187F" w:rsidRDefault="00575A7C" w:rsidP="00F10037">
            <w:pPr>
              <w:keepNext/>
              <w:ind w:left="-57"/>
              <w:rPr>
                <w:rFonts w:ascii="Arial Narrow" w:hAnsi="Arial Narrow"/>
                <w:b/>
                <w:sz w:val="20"/>
                <w:szCs w:val="20"/>
              </w:rPr>
            </w:pPr>
            <w:r w:rsidRPr="006E187F">
              <w:rPr>
                <w:rFonts w:ascii="Arial Narrow" w:hAnsi="Arial Narrow"/>
                <w:b/>
                <w:sz w:val="20"/>
                <w:szCs w:val="20"/>
              </w:rPr>
              <w:t>medicinal product pack</w:t>
            </w:r>
          </w:p>
        </w:tc>
        <w:tc>
          <w:tcPr>
            <w:tcW w:w="1023" w:type="pct"/>
          </w:tcPr>
          <w:p w:rsidR="00575A7C" w:rsidRPr="006E187F" w:rsidRDefault="00575A7C" w:rsidP="00F10037">
            <w:pPr>
              <w:keepNext/>
              <w:ind w:left="-108"/>
              <w:jc w:val="center"/>
              <w:rPr>
                <w:rFonts w:ascii="Arial Narrow" w:hAnsi="Arial Narrow"/>
                <w:b/>
                <w:sz w:val="20"/>
                <w:szCs w:val="20"/>
              </w:rPr>
            </w:pPr>
            <w:r w:rsidRPr="006E187F">
              <w:rPr>
                <w:rFonts w:ascii="Arial Narrow" w:hAnsi="Arial Narrow"/>
                <w:b/>
                <w:sz w:val="20"/>
                <w:szCs w:val="20"/>
              </w:rPr>
              <w:t>PBS item code</w:t>
            </w:r>
          </w:p>
        </w:tc>
        <w:tc>
          <w:tcPr>
            <w:tcW w:w="471" w:type="pct"/>
          </w:tcPr>
          <w:p w:rsidR="00575A7C" w:rsidRPr="006E187F" w:rsidRDefault="00575A7C" w:rsidP="00F10037">
            <w:pPr>
              <w:keepNext/>
              <w:ind w:left="-108"/>
              <w:jc w:val="center"/>
              <w:rPr>
                <w:rFonts w:ascii="Arial Narrow" w:hAnsi="Arial Narrow"/>
                <w:b/>
                <w:sz w:val="20"/>
                <w:szCs w:val="20"/>
              </w:rPr>
            </w:pPr>
            <w:r w:rsidRPr="006E187F">
              <w:rPr>
                <w:rFonts w:ascii="Arial Narrow" w:hAnsi="Arial Narrow"/>
                <w:b/>
                <w:sz w:val="20"/>
                <w:szCs w:val="20"/>
              </w:rPr>
              <w:t>Max. qty packs</w:t>
            </w:r>
          </w:p>
        </w:tc>
        <w:tc>
          <w:tcPr>
            <w:tcW w:w="472" w:type="pct"/>
          </w:tcPr>
          <w:p w:rsidR="00575A7C" w:rsidRPr="006E187F" w:rsidRDefault="00575A7C" w:rsidP="00F10037">
            <w:pPr>
              <w:keepNext/>
              <w:ind w:left="-108"/>
              <w:jc w:val="center"/>
              <w:rPr>
                <w:rFonts w:ascii="Arial Narrow" w:hAnsi="Arial Narrow"/>
                <w:b/>
                <w:sz w:val="20"/>
                <w:szCs w:val="20"/>
              </w:rPr>
            </w:pPr>
            <w:r w:rsidRPr="006E187F">
              <w:rPr>
                <w:rFonts w:ascii="Arial Narrow" w:hAnsi="Arial Narrow"/>
                <w:b/>
                <w:sz w:val="20"/>
                <w:szCs w:val="20"/>
              </w:rPr>
              <w:t>Max. qty units</w:t>
            </w:r>
          </w:p>
        </w:tc>
        <w:tc>
          <w:tcPr>
            <w:tcW w:w="393" w:type="pct"/>
          </w:tcPr>
          <w:p w:rsidR="00575A7C" w:rsidRPr="006E187F" w:rsidRDefault="00575A7C" w:rsidP="00F10037">
            <w:pPr>
              <w:keepNext/>
              <w:ind w:left="-108"/>
              <w:jc w:val="center"/>
              <w:rPr>
                <w:rFonts w:ascii="Arial Narrow" w:hAnsi="Arial Narrow"/>
                <w:b/>
                <w:sz w:val="20"/>
                <w:szCs w:val="20"/>
              </w:rPr>
            </w:pPr>
            <w:r w:rsidRPr="006E187F">
              <w:rPr>
                <w:rFonts w:ascii="Arial Narrow" w:hAnsi="Arial Narrow"/>
                <w:b/>
                <w:sz w:val="20"/>
                <w:szCs w:val="20"/>
              </w:rPr>
              <w:t>№.of</w:t>
            </w:r>
          </w:p>
          <w:p w:rsidR="00575A7C" w:rsidRPr="006E187F" w:rsidRDefault="00575A7C" w:rsidP="00F10037">
            <w:pPr>
              <w:keepNext/>
              <w:ind w:left="-108"/>
              <w:jc w:val="center"/>
              <w:rPr>
                <w:rFonts w:ascii="Arial Narrow" w:hAnsi="Arial Narrow"/>
                <w:b/>
                <w:sz w:val="20"/>
                <w:szCs w:val="20"/>
              </w:rPr>
            </w:pPr>
            <w:r w:rsidRPr="006E187F">
              <w:rPr>
                <w:rFonts w:ascii="Arial Narrow" w:hAnsi="Arial Narrow"/>
                <w:b/>
                <w:sz w:val="20"/>
                <w:szCs w:val="20"/>
              </w:rPr>
              <w:t>Rpts</w:t>
            </w:r>
          </w:p>
        </w:tc>
        <w:tc>
          <w:tcPr>
            <w:tcW w:w="679" w:type="pct"/>
          </w:tcPr>
          <w:p w:rsidR="00575A7C" w:rsidRPr="006E187F" w:rsidRDefault="00575A7C" w:rsidP="00F10037">
            <w:pPr>
              <w:keepNext/>
              <w:rPr>
                <w:rFonts w:ascii="Arial Narrow" w:hAnsi="Arial Narrow"/>
                <w:b/>
                <w:sz w:val="20"/>
                <w:szCs w:val="20"/>
              </w:rPr>
            </w:pPr>
            <w:r w:rsidRPr="006E187F">
              <w:rPr>
                <w:rFonts w:ascii="Arial Narrow" w:hAnsi="Arial Narrow"/>
                <w:b/>
                <w:sz w:val="20"/>
                <w:szCs w:val="20"/>
              </w:rPr>
              <w:t>Available brands</w:t>
            </w:r>
          </w:p>
        </w:tc>
      </w:tr>
      <w:tr w:rsidR="00575A7C" w:rsidRPr="006E187F" w:rsidTr="00F10037">
        <w:trPr>
          <w:cantSplit/>
          <w:trHeight w:val="207"/>
        </w:trPr>
        <w:tc>
          <w:tcPr>
            <w:tcW w:w="5000" w:type="pct"/>
            <w:gridSpan w:val="8"/>
          </w:tcPr>
          <w:p w:rsidR="00575A7C" w:rsidRPr="006E187F" w:rsidRDefault="00575A7C" w:rsidP="00F10037">
            <w:pPr>
              <w:keepNext/>
              <w:ind w:left="-57"/>
              <w:rPr>
                <w:rFonts w:ascii="Arial Narrow" w:hAnsi="Arial Narrow"/>
                <w:sz w:val="20"/>
                <w:szCs w:val="20"/>
              </w:rPr>
            </w:pPr>
            <w:r w:rsidRPr="006E187F">
              <w:rPr>
                <w:rFonts w:ascii="Arial Narrow" w:hAnsi="Arial Narrow"/>
                <w:sz w:val="20"/>
                <w:szCs w:val="20"/>
              </w:rPr>
              <w:t>DARATUMUMAB</w:t>
            </w:r>
          </w:p>
        </w:tc>
      </w:tr>
      <w:tr w:rsidR="00575A7C" w:rsidRPr="006E187F" w:rsidTr="00741915">
        <w:trPr>
          <w:cantSplit/>
          <w:trHeight w:val="95"/>
        </w:trPr>
        <w:tc>
          <w:tcPr>
            <w:tcW w:w="1962" w:type="pct"/>
            <w:gridSpan w:val="3"/>
          </w:tcPr>
          <w:p w:rsidR="00575A7C" w:rsidRPr="006E187F" w:rsidRDefault="005F0AAA" w:rsidP="00F10037">
            <w:pPr>
              <w:keepNext/>
              <w:ind w:left="-57"/>
              <w:rPr>
                <w:rFonts w:ascii="Arial Narrow" w:hAnsi="Arial Narrow"/>
                <w:sz w:val="20"/>
                <w:szCs w:val="20"/>
              </w:rPr>
            </w:pPr>
            <w:r>
              <w:rPr>
                <w:rFonts w:ascii="Arial Narrow" w:hAnsi="Arial Narrow"/>
                <w:sz w:val="20"/>
                <w:szCs w:val="20"/>
              </w:rPr>
              <w:t>d</w:t>
            </w:r>
            <w:r w:rsidR="00575A7C" w:rsidRPr="006E187F">
              <w:rPr>
                <w:rFonts w:ascii="Arial Narrow" w:hAnsi="Arial Narrow"/>
                <w:sz w:val="20"/>
                <w:szCs w:val="20"/>
              </w:rPr>
              <w:t>aratumumab 1.8 g/15 mL injection, 15 mL vial</w:t>
            </w:r>
          </w:p>
        </w:tc>
        <w:tc>
          <w:tcPr>
            <w:tcW w:w="1023" w:type="pct"/>
          </w:tcPr>
          <w:p w:rsidR="005F0AAA" w:rsidRDefault="00575A7C" w:rsidP="00741915">
            <w:pPr>
              <w:keepNext/>
              <w:ind w:left="-57"/>
              <w:jc w:val="center"/>
              <w:rPr>
                <w:rFonts w:ascii="Arial Narrow" w:hAnsi="Arial Narrow"/>
                <w:sz w:val="20"/>
                <w:szCs w:val="20"/>
              </w:rPr>
            </w:pPr>
            <w:r w:rsidRPr="006E187F">
              <w:rPr>
                <w:rFonts w:ascii="Arial Narrow" w:hAnsi="Arial Narrow"/>
                <w:sz w:val="20"/>
                <w:szCs w:val="20"/>
              </w:rPr>
              <w:t>N</w:t>
            </w:r>
            <w:r w:rsidR="005F0AAA">
              <w:rPr>
                <w:rFonts w:ascii="Arial Narrow" w:hAnsi="Arial Narrow"/>
                <w:sz w:val="20"/>
                <w:szCs w:val="20"/>
              </w:rPr>
              <w:t>ew</w:t>
            </w:r>
            <w:r w:rsidR="00AC0D58">
              <w:rPr>
                <w:rFonts w:ascii="Arial Narrow" w:hAnsi="Arial Narrow"/>
                <w:sz w:val="20"/>
                <w:szCs w:val="20"/>
              </w:rPr>
              <w:t xml:space="preserve"> </w:t>
            </w:r>
            <w:r w:rsidR="005F0AAA">
              <w:rPr>
                <w:rFonts w:ascii="Arial Narrow" w:hAnsi="Arial Narrow"/>
                <w:sz w:val="20"/>
                <w:szCs w:val="20"/>
              </w:rPr>
              <w:t>(</w:t>
            </w:r>
            <w:r w:rsidR="00741915">
              <w:rPr>
                <w:rFonts w:ascii="Arial Narrow" w:hAnsi="Arial Narrow"/>
                <w:sz w:val="20"/>
                <w:szCs w:val="20"/>
              </w:rPr>
              <w:t>EFC – Related Ben.</w:t>
            </w:r>
            <w:r w:rsidR="005F0AAA">
              <w:rPr>
                <w:rFonts w:ascii="Arial Narrow" w:hAnsi="Arial Narrow"/>
                <w:sz w:val="20"/>
                <w:szCs w:val="20"/>
              </w:rPr>
              <w:t>)</w:t>
            </w:r>
          </w:p>
          <w:p w:rsidR="00575A7C" w:rsidRPr="006E187F" w:rsidRDefault="005F0AAA" w:rsidP="00741915">
            <w:pPr>
              <w:keepNext/>
              <w:ind w:left="-57"/>
              <w:jc w:val="center"/>
              <w:rPr>
                <w:rFonts w:ascii="Arial Narrow" w:hAnsi="Arial Narrow"/>
                <w:sz w:val="20"/>
                <w:szCs w:val="20"/>
              </w:rPr>
            </w:pPr>
            <w:r>
              <w:rPr>
                <w:rFonts w:ascii="Arial Narrow" w:hAnsi="Arial Narrow"/>
                <w:sz w:val="20"/>
                <w:szCs w:val="20"/>
              </w:rPr>
              <w:t>New (</w:t>
            </w:r>
            <w:r w:rsidR="00741915">
              <w:rPr>
                <w:rFonts w:ascii="Arial Narrow" w:hAnsi="Arial Narrow"/>
                <w:sz w:val="20"/>
                <w:szCs w:val="20"/>
              </w:rPr>
              <w:t>Gen. Sch</w:t>
            </w:r>
            <w:r>
              <w:rPr>
                <w:rFonts w:ascii="Arial Narrow" w:hAnsi="Arial Narrow"/>
                <w:sz w:val="20"/>
                <w:szCs w:val="20"/>
              </w:rPr>
              <w:t>)</w:t>
            </w:r>
          </w:p>
        </w:tc>
        <w:tc>
          <w:tcPr>
            <w:tcW w:w="471" w:type="pct"/>
          </w:tcPr>
          <w:p w:rsidR="00575A7C" w:rsidRPr="006E187F" w:rsidRDefault="00575A7C" w:rsidP="00F10037">
            <w:pPr>
              <w:keepNext/>
              <w:ind w:left="-57"/>
              <w:jc w:val="center"/>
              <w:rPr>
                <w:rFonts w:ascii="Arial Narrow" w:hAnsi="Arial Narrow"/>
                <w:sz w:val="20"/>
                <w:szCs w:val="20"/>
              </w:rPr>
            </w:pPr>
            <w:r w:rsidRPr="006E187F">
              <w:rPr>
                <w:rFonts w:ascii="Arial Narrow" w:hAnsi="Arial Narrow"/>
                <w:sz w:val="20"/>
                <w:szCs w:val="20"/>
              </w:rPr>
              <w:t>1</w:t>
            </w:r>
          </w:p>
        </w:tc>
        <w:tc>
          <w:tcPr>
            <w:tcW w:w="472" w:type="pct"/>
          </w:tcPr>
          <w:p w:rsidR="00575A7C" w:rsidRPr="006E187F" w:rsidRDefault="005F0AAA" w:rsidP="00F10037">
            <w:pPr>
              <w:keepNext/>
              <w:ind w:left="-57"/>
              <w:jc w:val="center"/>
              <w:rPr>
                <w:rFonts w:ascii="Arial Narrow" w:hAnsi="Arial Narrow"/>
                <w:sz w:val="20"/>
                <w:szCs w:val="20"/>
              </w:rPr>
            </w:pPr>
            <w:r>
              <w:rPr>
                <w:rFonts w:ascii="Arial Narrow" w:hAnsi="Arial Narrow"/>
                <w:sz w:val="20"/>
                <w:szCs w:val="20"/>
              </w:rPr>
              <w:t>1</w:t>
            </w:r>
          </w:p>
        </w:tc>
        <w:tc>
          <w:tcPr>
            <w:tcW w:w="393" w:type="pct"/>
          </w:tcPr>
          <w:p w:rsidR="00575A7C" w:rsidRPr="006E187F" w:rsidRDefault="005F0AAA" w:rsidP="00F10037">
            <w:pPr>
              <w:keepNext/>
              <w:ind w:left="-57"/>
              <w:jc w:val="center"/>
              <w:rPr>
                <w:rFonts w:ascii="Arial Narrow" w:hAnsi="Arial Narrow"/>
                <w:sz w:val="20"/>
                <w:szCs w:val="20"/>
              </w:rPr>
            </w:pPr>
            <w:r>
              <w:rPr>
                <w:rFonts w:ascii="Arial Narrow" w:hAnsi="Arial Narrow"/>
                <w:sz w:val="20"/>
                <w:szCs w:val="20"/>
              </w:rPr>
              <w:t>8</w:t>
            </w:r>
          </w:p>
        </w:tc>
        <w:tc>
          <w:tcPr>
            <w:tcW w:w="679" w:type="pct"/>
          </w:tcPr>
          <w:p w:rsidR="00575A7C" w:rsidRPr="006E187F" w:rsidRDefault="00575A7C" w:rsidP="00F10037">
            <w:pPr>
              <w:keepNext/>
              <w:rPr>
                <w:rFonts w:ascii="Arial Narrow" w:hAnsi="Arial Narrow"/>
                <w:sz w:val="20"/>
                <w:szCs w:val="20"/>
              </w:rPr>
            </w:pPr>
            <w:r w:rsidRPr="006E187F">
              <w:rPr>
                <w:rFonts w:ascii="Arial Narrow" w:hAnsi="Arial Narrow"/>
                <w:sz w:val="20"/>
                <w:szCs w:val="20"/>
              </w:rPr>
              <w:t>Darzalex SC</w:t>
            </w:r>
          </w:p>
        </w:tc>
      </w:tr>
      <w:tr w:rsidR="005F0AAA" w:rsidRPr="006E187F" w:rsidTr="00B32FD9">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5F0AAA" w:rsidRPr="006E187F" w:rsidRDefault="005F0AAA" w:rsidP="00F10037">
            <w:pPr>
              <w:rPr>
                <w:rFonts w:ascii="Arial Narrow" w:hAnsi="Arial Narrow"/>
                <w:b/>
                <w:color w:val="000000" w:themeColor="text1"/>
                <w:sz w:val="20"/>
                <w:szCs w:val="20"/>
              </w:rPr>
            </w:pPr>
            <w:bookmarkStart w:id="31" w:name="_Hlk77804597"/>
            <w:bookmarkEnd w:id="30"/>
          </w:p>
        </w:tc>
      </w:tr>
      <w:tr w:rsidR="00575A7C" w:rsidRPr="006E187F" w:rsidTr="00B32FD9">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575A7C" w:rsidRPr="006E187F" w:rsidRDefault="00575A7C" w:rsidP="00F10037">
            <w:pPr>
              <w:rPr>
                <w:rFonts w:ascii="Arial Narrow" w:hAnsi="Arial Narrow"/>
                <w:b/>
                <w:color w:val="000000" w:themeColor="text1"/>
                <w:sz w:val="20"/>
                <w:szCs w:val="20"/>
              </w:rPr>
            </w:pPr>
            <w:r w:rsidRPr="006E187F">
              <w:rPr>
                <w:rFonts w:ascii="Arial Narrow" w:hAnsi="Arial Narrow"/>
                <w:b/>
                <w:color w:val="000000" w:themeColor="text1"/>
                <w:sz w:val="20"/>
                <w:szCs w:val="20"/>
              </w:rPr>
              <w:t xml:space="preserve">Restriction Summary / Treatment of Concept </w:t>
            </w:r>
            <w:r w:rsidR="005F0AAA">
              <w:rPr>
                <w:rFonts w:ascii="Arial Narrow" w:hAnsi="Arial Narrow"/>
                <w:b/>
                <w:color w:val="000000" w:themeColor="text1"/>
                <w:sz w:val="20"/>
                <w:szCs w:val="20"/>
              </w:rPr>
              <w:t>[N</w:t>
            </w:r>
            <w:r w:rsidRPr="006E187F">
              <w:rPr>
                <w:rFonts w:ascii="Arial Narrow" w:hAnsi="Arial Narrow"/>
                <w:b/>
                <w:color w:val="000000" w:themeColor="text1"/>
                <w:sz w:val="20"/>
                <w:szCs w:val="20"/>
              </w:rPr>
              <w:t>ew</w:t>
            </w:r>
            <w:r w:rsidR="005F0AAA">
              <w:rPr>
                <w:rFonts w:ascii="Arial Narrow" w:hAnsi="Arial Narrow"/>
                <w:b/>
                <w:color w:val="000000" w:themeColor="text1"/>
                <w:sz w:val="20"/>
                <w:szCs w:val="20"/>
              </w:rPr>
              <w:t xml:space="preserve"> 1]</w:t>
            </w:r>
            <w:r w:rsidRPr="006E187F">
              <w:rPr>
                <w:rFonts w:ascii="Arial Narrow" w:hAnsi="Arial Narrow"/>
                <w:b/>
                <w:color w:val="000000" w:themeColor="text1"/>
                <w:sz w:val="20"/>
                <w:szCs w:val="20"/>
              </w:rPr>
              <w:t xml:space="preserve"> </w:t>
            </w:r>
          </w:p>
        </w:tc>
      </w:tr>
      <w:tr w:rsidR="00575A7C" w:rsidRPr="006E187F" w:rsidTr="00B32FD9">
        <w:tblPrEx>
          <w:tblCellMar>
            <w:top w:w="15" w:type="dxa"/>
            <w:left w:w="15" w:type="dxa"/>
            <w:bottom w:w="15" w:type="dxa"/>
            <w:right w:w="15" w:type="dxa"/>
          </w:tblCellMar>
          <w:tblLook w:val="04A0" w:firstRow="1" w:lastRow="0" w:firstColumn="1" w:lastColumn="0" w:noHBand="0" w:noVBand="1"/>
        </w:tblPrEx>
        <w:tc>
          <w:tcPr>
            <w:tcW w:w="543" w:type="pct"/>
            <w:gridSpan w:val="2"/>
            <w:vMerge w:val="restart"/>
            <w:tcBorders>
              <w:top w:val="single" w:sz="4" w:space="0" w:color="auto"/>
              <w:left w:val="single" w:sz="4" w:space="0" w:color="auto"/>
              <w:right w:val="single" w:sz="4" w:space="0" w:color="auto"/>
            </w:tcBorders>
          </w:tcPr>
          <w:p w:rsidR="00575A7C" w:rsidRPr="006E187F" w:rsidRDefault="00575A7C" w:rsidP="00F10037">
            <w:pPr>
              <w:jc w:val="center"/>
              <w:rPr>
                <w:rFonts w:ascii="Arial Narrow" w:hAnsi="Arial Narrow"/>
                <w:color w:val="000000" w:themeColor="text1"/>
                <w:sz w:val="20"/>
                <w:szCs w:val="20"/>
              </w:rPr>
            </w:pPr>
          </w:p>
        </w:tc>
        <w:tc>
          <w:tcPr>
            <w:tcW w:w="4457" w:type="pct"/>
            <w:gridSpan w:val="6"/>
            <w:tcBorders>
              <w:top w:val="single" w:sz="4" w:space="0" w:color="auto"/>
              <w:left w:val="single" w:sz="4" w:space="0" w:color="auto"/>
              <w:bottom w:val="single" w:sz="4" w:space="0" w:color="auto"/>
              <w:right w:val="single" w:sz="4" w:space="0" w:color="auto"/>
            </w:tcBorders>
          </w:tcPr>
          <w:p w:rsidR="00575A7C" w:rsidRDefault="00575A7C" w:rsidP="00F10037">
            <w:pPr>
              <w:rPr>
                <w:rFonts w:ascii="Arial Narrow" w:hAnsi="Arial Narrow"/>
                <w:iCs/>
                <w:color w:val="000000" w:themeColor="text1"/>
                <w:sz w:val="20"/>
                <w:szCs w:val="20"/>
              </w:rPr>
            </w:pPr>
            <w:r w:rsidRPr="006E187F">
              <w:rPr>
                <w:rFonts w:ascii="Arial Narrow" w:hAnsi="Arial Narrow"/>
                <w:b/>
                <w:color w:val="000000" w:themeColor="text1"/>
                <w:sz w:val="20"/>
                <w:szCs w:val="20"/>
              </w:rPr>
              <w:t xml:space="preserve">Category / Program: </w:t>
            </w:r>
            <w:r w:rsidR="00741915" w:rsidRPr="006E187F">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00741915" w:rsidRPr="006E187F">
              <w:rPr>
                <w:rFonts w:ascii="Arial Narrow" w:eastAsia="Calibri" w:hAnsi="Arial Narrow"/>
                <w:color w:val="000000" w:themeColor="text1"/>
                <w:sz w:val="20"/>
                <w:szCs w:val="20"/>
              </w:rPr>
              <w:instrText xml:space="preserve"> FORMCHECKBOX </w:instrText>
            </w:r>
            <w:r w:rsidR="00087C7A">
              <w:rPr>
                <w:rFonts w:ascii="Arial Narrow" w:eastAsia="Calibri" w:hAnsi="Arial Narrow"/>
                <w:color w:val="000000" w:themeColor="text1"/>
                <w:sz w:val="20"/>
                <w:szCs w:val="20"/>
              </w:rPr>
            </w:r>
            <w:r w:rsidR="00087C7A">
              <w:rPr>
                <w:rFonts w:ascii="Arial Narrow" w:eastAsia="Calibri" w:hAnsi="Arial Narrow"/>
                <w:color w:val="000000" w:themeColor="text1"/>
                <w:sz w:val="20"/>
                <w:szCs w:val="20"/>
              </w:rPr>
              <w:fldChar w:fldCharType="separate"/>
            </w:r>
            <w:r w:rsidR="00741915" w:rsidRPr="006E187F">
              <w:rPr>
                <w:rFonts w:ascii="Arial Narrow" w:eastAsia="Calibri" w:hAnsi="Arial Narrow"/>
                <w:color w:val="000000" w:themeColor="text1"/>
                <w:sz w:val="20"/>
                <w:szCs w:val="20"/>
              </w:rPr>
              <w:fldChar w:fldCharType="end"/>
            </w:r>
            <w:r w:rsidRPr="006E187F">
              <w:rPr>
                <w:rFonts w:ascii="Arial Narrow" w:hAnsi="Arial Narrow"/>
                <w:color w:val="000000" w:themeColor="text1"/>
                <w:sz w:val="20"/>
                <w:szCs w:val="20"/>
              </w:rPr>
              <w:t>Section 100 –</w:t>
            </w:r>
            <w:r w:rsidR="00741915">
              <w:rPr>
                <w:rFonts w:ascii="Arial Narrow" w:hAnsi="Arial Narrow"/>
                <w:color w:val="000000" w:themeColor="text1"/>
                <w:sz w:val="20"/>
                <w:szCs w:val="20"/>
              </w:rPr>
              <w:t>Efficient Funding of Chemotherapy</w:t>
            </w:r>
            <w:r w:rsidRPr="006E187F">
              <w:rPr>
                <w:rFonts w:ascii="Arial Narrow" w:hAnsi="Arial Narrow"/>
                <w:color w:val="000000" w:themeColor="text1"/>
                <w:sz w:val="20"/>
                <w:szCs w:val="20"/>
              </w:rPr>
              <w:t xml:space="preserve">– </w:t>
            </w:r>
            <w:r w:rsidR="00741915">
              <w:rPr>
                <w:rFonts w:ascii="Arial Narrow" w:hAnsi="Arial Narrow"/>
                <w:iCs/>
                <w:color w:val="000000" w:themeColor="text1"/>
                <w:sz w:val="20"/>
                <w:szCs w:val="20"/>
              </w:rPr>
              <w:t>Related Benefits (Code CT)</w:t>
            </w:r>
          </w:p>
          <w:p w:rsidR="00741915" w:rsidRPr="006E187F" w:rsidRDefault="00741915" w:rsidP="00F10037">
            <w:pPr>
              <w:rPr>
                <w:rFonts w:ascii="Arial Narrow" w:hAnsi="Arial Narrow"/>
                <w:color w:val="000000" w:themeColor="text1"/>
                <w:sz w:val="20"/>
                <w:szCs w:val="20"/>
              </w:rPr>
            </w:pPr>
            <w:r w:rsidRPr="006E187F">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Pr="006E187F">
              <w:rPr>
                <w:rFonts w:ascii="Arial Narrow" w:eastAsia="Calibri" w:hAnsi="Arial Narrow"/>
                <w:color w:val="000000" w:themeColor="text1"/>
                <w:sz w:val="20"/>
                <w:szCs w:val="20"/>
              </w:rPr>
              <w:instrText xml:space="preserve"> FORMCHECKBOX </w:instrText>
            </w:r>
            <w:r w:rsidR="00087C7A">
              <w:rPr>
                <w:rFonts w:ascii="Arial Narrow" w:eastAsia="Calibri" w:hAnsi="Arial Narrow"/>
                <w:color w:val="000000" w:themeColor="text1"/>
                <w:sz w:val="20"/>
                <w:szCs w:val="20"/>
              </w:rPr>
            </w:r>
            <w:r w:rsidR="00087C7A">
              <w:rPr>
                <w:rFonts w:ascii="Arial Narrow" w:eastAsia="Calibri" w:hAnsi="Arial Narrow"/>
                <w:color w:val="000000" w:themeColor="text1"/>
                <w:sz w:val="20"/>
                <w:szCs w:val="20"/>
              </w:rPr>
              <w:fldChar w:fldCharType="separate"/>
            </w:r>
            <w:r w:rsidRPr="006E187F">
              <w:rPr>
                <w:rFonts w:ascii="Arial Narrow" w:eastAsia="Calibri" w:hAnsi="Arial Narrow"/>
                <w:color w:val="000000" w:themeColor="text1"/>
                <w:sz w:val="20"/>
                <w:szCs w:val="20"/>
              </w:rPr>
              <w:fldChar w:fldCharType="end"/>
            </w:r>
            <w:r>
              <w:rPr>
                <w:rFonts w:ascii="Arial Narrow" w:eastAsia="Calibri" w:hAnsi="Arial Narrow"/>
                <w:color w:val="000000" w:themeColor="text1"/>
                <w:sz w:val="20"/>
                <w:szCs w:val="20"/>
              </w:rPr>
              <w:t xml:space="preserve"> </w:t>
            </w:r>
            <w:r>
              <w:rPr>
                <w:rFonts w:ascii="Arial Narrow" w:hAnsi="Arial Narrow"/>
                <w:iCs/>
                <w:color w:val="000000" w:themeColor="text1"/>
                <w:sz w:val="20"/>
                <w:szCs w:val="20"/>
              </w:rPr>
              <w:t>General Schedule (Code GE)</w:t>
            </w:r>
          </w:p>
        </w:tc>
      </w:tr>
      <w:tr w:rsidR="00575A7C" w:rsidRPr="006E187F" w:rsidTr="00B32FD9">
        <w:tblPrEx>
          <w:tblCellMar>
            <w:top w:w="15" w:type="dxa"/>
            <w:left w:w="15" w:type="dxa"/>
            <w:bottom w:w="15" w:type="dxa"/>
            <w:right w:w="15" w:type="dxa"/>
          </w:tblCellMar>
          <w:tblLook w:val="04A0" w:firstRow="1" w:lastRow="0" w:firstColumn="1" w:lastColumn="0" w:noHBand="0" w:noVBand="1"/>
        </w:tblPrEx>
        <w:trPr>
          <w:trHeight w:val="240"/>
        </w:trPr>
        <w:tc>
          <w:tcPr>
            <w:tcW w:w="543" w:type="pct"/>
            <w:gridSpan w:val="2"/>
            <w:vMerge/>
            <w:tcBorders>
              <w:left w:val="single" w:sz="4" w:space="0" w:color="auto"/>
              <w:right w:val="single" w:sz="4" w:space="0" w:color="auto"/>
            </w:tcBorders>
          </w:tcPr>
          <w:p w:rsidR="00575A7C" w:rsidRPr="006E187F" w:rsidRDefault="00575A7C" w:rsidP="00F10037">
            <w:pPr>
              <w:rPr>
                <w:rFonts w:ascii="Arial Narrow" w:hAnsi="Arial Narrow"/>
                <w:color w:val="000000" w:themeColor="text1"/>
                <w:sz w:val="20"/>
                <w:szCs w:val="20"/>
              </w:rPr>
            </w:pPr>
          </w:p>
        </w:tc>
        <w:tc>
          <w:tcPr>
            <w:tcW w:w="4457" w:type="pct"/>
            <w:gridSpan w:val="6"/>
            <w:tcBorders>
              <w:top w:val="single" w:sz="4" w:space="0" w:color="auto"/>
              <w:left w:val="single" w:sz="4" w:space="0" w:color="auto"/>
              <w:bottom w:val="single" w:sz="4" w:space="0" w:color="auto"/>
              <w:right w:val="single" w:sz="4" w:space="0" w:color="auto"/>
            </w:tcBorders>
          </w:tcPr>
          <w:p w:rsidR="00575A7C" w:rsidRPr="006E187F" w:rsidRDefault="00575A7C" w:rsidP="00D42206">
            <w:pPr>
              <w:rPr>
                <w:rFonts w:ascii="Arial Narrow" w:hAnsi="Arial Narrow"/>
                <w:b/>
                <w:color w:val="000000" w:themeColor="text1"/>
                <w:sz w:val="20"/>
                <w:szCs w:val="20"/>
              </w:rPr>
            </w:pPr>
            <w:r w:rsidRPr="006E187F">
              <w:rPr>
                <w:rFonts w:ascii="Arial Narrow" w:hAnsi="Arial Narrow"/>
                <w:b/>
                <w:color w:val="000000" w:themeColor="text1"/>
                <w:sz w:val="20"/>
                <w:szCs w:val="20"/>
              </w:rPr>
              <w:t xml:space="preserve">Prescriber type: </w:t>
            </w:r>
            <w:r w:rsidRPr="006E187F">
              <w:rPr>
                <w:rFonts w:ascii="Arial Narrow" w:hAnsi="Arial Narrow"/>
                <w:color w:val="000000" w:themeColor="text1"/>
                <w:sz w:val="20"/>
                <w:szCs w:val="20"/>
              </w:rPr>
              <w:fldChar w:fldCharType="begin">
                <w:ffData>
                  <w:name w:val=""/>
                  <w:enabled/>
                  <w:calcOnExit w:val="0"/>
                  <w:checkBox>
                    <w:sizeAuto/>
                    <w:default w:val="1"/>
                  </w:checkBox>
                </w:ffData>
              </w:fldChar>
            </w:r>
            <w:r w:rsidRPr="006E187F">
              <w:rPr>
                <w:rFonts w:ascii="Arial Narrow" w:hAnsi="Arial Narrow"/>
                <w:color w:val="000000" w:themeColor="text1"/>
                <w:sz w:val="20"/>
                <w:szCs w:val="20"/>
              </w:rPr>
              <w:instrText xml:space="preserve"> FORMCHECKBOX </w:instrText>
            </w:r>
            <w:r w:rsidR="00087C7A">
              <w:rPr>
                <w:rFonts w:ascii="Arial Narrow" w:hAnsi="Arial Narrow"/>
                <w:color w:val="000000" w:themeColor="text1"/>
                <w:sz w:val="20"/>
                <w:szCs w:val="20"/>
              </w:rPr>
            </w:r>
            <w:r w:rsidR="00087C7A">
              <w:rPr>
                <w:rFonts w:ascii="Arial Narrow" w:hAnsi="Arial Narrow"/>
                <w:color w:val="000000" w:themeColor="text1"/>
                <w:sz w:val="20"/>
                <w:szCs w:val="20"/>
              </w:rPr>
              <w:fldChar w:fldCharType="separate"/>
            </w:r>
            <w:r w:rsidRPr="006E187F">
              <w:rPr>
                <w:rFonts w:ascii="Arial Narrow" w:hAnsi="Arial Narrow"/>
                <w:color w:val="000000" w:themeColor="text1"/>
                <w:sz w:val="20"/>
                <w:szCs w:val="20"/>
              </w:rPr>
              <w:fldChar w:fldCharType="end"/>
            </w:r>
            <w:r w:rsidRPr="006E187F">
              <w:rPr>
                <w:rFonts w:ascii="Arial Narrow" w:hAnsi="Arial Narrow"/>
                <w:color w:val="000000" w:themeColor="text1"/>
                <w:sz w:val="20"/>
                <w:szCs w:val="20"/>
              </w:rPr>
              <w:t xml:space="preserve">Medical Practitioners </w:t>
            </w:r>
          </w:p>
        </w:tc>
      </w:tr>
      <w:tr w:rsidR="00575A7C" w:rsidRPr="006E187F" w:rsidTr="00B32FD9">
        <w:tblPrEx>
          <w:tblCellMar>
            <w:top w:w="15" w:type="dxa"/>
            <w:left w:w="15" w:type="dxa"/>
            <w:bottom w:w="15" w:type="dxa"/>
            <w:right w:w="15" w:type="dxa"/>
          </w:tblCellMar>
          <w:tblLook w:val="04A0" w:firstRow="1" w:lastRow="0" w:firstColumn="1" w:lastColumn="0" w:noHBand="0" w:noVBand="1"/>
        </w:tblPrEx>
        <w:tc>
          <w:tcPr>
            <w:tcW w:w="543" w:type="pct"/>
            <w:gridSpan w:val="2"/>
            <w:vMerge/>
            <w:tcBorders>
              <w:left w:val="single" w:sz="4" w:space="0" w:color="auto"/>
              <w:bottom w:val="single" w:sz="4" w:space="0" w:color="auto"/>
              <w:right w:val="single" w:sz="4" w:space="0" w:color="auto"/>
            </w:tcBorders>
          </w:tcPr>
          <w:p w:rsidR="00575A7C" w:rsidRPr="006E187F" w:rsidRDefault="00575A7C" w:rsidP="00F10037">
            <w:pPr>
              <w:rPr>
                <w:rFonts w:ascii="Arial Narrow" w:hAnsi="Arial Narrow"/>
                <w:color w:val="000000" w:themeColor="text1"/>
                <w:sz w:val="20"/>
                <w:szCs w:val="20"/>
              </w:rPr>
            </w:pPr>
          </w:p>
        </w:tc>
        <w:tc>
          <w:tcPr>
            <w:tcW w:w="4457" w:type="pct"/>
            <w:gridSpan w:val="6"/>
            <w:tcBorders>
              <w:top w:val="single" w:sz="4" w:space="0" w:color="auto"/>
              <w:left w:val="single" w:sz="4" w:space="0" w:color="auto"/>
              <w:bottom w:val="single" w:sz="4" w:space="0" w:color="auto"/>
              <w:right w:val="single" w:sz="4" w:space="0" w:color="auto"/>
            </w:tcBorders>
          </w:tcPr>
          <w:p w:rsidR="00575A7C" w:rsidRPr="006E187F" w:rsidRDefault="00575A7C" w:rsidP="00F10037">
            <w:pPr>
              <w:rPr>
                <w:rFonts w:ascii="Arial Narrow" w:eastAsia="Calibri" w:hAnsi="Arial Narrow"/>
                <w:color w:val="000000" w:themeColor="text1"/>
                <w:sz w:val="20"/>
                <w:szCs w:val="20"/>
              </w:rPr>
            </w:pPr>
            <w:r w:rsidRPr="006E187F">
              <w:rPr>
                <w:rFonts w:ascii="Arial Narrow" w:hAnsi="Arial Narrow"/>
                <w:b/>
                <w:color w:val="000000" w:themeColor="text1"/>
                <w:sz w:val="20"/>
                <w:szCs w:val="20"/>
              </w:rPr>
              <w:t xml:space="preserve">Restriction type: </w:t>
            </w:r>
            <w:r w:rsidRPr="006E187F">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Pr="006E187F">
              <w:rPr>
                <w:rFonts w:ascii="Arial Narrow" w:eastAsia="Calibri" w:hAnsi="Arial Narrow"/>
                <w:color w:val="000000" w:themeColor="text1"/>
                <w:sz w:val="20"/>
                <w:szCs w:val="20"/>
              </w:rPr>
              <w:instrText xml:space="preserve"> FORMCHECKBOX </w:instrText>
            </w:r>
            <w:r w:rsidR="00087C7A">
              <w:rPr>
                <w:rFonts w:ascii="Arial Narrow" w:eastAsia="Calibri" w:hAnsi="Arial Narrow"/>
                <w:color w:val="000000" w:themeColor="text1"/>
                <w:sz w:val="20"/>
                <w:szCs w:val="20"/>
              </w:rPr>
            </w:r>
            <w:r w:rsidR="00087C7A">
              <w:rPr>
                <w:rFonts w:ascii="Arial Narrow" w:eastAsia="Calibri" w:hAnsi="Arial Narrow"/>
                <w:color w:val="000000" w:themeColor="text1"/>
                <w:sz w:val="20"/>
                <w:szCs w:val="20"/>
              </w:rPr>
              <w:fldChar w:fldCharType="separate"/>
            </w:r>
            <w:r w:rsidRPr="006E187F">
              <w:rPr>
                <w:rFonts w:ascii="Arial Narrow" w:eastAsia="Calibri" w:hAnsi="Arial Narrow"/>
                <w:color w:val="000000" w:themeColor="text1"/>
                <w:sz w:val="20"/>
                <w:szCs w:val="20"/>
              </w:rPr>
              <w:fldChar w:fldCharType="end"/>
            </w:r>
            <w:r w:rsidRPr="006E187F">
              <w:rPr>
                <w:rFonts w:ascii="Arial Narrow" w:eastAsia="Calibri" w:hAnsi="Arial Narrow"/>
                <w:color w:val="000000" w:themeColor="text1"/>
                <w:sz w:val="20"/>
                <w:szCs w:val="20"/>
              </w:rPr>
              <w:t xml:space="preserve">Authority Required – </w:t>
            </w:r>
            <w:r w:rsidR="00F806BC">
              <w:rPr>
                <w:rFonts w:ascii="Arial Narrow" w:eastAsia="Calibri" w:hAnsi="Arial Narrow"/>
                <w:color w:val="000000" w:themeColor="text1"/>
                <w:sz w:val="20"/>
                <w:szCs w:val="20"/>
              </w:rPr>
              <w:t>(telephone/online PBS Authorities system)</w:t>
            </w:r>
          </w:p>
        </w:tc>
      </w:tr>
      <w:tr w:rsidR="00575A7C" w:rsidRPr="006E187F" w:rsidTr="004D2DFC">
        <w:tblPrEx>
          <w:tblCellMar>
            <w:top w:w="15" w:type="dxa"/>
            <w:left w:w="15" w:type="dxa"/>
            <w:bottom w:w="15" w:type="dxa"/>
            <w:right w:w="15" w:type="dxa"/>
          </w:tblCellMar>
          <w:tblLook w:val="04A0" w:firstRow="1" w:lastRow="0" w:firstColumn="1" w:lastColumn="0" w:noHBand="0" w:noVBand="1"/>
        </w:tblPrEx>
        <w:tc>
          <w:tcPr>
            <w:tcW w:w="152" w:type="pct"/>
            <w:vMerge w:val="restart"/>
            <w:textDirection w:val="btLr"/>
            <w:vAlign w:val="center"/>
          </w:tcPr>
          <w:p w:rsidR="00575A7C" w:rsidRPr="006E187F" w:rsidRDefault="00575A7C" w:rsidP="00F10037">
            <w:pPr>
              <w:ind w:left="113" w:right="113"/>
              <w:jc w:val="center"/>
              <w:rPr>
                <w:rFonts w:ascii="Arial Narrow" w:hAnsi="Arial Narrow"/>
                <w:color w:val="000000" w:themeColor="text1"/>
                <w:sz w:val="20"/>
                <w:szCs w:val="20"/>
              </w:rPr>
            </w:pPr>
          </w:p>
        </w:tc>
        <w:tc>
          <w:tcPr>
            <w:tcW w:w="391" w:type="pct"/>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Administrative Advice:</w:t>
            </w:r>
          </w:p>
          <w:p w:rsidR="00575A7C" w:rsidRPr="006E187F" w:rsidRDefault="00575A7C" w:rsidP="00F10037">
            <w:pPr>
              <w:rPr>
                <w:rFonts w:ascii="Arial Narrow" w:hAnsi="Arial Narrow"/>
                <w:color w:val="000000" w:themeColor="text1"/>
                <w:sz w:val="20"/>
                <w:szCs w:val="20"/>
              </w:rPr>
            </w:pPr>
            <w:r w:rsidRPr="006E187F">
              <w:rPr>
                <w:rFonts w:ascii="Arial Narrow" w:hAnsi="Arial Narrow"/>
                <w:color w:val="000000" w:themeColor="text1"/>
                <w:sz w:val="20"/>
                <w:szCs w:val="20"/>
              </w:rPr>
              <w:t>This drug is not PBS-subsidised for use in patients with multiple myeloma who have received two or more prior lines of therapy including a proteasome inhibitor (PI) and an immunomodulatory agent, or, who are refractory to both a PI and an immunomodulatory agent, as monotherapy.</w:t>
            </w:r>
          </w:p>
        </w:tc>
      </w:tr>
      <w:tr w:rsidR="00575A7C" w:rsidRPr="006E187F" w:rsidTr="004D2DFC">
        <w:tblPrEx>
          <w:tblCellMar>
            <w:top w:w="15" w:type="dxa"/>
            <w:left w:w="15" w:type="dxa"/>
            <w:bottom w:w="15" w:type="dxa"/>
            <w:right w:w="15" w:type="dxa"/>
          </w:tblCellMar>
          <w:tblLook w:val="04A0" w:firstRow="1" w:lastRow="0" w:firstColumn="1" w:lastColumn="0" w:noHBand="0" w:noVBand="1"/>
        </w:tblPrEx>
        <w:tc>
          <w:tcPr>
            <w:tcW w:w="152" w:type="pct"/>
            <w:vMerge/>
            <w:vAlign w:val="center"/>
          </w:tcPr>
          <w:p w:rsidR="00575A7C" w:rsidRPr="006E187F" w:rsidRDefault="00575A7C" w:rsidP="00F10037">
            <w:pPr>
              <w:jc w:val="center"/>
              <w:rPr>
                <w:rFonts w:ascii="Arial Narrow" w:hAnsi="Arial Narrow"/>
                <w:color w:val="000000" w:themeColor="text1"/>
                <w:sz w:val="20"/>
                <w:szCs w:val="20"/>
              </w:rPr>
            </w:pPr>
          </w:p>
        </w:tc>
        <w:tc>
          <w:tcPr>
            <w:tcW w:w="391" w:type="pct"/>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tcPr>
          <w:p w:rsidR="00575A7C" w:rsidRPr="006E187F" w:rsidRDefault="00575A7C" w:rsidP="00F10037">
            <w:pPr>
              <w:rPr>
                <w:rFonts w:ascii="Arial Narrow" w:hAnsi="Arial Narrow"/>
                <w:b/>
                <w:bCs/>
                <w:color w:val="000000" w:themeColor="text1"/>
                <w:sz w:val="20"/>
                <w:szCs w:val="20"/>
              </w:rPr>
            </w:pPr>
            <w:r w:rsidRPr="006E187F">
              <w:rPr>
                <w:rFonts w:ascii="Arial Narrow" w:hAnsi="Arial Narrow"/>
                <w:b/>
                <w:bCs/>
                <w:color w:val="000000" w:themeColor="text1"/>
                <w:sz w:val="20"/>
                <w:szCs w:val="20"/>
              </w:rPr>
              <w:t>Administrative Advice:</w:t>
            </w:r>
          </w:p>
          <w:p w:rsidR="00575A7C" w:rsidRPr="006E187F"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Applications for authorisation under this restriction may be made in real time using the Online PBS Authorities system (see www.servicesaustralia.gov.au/HPOS) or by telephone by contacting Services Australia on 1800 888 333.</w:t>
            </w:r>
          </w:p>
        </w:tc>
      </w:tr>
      <w:tr w:rsidR="00575A7C" w:rsidRPr="006E187F" w:rsidTr="004D2DFC">
        <w:tblPrEx>
          <w:tblCellMar>
            <w:top w:w="15" w:type="dxa"/>
            <w:left w:w="15" w:type="dxa"/>
            <w:bottom w:w="15" w:type="dxa"/>
            <w:right w:w="15" w:type="dxa"/>
          </w:tblCellMar>
          <w:tblLook w:val="04A0" w:firstRow="1" w:lastRow="0" w:firstColumn="1" w:lastColumn="0" w:noHBand="0" w:noVBand="1"/>
        </w:tblPrEx>
        <w:trPr>
          <w:trHeight w:val="31"/>
        </w:trPr>
        <w:tc>
          <w:tcPr>
            <w:tcW w:w="152" w:type="pct"/>
            <w:vMerge/>
            <w:vAlign w:val="center"/>
          </w:tcPr>
          <w:p w:rsidR="00575A7C" w:rsidRPr="006E187F" w:rsidRDefault="00575A7C" w:rsidP="00F10037">
            <w:pPr>
              <w:jc w:val="center"/>
              <w:rPr>
                <w:rFonts w:ascii="Arial Narrow" w:hAnsi="Arial Narrow"/>
                <w:color w:val="000000" w:themeColor="text1"/>
                <w:sz w:val="20"/>
                <w:szCs w:val="20"/>
              </w:rPr>
            </w:pPr>
          </w:p>
        </w:tc>
        <w:tc>
          <w:tcPr>
            <w:tcW w:w="391" w:type="pct"/>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tcPr>
          <w:p w:rsidR="00575A7C" w:rsidRPr="005F0AAA" w:rsidRDefault="00575A7C" w:rsidP="00F10037">
            <w:pPr>
              <w:rPr>
                <w:rFonts w:ascii="Arial Narrow" w:hAnsi="Arial Narrow"/>
                <w:b/>
                <w:bCs/>
                <w:color w:val="000000" w:themeColor="text1"/>
                <w:sz w:val="20"/>
                <w:szCs w:val="20"/>
              </w:rPr>
            </w:pPr>
            <w:r w:rsidRPr="006E187F">
              <w:rPr>
                <w:rFonts w:ascii="Arial Narrow" w:hAnsi="Arial Narrow"/>
                <w:b/>
                <w:bCs/>
                <w:color w:val="000000" w:themeColor="text1"/>
                <w:sz w:val="20"/>
                <w:szCs w:val="20"/>
              </w:rPr>
              <w:t>Administrative Advice:</w:t>
            </w:r>
            <w:r w:rsidR="005F0AAA">
              <w:rPr>
                <w:rFonts w:ascii="Arial Narrow" w:hAnsi="Arial Narrow"/>
                <w:b/>
                <w:bCs/>
                <w:color w:val="000000" w:themeColor="text1"/>
                <w:sz w:val="20"/>
                <w:szCs w:val="20"/>
              </w:rPr>
              <w:t xml:space="preserve"> </w:t>
            </w:r>
            <w:r w:rsidRPr="006E187F">
              <w:rPr>
                <w:rFonts w:ascii="Arial Narrow" w:hAnsi="Arial Narrow"/>
                <w:bCs/>
                <w:color w:val="000000" w:themeColor="text1"/>
                <w:sz w:val="20"/>
                <w:szCs w:val="20"/>
              </w:rPr>
              <w:t>No increase in the maximum number of repeats may be authorised.</w:t>
            </w:r>
          </w:p>
        </w:tc>
      </w:tr>
      <w:tr w:rsidR="00575A7C" w:rsidRPr="006E187F" w:rsidTr="004D2DFC">
        <w:tblPrEx>
          <w:tblCellMar>
            <w:top w:w="15" w:type="dxa"/>
            <w:left w:w="15" w:type="dxa"/>
            <w:bottom w:w="15" w:type="dxa"/>
            <w:right w:w="15" w:type="dxa"/>
          </w:tblCellMar>
          <w:tblLook w:val="04A0" w:firstRow="1" w:lastRow="0" w:firstColumn="1" w:lastColumn="0" w:noHBand="0" w:noVBand="1"/>
        </w:tblPrEx>
        <w:trPr>
          <w:trHeight w:val="31"/>
        </w:trPr>
        <w:tc>
          <w:tcPr>
            <w:tcW w:w="152" w:type="pct"/>
            <w:vMerge/>
            <w:vAlign w:val="center"/>
          </w:tcPr>
          <w:p w:rsidR="00575A7C" w:rsidRPr="006E187F" w:rsidRDefault="00575A7C" w:rsidP="00F10037">
            <w:pPr>
              <w:jc w:val="center"/>
              <w:rPr>
                <w:rFonts w:ascii="Arial Narrow" w:hAnsi="Arial Narrow"/>
                <w:color w:val="000000" w:themeColor="text1"/>
                <w:sz w:val="20"/>
                <w:szCs w:val="20"/>
              </w:rPr>
            </w:pPr>
          </w:p>
        </w:tc>
        <w:tc>
          <w:tcPr>
            <w:tcW w:w="391" w:type="pct"/>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tcPr>
          <w:p w:rsidR="00575A7C" w:rsidRPr="005F0AAA" w:rsidRDefault="00575A7C" w:rsidP="00F10037">
            <w:pPr>
              <w:rPr>
                <w:rFonts w:ascii="Arial Narrow" w:hAnsi="Arial Narrow"/>
                <w:b/>
                <w:bCs/>
                <w:color w:val="000000" w:themeColor="text1"/>
                <w:sz w:val="20"/>
                <w:szCs w:val="20"/>
              </w:rPr>
            </w:pPr>
            <w:r w:rsidRPr="006E187F">
              <w:rPr>
                <w:rFonts w:ascii="Arial Narrow" w:hAnsi="Arial Narrow"/>
                <w:b/>
                <w:bCs/>
                <w:color w:val="000000" w:themeColor="text1"/>
                <w:sz w:val="20"/>
                <w:szCs w:val="20"/>
              </w:rPr>
              <w:t>Administrative Advice:</w:t>
            </w:r>
            <w:r w:rsidR="005F0AAA">
              <w:rPr>
                <w:rFonts w:ascii="Arial Narrow" w:hAnsi="Arial Narrow"/>
                <w:b/>
                <w:bCs/>
                <w:color w:val="000000" w:themeColor="text1"/>
                <w:sz w:val="20"/>
                <w:szCs w:val="20"/>
              </w:rPr>
              <w:t xml:space="preserve"> </w:t>
            </w:r>
            <w:r w:rsidRPr="006E187F">
              <w:rPr>
                <w:rFonts w:ascii="Arial Narrow" w:hAnsi="Arial Narrow"/>
                <w:bCs/>
                <w:color w:val="000000" w:themeColor="text1"/>
                <w:sz w:val="20"/>
                <w:szCs w:val="20"/>
              </w:rPr>
              <w:t>Special Pricing Arrangements apply.</w:t>
            </w:r>
          </w:p>
        </w:tc>
      </w:tr>
      <w:tr w:rsidR="00575A7C" w:rsidRPr="006E187F" w:rsidTr="00AC6070">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hideMark/>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Indication:</w:t>
            </w:r>
            <w:r w:rsidRPr="006E187F">
              <w:rPr>
                <w:rFonts w:ascii="Arial Narrow" w:hAnsi="Arial Narrow"/>
                <w:color w:val="000000" w:themeColor="text1"/>
                <w:sz w:val="20"/>
                <w:szCs w:val="20"/>
              </w:rPr>
              <w:t xml:space="preserve"> </w:t>
            </w:r>
            <w:r w:rsidRPr="006E187F">
              <w:rPr>
                <w:rFonts w:ascii="Arial Narrow" w:hAnsi="Arial Narrow"/>
                <w:bCs/>
                <w:color w:val="000000" w:themeColor="text1"/>
                <w:sz w:val="20"/>
                <w:szCs w:val="20"/>
              </w:rPr>
              <w:t>Relapsed and/or refractory multiple myeloma</w:t>
            </w:r>
          </w:p>
        </w:tc>
      </w:tr>
      <w:tr w:rsidR="00575A7C" w:rsidRPr="006E187F" w:rsidTr="00AC6070">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hideMark/>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Treatment Phase:</w:t>
            </w:r>
            <w:r w:rsidRPr="006E187F">
              <w:rPr>
                <w:rFonts w:ascii="Arial Narrow" w:hAnsi="Arial Narrow"/>
                <w:color w:val="000000" w:themeColor="text1"/>
                <w:sz w:val="20"/>
                <w:szCs w:val="20"/>
              </w:rPr>
              <w:t xml:space="preserve"> Initial treatment as second-line drug therapy for weeks 1 to 9 (administered once weekly)</w:t>
            </w:r>
          </w:p>
        </w:tc>
      </w:tr>
      <w:tr w:rsidR="00575A7C" w:rsidRPr="006E187F" w:rsidTr="00AC6070">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hideMark/>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 xml:space="preserve">Clinical criteria: </w:t>
            </w:r>
          </w:p>
        </w:tc>
      </w:tr>
      <w:tr w:rsidR="00575A7C" w:rsidRPr="006E187F" w:rsidTr="00AC6070">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hideMark/>
          </w:tcPr>
          <w:p w:rsidR="00575A7C" w:rsidRPr="006E187F" w:rsidRDefault="00575A7C" w:rsidP="00F10037">
            <w:pPr>
              <w:rPr>
                <w:rFonts w:ascii="Arial Narrow" w:hAnsi="Arial Narrow"/>
                <w:color w:val="000000" w:themeColor="text1"/>
                <w:sz w:val="20"/>
                <w:szCs w:val="20"/>
              </w:rPr>
            </w:pPr>
            <w:r w:rsidRPr="006E187F">
              <w:rPr>
                <w:rFonts w:ascii="Arial Narrow" w:hAnsi="Arial Narrow"/>
                <w:color w:val="000000" w:themeColor="text1"/>
                <w:sz w:val="20"/>
                <w:szCs w:val="20"/>
              </w:rPr>
              <w:t>The condition must be confirmed by a histological diagnosis</w:t>
            </w:r>
          </w:p>
        </w:tc>
      </w:tr>
      <w:tr w:rsidR="00575A7C" w:rsidRPr="006E187F" w:rsidTr="00B32FD9">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AND</w:t>
            </w:r>
          </w:p>
        </w:tc>
      </w:tr>
      <w:tr w:rsidR="00575A7C" w:rsidRPr="006E187F" w:rsidTr="00B32FD9">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Clinical criteria:</w:t>
            </w:r>
          </w:p>
        </w:tc>
      </w:tr>
      <w:tr w:rsidR="00575A7C" w:rsidRPr="006E187F" w:rsidTr="00B32FD9">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tcPr>
          <w:p w:rsidR="00575A7C" w:rsidRPr="006E187F" w:rsidRDefault="00575A7C" w:rsidP="00F10037">
            <w:pPr>
              <w:rPr>
                <w:rFonts w:ascii="Arial Narrow" w:hAnsi="Arial Narrow"/>
                <w:color w:val="000000" w:themeColor="text1"/>
                <w:sz w:val="20"/>
                <w:szCs w:val="20"/>
              </w:rPr>
            </w:pPr>
            <w:r w:rsidRPr="006E187F">
              <w:rPr>
                <w:rFonts w:ascii="Arial Narrow" w:hAnsi="Arial Narrow"/>
                <w:color w:val="000000" w:themeColor="text1"/>
                <w:sz w:val="20"/>
                <w:szCs w:val="20"/>
              </w:rPr>
              <w:t>The treatment must be in combination with bortezomib and dexamethasone</w:t>
            </w:r>
          </w:p>
        </w:tc>
      </w:tr>
      <w:tr w:rsidR="00575A7C" w:rsidRPr="006E187F" w:rsidTr="00AC6070">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hideMark/>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AND</w:t>
            </w:r>
          </w:p>
        </w:tc>
      </w:tr>
      <w:tr w:rsidR="00575A7C" w:rsidRPr="006E187F" w:rsidTr="00B32FD9">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hideMark/>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Clinical criteria:</w:t>
            </w:r>
          </w:p>
        </w:tc>
      </w:tr>
      <w:tr w:rsidR="00575A7C" w:rsidRPr="006E187F" w:rsidTr="00B32FD9">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hideMark/>
          </w:tcPr>
          <w:p w:rsidR="00575A7C" w:rsidRPr="006E187F" w:rsidRDefault="00575A7C" w:rsidP="00F10037">
            <w:pPr>
              <w:rPr>
                <w:rFonts w:ascii="Arial Narrow" w:hAnsi="Arial Narrow"/>
                <w:color w:val="000000" w:themeColor="text1"/>
                <w:sz w:val="20"/>
                <w:szCs w:val="20"/>
              </w:rPr>
            </w:pPr>
            <w:r w:rsidRPr="006E187F">
              <w:rPr>
                <w:rFonts w:ascii="Arial Narrow" w:hAnsi="Arial Narrow"/>
                <w:color w:val="000000" w:themeColor="text1"/>
                <w:sz w:val="20"/>
                <w:szCs w:val="20"/>
              </w:rPr>
              <w:t>Patient must have progressive disease after only one prior therapy (i.e. use must be as second-line drug therapy; use as third-line drug therapy or beyond is not PBS-subsidised)</w:t>
            </w:r>
          </w:p>
        </w:tc>
      </w:tr>
      <w:tr w:rsidR="00575A7C" w:rsidRPr="006E187F" w:rsidTr="00B32FD9">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AND</w:t>
            </w:r>
          </w:p>
        </w:tc>
      </w:tr>
      <w:tr w:rsidR="00575A7C" w:rsidRPr="006E187F" w:rsidTr="00B32FD9">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Clinical criteria:</w:t>
            </w:r>
          </w:p>
        </w:tc>
      </w:tr>
      <w:tr w:rsidR="00575A7C" w:rsidRPr="006E187F" w:rsidTr="00B32FD9">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tcPr>
          <w:p w:rsidR="00575A7C" w:rsidRPr="006E187F" w:rsidRDefault="00575A7C" w:rsidP="00F10037">
            <w:pPr>
              <w:rPr>
                <w:rFonts w:ascii="Arial Narrow" w:hAnsi="Arial Narrow"/>
                <w:color w:val="000000" w:themeColor="text1"/>
                <w:sz w:val="20"/>
                <w:szCs w:val="20"/>
              </w:rPr>
            </w:pPr>
            <w:r w:rsidRPr="006E187F">
              <w:rPr>
                <w:rFonts w:ascii="Arial Narrow" w:hAnsi="Arial Narrow"/>
                <w:color w:val="000000" w:themeColor="text1"/>
                <w:sz w:val="20"/>
                <w:szCs w:val="20"/>
              </w:rPr>
              <w:t>Patient must not be receiving concomitant PBS-subsidised carfilzomib, thalidomide or its analogues</w:t>
            </w:r>
          </w:p>
        </w:tc>
      </w:tr>
      <w:tr w:rsidR="00575A7C" w:rsidRPr="006E187F" w:rsidTr="00B32FD9">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AND</w:t>
            </w:r>
          </w:p>
        </w:tc>
      </w:tr>
      <w:tr w:rsidR="00364CAD" w:rsidRPr="006E187F" w:rsidTr="00B32FD9">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364CAD" w:rsidRDefault="00364CAD" w:rsidP="00F10037">
            <w:pPr>
              <w:jc w:val="center"/>
              <w:rPr>
                <w:rFonts w:ascii="Arial Narrow" w:hAnsi="Arial Narrow"/>
                <w:color w:val="000000" w:themeColor="text1"/>
                <w:sz w:val="20"/>
                <w:szCs w:val="20"/>
              </w:rPr>
            </w:pPr>
          </w:p>
        </w:tc>
        <w:tc>
          <w:tcPr>
            <w:tcW w:w="4457" w:type="pct"/>
            <w:gridSpan w:val="6"/>
            <w:vAlign w:val="center"/>
          </w:tcPr>
          <w:p w:rsidR="00364CAD" w:rsidRPr="00364CAD" w:rsidRDefault="00364CAD" w:rsidP="00F10037">
            <w:pPr>
              <w:rPr>
                <w:rFonts w:ascii="Arial Narrow" w:hAnsi="Arial Narrow"/>
                <w:b/>
                <w:bCs/>
                <w:color w:val="000000" w:themeColor="text1"/>
                <w:sz w:val="20"/>
                <w:szCs w:val="20"/>
              </w:rPr>
            </w:pPr>
            <w:r>
              <w:rPr>
                <w:rFonts w:ascii="Arial Narrow" w:hAnsi="Arial Narrow"/>
                <w:b/>
                <w:bCs/>
                <w:color w:val="000000" w:themeColor="text1"/>
                <w:sz w:val="20"/>
                <w:szCs w:val="20"/>
              </w:rPr>
              <w:t>Treatment criteria:</w:t>
            </w:r>
          </w:p>
        </w:tc>
      </w:tr>
      <w:tr w:rsidR="005F0AAA" w:rsidRPr="006E187F" w:rsidTr="00B32FD9">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F0AAA" w:rsidRPr="006E187F" w:rsidRDefault="005F0AAA" w:rsidP="00F10037">
            <w:pPr>
              <w:jc w:val="center"/>
              <w:rPr>
                <w:rFonts w:ascii="Arial Narrow" w:hAnsi="Arial Narrow"/>
                <w:color w:val="000000" w:themeColor="text1"/>
                <w:sz w:val="20"/>
                <w:szCs w:val="20"/>
              </w:rPr>
            </w:pPr>
          </w:p>
        </w:tc>
        <w:tc>
          <w:tcPr>
            <w:tcW w:w="4457" w:type="pct"/>
            <w:gridSpan w:val="6"/>
            <w:vAlign w:val="center"/>
          </w:tcPr>
          <w:p w:rsidR="005F0AAA" w:rsidRPr="006E187F" w:rsidRDefault="00364CAD" w:rsidP="00F10037">
            <w:pPr>
              <w:rPr>
                <w:rFonts w:ascii="Arial Narrow" w:hAnsi="Arial Narrow"/>
                <w:color w:val="000000" w:themeColor="text1"/>
                <w:sz w:val="20"/>
                <w:szCs w:val="20"/>
              </w:rPr>
            </w:pPr>
            <w:r>
              <w:rPr>
                <w:rFonts w:ascii="Arial Narrow" w:hAnsi="Arial Narrow"/>
                <w:color w:val="000000" w:themeColor="text1"/>
                <w:sz w:val="20"/>
                <w:szCs w:val="20"/>
              </w:rPr>
              <w:t>Patient must be undergoing treatment with this drug in one of the following situations: (i) for the first time, (ii) changing the drug’s form (intravenous/subcutaneous) within the first 9 weeks of treatment</w:t>
            </w:r>
          </w:p>
        </w:tc>
      </w:tr>
      <w:tr w:rsidR="00575A7C" w:rsidRPr="006E187F" w:rsidTr="00AC6070">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hideMark/>
          </w:tcPr>
          <w:p w:rsidR="00364CAD" w:rsidRDefault="00575A7C" w:rsidP="00F10037">
            <w:pPr>
              <w:rPr>
                <w:rFonts w:ascii="Arial Narrow" w:hAnsi="Arial Narrow"/>
                <w:b/>
                <w:bCs/>
                <w:color w:val="000000" w:themeColor="text1"/>
                <w:sz w:val="20"/>
                <w:szCs w:val="20"/>
              </w:rPr>
            </w:pPr>
            <w:r w:rsidRPr="006E187F">
              <w:rPr>
                <w:rFonts w:ascii="Arial Narrow" w:hAnsi="Arial Narrow"/>
                <w:b/>
                <w:bCs/>
                <w:color w:val="000000" w:themeColor="text1"/>
                <w:sz w:val="20"/>
                <w:szCs w:val="20"/>
              </w:rPr>
              <w:t xml:space="preserve">Prescribing Instructions: </w:t>
            </w:r>
          </w:p>
          <w:p w:rsidR="00575A7C" w:rsidRPr="006E187F" w:rsidRDefault="00575A7C" w:rsidP="00F10037">
            <w:pPr>
              <w:rPr>
                <w:rFonts w:ascii="Arial Narrow" w:hAnsi="Arial Narrow"/>
                <w:color w:val="000000" w:themeColor="text1"/>
                <w:sz w:val="20"/>
                <w:szCs w:val="20"/>
              </w:rPr>
            </w:pPr>
            <w:r w:rsidRPr="006E187F">
              <w:rPr>
                <w:rFonts w:ascii="Arial Narrow" w:hAnsi="Arial Narrow"/>
                <w:bCs/>
                <w:color w:val="000000" w:themeColor="text1"/>
                <w:sz w:val="20"/>
                <w:szCs w:val="20"/>
              </w:rPr>
              <w:t>Progressive disease is defined as at least 1 of the following:, (a) at least a 25% increase and an absolute increase of at least 5 g per L in serum M protein (monoclonal protein); or, (b) at least a 25% increase in 24-hour urinary light chain M protein excretion, and an absolute increase of at least 200 mg per 24 hours; or, (c) in oligo-secretory and non-secretory myeloma patients only, at least a 50% increase in the difference between involved free light chain and uninvolved free light chain; or, (d) at least a 25% relative increase and at least a 10% absolute increase in plasma cells in a bone marrow aspirate or on biopsy; or, (e) an increase in the size or number of lytic bone lesions (not including compression fractures); or, (f) at least a 25% increase in the size of an existing or the development of a new soft tissue plasmacytoma (determined by clinical examination or diagnostic imaging); or, (g) development of hypercalcaemia (corrected serum calcium greater than 2.65 mmol per L not attributable to any other cause).</w:t>
            </w:r>
          </w:p>
        </w:tc>
      </w:tr>
      <w:tr w:rsidR="00575A7C" w:rsidRPr="006E187F" w:rsidTr="00AC6070">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hideMark/>
          </w:tcPr>
          <w:p w:rsidR="00364CAD" w:rsidRDefault="00575A7C" w:rsidP="00F10037">
            <w:pPr>
              <w:rPr>
                <w:rFonts w:ascii="Arial Narrow" w:hAnsi="Arial Narrow"/>
                <w:b/>
                <w:bCs/>
                <w:color w:val="000000" w:themeColor="text1"/>
                <w:sz w:val="20"/>
                <w:szCs w:val="20"/>
              </w:rPr>
            </w:pPr>
            <w:r w:rsidRPr="006E187F">
              <w:rPr>
                <w:rFonts w:ascii="Arial Narrow" w:hAnsi="Arial Narrow"/>
                <w:b/>
                <w:bCs/>
                <w:color w:val="000000" w:themeColor="text1"/>
                <w:sz w:val="20"/>
                <w:szCs w:val="20"/>
              </w:rPr>
              <w:t xml:space="preserve">Prescribing Instructions: </w:t>
            </w:r>
          </w:p>
          <w:p w:rsidR="00575A7C" w:rsidRPr="006E187F" w:rsidRDefault="00575A7C" w:rsidP="00F10037">
            <w:pPr>
              <w:rPr>
                <w:rFonts w:ascii="Arial Narrow" w:hAnsi="Arial Narrow"/>
                <w:color w:val="000000" w:themeColor="text1"/>
                <w:sz w:val="20"/>
                <w:szCs w:val="20"/>
              </w:rPr>
            </w:pPr>
            <w:r w:rsidRPr="006E187F">
              <w:rPr>
                <w:rFonts w:ascii="Arial Narrow" w:hAnsi="Arial Narrow"/>
                <w:bCs/>
                <w:color w:val="000000" w:themeColor="text1"/>
                <w:sz w:val="20"/>
                <w:szCs w:val="20"/>
              </w:rPr>
              <w:t>Oligo-secretory and non-secretory patients are defined as having active disease with less than 10 g per L serum M protein.</w:t>
            </w:r>
          </w:p>
        </w:tc>
      </w:tr>
      <w:tr w:rsidR="00575A7C" w:rsidRPr="006E187F" w:rsidTr="00B32FD9">
        <w:tblPrEx>
          <w:tblCellMar>
            <w:top w:w="15" w:type="dxa"/>
            <w:left w:w="15" w:type="dxa"/>
            <w:bottom w:w="15" w:type="dxa"/>
            <w:right w:w="15" w:type="dxa"/>
          </w:tblCellMar>
          <w:tblLook w:val="04A0" w:firstRow="1" w:lastRow="0" w:firstColumn="1" w:lastColumn="0" w:noHBand="0" w:noVBand="1"/>
        </w:tblPrEx>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tcPr>
          <w:p w:rsidR="00364CAD" w:rsidRDefault="00575A7C" w:rsidP="00F10037">
            <w:pPr>
              <w:rPr>
                <w:rFonts w:ascii="Arial Narrow" w:hAnsi="Arial Narrow"/>
                <w:b/>
                <w:bCs/>
                <w:color w:val="000000" w:themeColor="text1"/>
                <w:sz w:val="20"/>
                <w:szCs w:val="20"/>
              </w:rPr>
            </w:pPr>
            <w:r w:rsidRPr="006E187F">
              <w:rPr>
                <w:rFonts w:ascii="Arial Narrow" w:hAnsi="Arial Narrow"/>
                <w:b/>
                <w:bCs/>
                <w:color w:val="000000" w:themeColor="text1"/>
                <w:sz w:val="20"/>
                <w:szCs w:val="20"/>
              </w:rPr>
              <w:t xml:space="preserve">Prescribing Instructions: </w:t>
            </w:r>
          </w:p>
          <w:p w:rsidR="00364CAD"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 </w:t>
            </w:r>
          </w:p>
          <w:p w:rsidR="00364CAD"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Confirmation of eligibility for treatment with current diagnostic reports of at least one of the following must be documented in the patient's medical records:</w:t>
            </w:r>
          </w:p>
          <w:p w:rsidR="00364CAD"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(a) the level of serum monoclonal protein; or, </w:t>
            </w:r>
          </w:p>
          <w:p w:rsidR="00364CAD"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(b) Bence-Jones proteinuria - the results of 24-hour urinary light chain M protein excretion; or, </w:t>
            </w:r>
          </w:p>
          <w:p w:rsidR="00364CAD"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(c) the serum level of free kappa and lambda light chains; or, </w:t>
            </w:r>
          </w:p>
          <w:p w:rsidR="00364CAD"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(d) bone marrow aspirate or trephine; or, </w:t>
            </w:r>
          </w:p>
          <w:p w:rsidR="00364CAD"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(e) if present, the size and location of lytic bone lesions (not including compression fractures); or, </w:t>
            </w:r>
          </w:p>
          <w:p w:rsidR="00364CAD"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(f) if present, the size and location of all soft tissue plasmacytomas by clinical or radiographic examination i.e. MRI or CT-scan; or, </w:t>
            </w:r>
          </w:p>
          <w:p w:rsidR="00364CAD"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(g) if present, the level of hypercalcaemia, corrected for albumin concentration. </w:t>
            </w:r>
          </w:p>
          <w:p w:rsidR="00575A7C" w:rsidRPr="006E187F"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tc>
      </w:tr>
      <w:tr w:rsidR="00575A7C" w:rsidRPr="006E187F" w:rsidTr="00B32FD9">
        <w:tblPrEx>
          <w:tblCellMar>
            <w:top w:w="15" w:type="dxa"/>
            <w:left w:w="15" w:type="dxa"/>
            <w:bottom w:w="15" w:type="dxa"/>
            <w:right w:w="15" w:type="dxa"/>
          </w:tblCellMar>
          <w:tblLook w:val="04A0" w:firstRow="1" w:lastRow="0" w:firstColumn="1" w:lastColumn="0" w:noHBand="0" w:noVBand="1"/>
        </w:tblPrEx>
        <w:trPr>
          <w:trHeight w:val="1420"/>
        </w:trPr>
        <w:tc>
          <w:tcPr>
            <w:tcW w:w="543"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7" w:type="pct"/>
            <w:gridSpan w:val="6"/>
            <w:vAlign w:val="center"/>
          </w:tcPr>
          <w:p w:rsidR="00364CAD" w:rsidRDefault="00575A7C" w:rsidP="00F10037">
            <w:pPr>
              <w:rPr>
                <w:rFonts w:ascii="Arial Narrow" w:hAnsi="Arial Narrow"/>
                <w:b/>
                <w:bCs/>
                <w:color w:val="000000" w:themeColor="text1"/>
                <w:sz w:val="20"/>
                <w:szCs w:val="20"/>
              </w:rPr>
            </w:pPr>
            <w:r w:rsidRPr="006E187F">
              <w:rPr>
                <w:rFonts w:ascii="Arial Narrow" w:hAnsi="Arial Narrow"/>
                <w:b/>
                <w:bCs/>
                <w:color w:val="000000" w:themeColor="text1"/>
                <w:sz w:val="20"/>
                <w:szCs w:val="20"/>
              </w:rPr>
              <w:t xml:space="preserve">Prescribing instructions: </w:t>
            </w:r>
          </w:p>
          <w:p w:rsidR="00364CAD"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A line of therapy is defined as 1 or more cycles of a planned treatment program. This may consist of 1 or more planned cycles of single-agent therapy or combination therapy, as well as a sequence of treatments administered in a planned manner.</w:t>
            </w:r>
          </w:p>
          <w:p w:rsidR="00575A7C" w:rsidRPr="006E187F"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r>
      <w:bookmarkEnd w:id="31"/>
    </w:tbl>
    <w:p w:rsidR="00575A7C" w:rsidRDefault="00575A7C" w:rsidP="00575A7C">
      <w:pPr>
        <w:rPr>
          <w:rFonts w:asciiTheme="minorHAnsi" w:hAnsiTheme="minorHAnsi" w:cstheme="minorHAnsi"/>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
        <w:gridCol w:w="676"/>
        <w:gridCol w:w="2709"/>
        <w:gridCol w:w="1864"/>
        <w:gridCol w:w="850"/>
        <w:gridCol w:w="849"/>
        <w:gridCol w:w="705"/>
        <w:gridCol w:w="1139"/>
      </w:tblGrid>
      <w:tr w:rsidR="00741915" w:rsidRPr="006E187F" w:rsidTr="00741915">
        <w:trPr>
          <w:cantSplit/>
          <w:trHeight w:val="471"/>
        </w:trPr>
        <w:tc>
          <w:tcPr>
            <w:tcW w:w="2018" w:type="pct"/>
            <w:gridSpan w:val="3"/>
          </w:tcPr>
          <w:p w:rsidR="005F3981" w:rsidRPr="006E187F" w:rsidRDefault="005F3981" w:rsidP="005F3981">
            <w:pPr>
              <w:keepNext/>
              <w:ind w:left="-57"/>
              <w:rPr>
                <w:rFonts w:ascii="Arial Narrow" w:hAnsi="Arial Narrow"/>
                <w:b/>
                <w:sz w:val="20"/>
                <w:szCs w:val="20"/>
              </w:rPr>
            </w:pPr>
            <w:bookmarkStart w:id="32" w:name="_Hlk77803054"/>
            <w:r w:rsidRPr="006E187F">
              <w:rPr>
                <w:rFonts w:ascii="Arial Narrow" w:hAnsi="Arial Narrow"/>
                <w:b/>
                <w:sz w:val="20"/>
                <w:szCs w:val="20"/>
              </w:rPr>
              <w:t>MEDICINAL PRODUCT</w:t>
            </w:r>
          </w:p>
          <w:p w:rsidR="005F3981" w:rsidRPr="006E187F" w:rsidRDefault="005F3981" w:rsidP="005F3981">
            <w:pPr>
              <w:keepNext/>
              <w:ind w:left="-57"/>
              <w:rPr>
                <w:rFonts w:ascii="Arial Narrow" w:hAnsi="Arial Narrow"/>
                <w:b/>
                <w:sz w:val="20"/>
                <w:szCs w:val="20"/>
              </w:rPr>
            </w:pPr>
            <w:r w:rsidRPr="006E187F">
              <w:rPr>
                <w:rFonts w:ascii="Arial Narrow" w:hAnsi="Arial Narrow"/>
                <w:b/>
                <w:sz w:val="20"/>
                <w:szCs w:val="20"/>
              </w:rPr>
              <w:t>medicinal product pack</w:t>
            </w:r>
          </w:p>
        </w:tc>
        <w:tc>
          <w:tcPr>
            <w:tcW w:w="1028" w:type="pct"/>
          </w:tcPr>
          <w:p w:rsidR="005F3981" w:rsidRPr="006E187F" w:rsidRDefault="005F3981" w:rsidP="005F3981">
            <w:pPr>
              <w:keepNext/>
              <w:ind w:left="-108"/>
              <w:jc w:val="center"/>
              <w:rPr>
                <w:rFonts w:ascii="Arial Narrow" w:hAnsi="Arial Narrow"/>
                <w:b/>
                <w:sz w:val="20"/>
                <w:szCs w:val="20"/>
              </w:rPr>
            </w:pPr>
            <w:r w:rsidRPr="006E187F">
              <w:rPr>
                <w:rFonts w:ascii="Arial Narrow" w:hAnsi="Arial Narrow"/>
                <w:b/>
                <w:sz w:val="20"/>
                <w:szCs w:val="20"/>
              </w:rPr>
              <w:t>PBS item code</w:t>
            </w:r>
          </w:p>
        </w:tc>
        <w:tc>
          <w:tcPr>
            <w:tcW w:w="469" w:type="pct"/>
          </w:tcPr>
          <w:p w:rsidR="005F3981" w:rsidRPr="006E187F" w:rsidRDefault="005F3981" w:rsidP="005F3981">
            <w:pPr>
              <w:keepNext/>
              <w:ind w:left="-108"/>
              <w:jc w:val="center"/>
              <w:rPr>
                <w:rFonts w:ascii="Arial Narrow" w:hAnsi="Arial Narrow"/>
                <w:b/>
                <w:sz w:val="20"/>
                <w:szCs w:val="20"/>
              </w:rPr>
            </w:pPr>
            <w:r w:rsidRPr="006E187F">
              <w:rPr>
                <w:rFonts w:ascii="Arial Narrow" w:hAnsi="Arial Narrow"/>
                <w:b/>
                <w:sz w:val="20"/>
                <w:szCs w:val="20"/>
              </w:rPr>
              <w:t>Max. qty packs</w:t>
            </w:r>
          </w:p>
        </w:tc>
        <w:tc>
          <w:tcPr>
            <w:tcW w:w="468" w:type="pct"/>
          </w:tcPr>
          <w:p w:rsidR="005F3981" w:rsidRPr="006E187F" w:rsidRDefault="005F3981" w:rsidP="005F3981">
            <w:pPr>
              <w:keepNext/>
              <w:ind w:left="-108"/>
              <w:jc w:val="center"/>
              <w:rPr>
                <w:rFonts w:ascii="Arial Narrow" w:hAnsi="Arial Narrow"/>
                <w:b/>
                <w:sz w:val="20"/>
                <w:szCs w:val="20"/>
              </w:rPr>
            </w:pPr>
            <w:r w:rsidRPr="006E187F">
              <w:rPr>
                <w:rFonts w:ascii="Arial Narrow" w:hAnsi="Arial Narrow"/>
                <w:b/>
                <w:sz w:val="20"/>
                <w:szCs w:val="20"/>
              </w:rPr>
              <w:t>Max. qty units</w:t>
            </w:r>
          </w:p>
        </w:tc>
        <w:tc>
          <w:tcPr>
            <w:tcW w:w="389" w:type="pct"/>
          </w:tcPr>
          <w:p w:rsidR="005F3981" w:rsidRPr="006E187F" w:rsidRDefault="005F3981" w:rsidP="005F3981">
            <w:pPr>
              <w:keepNext/>
              <w:ind w:left="-108"/>
              <w:jc w:val="center"/>
              <w:rPr>
                <w:rFonts w:ascii="Arial Narrow" w:hAnsi="Arial Narrow"/>
                <w:b/>
                <w:sz w:val="20"/>
                <w:szCs w:val="20"/>
              </w:rPr>
            </w:pPr>
            <w:r w:rsidRPr="006E187F">
              <w:rPr>
                <w:rFonts w:ascii="Arial Narrow" w:hAnsi="Arial Narrow"/>
                <w:b/>
                <w:sz w:val="20"/>
                <w:szCs w:val="20"/>
              </w:rPr>
              <w:t>№.of</w:t>
            </w:r>
          </w:p>
          <w:p w:rsidR="005F3981" w:rsidRPr="006E187F" w:rsidRDefault="005F3981" w:rsidP="005F3981">
            <w:pPr>
              <w:keepNext/>
              <w:ind w:left="-108"/>
              <w:jc w:val="center"/>
              <w:rPr>
                <w:rFonts w:ascii="Arial Narrow" w:hAnsi="Arial Narrow"/>
                <w:b/>
                <w:sz w:val="20"/>
                <w:szCs w:val="20"/>
              </w:rPr>
            </w:pPr>
            <w:r w:rsidRPr="006E187F">
              <w:rPr>
                <w:rFonts w:ascii="Arial Narrow" w:hAnsi="Arial Narrow"/>
                <w:b/>
                <w:sz w:val="20"/>
                <w:szCs w:val="20"/>
              </w:rPr>
              <w:t>Rpts</w:t>
            </w:r>
          </w:p>
        </w:tc>
        <w:tc>
          <w:tcPr>
            <w:tcW w:w="628" w:type="pct"/>
          </w:tcPr>
          <w:p w:rsidR="005F3981" w:rsidRPr="006E187F" w:rsidRDefault="005F3981" w:rsidP="005F3981">
            <w:pPr>
              <w:keepNext/>
              <w:rPr>
                <w:rFonts w:ascii="Arial Narrow" w:hAnsi="Arial Narrow"/>
                <w:b/>
                <w:sz w:val="20"/>
                <w:szCs w:val="20"/>
              </w:rPr>
            </w:pPr>
            <w:r w:rsidRPr="006E187F">
              <w:rPr>
                <w:rFonts w:ascii="Arial Narrow" w:hAnsi="Arial Narrow"/>
                <w:b/>
                <w:sz w:val="20"/>
                <w:szCs w:val="20"/>
              </w:rPr>
              <w:t>Available brands</w:t>
            </w:r>
          </w:p>
        </w:tc>
      </w:tr>
      <w:tr w:rsidR="005F3981" w:rsidRPr="006E187F" w:rsidTr="00B32FD9">
        <w:trPr>
          <w:cantSplit/>
          <w:trHeight w:val="207"/>
        </w:trPr>
        <w:tc>
          <w:tcPr>
            <w:tcW w:w="5000" w:type="pct"/>
            <w:gridSpan w:val="8"/>
          </w:tcPr>
          <w:p w:rsidR="005F3981" w:rsidRPr="006E187F" w:rsidRDefault="005F3981" w:rsidP="005F3981">
            <w:pPr>
              <w:keepNext/>
              <w:ind w:left="-57"/>
              <w:rPr>
                <w:rFonts w:ascii="Arial Narrow" w:hAnsi="Arial Narrow"/>
                <w:sz w:val="20"/>
                <w:szCs w:val="20"/>
              </w:rPr>
            </w:pPr>
            <w:r w:rsidRPr="006E187F">
              <w:rPr>
                <w:rFonts w:ascii="Arial Narrow" w:hAnsi="Arial Narrow"/>
                <w:sz w:val="20"/>
                <w:szCs w:val="20"/>
              </w:rPr>
              <w:t>DARATUMUMAB</w:t>
            </w:r>
          </w:p>
        </w:tc>
      </w:tr>
      <w:tr w:rsidR="00741915" w:rsidRPr="006E187F" w:rsidTr="00741915">
        <w:trPr>
          <w:cantSplit/>
          <w:trHeight w:val="95"/>
        </w:trPr>
        <w:tc>
          <w:tcPr>
            <w:tcW w:w="2018" w:type="pct"/>
            <w:gridSpan w:val="3"/>
          </w:tcPr>
          <w:p w:rsidR="005F3981" w:rsidRPr="006E187F" w:rsidRDefault="005F3981" w:rsidP="005F3981">
            <w:pPr>
              <w:keepNext/>
              <w:ind w:left="-57"/>
              <w:rPr>
                <w:rFonts w:ascii="Arial Narrow" w:hAnsi="Arial Narrow"/>
                <w:sz w:val="20"/>
                <w:szCs w:val="20"/>
              </w:rPr>
            </w:pPr>
            <w:r>
              <w:rPr>
                <w:rFonts w:ascii="Arial Narrow" w:hAnsi="Arial Narrow"/>
                <w:sz w:val="20"/>
                <w:szCs w:val="20"/>
              </w:rPr>
              <w:t>d</w:t>
            </w:r>
            <w:r w:rsidRPr="006E187F">
              <w:rPr>
                <w:rFonts w:ascii="Arial Narrow" w:hAnsi="Arial Narrow"/>
                <w:sz w:val="20"/>
                <w:szCs w:val="20"/>
              </w:rPr>
              <w:t>aratumumab 1.8 g/15 mL injection, 15 mL vial</w:t>
            </w:r>
          </w:p>
        </w:tc>
        <w:tc>
          <w:tcPr>
            <w:tcW w:w="1028" w:type="pct"/>
          </w:tcPr>
          <w:p w:rsidR="005F3981" w:rsidRDefault="005F3981" w:rsidP="005F3981">
            <w:pPr>
              <w:keepNext/>
              <w:ind w:left="-57"/>
              <w:jc w:val="center"/>
              <w:rPr>
                <w:rFonts w:ascii="Arial Narrow" w:hAnsi="Arial Narrow"/>
                <w:sz w:val="20"/>
                <w:szCs w:val="20"/>
              </w:rPr>
            </w:pPr>
            <w:r w:rsidRPr="006E187F">
              <w:rPr>
                <w:rFonts w:ascii="Arial Narrow" w:hAnsi="Arial Narrow"/>
                <w:sz w:val="20"/>
                <w:szCs w:val="20"/>
              </w:rPr>
              <w:t>N</w:t>
            </w:r>
            <w:r>
              <w:rPr>
                <w:rFonts w:ascii="Arial Narrow" w:hAnsi="Arial Narrow"/>
                <w:sz w:val="20"/>
                <w:szCs w:val="20"/>
              </w:rPr>
              <w:t>ew (</w:t>
            </w:r>
            <w:r w:rsidR="00741915">
              <w:rPr>
                <w:rFonts w:ascii="Arial Narrow" w:hAnsi="Arial Narrow"/>
                <w:sz w:val="20"/>
                <w:szCs w:val="20"/>
              </w:rPr>
              <w:t>EFC – Related Ben.</w:t>
            </w:r>
            <w:r>
              <w:rPr>
                <w:rFonts w:ascii="Arial Narrow" w:hAnsi="Arial Narrow"/>
                <w:sz w:val="20"/>
                <w:szCs w:val="20"/>
              </w:rPr>
              <w:t>)</w:t>
            </w:r>
          </w:p>
          <w:p w:rsidR="005F3981" w:rsidRPr="006E187F" w:rsidRDefault="005F3981" w:rsidP="005F3981">
            <w:pPr>
              <w:keepNext/>
              <w:ind w:left="-57"/>
              <w:jc w:val="center"/>
              <w:rPr>
                <w:rFonts w:ascii="Arial Narrow" w:hAnsi="Arial Narrow"/>
                <w:sz w:val="20"/>
                <w:szCs w:val="20"/>
              </w:rPr>
            </w:pPr>
            <w:r>
              <w:rPr>
                <w:rFonts w:ascii="Arial Narrow" w:hAnsi="Arial Narrow"/>
                <w:sz w:val="20"/>
                <w:szCs w:val="20"/>
              </w:rPr>
              <w:t>New (</w:t>
            </w:r>
            <w:r w:rsidR="00741915">
              <w:rPr>
                <w:rFonts w:ascii="Arial Narrow" w:hAnsi="Arial Narrow"/>
                <w:sz w:val="20"/>
                <w:szCs w:val="20"/>
              </w:rPr>
              <w:t>Gen.Sch</w:t>
            </w:r>
            <w:r>
              <w:rPr>
                <w:rFonts w:ascii="Arial Narrow" w:hAnsi="Arial Narrow"/>
                <w:sz w:val="20"/>
                <w:szCs w:val="20"/>
              </w:rPr>
              <w:t>)</w:t>
            </w:r>
          </w:p>
        </w:tc>
        <w:tc>
          <w:tcPr>
            <w:tcW w:w="469" w:type="pct"/>
          </w:tcPr>
          <w:p w:rsidR="005F3981" w:rsidRPr="006E187F" w:rsidRDefault="005F3981" w:rsidP="005F3981">
            <w:pPr>
              <w:keepNext/>
              <w:ind w:left="-57"/>
              <w:jc w:val="center"/>
              <w:rPr>
                <w:rFonts w:ascii="Arial Narrow" w:hAnsi="Arial Narrow"/>
                <w:sz w:val="20"/>
                <w:szCs w:val="20"/>
              </w:rPr>
            </w:pPr>
            <w:r w:rsidRPr="006E187F">
              <w:rPr>
                <w:rFonts w:ascii="Arial Narrow" w:hAnsi="Arial Narrow"/>
                <w:sz w:val="20"/>
                <w:szCs w:val="20"/>
              </w:rPr>
              <w:t>1</w:t>
            </w:r>
          </w:p>
        </w:tc>
        <w:tc>
          <w:tcPr>
            <w:tcW w:w="468" w:type="pct"/>
          </w:tcPr>
          <w:p w:rsidR="005F3981" w:rsidRPr="006E187F" w:rsidRDefault="005F3981" w:rsidP="005F3981">
            <w:pPr>
              <w:keepNext/>
              <w:ind w:left="-57"/>
              <w:jc w:val="center"/>
              <w:rPr>
                <w:rFonts w:ascii="Arial Narrow" w:hAnsi="Arial Narrow"/>
                <w:sz w:val="20"/>
                <w:szCs w:val="20"/>
              </w:rPr>
            </w:pPr>
            <w:r>
              <w:rPr>
                <w:rFonts w:ascii="Arial Narrow" w:hAnsi="Arial Narrow"/>
                <w:sz w:val="20"/>
                <w:szCs w:val="20"/>
              </w:rPr>
              <w:t>1</w:t>
            </w:r>
          </w:p>
        </w:tc>
        <w:tc>
          <w:tcPr>
            <w:tcW w:w="389" w:type="pct"/>
          </w:tcPr>
          <w:p w:rsidR="005F3981" w:rsidRPr="006E187F" w:rsidRDefault="005F3981" w:rsidP="005F3981">
            <w:pPr>
              <w:keepNext/>
              <w:ind w:left="-57"/>
              <w:jc w:val="center"/>
              <w:rPr>
                <w:rFonts w:ascii="Arial Narrow" w:hAnsi="Arial Narrow"/>
                <w:sz w:val="20"/>
                <w:szCs w:val="20"/>
              </w:rPr>
            </w:pPr>
            <w:r>
              <w:rPr>
                <w:rFonts w:ascii="Arial Narrow" w:hAnsi="Arial Narrow"/>
                <w:sz w:val="20"/>
                <w:szCs w:val="20"/>
              </w:rPr>
              <w:t>4</w:t>
            </w:r>
          </w:p>
        </w:tc>
        <w:tc>
          <w:tcPr>
            <w:tcW w:w="628" w:type="pct"/>
          </w:tcPr>
          <w:p w:rsidR="005F3981" w:rsidRPr="006E187F" w:rsidRDefault="005F3981" w:rsidP="005F3981">
            <w:pPr>
              <w:keepNext/>
              <w:rPr>
                <w:rFonts w:ascii="Arial Narrow" w:hAnsi="Arial Narrow"/>
                <w:sz w:val="20"/>
                <w:szCs w:val="20"/>
              </w:rPr>
            </w:pPr>
            <w:r w:rsidRPr="006E187F">
              <w:rPr>
                <w:rFonts w:ascii="Arial Narrow" w:hAnsi="Arial Narrow"/>
                <w:sz w:val="20"/>
                <w:szCs w:val="20"/>
              </w:rPr>
              <w:t>Darzalex SC</w:t>
            </w:r>
          </w:p>
        </w:tc>
      </w:tr>
      <w:bookmarkEnd w:id="32"/>
      <w:tr w:rsidR="005F3981" w:rsidRPr="006E187F" w:rsidTr="00B32FD9">
        <w:trPr>
          <w:cantSplit/>
          <w:trHeight w:val="107"/>
        </w:trPr>
        <w:tc>
          <w:tcPr>
            <w:tcW w:w="5000" w:type="pct"/>
            <w:gridSpan w:val="8"/>
          </w:tcPr>
          <w:p w:rsidR="005F3981" w:rsidRPr="006E187F" w:rsidRDefault="005F3981" w:rsidP="005F3981">
            <w:pPr>
              <w:ind w:left="-57"/>
              <w:rPr>
                <w:rFonts w:ascii="Arial Narrow" w:hAnsi="Arial Narrow"/>
                <w:color w:val="000000" w:themeColor="text1"/>
                <w:sz w:val="20"/>
                <w:szCs w:val="20"/>
              </w:rPr>
            </w:pPr>
          </w:p>
        </w:tc>
      </w:tr>
      <w:tr w:rsidR="005F3981" w:rsidRPr="006E187F" w:rsidTr="00B32FD9">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5F3981" w:rsidRPr="00950BF9" w:rsidRDefault="005F3981" w:rsidP="005F3981">
            <w:pPr>
              <w:rPr>
                <w:rFonts w:ascii="Arial Narrow" w:hAnsi="Arial Narrow"/>
                <w:bCs/>
                <w:color w:val="000000" w:themeColor="text1"/>
                <w:sz w:val="20"/>
                <w:szCs w:val="20"/>
              </w:rPr>
            </w:pPr>
            <w:r w:rsidRPr="00950BF9">
              <w:rPr>
                <w:rFonts w:ascii="Arial Narrow" w:hAnsi="Arial Narrow"/>
                <w:b/>
                <w:color w:val="000000" w:themeColor="text1"/>
                <w:sz w:val="20"/>
                <w:szCs w:val="20"/>
              </w:rPr>
              <w:t xml:space="preserve">Restriction Summary 11076 / Treatment of Concept [2] 11076 </w:t>
            </w:r>
            <w:r w:rsidRPr="00950BF9">
              <w:rPr>
                <w:rFonts w:ascii="Arial Narrow" w:hAnsi="Arial Narrow"/>
                <w:bCs/>
                <w:color w:val="000000" w:themeColor="text1"/>
                <w:sz w:val="20"/>
                <w:szCs w:val="20"/>
              </w:rPr>
              <w:t>(current as at 1 July 2021 for PBS item codes 12220E &amp; 12225K)</w:t>
            </w:r>
          </w:p>
        </w:tc>
      </w:tr>
      <w:tr w:rsidR="005F3981" w:rsidRPr="006E187F" w:rsidTr="00741915">
        <w:tblPrEx>
          <w:tblCellMar>
            <w:top w:w="15" w:type="dxa"/>
            <w:left w:w="15" w:type="dxa"/>
            <w:bottom w:w="15" w:type="dxa"/>
            <w:right w:w="15" w:type="dxa"/>
          </w:tblCellMar>
          <w:tblLook w:val="04A0" w:firstRow="1" w:lastRow="0" w:firstColumn="1" w:lastColumn="0" w:noHBand="0" w:noVBand="1"/>
        </w:tblPrEx>
        <w:tc>
          <w:tcPr>
            <w:tcW w:w="524" w:type="pct"/>
            <w:gridSpan w:val="2"/>
            <w:vMerge w:val="restart"/>
            <w:tcBorders>
              <w:top w:val="single" w:sz="4" w:space="0" w:color="auto"/>
              <w:left w:val="single" w:sz="4" w:space="0" w:color="auto"/>
              <w:right w:val="single" w:sz="4" w:space="0" w:color="auto"/>
            </w:tcBorders>
          </w:tcPr>
          <w:p w:rsidR="005F3981" w:rsidRPr="006E187F" w:rsidRDefault="005F3981" w:rsidP="005F3981">
            <w:pPr>
              <w:jc w:val="center"/>
              <w:rPr>
                <w:rFonts w:ascii="Arial Narrow" w:hAnsi="Arial Narrow"/>
                <w:color w:val="000000" w:themeColor="text1"/>
                <w:sz w:val="20"/>
                <w:szCs w:val="20"/>
              </w:rPr>
            </w:pPr>
          </w:p>
        </w:tc>
        <w:tc>
          <w:tcPr>
            <w:tcW w:w="4476" w:type="pct"/>
            <w:gridSpan w:val="6"/>
            <w:tcBorders>
              <w:top w:val="single" w:sz="4" w:space="0" w:color="auto"/>
              <w:left w:val="single" w:sz="4" w:space="0" w:color="auto"/>
              <w:bottom w:val="single" w:sz="4" w:space="0" w:color="auto"/>
              <w:right w:val="single" w:sz="4" w:space="0" w:color="auto"/>
            </w:tcBorders>
          </w:tcPr>
          <w:p w:rsidR="00741915" w:rsidRDefault="005F3981" w:rsidP="00741915">
            <w:pPr>
              <w:rPr>
                <w:rFonts w:ascii="Arial Narrow" w:hAnsi="Arial Narrow"/>
                <w:iCs/>
                <w:color w:val="000000" w:themeColor="text1"/>
                <w:sz w:val="20"/>
                <w:szCs w:val="20"/>
              </w:rPr>
            </w:pPr>
            <w:r w:rsidRPr="00950BF9">
              <w:rPr>
                <w:rFonts w:ascii="Arial Narrow" w:hAnsi="Arial Narrow"/>
                <w:b/>
                <w:color w:val="000000" w:themeColor="text1"/>
                <w:sz w:val="20"/>
                <w:szCs w:val="20"/>
              </w:rPr>
              <w:t xml:space="preserve">Category / Program: </w:t>
            </w:r>
            <w:r w:rsidR="00741915" w:rsidRPr="006E187F">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00741915" w:rsidRPr="006E187F">
              <w:rPr>
                <w:rFonts w:ascii="Arial Narrow" w:eastAsia="Calibri" w:hAnsi="Arial Narrow"/>
                <w:color w:val="000000" w:themeColor="text1"/>
                <w:sz w:val="20"/>
                <w:szCs w:val="20"/>
              </w:rPr>
              <w:instrText xml:space="preserve"> FORMCHECKBOX </w:instrText>
            </w:r>
            <w:r w:rsidR="00087C7A">
              <w:rPr>
                <w:rFonts w:ascii="Arial Narrow" w:eastAsia="Calibri" w:hAnsi="Arial Narrow"/>
                <w:color w:val="000000" w:themeColor="text1"/>
                <w:sz w:val="20"/>
                <w:szCs w:val="20"/>
              </w:rPr>
            </w:r>
            <w:r w:rsidR="00087C7A">
              <w:rPr>
                <w:rFonts w:ascii="Arial Narrow" w:eastAsia="Calibri" w:hAnsi="Arial Narrow"/>
                <w:color w:val="000000" w:themeColor="text1"/>
                <w:sz w:val="20"/>
                <w:szCs w:val="20"/>
              </w:rPr>
              <w:fldChar w:fldCharType="separate"/>
            </w:r>
            <w:r w:rsidR="00741915" w:rsidRPr="006E187F">
              <w:rPr>
                <w:rFonts w:ascii="Arial Narrow" w:eastAsia="Calibri" w:hAnsi="Arial Narrow"/>
                <w:color w:val="000000" w:themeColor="text1"/>
                <w:sz w:val="20"/>
                <w:szCs w:val="20"/>
              </w:rPr>
              <w:fldChar w:fldCharType="end"/>
            </w:r>
            <w:r w:rsidR="00741915" w:rsidRPr="006E187F">
              <w:rPr>
                <w:rFonts w:ascii="Arial Narrow" w:hAnsi="Arial Narrow"/>
                <w:color w:val="000000" w:themeColor="text1"/>
                <w:sz w:val="20"/>
                <w:szCs w:val="20"/>
              </w:rPr>
              <w:t>Section 100 –</w:t>
            </w:r>
            <w:r w:rsidR="00741915">
              <w:rPr>
                <w:rFonts w:ascii="Arial Narrow" w:hAnsi="Arial Narrow"/>
                <w:color w:val="000000" w:themeColor="text1"/>
                <w:sz w:val="20"/>
                <w:szCs w:val="20"/>
              </w:rPr>
              <w:t>Efficient Funding of Chemotherapy</w:t>
            </w:r>
            <w:r w:rsidR="00741915" w:rsidRPr="006E187F">
              <w:rPr>
                <w:rFonts w:ascii="Arial Narrow" w:hAnsi="Arial Narrow"/>
                <w:color w:val="000000" w:themeColor="text1"/>
                <w:sz w:val="20"/>
                <w:szCs w:val="20"/>
              </w:rPr>
              <w:t xml:space="preserve">– </w:t>
            </w:r>
            <w:r w:rsidR="00741915">
              <w:rPr>
                <w:rFonts w:ascii="Arial Narrow" w:hAnsi="Arial Narrow"/>
                <w:iCs/>
                <w:color w:val="000000" w:themeColor="text1"/>
                <w:sz w:val="20"/>
                <w:szCs w:val="20"/>
              </w:rPr>
              <w:t>Related Benefits (Code CT)</w:t>
            </w:r>
          </w:p>
          <w:p w:rsidR="005F3981" w:rsidRPr="00950BF9" w:rsidRDefault="00741915" w:rsidP="00741915">
            <w:pPr>
              <w:rPr>
                <w:rFonts w:ascii="Arial Narrow" w:hAnsi="Arial Narrow"/>
                <w:color w:val="000000" w:themeColor="text1"/>
                <w:sz w:val="20"/>
                <w:szCs w:val="20"/>
              </w:rPr>
            </w:pPr>
            <w:r w:rsidRPr="006E187F">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Pr="006E187F">
              <w:rPr>
                <w:rFonts w:ascii="Arial Narrow" w:eastAsia="Calibri" w:hAnsi="Arial Narrow"/>
                <w:color w:val="000000" w:themeColor="text1"/>
                <w:sz w:val="20"/>
                <w:szCs w:val="20"/>
              </w:rPr>
              <w:instrText xml:space="preserve"> FORMCHECKBOX </w:instrText>
            </w:r>
            <w:r w:rsidR="00087C7A">
              <w:rPr>
                <w:rFonts w:ascii="Arial Narrow" w:eastAsia="Calibri" w:hAnsi="Arial Narrow"/>
                <w:color w:val="000000" w:themeColor="text1"/>
                <w:sz w:val="20"/>
                <w:szCs w:val="20"/>
              </w:rPr>
            </w:r>
            <w:r w:rsidR="00087C7A">
              <w:rPr>
                <w:rFonts w:ascii="Arial Narrow" w:eastAsia="Calibri" w:hAnsi="Arial Narrow"/>
                <w:color w:val="000000" w:themeColor="text1"/>
                <w:sz w:val="20"/>
                <w:szCs w:val="20"/>
              </w:rPr>
              <w:fldChar w:fldCharType="separate"/>
            </w:r>
            <w:r w:rsidRPr="006E187F">
              <w:rPr>
                <w:rFonts w:ascii="Arial Narrow" w:eastAsia="Calibri" w:hAnsi="Arial Narrow"/>
                <w:color w:val="000000" w:themeColor="text1"/>
                <w:sz w:val="20"/>
                <w:szCs w:val="20"/>
              </w:rPr>
              <w:fldChar w:fldCharType="end"/>
            </w:r>
            <w:r>
              <w:rPr>
                <w:rFonts w:ascii="Arial Narrow" w:eastAsia="Calibri" w:hAnsi="Arial Narrow"/>
                <w:color w:val="000000" w:themeColor="text1"/>
                <w:sz w:val="20"/>
                <w:szCs w:val="20"/>
              </w:rPr>
              <w:t xml:space="preserve"> </w:t>
            </w:r>
            <w:r>
              <w:rPr>
                <w:rFonts w:ascii="Arial Narrow" w:hAnsi="Arial Narrow"/>
                <w:iCs/>
                <w:color w:val="000000" w:themeColor="text1"/>
                <w:sz w:val="20"/>
                <w:szCs w:val="20"/>
              </w:rPr>
              <w:t>General Schedule (Code GE)</w:t>
            </w:r>
          </w:p>
        </w:tc>
      </w:tr>
      <w:tr w:rsidR="005F3981" w:rsidRPr="006E187F" w:rsidTr="00741915">
        <w:tblPrEx>
          <w:tblCellMar>
            <w:top w:w="15" w:type="dxa"/>
            <w:left w:w="15" w:type="dxa"/>
            <w:bottom w:w="15" w:type="dxa"/>
            <w:right w:w="15" w:type="dxa"/>
          </w:tblCellMar>
          <w:tblLook w:val="04A0" w:firstRow="1" w:lastRow="0" w:firstColumn="1" w:lastColumn="0" w:noHBand="0" w:noVBand="1"/>
        </w:tblPrEx>
        <w:trPr>
          <w:trHeight w:val="240"/>
        </w:trPr>
        <w:tc>
          <w:tcPr>
            <w:tcW w:w="524" w:type="pct"/>
            <w:gridSpan w:val="2"/>
            <w:vMerge/>
            <w:tcBorders>
              <w:left w:val="single" w:sz="4" w:space="0" w:color="auto"/>
              <w:right w:val="single" w:sz="4" w:space="0" w:color="auto"/>
            </w:tcBorders>
          </w:tcPr>
          <w:p w:rsidR="005F3981" w:rsidRPr="006E187F" w:rsidRDefault="005F3981" w:rsidP="005F3981">
            <w:pPr>
              <w:rPr>
                <w:rFonts w:ascii="Arial Narrow" w:hAnsi="Arial Narrow"/>
                <w:color w:val="000000" w:themeColor="text1"/>
                <w:sz w:val="20"/>
                <w:szCs w:val="20"/>
              </w:rPr>
            </w:pPr>
          </w:p>
        </w:tc>
        <w:tc>
          <w:tcPr>
            <w:tcW w:w="4476" w:type="pct"/>
            <w:gridSpan w:val="6"/>
            <w:tcBorders>
              <w:top w:val="single" w:sz="4" w:space="0" w:color="auto"/>
              <w:left w:val="single" w:sz="4" w:space="0" w:color="auto"/>
              <w:bottom w:val="single" w:sz="4" w:space="0" w:color="auto"/>
              <w:right w:val="single" w:sz="4" w:space="0" w:color="auto"/>
            </w:tcBorders>
          </w:tcPr>
          <w:p w:rsidR="005F3981" w:rsidRPr="00950BF9" w:rsidRDefault="005F3981" w:rsidP="005F3981">
            <w:pPr>
              <w:rPr>
                <w:rFonts w:ascii="Arial Narrow" w:hAnsi="Arial Narrow"/>
                <w:b/>
                <w:color w:val="000000" w:themeColor="text1"/>
                <w:sz w:val="20"/>
                <w:szCs w:val="20"/>
              </w:rPr>
            </w:pPr>
            <w:r w:rsidRPr="00950BF9">
              <w:rPr>
                <w:rFonts w:ascii="Arial Narrow" w:hAnsi="Arial Narrow"/>
                <w:b/>
                <w:color w:val="000000" w:themeColor="text1"/>
                <w:sz w:val="20"/>
                <w:szCs w:val="20"/>
              </w:rPr>
              <w:t xml:space="preserve">Prescriber type: </w:t>
            </w:r>
            <w:r w:rsidRPr="00950BF9">
              <w:rPr>
                <w:rFonts w:ascii="Arial Narrow" w:hAnsi="Arial Narrow"/>
                <w:color w:val="000000" w:themeColor="text1"/>
                <w:sz w:val="20"/>
                <w:szCs w:val="20"/>
              </w:rPr>
              <w:fldChar w:fldCharType="begin">
                <w:ffData>
                  <w:name w:val=""/>
                  <w:enabled/>
                  <w:calcOnExit w:val="0"/>
                  <w:checkBox>
                    <w:sizeAuto/>
                    <w:default w:val="1"/>
                  </w:checkBox>
                </w:ffData>
              </w:fldChar>
            </w:r>
            <w:r w:rsidRPr="00950BF9">
              <w:rPr>
                <w:rFonts w:ascii="Arial Narrow" w:hAnsi="Arial Narrow"/>
                <w:color w:val="000000" w:themeColor="text1"/>
                <w:sz w:val="20"/>
                <w:szCs w:val="20"/>
              </w:rPr>
              <w:instrText xml:space="preserve"> FORMCHECKBOX </w:instrText>
            </w:r>
            <w:r w:rsidR="00087C7A">
              <w:rPr>
                <w:rFonts w:ascii="Arial Narrow" w:hAnsi="Arial Narrow"/>
                <w:color w:val="000000" w:themeColor="text1"/>
                <w:sz w:val="20"/>
                <w:szCs w:val="20"/>
              </w:rPr>
            </w:r>
            <w:r w:rsidR="00087C7A">
              <w:rPr>
                <w:rFonts w:ascii="Arial Narrow" w:hAnsi="Arial Narrow"/>
                <w:color w:val="000000" w:themeColor="text1"/>
                <w:sz w:val="20"/>
                <w:szCs w:val="20"/>
              </w:rPr>
              <w:fldChar w:fldCharType="separate"/>
            </w:r>
            <w:r w:rsidRPr="00950BF9">
              <w:rPr>
                <w:rFonts w:ascii="Arial Narrow" w:hAnsi="Arial Narrow"/>
                <w:color w:val="000000" w:themeColor="text1"/>
                <w:sz w:val="20"/>
                <w:szCs w:val="20"/>
              </w:rPr>
              <w:fldChar w:fldCharType="end"/>
            </w:r>
            <w:r w:rsidRPr="00950BF9">
              <w:rPr>
                <w:rFonts w:ascii="Arial Narrow" w:hAnsi="Arial Narrow"/>
                <w:color w:val="000000" w:themeColor="text1"/>
                <w:sz w:val="20"/>
                <w:szCs w:val="20"/>
              </w:rPr>
              <w:t xml:space="preserve">Medical Practitioners  </w:t>
            </w:r>
          </w:p>
        </w:tc>
      </w:tr>
      <w:tr w:rsidR="005F3981" w:rsidRPr="006E187F" w:rsidTr="00741915">
        <w:tblPrEx>
          <w:tblCellMar>
            <w:top w:w="15" w:type="dxa"/>
            <w:left w:w="15" w:type="dxa"/>
            <w:bottom w:w="15" w:type="dxa"/>
            <w:right w:w="15" w:type="dxa"/>
          </w:tblCellMar>
          <w:tblLook w:val="04A0" w:firstRow="1" w:lastRow="0" w:firstColumn="1" w:lastColumn="0" w:noHBand="0" w:noVBand="1"/>
        </w:tblPrEx>
        <w:trPr>
          <w:trHeight w:val="102"/>
        </w:trPr>
        <w:tc>
          <w:tcPr>
            <w:tcW w:w="524" w:type="pct"/>
            <w:gridSpan w:val="2"/>
            <w:vMerge/>
            <w:tcBorders>
              <w:left w:val="single" w:sz="4" w:space="0" w:color="auto"/>
              <w:bottom w:val="single" w:sz="4" w:space="0" w:color="auto"/>
              <w:right w:val="single" w:sz="4" w:space="0" w:color="auto"/>
            </w:tcBorders>
          </w:tcPr>
          <w:p w:rsidR="005F3981" w:rsidRPr="006E187F" w:rsidRDefault="005F3981" w:rsidP="005F3981">
            <w:pPr>
              <w:rPr>
                <w:rFonts w:ascii="Arial Narrow" w:hAnsi="Arial Narrow"/>
                <w:color w:val="000000" w:themeColor="text1"/>
                <w:sz w:val="20"/>
                <w:szCs w:val="20"/>
              </w:rPr>
            </w:pPr>
          </w:p>
        </w:tc>
        <w:tc>
          <w:tcPr>
            <w:tcW w:w="4476" w:type="pct"/>
            <w:gridSpan w:val="6"/>
            <w:tcBorders>
              <w:top w:val="single" w:sz="4" w:space="0" w:color="auto"/>
              <w:left w:val="single" w:sz="4" w:space="0" w:color="auto"/>
              <w:bottom w:val="single" w:sz="4" w:space="0" w:color="auto"/>
              <w:right w:val="single" w:sz="4" w:space="0" w:color="auto"/>
            </w:tcBorders>
          </w:tcPr>
          <w:p w:rsidR="005F3981" w:rsidRPr="006E187F" w:rsidRDefault="005F3981" w:rsidP="005F3981">
            <w:pPr>
              <w:rPr>
                <w:rFonts w:ascii="Arial Narrow" w:eastAsia="Calibri" w:hAnsi="Arial Narrow"/>
                <w:color w:val="000000" w:themeColor="text1"/>
                <w:sz w:val="20"/>
                <w:szCs w:val="20"/>
              </w:rPr>
            </w:pPr>
            <w:r w:rsidRPr="006E187F">
              <w:rPr>
                <w:rFonts w:ascii="Arial Narrow" w:hAnsi="Arial Narrow"/>
                <w:b/>
                <w:color w:val="000000" w:themeColor="text1"/>
                <w:sz w:val="20"/>
                <w:szCs w:val="20"/>
              </w:rPr>
              <w:t xml:space="preserve">Restriction type: </w:t>
            </w:r>
            <w:r w:rsidRPr="006E187F">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Pr="006E187F">
              <w:rPr>
                <w:rFonts w:ascii="Arial Narrow" w:eastAsia="Calibri" w:hAnsi="Arial Narrow"/>
                <w:color w:val="000000" w:themeColor="text1"/>
                <w:sz w:val="20"/>
                <w:szCs w:val="20"/>
              </w:rPr>
              <w:instrText xml:space="preserve"> FORMCHECKBOX </w:instrText>
            </w:r>
            <w:r w:rsidR="00087C7A">
              <w:rPr>
                <w:rFonts w:ascii="Arial Narrow" w:eastAsia="Calibri" w:hAnsi="Arial Narrow"/>
                <w:color w:val="000000" w:themeColor="text1"/>
                <w:sz w:val="20"/>
                <w:szCs w:val="20"/>
              </w:rPr>
            </w:r>
            <w:r w:rsidR="00087C7A">
              <w:rPr>
                <w:rFonts w:ascii="Arial Narrow" w:eastAsia="Calibri" w:hAnsi="Arial Narrow"/>
                <w:color w:val="000000" w:themeColor="text1"/>
                <w:sz w:val="20"/>
                <w:szCs w:val="20"/>
              </w:rPr>
              <w:fldChar w:fldCharType="separate"/>
            </w:r>
            <w:r w:rsidRPr="006E187F">
              <w:rPr>
                <w:rFonts w:ascii="Arial Narrow" w:eastAsia="Calibri" w:hAnsi="Arial Narrow"/>
                <w:color w:val="000000" w:themeColor="text1"/>
                <w:sz w:val="20"/>
                <w:szCs w:val="20"/>
              </w:rPr>
              <w:fldChar w:fldCharType="end"/>
            </w:r>
            <w:r w:rsidRPr="006E187F">
              <w:rPr>
                <w:rFonts w:ascii="Arial Narrow" w:eastAsia="Calibri" w:hAnsi="Arial Narrow"/>
                <w:color w:val="000000" w:themeColor="text1"/>
                <w:sz w:val="20"/>
                <w:szCs w:val="20"/>
              </w:rPr>
              <w:t xml:space="preserve">Authority Required – </w:t>
            </w:r>
            <w:r w:rsidR="00F806BC">
              <w:rPr>
                <w:rFonts w:ascii="Arial Narrow" w:eastAsia="Calibri" w:hAnsi="Arial Narrow"/>
                <w:color w:val="000000" w:themeColor="text1"/>
                <w:sz w:val="20"/>
                <w:szCs w:val="20"/>
              </w:rPr>
              <w:t>(telephone/online PBS Authorities system)</w:t>
            </w:r>
          </w:p>
        </w:tc>
      </w:tr>
      <w:tr w:rsidR="005F3981" w:rsidRPr="006E187F" w:rsidTr="00741915">
        <w:tblPrEx>
          <w:tblCellMar>
            <w:top w:w="15" w:type="dxa"/>
            <w:left w:w="15" w:type="dxa"/>
            <w:bottom w:w="15" w:type="dxa"/>
            <w:right w:w="15" w:type="dxa"/>
          </w:tblCellMar>
          <w:tblLook w:val="04A0" w:firstRow="1" w:lastRow="0" w:firstColumn="1" w:lastColumn="0" w:noHBand="0" w:noVBand="1"/>
        </w:tblPrEx>
        <w:trPr>
          <w:trHeight w:val="909"/>
        </w:trPr>
        <w:tc>
          <w:tcPr>
            <w:tcW w:w="151" w:type="pct"/>
            <w:vMerge w:val="restart"/>
            <w:textDirection w:val="btLr"/>
            <w:vAlign w:val="center"/>
          </w:tcPr>
          <w:p w:rsidR="005F3981" w:rsidRPr="006E187F" w:rsidRDefault="005F3981" w:rsidP="005F3981">
            <w:pPr>
              <w:ind w:left="113" w:right="113"/>
              <w:jc w:val="center"/>
              <w:rPr>
                <w:rFonts w:ascii="Arial Narrow" w:hAnsi="Arial Narrow"/>
                <w:color w:val="000000" w:themeColor="text1"/>
                <w:sz w:val="20"/>
                <w:szCs w:val="20"/>
              </w:rPr>
            </w:pPr>
          </w:p>
        </w:tc>
        <w:tc>
          <w:tcPr>
            <w:tcW w:w="373" w:type="pct"/>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tcPr>
          <w:p w:rsidR="005F3981" w:rsidRPr="006E187F" w:rsidRDefault="005F3981" w:rsidP="005F3981">
            <w:pPr>
              <w:rPr>
                <w:rFonts w:ascii="Arial Narrow" w:hAnsi="Arial Narrow"/>
                <w:color w:val="000000" w:themeColor="text1"/>
                <w:sz w:val="20"/>
                <w:szCs w:val="20"/>
              </w:rPr>
            </w:pPr>
            <w:r w:rsidRPr="006E187F">
              <w:rPr>
                <w:rFonts w:ascii="Arial Narrow" w:hAnsi="Arial Narrow"/>
                <w:b/>
                <w:bCs/>
                <w:color w:val="000000" w:themeColor="text1"/>
                <w:sz w:val="20"/>
                <w:szCs w:val="20"/>
              </w:rPr>
              <w:t>Administrative Advice:</w:t>
            </w:r>
          </w:p>
          <w:p w:rsidR="005F3981" w:rsidRPr="006E187F" w:rsidRDefault="005F3981" w:rsidP="005F3981">
            <w:pPr>
              <w:rPr>
                <w:rFonts w:ascii="Arial Narrow" w:hAnsi="Arial Narrow"/>
                <w:color w:val="000000" w:themeColor="text1"/>
                <w:sz w:val="20"/>
                <w:szCs w:val="20"/>
              </w:rPr>
            </w:pPr>
            <w:r w:rsidRPr="006E187F">
              <w:rPr>
                <w:rFonts w:ascii="Arial Narrow" w:hAnsi="Arial Narrow"/>
                <w:color w:val="000000" w:themeColor="text1"/>
                <w:sz w:val="20"/>
                <w:szCs w:val="20"/>
              </w:rPr>
              <w:t>This drug is not PBS-subsidised for use in patients with multiple myeloma who have received two or more prior lines of therapy including a proteasome inhibitor (PI) and an immunomodulatory agent, or, who are refractory to both a PI and an immunomodulatory agent, as monotherapy.</w:t>
            </w:r>
          </w:p>
        </w:tc>
      </w:tr>
      <w:tr w:rsidR="005F3981" w:rsidRPr="006E187F" w:rsidTr="00741915">
        <w:tblPrEx>
          <w:tblCellMar>
            <w:top w:w="15" w:type="dxa"/>
            <w:left w:w="15" w:type="dxa"/>
            <w:bottom w:w="15" w:type="dxa"/>
            <w:right w:w="15" w:type="dxa"/>
          </w:tblCellMar>
          <w:tblLook w:val="04A0" w:firstRow="1" w:lastRow="0" w:firstColumn="1" w:lastColumn="0" w:noHBand="0" w:noVBand="1"/>
        </w:tblPrEx>
        <w:tc>
          <w:tcPr>
            <w:tcW w:w="151" w:type="pct"/>
            <w:vMerge/>
            <w:vAlign w:val="center"/>
          </w:tcPr>
          <w:p w:rsidR="005F3981" w:rsidRPr="006E187F" w:rsidRDefault="005F3981" w:rsidP="005F3981">
            <w:pPr>
              <w:jc w:val="center"/>
              <w:rPr>
                <w:rFonts w:ascii="Arial Narrow" w:hAnsi="Arial Narrow"/>
                <w:color w:val="000000" w:themeColor="text1"/>
                <w:sz w:val="20"/>
                <w:szCs w:val="20"/>
              </w:rPr>
            </w:pPr>
          </w:p>
        </w:tc>
        <w:tc>
          <w:tcPr>
            <w:tcW w:w="373" w:type="pct"/>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tcPr>
          <w:p w:rsidR="005F3981" w:rsidRPr="006E187F" w:rsidRDefault="005F3981" w:rsidP="005F3981">
            <w:pPr>
              <w:rPr>
                <w:rFonts w:ascii="Arial Narrow" w:hAnsi="Arial Narrow"/>
                <w:b/>
                <w:bCs/>
                <w:color w:val="000000" w:themeColor="text1"/>
                <w:sz w:val="20"/>
                <w:szCs w:val="20"/>
              </w:rPr>
            </w:pPr>
            <w:r w:rsidRPr="006E187F">
              <w:rPr>
                <w:rFonts w:ascii="Arial Narrow" w:hAnsi="Arial Narrow"/>
                <w:b/>
                <w:bCs/>
                <w:color w:val="000000" w:themeColor="text1"/>
                <w:sz w:val="20"/>
                <w:szCs w:val="20"/>
              </w:rPr>
              <w:t>Administrative Advice:</w:t>
            </w:r>
          </w:p>
          <w:p w:rsidR="005F3981" w:rsidRPr="006E187F" w:rsidRDefault="005F3981" w:rsidP="005F3981">
            <w:pPr>
              <w:rPr>
                <w:rFonts w:ascii="Arial Narrow" w:hAnsi="Arial Narrow"/>
                <w:bCs/>
                <w:color w:val="000000" w:themeColor="text1"/>
                <w:sz w:val="20"/>
                <w:szCs w:val="20"/>
              </w:rPr>
            </w:pPr>
            <w:r w:rsidRPr="006E187F">
              <w:rPr>
                <w:rFonts w:ascii="Arial Narrow" w:hAnsi="Arial Narrow"/>
                <w:bCs/>
                <w:color w:val="000000" w:themeColor="text1"/>
                <w:sz w:val="20"/>
                <w:szCs w:val="20"/>
              </w:rPr>
              <w:t>Applications for authorisation under this restriction may be made in real time using the Online PBS Authorities system (see www.servicesaustralia.gov.au/HPOS) or by telephone by contacting Services Australia on 1800 888 333.</w:t>
            </w:r>
          </w:p>
        </w:tc>
      </w:tr>
      <w:tr w:rsidR="005F3981" w:rsidRPr="006E187F" w:rsidTr="00741915">
        <w:tblPrEx>
          <w:tblCellMar>
            <w:top w:w="15" w:type="dxa"/>
            <w:left w:w="15" w:type="dxa"/>
            <w:bottom w:w="15" w:type="dxa"/>
            <w:right w:w="15" w:type="dxa"/>
          </w:tblCellMar>
          <w:tblLook w:val="04A0" w:firstRow="1" w:lastRow="0" w:firstColumn="1" w:lastColumn="0" w:noHBand="0" w:noVBand="1"/>
        </w:tblPrEx>
        <w:trPr>
          <w:trHeight w:val="72"/>
        </w:trPr>
        <w:tc>
          <w:tcPr>
            <w:tcW w:w="151" w:type="pct"/>
            <w:vMerge/>
            <w:vAlign w:val="center"/>
          </w:tcPr>
          <w:p w:rsidR="005F3981" w:rsidRPr="006E187F" w:rsidRDefault="005F3981" w:rsidP="005F3981">
            <w:pPr>
              <w:jc w:val="center"/>
              <w:rPr>
                <w:rFonts w:ascii="Arial Narrow" w:hAnsi="Arial Narrow"/>
                <w:color w:val="000000" w:themeColor="text1"/>
                <w:sz w:val="20"/>
                <w:szCs w:val="20"/>
              </w:rPr>
            </w:pPr>
          </w:p>
        </w:tc>
        <w:tc>
          <w:tcPr>
            <w:tcW w:w="373" w:type="pct"/>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tcPr>
          <w:p w:rsidR="005F3981" w:rsidRPr="00B32FD9" w:rsidRDefault="005F3981" w:rsidP="005F3981">
            <w:pPr>
              <w:rPr>
                <w:rFonts w:ascii="Arial Narrow" w:hAnsi="Arial Narrow"/>
                <w:b/>
                <w:bCs/>
                <w:color w:val="000000" w:themeColor="text1"/>
                <w:sz w:val="20"/>
                <w:szCs w:val="20"/>
              </w:rPr>
            </w:pPr>
            <w:r w:rsidRPr="006E187F">
              <w:rPr>
                <w:rFonts w:ascii="Arial Narrow" w:hAnsi="Arial Narrow"/>
                <w:b/>
                <w:bCs/>
                <w:color w:val="000000" w:themeColor="text1"/>
                <w:sz w:val="20"/>
                <w:szCs w:val="20"/>
              </w:rPr>
              <w:t>Administrative Advice:</w:t>
            </w:r>
            <w:r>
              <w:rPr>
                <w:rFonts w:ascii="Arial Narrow" w:hAnsi="Arial Narrow"/>
                <w:b/>
                <w:bCs/>
                <w:color w:val="000000" w:themeColor="text1"/>
                <w:sz w:val="20"/>
                <w:szCs w:val="20"/>
              </w:rPr>
              <w:t xml:space="preserve"> </w:t>
            </w:r>
            <w:r w:rsidRPr="006E187F">
              <w:rPr>
                <w:rFonts w:ascii="Arial Narrow" w:hAnsi="Arial Narrow"/>
                <w:bCs/>
                <w:color w:val="000000" w:themeColor="text1"/>
                <w:sz w:val="20"/>
                <w:szCs w:val="20"/>
              </w:rPr>
              <w:t>No increase in the maximum number of repeats may be authorised.</w:t>
            </w:r>
          </w:p>
        </w:tc>
      </w:tr>
      <w:tr w:rsidR="005F3981" w:rsidRPr="006E187F" w:rsidTr="00741915">
        <w:tblPrEx>
          <w:tblCellMar>
            <w:top w:w="15" w:type="dxa"/>
            <w:left w:w="15" w:type="dxa"/>
            <w:bottom w:w="15" w:type="dxa"/>
            <w:right w:w="15" w:type="dxa"/>
          </w:tblCellMar>
          <w:tblLook w:val="04A0" w:firstRow="1" w:lastRow="0" w:firstColumn="1" w:lastColumn="0" w:noHBand="0" w:noVBand="1"/>
        </w:tblPrEx>
        <w:trPr>
          <w:trHeight w:val="207"/>
        </w:trPr>
        <w:tc>
          <w:tcPr>
            <w:tcW w:w="151" w:type="pct"/>
            <w:vMerge/>
            <w:vAlign w:val="center"/>
          </w:tcPr>
          <w:p w:rsidR="005F3981" w:rsidRPr="006E187F" w:rsidRDefault="005F3981" w:rsidP="005F3981">
            <w:pPr>
              <w:jc w:val="center"/>
              <w:rPr>
                <w:rFonts w:ascii="Arial Narrow" w:hAnsi="Arial Narrow"/>
                <w:color w:val="000000" w:themeColor="text1"/>
                <w:sz w:val="20"/>
                <w:szCs w:val="20"/>
              </w:rPr>
            </w:pPr>
          </w:p>
        </w:tc>
        <w:tc>
          <w:tcPr>
            <w:tcW w:w="373" w:type="pct"/>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tcPr>
          <w:p w:rsidR="005F3981" w:rsidRPr="00B32FD9" w:rsidRDefault="005F3981" w:rsidP="005F3981">
            <w:pPr>
              <w:rPr>
                <w:rFonts w:ascii="Arial Narrow" w:hAnsi="Arial Narrow"/>
                <w:b/>
                <w:bCs/>
                <w:color w:val="000000" w:themeColor="text1"/>
                <w:sz w:val="20"/>
                <w:szCs w:val="20"/>
              </w:rPr>
            </w:pPr>
            <w:r w:rsidRPr="006E187F">
              <w:rPr>
                <w:rFonts w:ascii="Arial Narrow" w:hAnsi="Arial Narrow"/>
                <w:b/>
                <w:bCs/>
                <w:color w:val="000000" w:themeColor="text1"/>
                <w:sz w:val="20"/>
                <w:szCs w:val="20"/>
              </w:rPr>
              <w:t>Administrative Advice:</w:t>
            </w:r>
            <w:r>
              <w:rPr>
                <w:rFonts w:ascii="Arial Narrow" w:hAnsi="Arial Narrow"/>
                <w:b/>
                <w:bCs/>
                <w:color w:val="000000" w:themeColor="text1"/>
                <w:sz w:val="20"/>
                <w:szCs w:val="20"/>
              </w:rPr>
              <w:t xml:space="preserve"> </w:t>
            </w:r>
            <w:r w:rsidRPr="006E187F">
              <w:rPr>
                <w:rFonts w:ascii="Arial Narrow" w:hAnsi="Arial Narrow"/>
                <w:bCs/>
                <w:color w:val="000000" w:themeColor="text1"/>
                <w:sz w:val="20"/>
                <w:szCs w:val="20"/>
              </w:rPr>
              <w:t>Special Pricing Arrangements apply.</w:t>
            </w:r>
          </w:p>
        </w:tc>
      </w:tr>
      <w:tr w:rsidR="005F3981" w:rsidRPr="006E187F" w:rsidTr="00AC6070">
        <w:tblPrEx>
          <w:tblCellMar>
            <w:top w:w="15" w:type="dxa"/>
            <w:left w:w="15" w:type="dxa"/>
            <w:bottom w:w="15" w:type="dxa"/>
            <w:right w:w="15" w:type="dxa"/>
          </w:tblCellMar>
          <w:tblLook w:val="04A0" w:firstRow="1" w:lastRow="0" w:firstColumn="1" w:lastColumn="0" w:noHBand="0" w:noVBand="1"/>
        </w:tblPrEx>
        <w:tc>
          <w:tcPr>
            <w:tcW w:w="524" w:type="pct"/>
            <w:gridSpan w:val="2"/>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hideMark/>
          </w:tcPr>
          <w:p w:rsidR="005F3981" w:rsidRPr="006E187F" w:rsidRDefault="005F3981" w:rsidP="005F3981">
            <w:pPr>
              <w:rPr>
                <w:rFonts w:ascii="Arial Narrow" w:hAnsi="Arial Narrow"/>
                <w:color w:val="000000" w:themeColor="text1"/>
                <w:sz w:val="20"/>
                <w:szCs w:val="20"/>
              </w:rPr>
            </w:pPr>
            <w:r w:rsidRPr="006E187F">
              <w:rPr>
                <w:rFonts w:ascii="Arial Narrow" w:hAnsi="Arial Narrow"/>
                <w:b/>
                <w:bCs/>
                <w:color w:val="000000" w:themeColor="text1"/>
                <w:sz w:val="20"/>
                <w:szCs w:val="20"/>
              </w:rPr>
              <w:t>Indication:</w:t>
            </w:r>
            <w:r w:rsidRPr="006E187F">
              <w:rPr>
                <w:rFonts w:ascii="Arial Narrow" w:hAnsi="Arial Narrow"/>
                <w:color w:val="000000" w:themeColor="text1"/>
                <w:sz w:val="20"/>
                <w:szCs w:val="20"/>
              </w:rPr>
              <w:t xml:space="preserve"> </w:t>
            </w:r>
            <w:r w:rsidRPr="006E187F">
              <w:rPr>
                <w:rFonts w:ascii="Arial Narrow" w:hAnsi="Arial Narrow"/>
                <w:bCs/>
                <w:color w:val="000000" w:themeColor="text1"/>
                <w:sz w:val="20"/>
                <w:szCs w:val="20"/>
              </w:rPr>
              <w:t>Relapsed and/or refractory multiple myeloma</w:t>
            </w:r>
          </w:p>
        </w:tc>
      </w:tr>
      <w:tr w:rsidR="005F3981" w:rsidRPr="006E187F" w:rsidTr="00AC6070">
        <w:tblPrEx>
          <w:tblCellMar>
            <w:top w:w="15" w:type="dxa"/>
            <w:left w:w="15" w:type="dxa"/>
            <w:bottom w:w="15" w:type="dxa"/>
            <w:right w:w="15" w:type="dxa"/>
          </w:tblCellMar>
          <w:tblLook w:val="04A0" w:firstRow="1" w:lastRow="0" w:firstColumn="1" w:lastColumn="0" w:noHBand="0" w:noVBand="1"/>
        </w:tblPrEx>
        <w:tc>
          <w:tcPr>
            <w:tcW w:w="524" w:type="pct"/>
            <w:gridSpan w:val="2"/>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hideMark/>
          </w:tcPr>
          <w:p w:rsidR="005F3981" w:rsidRPr="006E187F" w:rsidRDefault="005F3981" w:rsidP="005F3981">
            <w:pPr>
              <w:rPr>
                <w:rFonts w:ascii="Arial Narrow" w:hAnsi="Arial Narrow"/>
                <w:color w:val="000000" w:themeColor="text1"/>
                <w:sz w:val="20"/>
                <w:szCs w:val="20"/>
              </w:rPr>
            </w:pPr>
            <w:r w:rsidRPr="006E187F">
              <w:rPr>
                <w:rFonts w:ascii="Arial Narrow" w:hAnsi="Arial Narrow"/>
                <w:b/>
                <w:bCs/>
                <w:color w:val="000000" w:themeColor="text1"/>
                <w:sz w:val="20"/>
                <w:szCs w:val="20"/>
              </w:rPr>
              <w:t>Treatment Phase:</w:t>
            </w:r>
            <w:r w:rsidRPr="006E187F">
              <w:rPr>
                <w:rFonts w:ascii="Arial Narrow" w:hAnsi="Arial Narrow"/>
                <w:color w:val="000000" w:themeColor="text1"/>
                <w:sz w:val="20"/>
                <w:szCs w:val="20"/>
              </w:rPr>
              <w:t xml:space="preserve"> Continuing treatment of second-line drug therapy for weeks 10 to 24 (administered every 3 weeks)</w:t>
            </w:r>
          </w:p>
        </w:tc>
      </w:tr>
      <w:tr w:rsidR="005F3981" w:rsidRPr="006E187F" w:rsidTr="00AC6070">
        <w:tblPrEx>
          <w:tblCellMar>
            <w:top w:w="15" w:type="dxa"/>
            <w:left w:w="15" w:type="dxa"/>
            <w:bottom w:w="15" w:type="dxa"/>
            <w:right w:w="15" w:type="dxa"/>
          </w:tblCellMar>
          <w:tblLook w:val="04A0" w:firstRow="1" w:lastRow="0" w:firstColumn="1" w:lastColumn="0" w:noHBand="0" w:noVBand="1"/>
        </w:tblPrEx>
        <w:trPr>
          <w:trHeight w:val="184"/>
        </w:trPr>
        <w:tc>
          <w:tcPr>
            <w:tcW w:w="524" w:type="pct"/>
            <w:gridSpan w:val="2"/>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hideMark/>
          </w:tcPr>
          <w:p w:rsidR="005F3981" w:rsidRPr="006E187F" w:rsidRDefault="005F3981" w:rsidP="005F3981">
            <w:pPr>
              <w:rPr>
                <w:rFonts w:ascii="Arial Narrow" w:hAnsi="Arial Narrow"/>
                <w:color w:val="000000" w:themeColor="text1"/>
                <w:sz w:val="20"/>
                <w:szCs w:val="20"/>
              </w:rPr>
            </w:pPr>
            <w:r w:rsidRPr="006E187F">
              <w:rPr>
                <w:rFonts w:ascii="Arial Narrow" w:hAnsi="Arial Narrow"/>
                <w:b/>
                <w:bCs/>
                <w:color w:val="000000" w:themeColor="text1"/>
                <w:sz w:val="20"/>
                <w:szCs w:val="20"/>
              </w:rPr>
              <w:t xml:space="preserve">Clinical criteria: </w:t>
            </w:r>
          </w:p>
        </w:tc>
      </w:tr>
      <w:tr w:rsidR="005F3981" w:rsidRPr="006E187F" w:rsidTr="00AC6070">
        <w:tblPrEx>
          <w:tblCellMar>
            <w:top w:w="15" w:type="dxa"/>
            <w:left w:w="15" w:type="dxa"/>
            <w:bottom w:w="15" w:type="dxa"/>
            <w:right w:w="15" w:type="dxa"/>
          </w:tblCellMar>
          <w:tblLook w:val="04A0" w:firstRow="1" w:lastRow="0" w:firstColumn="1" w:lastColumn="0" w:noHBand="0" w:noVBand="1"/>
        </w:tblPrEx>
        <w:tc>
          <w:tcPr>
            <w:tcW w:w="524" w:type="pct"/>
            <w:gridSpan w:val="2"/>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hideMark/>
          </w:tcPr>
          <w:p w:rsidR="005F3981" w:rsidRPr="006E187F" w:rsidRDefault="005F3981" w:rsidP="005F3981">
            <w:pPr>
              <w:rPr>
                <w:rFonts w:ascii="Arial Narrow" w:hAnsi="Arial Narrow"/>
                <w:color w:val="000000" w:themeColor="text1"/>
                <w:sz w:val="20"/>
                <w:szCs w:val="20"/>
              </w:rPr>
            </w:pPr>
            <w:r w:rsidRPr="006E187F">
              <w:rPr>
                <w:rFonts w:ascii="Arial Narrow" w:hAnsi="Arial Narrow"/>
                <w:color w:val="000000" w:themeColor="text1"/>
                <w:sz w:val="20"/>
                <w:szCs w:val="20"/>
              </w:rPr>
              <w:t>Patient must have previously received PBS-subsidised treatment with this drug for this condition</w:t>
            </w:r>
          </w:p>
        </w:tc>
      </w:tr>
      <w:tr w:rsidR="005F3981" w:rsidRPr="006E187F" w:rsidTr="00AC6070">
        <w:tblPrEx>
          <w:tblCellMar>
            <w:top w:w="15" w:type="dxa"/>
            <w:left w:w="15" w:type="dxa"/>
            <w:bottom w:w="15" w:type="dxa"/>
            <w:right w:w="15" w:type="dxa"/>
          </w:tblCellMar>
          <w:tblLook w:val="04A0" w:firstRow="1" w:lastRow="0" w:firstColumn="1" w:lastColumn="0" w:noHBand="0" w:noVBand="1"/>
        </w:tblPrEx>
        <w:tc>
          <w:tcPr>
            <w:tcW w:w="524" w:type="pct"/>
            <w:gridSpan w:val="2"/>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hideMark/>
          </w:tcPr>
          <w:p w:rsidR="005F3981" w:rsidRPr="006E187F" w:rsidRDefault="005F3981" w:rsidP="005F3981">
            <w:pPr>
              <w:rPr>
                <w:rFonts w:ascii="Arial Narrow" w:hAnsi="Arial Narrow"/>
                <w:color w:val="000000" w:themeColor="text1"/>
                <w:sz w:val="20"/>
                <w:szCs w:val="20"/>
              </w:rPr>
            </w:pPr>
            <w:r w:rsidRPr="006E187F">
              <w:rPr>
                <w:rFonts w:ascii="Arial Narrow" w:hAnsi="Arial Narrow"/>
                <w:b/>
                <w:bCs/>
                <w:color w:val="000000" w:themeColor="text1"/>
                <w:sz w:val="20"/>
                <w:szCs w:val="20"/>
              </w:rPr>
              <w:t>AND</w:t>
            </w:r>
          </w:p>
        </w:tc>
      </w:tr>
      <w:tr w:rsidR="005F3981" w:rsidRPr="006E187F" w:rsidTr="00741915">
        <w:tblPrEx>
          <w:tblCellMar>
            <w:top w:w="15" w:type="dxa"/>
            <w:left w:w="15" w:type="dxa"/>
            <w:bottom w:w="15" w:type="dxa"/>
            <w:right w:w="15" w:type="dxa"/>
          </w:tblCellMar>
          <w:tblLook w:val="04A0" w:firstRow="1" w:lastRow="0" w:firstColumn="1" w:lastColumn="0" w:noHBand="0" w:noVBand="1"/>
        </w:tblPrEx>
        <w:tc>
          <w:tcPr>
            <w:tcW w:w="524" w:type="pct"/>
            <w:gridSpan w:val="2"/>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hideMark/>
          </w:tcPr>
          <w:p w:rsidR="005F3981" w:rsidRPr="006E187F" w:rsidRDefault="005F3981" w:rsidP="005F3981">
            <w:pPr>
              <w:rPr>
                <w:rFonts w:ascii="Arial Narrow" w:hAnsi="Arial Narrow"/>
                <w:color w:val="000000" w:themeColor="text1"/>
                <w:sz w:val="20"/>
                <w:szCs w:val="20"/>
              </w:rPr>
            </w:pPr>
            <w:r w:rsidRPr="006E187F">
              <w:rPr>
                <w:rFonts w:ascii="Arial Narrow" w:hAnsi="Arial Narrow"/>
                <w:b/>
                <w:bCs/>
                <w:color w:val="000000" w:themeColor="text1"/>
                <w:sz w:val="20"/>
                <w:szCs w:val="20"/>
              </w:rPr>
              <w:t>Clinical criteria:</w:t>
            </w:r>
          </w:p>
        </w:tc>
      </w:tr>
      <w:tr w:rsidR="005F3981" w:rsidRPr="006E187F" w:rsidTr="00741915">
        <w:tblPrEx>
          <w:tblCellMar>
            <w:top w:w="15" w:type="dxa"/>
            <w:left w:w="15" w:type="dxa"/>
            <w:bottom w:w="15" w:type="dxa"/>
            <w:right w:w="15" w:type="dxa"/>
          </w:tblCellMar>
          <w:tblLook w:val="04A0" w:firstRow="1" w:lastRow="0" w:firstColumn="1" w:lastColumn="0" w:noHBand="0" w:noVBand="1"/>
        </w:tblPrEx>
        <w:tc>
          <w:tcPr>
            <w:tcW w:w="524" w:type="pct"/>
            <w:gridSpan w:val="2"/>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hideMark/>
          </w:tcPr>
          <w:p w:rsidR="005F3981" w:rsidRPr="006E187F" w:rsidRDefault="005F3981" w:rsidP="005F3981">
            <w:pPr>
              <w:rPr>
                <w:rFonts w:ascii="Arial Narrow" w:hAnsi="Arial Narrow"/>
                <w:color w:val="000000" w:themeColor="text1"/>
                <w:sz w:val="20"/>
                <w:szCs w:val="20"/>
              </w:rPr>
            </w:pPr>
            <w:r w:rsidRPr="006E187F">
              <w:rPr>
                <w:rFonts w:ascii="Arial Narrow" w:hAnsi="Arial Narrow"/>
                <w:color w:val="000000" w:themeColor="text1"/>
                <w:sz w:val="20"/>
                <w:szCs w:val="20"/>
              </w:rPr>
              <w:t>The treatment must be in combination with bortezomib and dexamethasone</w:t>
            </w:r>
          </w:p>
        </w:tc>
      </w:tr>
      <w:tr w:rsidR="005F3981" w:rsidRPr="006E187F" w:rsidTr="00741915">
        <w:tblPrEx>
          <w:tblCellMar>
            <w:top w:w="15" w:type="dxa"/>
            <w:left w:w="15" w:type="dxa"/>
            <w:bottom w:w="15" w:type="dxa"/>
            <w:right w:w="15" w:type="dxa"/>
          </w:tblCellMar>
          <w:tblLook w:val="04A0" w:firstRow="1" w:lastRow="0" w:firstColumn="1" w:lastColumn="0" w:noHBand="0" w:noVBand="1"/>
        </w:tblPrEx>
        <w:tc>
          <w:tcPr>
            <w:tcW w:w="524" w:type="pct"/>
            <w:gridSpan w:val="2"/>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hideMark/>
          </w:tcPr>
          <w:p w:rsidR="005F3981" w:rsidRPr="006E187F" w:rsidRDefault="005F3981" w:rsidP="005F3981">
            <w:pPr>
              <w:rPr>
                <w:rFonts w:ascii="Arial Narrow" w:hAnsi="Arial Narrow"/>
                <w:color w:val="000000" w:themeColor="text1"/>
                <w:sz w:val="20"/>
                <w:szCs w:val="20"/>
              </w:rPr>
            </w:pPr>
            <w:r w:rsidRPr="006E187F">
              <w:rPr>
                <w:rFonts w:ascii="Arial Narrow" w:hAnsi="Arial Narrow"/>
                <w:b/>
                <w:bCs/>
                <w:color w:val="000000" w:themeColor="text1"/>
                <w:sz w:val="20"/>
                <w:szCs w:val="20"/>
              </w:rPr>
              <w:t>AND</w:t>
            </w:r>
          </w:p>
        </w:tc>
      </w:tr>
      <w:tr w:rsidR="005F3981" w:rsidRPr="006E187F" w:rsidTr="00741915">
        <w:tblPrEx>
          <w:tblCellMar>
            <w:top w:w="15" w:type="dxa"/>
            <w:left w:w="15" w:type="dxa"/>
            <w:bottom w:w="15" w:type="dxa"/>
            <w:right w:w="15" w:type="dxa"/>
          </w:tblCellMar>
          <w:tblLook w:val="04A0" w:firstRow="1" w:lastRow="0" w:firstColumn="1" w:lastColumn="0" w:noHBand="0" w:noVBand="1"/>
        </w:tblPrEx>
        <w:tc>
          <w:tcPr>
            <w:tcW w:w="524" w:type="pct"/>
            <w:gridSpan w:val="2"/>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hideMark/>
          </w:tcPr>
          <w:p w:rsidR="005F3981" w:rsidRPr="006E187F" w:rsidRDefault="005F3981" w:rsidP="005F3981">
            <w:pPr>
              <w:rPr>
                <w:rFonts w:ascii="Arial Narrow" w:hAnsi="Arial Narrow"/>
                <w:color w:val="000000" w:themeColor="text1"/>
                <w:sz w:val="20"/>
                <w:szCs w:val="20"/>
              </w:rPr>
            </w:pPr>
            <w:r w:rsidRPr="006E187F">
              <w:rPr>
                <w:rFonts w:ascii="Arial Narrow" w:hAnsi="Arial Narrow"/>
                <w:b/>
                <w:bCs/>
                <w:color w:val="000000" w:themeColor="text1"/>
                <w:sz w:val="20"/>
                <w:szCs w:val="20"/>
              </w:rPr>
              <w:t>Clinical criteria:</w:t>
            </w:r>
          </w:p>
        </w:tc>
      </w:tr>
      <w:tr w:rsidR="005F3981" w:rsidRPr="006E187F" w:rsidTr="00741915">
        <w:tblPrEx>
          <w:tblCellMar>
            <w:top w:w="15" w:type="dxa"/>
            <w:left w:w="15" w:type="dxa"/>
            <w:bottom w:w="15" w:type="dxa"/>
            <w:right w:w="15" w:type="dxa"/>
          </w:tblCellMar>
          <w:tblLook w:val="04A0" w:firstRow="1" w:lastRow="0" w:firstColumn="1" w:lastColumn="0" w:noHBand="0" w:noVBand="1"/>
        </w:tblPrEx>
        <w:tc>
          <w:tcPr>
            <w:tcW w:w="524" w:type="pct"/>
            <w:gridSpan w:val="2"/>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hideMark/>
          </w:tcPr>
          <w:p w:rsidR="005F3981" w:rsidRPr="006E187F" w:rsidRDefault="005F3981" w:rsidP="005F3981">
            <w:pPr>
              <w:rPr>
                <w:rFonts w:ascii="Arial Narrow" w:hAnsi="Arial Narrow"/>
                <w:color w:val="000000" w:themeColor="text1"/>
                <w:sz w:val="20"/>
                <w:szCs w:val="20"/>
              </w:rPr>
            </w:pPr>
            <w:r w:rsidRPr="006E187F">
              <w:rPr>
                <w:rFonts w:ascii="Arial Narrow" w:hAnsi="Arial Narrow"/>
                <w:color w:val="000000" w:themeColor="text1"/>
                <w:sz w:val="20"/>
                <w:szCs w:val="20"/>
              </w:rPr>
              <w:t>Patient must not have developed disease progression while receiving treatment with this drug for this condition</w:t>
            </w:r>
          </w:p>
        </w:tc>
      </w:tr>
      <w:tr w:rsidR="005F3981" w:rsidRPr="006E187F" w:rsidTr="00741915">
        <w:tblPrEx>
          <w:tblCellMar>
            <w:top w:w="15" w:type="dxa"/>
            <w:left w:w="15" w:type="dxa"/>
            <w:bottom w:w="15" w:type="dxa"/>
            <w:right w:w="15" w:type="dxa"/>
          </w:tblCellMar>
          <w:tblLook w:val="04A0" w:firstRow="1" w:lastRow="0" w:firstColumn="1" w:lastColumn="0" w:noHBand="0" w:noVBand="1"/>
        </w:tblPrEx>
        <w:tc>
          <w:tcPr>
            <w:tcW w:w="524" w:type="pct"/>
            <w:gridSpan w:val="2"/>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tcPr>
          <w:p w:rsidR="005F3981" w:rsidRPr="006E187F" w:rsidRDefault="005F3981" w:rsidP="005F3981">
            <w:pPr>
              <w:rPr>
                <w:rFonts w:ascii="Arial Narrow" w:hAnsi="Arial Narrow"/>
                <w:color w:val="000000" w:themeColor="text1"/>
                <w:sz w:val="20"/>
                <w:szCs w:val="20"/>
              </w:rPr>
            </w:pPr>
            <w:r w:rsidRPr="006E187F">
              <w:rPr>
                <w:rFonts w:ascii="Arial Narrow" w:hAnsi="Arial Narrow"/>
                <w:b/>
                <w:bCs/>
                <w:color w:val="000000" w:themeColor="text1"/>
                <w:sz w:val="20"/>
                <w:szCs w:val="20"/>
              </w:rPr>
              <w:t>AND</w:t>
            </w:r>
          </w:p>
        </w:tc>
      </w:tr>
      <w:tr w:rsidR="005F3981" w:rsidRPr="006E187F" w:rsidTr="00741915">
        <w:tblPrEx>
          <w:tblCellMar>
            <w:top w:w="15" w:type="dxa"/>
            <w:left w:w="15" w:type="dxa"/>
            <w:bottom w:w="15" w:type="dxa"/>
            <w:right w:w="15" w:type="dxa"/>
          </w:tblCellMar>
          <w:tblLook w:val="04A0" w:firstRow="1" w:lastRow="0" w:firstColumn="1" w:lastColumn="0" w:noHBand="0" w:noVBand="1"/>
        </w:tblPrEx>
        <w:tc>
          <w:tcPr>
            <w:tcW w:w="524" w:type="pct"/>
            <w:gridSpan w:val="2"/>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tcPr>
          <w:p w:rsidR="005F3981" w:rsidRPr="006E187F" w:rsidRDefault="005F3981" w:rsidP="005F3981">
            <w:pPr>
              <w:rPr>
                <w:rFonts w:ascii="Arial Narrow" w:hAnsi="Arial Narrow"/>
                <w:color w:val="000000" w:themeColor="text1"/>
                <w:sz w:val="20"/>
                <w:szCs w:val="20"/>
              </w:rPr>
            </w:pPr>
            <w:r w:rsidRPr="006E187F">
              <w:rPr>
                <w:rFonts w:ascii="Arial Narrow" w:hAnsi="Arial Narrow"/>
                <w:b/>
                <w:bCs/>
                <w:color w:val="000000" w:themeColor="text1"/>
                <w:sz w:val="20"/>
                <w:szCs w:val="20"/>
              </w:rPr>
              <w:t>Clinical criteria:</w:t>
            </w:r>
          </w:p>
        </w:tc>
      </w:tr>
      <w:tr w:rsidR="005F3981" w:rsidRPr="006E187F" w:rsidTr="00741915">
        <w:tblPrEx>
          <w:tblCellMar>
            <w:top w:w="15" w:type="dxa"/>
            <w:left w:w="15" w:type="dxa"/>
            <w:bottom w:w="15" w:type="dxa"/>
            <w:right w:w="15" w:type="dxa"/>
          </w:tblCellMar>
          <w:tblLook w:val="04A0" w:firstRow="1" w:lastRow="0" w:firstColumn="1" w:lastColumn="0" w:noHBand="0" w:noVBand="1"/>
        </w:tblPrEx>
        <w:tc>
          <w:tcPr>
            <w:tcW w:w="524" w:type="pct"/>
            <w:gridSpan w:val="2"/>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tcPr>
          <w:p w:rsidR="005F3981" w:rsidRPr="006E187F" w:rsidRDefault="005F3981" w:rsidP="005F3981">
            <w:pPr>
              <w:rPr>
                <w:rFonts w:ascii="Arial Narrow" w:hAnsi="Arial Narrow"/>
                <w:color w:val="000000" w:themeColor="text1"/>
                <w:sz w:val="20"/>
                <w:szCs w:val="20"/>
              </w:rPr>
            </w:pPr>
            <w:r w:rsidRPr="006E187F">
              <w:rPr>
                <w:rFonts w:ascii="Arial Narrow" w:hAnsi="Arial Narrow"/>
                <w:color w:val="000000" w:themeColor="text1"/>
                <w:sz w:val="20"/>
                <w:szCs w:val="20"/>
              </w:rPr>
              <w:t>Patient must not be receiving concomitant PBS-subsidised carfilzomib, thalidomide or its analogues</w:t>
            </w:r>
          </w:p>
        </w:tc>
      </w:tr>
      <w:tr w:rsidR="005F3981" w:rsidRPr="006E187F" w:rsidTr="00AC6070">
        <w:tblPrEx>
          <w:tblCellMar>
            <w:top w:w="15" w:type="dxa"/>
            <w:left w:w="15" w:type="dxa"/>
            <w:bottom w:w="15" w:type="dxa"/>
            <w:right w:w="15" w:type="dxa"/>
          </w:tblCellMar>
          <w:tblLook w:val="04A0" w:firstRow="1" w:lastRow="0" w:firstColumn="1" w:lastColumn="0" w:noHBand="0" w:noVBand="1"/>
        </w:tblPrEx>
        <w:tc>
          <w:tcPr>
            <w:tcW w:w="524" w:type="pct"/>
            <w:gridSpan w:val="2"/>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hideMark/>
          </w:tcPr>
          <w:p w:rsidR="005F3981" w:rsidRDefault="005F3981" w:rsidP="005F3981">
            <w:pPr>
              <w:rPr>
                <w:rFonts w:ascii="Arial Narrow" w:hAnsi="Arial Narrow"/>
                <w:bCs/>
                <w:color w:val="000000" w:themeColor="text1"/>
                <w:sz w:val="20"/>
                <w:szCs w:val="20"/>
              </w:rPr>
            </w:pPr>
            <w:r w:rsidRPr="006E187F">
              <w:rPr>
                <w:rFonts w:ascii="Arial Narrow" w:hAnsi="Arial Narrow"/>
                <w:b/>
                <w:bCs/>
                <w:color w:val="000000" w:themeColor="text1"/>
                <w:sz w:val="20"/>
                <w:szCs w:val="20"/>
              </w:rPr>
              <w:t xml:space="preserve">Prescribing Instructions: </w:t>
            </w:r>
            <w:r w:rsidRPr="006E187F">
              <w:rPr>
                <w:rFonts w:ascii="Arial Narrow" w:hAnsi="Arial Narrow"/>
                <w:bCs/>
                <w:color w:val="000000" w:themeColor="text1"/>
                <w:sz w:val="20"/>
                <w:szCs w:val="20"/>
              </w:rPr>
              <w:t xml:space="preserve">Progressive disease is defined as at least 1 of the following: </w:t>
            </w:r>
          </w:p>
          <w:p w:rsidR="005F3981" w:rsidRDefault="005F3981" w:rsidP="005F3981">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(a) at least a 25% increase and an absolute increase of at least 5 g per L in serum M protein (monoclonal protein); or, </w:t>
            </w:r>
          </w:p>
          <w:p w:rsidR="005F3981" w:rsidRDefault="005F3981" w:rsidP="005F3981">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(b) at least a 25% increase in 24-hour urinary light chain M protein excretion, and an absolute increase of at least 200 mg per 24 hours; or, </w:t>
            </w:r>
          </w:p>
          <w:p w:rsidR="005F3981" w:rsidRDefault="005F3981" w:rsidP="005F3981">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(c) in oligo-secretory and non-secretory myeloma patients only, at least a 50% increase in the difference between involved free light chain and uninvolved free light chain; or, </w:t>
            </w:r>
          </w:p>
          <w:p w:rsidR="005F3981" w:rsidRDefault="005F3981" w:rsidP="005F3981">
            <w:pPr>
              <w:rPr>
                <w:rFonts w:ascii="Arial Narrow" w:hAnsi="Arial Narrow"/>
                <w:bCs/>
                <w:color w:val="000000" w:themeColor="text1"/>
                <w:sz w:val="20"/>
                <w:szCs w:val="20"/>
              </w:rPr>
            </w:pPr>
            <w:r w:rsidRPr="006E187F">
              <w:rPr>
                <w:rFonts w:ascii="Arial Narrow" w:hAnsi="Arial Narrow"/>
                <w:bCs/>
                <w:color w:val="000000" w:themeColor="text1"/>
                <w:sz w:val="20"/>
                <w:szCs w:val="20"/>
              </w:rPr>
              <w:t>(d) at least a 25% relative increase and at least a 10% absolute increase in plasma cells in a bone marrow aspirate or on biopsy; or,</w:t>
            </w:r>
          </w:p>
          <w:p w:rsidR="005F3981" w:rsidRDefault="005F3981" w:rsidP="005F3981">
            <w:pPr>
              <w:rPr>
                <w:rFonts w:ascii="Arial Narrow" w:hAnsi="Arial Narrow"/>
                <w:bCs/>
                <w:color w:val="000000" w:themeColor="text1"/>
                <w:sz w:val="20"/>
                <w:szCs w:val="20"/>
              </w:rPr>
            </w:pPr>
            <w:r w:rsidRPr="006E187F">
              <w:rPr>
                <w:rFonts w:ascii="Arial Narrow" w:hAnsi="Arial Narrow"/>
                <w:bCs/>
                <w:color w:val="000000" w:themeColor="text1"/>
                <w:sz w:val="20"/>
                <w:szCs w:val="20"/>
              </w:rPr>
              <w:t>(e) an increase in the size or number of lytic bone lesions (not including compression fractures); or,</w:t>
            </w:r>
          </w:p>
          <w:p w:rsidR="005F3981" w:rsidRDefault="005F3981" w:rsidP="005F3981">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(f) at least a 25% increase in the size of an existing or the development of a new soft tissue plasmacytoma (determined by clinical examination or diagnostic imaging); or, </w:t>
            </w:r>
          </w:p>
          <w:p w:rsidR="005F3981" w:rsidRPr="006E187F" w:rsidRDefault="005F3981" w:rsidP="005F3981">
            <w:pPr>
              <w:rPr>
                <w:rFonts w:ascii="Arial Narrow" w:hAnsi="Arial Narrow"/>
                <w:color w:val="000000" w:themeColor="text1"/>
                <w:sz w:val="20"/>
                <w:szCs w:val="20"/>
              </w:rPr>
            </w:pPr>
            <w:r w:rsidRPr="006E187F">
              <w:rPr>
                <w:rFonts w:ascii="Arial Narrow" w:hAnsi="Arial Narrow"/>
                <w:bCs/>
                <w:color w:val="000000" w:themeColor="text1"/>
                <w:sz w:val="20"/>
                <w:szCs w:val="20"/>
              </w:rPr>
              <w:t>(g) development of hypercalcaemia (corrected serum calcium greater than 2.65 mmol per L not attributable to any other cause).</w:t>
            </w:r>
          </w:p>
        </w:tc>
      </w:tr>
      <w:tr w:rsidR="005F3981" w:rsidRPr="006E187F" w:rsidTr="00AC6070">
        <w:tblPrEx>
          <w:tblCellMar>
            <w:top w:w="15" w:type="dxa"/>
            <w:left w:w="15" w:type="dxa"/>
            <w:bottom w:w="15" w:type="dxa"/>
            <w:right w:w="15" w:type="dxa"/>
          </w:tblCellMar>
          <w:tblLook w:val="04A0" w:firstRow="1" w:lastRow="0" w:firstColumn="1" w:lastColumn="0" w:noHBand="0" w:noVBand="1"/>
        </w:tblPrEx>
        <w:tc>
          <w:tcPr>
            <w:tcW w:w="524" w:type="pct"/>
            <w:gridSpan w:val="2"/>
            <w:vAlign w:val="center"/>
          </w:tcPr>
          <w:p w:rsidR="005F3981" w:rsidRPr="006E187F" w:rsidRDefault="005F3981" w:rsidP="005F3981">
            <w:pPr>
              <w:jc w:val="center"/>
              <w:rPr>
                <w:rFonts w:ascii="Arial Narrow" w:hAnsi="Arial Narrow"/>
                <w:color w:val="000000" w:themeColor="text1"/>
                <w:sz w:val="20"/>
                <w:szCs w:val="20"/>
              </w:rPr>
            </w:pPr>
          </w:p>
        </w:tc>
        <w:tc>
          <w:tcPr>
            <w:tcW w:w="4476" w:type="pct"/>
            <w:gridSpan w:val="6"/>
            <w:vAlign w:val="center"/>
            <w:hideMark/>
          </w:tcPr>
          <w:p w:rsidR="005F3981" w:rsidRDefault="005F3981" w:rsidP="005F3981">
            <w:pPr>
              <w:rPr>
                <w:rFonts w:ascii="Arial Narrow" w:hAnsi="Arial Narrow"/>
                <w:b/>
                <w:bCs/>
                <w:color w:val="000000" w:themeColor="text1"/>
                <w:sz w:val="20"/>
                <w:szCs w:val="20"/>
              </w:rPr>
            </w:pPr>
            <w:r w:rsidRPr="006E187F">
              <w:rPr>
                <w:rFonts w:ascii="Arial Narrow" w:hAnsi="Arial Narrow"/>
                <w:b/>
                <w:bCs/>
                <w:color w:val="000000" w:themeColor="text1"/>
                <w:sz w:val="20"/>
                <w:szCs w:val="20"/>
              </w:rPr>
              <w:t xml:space="preserve">Prescribing Instructions: </w:t>
            </w:r>
          </w:p>
          <w:p w:rsidR="005F3981" w:rsidRPr="006E187F" w:rsidRDefault="005F3981" w:rsidP="005F3981">
            <w:pPr>
              <w:rPr>
                <w:rFonts w:ascii="Arial Narrow" w:hAnsi="Arial Narrow"/>
                <w:color w:val="000000" w:themeColor="text1"/>
                <w:sz w:val="20"/>
                <w:szCs w:val="20"/>
              </w:rPr>
            </w:pPr>
            <w:r w:rsidRPr="006E187F">
              <w:rPr>
                <w:rFonts w:ascii="Arial Narrow" w:hAnsi="Arial Narrow"/>
                <w:bCs/>
                <w:color w:val="000000" w:themeColor="text1"/>
                <w:sz w:val="20"/>
                <w:szCs w:val="20"/>
              </w:rPr>
              <w:t>Oligo-secretory and non-secretory patients are defined as having active disease with less than 10 g per L serum M protein.</w:t>
            </w:r>
          </w:p>
        </w:tc>
      </w:tr>
    </w:tbl>
    <w:p w:rsidR="00B32FD9" w:rsidRDefault="00B32FD9" w:rsidP="00575A7C">
      <w:pPr>
        <w:rPr>
          <w:rFonts w:asciiTheme="minorHAnsi" w:hAnsiTheme="minorHAnsi" w:cstheme="minorHAnsi"/>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
        <w:gridCol w:w="708"/>
        <w:gridCol w:w="2553"/>
        <w:gridCol w:w="1986"/>
        <w:gridCol w:w="850"/>
        <w:gridCol w:w="850"/>
        <w:gridCol w:w="707"/>
        <w:gridCol w:w="1133"/>
      </w:tblGrid>
      <w:tr w:rsidR="005F3981" w:rsidRPr="006E187F" w:rsidTr="00F806BC">
        <w:trPr>
          <w:cantSplit/>
          <w:trHeight w:val="471"/>
        </w:trPr>
        <w:tc>
          <w:tcPr>
            <w:tcW w:w="1952" w:type="pct"/>
            <w:gridSpan w:val="3"/>
          </w:tcPr>
          <w:p w:rsidR="005F3981" w:rsidRPr="006E187F" w:rsidRDefault="005F3981" w:rsidP="005D7093">
            <w:pPr>
              <w:keepNext/>
              <w:ind w:left="-57"/>
              <w:rPr>
                <w:rFonts w:ascii="Arial Narrow" w:hAnsi="Arial Narrow"/>
                <w:b/>
                <w:sz w:val="20"/>
                <w:szCs w:val="20"/>
              </w:rPr>
            </w:pPr>
            <w:bookmarkStart w:id="33" w:name="_Hlk77803595"/>
            <w:r w:rsidRPr="006E187F">
              <w:rPr>
                <w:rFonts w:ascii="Arial Narrow" w:hAnsi="Arial Narrow"/>
                <w:b/>
                <w:sz w:val="20"/>
                <w:szCs w:val="20"/>
              </w:rPr>
              <w:t>MEDICINAL PRODUCT</w:t>
            </w:r>
          </w:p>
          <w:p w:rsidR="005F3981" w:rsidRPr="006E187F" w:rsidRDefault="005F3981" w:rsidP="005D7093">
            <w:pPr>
              <w:keepNext/>
              <w:ind w:left="-57"/>
              <w:rPr>
                <w:rFonts w:ascii="Arial Narrow" w:hAnsi="Arial Narrow"/>
                <w:b/>
                <w:sz w:val="20"/>
                <w:szCs w:val="20"/>
              </w:rPr>
            </w:pPr>
            <w:r w:rsidRPr="006E187F">
              <w:rPr>
                <w:rFonts w:ascii="Arial Narrow" w:hAnsi="Arial Narrow"/>
                <w:b/>
                <w:sz w:val="20"/>
                <w:szCs w:val="20"/>
              </w:rPr>
              <w:t>medicinal product pack</w:t>
            </w:r>
          </w:p>
        </w:tc>
        <w:tc>
          <w:tcPr>
            <w:tcW w:w="1095" w:type="pct"/>
          </w:tcPr>
          <w:p w:rsidR="005F3981" w:rsidRPr="006E187F" w:rsidRDefault="005F3981" w:rsidP="005D7093">
            <w:pPr>
              <w:keepNext/>
              <w:ind w:left="-108"/>
              <w:jc w:val="center"/>
              <w:rPr>
                <w:rFonts w:ascii="Arial Narrow" w:hAnsi="Arial Narrow"/>
                <w:b/>
                <w:sz w:val="20"/>
                <w:szCs w:val="20"/>
              </w:rPr>
            </w:pPr>
            <w:r w:rsidRPr="006E187F">
              <w:rPr>
                <w:rFonts w:ascii="Arial Narrow" w:hAnsi="Arial Narrow"/>
                <w:b/>
                <w:sz w:val="20"/>
                <w:szCs w:val="20"/>
              </w:rPr>
              <w:t>PBS item code</w:t>
            </w:r>
          </w:p>
        </w:tc>
        <w:tc>
          <w:tcPr>
            <w:tcW w:w="469" w:type="pct"/>
          </w:tcPr>
          <w:p w:rsidR="005F3981" w:rsidRPr="006E187F" w:rsidRDefault="005F3981" w:rsidP="005D7093">
            <w:pPr>
              <w:keepNext/>
              <w:ind w:left="-108"/>
              <w:jc w:val="center"/>
              <w:rPr>
                <w:rFonts w:ascii="Arial Narrow" w:hAnsi="Arial Narrow"/>
                <w:b/>
                <w:sz w:val="20"/>
                <w:szCs w:val="20"/>
              </w:rPr>
            </w:pPr>
            <w:r w:rsidRPr="006E187F">
              <w:rPr>
                <w:rFonts w:ascii="Arial Narrow" w:hAnsi="Arial Narrow"/>
                <w:b/>
                <w:sz w:val="20"/>
                <w:szCs w:val="20"/>
              </w:rPr>
              <w:t>Max. qty packs</w:t>
            </w:r>
          </w:p>
        </w:tc>
        <w:tc>
          <w:tcPr>
            <w:tcW w:w="469" w:type="pct"/>
          </w:tcPr>
          <w:p w:rsidR="005F3981" w:rsidRPr="006E187F" w:rsidRDefault="005F3981" w:rsidP="005D7093">
            <w:pPr>
              <w:keepNext/>
              <w:ind w:left="-108"/>
              <w:jc w:val="center"/>
              <w:rPr>
                <w:rFonts w:ascii="Arial Narrow" w:hAnsi="Arial Narrow"/>
                <w:b/>
                <w:sz w:val="20"/>
                <w:szCs w:val="20"/>
              </w:rPr>
            </w:pPr>
            <w:r w:rsidRPr="006E187F">
              <w:rPr>
                <w:rFonts w:ascii="Arial Narrow" w:hAnsi="Arial Narrow"/>
                <w:b/>
                <w:sz w:val="20"/>
                <w:szCs w:val="20"/>
              </w:rPr>
              <w:t>Max. qty units</w:t>
            </w:r>
          </w:p>
        </w:tc>
        <w:tc>
          <w:tcPr>
            <w:tcW w:w="390" w:type="pct"/>
          </w:tcPr>
          <w:p w:rsidR="005F3981" w:rsidRPr="006E187F" w:rsidRDefault="005F3981" w:rsidP="005D7093">
            <w:pPr>
              <w:keepNext/>
              <w:ind w:left="-108"/>
              <w:jc w:val="center"/>
              <w:rPr>
                <w:rFonts w:ascii="Arial Narrow" w:hAnsi="Arial Narrow"/>
                <w:b/>
                <w:sz w:val="20"/>
                <w:szCs w:val="20"/>
              </w:rPr>
            </w:pPr>
            <w:r w:rsidRPr="006E187F">
              <w:rPr>
                <w:rFonts w:ascii="Arial Narrow" w:hAnsi="Arial Narrow"/>
                <w:b/>
                <w:sz w:val="20"/>
                <w:szCs w:val="20"/>
              </w:rPr>
              <w:t>№.of</w:t>
            </w:r>
          </w:p>
          <w:p w:rsidR="005F3981" w:rsidRPr="006E187F" w:rsidRDefault="005F3981" w:rsidP="005D7093">
            <w:pPr>
              <w:keepNext/>
              <w:ind w:left="-108"/>
              <w:jc w:val="center"/>
              <w:rPr>
                <w:rFonts w:ascii="Arial Narrow" w:hAnsi="Arial Narrow"/>
                <w:b/>
                <w:sz w:val="20"/>
                <w:szCs w:val="20"/>
              </w:rPr>
            </w:pPr>
            <w:r w:rsidRPr="006E187F">
              <w:rPr>
                <w:rFonts w:ascii="Arial Narrow" w:hAnsi="Arial Narrow"/>
                <w:b/>
                <w:sz w:val="20"/>
                <w:szCs w:val="20"/>
              </w:rPr>
              <w:t>Rpts</w:t>
            </w:r>
          </w:p>
        </w:tc>
        <w:tc>
          <w:tcPr>
            <w:tcW w:w="626" w:type="pct"/>
          </w:tcPr>
          <w:p w:rsidR="005F3981" w:rsidRPr="006E187F" w:rsidRDefault="005F3981" w:rsidP="005D7093">
            <w:pPr>
              <w:keepNext/>
              <w:rPr>
                <w:rFonts w:ascii="Arial Narrow" w:hAnsi="Arial Narrow"/>
                <w:b/>
                <w:sz w:val="20"/>
                <w:szCs w:val="20"/>
              </w:rPr>
            </w:pPr>
            <w:r w:rsidRPr="006E187F">
              <w:rPr>
                <w:rFonts w:ascii="Arial Narrow" w:hAnsi="Arial Narrow"/>
                <w:b/>
                <w:sz w:val="20"/>
                <w:szCs w:val="20"/>
              </w:rPr>
              <w:t>Available brands</w:t>
            </w:r>
          </w:p>
        </w:tc>
      </w:tr>
      <w:tr w:rsidR="005F3981" w:rsidRPr="006E187F" w:rsidTr="005F3981">
        <w:trPr>
          <w:cantSplit/>
          <w:trHeight w:val="207"/>
        </w:trPr>
        <w:tc>
          <w:tcPr>
            <w:tcW w:w="5000" w:type="pct"/>
            <w:gridSpan w:val="8"/>
          </w:tcPr>
          <w:p w:rsidR="005F3981" w:rsidRPr="006E187F" w:rsidRDefault="005F3981" w:rsidP="005D7093">
            <w:pPr>
              <w:keepNext/>
              <w:ind w:left="-57"/>
              <w:rPr>
                <w:rFonts w:ascii="Arial Narrow" w:hAnsi="Arial Narrow"/>
                <w:sz w:val="20"/>
                <w:szCs w:val="20"/>
              </w:rPr>
            </w:pPr>
            <w:r w:rsidRPr="006E187F">
              <w:rPr>
                <w:rFonts w:ascii="Arial Narrow" w:hAnsi="Arial Narrow"/>
                <w:sz w:val="20"/>
                <w:szCs w:val="20"/>
              </w:rPr>
              <w:t>DARATUMUMAB</w:t>
            </w:r>
          </w:p>
        </w:tc>
      </w:tr>
      <w:tr w:rsidR="005F3981" w:rsidRPr="006E187F" w:rsidTr="00F806BC">
        <w:trPr>
          <w:cantSplit/>
          <w:trHeight w:val="95"/>
        </w:trPr>
        <w:tc>
          <w:tcPr>
            <w:tcW w:w="1952" w:type="pct"/>
            <w:gridSpan w:val="3"/>
          </w:tcPr>
          <w:p w:rsidR="005F3981" w:rsidRPr="006E187F" w:rsidRDefault="005F3981" w:rsidP="005D7093">
            <w:pPr>
              <w:keepNext/>
              <w:ind w:left="-57"/>
              <w:rPr>
                <w:rFonts w:ascii="Arial Narrow" w:hAnsi="Arial Narrow"/>
                <w:sz w:val="20"/>
                <w:szCs w:val="20"/>
              </w:rPr>
            </w:pPr>
            <w:r>
              <w:rPr>
                <w:rFonts w:ascii="Arial Narrow" w:hAnsi="Arial Narrow"/>
                <w:sz w:val="20"/>
                <w:szCs w:val="20"/>
              </w:rPr>
              <w:t>d</w:t>
            </w:r>
            <w:r w:rsidRPr="006E187F">
              <w:rPr>
                <w:rFonts w:ascii="Arial Narrow" w:hAnsi="Arial Narrow"/>
                <w:sz w:val="20"/>
                <w:szCs w:val="20"/>
              </w:rPr>
              <w:t>aratumumab 1.8 g/15 mL injection, 15 mL vial</w:t>
            </w:r>
          </w:p>
        </w:tc>
        <w:tc>
          <w:tcPr>
            <w:tcW w:w="1095" w:type="pct"/>
          </w:tcPr>
          <w:p w:rsidR="005F3981" w:rsidRDefault="005F3981" w:rsidP="005D7093">
            <w:pPr>
              <w:keepNext/>
              <w:ind w:left="-57"/>
              <w:jc w:val="center"/>
              <w:rPr>
                <w:rFonts w:ascii="Arial Narrow" w:hAnsi="Arial Narrow"/>
                <w:sz w:val="20"/>
                <w:szCs w:val="20"/>
              </w:rPr>
            </w:pPr>
            <w:r w:rsidRPr="006E187F">
              <w:rPr>
                <w:rFonts w:ascii="Arial Narrow" w:hAnsi="Arial Narrow"/>
                <w:sz w:val="20"/>
                <w:szCs w:val="20"/>
              </w:rPr>
              <w:t>N</w:t>
            </w:r>
            <w:r>
              <w:rPr>
                <w:rFonts w:ascii="Arial Narrow" w:hAnsi="Arial Narrow"/>
                <w:sz w:val="20"/>
                <w:szCs w:val="20"/>
              </w:rPr>
              <w:t>ew (</w:t>
            </w:r>
            <w:r w:rsidR="00F806BC">
              <w:rPr>
                <w:rFonts w:ascii="Arial Narrow" w:hAnsi="Arial Narrow"/>
                <w:sz w:val="20"/>
                <w:szCs w:val="20"/>
              </w:rPr>
              <w:t>EFC – Related Ben.</w:t>
            </w:r>
            <w:r>
              <w:rPr>
                <w:rFonts w:ascii="Arial Narrow" w:hAnsi="Arial Narrow"/>
                <w:sz w:val="20"/>
                <w:szCs w:val="20"/>
              </w:rPr>
              <w:t>)</w:t>
            </w:r>
          </w:p>
          <w:p w:rsidR="005F3981" w:rsidRPr="006E187F" w:rsidRDefault="005F3981" w:rsidP="005D7093">
            <w:pPr>
              <w:keepNext/>
              <w:ind w:left="-57"/>
              <w:jc w:val="center"/>
              <w:rPr>
                <w:rFonts w:ascii="Arial Narrow" w:hAnsi="Arial Narrow"/>
                <w:sz w:val="20"/>
                <w:szCs w:val="20"/>
              </w:rPr>
            </w:pPr>
            <w:r>
              <w:rPr>
                <w:rFonts w:ascii="Arial Narrow" w:hAnsi="Arial Narrow"/>
                <w:sz w:val="20"/>
                <w:szCs w:val="20"/>
              </w:rPr>
              <w:t>New (</w:t>
            </w:r>
            <w:r w:rsidR="00F806BC">
              <w:rPr>
                <w:rFonts w:ascii="Arial Narrow" w:hAnsi="Arial Narrow"/>
                <w:sz w:val="20"/>
                <w:szCs w:val="20"/>
              </w:rPr>
              <w:t>Gen. Sch</w:t>
            </w:r>
            <w:r>
              <w:rPr>
                <w:rFonts w:ascii="Arial Narrow" w:hAnsi="Arial Narrow"/>
                <w:sz w:val="20"/>
                <w:szCs w:val="20"/>
              </w:rPr>
              <w:t>)</w:t>
            </w:r>
          </w:p>
        </w:tc>
        <w:tc>
          <w:tcPr>
            <w:tcW w:w="469" w:type="pct"/>
          </w:tcPr>
          <w:p w:rsidR="005F3981" w:rsidRPr="006E187F" w:rsidRDefault="005F3981" w:rsidP="005D7093">
            <w:pPr>
              <w:keepNext/>
              <w:ind w:left="-57"/>
              <w:jc w:val="center"/>
              <w:rPr>
                <w:rFonts w:ascii="Arial Narrow" w:hAnsi="Arial Narrow"/>
                <w:sz w:val="20"/>
                <w:szCs w:val="20"/>
              </w:rPr>
            </w:pPr>
            <w:r w:rsidRPr="006E187F">
              <w:rPr>
                <w:rFonts w:ascii="Arial Narrow" w:hAnsi="Arial Narrow"/>
                <w:sz w:val="20"/>
                <w:szCs w:val="20"/>
              </w:rPr>
              <w:t>1</w:t>
            </w:r>
          </w:p>
        </w:tc>
        <w:tc>
          <w:tcPr>
            <w:tcW w:w="469" w:type="pct"/>
          </w:tcPr>
          <w:p w:rsidR="005F3981" w:rsidRPr="006E187F" w:rsidRDefault="005F3981" w:rsidP="005D7093">
            <w:pPr>
              <w:keepNext/>
              <w:ind w:left="-57"/>
              <w:jc w:val="center"/>
              <w:rPr>
                <w:rFonts w:ascii="Arial Narrow" w:hAnsi="Arial Narrow"/>
                <w:sz w:val="20"/>
                <w:szCs w:val="20"/>
              </w:rPr>
            </w:pPr>
            <w:r>
              <w:rPr>
                <w:rFonts w:ascii="Arial Narrow" w:hAnsi="Arial Narrow"/>
                <w:sz w:val="20"/>
                <w:szCs w:val="20"/>
              </w:rPr>
              <w:t>1</w:t>
            </w:r>
          </w:p>
        </w:tc>
        <w:tc>
          <w:tcPr>
            <w:tcW w:w="390" w:type="pct"/>
          </w:tcPr>
          <w:p w:rsidR="005F3981" w:rsidRPr="006E187F" w:rsidRDefault="005F3981" w:rsidP="005D7093">
            <w:pPr>
              <w:keepNext/>
              <w:ind w:left="-57"/>
              <w:jc w:val="center"/>
              <w:rPr>
                <w:rFonts w:ascii="Arial Narrow" w:hAnsi="Arial Narrow"/>
                <w:sz w:val="20"/>
                <w:szCs w:val="20"/>
              </w:rPr>
            </w:pPr>
            <w:r>
              <w:rPr>
                <w:rFonts w:ascii="Arial Narrow" w:hAnsi="Arial Narrow"/>
                <w:sz w:val="20"/>
                <w:szCs w:val="20"/>
              </w:rPr>
              <w:t>5</w:t>
            </w:r>
          </w:p>
        </w:tc>
        <w:tc>
          <w:tcPr>
            <w:tcW w:w="626" w:type="pct"/>
          </w:tcPr>
          <w:p w:rsidR="005F3981" w:rsidRPr="006E187F" w:rsidRDefault="005F3981" w:rsidP="005D7093">
            <w:pPr>
              <w:keepNext/>
              <w:rPr>
                <w:rFonts w:ascii="Arial Narrow" w:hAnsi="Arial Narrow"/>
                <w:sz w:val="20"/>
                <w:szCs w:val="20"/>
              </w:rPr>
            </w:pPr>
            <w:r w:rsidRPr="006E187F">
              <w:rPr>
                <w:rFonts w:ascii="Arial Narrow" w:hAnsi="Arial Narrow"/>
                <w:sz w:val="20"/>
                <w:szCs w:val="20"/>
              </w:rPr>
              <w:t>Darzalex SC</w:t>
            </w:r>
          </w:p>
        </w:tc>
      </w:tr>
      <w:bookmarkEnd w:id="33"/>
      <w:tr w:rsidR="005F3981" w:rsidRPr="006E187F" w:rsidTr="005F3981">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5F3981" w:rsidRPr="006E187F" w:rsidRDefault="005F3981" w:rsidP="00F10037">
            <w:pPr>
              <w:rPr>
                <w:rFonts w:ascii="Arial Narrow" w:hAnsi="Arial Narrow"/>
                <w:b/>
                <w:color w:val="000000" w:themeColor="text1"/>
                <w:sz w:val="20"/>
                <w:szCs w:val="20"/>
              </w:rPr>
            </w:pPr>
          </w:p>
        </w:tc>
      </w:tr>
      <w:tr w:rsidR="00575A7C" w:rsidRPr="006E187F" w:rsidTr="005F3981">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575A7C" w:rsidRPr="006E187F" w:rsidRDefault="00575A7C" w:rsidP="00F10037">
            <w:pPr>
              <w:rPr>
                <w:rFonts w:ascii="Arial Narrow" w:hAnsi="Arial Narrow"/>
                <w:b/>
                <w:color w:val="000000" w:themeColor="text1"/>
                <w:sz w:val="20"/>
                <w:szCs w:val="20"/>
              </w:rPr>
            </w:pPr>
            <w:bookmarkStart w:id="34" w:name="_Hlk77803661"/>
            <w:r w:rsidRPr="006E187F">
              <w:rPr>
                <w:rFonts w:ascii="Arial Narrow" w:hAnsi="Arial Narrow"/>
                <w:b/>
                <w:color w:val="000000" w:themeColor="text1"/>
                <w:sz w:val="20"/>
                <w:szCs w:val="20"/>
              </w:rPr>
              <w:t>Restriction Summary 11075 / Treatment of Concept 11075</w:t>
            </w:r>
          </w:p>
        </w:tc>
      </w:tr>
      <w:tr w:rsidR="00575A7C" w:rsidRPr="006E187F" w:rsidTr="00F806BC">
        <w:tblPrEx>
          <w:tblCellMar>
            <w:top w:w="15" w:type="dxa"/>
            <w:left w:w="15" w:type="dxa"/>
            <w:bottom w:w="15" w:type="dxa"/>
            <w:right w:w="15" w:type="dxa"/>
          </w:tblCellMar>
          <w:tblLook w:val="04A0" w:firstRow="1" w:lastRow="0" w:firstColumn="1" w:lastColumn="0" w:noHBand="0" w:noVBand="1"/>
        </w:tblPrEx>
        <w:tc>
          <w:tcPr>
            <w:tcW w:w="544" w:type="pct"/>
            <w:gridSpan w:val="2"/>
            <w:vMerge w:val="restart"/>
            <w:tcBorders>
              <w:top w:val="single" w:sz="4" w:space="0" w:color="auto"/>
              <w:left w:val="single" w:sz="4" w:space="0" w:color="auto"/>
              <w:right w:val="single" w:sz="4" w:space="0" w:color="auto"/>
            </w:tcBorders>
          </w:tcPr>
          <w:p w:rsidR="00575A7C" w:rsidRPr="006E187F" w:rsidRDefault="00575A7C" w:rsidP="00F10037">
            <w:pPr>
              <w:jc w:val="center"/>
              <w:rPr>
                <w:rFonts w:ascii="Arial Narrow" w:hAnsi="Arial Narrow"/>
                <w:color w:val="000000" w:themeColor="text1"/>
                <w:sz w:val="20"/>
                <w:szCs w:val="20"/>
              </w:rPr>
            </w:pPr>
          </w:p>
        </w:tc>
        <w:tc>
          <w:tcPr>
            <w:tcW w:w="4456" w:type="pct"/>
            <w:gridSpan w:val="6"/>
            <w:tcBorders>
              <w:top w:val="single" w:sz="4" w:space="0" w:color="auto"/>
              <w:left w:val="single" w:sz="4" w:space="0" w:color="auto"/>
              <w:bottom w:val="single" w:sz="4" w:space="0" w:color="auto"/>
              <w:right w:val="single" w:sz="4" w:space="0" w:color="auto"/>
            </w:tcBorders>
          </w:tcPr>
          <w:p w:rsidR="00F806BC" w:rsidRDefault="00575A7C" w:rsidP="00F806BC">
            <w:pPr>
              <w:rPr>
                <w:rFonts w:ascii="Arial Narrow" w:hAnsi="Arial Narrow"/>
                <w:iCs/>
                <w:color w:val="000000" w:themeColor="text1"/>
                <w:sz w:val="20"/>
                <w:szCs w:val="20"/>
              </w:rPr>
            </w:pPr>
            <w:r w:rsidRPr="006E187F">
              <w:rPr>
                <w:rFonts w:ascii="Arial Narrow" w:hAnsi="Arial Narrow"/>
                <w:b/>
                <w:color w:val="000000" w:themeColor="text1"/>
                <w:sz w:val="20"/>
                <w:szCs w:val="20"/>
              </w:rPr>
              <w:t xml:space="preserve">Category / Program: </w:t>
            </w:r>
            <w:r w:rsidR="00F806BC" w:rsidRPr="006E187F">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00F806BC" w:rsidRPr="006E187F">
              <w:rPr>
                <w:rFonts w:ascii="Arial Narrow" w:eastAsia="Calibri" w:hAnsi="Arial Narrow"/>
                <w:color w:val="000000" w:themeColor="text1"/>
                <w:sz w:val="20"/>
                <w:szCs w:val="20"/>
              </w:rPr>
              <w:instrText xml:space="preserve"> FORMCHECKBOX </w:instrText>
            </w:r>
            <w:r w:rsidR="00087C7A">
              <w:rPr>
                <w:rFonts w:ascii="Arial Narrow" w:eastAsia="Calibri" w:hAnsi="Arial Narrow"/>
                <w:color w:val="000000" w:themeColor="text1"/>
                <w:sz w:val="20"/>
                <w:szCs w:val="20"/>
              </w:rPr>
            </w:r>
            <w:r w:rsidR="00087C7A">
              <w:rPr>
                <w:rFonts w:ascii="Arial Narrow" w:eastAsia="Calibri" w:hAnsi="Arial Narrow"/>
                <w:color w:val="000000" w:themeColor="text1"/>
                <w:sz w:val="20"/>
                <w:szCs w:val="20"/>
              </w:rPr>
              <w:fldChar w:fldCharType="separate"/>
            </w:r>
            <w:r w:rsidR="00F806BC" w:rsidRPr="006E187F">
              <w:rPr>
                <w:rFonts w:ascii="Arial Narrow" w:eastAsia="Calibri" w:hAnsi="Arial Narrow"/>
                <w:color w:val="000000" w:themeColor="text1"/>
                <w:sz w:val="20"/>
                <w:szCs w:val="20"/>
              </w:rPr>
              <w:fldChar w:fldCharType="end"/>
            </w:r>
            <w:r w:rsidR="00F806BC" w:rsidRPr="006E187F">
              <w:rPr>
                <w:rFonts w:ascii="Arial Narrow" w:hAnsi="Arial Narrow"/>
                <w:color w:val="000000" w:themeColor="text1"/>
                <w:sz w:val="20"/>
                <w:szCs w:val="20"/>
              </w:rPr>
              <w:t>Section 100 –</w:t>
            </w:r>
            <w:r w:rsidR="00F806BC">
              <w:rPr>
                <w:rFonts w:ascii="Arial Narrow" w:hAnsi="Arial Narrow"/>
                <w:color w:val="000000" w:themeColor="text1"/>
                <w:sz w:val="20"/>
                <w:szCs w:val="20"/>
              </w:rPr>
              <w:t>Efficient Funding of Chemotherapy</w:t>
            </w:r>
            <w:r w:rsidR="00F806BC" w:rsidRPr="006E187F">
              <w:rPr>
                <w:rFonts w:ascii="Arial Narrow" w:hAnsi="Arial Narrow"/>
                <w:color w:val="000000" w:themeColor="text1"/>
                <w:sz w:val="20"/>
                <w:szCs w:val="20"/>
              </w:rPr>
              <w:t xml:space="preserve">– </w:t>
            </w:r>
            <w:r w:rsidR="00F806BC">
              <w:rPr>
                <w:rFonts w:ascii="Arial Narrow" w:hAnsi="Arial Narrow"/>
                <w:iCs/>
                <w:color w:val="000000" w:themeColor="text1"/>
                <w:sz w:val="20"/>
                <w:szCs w:val="20"/>
              </w:rPr>
              <w:t>Related Benefits (Code CT)</w:t>
            </w:r>
          </w:p>
          <w:p w:rsidR="00575A7C" w:rsidRPr="006E187F" w:rsidRDefault="00F806BC" w:rsidP="00F806BC">
            <w:pPr>
              <w:rPr>
                <w:rFonts w:ascii="Arial Narrow" w:hAnsi="Arial Narrow"/>
                <w:color w:val="000000" w:themeColor="text1"/>
                <w:sz w:val="20"/>
                <w:szCs w:val="20"/>
              </w:rPr>
            </w:pPr>
            <w:r w:rsidRPr="006E187F">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Pr="006E187F">
              <w:rPr>
                <w:rFonts w:ascii="Arial Narrow" w:eastAsia="Calibri" w:hAnsi="Arial Narrow"/>
                <w:color w:val="000000" w:themeColor="text1"/>
                <w:sz w:val="20"/>
                <w:szCs w:val="20"/>
              </w:rPr>
              <w:instrText xml:space="preserve"> FORMCHECKBOX </w:instrText>
            </w:r>
            <w:r w:rsidR="00087C7A">
              <w:rPr>
                <w:rFonts w:ascii="Arial Narrow" w:eastAsia="Calibri" w:hAnsi="Arial Narrow"/>
                <w:color w:val="000000" w:themeColor="text1"/>
                <w:sz w:val="20"/>
                <w:szCs w:val="20"/>
              </w:rPr>
            </w:r>
            <w:r w:rsidR="00087C7A">
              <w:rPr>
                <w:rFonts w:ascii="Arial Narrow" w:eastAsia="Calibri" w:hAnsi="Arial Narrow"/>
                <w:color w:val="000000" w:themeColor="text1"/>
                <w:sz w:val="20"/>
                <w:szCs w:val="20"/>
              </w:rPr>
              <w:fldChar w:fldCharType="separate"/>
            </w:r>
            <w:r w:rsidRPr="006E187F">
              <w:rPr>
                <w:rFonts w:ascii="Arial Narrow" w:eastAsia="Calibri" w:hAnsi="Arial Narrow"/>
                <w:color w:val="000000" w:themeColor="text1"/>
                <w:sz w:val="20"/>
                <w:szCs w:val="20"/>
              </w:rPr>
              <w:fldChar w:fldCharType="end"/>
            </w:r>
            <w:r>
              <w:rPr>
                <w:rFonts w:ascii="Arial Narrow" w:eastAsia="Calibri" w:hAnsi="Arial Narrow"/>
                <w:color w:val="000000" w:themeColor="text1"/>
                <w:sz w:val="20"/>
                <w:szCs w:val="20"/>
              </w:rPr>
              <w:t xml:space="preserve"> </w:t>
            </w:r>
            <w:r>
              <w:rPr>
                <w:rFonts w:ascii="Arial Narrow" w:hAnsi="Arial Narrow"/>
                <w:iCs/>
                <w:color w:val="000000" w:themeColor="text1"/>
                <w:sz w:val="20"/>
                <w:szCs w:val="20"/>
              </w:rPr>
              <w:t>General Schedule (Code GE)</w:t>
            </w:r>
          </w:p>
        </w:tc>
      </w:tr>
      <w:tr w:rsidR="00575A7C" w:rsidRPr="006E187F" w:rsidTr="00F806BC">
        <w:tblPrEx>
          <w:tblCellMar>
            <w:top w:w="15" w:type="dxa"/>
            <w:left w:w="15" w:type="dxa"/>
            <w:bottom w:w="15" w:type="dxa"/>
            <w:right w:w="15" w:type="dxa"/>
          </w:tblCellMar>
          <w:tblLook w:val="04A0" w:firstRow="1" w:lastRow="0" w:firstColumn="1" w:lastColumn="0" w:noHBand="0" w:noVBand="1"/>
        </w:tblPrEx>
        <w:trPr>
          <w:trHeight w:val="240"/>
        </w:trPr>
        <w:tc>
          <w:tcPr>
            <w:tcW w:w="544" w:type="pct"/>
            <w:gridSpan w:val="2"/>
            <w:vMerge/>
            <w:tcBorders>
              <w:left w:val="single" w:sz="4" w:space="0" w:color="auto"/>
              <w:right w:val="single" w:sz="4" w:space="0" w:color="auto"/>
            </w:tcBorders>
          </w:tcPr>
          <w:p w:rsidR="00575A7C" w:rsidRPr="006E187F" w:rsidRDefault="00575A7C" w:rsidP="00F10037">
            <w:pPr>
              <w:rPr>
                <w:rFonts w:ascii="Arial Narrow" w:hAnsi="Arial Narrow"/>
                <w:color w:val="000000" w:themeColor="text1"/>
                <w:sz w:val="20"/>
                <w:szCs w:val="20"/>
              </w:rPr>
            </w:pPr>
          </w:p>
        </w:tc>
        <w:tc>
          <w:tcPr>
            <w:tcW w:w="4456" w:type="pct"/>
            <w:gridSpan w:val="6"/>
            <w:tcBorders>
              <w:top w:val="single" w:sz="4" w:space="0" w:color="auto"/>
              <w:left w:val="single" w:sz="4" w:space="0" w:color="auto"/>
              <w:bottom w:val="single" w:sz="4" w:space="0" w:color="auto"/>
              <w:right w:val="single" w:sz="4" w:space="0" w:color="auto"/>
            </w:tcBorders>
          </w:tcPr>
          <w:p w:rsidR="00575A7C" w:rsidRPr="006E187F" w:rsidRDefault="00575A7C" w:rsidP="00D42206">
            <w:pPr>
              <w:rPr>
                <w:rFonts w:ascii="Arial Narrow" w:hAnsi="Arial Narrow"/>
                <w:b/>
                <w:color w:val="000000" w:themeColor="text1"/>
                <w:sz w:val="20"/>
                <w:szCs w:val="20"/>
              </w:rPr>
            </w:pPr>
            <w:r w:rsidRPr="006E187F">
              <w:rPr>
                <w:rFonts w:ascii="Arial Narrow" w:hAnsi="Arial Narrow"/>
                <w:b/>
                <w:color w:val="000000" w:themeColor="text1"/>
                <w:sz w:val="20"/>
                <w:szCs w:val="20"/>
              </w:rPr>
              <w:t xml:space="preserve">Prescriber type:  </w:t>
            </w:r>
            <w:r w:rsidRPr="006E187F">
              <w:rPr>
                <w:rFonts w:ascii="Arial Narrow" w:hAnsi="Arial Narrow"/>
                <w:color w:val="000000" w:themeColor="text1"/>
                <w:sz w:val="20"/>
                <w:szCs w:val="20"/>
              </w:rPr>
              <w:fldChar w:fldCharType="begin">
                <w:ffData>
                  <w:name w:val=""/>
                  <w:enabled/>
                  <w:calcOnExit w:val="0"/>
                  <w:checkBox>
                    <w:sizeAuto/>
                    <w:default w:val="1"/>
                  </w:checkBox>
                </w:ffData>
              </w:fldChar>
            </w:r>
            <w:r w:rsidRPr="006E187F">
              <w:rPr>
                <w:rFonts w:ascii="Arial Narrow" w:hAnsi="Arial Narrow"/>
                <w:color w:val="000000" w:themeColor="text1"/>
                <w:sz w:val="20"/>
                <w:szCs w:val="20"/>
              </w:rPr>
              <w:instrText xml:space="preserve"> FORMCHECKBOX </w:instrText>
            </w:r>
            <w:r w:rsidR="00087C7A">
              <w:rPr>
                <w:rFonts w:ascii="Arial Narrow" w:hAnsi="Arial Narrow"/>
                <w:color w:val="000000" w:themeColor="text1"/>
                <w:sz w:val="20"/>
                <w:szCs w:val="20"/>
              </w:rPr>
            </w:r>
            <w:r w:rsidR="00087C7A">
              <w:rPr>
                <w:rFonts w:ascii="Arial Narrow" w:hAnsi="Arial Narrow"/>
                <w:color w:val="000000" w:themeColor="text1"/>
                <w:sz w:val="20"/>
                <w:szCs w:val="20"/>
              </w:rPr>
              <w:fldChar w:fldCharType="separate"/>
            </w:r>
            <w:r w:rsidRPr="006E187F">
              <w:rPr>
                <w:rFonts w:ascii="Arial Narrow" w:hAnsi="Arial Narrow"/>
                <w:color w:val="000000" w:themeColor="text1"/>
                <w:sz w:val="20"/>
                <w:szCs w:val="20"/>
              </w:rPr>
              <w:fldChar w:fldCharType="end"/>
            </w:r>
            <w:r w:rsidRPr="006E187F">
              <w:rPr>
                <w:rFonts w:ascii="Arial Narrow" w:hAnsi="Arial Narrow"/>
                <w:color w:val="000000" w:themeColor="text1"/>
                <w:sz w:val="20"/>
                <w:szCs w:val="20"/>
              </w:rPr>
              <w:t xml:space="preserve">Medical Practitioners  </w:t>
            </w:r>
          </w:p>
        </w:tc>
      </w:tr>
      <w:tr w:rsidR="00575A7C" w:rsidRPr="006E187F" w:rsidTr="00F806BC">
        <w:tblPrEx>
          <w:tblCellMar>
            <w:top w:w="15" w:type="dxa"/>
            <w:left w:w="15" w:type="dxa"/>
            <w:bottom w:w="15" w:type="dxa"/>
            <w:right w:w="15" w:type="dxa"/>
          </w:tblCellMar>
          <w:tblLook w:val="04A0" w:firstRow="1" w:lastRow="0" w:firstColumn="1" w:lastColumn="0" w:noHBand="0" w:noVBand="1"/>
        </w:tblPrEx>
        <w:tc>
          <w:tcPr>
            <w:tcW w:w="544" w:type="pct"/>
            <w:gridSpan w:val="2"/>
            <w:vMerge/>
            <w:tcBorders>
              <w:left w:val="single" w:sz="4" w:space="0" w:color="auto"/>
              <w:bottom w:val="single" w:sz="4" w:space="0" w:color="auto"/>
              <w:right w:val="single" w:sz="4" w:space="0" w:color="auto"/>
            </w:tcBorders>
          </w:tcPr>
          <w:p w:rsidR="00575A7C" w:rsidRPr="006E187F" w:rsidRDefault="00575A7C" w:rsidP="00F10037">
            <w:pPr>
              <w:rPr>
                <w:rFonts w:ascii="Arial Narrow" w:hAnsi="Arial Narrow"/>
                <w:color w:val="000000" w:themeColor="text1"/>
                <w:sz w:val="20"/>
                <w:szCs w:val="20"/>
              </w:rPr>
            </w:pPr>
          </w:p>
        </w:tc>
        <w:tc>
          <w:tcPr>
            <w:tcW w:w="4456" w:type="pct"/>
            <w:gridSpan w:val="6"/>
            <w:tcBorders>
              <w:top w:val="single" w:sz="4" w:space="0" w:color="auto"/>
              <w:left w:val="single" w:sz="4" w:space="0" w:color="auto"/>
              <w:bottom w:val="single" w:sz="4" w:space="0" w:color="auto"/>
              <w:right w:val="single" w:sz="4" w:space="0" w:color="auto"/>
            </w:tcBorders>
          </w:tcPr>
          <w:p w:rsidR="00575A7C" w:rsidRPr="006E187F" w:rsidRDefault="00575A7C" w:rsidP="00F10037">
            <w:pPr>
              <w:rPr>
                <w:rFonts w:ascii="Arial Narrow" w:eastAsia="Calibri" w:hAnsi="Arial Narrow"/>
                <w:color w:val="000000" w:themeColor="text1"/>
                <w:sz w:val="20"/>
                <w:szCs w:val="20"/>
              </w:rPr>
            </w:pPr>
            <w:r w:rsidRPr="006E187F">
              <w:rPr>
                <w:rFonts w:ascii="Arial Narrow" w:hAnsi="Arial Narrow"/>
                <w:b/>
                <w:color w:val="000000" w:themeColor="text1"/>
                <w:sz w:val="20"/>
                <w:szCs w:val="20"/>
              </w:rPr>
              <w:t xml:space="preserve">Restriction type: </w:t>
            </w:r>
            <w:r w:rsidRPr="006E187F">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Pr="006E187F">
              <w:rPr>
                <w:rFonts w:ascii="Arial Narrow" w:eastAsia="Calibri" w:hAnsi="Arial Narrow"/>
                <w:color w:val="000000" w:themeColor="text1"/>
                <w:sz w:val="20"/>
                <w:szCs w:val="20"/>
              </w:rPr>
              <w:instrText xml:space="preserve"> FORMCHECKBOX </w:instrText>
            </w:r>
            <w:r w:rsidR="00087C7A">
              <w:rPr>
                <w:rFonts w:ascii="Arial Narrow" w:eastAsia="Calibri" w:hAnsi="Arial Narrow"/>
                <w:color w:val="000000" w:themeColor="text1"/>
                <w:sz w:val="20"/>
                <w:szCs w:val="20"/>
              </w:rPr>
            </w:r>
            <w:r w:rsidR="00087C7A">
              <w:rPr>
                <w:rFonts w:ascii="Arial Narrow" w:eastAsia="Calibri" w:hAnsi="Arial Narrow"/>
                <w:color w:val="000000" w:themeColor="text1"/>
                <w:sz w:val="20"/>
                <w:szCs w:val="20"/>
              </w:rPr>
              <w:fldChar w:fldCharType="separate"/>
            </w:r>
            <w:r w:rsidRPr="006E187F">
              <w:rPr>
                <w:rFonts w:ascii="Arial Narrow" w:eastAsia="Calibri" w:hAnsi="Arial Narrow"/>
                <w:color w:val="000000" w:themeColor="text1"/>
                <w:sz w:val="20"/>
                <w:szCs w:val="20"/>
              </w:rPr>
              <w:fldChar w:fldCharType="end"/>
            </w:r>
            <w:r w:rsidRPr="006E187F">
              <w:rPr>
                <w:rFonts w:ascii="Arial Narrow" w:eastAsia="Calibri" w:hAnsi="Arial Narrow"/>
                <w:color w:val="000000" w:themeColor="text1"/>
                <w:sz w:val="20"/>
                <w:szCs w:val="20"/>
              </w:rPr>
              <w:t xml:space="preserve">Authority Required – </w:t>
            </w:r>
            <w:r w:rsidR="00F806BC">
              <w:rPr>
                <w:rFonts w:ascii="Arial Narrow" w:eastAsia="Calibri" w:hAnsi="Arial Narrow"/>
                <w:color w:val="000000" w:themeColor="text1"/>
                <w:sz w:val="20"/>
                <w:szCs w:val="20"/>
              </w:rPr>
              <w:t>(telephone/online PBS Authorities system)</w:t>
            </w:r>
          </w:p>
        </w:tc>
      </w:tr>
      <w:tr w:rsidR="00575A7C" w:rsidRPr="006E187F" w:rsidTr="00F806BC">
        <w:tblPrEx>
          <w:tblCellMar>
            <w:top w:w="15" w:type="dxa"/>
            <w:left w:w="15" w:type="dxa"/>
            <w:bottom w:w="15" w:type="dxa"/>
            <w:right w:w="15" w:type="dxa"/>
          </w:tblCellMar>
          <w:tblLook w:val="04A0" w:firstRow="1" w:lastRow="0" w:firstColumn="1" w:lastColumn="0" w:noHBand="0" w:noVBand="1"/>
        </w:tblPrEx>
        <w:tc>
          <w:tcPr>
            <w:tcW w:w="154" w:type="pct"/>
            <w:vMerge w:val="restart"/>
            <w:textDirection w:val="btLr"/>
            <w:vAlign w:val="center"/>
          </w:tcPr>
          <w:p w:rsidR="00575A7C" w:rsidRPr="006E187F" w:rsidRDefault="00575A7C" w:rsidP="00F10037">
            <w:pPr>
              <w:ind w:left="113" w:right="113"/>
              <w:jc w:val="center"/>
              <w:rPr>
                <w:rFonts w:ascii="Arial Narrow" w:hAnsi="Arial Narrow"/>
                <w:color w:val="000000" w:themeColor="text1"/>
                <w:sz w:val="20"/>
                <w:szCs w:val="20"/>
              </w:rPr>
            </w:pPr>
          </w:p>
        </w:tc>
        <w:tc>
          <w:tcPr>
            <w:tcW w:w="389" w:type="pct"/>
            <w:vAlign w:val="center"/>
          </w:tcPr>
          <w:p w:rsidR="00575A7C" w:rsidRPr="006E187F" w:rsidRDefault="00575A7C" w:rsidP="00F10037">
            <w:pPr>
              <w:jc w:val="center"/>
              <w:rPr>
                <w:rFonts w:ascii="Arial Narrow" w:hAnsi="Arial Narrow"/>
                <w:color w:val="000000" w:themeColor="text1"/>
                <w:sz w:val="20"/>
                <w:szCs w:val="20"/>
              </w:rPr>
            </w:pPr>
          </w:p>
        </w:tc>
        <w:tc>
          <w:tcPr>
            <w:tcW w:w="4456" w:type="pct"/>
            <w:gridSpan w:val="6"/>
            <w:vAlign w:val="center"/>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Administrative Advice:</w:t>
            </w:r>
          </w:p>
          <w:p w:rsidR="00575A7C" w:rsidRPr="006E187F" w:rsidRDefault="00575A7C" w:rsidP="00F10037">
            <w:pPr>
              <w:rPr>
                <w:rFonts w:ascii="Arial Narrow" w:hAnsi="Arial Narrow"/>
                <w:color w:val="000000" w:themeColor="text1"/>
                <w:sz w:val="20"/>
                <w:szCs w:val="20"/>
              </w:rPr>
            </w:pPr>
            <w:r w:rsidRPr="006E187F">
              <w:rPr>
                <w:rFonts w:ascii="Arial Narrow" w:hAnsi="Arial Narrow"/>
                <w:color w:val="000000" w:themeColor="text1"/>
                <w:sz w:val="20"/>
                <w:szCs w:val="20"/>
              </w:rPr>
              <w:t>This drug is not PBS-subsidised for use in patients with multiple myeloma who have received two or more prior lines of therapy including a proteasome inhibitor (PI) and an immunomodulatory agent, or, who are refractory to both a PI and an immunomodulatory agent, as monotherapy.</w:t>
            </w:r>
          </w:p>
        </w:tc>
      </w:tr>
      <w:tr w:rsidR="00575A7C" w:rsidRPr="006E187F" w:rsidTr="00F806BC">
        <w:tblPrEx>
          <w:tblCellMar>
            <w:top w:w="15" w:type="dxa"/>
            <w:left w:w="15" w:type="dxa"/>
            <w:bottom w:w="15" w:type="dxa"/>
            <w:right w:w="15" w:type="dxa"/>
          </w:tblCellMar>
          <w:tblLook w:val="04A0" w:firstRow="1" w:lastRow="0" w:firstColumn="1" w:lastColumn="0" w:noHBand="0" w:noVBand="1"/>
        </w:tblPrEx>
        <w:tc>
          <w:tcPr>
            <w:tcW w:w="154" w:type="pct"/>
            <w:vMerge/>
            <w:vAlign w:val="center"/>
          </w:tcPr>
          <w:p w:rsidR="00575A7C" w:rsidRPr="006E187F" w:rsidRDefault="00575A7C" w:rsidP="00F10037">
            <w:pPr>
              <w:jc w:val="center"/>
              <w:rPr>
                <w:rFonts w:ascii="Arial Narrow" w:hAnsi="Arial Narrow"/>
                <w:color w:val="000000" w:themeColor="text1"/>
                <w:sz w:val="20"/>
                <w:szCs w:val="20"/>
              </w:rPr>
            </w:pPr>
          </w:p>
        </w:tc>
        <w:tc>
          <w:tcPr>
            <w:tcW w:w="389" w:type="pct"/>
            <w:vAlign w:val="center"/>
          </w:tcPr>
          <w:p w:rsidR="00575A7C" w:rsidRPr="006E187F" w:rsidRDefault="00575A7C" w:rsidP="00F10037">
            <w:pPr>
              <w:jc w:val="center"/>
              <w:rPr>
                <w:rFonts w:ascii="Arial Narrow" w:hAnsi="Arial Narrow"/>
                <w:color w:val="000000" w:themeColor="text1"/>
                <w:sz w:val="20"/>
                <w:szCs w:val="20"/>
              </w:rPr>
            </w:pPr>
          </w:p>
        </w:tc>
        <w:tc>
          <w:tcPr>
            <w:tcW w:w="4456" w:type="pct"/>
            <w:gridSpan w:val="6"/>
            <w:vAlign w:val="center"/>
          </w:tcPr>
          <w:p w:rsidR="00575A7C" w:rsidRPr="006E187F" w:rsidRDefault="00575A7C" w:rsidP="00F10037">
            <w:pPr>
              <w:rPr>
                <w:rFonts w:ascii="Arial Narrow" w:hAnsi="Arial Narrow"/>
                <w:b/>
                <w:bCs/>
                <w:color w:val="000000" w:themeColor="text1"/>
                <w:sz w:val="20"/>
                <w:szCs w:val="20"/>
              </w:rPr>
            </w:pPr>
            <w:r w:rsidRPr="006E187F">
              <w:rPr>
                <w:rFonts w:ascii="Arial Narrow" w:hAnsi="Arial Narrow"/>
                <w:b/>
                <w:bCs/>
                <w:color w:val="000000" w:themeColor="text1"/>
                <w:sz w:val="20"/>
                <w:szCs w:val="20"/>
              </w:rPr>
              <w:t>Administrative Advice:</w:t>
            </w:r>
          </w:p>
          <w:p w:rsidR="00575A7C" w:rsidRPr="006E187F"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Applications for authorisation under this restriction may be made in real time using the Online PBS Authorities system (see www.servicesaustralia.gov.au/HPOS) or by telephone by contacting Services Australia on 1800 888 333.</w:t>
            </w:r>
          </w:p>
        </w:tc>
      </w:tr>
      <w:tr w:rsidR="00575A7C" w:rsidRPr="006E187F" w:rsidTr="00F806BC">
        <w:tblPrEx>
          <w:tblCellMar>
            <w:top w:w="15" w:type="dxa"/>
            <w:left w:w="15" w:type="dxa"/>
            <w:bottom w:w="15" w:type="dxa"/>
            <w:right w:w="15" w:type="dxa"/>
          </w:tblCellMar>
          <w:tblLook w:val="04A0" w:firstRow="1" w:lastRow="0" w:firstColumn="1" w:lastColumn="0" w:noHBand="0" w:noVBand="1"/>
        </w:tblPrEx>
        <w:trPr>
          <w:trHeight w:val="31"/>
        </w:trPr>
        <w:tc>
          <w:tcPr>
            <w:tcW w:w="154" w:type="pct"/>
            <w:vMerge/>
            <w:vAlign w:val="center"/>
          </w:tcPr>
          <w:p w:rsidR="00575A7C" w:rsidRPr="006E187F" w:rsidRDefault="00575A7C" w:rsidP="00F10037">
            <w:pPr>
              <w:jc w:val="center"/>
              <w:rPr>
                <w:rFonts w:ascii="Arial Narrow" w:hAnsi="Arial Narrow"/>
                <w:color w:val="000000" w:themeColor="text1"/>
                <w:sz w:val="20"/>
                <w:szCs w:val="20"/>
              </w:rPr>
            </w:pPr>
          </w:p>
        </w:tc>
        <w:tc>
          <w:tcPr>
            <w:tcW w:w="389" w:type="pct"/>
            <w:vAlign w:val="center"/>
          </w:tcPr>
          <w:p w:rsidR="00575A7C" w:rsidRPr="006E187F" w:rsidRDefault="00575A7C" w:rsidP="00F10037">
            <w:pPr>
              <w:jc w:val="center"/>
              <w:rPr>
                <w:rFonts w:ascii="Arial Narrow" w:hAnsi="Arial Narrow"/>
                <w:color w:val="000000" w:themeColor="text1"/>
                <w:sz w:val="20"/>
                <w:szCs w:val="20"/>
              </w:rPr>
            </w:pPr>
          </w:p>
        </w:tc>
        <w:tc>
          <w:tcPr>
            <w:tcW w:w="4456" w:type="pct"/>
            <w:gridSpan w:val="6"/>
            <w:vAlign w:val="center"/>
          </w:tcPr>
          <w:p w:rsidR="00575A7C" w:rsidRPr="00AC4317" w:rsidRDefault="00575A7C" w:rsidP="00F10037">
            <w:pPr>
              <w:rPr>
                <w:rFonts w:ascii="Arial Narrow" w:hAnsi="Arial Narrow"/>
                <w:b/>
                <w:bCs/>
                <w:color w:val="000000" w:themeColor="text1"/>
                <w:sz w:val="20"/>
                <w:szCs w:val="20"/>
              </w:rPr>
            </w:pPr>
            <w:r w:rsidRPr="006E187F">
              <w:rPr>
                <w:rFonts w:ascii="Arial Narrow" w:hAnsi="Arial Narrow"/>
                <w:b/>
                <w:bCs/>
                <w:color w:val="000000" w:themeColor="text1"/>
                <w:sz w:val="20"/>
                <w:szCs w:val="20"/>
              </w:rPr>
              <w:t>Administrative Advice:</w:t>
            </w:r>
            <w:r w:rsidR="00AC4317">
              <w:rPr>
                <w:rFonts w:ascii="Arial Narrow" w:hAnsi="Arial Narrow"/>
                <w:b/>
                <w:bCs/>
                <w:color w:val="000000" w:themeColor="text1"/>
                <w:sz w:val="20"/>
                <w:szCs w:val="20"/>
              </w:rPr>
              <w:t xml:space="preserve"> </w:t>
            </w:r>
            <w:r w:rsidRPr="006E187F">
              <w:rPr>
                <w:rFonts w:ascii="Arial Narrow" w:hAnsi="Arial Narrow"/>
                <w:bCs/>
                <w:color w:val="000000" w:themeColor="text1"/>
                <w:sz w:val="20"/>
                <w:szCs w:val="20"/>
              </w:rPr>
              <w:t>No increase in the maximum number of repeats may be authorised.</w:t>
            </w:r>
          </w:p>
        </w:tc>
      </w:tr>
      <w:tr w:rsidR="00AC4317" w:rsidRPr="006E187F" w:rsidTr="00F806BC">
        <w:tblPrEx>
          <w:tblCellMar>
            <w:top w:w="15" w:type="dxa"/>
            <w:left w:w="15" w:type="dxa"/>
            <w:bottom w:w="15" w:type="dxa"/>
            <w:right w:w="15" w:type="dxa"/>
          </w:tblCellMar>
          <w:tblLook w:val="04A0" w:firstRow="1" w:lastRow="0" w:firstColumn="1" w:lastColumn="0" w:noHBand="0" w:noVBand="1"/>
        </w:tblPrEx>
        <w:trPr>
          <w:trHeight w:val="206"/>
        </w:trPr>
        <w:tc>
          <w:tcPr>
            <w:tcW w:w="154" w:type="pct"/>
            <w:vMerge/>
            <w:vAlign w:val="center"/>
          </w:tcPr>
          <w:p w:rsidR="00AC4317" w:rsidRPr="006E187F" w:rsidRDefault="00AC4317" w:rsidP="00F10037">
            <w:pPr>
              <w:jc w:val="center"/>
              <w:rPr>
                <w:rFonts w:ascii="Arial Narrow" w:hAnsi="Arial Narrow"/>
                <w:color w:val="000000" w:themeColor="text1"/>
                <w:sz w:val="20"/>
                <w:szCs w:val="20"/>
              </w:rPr>
            </w:pPr>
          </w:p>
        </w:tc>
        <w:tc>
          <w:tcPr>
            <w:tcW w:w="389" w:type="pct"/>
            <w:vAlign w:val="center"/>
          </w:tcPr>
          <w:p w:rsidR="00AC4317" w:rsidRPr="006E187F" w:rsidRDefault="00AC4317" w:rsidP="00F10037">
            <w:pPr>
              <w:jc w:val="center"/>
              <w:rPr>
                <w:rFonts w:ascii="Arial Narrow" w:hAnsi="Arial Narrow"/>
                <w:color w:val="000000" w:themeColor="text1"/>
                <w:sz w:val="20"/>
                <w:szCs w:val="20"/>
              </w:rPr>
            </w:pPr>
          </w:p>
        </w:tc>
        <w:tc>
          <w:tcPr>
            <w:tcW w:w="4456" w:type="pct"/>
            <w:gridSpan w:val="6"/>
            <w:vAlign w:val="center"/>
          </w:tcPr>
          <w:p w:rsidR="00AC4317" w:rsidRPr="00AC4317" w:rsidRDefault="00AC4317" w:rsidP="00F10037">
            <w:pPr>
              <w:rPr>
                <w:rFonts w:ascii="Arial Narrow" w:hAnsi="Arial Narrow"/>
                <w:b/>
                <w:bCs/>
                <w:color w:val="000000" w:themeColor="text1"/>
                <w:sz w:val="20"/>
                <w:szCs w:val="20"/>
              </w:rPr>
            </w:pPr>
            <w:r w:rsidRPr="006E187F">
              <w:rPr>
                <w:rFonts w:ascii="Arial Narrow" w:hAnsi="Arial Narrow"/>
                <w:b/>
                <w:bCs/>
                <w:color w:val="000000" w:themeColor="text1"/>
                <w:sz w:val="20"/>
                <w:szCs w:val="20"/>
              </w:rPr>
              <w:t>Administrative Advice:</w:t>
            </w:r>
            <w:r>
              <w:rPr>
                <w:rFonts w:ascii="Arial Narrow" w:hAnsi="Arial Narrow"/>
                <w:b/>
                <w:bCs/>
                <w:color w:val="000000" w:themeColor="text1"/>
                <w:sz w:val="20"/>
                <w:szCs w:val="20"/>
              </w:rPr>
              <w:t xml:space="preserve"> </w:t>
            </w:r>
            <w:r w:rsidRPr="006E187F">
              <w:rPr>
                <w:rFonts w:ascii="Arial Narrow" w:hAnsi="Arial Narrow"/>
                <w:bCs/>
                <w:color w:val="000000" w:themeColor="text1"/>
                <w:sz w:val="20"/>
                <w:szCs w:val="20"/>
              </w:rPr>
              <w:t>Special Pricing Arrangements apply.</w:t>
            </w:r>
          </w:p>
        </w:tc>
      </w:tr>
      <w:tr w:rsidR="00575A7C" w:rsidRPr="006E187F" w:rsidTr="00AC6070">
        <w:tblPrEx>
          <w:tblCellMar>
            <w:top w:w="15" w:type="dxa"/>
            <w:left w:w="15" w:type="dxa"/>
            <w:bottom w:w="15" w:type="dxa"/>
            <w:right w:w="15" w:type="dxa"/>
          </w:tblCellMar>
          <w:tblLook w:val="04A0" w:firstRow="1" w:lastRow="0" w:firstColumn="1" w:lastColumn="0" w:noHBand="0" w:noVBand="1"/>
        </w:tblPrEx>
        <w:tc>
          <w:tcPr>
            <w:tcW w:w="544"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6" w:type="pct"/>
            <w:gridSpan w:val="6"/>
            <w:vAlign w:val="center"/>
            <w:hideMark/>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Indication:</w:t>
            </w:r>
            <w:r w:rsidRPr="006E187F">
              <w:rPr>
                <w:rFonts w:ascii="Arial Narrow" w:hAnsi="Arial Narrow"/>
                <w:color w:val="000000" w:themeColor="text1"/>
                <w:sz w:val="20"/>
                <w:szCs w:val="20"/>
              </w:rPr>
              <w:t xml:space="preserve"> </w:t>
            </w:r>
            <w:r w:rsidRPr="006E187F">
              <w:rPr>
                <w:rFonts w:ascii="Arial Narrow" w:hAnsi="Arial Narrow"/>
                <w:bCs/>
                <w:color w:val="000000" w:themeColor="text1"/>
                <w:sz w:val="20"/>
                <w:szCs w:val="20"/>
              </w:rPr>
              <w:t>Relapsed and/or refractory multiple myeloma</w:t>
            </w:r>
          </w:p>
        </w:tc>
      </w:tr>
      <w:tr w:rsidR="00575A7C" w:rsidRPr="006E187F" w:rsidTr="00AC6070">
        <w:tblPrEx>
          <w:tblCellMar>
            <w:top w:w="15" w:type="dxa"/>
            <w:left w:w="15" w:type="dxa"/>
            <w:bottom w:w="15" w:type="dxa"/>
            <w:right w:w="15" w:type="dxa"/>
          </w:tblCellMar>
          <w:tblLook w:val="04A0" w:firstRow="1" w:lastRow="0" w:firstColumn="1" w:lastColumn="0" w:noHBand="0" w:noVBand="1"/>
        </w:tblPrEx>
        <w:tc>
          <w:tcPr>
            <w:tcW w:w="544"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6" w:type="pct"/>
            <w:gridSpan w:val="6"/>
            <w:vAlign w:val="center"/>
            <w:hideMark/>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Treatment Phase:</w:t>
            </w:r>
            <w:r w:rsidRPr="006E187F">
              <w:rPr>
                <w:rFonts w:ascii="Arial Narrow" w:hAnsi="Arial Narrow"/>
                <w:color w:val="000000" w:themeColor="text1"/>
                <w:sz w:val="20"/>
                <w:szCs w:val="20"/>
              </w:rPr>
              <w:t xml:space="preserve"> Continuing treatment of second-line drug therapy from week 25 until disease progression (administered every 4 weeks)</w:t>
            </w:r>
          </w:p>
        </w:tc>
      </w:tr>
      <w:tr w:rsidR="00575A7C" w:rsidRPr="006E187F" w:rsidTr="00AC6070">
        <w:tblPrEx>
          <w:tblCellMar>
            <w:top w:w="15" w:type="dxa"/>
            <w:left w:w="15" w:type="dxa"/>
            <w:bottom w:w="15" w:type="dxa"/>
            <w:right w:w="15" w:type="dxa"/>
          </w:tblCellMar>
          <w:tblLook w:val="04A0" w:firstRow="1" w:lastRow="0" w:firstColumn="1" w:lastColumn="0" w:noHBand="0" w:noVBand="1"/>
        </w:tblPrEx>
        <w:tc>
          <w:tcPr>
            <w:tcW w:w="544"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6" w:type="pct"/>
            <w:gridSpan w:val="6"/>
            <w:vAlign w:val="center"/>
            <w:hideMark/>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 xml:space="preserve">Clinical criteria: </w:t>
            </w:r>
          </w:p>
        </w:tc>
      </w:tr>
      <w:tr w:rsidR="00575A7C" w:rsidRPr="006E187F" w:rsidTr="00AC6070">
        <w:tblPrEx>
          <w:tblCellMar>
            <w:top w:w="15" w:type="dxa"/>
            <w:left w:w="15" w:type="dxa"/>
            <w:bottom w:w="15" w:type="dxa"/>
            <w:right w:w="15" w:type="dxa"/>
          </w:tblCellMar>
          <w:tblLook w:val="04A0" w:firstRow="1" w:lastRow="0" w:firstColumn="1" w:lastColumn="0" w:noHBand="0" w:noVBand="1"/>
        </w:tblPrEx>
        <w:tc>
          <w:tcPr>
            <w:tcW w:w="544"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6" w:type="pct"/>
            <w:gridSpan w:val="6"/>
            <w:vAlign w:val="center"/>
            <w:hideMark/>
          </w:tcPr>
          <w:p w:rsidR="00575A7C" w:rsidRPr="006E187F" w:rsidRDefault="00575A7C" w:rsidP="00F10037">
            <w:pPr>
              <w:rPr>
                <w:rFonts w:ascii="Arial Narrow" w:hAnsi="Arial Narrow"/>
                <w:color w:val="000000" w:themeColor="text1"/>
                <w:sz w:val="20"/>
                <w:szCs w:val="20"/>
              </w:rPr>
            </w:pPr>
            <w:r w:rsidRPr="006E187F">
              <w:rPr>
                <w:rFonts w:ascii="Arial Narrow" w:hAnsi="Arial Narrow"/>
                <w:color w:val="000000" w:themeColor="text1"/>
                <w:sz w:val="20"/>
                <w:szCs w:val="20"/>
              </w:rPr>
              <w:t>Patient must have previously received PBS-subsidised treatment with this drug for this condition</w:t>
            </w:r>
          </w:p>
        </w:tc>
      </w:tr>
      <w:tr w:rsidR="00575A7C" w:rsidRPr="006E187F" w:rsidTr="00AC6070">
        <w:tblPrEx>
          <w:tblCellMar>
            <w:top w:w="15" w:type="dxa"/>
            <w:left w:w="15" w:type="dxa"/>
            <w:bottom w:w="15" w:type="dxa"/>
            <w:right w:w="15" w:type="dxa"/>
          </w:tblCellMar>
          <w:tblLook w:val="04A0" w:firstRow="1" w:lastRow="0" w:firstColumn="1" w:lastColumn="0" w:noHBand="0" w:noVBand="1"/>
        </w:tblPrEx>
        <w:tc>
          <w:tcPr>
            <w:tcW w:w="544"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6" w:type="pct"/>
            <w:gridSpan w:val="6"/>
            <w:vAlign w:val="center"/>
            <w:hideMark/>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AND</w:t>
            </w:r>
          </w:p>
        </w:tc>
      </w:tr>
      <w:tr w:rsidR="00575A7C" w:rsidRPr="006E187F" w:rsidTr="00F806BC">
        <w:tblPrEx>
          <w:tblCellMar>
            <w:top w:w="15" w:type="dxa"/>
            <w:left w:w="15" w:type="dxa"/>
            <w:bottom w:w="15" w:type="dxa"/>
            <w:right w:w="15" w:type="dxa"/>
          </w:tblCellMar>
          <w:tblLook w:val="04A0" w:firstRow="1" w:lastRow="0" w:firstColumn="1" w:lastColumn="0" w:noHBand="0" w:noVBand="1"/>
        </w:tblPrEx>
        <w:tc>
          <w:tcPr>
            <w:tcW w:w="544"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6" w:type="pct"/>
            <w:gridSpan w:val="6"/>
            <w:vAlign w:val="center"/>
            <w:hideMark/>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Clinical criteria:</w:t>
            </w:r>
          </w:p>
        </w:tc>
      </w:tr>
      <w:tr w:rsidR="00575A7C" w:rsidRPr="006E187F" w:rsidTr="00F806BC">
        <w:tblPrEx>
          <w:tblCellMar>
            <w:top w:w="15" w:type="dxa"/>
            <w:left w:w="15" w:type="dxa"/>
            <w:bottom w:w="15" w:type="dxa"/>
            <w:right w:w="15" w:type="dxa"/>
          </w:tblCellMar>
          <w:tblLook w:val="04A0" w:firstRow="1" w:lastRow="0" w:firstColumn="1" w:lastColumn="0" w:noHBand="0" w:noVBand="1"/>
        </w:tblPrEx>
        <w:tc>
          <w:tcPr>
            <w:tcW w:w="544"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6" w:type="pct"/>
            <w:gridSpan w:val="6"/>
            <w:vAlign w:val="center"/>
            <w:hideMark/>
          </w:tcPr>
          <w:p w:rsidR="00575A7C" w:rsidRPr="006E187F" w:rsidRDefault="00575A7C" w:rsidP="00F10037">
            <w:pPr>
              <w:rPr>
                <w:rFonts w:ascii="Arial Narrow" w:hAnsi="Arial Narrow"/>
                <w:color w:val="000000" w:themeColor="text1"/>
                <w:sz w:val="20"/>
                <w:szCs w:val="20"/>
              </w:rPr>
            </w:pPr>
            <w:r w:rsidRPr="006E187F">
              <w:rPr>
                <w:rFonts w:ascii="Arial Narrow" w:hAnsi="Arial Narrow"/>
                <w:color w:val="000000" w:themeColor="text1"/>
                <w:sz w:val="20"/>
                <w:szCs w:val="20"/>
              </w:rPr>
              <w:t>Patient must not have developed disease progression while receiving treatment with this drug for this condition</w:t>
            </w:r>
          </w:p>
        </w:tc>
      </w:tr>
      <w:tr w:rsidR="00575A7C" w:rsidRPr="006E187F" w:rsidTr="00F806BC">
        <w:tblPrEx>
          <w:tblCellMar>
            <w:top w:w="15" w:type="dxa"/>
            <w:left w:w="15" w:type="dxa"/>
            <w:bottom w:w="15" w:type="dxa"/>
            <w:right w:w="15" w:type="dxa"/>
          </w:tblCellMar>
          <w:tblLook w:val="04A0" w:firstRow="1" w:lastRow="0" w:firstColumn="1" w:lastColumn="0" w:noHBand="0" w:noVBand="1"/>
        </w:tblPrEx>
        <w:tc>
          <w:tcPr>
            <w:tcW w:w="544"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6" w:type="pct"/>
            <w:gridSpan w:val="6"/>
            <w:vAlign w:val="center"/>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AND</w:t>
            </w:r>
          </w:p>
        </w:tc>
      </w:tr>
      <w:tr w:rsidR="00575A7C" w:rsidRPr="006E187F" w:rsidTr="00F806BC">
        <w:tblPrEx>
          <w:tblCellMar>
            <w:top w:w="15" w:type="dxa"/>
            <w:left w:w="15" w:type="dxa"/>
            <w:bottom w:w="15" w:type="dxa"/>
            <w:right w:w="15" w:type="dxa"/>
          </w:tblCellMar>
          <w:tblLook w:val="04A0" w:firstRow="1" w:lastRow="0" w:firstColumn="1" w:lastColumn="0" w:noHBand="0" w:noVBand="1"/>
        </w:tblPrEx>
        <w:tc>
          <w:tcPr>
            <w:tcW w:w="544"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6" w:type="pct"/>
            <w:gridSpan w:val="6"/>
            <w:vAlign w:val="center"/>
          </w:tcPr>
          <w:p w:rsidR="00575A7C" w:rsidRPr="006E187F" w:rsidRDefault="00575A7C" w:rsidP="00F10037">
            <w:pPr>
              <w:rPr>
                <w:rFonts w:ascii="Arial Narrow" w:hAnsi="Arial Narrow"/>
                <w:color w:val="000000" w:themeColor="text1"/>
                <w:sz w:val="20"/>
                <w:szCs w:val="20"/>
              </w:rPr>
            </w:pPr>
            <w:r w:rsidRPr="006E187F">
              <w:rPr>
                <w:rFonts w:ascii="Arial Narrow" w:hAnsi="Arial Narrow"/>
                <w:b/>
                <w:bCs/>
                <w:color w:val="000000" w:themeColor="text1"/>
                <w:sz w:val="20"/>
                <w:szCs w:val="20"/>
              </w:rPr>
              <w:t>Clinical criteria:</w:t>
            </w:r>
          </w:p>
        </w:tc>
      </w:tr>
      <w:tr w:rsidR="00575A7C" w:rsidRPr="006E187F" w:rsidTr="00F806BC">
        <w:tblPrEx>
          <w:tblCellMar>
            <w:top w:w="15" w:type="dxa"/>
            <w:left w:w="15" w:type="dxa"/>
            <w:bottom w:w="15" w:type="dxa"/>
            <w:right w:w="15" w:type="dxa"/>
          </w:tblCellMar>
          <w:tblLook w:val="04A0" w:firstRow="1" w:lastRow="0" w:firstColumn="1" w:lastColumn="0" w:noHBand="0" w:noVBand="1"/>
        </w:tblPrEx>
        <w:tc>
          <w:tcPr>
            <w:tcW w:w="544"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6" w:type="pct"/>
            <w:gridSpan w:val="6"/>
            <w:vAlign w:val="center"/>
          </w:tcPr>
          <w:p w:rsidR="00575A7C" w:rsidRPr="006E187F" w:rsidRDefault="00575A7C" w:rsidP="00F10037">
            <w:pPr>
              <w:rPr>
                <w:rFonts w:ascii="Arial Narrow" w:hAnsi="Arial Narrow"/>
                <w:color w:val="000000" w:themeColor="text1"/>
                <w:sz w:val="20"/>
                <w:szCs w:val="20"/>
              </w:rPr>
            </w:pPr>
            <w:r w:rsidRPr="006E187F">
              <w:rPr>
                <w:rFonts w:ascii="Arial Narrow" w:hAnsi="Arial Narrow"/>
                <w:color w:val="000000" w:themeColor="text1"/>
                <w:sz w:val="20"/>
                <w:szCs w:val="20"/>
              </w:rPr>
              <w:t>Patient must not be receiving concomitant PBS-subsidised bortezomib, carfilzomib or thalidomide or its analogues</w:t>
            </w:r>
          </w:p>
        </w:tc>
      </w:tr>
      <w:tr w:rsidR="00575A7C" w:rsidRPr="006E187F" w:rsidTr="00AC6070">
        <w:tblPrEx>
          <w:tblCellMar>
            <w:top w:w="15" w:type="dxa"/>
            <w:left w:w="15" w:type="dxa"/>
            <w:bottom w:w="15" w:type="dxa"/>
            <w:right w:w="15" w:type="dxa"/>
          </w:tblCellMar>
          <w:tblLook w:val="04A0" w:firstRow="1" w:lastRow="0" w:firstColumn="1" w:lastColumn="0" w:noHBand="0" w:noVBand="1"/>
        </w:tblPrEx>
        <w:tc>
          <w:tcPr>
            <w:tcW w:w="544" w:type="pct"/>
            <w:gridSpan w:val="2"/>
            <w:vAlign w:val="center"/>
          </w:tcPr>
          <w:p w:rsidR="00575A7C" w:rsidRPr="006E187F" w:rsidRDefault="00575A7C" w:rsidP="00F10037">
            <w:pPr>
              <w:jc w:val="center"/>
              <w:rPr>
                <w:rFonts w:ascii="Arial Narrow" w:hAnsi="Arial Narrow"/>
                <w:color w:val="000000" w:themeColor="text1"/>
                <w:sz w:val="20"/>
                <w:szCs w:val="20"/>
              </w:rPr>
            </w:pPr>
          </w:p>
        </w:tc>
        <w:tc>
          <w:tcPr>
            <w:tcW w:w="4456" w:type="pct"/>
            <w:gridSpan w:val="6"/>
            <w:vAlign w:val="center"/>
            <w:hideMark/>
          </w:tcPr>
          <w:p w:rsidR="00AC4317" w:rsidRDefault="00575A7C" w:rsidP="00F10037">
            <w:pPr>
              <w:rPr>
                <w:rFonts w:ascii="Arial Narrow" w:hAnsi="Arial Narrow"/>
                <w:bCs/>
                <w:color w:val="000000" w:themeColor="text1"/>
                <w:sz w:val="20"/>
                <w:szCs w:val="20"/>
              </w:rPr>
            </w:pPr>
            <w:r w:rsidRPr="006E187F">
              <w:rPr>
                <w:rFonts w:ascii="Arial Narrow" w:hAnsi="Arial Narrow"/>
                <w:b/>
                <w:bCs/>
                <w:color w:val="000000" w:themeColor="text1"/>
                <w:sz w:val="20"/>
                <w:szCs w:val="20"/>
              </w:rPr>
              <w:t xml:space="preserve">Prescribing Instructions: </w:t>
            </w:r>
            <w:r w:rsidRPr="006E187F">
              <w:rPr>
                <w:rFonts w:ascii="Arial Narrow" w:hAnsi="Arial Narrow"/>
                <w:bCs/>
                <w:color w:val="000000" w:themeColor="text1"/>
                <w:sz w:val="20"/>
                <w:szCs w:val="20"/>
              </w:rPr>
              <w:t xml:space="preserve">Progressive disease is defined as at least 1 of the following: </w:t>
            </w:r>
          </w:p>
          <w:p w:rsidR="00AC4317"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(a) at least a 25% increase and an absolute increase of at least 5 g per L in serum M protein (monoclonal protein); or, </w:t>
            </w:r>
          </w:p>
          <w:p w:rsidR="00AC4317"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(b) at least a 25% increase in 24-hour urinary light chain M protein excretion, and an absolute increase of at least 200 mg per 24 hours; or,</w:t>
            </w:r>
          </w:p>
          <w:p w:rsidR="00AC4317"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(c) in oligo-secretory and non-secretory myeloma patients only, at least a 50% increase in the difference between involved free light chain and uninvolved free light chain; or, </w:t>
            </w:r>
          </w:p>
          <w:p w:rsidR="00AC4317"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(d) at least a 25% relative increase and at least a 10% absolute increase in plasma cells in a bone marrow aspirate or on biopsy; or, </w:t>
            </w:r>
          </w:p>
          <w:p w:rsidR="00AC4317"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(e) an increase in the size or number of lytic bone lesions (not including compression fractures); or, </w:t>
            </w:r>
          </w:p>
          <w:p w:rsidR="00AC4317" w:rsidRDefault="00575A7C" w:rsidP="00F10037">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(f) at least a 25% increase in the size of an existing or the development of a new soft tissue plasmacytoma (determined by clinical examination or diagnostic imaging); or, </w:t>
            </w:r>
          </w:p>
          <w:p w:rsidR="00575A7C" w:rsidRPr="006E187F" w:rsidRDefault="00575A7C" w:rsidP="00F10037">
            <w:pPr>
              <w:rPr>
                <w:rFonts w:ascii="Arial Narrow" w:hAnsi="Arial Narrow"/>
                <w:color w:val="000000" w:themeColor="text1"/>
                <w:sz w:val="20"/>
                <w:szCs w:val="20"/>
              </w:rPr>
            </w:pPr>
            <w:r w:rsidRPr="006E187F">
              <w:rPr>
                <w:rFonts w:ascii="Arial Narrow" w:hAnsi="Arial Narrow"/>
                <w:bCs/>
                <w:color w:val="000000" w:themeColor="text1"/>
                <w:sz w:val="20"/>
                <w:szCs w:val="20"/>
              </w:rPr>
              <w:t>(g) development of hypercalcaemia (corrected serum calcium greater than 2.65 mmol per L not attributable to any other cause).</w:t>
            </w:r>
          </w:p>
        </w:tc>
      </w:tr>
      <w:bookmarkEnd w:id="34"/>
      <w:tr w:rsidR="00575A7C" w:rsidRPr="006E187F" w:rsidTr="00F806BC">
        <w:tblPrEx>
          <w:tblCellMar>
            <w:top w:w="15" w:type="dxa"/>
            <w:left w:w="15" w:type="dxa"/>
            <w:bottom w:w="15" w:type="dxa"/>
            <w:right w:w="15" w:type="dxa"/>
          </w:tblCellMar>
          <w:tblLook w:val="04A0" w:firstRow="1" w:lastRow="0" w:firstColumn="1" w:lastColumn="0" w:noHBand="0" w:noVBand="1"/>
        </w:tblPrEx>
        <w:tc>
          <w:tcPr>
            <w:tcW w:w="544" w:type="pct"/>
            <w:gridSpan w:val="2"/>
            <w:vAlign w:val="center"/>
            <w:hideMark/>
          </w:tcPr>
          <w:p w:rsidR="00575A7C" w:rsidRPr="006E187F" w:rsidRDefault="00575A7C" w:rsidP="00F10037">
            <w:pPr>
              <w:jc w:val="center"/>
              <w:rPr>
                <w:rFonts w:ascii="Arial Narrow" w:hAnsi="Arial Narrow"/>
                <w:color w:val="000000" w:themeColor="text1"/>
                <w:sz w:val="20"/>
                <w:szCs w:val="20"/>
              </w:rPr>
            </w:pPr>
          </w:p>
        </w:tc>
        <w:tc>
          <w:tcPr>
            <w:tcW w:w="4456" w:type="pct"/>
            <w:gridSpan w:val="6"/>
            <w:vAlign w:val="center"/>
            <w:hideMark/>
          </w:tcPr>
          <w:p w:rsidR="00AC4317" w:rsidRDefault="00575A7C" w:rsidP="00F10037">
            <w:pPr>
              <w:rPr>
                <w:rFonts w:ascii="Arial Narrow" w:hAnsi="Arial Narrow"/>
                <w:b/>
                <w:bCs/>
                <w:color w:val="000000" w:themeColor="text1"/>
                <w:sz w:val="20"/>
                <w:szCs w:val="20"/>
              </w:rPr>
            </w:pPr>
            <w:r w:rsidRPr="006E187F">
              <w:rPr>
                <w:rFonts w:ascii="Arial Narrow" w:hAnsi="Arial Narrow"/>
                <w:b/>
                <w:bCs/>
                <w:color w:val="000000" w:themeColor="text1"/>
                <w:sz w:val="20"/>
                <w:szCs w:val="20"/>
              </w:rPr>
              <w:t xml:space="preserve">Prescribing Instructions: </w:t>
            </w:r>
          </w:p>
          <w:p w:rsidR="00575A7C" w:rsidRPr="006E187F" w:rsidRDefault="00575A7C" w:rsidP="00F10037">
            <w:pPr>
              <w:rPr>
                <w:rFonts w:ascii="Arial Narrow" w:hAnsi="Arial Narrow"/>
                <w:color w:val="000000" w:themeColor="text1"/>
                <w:sz w:val="20"/>
                <w:szCs w:val="20"/>
              </w:rPr>
            </w:pPr>
            <w:r w:rsidRPr="006E187F">
              <w:rPr>
                <w:rFonts w:ascii="Arial Narrow" w:hAnsi="Arial Narrow"/>
                <w:bCs/>
                <w:color w:val="000000" w:themeColor="text1"/>
                <w:sz w:val="20"/>
                <w:szCs w:val="20"/>
              </w:rPr>
              <w:t>Oligo-secretory and non-secretory patients are defined as having active disease with less than 10 g per L serum M protein.</w:t>
            </w:r>
          </w:p>
        </w:tc>
      </w:tr>
    </w:tbl>
    <w:p w:rsidR="00575A7C" w:rsidRPr="006E187F" w:rsidRDefault="00575A7C" w:rsidP="00575A7C">
      <w:pPr>
        <w:rPr>
          <w:rFonts w:asciiTheme="minorHAnsi" w:hAnsiTheme="minorHAnsi" w:cstheme="minorHAnsi"/>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
        <w:gridCol w:w="702"/>
        <w:gridCol w:w="2562"/>
        <w:gridCol w:w="1986"/>
        <w:gridCol w:w="849"/>
        <w:gridCol w:w="850"/>
        <w:gridCol w:w="705"/>
        <w:gridCol w:w="1137"/>
      </w:tblGrid>
      <w:tr w:rsidR="00ED6E26" w:rsidRPr="006E187F" w:rsidTr="00F806BC">
        <w:trPr>
          <w:cantSplit/>
          <w:trHeight w:val="471"/>
        </w:trPr>
        <w:tc>
          <w:tcPr>
            <w:tcW w:w="1952" w:type="pct"/>
            <w:gridSpan w:val="3"/>
          </w:tcPr>
          <w:p w:rsidR="00ED6E26" w:rsidRPr="006E187F" w:rsidRDefault="00ED6E26" w:rsidP="005D7093">
            <w:pPr>
              <w:keepNext/>
              <w:ind w:left="-57"/>
              <w:rPr>
                <w:rFonts w:ascii="Arial Narrow" w:hAnsi="Arial Narrow"/>
                <w:b/>
                <w:sz w:val="20"/>
                <w:szCs w:val="20"/>
              </w:rPr>
            </w:pPr>
            <w:r w:rsidRPr="006E187F">
              <w:rPr>
                <w:rFonts w:ascii="Arial Narrow" w:hAnsi="Arial Narrow"/>
                <w:b/>
                <w:sz w:val="20"/>
                <w:szCs w:val="20"/>
              </w:rPr>
              <w:t>MEDICINAL PRODUCT</w:t>
            </w:r>
          </w:p>
          <w:p w:rsidR="00ED6E26" w:rsidRPr="006E187F" w:rsidRDefault="00ED6E26" w:rsidP="005D7093">
            <w:pPr>
              <w:keepNext/>
              <w:ind w:left="-57"/>
              <w:rPr>
                <w:rFonts w:ascii="Arial Narrow" w:hAnsi="Arial Narrow"/>
                <w:b/>
                <w:sz w:val="20"/>
                <w:szCs w:val="20"/>
              </w:rPr>
            </w:pPr>
            <w:r w:rsidRPr="006E187F">
              <w:rPr>
                <w:rFonts w:ascii="Arial Narrow" w:hAnsi="Arial Narrow"/>
                <w:b/>
                <w:sz w:val="20"/>
                <w:szCs w:val="20"/>
              </w:rPr>
              <w:t>medicinal product pack</w:t>
            </w:r>
          </w:p>
        </w:tc>
        <w:tc>
          <w:tcPr>
            <w:tcW w:w="1095" w:type="pct"/>
          </w:tcPr>
          <w:p w:rsidR="00ED6E26" w:rsidRPr="006E187F" w:rsidRDefault="00ED6E26" w:rsidP="005D7093">
            <w:pPr>
              <w:keepNext/>
              <w:ind w:left="-108"/>
              <w:jc w:val="center"/>
              <w:rPr>
                <w:rFonts w:ascii="Arial Narrow" w:hAnsi="Arial Narrow"/>
                <w:b/>
                <w:sz w:val="20"/>
                <w:szCs w:val="20"/>
              </w:rPr>
            </w:pPr>
            <w:r w:rsidRPr="006E187F">
              <w:rPr>
                <w:rFonts w:ascii="Arial Narrow" w:hAnsi="Arial Narrow"/>
                <w:b/>
                <w:sz w:val="20"/>
                <w:szCs w:val="20"/>
              </w:rPr>
              <w:t>PBS item code</w:t>
            </w:r>
          </w:p>
        </w:tc>
        <w:tc>
          <w:tcPr>
            <w:tcW w:w="468" w:type="pct"/>
          </w:tcPr>
          <w:p w:rsidR="00ED6E26" w:rsidRPr="006E187F" w:rsidRDefault="00ED6E26" w:rsidP="005D7093">
            <w:pPr>
              <w:keepNext/>
              <w:ind w:left="-108"/>
              <w:jc w:val="center"/>
              <w:rPr>
                <w:rFonts w:ascii="Arial Narrow" w:hAnsi="Arial Narrow"/>
                <w:b/>
                <w:sz w:val="20"/>
                <w:szCs w:val="20"/>
              </w:rPr>
            </w:pPr>
            <w:r w:rsidRPr="006E187F">
              <w:rPr>
                <w:rFonts w:ascii="Arial Narrow" w:hAnsi="Arial Narrow"/>
                <w:b/>
                <w:sz w:val="20"/>
                <w:szCs w:val="20"/>
              </w:rPr>
              <w:t>Max. qty packs</w:t>
            </w:r>
          </w:p>
        </w:tc>
        <w:tc>
          <w:tcPr>
            <w:tcW w:w="469" w:type="pct"/>
          </w:tcPr>
          <w:p w:rsidR="00ED6E26" w:rsidRPr="006E187F" w:rsidRDefault="00ED6E26" w:rsidP="005D7093">
            <w:pPr>
              <w:keepNext/>
              <w:ind w:left="-108"/>
              <w:jc w:val="center"/>
              <w:rPr>
                <w:rFonts w:ascii="Arial Narrow" w:hAnsi="Arial Narrow"/>
                <w:b/>
                <w:sz w:val="20"/>
                <w:szCs w:val="20"/>
              </w:rPr>
            </w:pPr>
            <w:r w:rsidRPr="006E187F">
              <w:rPr>
                <w:rFonts w:ascii="Arial Narrow" w:hAnsi="Arial Narrow"/>
                <w:b/>
                <w:sz w:val="20"/>
                <w:szCs w:val="20"/>
              </w:rPr>
              <w:t>Max. qty units</w:t>
            </w:r>
          </w:p>
        </w:tc>
        <w:tc>
          <w:tcPr>
            <w:tcW w:w="389" w:type="pct"/>
          </w:tcPr>
          <w:p w:rsidR="00ED6E26" w:rsidRPr="006E187F" w:rsidRDefault="00ED6E26" w:rsidP="005D7093">
            <w:pPr>
              <w:keepNext/>
              <w:ind w:left="-108"/>
              <w:jc w:val="center"/>
              <w:rPr>
                <w:rFonts w:ascii="Arial Narrow" w:hAnsi="Arial Narrow"/>
                <w:b/>
                <w:sz w:val="20"/>
                <w:szCs w:val="20"/>
              </w:rPr>
            </w:pPr>
            <w:r w:rsidRPr="006E187F">
              <w:rPr>
                <w:rFonts w:ascii="Arial Narrow" w:hAnsi="Arial Narrow"/>
                <w:b/>
                <w:sz w:val="20"/>
                <w:szCs w:val="20"/>
              </w:rPr>
              <w:t>№.of</w:t>
            </w:r>
          </w:p>
          <w:p w:rsidR="00ED6E26" w:rsidRPr="006E187F" w:rsidRDefault="00ED6E26" w:rsidP="005D7093">
            <w:pPr>
              <w:keepNext/>
              <w:ind w:left="-108"/>
              <w:jc w:val="center"/>
              <w:rPr>
                <w:rFonts w:ascii="Arial Narrow" w:hAnsi="Arial Narrow"/>
                <w:b/>
                <w:sz w:val="20"/>
                <w:szCs w:val="20"/>
              </w:rPr>
            </w:pPr>
            <w:r w:rsidRPr="006E187F">
              <w:rPr>
                <w:rFonts w:ascii="Arial Narrow" w:hAnsi="Arial Narrow"/>
                <w:b/>
                <w:sz w:val="20"/>
                <w:szCs w:val="20"/>
              </w:rPr>
              <w:t>Rpts</w:t>
            </w:r>
          </w:p>
        </w:tc>
        <w:tc>
          <w:tcPr>
            <w:tcW w:w="627" w:type="pct"/>
          </w:tcPr>
          <w:p w:rsidR="00ED6E26" w:rsidRPr="006E187F" w:rsidRDefault="00ED6E26" w:rsidP="005D7093">
            <w:pPr>
              <w:keepNext/>
              <w:rPr>
                <w:rFonts w:ascii="Arial Narrow" w:hAnsi="Arial Narrow"/>
                <w:b/>
                <w:sz w:val="20"/>
                <w:szCs w:val="20"/>
              </w:rPr>
            </w:pPr>
            <w:r w:rsidRPr="006E187F">
              <w:rPr>
                <w:rFonts w:ascii="Arial Narrow" w:hAnsi="Arial Narrow"/>
                <w:b/>
                <w:sz w:val="20"/>
                <w:szCs w:val="20"/>
              </w:rPr>
              <w:t>Available brands</w:t>
            </w:r>
          </w:p>
        </w:tc>
      </w:tr>
      <w:tr w:rsidR="00ED6E26" w:rsidRPr="006E187F" w:rsidTr="005D7093">
        <w:trPr>
          <w:cantSplit/>
          <w:trHeight w:val="207"/>
        </w:trPr>
        <w:tc>
          <w:tcPr>
            <w:tcW w:w="5000" w:type="pct"/>
            <w:gridSpan w:val="8"/>
          </w:tcPr>
          <w:p w:rsidR="00ED6E26" w:rsidRPr="006E187F" w:rsidRDefault="00ED6E26" w:rsidP="005D7093">
            <w:pPr>
              <w:keepNext/>
              <w:ind w:left="-57"/>
              <w:rPr>
                <w:rFonts w:ascii="Arial Narrow" w:hAnsi="Arial Narrow"/>
                <w:sz w:val="20"/>
                <w:szCs w:val="20"/>
              </w:rPr>
            </w:pPr>
            <w:r w:rsidRPr="006E187F">
              <w:rPr>
                <w:rFonts w:ascii="Arial Narrow" w:hAnsi="Arial Narrow"/>
                <w:sz w:val="20"/>
                <w:szCs w:val="20"/>
              </w:rPr>
              <w:t>DARATUMUMAB</w:t>
            </w:r>
          </w:p>
        </w:tc>
      </w:tr>
      <w:tr w:rsidR="00ED6E26" w:rsidRPr="006E187F" w:rsidTr="00F806BC">
        <w:trPr>
          <w:cantSplit/>
          <w:trHeight w:val="95"/>
        </w:trPr>
        <w:tc>
          <w:tcPr>
            <w:tcW w:w="1952" w:type="pct"/>
            <w:gridSpan w:val="3"/>
          </w:tcPr>
          <w:p w:rsidR="00ED6E26" w:rsidRPr="006E187F" w:rsidRDefault="00ED6E26" w:rsidP="005D7093">
            <w:pPr>
              <w:keepNext/>
              <w:ind w:left="-57"/>
              <w:rPr>
                <w:rFonts w:ascii="Arial Narrow" w:hAnsi="Arial Narrow"/>
                <w:sz w:val="20"/>
                <w:szCs w:val="20"/>
              </w:rPr>
            </w:pPr>
            <w:r>
              <w:rPr>
                <w:rFonts w:ascii="Arial Narrow" w:hAnsi="Arial Narrow"/>
                <w:sz w:val="20"/>
                <w:szCs w:val="20"/>
              </w:rPr>
              <w:t>d</w:t>
            </w:r>
            <w:r w:rsidRPr="006E187F">
              <w:rPr>
                <w:rFonts w:ascii="Arial Narrow" w:hAnsi="Arial Narrow"/>
                <w:sz w:val="20"/>
                <w:szCs w:val="20"/>
              </w:rPr>
              <w:t>aratumumab 1.8 g/15 mL injection, 15 mL vial</w:t>
            </w:r>
          </w:p>
        </w:tc>
        <w:tc>
          <w:tcPr>
            <w:tcW w:w="1095" w:type="pct"/>
          </w:tcPr>
          <w:p w:rsidR="00ED6E26" w:rsidRDefault="00ED6E26" w:rsidP="005D7093">
            <w:pPr>
              <w:keepNext/>
              <w:ind w:left="-57"/>
              <w:jc w:val="center"/>
              <w:rPr>
                <w:rFonts w:ascii="Arial Narrow" w:hAnsi="Arial Narrow"/>
                <w:sz w:val="20"/>
                <w:szCs w:val="20"/>
              </w:rPr>
            </w:pPr>
            <w:r w:rsidRPr="006E187F">
              <w:rPr>
                <w:rFonts w:ascii="Arial Narrow" w:hAnsi="Arial Narrow"/>
                <w:sz w:val="20"/>
                <w:szCs w:val="20"/>
              </w:rPr>
              <w:t>N</w:t>
            </w:r>
            <w:r>
              <w:rPr>
                <w:rFonts w:ascii="Arial Narrow" w:hAnsi="Arial Narrow"/>
                <w:sz w:val="20"/>
                <w:szCs w:val="20"/>
              </w:rPr>
              <w:t>ew (</w:t>
            </w:r>
            <w:r w:rsidR="00F806BC">
              <w:rPr>
                <w:rFonts w:ascii="Arial Narrow" w:hAnsi="Arial Narrow"/>
                <w:sz w:val="20"/>
                <w:szCs w:val="20"/>
              </w:rPr>
              <w:t>EFC – Related Ben.</w:t>
            </w:r>
            <w:r>
              <w:rPr>
                <w:rFonts w:ascii="Arial Narrow" w:hAnsi="Arial Narrow"/>
                <w:sz w:val="20"/>
                <w:szCs w:val="20"/>
              </w:rPr>
              <w:t>)</w:t>
            </w:r>
          </w:p>
          <w:p w:rsidR="00ED6E26" w:rsidRPr="006E187F" w:rsidRDefault="00ED6E26" w:rsidP="005D7093">
            <w:pPr>
              <w:keepNext/>
              <w:ind w:left="-57"/>
              <w:jc w:val="center"/>
              <w:rPr>
                <w:rFonts w:ascii="Arial Narrow" w:hAnsi="Arial Narrow"/>
                <w:sz w:val="20"/>
                <w:szCs w:val="20"/>
              </w:rPr>
            </w:pPr>
            <w:r>
              <w:rPr>
                <w:rFonts w:ascii="Arial Narrow" w:hAnsi="Arial Narrow"/>
                <w:sz w:val="20"/>
                <w:szCs w:val="20"/>
              </w:rPr>
              <w:t>New (</w:t>
            </w:r>
            <w:r w:rsidR="00F806BC">
              <w:rPr>
                <w:rFonts w:ascii="Arial Narrow" w:hAnsi="Arial Narrow"/>
                <w:sz w:val="20"/>
                <w:szCs w:val="20"/>
              </w:rPr>
              <w:t>General Sch.</w:t>
            </w:r>
            <w:r>
              <w:rPr>
                <w:rFonts w:ascii="Arial Narrow" w:hAnsi="Arial Narrow"/>
                <w:sz w:val="20"/>
                <w:szCs w:val="20"/>
              </w:rPr>
              <w:t>)</w:t>
            </w:r>
          </w:p>
        </w:tc>
        <w:tc>
          <w:tcPr>
            <w:tcW w:w="468" w:type="pct"/>
          </w:tcPr>
          <w:p w:rsidR="00ED6E26" w:rsidRPr="006E187F" w:rsidRDefault="00ED6E26" w:rsidP="005D7093">
            <w:pPr>
              <w:keepNext/>
              <w:ind w:left="-57"/>
              <w:jc w:val="center"/>
              <w:rPr>
                <w:rFonts w:ascii="Arial Narrow" w:hAnsi="Arial Narrow"/>
                <w:sz w:val="20"/>
                <w:szCs w:val="20"/>
              </w:rPr>
            </w:pPr>
            <w:r w:rsidRPr="006E187F">
              <w:rPr>
                <w:rFonts w:ascii="Arial Narrow" w:hAnsi="Arial Narrow"/>
                <w:sz w:val="20"/>
                <w:szCs w:val="20"/>
              </w:rPr>
              <w:t>1</w:t>
            </w:r>
          </w:p>
        </w:tc>
        <w:tc>
          <w:tcPr>
            <w:tcW w:w="469" w:type="pct"/>
          </w:tcPr>
          <w:p w:rsidR="00ED6E26" w:rsidRPr="006E187F" w:rsidRDefault="00ED6E26" w:rsidP="005D7093">
            <w:pPr>
              <w:keepNext/>
              <w:ind w:left="-57"/>
              <w:jc w:val="center"/>
              <w:rPr>
                <w:rFonts w:ascii="Arial Narrow" w:hAnsi="Arial Narrow"/>
                <w:sz w:val="20"/>
                <w:szCs w:val="20"/>
              </w:rPr>
            </w:pPr>
            <w:r>
              <w:rPr>
                <w:rFonts w:ascii="Arial Narrow" w:hAnsi="Arial Narrow"/>
                <w:sz w:val="20"/>
                <w:szCs w:val="20"/>
              </w:rPr>
              <w:t>1</w:t>
            </w:r>
          </w:p>
        </w:tc>
        <w:tc>
          <w:tcPr>
            <w:tcW w:w="389" w:type="pct"/>
          </w:tcPr>
          <w:p w:rsidR="00ED6E26" w:rsidRPr="006E187F" w:rsidRDefault="00ED6E26" w:rsidP="005D7093">
            <w:pPr>
              <w:keepNext/>
              <w:ind w:left="-57"/>
              <w:jc w:val="center"/>
              <w:rPr>
                <w:rFonts w:ascii="Arial Narrow" w:hAnsi="Arial Narrow"/>
                <w:sz w:val="20"/>
                <w:szCs w:val="20"/>
              </w:rPr>
            </w:pPr>
            <w:r>
              <w:rPr>
                <w:rFonts w:ascii="Arial Narrow" w:hAnsi="Arial Narrow"/>
                <w:sz w:val="20"/>
                <w:szCs w:val="20"/>
              </w:rPr>
              <w:t>7</w:t>
            </w:r>
          </w:p>
        </w:tc>
        <w:tc>
          <w:tcPr>
            <w:tcW w:w="627" w:type="pct"/>
          </w:tcPr>
          <w:p w:rsidR="00ED6E26" w:rsidRPr="006E187F" w:rsidRDefault="00ED6E26" w:rsidP="005D7093">
            <w:pPr>
              <w:keepNext/>
              <w:rPr>
                <w:rFonts w:ascii="Arial Narrow" w:hAnsi="Arial Narrow"/>
                <w:sz w:val="20"/>
                <w:szCs w:val="20"/>
              </w:rPr>
            </w:pPr>
            <w:r w:rsidRPr="006E187F">
              <w:rPr>
                <w:rFonts w:ascii="Arial Narrow" w:hAnsi="Arial Narrow"/>
                <w:sz w:val="20"/>
                <w:szCs w:val="20"/>
              </w:rPr>
              <w:t>Darzalex SC</w:t>
            </w:r>
          </w:p>
        </w:tc>
      </w:tr>
      <w:tr w:rsidR="00F806BC" w:rsidRPr="006E187F" w:rsidTr="00F806BC">
        <w:trPr>
          <w:cantSplit/>
          <w:trHeight w:val="95"/>
        </w:trPr>
        <w:tc>
          <w:tcPr>
            <w:tcW w:w="5000" w:type="pct"/>
            <w:gridSpan w:val="8"/>
          </w:tcPr>
          <w:p w:rsidR="00F806BC" w:rsidRPr="006E187F" w:rsidRDefault="00F806BC" w:rsidP="005D7093">
            <w:pPr>
              <w:keepNext/>
              <w:rPr>
                <w:rFonts w:ascii="Arial Narrow" w:hAnsi="Arial Narrow"/>
                <w:sz w:val="20"/>
                <w:szCs w:val="20"/>
              </w:rPr>
            </w:pPr>
          </w:p>
        </w:tc>
      </w:tr>
      <w:tr w:rsidR="00ED6E26" w:rsidRPr="006E187F" w:rsidTr="005D7093">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rsidR="00ED6E26" w:rsidRPr="006E187F" w:rsidRDefault="00ED6E26" w:rsidP="005D7093">
            <w:pPr>
              <w:rPr>
                <w:rFonts w:ascii="Arial Narrow" w:hAnsi="Arial Narrow"/>
                <w:b/>
                <w:color w:val="000000" w:themeColor="text1"/>
                <w:sz w:val="20"/>
                <w:szCs w:val="20"/>
              </w:rPr>
            </w:pPr>
            <w:r w:rsidRPr="006E187F">
              <w:rPr>
                <w:rFonts w:ascii="Arial Narrow" w:hAnsi="Arial Narrow"/>
                <w:b/>
                <w:color w:val="000000" w:themeColor="text1"/>
                <w:sz w:val="20"/>
                <w:szCs w:val="20"/>
              </w:rPr>
              <w:t xml:space="preserve">Restriction Summary </w:t>
            </w:r>
            <w:r>
              <w:rPr>
                <w:rFonts w:ascii="Arial Narrow" w:hAnsi="Arial Narrow"/>
                <w:b/>
                <w:color w:val="000000" w:themeColor="text1"/>
                <w:sz w:val="20"/>
                <w:szCs w:val="20"/>
              </w:rPr>
              <w:t xml:space="preserve">[New GF1] </w:t>
            </w:r>
            <w:r w:rsidRPr="006E187F">
              <w:rPr>
                <w:rFonts w:ascii="Arial Narrow" w:hAnsi="Arial Narrow"/>
                <w:b/>
                <w:color w:val="000000" w:themeColor="text1"/>
                <w:sz w:val="20"/>
                <w:szCs w:val="20"/>
              </w:rPr>
              <w:t xml:space="preserve">/ Treatment of Concept </w:t>
            </w:r>
            <w:r>
              <w:rPr>
                <w:rFonts w:ascii="Arial Narrow" w:hAnsi="Arial Narrow"/>
                <w:b/>
                <w:color w:val="000000" w:themeColor="text1"/>
                <w:sz w:val="20"/>
                <w:szCs w:val="20"/>
              </w:rPr>
              <w:t>[New GF2]</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539" w:type="pct"/>
            <w:gridSpan w:val="2"/>
            <w:vMerge w:val="restart"/>
            <w:tcBorders>
              <w:top w:val="single" w:sz="4" w:space="0" w:color="auto"/>
              <w:left w:val="single" w:sz="4" w:space="0" w:color="auto"/>
              <w:right w:val="single" w:sz="4" w:space="0" w:color="auto"/>
            </w:tcBorders>
          </w:tcPr>
          <w:p w:rsidR="00ED6E26" w:rsidRPr="006E187F" w:rsidRDefault="00ED6E26" w:rsidP="005D7093">
            <w:pPr>
              <w:jc w:val="center"/>
              <w:rPr>
                <w:rFonts w:ascii="Arial Narrow" w:hAnsi="Arial Narrow"/>
                <w:color w:val="000000" w:themeColor="text1"/>
                <w:sz w:val="20"/>
                <w:szCs w:val="20"/>
              </w:rPr>
            </w:pPr>
          </w:p>
        </w:tc>
        <w:tc>
          <w:tcPr>
            <w:tcW w:w="4461" w:type="pct"/>
            <w:gridSpan w:val="6"/>
            <w:tcBorders>
              <w:top w:val="single" w:sz="4" w:space="0" w:color="auto"/>
              <w:left w:val="single" w:sz="4" w:space="0" w:color="auto"/>
              <w:bottom w:val="single" w:sz="4" w:space="0" w:color="auto"/>
              <w:right w:val="single" w:sz="4" w:space="0" w:color="auto"/>
            </w:tcBorders>
          </w:tcPr>
          <w:p w:rsidR="00F806BC" w:rsidRDefault="00ED6E26" w:rsidP="00F806BC">
            <w:pPr>
              <w:rPr>
                <w:rFonts w:ascii="Arial Narrow" w:hAnsi="Arial Narrow"/>
                <w:iCs/>
                <w:color w:val="000000" w:themeColor="text1"/>
                <w:sz w:val="20"/>
                <w:szCs w:val="20"/>
              </w:rPr>
            </w:pPr>
            <w:r w:rsidRPr="006E187F">
              <w:rPr>
                <w:rFonts w:ascii="Arial Narrow" w:hAnsi="Arial Narrow"/>
                <w:b/>
                <w:color w:val="000000" w:themeColor="text1"/>
                <w:sz w:val="20"/>
                <w:szCs w:val="20"/>
              </w:rPr>
              <w:t xml:space="preserve">Category / Program: </w:t>
            </w:r>
            <w:r w:rsidR="00F806BC" w:rsidRPr="006E187F">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00F806BC" w:rsidRPr="006E187F">
              <w:rPr>
                <w:rFonts w:ascii="Arial Narrow" w:eastAsia="Calibri" w:hAnsi="Arial Narrow"/>
                <w:color w:val="000000" w:themeColor="text1"/>
                <w:sz w:val="20"/>
                <w:szCs w:val="20"/>
              </w:rPr>
              <w:instrText xml:space="preserve"> FORMCHECKBOX </w:instrText>
            </w:r>
            <w:r w:rsidR="00087C7A">
              <w:rPr>
                <w:rFonts w:ascii="Arial Narrow" w:eastAsia="Calibri" w:hAnsi="Arial Narrow"/>
                <w:color w:val="000000" w:themeColor="text1"/>
                <w:sz w:val="20"/>
                <w:szCs w:val="20"/>
              </w:rPr>
            </w:r>
            <w:r w:rsidR="00087C7A">
              <w:rPr>
                <w:rFonts w:ascii="Arial Narrow" w:eastAsia="Calibri" w:hAnsi="Arial Narrow"/>
                <w:color w:val="000000" w:themeColor="text1"/>
                <w:sz w:val="20"/>
                <w:szCs w:val="20"/>
              </w:rPr>
              <w:fldChar w:fldCharType="separate"/>
            </w:r>
            <w:r w:rsidR="00F806BC" w:rsidRPr="006E187F">
              <w:rPr>
                <w:rFonts w:ascii="Arial Narrow" w:eastAsia="Calibri" w:hAnsi="Arial Narrow"/>
                <w:color w:val="000000" w:themeColor="text1"/>
                <w:sz w:val="20"/>
                <w:szCs w:val="20"/>
              </w:rPr>
              <w:fldChar w:fldCharType="end"/>
            </w:r>
            <w:r w:rsidR="00F806BC" w:rsidRPr="006E187F">
              <w:rPr>
                <w:rFonts w:ascii="Arial Narrow" w:hAnsi="Arial Narrow"/>
                <w:color w:val="000000" w:themeColor="text1"/>
                <w:sz w:val="20"/>
                <w:szCs w:val="20"/>
              </w:rPr>
              <w:t>Section 100 –</w:t>
            </w:r>
            <w:r w:rsidR="00F806BC">
              <w:rPr>
                <w:rFonts w:ascii="Arial Narrow" w:hAnsi="Arial Narrow"/>
                <w:color w:val="000000" w:themeColor="text1"/>
                <w:sz w:val="20"/>
                <w:szCs w:val="20"/>
              </w:rPr>
              <w:t>Efficient Funding of Chemotherapy</w:t>
            </w:r>
            <w:r w:rsidR="00F806BC" w:rsidRPr="006E187F">
              <w:rPr>
                <w:rFonts w:ascii="Arial Narrow" w:hAnsi="Arial Narrow"/>
                <w:color w:val="000000" w:themeColor="text1"/>
                <w:sz w:val="20"/>
                <w:szCs w:val="20"/>
              </w:rPr>
              <w:t xml:space="preserve">– </w:t>
            </w:r>
            <w:r w:rsidR="00F806BC">
              <w:rPr>
                <w:rFonts w:ascii="Arial Narrow" w:hAnsi="Arial Narrow"/>
                <w:iCs/>
                <w:color w:val="000000" w:themeColor="text1"/>
                <w:sz w:val="20"/>
                <w:szCs w:val="20"/>
              </w:rPr>
              <w:t>Related Benefits (Code CT)</w:t>
            </w:r>
          </w:p>
          <w:p w:rsidR="00ED6E26" w:rsidRPr="006E187F" w:rsidRDefault="00F806BC" w:rsidP="00F806BC">
            <w:pPr>
              <w:rPr>
                <w:rFonts w:ascii="Arial Narrow" w:hAnsi="Arial Narrow"/>
                <w:color w:val="000000" w:themeColor="text1"/>
                <w:sz w:val="20"/>
                <w:szCs w:val="20"/>
              </w:rPr>
            </w:pPr>
            <w:r w:rsidRPr="006E187F">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Pr="006E187F">
              <w:rPr>
                <w:rFonts w:ascii="Arial Narrow" w:eastAsia="Calibri" w:hAnsi="Arial Narrow"/>
                <w:color w:val="000000" w:themeColor="text1"/>
                <w:sz w:val="20"/>
                <w:szCs w:val="20"/>
              </w:rPr>
              <w:instrText xml:space="preserve"> FORMCHECKBOX </w:instrText>
            </w:r>
            <w:r w:rsidR="00087C7A">
              <w:rPr>
                <w:rFonts w:ascii="Arial Narrow" w:eastAsia="Calibri" w:hAnsi="Arial Narrow"/>
                <w:color w:val="000000" w:themeColor="text1"/>
                <w:sz w:val="20"/>
                <w:szCs w:val="20"/>
              </w:rPr>
            </w:r>
            <w:r w:rsidR="00087C7A">
              <w:rPr>
                <w:rFonts w:ascii="Arial Narrow" w:eastAsia="Calibri" w:hAnsi="Arial Narrow"/>
                <w:color w:val="000000" w:themeColor="text1"/>
                <w:sz w:val="20"/>
                <w:szCs w:val="20"/>
              </w:rPr>
              <w:fldChar w:fldCharType="separate"/>
            </w:r>
            <w:r w:rsidRPr="006E187F">
              <w:rPr>
                <w:rFonts w:ascii="Arial Narrow" w:eastAsia="Calibri" w:hAnsi="Arial Narrow"/>
                <w:color w:val="000000" w:themeColor="text1"/>
                <w:sz w:val="20"/>
                <w:szCs w:val="20"/>
              </w:rPr>
              <w:fldChar w:fldCharType="end"/>
            </w:r>
            <w:r>
              <w:rPr>
                <w:rFonts w:ascii="Arial Narrow" w:eastAsia="Calibri" w:hAnsi="Arial Narrow"/>
                <w:color w:val="000000" w:themeColor="text1"/>
                <w:sz w:val="20"/>
                <w:szCs w:val="20"/>
              </w:rPr>
              <w:t xml:space="preserve"> </w:t>
            </w:r>
            <w:r>
              <w:rPr>
                <w:rFonts w:ascii="Arial Narrow" w:hAnsi="Arial Narrow"/>
                <w:iCs/>
                <w:color w:val="000000" w:themeColor="text1"/>
                <w:sz w:val="20"/>
                <w:szCs w:val="20"/>
              </w:rPr>
              <w:t>General Schedule (Code GE)</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rPr>
          <w:trHeight w:val="240"/>
        </w:trPr>
        <w:tc>
          <w:tcPr>
            <w:tcW w:w="539" w:type="pct"/>
            <w:gridSpan w:val="2"/>
            <w:vMerge/>
            <w:tcBorders>
              <w:left w:val="single" w:sz="4" w:space="0" w:color="auto"/>
              <w:right w:val="single" w:sz="4" w:space="0" w:color="auto"/>
            </w:tcBorders>
          </w:tcPr>
          <w:p w:rsidR="00ED6E26" w:rsidRPr="006E187F" w:rsidRDefault="00ED6E26" w:rsidP="005D7093">
            <w:pPr>
              <w:rPr>
                <w:rFonts w:ascii="Arial Narrow" w:hAnsi="Arial Narrow"/>
                <w:color w:val="000000" w:themeColor="text1"/>
                <w:sz w:val="20"/>
                <w:szCs w:val="20"/>
              </w:rPr>
            </w:pPr>
          </w:p>
        </w:tc>
        <w:tc>
          <w:tcPr>
            <w:tcW w:w="4461" w:type="pct"/>
            <w:gridSpan w:val="6"/>
            <w:tcBorders>
              <w:top w:val="single" w:sz="4" w:space="0" w:color="auto"/>
              <w:left w:val="single" w:sz="4" w:space="0" w:color="auto"/>
              <w:bottom w:val="single" w:sz="4" w:space="0" w:color="auto"/>
              <w:right w:val="single" w:sz="4" w:space="0" w:color="auto"/>
            </w:tcBorders>
          </w:tcPr>
          <w:p w:rsidR="00ED6E26" w:rsidRPr="006E187F" w:rsidRDefault="00ED6E26" w:rsidP="005D7093">
            <w:pPr>
              <w:rPr>
                <w:rFonts w:ascii="Arial Narrow" w:hAnsi="Arial Narrow"/>
                <w:b/>
                <w:color w:val="000000" w:themeColor="text1"/>
                <w:sz w:val="20"/>
                <w:szCs w:val="20"/>
              </w:rPr>
            </w:pPr>
            <w:r w:rsidRPr="006E187F">
              <w:rPr>
                <w:rFonts w:ascii="Arial Narrow" w:hAnsi="Arial Narrow"/>
                <w:b/>
                <w:color w:val="000000" w:themeColor="text1"/>
                <w:sz w:val="20"/>
                <w:szCs w:val="20"/>
              </w:rPr>
              <w:t xml:space="preserve">Prescriber type:  </w:t>
            </w:r>
            <w:r w:rsidRPr="006E187F">
              <w:rPr>
                <w:rFonts w:ascii="Arial Narrow" w:hAnsi="Arial Narrow"/>
                <w:color w:val="000000" w:themeColor="text1"/>
                <w:sz w:val="20"/>
                <w:szCs w:val="20"/>
              </w:rPr>
              <w:fldChar w:fldCharType="begin">
                <w:ffData>
                  <w:name w:val=""/>
                  <w:enabled/>
                  <w:calcOnExit w:val="0"/>
                  <w:checkBox>
                    <w:sizeAuto/>
                    <w:default w:val="1"/>
                  </w:checkBox>
                </w:ffData>
              </w:fldChar>
            </w:r>
            <w:r w:rsidRPr="006E187F">
              <w:rPr>
                <w:rFonts w:ascii="Arial Narrow" w:hAnsi="Arial Narrow"/>
                <w:color w:val="000000" w:themeColor="text1"/>
                <w:sz w:val="20"/>
                <w:szCs w:val="20"/>
              </w:rPr>
              <w:instrText xml:space="preserve"> FORMCHECKBOX </w:instrText>
            </w:r>
            <w:r w:rsidR="00087C7A">
              <w:rPr>
                <w:rFonts w:ascii="Arial Narrow" w:hAnsi="Arial Narrow"/>
                <w:color w:val="000000" w:themeColor="text1"/>
                <w:sz w:val="20"/>
                <w:szCs w:val="20"/>
              </w:rPr>
            </w:r>
            <w:r w:rsidR="00087C7A">
              <w:rPr>
                <w:rFonts w:ascii="Arial Narrow" w:hAnsi="Arial Narrow"/>
                <w:color w:val="000000" w:themeColor="text1"/>
                <w:sz w:val="20"/>
                <w:szCs w:val="20"/>
              </w:rPr>
              <w:fldChar w:fldCharType="separate"/>
            </w:r>
            <w:r w:rsidRPr="006E187F">
              <w:rPr>
                <w:rFonts w:ascii="Arial Narrow" w:hAnsi="Arial Narrow"/>
                <w:color w:val="000000" w:themeColor="text1"/>
                <w:sz w:val="20"/>
                <w:szCs w:val="20"/>
              </w:rPr>
              <w:fldChar w:fldCharType="end"/>
            </w:r>
            <w:r w:rsidRPr="006E187F">
              <w:rPr>
                <w:rFonts w:ascii="Arial Narrow" w:hAnsi="Arial Narrow"/>
                <w:color w:val="000000" w:themeColor="text1"/>
                <w:sz w:val="20"/>
                <w:szCs w:val="20"/>
              </w:rPr>
              <w:t xml:space="preserve">Medical Practitioners  </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539" w:type="pct"/>
            <w:gridSpan w:val="2"/>
            <w:vMerge/>
            <w:tcBorders>
              <w:left w:val="single" w:sz="4" w:space="0" w:color="auto"/>
              <w:bottom w:val="single" w:sz="4" w:space="0" w:color="auto"/>
              <w:right w:val="single" w:sz="4" w:space="0" w:color="auto"/>
            </w:tcBorders>
          </w:tcPr>
          <w:p w:rsidR="00ED6E26" w:rsidRPr="006E187F" w:rsidRDefault="00ED6E26" w:rsidP="005D7093">
            <w:pPr>
              <w:rPr>
                <w:rFonts w:ascii="Arial Narrow" w:hAnsi="Arial Narrow"/>
                <w:color w:val="000000" w:themeColor="text1"/>
                <w:sz w:val="20"/>
                <w:szCs w:val="20"/>
              </w:rPr>
            </w:pPr>
          </w:p>
        </w:tc>
        <w:tc>
          <w:tcPr>
            <w:tcW w:w="4461" w:type="pct"/>
            <w:gridSpan w:val="6"/>
            <w:tcBorders>
              <w:top w:val="single" w:sz="4" w:space="0" w:color="auto"/>
              <w:left w:val="single" w:sz="4" w:space="0" w:color="auto"/>
              <w:bottom w:val="single" w:sz="4" w:space="0" w:color="auto"/>
              <w:right w:val="single" w:sz="4" w:space="0" w:color="auto"/>
            </w:tcBorders>
          </w:tcPr>
          <w:p w:rsidR="00ED6E26" w:rsidRPr="006E187F" w:rsidRDefault="00ED6E26" w:rsidP="005D7093">
            <w:pPr>
              <w:rPr>
                <w:rFonts w:ascii="Arial Narrow" w:eastAsia="Calibri" w:hAnsi="Arial Narrow"/>
                <w:color w:val="000000" w:themeColor="text1"/>
                <w:sz w:val="20"/>
                <w:szCs w:val="20"/>
              </w:rPr>
            </w:pPr>
            <w:r w:rsidRPr="006E187F">
              <w:rPr>
                <w:rFonts w:ascii="Arial Narrow" w:hAnsi="Arial Narrow"/>
                <w:b/>
                <w:color w:val="000000" w:themeColor="text1"/>
                <w:sz w:val="20"/>
                <w:szCs w:val="20"/>
              </w:rPr>
              <w:t xml:space="preserve">Restriction type: </w:t>
            </w:r>
            <w:r w:rsidRPr="006E187F">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Pr="006E187F">
              <w:rPr>
                <w:rFonts w:ascii="Arial Narrow" w:eastAsia="Calibri" w:hAnsi="Arial Narrow"/>
                <w:color w:val="000000" w:themeColor="text1"/>
                <w:sz w:val="20"/>
                <w:szCs w:val="20"/>
              </w:rPr>
              <w:instrText xml:space="preserve"> FORMCHECKBOX </w:instrText>
            </w:r>
            <w:r w:rsidR="00087C7A">
              <w:rPr>
                <w:rFonts w:ascii="Arial Narrow" w:eastAsia="Calibri" w:hAnsi="Arial Narrow"/>
                <w:color w:val="000000" w:themeColor="text1"/>
                <w:sz w:val="20"/>
                <w:szCs w:val="20"/>
              </w:rPr>
            </w:r>
            <w:r w:rsidR="00087C7A">
              <w:rPr>
                <w:rFonts w:ascii="Arial Narrow" w:eastAsia="Calibri" w:hAnsi="Arial Narrow"/>
                <w:color w:val="000000" w:themeColor="text1"/>
                <w:sz w:val="20"/>
                <w:szCs w:val="20"/>
              </w:rPr>
              <w:fldChar w:fldCharType="separate"/>
            </w:r>
            <w:r w:rsidRPr="006E187F">
              <w:rPr>
                <w:rFonts w:ascii="Arial Narrow" w:eastAsia="Calibri" w:hAnsi="Arial Narrow"/>
                <w:color w:val="000000" w:themeColor="text1"/>
                <w:sz w:val="20"/>
                <w:szCs w:val="20"/>
              </w:rPr>
              <w:fldChar w:fldCharType="end"/>
            </w:r>
            <w:r w:rsidRPr="006E187F">
              <w:rPr>
                <w:rFonts w:ascii="Arial Narrow" w:eastAsia="Calibri" w:hAnsi="Arial Narrow"/>
                <w:color w:val="000000" w:themeColor="text1"/>
                <w:sz w:val="20"/>
                <w:szCs w:val="20"/>
              </w:rPr>
              <w:t xml:space="preserve">Authority Required – </w:t>
            </w:r>
            <w:r w:rsidR="00F806BC">
              <w:rPr>
                <w:rFonts w:ascii="Arial Narrow" w:eastAsia="Calibri" w:hAnsi="Arial Narrow"/>
                <w:color w:val="000000" w:themeColor="text1"/>
                <w:sz w:val="20"/>
                <w:szCs w:val="20"/>
              </w:rPr>
              <w:t>(telephone/online PBS Authorities system)</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152" w:type="pct"/>
            <w:vMerge w:val="restart"/>
            <w:textDirection w:val="btLr"/>
            <w:vAlign w:val="center"/>
          </w:tcPr>
          <w:p w:rsidR="00ED6E26" w:rsidRPr="006E187F" w:rsidRDefault="00ED6E26" w:rsidP="005D7093">
            <w:pPr>
              <w:ind w:left="113" w:right="113"/>
              <w:jc w:val="center"/>
              <w:rPr>
                <w:rFonts w:ascii="Arial Narrow" w:hAnsi="Arial Narrow"/>
                <w:color w:val="000000" w:themeColor="text1"/>
                <w:sz w:val="20"/>
                <w:szCs w:val="20"/>
              </w:rPr>
            </w:pPr>
          </w:p>
        </w:tc>
        <w:tc>
          <w:tcPr>
            <w:tcW w:w="387" w:type="pct"/>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tcPr>
          <w:p w:rsidR="00ED6E26" w:rsidRPr="006E187F" w:rsidRDefault="00ED6E26"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Administrative Advice:</w:t>
            </w:r>
          </w:p>
          <w:p w:rsidR="00ED6E26" w:rsidRPr="006E187F" w:rsidRDefault="00ED6E26" w:rsidP="005D7093">
            <w:pPr>
              <w:rPr>
                <w:rFonts w:ascii="Arial Narrow" w:hAnsi="Arial Narrow"/>
                <w:color w:val="000000" w:themeColor="text1"/>
                <w:sz w:val="20"/>
                <w:szCs w:val="20"/>
              </w:rPr>
            </w:pPr>
            <w:r w:rsidRPr="006E187F">
              <w:rPr>
                <w:rFonts w:ascii="Arial Narrow" w:hAnsi="Arial Narrow"/>
                <w:color w:val="000000" w:themeColor="text1"/>
                <w:sz w:val="20"/>
                <w:szCs w:val="20"/>
              </w:rPr>
              <w:t>This drug is not PBS-subsidised for use in patients with multiple myeloma who have received two or more prior lines of therapy including a proteasome inhibitor (PI) and an immunomodulatory agent, or, who are refractory to both a PI and an immunomodulatory agent, as monotherapy.</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152" w:type="pct"/>
            <w:vMerge/>
            <w:vAlign w:val="center"/>
          </w:tcPr>
          <w:p w:rsidR="00ED6E26" w:rsidRPr="006E187F" w:rsidRDefault="00ED6E26" w:rsidP="005D7093">
            <w:pPr>
              <w:jc w:val="center"/>
              <w:rPr>
                <w:rFonts w:ascii="Arial Narrow" w:hAnsi="Arial Narrow"/>
                <w:color w:val="000000" w:themeColor="text1"/>
                <w:sz w:val="20"/>
                <w:szCs w:val="20"/>
              </w:rPr>
            </w:pPr>
          </w:p>
        </w:tc>
        <w:tc>
          <w:tcPr>
            <w:tcW w:w="387" w:type="pct"/>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tcPr>
          <w:p w:rsidR="00ED6E26" w:rsidRPr="006E187F" w:rsidRDefault="00ED6E26" w:rsidP="005D7093">
            <w:pPr>
              <w:rPr>
                <w:rFonts w:ascii="Arial Narrow" w:hAnsi="Arial Narrow"/>
                <w:b/>
                <w:bCs/>
                <w:color w:val="000000" w:themeColor="text1"/>
                <w:sz w:val="20"/>
                <w:szCs w:val="20"/>
              </w:rPr>
            </w:pPr>
            <w:r w:rsidRPr="006E187F">
              <w:rPr>
                <w:rFonts w:ascii="Arial Narrow" w:hAnsi="Arial Narrow"/>
                <w:b/>
                <w:bCs/>
                <w:color w:val="000000" w:themeColor="text1"/>
                <w:sz w:val="20"/>
                <w:szCs w:val="20"/>
              </w:rPr>
              <w:t>Administrative Advice:</w:t>
            </w:r>
          </w:p>
          <w:p w:rsidR="00ED6E26" w:rsidRPr="006E187F"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Applications for authorisation under this restriction may be made in real time using the Online PBS Authorities system (see www.servicesaustralia.gov.au/HPOS) or by telephone by contacting Services Australia on 1800 888 333.</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152" w:type="pct"/>
            <w:vMerge/>
            <w:vAlign w:val="center"/>
          </w:tcPr>
          <w:p w:rsidR="00ED6E26" w:rsidRPr="006E187F" w:rsidRDefault="00ED6E26" w:rsidP="005D7093">
            <w:pPr>
              <w:jc w:val="center"/>
              <w:rPr>
                <w:rFonts w:ascii="Arial Narrow" w:hAnsi="Arial Narrow"/>
                <w:color w:val="000000" w:themeColor="text1"/>
                <w:sz w:val="20"/>
                <w:szCs w:val="20"/>
              </w:rPr>
            </w:pPr>
          </w:p>
        </w:tc>
        <w:tc>
          <w:tcPr>
            <w:tcW w:w="387" w:type="pct"/>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tcPr>
          <w:p w:rsidR="00ED6E26" w:rsidRPr="00AC4317" w:rsidRDefault="00ED6E26" w:rsidP="005D7093">
            <w:pPr>
              <w:rPr>
                <w:rFonts w:ascii="Arial Narrow" w:hAnsi="Arial Narrow"/>
                <w:b/>
                <w:bCs/>
                <w:color w:val="000000" w:themeColor="text1"/>
                <w:sz w:val="20"/>
                <w:szCs w:val="20"/>
              </w:rPr>
            </w:pPr>
            <w:r w:rsidRPr="00AC4317">
              <w:rPr>
                <w:rFonts w:ascii="Arial Narrow" w:hAnsi="Arial Narrow"/>
                <w:b/>
                <w:bCs/>
                <w:color w:val="000000" w:themeColor="text1"/>
                <w:sz w:val="20"/>
                <w:szCs w:val="20"/>
              </w:rPr>
              <w:t>Administrative Advice:</w:t>
            </w:r>
          </w:p>
          <w:p w:rsidR="00ED6E26" w:rsidRPr="006E187F" w:rsidRDefault="00ED6E26" w:rsidP="005D7093">
            <w:pPr>
              <w:rPr>
                <w:rFonts w:ascii="Arial Narrow" w:hAnsi="Arial Narrow"/>
                <w:b/>
                <w:bCs/>
                <w:color w:val="000000" w:themeColor="text1"/>
                <w:sz w:val="20"/>
                <w:szCs w:val="20"/>
              </w:rPr>
            </w:pPr>
            <w:r w:rsidRPr="00AC4317">
              <w:rPr>
                <w:rFonts w:ascii="Arial Narrow" w:hAnsi="Arial Narrow"/>
                <w:color w:val="000000" w:themeColor="text1"/>
                <w:sz w:val="20"/>
                <w:szCs w:val="20"/>
              </w:rPr>
              <w:t>Patients may qualify for PBS-subsidised treatment under this restriction once only. For continuing PBS-subsidised treatment, a 'Grandfathered' patient must qualify under the 'Continuing treatment' criteria.</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152" w:type="pct"/>
            <w:vMerge/>
            <w:vAlign w:val="center"/>
          </w:tcPr>
          <w:p w:rsidR="00ED6E26" w:rsidRPr="006E187F" w:rsidRDefault="00ED6E26" w:rsidP="005D7093">
            <w:pPr>
              <w:jc w:val="center"/>
              <w:rPr>
                <w:rFonts w:ascii="Arial Narrow" w:hAnsi="Arial Narrow"/>
                <w:color w:val="000000" w:themeColor="text1"/>
                <w:sz w:val="20"/>
                <w:szCs w:val="20"/>
              </w:rPr>
            </w:pPr>
          </w:p>
        </w:tc>
        <w:tc>
          <w:tcPr>
            <w:tcW w:w="387" w:type="pct"/>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tcPr>
          <w:p w:rsidR="00ED6E26" w:rsidRDefault="00ED6E26" w:rsidP="005D7093">
            <w:pPr>
              <w:rPr>
                <w:rFonts w:ascii="Arial Narrow" w:hAnsi="Arial Narrow"/>
                <w:b/>
                <w:bCs/>
                <w:color w:val="000000" w:themeColor="text1"/>
                <w:sz w:val="20"/>
                <w:szCs w:val="20"/>
              </w:rPr>
            </w:pPr>
            <w:r>
              <w:rPr>
                <w:rFonts w:ascii="Arial Narrow" w:hAnsi="Arial Narrow"/>
                <w:b/>
                <w:bCs/>
                <w:color w:val="000000" w:themeColor="text1"/>
                <w:sz w:val="20"/>
                <w:szCs w:val="20"/>
              </w:rPr>
              <w:t>Administrative Advice:</w:t>
            </w:r>
          </w:p>
          <w:p w:rsidR="00ED6E26" w:rsidRPr="00AC4317" w:rsidRDefault="00ED6E26" w:rsidP="005D7093">
            <w:pPr>
              <w:rPr>
                <w:rFonts w:ascii="Arial Narrow" w:hAnsi="Arial Narrow"/>
                <w:color w:val="000000" w:themeColor="text1"/>
                <w:sz w:val="20"/>
                <w:szCs w:val="20"/>
              </w:rPr>
            </w:pPr>
            <w:r w:rsidRPr="00AC4317">
              <w:rPr>
                <w:rFonts w:ascii="Arial Narrow" w:hAnsi="Arial Narrow"/>
                <w:color w:val="000000" w:themeColor="text1"/>
                <w:sz w:val="20"/>
                <w:szCs w:val="20"/>
              </w:rPr>
              <w:t xml:space="preserve">This grandfather restriction will cease to operate from </w:t>
            </w:r>
            <w:r>
              <w:rPr>
                <w:rFonts w:ascii="Arial Narrow" w:hAnsi="Arial Narrow"/>
                <w:color w:val="000000" w:themeColor="text1"/>
                <w:sz w:val="20"/>
                <w:szCs w:val="20"/>
              </w:rPr>
              <w:t>3</w:t>
            </w:r>
            <w:r w:rsidRPr="00AC4317">
              <w:rPr>
                <w:rFonts w:ascii="Arial Narrow" w:hAnsi="Arial Narrow"/>
                <w:color w:val="000000" w:themeColor="text1"/>
                <w:sz w:val="20"/>
                <w:szCs w:val="20"/>
              </w:rPr>
              <w:t xml:space="preserve"> months after the date specified in the clinical criteria.</w:t>
            </w:r>
          </w:p>
        </w:tc>
      </w:tr>
      <w:tr w:rsidR="00ED6E26" w:rsidRPr="00AC4317" w:rsidTr="00F806BC">
        <w:tblPrEx>
          <w:tblCellMar>
            <w:top w:w="15" w:type="dxa"/>
            <w:left w:w="15" w:type="dxa"/>
            <w:bottom w:w="15" w:type="dxa"/>
            <w:right w:w="15" w:type="dxa"/>
          </w:tblCellMar>
          <w:tblLook w:val="04A0" w:firstRow="1" w:lastRow="0" w:firstColumn="1" w:lastColumn="0" w:noHBand="0" w:noVBand="1"/>
        </w:tblPrEx>
        <w:trPr>
          <w:trHeight w:val="31"/>
        </w:trPr>
        <w:tc>
          <w:tcPr>
            <w:tcW w:w="152" w:type="pct"/>
            <w:vMerge/>
            <w:vAlign w:val="center"/>
          </w:tcPr>
          <w:p w:rsidR="00ED6E26" w:rsidRPr="006E187F" w:rsidRDefault="00ED6E26" w:rsidP="005D7093">
            <w:pPr>
              <w:jc w:val="center"/>
              <w:rPr>
                <w:rFonts w:ascii="Arial Narrow" w:hAnsi="Arial Narrow"/>
                <w:color w:val="000000" w:themeColor="text1"/>
                <w:sz w:val="20"/>
                <w:szCs w:val="20"/>
              </w:rPr>
            </w:pPr>
          </w:p>
        </w:tc>
        <w:tc>
          <w:tcPr>
            <w:tcW w:w="387" w:type="pct"/>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tcPr>
          <w:p w:rsidR="00ED6E26" w:rsidRPr="00AC4317" w:rsidRDefault="00ED6E26" w:rsidP="005D7093">
            <w:pPr>
              <w:rPr>
                <w:rFonts w:ascii="Arial Narrow" w:hAnsi="Arial Narrow"/>
                <w:b/>
                <w:bCs/>
                <w:color w:val="000000" w:themeColor="text1"/>
                <w:sz w:val="20"/>
                <w:szCs w:val="20"/>
              </w:rPr>
            </w:pPr>
            <w:r w:rsidRPr="006E187F">
              <w:rPr>
                <w:rFonts w:ascii="Arial Narrow" w:hAnsi="Arial Narrow"/>
                <w:b/>
                <w:bCs/>
                <w:color w:val="000000" w:themeColor="text1"/>
                <w:sz w:val="20"/>
                <w:szCs w:val="20"/>
              </w:rPr>
              <w:t>Administrative Advice:</w:t>
            </w:r>
            <w:r>
              <w:rPr>
                <w:rFonts w:ascii="Arial Narrow" w:hAnsi="Arial Narrow"/>
                <w:b/>
                <w:bCs/>
                <w:color w:val="000000" w:themeColor="text1"/>
                <w:sz w:val="20"/>
                <w:szCs w:val="20"/>
              </w:rPr>
              <w:t xml:space="preserve"> </w:t>
            </w:r>
            <w:r w:rsidRPr="006E187F">
              <w:rPr>
                <w:rFonts w:ascii="Arial Narrow" w:hAnsi="Arial Narrow"/>
                <w:bCs/>
                <w:color w:val="000000" w:themeColor="text1"/>
                <w:sz w:val="20"/>
                <w:szCs w:val="20"/>
              </w:rPr>
              <w:t>No increase in the maximum number of repeats may be authorised.</w:t>
            </w:r>
          </w:p>
        </w:tc>
      </w:tr>
      <w:tr w:rsidR="00ED6E26" w:rsidRPr="00AC4317" w:rsidTr="00F806BC">
        <w:tblPrEx>
          <w:tblCellMar>
            <w:top w:w="15" w:type="dxa"/>
            <w:left w:w="15" w:type="dxa"/>
            <w:bottom w:w="15" w:type="dxa"/>
            <w:right w:w="15" w:type="dxa"/>
          </w:tblCellMar>
          <w:tblLook w:val="04A0" w:firstRow="1" w:lastRow="0" w:firstColumn="1" w:lastColumn="0" w:noHBand="0" w:noVBand="1"/>
        </w:tblPrEx>
        <w:trPr>
          <w:trHeight w:val="206"/>
        </w:trPr>
        <w:tc>
          <w:tcPr>
            <w:tcW w:w="152" w:type="pct"/>
            <w:vMerge/>
            <w:vAlign w:val="center"/>
          </w:tcPr>
          <w:p w:rsidR="00ED6E26" w:rsidRPr="006E187F" w:rsidRDefault="00ED6E26" w:rsidP="005D7093">
            <w:pPr>
              <w:jc w:val="center"/>
              <w:rPr>
                <w:rFonts w:ascii="Arial Narrow" w:hAnsi="Arial Narrow"/>
                <w:color w:val="000000" w:themeColor="text1"/>
                <w:sz w:val="20"/>
                <w:szCs w:val="20"/>
              </w:rPr>
            </w:pPr>
          </w:p>
        </w:tc>
        <w:tc>
          <w:tcPr>
            <w:tcW w:w="387" w:type="pct"/>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tcPr>
          <w:p w:rsidR="00ED6E26" w:rsidRPr="00AC4317" w:rsidRDefault="00ED6E26" w:rsidP="005D7093">
            <w:pPr>
              <w:rPr>
                <w:rFonts w:ascii="Arial Narrow" w:hAnsi="Arial Narrow"/>
                <w:b/>
                <w:bCs/>
                <w:color w:val="000000" w:themeColor="text1"/>
                <w:sz w:val="20"/>
                <w:szCs w:val="20"/>
              </w:rPr>
            </w:pPr>
            <w:r w:rsidRPr="006E187F">
              <w:rPr>
                <w:rFonts w:ascii="Arial Narrow" w:hAnsi="Arial Narrow"/>
                <w:b/>
                <w:bCs/>
                <w:color w:val="000000" w:themeColor="text1"/>
                <w:sz w:val="20"/>
                <w:szCs w:val="20"/>
              </w:rPr>
              <w:t>Administrative Advice:</w:t>
            </w:r>
            <w:r>
              <w:rPr>
                <w:rFonts w:ascii="Arial Narrow" w:hAnsi="Arial Narrow"/>
                <w:b/>
                <w:bCs/>
                <w:color w:val="000000" w:themeColor="text1"/>
                <w:sz w:val="20"/>
                <w:szCs w:val="20"/>
              </w:rPr>
              <w:t xml:space="preserve"> </w:t>
            </w:r>
            <w:r w:rsidRPr="006E187F">
              <w:rPr>
                <w:rFonts w:ascii="Arial Narrow" w:hAnsi="Arial Narrow"/>
                <w:bCs/>
                <w:color w:val="000000" w:themeColor="text1"/>
                <w:sz w:val="20"/>
                <w:szCs w:val="20"/>
              </w:rPr>
              <w:t>Special Pricing Arrangements apply.</w:t>
            </w:r>
          </w:p>
        </w:tc>
      </w:tr>
      <w:tr w:rsidR="00ED6E26" w:rsidRPr="006E187F" w:rsidTr="00AC6070">
        <w:tblPrEx>
          <w:tblCellMar>
            <w:top w:w="15" w:type="dxa"/>
            <w:left w:w="15" w:type="dxa"/>
            <w:bottom w:w="15" w:type="dxa"/>
            <w:right w:w="15" w:type="dxa"/>
          </w:tblCellMar>
          <w:tblLook w:val="04A0" w:firstRow="1" w:lastRow="0" w:firstColumn="1" w:lastColumn="0" w:noHBand="0" w:noVBand="1"/>
        </w:tblPrEx>
        <w:tc>
          <w:tcPr>
            <w:tcW w:w="539" w:type="pct"/>
            <w:gridSpan w:val="2"/>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hideMark/>
          </w:tcPr>
          <w:p w:rsidR="00ED6E26" w:rsidRPr="006E187F" w:rsidRDefault="00ED6E26"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Indication:</w:t>
            </w:r>
            <w:r w:rsidRPr="006E187F">
              <w:rPr>
                <w:rFonts w:ascii="Arial Narrow" w:hAnsi="Arial Narrow"/>
                <w:color w:val="000000" w:themeColor="text1"/>
                <w:sz w:val="20"/>
                <w:szCs w:val="20"/>
              </w:rPr>
              <w:t xml:space="preserve"> </w:t>
            </w:r>
            <w:r w:rsidRPr="006E187F">
              <w:rPr>
                <w:rFonts w:ascii="Arial Narrow" w:hAnsi="Arial Narrow"/>
                <w:bCs/>
                <w:color w:val="000000" w:themeColor="text1"/>
                <w:sz w:val="20"/>
                <w:szCs w:val="20"/>
              </w:rPr>
              <w:t>Relapsed and/or refractory multiple myeloma</w:t>
            </w:r>
          </w:p>
        </w:tc>
      </w:tr>
      <w:tr w:rsidR="00ED6E26" w:rsidRPr="006E187F" w:rsidTr="00AC6070">
        <w:tblPrEx>
          <w:tblCellMar>
            <w:top w:w="15" w:type="dxa"/>
            <w:left w:w="15" w:type="dxa"/>
            <w:bottom w:w="15" w:type="dxa"/>
            <w:right w:w="15" w:type="dxa"/>
          </w:tblCellMar>
          <w:tblLook w:val="04A0" w:firstRow="1" w:lastRow="0" w:firstColumn="1" w:lastColumn="0" w:noHBand="0" w:noVBand="1"/>
        </w:tblPrEx>
        <w:tc>
          <w:tcPr>
            <w:tcW w:w="539" w:type="pct"/>
            <w:gridSpan w:val="2"/>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hideMark/>
          </w:tcPr>
          <w:p w:rsidR="00ED6E26" w:rsidRPr="006E187F" w:rsidRDefault="00ED6E26"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Treatment Phase:</w:t>
            </w:r>
            <w:r w:rsidRPr="006E187F">
              <w:rPr>
                <w:rFonts w:ascii="Arial Narrow" w:hAnsi="Arial Narrow"/>
                <w:color w:val="000000" w:themeColor="text1"/>
                <w:sz w:val="20"/>
                <w:szCs w:val="20"/>
              </w:rPr>
              <w:t xml:space="preserve"> </w:t>
            </w:r>
            <w:r w:rsidRPr="00ED6E26">
              <w:rPr>
                <w:rFonts w:ascii="Arial Narrow" w:hAnsi="Arial Narrow"/>
                <w:color w:val="000000" w:themeColor="text1"/>
                <w:sz w:val="20"/>
                <w:szCs w:val="20"/>
              </w:rPr>
              <w:t>Transitioning from non-PBS to PBS-subsidised supply</w:t>
            </w:r>
            <w:r>
              <w:rPr>
                <w:rFonts w:ascii="Arial Narrow" w:hAnsi="Arial Narrow"/>
                <w:color w:val="000000" w:themeColor="text1"/>
                <w:sz w:val="20"/>
                <w:szCs w:val="20"/>
              </w:rPr>
              <w:t xml:space="preserve"> – ‘grandfather’ arrangements</w:t>
            </w:r>
          </w:p>
        </w:tc>
      </w:tr>
      <w:tr w:rsidR="00ED6E26" w:rsidRPr="006E187F" w:rsidTr="00AC6070">
        <w:tblPrEx>
          <w:tblCellMar>
            <w:top w:w="15" w:type="dxa"/>
            <w:left w:w="15" w:type="dxa"/>
            <w:bottom w:w="15" w:type="dxa"/>
            <w:right w:w="15" w:type="dxa"/>
          </w:tblCellMar>
          <w:tblLook w:val="04A0" w:firstRow="1" w:lastRow="0" w:firstColumn="1" w:lastColumn="0" w:noHBand="0" w:noVBand="1"/>
        </w:tblPrEx>
        <w:tc>
          <w:tcPr>
            <w:tcW w:w="539" w:type="pct"/>
            <w:gridSpan w:val="2"/>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hideMark/>
          </w:tcPr>
          <w:p w:rsidR="00ED6E26" w:rsidRPr="006E187F" w:rsidRDefault="00ED6E26"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 xml:space="preserve">Clinical criteria: </w:t>
            </w:r>
          </w:p>
        </w:tc>
      </w:tr>
      <w:tr w:rsidR="00ED6E26" w:rsidRPr="006E187F" w:rsidTr="00AC6070">
        <w:tblPrEx>
          <w:tblCellMar>
            <w:top w:w="15" w:type="dxa"/>
            <w:left w:w="15" w:type="dxa"/>
            <w:bottom w:w="15" w:type="dxa"/>
            <w:right w:w="15" w:type="dxa"/>
          </w:tblCellMar>
          <w:tblLook w:val="04A0" w:firstRow="1" w:lastRow="0" w:firstColumn="1" w:lastColumn="0" w:noHBand="0" w:noVBand="1"/>
        </w:tblPrEx>
        <w:tc>
          <w:tcPr>
            <w:tcW w:w="539" w:type="pct"/>
            <w:gridSpan w:val="2"/>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hideMark/>
          </w:tcPr>
          <w:p w:rsidR="00ED6E26" w:rsidRPr="006E187F" w:rsidRDefault="00ED6E26" w:rsidP="005D7093">
            <w:pPr>
              <w:rPr>
                <w:rFonts w:ascii="Arial Narrow" w:hAnsi="Arial Narrow"/>
                <w:color w:val="000000" w:themeColor="text1"/>
                <w:sz w:val="20"/>
                <w:szCs w:val="20"/>
              </w:rPr>
            </w:pPr>
            <w:r w:rsidRPr="006E187F">
              <w:rPr>
                <w:rFonts w:ascii="Arial Narrow" w:hAnsi="Arial Narrow"/>
                <w:color w:val="000000" w:themeColor="text1"/>
                <w:sz w:val="20"/>
                <w:szCs w:val="20"/>
              </w:rPr>
              <w:t xml:space="preserve">Patient must have </w:t>
            </w:r>
            <w:r>
              <w:rPr>
                <w:rFonts w:ascii="Arial Narrow" w:hAnsi="Arial Narrow"/>
                <w:color w:val="000000" w:themeColor="text1"/>
                <w:sz w:val="20"/>
                <w:szCs w:val="20"/>
              </w:rPr>
              <w:t>been on</w:t>
            </w:r>
            <w:r w:rsidRPr="006E187F">
              <w:rPr>
                <w:rFonts w:ascii="Arial Narrow" w:hAnsi="Arial Narrow"/>
                <w:color w:val="000000" w:themeColor="text1"/>
                <w:sz w:val="20"/>
                <w:szCs w:val="20"/>
              </w:rPr>
              <w:t xml:space="preserve"> treatment with this drug</w:t>
            </w:r>
            <w:r>
              <w:rPr>
                <w:rFonts w:ascii="Arial Narrow" w:hAnsi="Arial Narrow"/>
                <w:color w:val="000000" w:themeColor="text1"/>
                <w:sz w:val="20"/>
                <w:szCs w:val="20"/>
              </w:rPr>
              <w:t xml:space="preserve"> in the subcutaneous form</w:t>
            </w:r>
            <w:r w:rsidRPr="006E187F">
              <w:rPr>
                <w:rFonts w:ascii="Arial Narrow" w:hAnsi="Arial Narrow"/>
                <w:color w:val="000000" w:themeColor="text1"/>
                <w:sz w:val="20"/>
                <w:szCs w:val="20"/>
              </w:rPr>
              <w:t xml:space="preserve"> for this condition</w:t>
            </w:r>
            <w:r>
              <w:rPr>
                <w:rFonts w:ascii="Arial Narrow" w:hAnsi="Arial Narrow"/>
                <w:color w:val="000000" w:themeColor="text1"/>
                <w:sz w:val="20"/>
                <w:szCs w:val="20"/>
              </w:rPr>
              <w:t xml:space="preserve"> prior to [insert listing date here]</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539" w:type="pct"/>
            <w:gridSpan w:val="2"/>
            <w:vAlign w:val="center"/>
          </w:tcPr>
          <w:p w:rsidR="00ED6E26" w:rsidRDefault="00ED6E26" w:rsidP="005D7093">
            <w:pPr>
              <w:jc w:val="center"/>
              <w:rPr>
                <w:rFonts w:ascii="Arial Narrow" w:hAnsi="Arial Narrow"/>
                <w:color w:val="000000" w:themeColor="text1"/>
                <w:sz w:val="20"/>
                <w:szCs w:val="20"/>
              </w:rPr>
            </w:pPr>
          </w:p>
        </w:tc>
        <w:tc>
          <w:tcPr>
            <w:tcW w:w="4461" w:type="pct"/>
            <w:gridSpan w:val="6"/>
            <w:vAlign w:val="center"/>
          </w:tcPr>
          <w:p w:rsidR="00ED6E26" w:rsidRPr="006E187F" w:rsidRDefault="00ED6E26"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AND</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539" w:type="pct"/>
            <w:gridSpan w:val="2"/>
            <w:vAlign w:val="center"/>
          </w:tcPr>
          <w:p w:rsidR="00ED6E26" w:rsidRDefault="00ED6E26" w:rsidP="005D7093">
            <w:pPr>
              <w:jc w:val="center"/>
              <w:rPr>
                <w:rFonts w:ascii="Arial Narrow" w:hAnsi="Arial Narrow"/>
                <w:color w:val="000000" w:themeColor="text1"/>
                <w:sz w:val="20"/>
                <w:szCs w:val="20"/>
              </w:rPr>
            </w:pPr>
          </w:p>
        </w:tc>
        <w:tc>
          <w:tcPr>
            <w:tcW w:w="4461" w:type="pct"/>
            <w:gridSpan w:val="6"/>
            <w:vAlign w:val="center"/>
          </w:tcPr>
          <w:p w:rsidR="00ED6E26" w:rsidRPr="006E187F" w:rsidRDefault="00ED6E26"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Clinical criteria:</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539" w:type="pct"/>
            <w:gridSpan w:val="2"/>
            <w:vAlign w:val="center"/>
          </w:tcPr>
          <w:p w:rsidR="00ED6E26" w:rsidRDefault="00ED6E26" w:rsidP="005D7093">
            <w:pPr>
              <w:jc w:val="center"/>
              <w:rPr>
                <w:rFonts w:ascii="Arial Narrow" w:hAnsi="Arial Narrow"/>
                <w:color w:val="000000" w:themeColor="text1"/>
                <w:sz w:val="20"/>
                <w:szCs w:val="20"/>
              </w:rPr>
            </w:pPr>
          </w:p>
        </w:tc>
        <w:tc>
          <w:tcPr>
            <w:tcW w:w="4461" w:type="pct"/>
            <w:gridSpan w:val="6"/>
            <w:vAlign w:val="center"/>
          </w:tcPr>
          <w:p w:rsidR="00ED6E26" w:rsidRPr="006E187F" w:rsidRDefault="00ED6E26" w:rsidP="005D7093">
            <w:pPr>
              <w:rPr>
                <w:rFonts w:ascii="Arial Narrow" w:hAnsi="Arial Narrow"/>
                <w:color w:val="000000" w:themeColor="text1"/>
                <w:sz w:val="20"/>
                <w:szCs w:val="20"/>
              </w:rPr>
            </w:pPr>
            <w:r w:rsidRPr="00ED6E26">
              <w:rPr>
                <w:rFonts w:ascii="Arial Narrow" w:hAnsi="Arial Narrow"/>
                <w:color w:val="000000" w:themeColor="text1"/>
                <w:sz w:val="20"/>
                <w:szCs w:val="20"/>
              </w:rPr>
              <w:t>Patient must have met all initial treatment PBS-eligibility criteria applying to a non-grandfathered patient prior to having commenced treatment with this drug, which are: (i) the condition was confirmed by histological diagnosis, (ii) the treatment is/was being used as part of triple combination therapy with bortezomib and dexamethasone, (iii) the condition progressed (see definition of progressive disease below) after one prior therapy, but not after more than two prior lines of therapies (i.e. this drug was commenced as second-line treatment), (iv) the treatment was/is not to be used in combination with PBS-subsidised carfilzomib, thalidomide or its analogues, and (v) the patient had never been treated with this drug</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539" w:type="pct"/>
            <w:gridSpan w:val="2"/>
            <w:vAlign w:val="center"/>
            <w:hideMark/>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hideMark/>
          </w:tcPr>
          <w:p w:rsidR="00ED6E26" w:rsidRPr="006E187F" w:rsidRDefault="00ED6E26"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AND</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539" w:type="pct"/>
            <w:gridSpan w:val="2"/>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hideMark/>
          </w:tcPr>
          <w:p w:rsidR="00ED6E26" w:rsidRPr="006E187F" w:rsidRDefault="00ED6E26"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Clinical criteria:</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539" w:type="pct"/>
            <w:gridSpan w:val="2"/>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hideMark/>
          </w:tcPr>
          <w:p w:rsidR="00ED6E26" w:rsidRPr="006E187F" w:rsidRDefault="00ED6E26" w:rsidP="005D7093">
            <w:pPr>
              <w:rPr>
                <w:rFonts w:ascii="Arial Narrow" w:hAnsi="Arial Narrow"/>
                <w:color w:val="000000" w:themeColor="text1"/>
                <w:sz w:val="20"/>
                <w:szCs w:val="20"/>
              </w:rPr>
            </w:pPr>
            <w:r w:rsidRPr="006E187F">
              <w:rPr>
                <w:rFonts w:ascii="Arial Narrow" w:hAnsi="Arial Narrow"/>
                <w:color w:val="000000" w:themeColor="text1"/>
                <w:sz w:val="20"/>
                <w:szCs w:val="20"/>
              </w:rPr>
              <w:t>Patient must not have developed disease progression while receiving treatment with this drug for this condition</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539" w:type="pct"/>
            <w:gridSpan w:val="2"/>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tcPr>
          <w:p w:rsidR="00ED6E26" w:rsidRPr="006E187F" w:rsidRDefault="00ED6E26"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AND</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539" w:type="pct"/>
            <w:gridSpan w:val="2"/>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tcPr>
          <w:p w:rsidR="00ED6E26" w:rsidRPr="006E187F" w:rsidRDefault="00ED6E26"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Clinical criteria:</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539" w:type="pct"/>
            <w:gridSpan w:val="2"/>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tcPr>
          <w:p w:rsidR="00ED6E26" w:rsidRPr="006E187F" w:rsidRDefault="00ED6E26" w:rsidP="005D7093">
            <w:pPr>
              <w:rPr>
                <w:rFonts w:ascii="Arial Narrow" w:hAnsi="Arial Narrow"/>
                <w:color w:val="000000" w:themeColor="text1"/>
                <w:sz w:val="20"/>
                <w:szCs w:val="20"/>
              </w:rPr>
            </w:pPr>
            <w:r w:rsidRPr="006E187F">
              <w:rPr>
                <w:rFonts w:ascii="Arial Narrow" w:hAnsi="Arial Narrow"/>
                <w:color w:val="000000" w:themeColor="text1"/>
                <w:sz w:val="20"/>
                <w:szCs w:val="20"/>
              </w:rPr>
              <w:t>Patient must not be receiving concomitant PBS-subsidised bortezomib, carfilzomib or thalidomide or its analogues</w:t>
            </w:r>
          </w:p>
        </w:tc>
      </w:tr>
      <w:tr w:rsidR="00ED6E26" w:rsidRPr="006E187F" w:rsidTr="00AC6070">
        <w:tblPrEx>
          <w:tblCellMar>
            <w:top w:w="15" w:type="dxa"/>
            <w:left w:w="15" w:type="dxa"/>
            <w:bottom w:w="15" w:type="dxa"/>
            <w:right w:w="15" w:type="dxa"/>
          </w:tblCellMar>
          <w:tblLook w:val="04A0" w:firstRow="1" w:lastRow="0" w:firstColumn="1" w:lastColumn="0" w:noHBand="0" w:noVBand="1"/>
        </w:tblPrEx>
        <w:tc>
          <w:tcPr>
            <w:tcW w:w="539" w:type="pct"/>
            <w:gridSpan w:val="2"/>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hideMark/>
          </w:tcPr>
          <w:p w:rsidR="00ED6E26" w:rsidRDefault="00ED6E26" w:rsidP="005D7093">
            <w:pPr>
              <w:rPr>
                <w:rFonts w:ascii="Arial Narrow" w:hAnsi="Arial Narrow"/>
                <w:bCs/>
                <w:color w:val="000000" w:themeColor="text1"/>
                <w:sz w:val="20"/>
                <w:szCs w:val="20"/>
              </w:rPr>
            </w:pPr>
            <w:r w:rsidRPr="006E187F">
              <w:rPr>
                <w:rFonts w:ascii="Arial Narrow" w:hAnsi="Arial Narrow"/>
                <w:b/>
                <w:bCs/>
                <w:color w:val="000000" w:themeColor="text1"/>
                <w:sz w:val="20"/>
                <w:szCs w:val="20"/>
              </w:rPr>
              <w:t xml:space="preserve">Prescribing Instructions: </w:t>
            </w:r>
            <w:r w:rsidRPr="006E187F">
              <w:rPr>
                <w:rFonts w:ascii="Arial Narrow" w:hAnsi="Arial Narrow"/>
                <w:bCs/>
                <w:color w:val="000000" w:themeColor="text1"/>
                <w:sz w:val="20"/>
                <w:szCs w:val="20"/>
              </w:rPr>
              <w:t xml:space="preserve">Progressive disease is defined as at least 1 of the following: </w:t>
            </w:r>
          </w:p>
          <w:p w:rsidR="00ED6E26"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(a) at least a 25% increase and an absolute increase of at least 5 g per L in serum M protein (monoclonal protein); or, </w:t>
            </w:r>
          </w:p>
          <w:p w:rsidR="00ED6E26"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(b) at least a 25% increase in 24-hour urinary light chain M protein excretion, and an absolute increase of at least 200 mg per 24 hours; or,</w:t>
            </w:r>
          </w:p>
          <w:p w:rsidR="00ED6E26"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(c) in oligo-secretory and non-secretory myeloma patients only, at least a 50% increase in the difference between involved free light chain and uninvolved free light chain; or, </w:t>
            </w:r>
          </w:p>
          <w:p w:rsidR="00ED6E26"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(d) at least a 25% relative increase and at least a 10% absolute increase in plasma cells in a bone marrow aspirate or on biopsy; or, </w:t>
            </w:r>
          </w:p>
          <w:p w:rsidR="00ED6E26"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(e) an increase in the size or number of lytic bone lesions (not including compression fractures); or, </w:t>
            </w:r>
          </w:p>
          <w:p w:rsidR="00ED6E26"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(f) at least a 25% increase in the size of an existing or the development of a new soft tissue plasmacytoma (determined by clinical examination or diagnostic imaging); or, </w:t>
            </w:r>
          </w:p>
          <w:p w:rsidR="00ED6E26" w:rsidRPr="006E187F" w:rsidRDefault="00ED6E26" w:rsidP="005D7093">
            <w:pPr>
              <w:rPr>
                <w:rFonts w:ascii="Arial Narrow" w:hAnsi="Arial Narrow"/>
                <w:color w:val="000000" w:themeColor="text1"/>
                <w:sz w:val="20"/>
                <w:szCs w:val="20"/>
              </w:rPr>
            </w:pPr>
            <w:r w:rsidRPr="006E187F">
              <w:rPr>
                <w:rFonts w:ascii="Arial Narrow" w:hAnsi="Arial Narrow"/>
                <w:bCs/>
                <w:color w:val="000000" w:themeColor="text1"/>
                <w:sz w:val="20"/>
                <w:szCs w:val="20"/>
              </w:rPr>
              <w:t>(g) development of hypercalcaemia (corrected serum calcium greater than 2.65 mmol per L not attributable to any other cause).</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539" w:type="pct"/>
            <w:gridSpan w:val="2"/>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tcPr>
          <w:p w:rsidR="00ED6E26" w:rsidRDefault="00ED6E26" w:rsidP="005D7093">
            <w:pPr>
              <w:rPr>
                <w:rFonts w:ascii="Arial Narrow" w:hAnsi="Arial Narrow"/>
                <w:b/>
                <w:bCs/>
                <w:color w:val="000000" w:themeColor="text1"/>
                <w:sz w:val="20"/>
                <w:szCs w:val="20"/>
              </w:rPr>
            </w:pPr>
            <w:r w:rsidRPr="006E187F">
              <w:rPr>
                <w:rFonts w:ascii="Arial Narrow" w:hAnsi="Arial Narrow"/>
                <w:b/>
                <w:bCs/>
                <w:color w:val="000000" w:themeColor="text1"/>
                <w:sz w:val="20"/>
                <w:szCs w:val="20"/>
              </w:rPr>
              <w:t xml:space="preserve">Prescribing Instructions: </w:t>
            </w:r>
          </w:p>
          <w:p w:rsidR="00ED6E26" w:rsidRPr="006E187F" w:rsidRDefault="00ED6E26" w:rsidP="005D7093">
            <w:pPr>
              <w:rPr>
                <w:rFonts w:ascii="Arial Narrow" w:hAnsi="Arial Narrow"/>
                <w:b/>
                <w:bCs/>
                <w:color w:val="000000" w:themeColor="text1"/>
                <w:sz w:val="20"/>
                <w:szCs w:val="20"/>
              </w:rPr>
            </w:pPr>
            <w:r w:rsidRPr="006E187F">
              <w:rPr>
                <w:rFonts w:ascii="Arial Narrow" w:hAnsi="Arial Narrow"/>
                <w:bCs/>
                <w:color w:val="000000" w:themeColor="text1"/>
                <w:sz w:val="20"/>
                <w:szCs w:val="20"/>
              </w:rPr>
              <w:t>Oligo-secretory and non-secretory patients are defined as having active disease with less than 10 g per L serum M protein.</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539" w:type="pct"/>
            <w:gridSpan w:val="2"/>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tcPr>
          <w:p w:rsidR="00ED6E26" w:rsidRDefault="00ED6E26" w:rsidP="005D7093">
            <w:pPr>
              <w:rPr>
                <w:rFonts w:ascii="Arial Narrow" w:hAnsi="Arial Narrow"/>
                <w:b/>
                <w:bCs/>
                <w:color w:val="000000" w:themeColor="text1"/>
                <w:sz w:val="20"/>
                <w:szCs w:val="20"/>
              </w:rPr>
            </w:pPr>
            <w:r w:rsidRPr="006E187F">
              <w:rPr>
                <w:rFonts w:ascii="Arial Narrow" w:hAnsi="Arial Narrow"/>
                <w:b/>
                <w:bCs/>
                <w:color w:val="000000" w:themeColor="text1"/>
                <w:sz w:val="20"/>
                <w:szCs w:val="20"/>
              </w:rPr>
              <w:t xml:space="preserve">Prescribing Instructions: </w:t>
            </w:r>
          </w:p>
          <w:p w:rsidR="00ED6E26"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 </w:t>
            </w:r>
          </w:p>
          <w:p w:rsidR="00ED6E26"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Confirmation of eligibility for treatment with current diagnostic reports of at least one of the following must be documented in the patient's medical records:</w:t>
            </w:r>
          </w:p>
          <w:p w:rsidR="00ED6E26"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(a) the level of serum monoclonal protein; or, </w:t>
            </w:r>
          </w:p>
          <w:p w:rsidR="00ED6E26"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(b) Bence-Jones proteinuria - the results of 24-hour urinary light chain M protein excretion; or, </w:t>
            </w:r>
          </w:p>
          <w:p w:rsidR="00ED6E26"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(c) the serum level of free kappa and lambda light chains; or, </w:t>
            </w:r>
          </w:p>
          <w:p w:rsidR="00ED6E26"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(d) bone marrow aspirate or trephine; or, </w:t>
            </w:r>
          </w:p>
          <w:p w:rsidR="00ED6E26"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(e) if present, the size and location of lytic bone lesions (not including compression fractures); or, </w:t>
            </w:r>
          </w:p>
          <w:p w:rsidR="00ED6E26"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(f) if present, the size and location of all soft tissue plasmacytomas by clinical or radiographic examination i.e. MRI or CT-scan; or, </w:t>
            </w:r>
          </w:p>
          <w:p w:rsidR="00ED6E26"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(g) if present, the level of hypercalcaemia, corrected for albumin concentration. </w:t>
            </w:r>
          </w:p>
          <w:p w:rsidR="00ED6E26" w:rsidRPr="006E187F" w:rsidRDefault="00ED6E26" w:rsidP="005D7093">
            <w:pPr>
              <w:rPr>
                <w:rFonts w:ascii="Arial Narrow" w:hAnsi="Arial Narrow"/>
                <w:b/>
                <w:bCs/>
                <w:color w:val="000000" w:themeColor="text1"/>
                <w:sz w:val="20"/>
                <w:szCs w:val="20"/>
              </w:rPr>
            </w:pPr>
            <w:r w:rsidRPr="006E187F">
              <w:rPr>
                <w:rFonts w:ascii="Arial Narrow" w:hAnsi="Arial Narrow"/>
                <w:bCs/>
                <w:color w:val="000000" w:themeColor="text1"/>
                <w:sz w:val="20"/>
                <w:szCs w:val="20"/>
              </w:rPr>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tc>
      </w:tr>
      <w:tr w:rsidR="00ED6E26" w:rsidRPr="006E187F" w:rsidTr="00F806BC">
        <w:tblPrEx>
          <w:tblCellMar>
            <w:top w:w="15" w:type="dxa"/>
            <w:left w:w="15" w:type="dxa"/>
            <w:bottom w:w="15" w:type="dxa"/>
            <w:right w:w="15" w:type="dxa"/>
          </w:tblCellMar>
          <w:tblLook w:val="04A0" w:firstRow="1" w:lastRow="0" w:firstColumn="1" w:lastColumn="0" w:noHBand="0" w:noVBand="1"/>
        </w:tblPrEx>
        <w:tc>
          <w:tcPr>
            <w:tcW w:w="539" w:type="pct"/>
            <w:gridSpan w:val="2"/>
            <w:vAlign w:val="center"/>
          </w:tcPr>
          <w:p w:rsidR="00ED6E26" w:rsidRPr="006E187F" w:rsidRDefault="00ED6E26" w:rsidP="005D7093">
            <w:pPr>
              <w:jc w:val="center"/>
              <w:rPr>
                <w:rFonts w:ascii="Arial Narrow" w:hAnsi="Arial Narrow"/>
                <w:color w:val="000000" w:themeColor="text1"/>
                <w:sz w:val="20"/>
                <w:szCs w:val="20"/>
              </w:rPr>
            </w:pPr>
          </w:p>
        </w:tc>
        <w:tc>
          <w:tcPr>
            <w:tcW w:w="4461" w:type="pct"/>
            <w:gridSpan w:val="6"/>
            <w:vAlign w:val="center"/>
          </w:tcPr>
          <w:p w:rsidR="00ED6E26" w:rsidRDefault="00ED6E26" w:rsidP="005D7093">
            <w:pPr>
              <w:rPr>
                <w:rFonts w:ascii="Arial Narrow" w:hAnsi="Arial Narrow"/>
                <w:b/>
                <w:bCs/>
                <w:color w:val="000000" w:themeColor="text1"/>
                <w:sz w:val="20"/>
                <w:szCs w:val="20"/>
              </w:rPr>
            </w:pPr>
            <w:r w:rsidRPr="006E187F">
              <w:rPr>
                <w:rFonts w:ascii="Arial Narrow" w:hAnsi="Arial Narrow"/>
                <w:b/>
                <w:bCs/>
                <w:color w:val="000000" w:themeColor="text1"/>
                <w:sz w:val="20"/>
                <w:szCs w:val="20"/>
              </w:rPr>
              <w:t xml:space="preserve">Prescribing instructions: </w:t>
            </w:r>
          </w:p>
          <w:p w:rsidR="00ED6E26" w:rsidRDefault="00ED6E26"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A line of therapy is defined as 1 or more cycles of a planned treatment program. This may consist of 1 or more planned cycles of single-agent therapy or combination therapy, as well as a sequence of treatments administered in a planned manner.</w:t>
            </w:r>
          </w:p>
          <w:p w:rsidR="00ED6E26" w:rsidRPr="006E187F" w:rsidRDefault="00ED6E26" w:rsidP="005D7093">
            <w:pPr>
              <w:rPr>
                <w:rFonts w:ascii="Arial Narrow" w:hAnsi="Arial Narrow"/>
                <w:b/>
                <w:bCs/>
                <w:color w:val="000000" w:themeColor="text1"/>
                <w:sz w:val="20"/>
                <w:szCs w:val="20"/>
              </w:rPr>
            </w:pPr>
            <w:r w:rsidRPr="006E187F">
              <w:rPr>
                <w:rFonts w:ascii="Arial Narrow" w:hAnsi="Arial Narrow"/>
                <w:bCs/>
                <w:color w:val="000000" w:themeColor="text1"/>
                <w:sz w:val="20"/>
                <w:szCs w:val="20"/>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r>
    </w:tbl>
    <w:p w:rsidR="00575A7C" w:rsidRPr="006E187F" w:rsidRDefault="00575A7C" w:rsidP="00575A7C"/>
    <w:p w:rsidR="004E1FEB" w:rsidRDefault="00ED6E26" w:rsidP="004E1FEB">
      <w:pPr>
        <w:pStyle w:val="NoSpacing"/>
      </w:pPr>
      <w:r>
        <w:t>Flow on changes to the existing intravenously administered daratumumab restrictions to permit switching between IV and SC forms (only required in the ‘Initial treatment’ listing) are as follows:</w:t>
      </w:r>
    </w:p>
    <w:p w:rsidR="00ED6E26" w:rsidRDefault="00ED6E26" w:rsidP="004E1FEB">
      <w:pPr>
        <w:pStyle w:val="NoSpacing"/>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
        <w:gridCol w:w="705"/>
        <w:gridCol w:w="2134"/>
        <w:gridCol w:w="2268"/>
        <w:gridCol w:w="1984"/>
        <w:gridCol w:w="1560"/>
      </w:tblGrid>
      <w:tr w:rsidR="00003B0B" w:rsidRPr="004B31F9" w:rsidTr="005D7093">
        <w:trPr>
          <w:cantSplit/>
          <w:trHeight w:val="471"/>
        </w:trPr>
        <w:tc>
          <w:tcPr>
            <w:tcW w:w="3114" w:type="dxa"/>
            <w:gridSpan w:val="3"/>
          </w:tcPr>
          <w:p w:rsidR="00003B0B" w:rsidRPr="004B31F9" w:rsidRDefault="00003B0B" w:rsidP="005D7093">
            <w:pPr>
              <w:keepNext/>
              <w:ind w:left="-57"/>
              <w:rPr>
                <w:rFonts w:ascii="Arial Narrow" w:eastAsia="Calibri" w:hAnsi="Arial Narrow"/>
                <w:b/>
                <w:sz w:val="18"/>
                <w:szCs w:val="18"/>
                <w:lang w:eastAsia="en-US"/>
              </w:rPr>
            </w:pPr>
            <w:r w:rsidRPr="004B31F9">
              <w:rPr>
                <w:rFonts w:ascii="Arial Narrow" w:eastAsia="Calibri" w:hAnsi="Arial Narrow"/>
                <w:b/>
                <w:sz w:val="18"/>
                <w:szCs w:val="18"/>
                <w:lang w:eastAsia="en-US"/>
              </w:rPr>
              <w:t>MEDICINAL PRODUCT</w:t>
            </w:r>
          </w:p>
          <w:p w:rsidR="00003B0B" w:rsidRPr="004B31F9" w:rsidRDefault="00003B0B" w:rsidP="005D7093">
            <w:pPr>
              <w:keepNext/>
              <w:ind w:left="-57"/>
              <w:rPr>
                <w:rFonts w:ascii="Arial Narrow" w:eastAsia="Calibri" w:hAnsi="Arial Narrow"/>
                <w:b/>
                <w:sz w:val="18"/>
                <w:szCs w:val="18"/>
                <w:lang w:eastAsia="en-US"/>
              </w:rPr>
            </w:pPr>
            <w:r w:rsidRPr="004B31F9">
              <w:rPr>
                <w:rFonts w:ascii="Arial Narrow" w:eastAsia="Calibri" w:hAnsi="Arial Narrow"/>
                <w:b/>
                <w:sz w:val="18"/>
                <w:szCs w:val="18"/>
                <w:lang w:eastAsia="en-US"/>
              </w:rPr>
              <w:t>Form</w:t>
            </w:r>
          </w:p>
        </w:tc>
        <w:tc>
          <w:tcPr>
            <w:tcW w:w="2268" w:type="dxa"/>
          </w:tcPr>
          <w:p w:rsidR="00003B0B" w:rsidRPr="004B31F9" w:rsidRDefault="00003B0B" w:rsidP="005D7093">
            <w:pPr>
              <w:keepNext/>
              <w:ind w:left="-108"/>
              <w:jc w:val="center"/>
              <w:rPr>
                <w:rFonts w:ascii="Arial Narrow" w:eastAsia="Calibri" w:hAnsi="Arial Narrow"/>
                <w:b/>
                <w:sz w:val="18"/>
                <w:szCs w:val="18"/>
                <w:lang w:eastAsia="en-US"/>
              </w:rPr>
            </w:pPr>
            <w:r w:rsidRPr="004B31F9">
              <w:rPr>
                <w:rFonts w:ascii="Arial Narrow" w:eastAsia="Calibri" w:hAnsi="Arial Narrow"/>
                <w:b/>
                <w:sz w:val="18"/>
                <w:szCs w:val="18"/>
                <w:lang w:eastAsia="en-US"/>
              </w:rPr>
              <w:t>PBS item code</w:t>
            </w:r>
          </w:p>
        </w:tc>
        <w:tc>
          <w:tcPr>
            <w:tcW w:w="1984" w:type="dxa"/>
          </w:tcPr>
          <w:p w:rsidR="00003B0B" w:rsidRPr="004B31F9" w:rsidRDefault="00003B0B" w:rsidP="005D7093">
            <w:pPr>
              <w:keepNext/>
              <w:ind w:left="-108"/>
              <w:jc w:val="center"/>
              <w:rPr>
                <w:rFonts w:ascii="Arial Narrow" w:eastAsia="Calibri" w:hAnsi="Arial Narrow"/>
                <w:b/>
                <w:sz w:val="18"/>
                <w:szCs w:val="18"/>
                <w:lang w:eastAsia="en-US"/>
              </w:rPr>
            </w:pPr>
            <w:r w:rsidRPr="004B31F9">
              <w:rPr>
                <w:rFonts w:ascii="Arial Narrow" w:eastAsia="Calibri" w:hAnsi="Arial Narrow"/>
                <w:b/>
                <w:sz w:val="18"/>
                <w:szCs w:val="18"/>
                <w:lang w:eastAsia="en-US"/>
              </w:rPr>
              <w:t>Max.</w:t>
            </w:r>
          </w:p>
          <w:p w:rsidR="00003B0B" w:rsidRPr="004B31F9" w:rsidRDefault="00003B0B" w:rsidP="005D7093">
            <w:pPr>
              <w:keepNext/>
              <w:ind w:left="-108"/>
              <w:jc w:val="center"/>
              <w:rPr>
                <w:rFonts w:ascii="Arial Narrow" w:eastAsia="Calibri" w:hAnsi="Arial Narrow"/>
                <w:b/>
                <w:sz w:val="18"/>
                <w:szCs w:val="18"/>
                <w:lang w:eastAsia="en-US"/>
              </w:rPr>
            </w:pPr>
            <w:r w:rsidRPr="004B31F9">
              <w:rPr>
                <w:rFonts w:ascii="Arial Narrow" w:eastAsia="Calibri" w:hAnsi="Arial Narrow"/>
                <w:b/>
                <w:sz w:val="18"/>
                <w:szCs w:val="18"/>
                <w:lang w:eastAsia="en-US"/>
              </w:rPr>
              <w:t>Amount</w:t>
            </w:r>
          </w:p>
        </w:tc>
        <w:tc>
          <w:tcPr>
            <w:tcW w:w="1560" w:type="dxa"/>
          </w:tcPr>
          <w:p w:rsidR="00003B0B" w:rsidRPr="004B31F9" w:rsidRDefault="00003B0B" w:rsidP="005D7093">
            <w:pPr>
              <w:keepNext/>
              <w:ind w:left="-108"/>
              <w:jc w:val="center"/>
              <w:rPr>
                <w:rFonts w:ascii="Arial Narrow" w:eastAsia="Calibri" w:hAnsi="Arial Narrow"/>
                <w:b/>
                <w:sz w:val="18"/>
                <w:szCs w:val="18"/>
                <w:lang w:eastAsia="en-US"/>
              </w:rPr>
            </w:pPr>
            <w:r w:rsidRPr="004B31F9">
              <w:rPr>
                <w:rFonts w:ascii="Arial Narrow" w:eastAsia="Calibri" w:hAnsi="Arial Narrow"/>
                <w:b/>
                <w:sz w:val="18"/>
                <w:szCs w:val="18"/>
                <w:lang w:eastAsia="en-US"/>
              </w:rPr>
              <w:t>№.of Rpts</w:t>
            </w:r>
          </w:p>
        </w:tc>
      </w:tr>
      <w:tr w:rsidR="00003B0B" w:rsidRPr="004B31F9" w:rsidTr="005D7093">
        <w:trPr>
          <w:cantSplit/>
          <w:trHeight w:val="577"/>
        </w:trPr>
        <w:tc>
          <w:tcPr>
            <w:tcW w:w="3114" w:type="dxa"/>
            <w:gridSpan w:val="3"/>
          </w:tcPr>
          <w:p w:rsidR="00003B0B" w:rsidRPr="004B31F9" w:rsidRDefault="00003B0B" w:rsidP="005D7093">
            <w:pPr>
              <w:keepNext/>
              <w:ind w:left="-57"/>
              <w:rPr>
                <w:rFonts w:ascii="Arial Narrow" w:eastAsia="Calibri" w:hAnsi="Arial Narrow"/>
                <w:color w:val="FF0000"/>
                <w:sz w:val="18"/>
                <w:szCs w:val="18"/>
                <w:lang w:eastAsia="en-US"/>
              </w:rPr>
            </w:pPr>
            <w:r>
              <w:rPr>
                <w:rFonts w:ascii="Arial Narrow" w:eastAsia="Calibri" w:hAnsi="Arial Narrow"/>
                <w:sz w:val="18"/>
                <w:szCs w:val="18"/>
                <w:lang w:eastAsia="en-US"/>
              </w:rPr>
              <w:t>DARATUMUMAB</w:t>
            </w:r>
          </w:p>
          <w:p w:rsidR="00003B0B" w:rsidRPr="004B31F9" w:rsidRDefault="00003B0B" w:rsidP="005D7093">
            <w:pPr>
              <w:keepNext/>
              <w:ind w:left="-57"/>
              <w:rPr>
                <w:rFonts w:ascii="Arial Narrow" w:eastAsia="Calibri" w:hAnsi="Arial Narrow"/>
                <w:sz w:val="18"/>
                <w:szCs w:val="18"/>
                <w:lang w:eastAsia="en-US"/>
              </w:rPr>
            </w:pPr>
            <w:r w:rsidRPr="004B31F9">
              <w:rPr>
                <w:rFonts w:ascii="Arial Narrow" w:eastAsia="Calibri" w:hAnsi="Arial Narrow" w:cs="Arial Narrow"/>
                <w:sz w:val="18"/>
                <w:szCs w:val="18"/>
                <w:lang w:eastAsia="en-US"/>
              </w:rPr>
              <w:t>Injection</w:t>
            </w:r>
          </w:p>
        </w:tc>
        <w:tc>
          <w:tcPr>
            <w:tcW w:w="2268" w:type="dxa"/>
          </w:tcPr>
          <w:p w:rsidR="00003B0B" w:rsidRPr="004B31F9" w:rsidRDefault="00003B0B" w:rsidP="005D7093">
            <w:pPr>
              <w:keepNext/>
              <w:ind w:left="-108"/>
              <w:jc w:val="center"/>
              <w:rPr>
                <w:rFonts w:ascii="Arial Narrow" w:eastAsia="Calibri" w:hAnsi="Arial Narrow"/>
                <w:sz w:val="18"/>
                <w:szCs w:val="18"/>
                <w:lang w:eastAsia="en-US"/>
              </w:rPr>
            </w:pPr>
            <w:r>
              <w:rPr>
                <w:rFonts w:ascii="Arial Narrow" w:eastAsia="Calibri" w:hAnsi="Arial Narrow"/>
                <w:sz w:val="18"/>
                <w:szCs w:val="18"/>
                <w:lang w:eastAsia="en-US"/>
              </w:rPr>
              <w:t>12228N</w:t>
            </w:r>
            <w:r w:rsidRPr="004B31F9">
              <w:rPr>
                <w:rFonts w:ascii="Arial Narrow" w:eastAsia="Calibri" w:hAnsi="Arial Narrow"/>
                <w:sz w:val="18"/>
                <w:szCs w:val="18"/>
                <w:lang w:eastAsia="en-US"/>
              </w:rPr>
              <w:t xml:space="preserve"> (Public)</w:t>
            </w:r>
          </w:p>
          <w:p w:rsidR="00003B0B" w:rsidRPr="004B31F9" w:rsidRDefault="00003B0B" w:rsidP="005D7093">
            <w:pPr>
              <w:keepNext/>
              <w:ind w:left="-108"/>
              <w:jc w:val="center"/>
              <w:rPr>
                <w:rFonts w:ascii="Arial Narrow" w:eastAsia="Calibri" w:hAnsi="Arial Narrow"/>
                <w:sz w:val="18"/>
                <w:szCs w:val="18"/>
                <w:lang w:eastAsia="en-US"/>
              </w:rPr>
            </w:pPr>
            <w:r>
              <w:rPr>
                <w:rFonts w:ascii="Arial Narrow" w:eastAsia="Calibri" w:hAnsi="Arial Narrow"/>
                <w:sz w:val="18"/>
                <w:szCs w:val="18"/>
                <w:lang w:eastAsia="en-US"/>
              </w:rPr>
              <w:t>12230Q</w:t>
            </w:r>
            <w:r w:rsidRPr="004B31F9">
              <w:rPr>
                <w:rFonts w:ascii="Arial Narrow" w:eastAsia="Calibri" w:hAnsi="Arial Narrow"/>
                <w:sz w:val="18"/>
                <w:szCs w:val="18"/>
                <w:lang w:eastAsia="en-US"/>
              </w:rPr>
              <w:t xml:space="preserve"> (Private)</w:t>
            </w:r>
          </w:p>
        </w:tc>
        <w:tc>
          <w:tcPr>
            <w:tcW w:w="1984" w:type="dxa"/>
          </w:tcPr>
          <w:p w:rsidR="00003B0B" w:rsidRPr="004B31F9" w:rsidRDefault="00003B0B" w:rsidP="005D7093">
            <w:pPr>
              <w:keepNext/>
              <w:jc w:val="center"/>
              <w:rPr>
                <w:rFonts w:ascii="Arial Narrow" w:eastAsia="Calibri" w:hAnsi="Arial Narrow"/>
                <w:sz w:val="18"/>
                <w:szCs w:val="18"/>
                <w:lang w:eastAsia="en-US"/>
              </w:rPr>
            </w:pPr>
            <w:r>
              <w:rPr>
                <w:rFonts w:ascii="Arial Narrow" w:eastAsia="Calibri" w:hAnsi="Arial Narrow"/>
                <w:sz w:val="18"/>
                <w:szCs w:val="18"/>
                <w:lang w:eastAsia="en-US"/>
              </w:rPr>
              <w:t>1920</w:t>
            </w:r>
            <w:r w:rsidRPr="004B31F9">
              <w:rPr>
                <w:rFonts w:ascii="Arial Narrow" w:eastAsia="Calibri" w:hAnsi="Arial Narrow"/>
                <w:sz w:val="18"/>
                <w:szCs w:val="18"/>
                <w:lang w:eastAsia="en-US"/>
              </w:rPr>
              <w:t xml:space="preserve"> mg</w:t>
            </w:r>
          </w:p>
        </w:tc>
        <w:tc>
          <w:tcPr>
            <w:tcW w:w="1560" w:type="dxa"/>
          </w:tcPr>
          <w:p w:rsidR="00003B0B" w:rsidRPr="004B31F9" w:rsidRDefault="00003B0B" w:rsidP="005D7093">
            <w:pPr>
              <w:keepNext/>
              <w:jc w:val="center"/>
              <w:rPr>
                <w:rFonts w:ascii="Arial Narrow" w:eastAsia="Calibri" w:hAnsi="Arial Narrow"/>
                <w:sz w:val="18"/>
                <w:szCs w:val="18"/>
                <w:lang w:eastAsia="en-US"/>
              </w:rPr>
            </w:pPr>
            <w:r>
              <w:rPr>
                <w:rFonts w:ascii="Arial Narrow" w:eastAsia="Calibri" w:hAnsi="Arial Narrow"/>
                <w:sz w:val="18"/>
                <w:szCs w:val="18"/>
                <w:lang w:eastAsia="en-US"/>
              </w:rPr>
              <w:t>8</w:t>
            </w:r>
          </w:p>
        </w:tc>
      </w:tr>
      <w:tr w:rsidR="00003B0B" w:rsidRPr="004B31F9" w:rsidTr="005D7093">
        <w:trPr>
          <w:cantSplit/>
          <w:trHeight w:val="225"/>
        </w:trPr>
        <w:tc>
          <w:tcPr>
            <w:tcW w:w="8926" w:type="dxa"/>
            <w:gridSpan w:val="6"/>
          </w:tcPr>
          <w:p w:rsidR="00003B0B" w:rsidRPr="004B31F9" w:rsidRDefault="00003B0B" w:rsidP="005D7093">
            <w:pPr>
              <w:keepNext/>
              <w:ind w:left="-57"/>
              <w:jc w:val="left"/>
              <w:rPr>
                <w:rFonts w:ascii="Arial Narrow" w:eastAsia="Calibri" w:hAnsi="Arial Narrow" w:cs="Times New Roman"/>
                <w:b/>
                <w:sz w:val="18"/>
                <w:szCs w:val="18"/>
                <w:lang w:eastAsia="en-US"/>
              </w:rPr>
            </w:pPr>
            <w:r w:rsidRPr="004B31F9">
              <w:rPr>
                <w:rFonts w:ascii="Arial Narrow" w:eastAsia="Calibri" w:hAnsi="Arial Narrow" w:cs="Times New Roman"/>
                <w:b/>
                <w:sz w:val="18"/>
                <w:szCs w:val="18"/>
                <w:lang w:eastAsia="en-US"/>
              </w:rPr>
              <w:t xml:space="preserve">Available brands </w:t>
            </w:r>
          </w:p>
        </w:tc>
      </w:tr>
      <w:tr w:rsidR="00003B0B" w:rsidRPr="004B31F9" w:rsidTr="005D7093">
        <w:trPr>
          <w:cantSplit/>
          <w:trHeight w:val="360"/>
        </w:trPr>
        <w:tc>
          <w:tcPr>
            <w:tcW w:w="8926" w:type="dxa"/>
            <w:gridSpan w:val="6"/>
          </w:tcPr>
          <w:p w:rsidR="00003B0B" w:rsidRPr="004B31F9" w:rsidRDefault="00003B0B" w:rsidP="005D7093">
            <w:pPr>
              <w:ind w:left="-57"/>
              <w:rPr>
                <w:rFonts w:ascii="Arial Narrow" w:eastAsia="Calibri" w:hAnsi="Arial Narrow"/>
                <w:sz w:val="18"/>
                <w:szCs w:val="18"/>
                <w:lang w:eastAsia="en-US"/>
              </w:rPr>
            </w:pPr>
            <w:r>
              <w:rPr>
                <w:rFonts w:ascii="Arial Narrow" w:eastAsia="Calibri" w:hAnsi="Arial Narrow"/>
                <w:sz w:val="18"/>
                <w:szCs w:val="18"/>
                <w:lang w:eastAsia="en-US"/>
              </w:rPr>
              <w:t>Darzalex</w:t>
            </w:r>
          </w:p>
          <w:p w:rsidR="00003B0B" w:rsidRPr="004B31F9" w:rsidRDefault="00003B0B" w:rsidP="005D7093">
            <w:pPr>
              <w:ind w:left="-57"/>
              <w:rPr>
                <w:rFonts w:ascii="Arial Narrow" w:eastAsia="Calibri" w:hAnsi="Arial Narrow"/>
                <w:sz w:val="18"/>
                <w:szCs w:val="18"/>
                <w:lang w:eastAsia="en-US"/>
              </w:rPr>
            </w:pPr>
            <w:r w:rsidRPr="004B31F9">
              <w:rPr>
                <w:rFonts w:ascii="Arial Narrow" w:eastAsia="Calibri" w:hAnsi="Arial Narrow"/>
                <w:sz w:val="18"/>
                <w:szCs w:val="18"/>
                <w:lang w:eastAsia="en-US"/>
              </w:rPr>
              <w:t>(</w:t>
            </w:r>
            <w:r>
              <w:rPr>
                <w:rFonts w:ascii="Arial Narrow" w:eastAsia="Calibri" w:hAnsi="Arial Narrow"/>
                <w:sz w:val="18"/>
                <w:szCs w:val="18"/>
                <w:lang w:eastAsia="en-US"/>
              </w:rPr>
              <w:t>daratumumab 100 mg/5 mL injection, 5 mL vial</w:t>
            </w:r>
            <w:r w:rsidRPr="004B31F9">
              <w:rPr>
                <w:rFonts w:ascii="Arial Narrow" w:eastAsia="Calibri" w:hAnsi="Arial Narrow"/>
                <w:sz w:val="18"/>
                <w:szCs w:val="18"/>
                <w:lang w:eastAsia="en-US"/>
              </w:rPr>
              <w:t>)</w:t>
            </w:r>
          </w:p>
        </w:tc>
      </w:tr>
      <w:tr w:rsidR="00003B0B" w:rsidRPr="004B31F9" w:rsidTr="005D7093">
        <w:trPr>
          <w:cantSplit/>
          <w:trHeight w:val="360"/>
        </w:trPr>
        <w:tc>
          <w:tcPr>
            <w:tcW w:w="8926" w:type="dxa"/>
            <w:gridSpan w:val="6"/>
          </w:tcPr>
          <w:p w:rsidR="00003B0B" w:rsidRPr="004B31F9" w:rsidRDefault="00003B0B" w:rsidP="005D7093">
            <w:pPr>
              <w:ind w:left="-57"/>
              <w:rPr>
                <w:rFonts w:ascii="Arial Narrow" w:eastAsia="Calibri" w:hAnsi="Arial Narrow"/>
                <w:sz w:val="18"/>
                <w:szCs w:val="18"/>
                <w:lang w:eastAsia="en-US"/>
              </w:rPr>
            </w:pPr>
            <w:r w:rsidRPr="004B31F9">
              <w:rPr>
                <w:rFonts w:ascii="Arial Narrow" w:eastAsia="Calibri" w:hAnsi="Arial Narrow"/>
                <w:sz w:val="18"/>
                <w:szCs w:val="18"/>
                <w:lang w:eastAsia="en-US"/>
              </w:rPr>
              <w:t>Darzalex</w:t>
            </w:r>
          </w:p>
          <w:p w:rsidR="00003B0B" w:rsidRPr="004B31F9" w:rsidRDefault="00003B0B" w:rsidP="005D7093">
            <w:pPr>
              <w:ind w:left="-57"/>
              <w:rPr>
                <w:rFonts w:ascii="Arial Narrow" w:eastAsia="Calibri" w:hAnsi="Arial Narrow"/>
                <w:sz w:val="18"/>
                <w:szCs w:val="18"/>
                <w:lang w:eastAsia="en-US"/>
              </w:rPr>
            </w:pPr>
            <w:r w:rsidRPr="004B31F9">
              <w:rPr>
                <w:rFonts w:ascii="Arial Narrow" w:eastAsia="Calibri" w:hAnsi="Arial Narrow"/>
                <w:sz w:val="18"/>
                <w:szCs w:val="18"/>
                <w:lang w:eastAsia="en-US"/>
              </w:rPr>
              <w:t xml:space="preserve">(daratumumab </w:t>
            </w:r>
            <w:r>
              <w:rPr>
                <w:rFonts w:ascii="Arial Narrow" w:eastAsia="Calibri" w:hAnsi="Arial Narrow"/>
                <w:sz w:val="18"/>
                <w:szCs w:val="18"/>
                <w:lang w:eastAsia="en-US"/>
              </w:rPr>
              <w:t>4</w:t>
            </w:r>
            <w:r w:rsidRPr="004B31F9">
              <w:rPr>
                <w:rFonts w:ascii="Arial Narrow" w:eastAsia="Calibri" w:hAnsi="Arial Narrow"/>
                <w:sz w:val="18"/>
                <w:szCs w:val="18"/>
                <w:lang w:eastAsia="en-US"/>
              </w:rPr>
              <w:t>00 mg/</w:t>
            </w:r>
            <w:r>
              <w:rPr>
                <w:rFonts w:ascii="Arial Narrow" w:eastAsia="Calibri" w:hAnsi="Arial Narrow"/>
                <w:sz w:val="18"/>
                <w:szCs w:val="18"/>
                <w:lang w:eastAsia="en-US"/>
              </w:rPr>
              <w:t>20</w:t>
            </w:r>
            <w:r w:rsidRPr="004B31F9">
              <w:rPr>
                <w:rFonts w:ascii="Arial Narrow" w:eastAsia="Calibri" w:hAnsi="Arial Narrow"/>
                <w:sz w:val="18"/>
                <w:szCs w:val="18"/>
                <w:lang w:eastAsia="en-US"/>
              </w:rPr>
              <w:t xml:space="preserve"> mL injection, </w:t>
            </w:r>
            <w:r>
              <w:rPr>
                <w:rFonts w:ascii="Arial Narrow" w:eastAsia="Calibri" w:hAnsi="Arial Narrow"/>
                <w:sz w:val="18"/>
                <w:szCs w:val="18"/>
                <w:lang w:eastAsia="en-US"/>
              </w:rPr>
              <w:t>20</w:t>
            </w:r>
            <w:r w:rsidRPr="004B31F9">
              <w:rPr>
                <w:rFonts w:ascii="Arial Narrow" w:eastAsia="Calibri" w:hAnsi="Arial Narrow"/>
                <w:sz w:val="18"/>
                <w:szCs w:val="18"/>
                <w:lang w:eastAsia="en-US"/>
              </w:rPr>
              <w:t xml:space="preserve"> mL vial)</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8926" w:type="dxa"/>
            <w:gridSpan w:val="6"/>
            <w:tcBorders>
              <w:top w:val="single" w:sz="4" w:space="0" w:color="auto"/>
              <w:left w:val="single" w:sz="4" w:space="0" w:color="auto"/>
              <w:right w:val="single" w:sz="4" w:space="0" w:color="auto"/>
            </w:tcBorders>
          </w:tcPr>
          <w:p w:rsidR="00003B0B" w:rsidRPr="006E187F" w:rsidRDefault="00003B0B" w:rsidP="005D7093">
            <w:pPr>
              <w:rPr>
                <w:rFonts w:ascii="Arial Narrow" w:hAnsi="Arial Narrow"/>
                <w:b/>
                <w:color w:val="000000" w:themeColor="text1"/>
                <w:sz w:val="20"/>
                <w:szCs w:val="20"/>
              </w:rPr>
            </w:pP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8926" w:type="dxa"/>
            <w:gridSpan w:val="6"/>
            <w:tcBorders>
              <w:top w:val="single" w:sz="4" w:space="0" w:color="auto"/>
              <w:left w:val="single" w:sz="4" w:space="0" w:color="auto"/>
              <w:right w:val="single" w:sz="4" w:space="0" w:color="auto"/>
            </w:tcBorders>
          </w:tcPr>
          <w:p w:rsidR="00003B0B" w:rsidRPr="00003B0B" w:rsidRDefault="00003B0B" w:rsidP="005D7093">
            <w:pPr>
              <w:rPr>
                <w:rFonts w:ascii="Arial Narrow" w:hAnsi="Arial Narrow"/>
                <w:bCs/>
                <w:color w:val="000000" w:themeColor="text1"/>
                <w:sz w:val="20"/>
                <w:szCs w:val="20"/>
              </w:rPr>
            </w:pPr>
            <w:r>
              <w:rPr>
                <w:rFonts w:ascii="Arial Narrow" w:hAnsi="Arial Narrow"/>
                <w:b/>
                <w:color w:val="000000" w:themeColor="text1"/>
                <w:sz w:val="20"/>
                <w:szCs w:val="20"/>
              </w:rPr>
              <w:t xml:space="preserve">Edit </w:t>
            </w:r>
            <w:r w:rsidRPr="006E187F">
              <w:rPr>
                <w:rFonts w:ascii="Arial Narrow" w:hAnsi="Arial Narrow"/>
                <w:b/>
                <w:color w:val="000000" w:themeColor="text1"/>
                <w:sz w:val="20"/>
                <w:szCs w:val="20"/>
              </w:rPr>
              <w:t>Restriction Summary / Treatment of Concept</w:t>
            </w:r>
            <w:r>
              <w:rPr>
                <w:rFonts w:ascii="Arial Narrow" w:hAnsi="Arial Narrow"/>
                <w:b/>
                <w:color w:val="000000" w:themeColor="text1"/>
                <w:sz w:val="20"/>
                <w:szCs w:val="20"/>
              </w:rPr>
              <w:t>:</w:t>
            </w:r>
            <w:r w:rsidRPr="006E187F">
              <w:rPr>
                <w:rFonts w:ascii="Arial Narrow" w:hAnsi="Arial Narrow"/>
                <w:b/>
                <w:color w:val="000000" w:themeColor="text1"/>
                <w:sz w:val="20"/>
                <w:szCs w:val="20"/>
              </w:rPr>
              <w:t xml:space="preserve"> </w:t>
            </w:r>
            <w:r>
              <w:rPr>
                <w:rFonts w:ascii="Arial Narrow" w:hAnsi="Arial Narrow"/>
                <w:b/>
                <w:color w:val="000000" w:themeColor="text1"/>
                <w:sz w:val="20"/>
                <w:szCs w:val="20"/>
              </w:rPr>
              <w:t>11142 to form New 1 as above</w:t>
            </w:r>
            <w:r>
              <w:rPr>
                <w:rFonts w:ascii="Arial Narrow" w:hAnsi="Arial Narrow"/>
                <w:bCs/>
                <w:color w:val="000000" w:themeColor="text1"/>
                <w:sz w:val="20"/>
                <w:szCs w:val="20"/>
              </w:rPr>
              <w:t xml:space="preserve"> </w:t>
            </w:r>
            <w:r w:rsidRPr="00950BF9">
              <w:rPr>
                <w:rFonts w:ascii="Arial Narrow" w:hAnsi="Arial Narrow"/>
                <w:bCs/>
                <w:color w:val="000000" w:themeColor="text1"/>
                <w:sz w:val="20"/>
                <w:szCs w:val="20"/>
              </w:rPr>
              <w:t>(current as at 1 July 2021)</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980" w:type="dxa"/>
            <w:gridSpan w:val="2"/>
            <w:vMerge w:val="restart"/>
            <w:tcBorders>
              <w:top w:val="single" w:sz="4" w:space="0" w:color="auto"/>
              <w:left w:val="single" w:sz="4" w:space="0" w:color="auto"/>
              <w:right w:val="single" w:sz="4" w:space="0" w:color="auto"/>
            </w:tcBorders>
          </w:tcPr>
          <w:p w:rsidR="00003B0B" w:rsidRPr="006E187F" w:rsidRDefault="00003B0B" w:rsidP="005D7093">
            <w:pPr>
              <w:jc w:val="center"/>
              <w:rPr>
                <w:rFonts w:ascii="Arial Narrow" w:hAnsi="Arial Narrow"/>
                <w:color w:val="000000" w:themeColor="text1"/>
                <w:sz w:val="20"/>
                <w:szCs w:val="20"/>
              </w:rPr>
            </w:pPr>
          </w:p>
        </w:tc>
        <w:tc>
          <w:tcPr>
            <w:tcW w:w="7946" w:type="dxa"/>
            <w:gridSpan w:val="4"/>
            <w:tcBorders>
              <w:top w:val="single" w:sz="4" w:space="0" w:color="auto"/>
              <w:left w:val="single" w:sz="4" w:space="0" w:color="auto"/>
              <w:bottom w:val="single" w:sz="4" w:space="0" w:color="auto"/>
              <w:right w:val="single" w:sz="4" w:space="0" w:color="auto"/>
            </w:tcBorders>
          </w:tcPr>
          <w:p w:rsidR="00003B0B" w:rsidRPr="006E187F" w:rsidRDefault="00003B0B" w:rsidP="005D7093">
            <w:pPr>
              <w:rPr>
                <w:rFonts w:ascii="Arial Narrow" w:hAnsi="Arial Narrow"/>
                <w:color w:val="000000" w:themeColor="text1"/>
                <w:sz w:val="20"/>
                <w:szCs w:val="20"/>
              </w:rPr>
            </w:pPr>
            <w:r w:rsidRPr="006E187F">
              <w:rPr>
                <w:rFonts w:ascii="Arial Narrow" w:hAnsi="Arial Narrow"/>
                <w:b/>
                <w:color w:val="000000" w:themeColor="text1"/>
                <w:sz w:val="20"/>
                <w:szCs w:val="20"/>
              </w:rPr>
              <w:t xml:space="preserve">Category / Program: </w:t>
            </w:r>
            <w:r w:rsidRPr="006E187F">
              <w:rPr>
                <w:rFonts w:ascii="Arial Narrow" w:hAnsi="Arial Narrow"/>
                <w:color w:val="000000" w:themeColor="text1"/>
                <w:sz w:val="20"/>
                <w:szCs w:val="20"/>
              </w:rPr>
              <w:t xml:space="preserve">Section 100 </w:t>
            </w:r>
            <w:r>
              <w:rPr>
                <w:rFonts w:ascii="Arial Narrow" w:hAnsi="Arial Narrow"/>
                <w:color w:val="000000" w:themeColor="text1"/>
                <w:sz w:val="20"/>
                <w:szCs w:val="20"/>
              </w:rPr>
              <w:t>(Efficient Funding of Chemotherapy) (Public/Private hospitals)</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rPr>
          <w:trHeight w:val="240"/>
        </w:trPr>
        <w:tc>
          <w:tcPr>
            <w:tcW w:w="980" w:type="dxa"/>
            <w:gridSpan w:val="2"/>
            <w:vMerge/>
            <w:tcBorders>
              <w:left w:val="single" w:sz="4" w:space="0" w:color="auto"/>
              <w:right w:val="single" w:sz="4" w:space="0" w:color="auto"/>
            </w:tcBorders>
          </w:tcPr>
          <w:p w:rsidR="00003B0B" w:rsidRPr="006E187F" w:rsidRDefault="00003B0B" w:rsidP="005D7093">
            <w:pPr>
              <w:rPr>
                <w:rFonts w:ascii="Arial Narrow" w:hAnsi="Arial Narrow"/>
                <w:color w:val="000000" w:themeColor="text1"/>
                <w:sz w:val="20"/>
                <w:szCs w:val="20"/>
              </w:rPr>
            </w:pPr>
          </w:p>
        </w:tc>
        <w:tc>
          <w:tcPr>
            <w:tcW w:w="7946" w:type="dxa"/>
            <w:gridSpan w:val="4"/>
            <w:tcBorders>
              <w:top w:val="single" w:sz="4" w:space="0" w:color="auto"/>
              <w:left w:val="single" w:sz="4" w:space="0" w:color="auto"/>
              <w:bottom w:val="single" w:sz="4" w:space="0" w:color="auto"/>
              <w:right w:val="single" w:sz="4" w:space="0" w:color="auto"/>
            </w:tcBorders>
          </w:tcPr>
          <w:p w:rsidR="00003B0B" w:rsidRPr="006E187F" w:rsidRDefault="00003B0B" w:rsidP="005D7093">
            <w:pPr>
              <w:rPr>
                <w:rFonts w:ascii="Arial Narrow" w:hAnsi="Arial Narrow"/>
                <w:b/>
                <w:color w:val="000000" w:themeColor="text1"/>
                <w:sz w:val="20"/>
                <w:szCs w:val="20"/>
              </w:rPr>
            </w:pPr>
            <w:r w:rsidRPr="006E187F">
              <w:rPr>
                <w:rFonts w:ascii="Arial Narrow" w:hAnsi="Arial Narrow"/>
                <w:b/>
                <w:color w:val="000000" w:themeColor="text1"/>
                <w:sz w:val="20"/>
                <w:szCs w:val="20"/>
              </w:rPr>
              <w:t xml:space="preserve">Prescriber type: </w:t>
            </w:r>
            <w:r w:rsidRPr="006E187F">
              <w:rPr>
                <w:rFonts w:ascii="Arial Narrow" w:hAnsi="Arial Narrow"/>
                <w:color w:val="000000" w:themeColor="text1"/>
                <w:sz w:val="20"/>
                <w:szCs w:val="20"/>
              </w:rPr>
              <w:fldChar w:fldCharType="begin">
                <w:ffData>
                  <w:name w:val=""/>
                  <w:enabled/>
                  <w:calcOnExit w:val="0"/>
                  <w:checkBox>
                    <w:sizeAuto/>
                    <w:default w:val="1"/>
                  </w:checkBox>
                </w:ffData>
              </w:fldChar>
            </w:r>
            <w:r w:rsidRPr="006E187F">
              <w:rPr>
                <w:rFonts w:ascii="Arial Narrow" w:hAnsi="Arial Narrow"/>
                <w:color w:val="000000" w:themeColor="text1"/>
                <w:sz w:val="20"/>
                <w:szCs w:val="20"/>
              </w:rPr>
              <w:instrText xml:space="preserve"> FORMCHECKBOX </w:instrText>
            </w:r>
            <w:r w:rsidR="00087C7A">
              <w:rPr>
                <w:rFonts w:ascii="Arial Narrow" w:hAnsi="Arial Narrow"/>
                <w:color w:val="000000" w:themeColor="text1"/>
                <w:sz w:val="20"/>
                <w:szCs w:val="20"/>
              </w:rPr>
            </w:r>
            <w:r w:rsidR="00087C7A">
              <w:rPr>
                <w:rFonts w:ascii="Arial Narrow" w:hAnsi="Arial Narrow"/>
                <w:color w:val="000000" w:themeColor="text1"/>
                <w:sz w:val="20"/>
                <w:szCs w:val="20"/>
              </w:rPr>
              <w:fldChar w:fldCharType="separate"/>
            </w:r>
            <w:r w:rsidRPr="006E187F">
              <w:rPr>
                <w:rFonts w:ascii="Arial Narrow" w:hAnsi="Arial Narrow"/>
                <w:color w:val="000000" w:themeColor="text1"/>
                <w:sz w:val="20"/>
                <w:szCs w:val="20"/>
              </w:rPr>
              <w:fldChar w:fldCharType="end"/>
            </w:r>
            <w:r w:rsidRPr="006E187F">
              <w:rPr>
                <w:rFonts w:ascii="Arial Narrow" w:hAnsi="Arial Narrow"/>
                <w:color w:val="000000" w:themeColor="text1"/>
                <w:sz w:val="20"/>
                <w:szCs w:val="20"/>
              </w:rPr>
              <w:t xml:space="preserve">Medical Practitioners </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980" w:type="dxa"/>
            <w:gridSpan w:val="2"/>
            <w:vMerge/>
            <w:tcBorders>
              <w:left w:val="single" w:sz="4" w:space="0" w:color="auto"/>
              <w:bottom w:val="single" w:sz="4" w:space="0" w:color="auto"/>
              <w:right w:val="single" w:sz="4" w:space="0" w:color="auto"/>
            </w:tcBorders>
          </w:tcPr>
          <w:p w:rsidR="00003B0B" w:rsidRPr="006E187F" w:rsidRDefault="00003B0B" w:rsidP="005D7093">
            <w:pPr>
              <w:rPr>
                <w:rFonts w:ascii="Arial Narrow" w:hAnsi="Arial Narrow"/>
                <w:color w:val="000000" w:themeColor="text1"/>
                <w:sz w:val="20"/>
                <w:szCs w:val="20"/>
              </w:rPr>
            </w:pPr>
          </w:p>
        </w:tc>
        <w:tc>
          <w:tcPr>
            <w:tcW w:w="7946" w:type="dxa"/>
            <w:gridSpan w:val="4"/>
            <w:tcBorders>
              <w:top w:val="single" w:sz="4" w:space="0" w:color="auto"/>
              <w:left w:val="single" w:sz="4" w:space="0" w:color="auto"/>
              <w:bottom w:val="single" w:sz="4" w:space="0" w:color="auto"/>
              <w:right w:val="single" w:sz="4" w:space="0" w:color="auto"/>
            </w:tcBorders>
          </w:tcPr>
          <w:p w:rsidR="00003B0B" w:rsidRPr="006E187F" w:rsidRDefault="00003B0B" w:rsidP="005D7093">
            <w:pPr>
              <w:rPr>
                <w:rFonts w:ascii="Arial Narrow" w:eastAsia="Calibri" w:hAnsi="Arial Narrow"/>
                <w:color w:val="000000" w:themeColor="text1"/>
                <w:sz w:val="20"/>
                <w:szCs w:val="20"/>
              </w:rPr>
            </w:pPr>
            <w:r w:rsidRPr="006E187F">
              <w:rPr>
                <w:rFonts w:ascii="Arial Narrow" w:hAnsi="Arial Narrow"/>
                <w:b/>
                <w:color w:val="000000" w:themeColor="text1"/>
                <w:sz w:val="20"/>
                <w:szCs w:val="20"/>
              </w:rPr>
              <w:t xml:space="preserve">Restriction type: </w:t>
            </w:r>
            <w:r w:rsidRPr="006E187F">
              <w:rPr>
                <w:rFonts w:ascii="Arial Narrow" w:eastAsia="Calibri" w:hAnsi="Arial Narrow"/>
                <w:color w:val="000000" w:themeColor="text1"/>
                <w:sz w:val="20"/>
                <w:szCs w:val="20"/>
              </w:rPr>
              <w:fldChar w:fldCharType="begin">
                <w:ffData>
                  <w:name w:val="Check3"/>
                  <w:enabled/>
                  <w:calcOnExit w:val="0"/>
                  <w:checkBox>
                    <w:sizeAuto/>
                    <w:default w:val="1"/>
                  </w:checkBox>
                </w:ffData>
              </w:fldChar>
            </w:r>
            <w:r w:rsidRPr="006E187F">
              <w:rPr>
                <w:rFonts w:ascii="Arial Narrow" w:eastAsia="Calibri" w:hAnsi="Arial Narrow"/>
                <w:color w:val="000000" w:themeColor="text1"/>
                <w:sz w:val="20"/>
                <w:szCs w:val="20"/>
              </w:rPr>
              <w:instrText xml:space="preserve"> FORMCHECKBOX </w:instrText>
            </w:r>
            <w:r w:rsidR="00087C7A">
              <w:rPr>
                <w:rFonts w:ascii="Arial Narrow" w:eastAsia="Calibri" w:hAnsi="Arial Narrow"/>
                <w:color w:val="000000" w:themeColor="text1"/>
                <w:sz w:val="20"/>
                <w:szCs w:val="20"/>
              </w:rPr>
            </w:r>
            <w:r w:rsidR="00087C7A">
              <w:rPr>
                <w:rFonts w:ascii="Arial Narrow" w:eastAsia="Calibri" w:hAnsi="Arial Narrow"/>
                <w:color w:val="000000" w:themeColor="text1"/>
                <w:sz w:val="20"/>
                <w:szCs w:val="20"/>
              </w:rPr>
              <w:fldChar w:fldCharType="separate"/>
            </w:r>
            <w:r w:rsidRPr="006E187F">
              <w:rPr>
                <w:rFonts w:ascii="Arial Narrow" w:eastAsia="Calibri" w:hAnsi="Arial Narrow"/>
                <w:color w:val="000000" w:themeColor="text1"/>
                <w:sz w:val="20"/>
                <w:szCs w:val="20"/>
              </w:rPr>
              <w:fldChar w:fldCharType="end"/>
            </w:r>
            <w:r w:rsidRPr="006E187F">
              <w:rPr>
                <w:rFonts w:ascii="Arial Narrow" w:eastAsia="Calibri" w:hAnsi="Arial Narrow"/>
                <w:color w:val="000000" w:themeColor="text1"/>
                <w:sz w:val="20"/>
                <w:szCs w:val="20"/>
              </w:rPr>
              <w:t xml:space="preserve">Authority Required – </w:t>
            </w:r>
            <w:r w:rsidR="008821BE">
              <w:rPr>
                <w:rFonts w:ascii="Arial Narrow" w:eastAsia="Calibri" w:hAnsi="Arial Narrow"/>
                <w:color w:val="000000" w:themeColor="text1"/>
                <w:sz w:val="20"/>
                <w:szCs w:val="20"/>
              </w:rPr>
              <w:t>(telephone/online PBS Authorities system)</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275" w:type="dxa"/>
            <w:vMerge w:val="restart"/>
            <w:textDirection w:val="btLr"/>
            <w:vAlign w:val="center"/>
          </w:tcPr>
          <w:p w:rsidR="00003B0B" w:rsidRPr="006E187F" w:rsidRDefault="00003B0B" w:rsidP="005D7093">
            <w:pPr>
              <w:ind w:left="113" w:right="113"/>
              <w:jc w:val="center"/>
              <w:rPr>
                <w:rFonts w:ascii="Arial Narrow" w:hAnsi="Arial Narrow"/>
                <w:color w:val="000000" w:themeColor="text1"/>
                <w:sz w:val="20"/>
                <w:szCs w:val="20"/>
              </w:rPr>
            </w:pPr>
          </w:p>
        </w:tc>
        <w:tc>
          <w:tcPr>
            <w:tcW w:w="705" w:type="dxa"/>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Pr="006E187F" w:rsidRDefault="00003B0B"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Administrative Advice:</w:t>
            </w:r>
          </w:p>
          <w:p w:rsidR="00003B0B" w:rsidRPr="006E187F" w:rsidRDefault="00003B0B" w:rsidP="005D7093">
            <w:pPr>
              <w:rPr>
                <w:rFonts w:ascii="Arial Narrow" w:hAnsi="Arial Narrow"/>
                <w:color w:val="000000" w:themeColor="text1"/>
                <w:sz w:val="20"/>
                <w:szCs w:val="20"/>
              </w:rPr>
            </w:pPr>
            <w:r w:rsidRPr="006E187F">
              <w:rPr>
                <w:rFonts w:ascii="Arial Narrow" w:hAnsi="Arial Narrow"/>
                <w:color w:val="000000" w:themeColor="text1"/>
                <w:sz w:val="20"/>
                <w:szCs w:val="20"/>
              </w:rPr>
              <w:t>This drug is not PBS-subsidised for use in patients with multiple myeloma who have received two or more prior lines of therapy including a proteasome inhibitor (PI) and an immunomodulatory agent, or, who are refractory to both a PI and an immunomodulatory agent, as monotherapy.</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275" w:type="dxa"/>
            <w:vMerge/>
            <w:vAlign w:val="center"/>
          </w:tcPr>
          <w:p w:rsidR="00003B0B" w:rsidRPr="006E187F" w:rsidRDefault="00003B0B" w:rsidP="005D7093">
            <w:pPr>
              <w:jc w:val="center"/>
              <w:rPr>
                <w:rFonts w:ascii="Arial Narrow" w:hAnsi="Arial Narrow"/>
                <w:color w:val="000000" w:themeColor="text1"/>
                <w:sz w:val="20"/>
                <w:szCs w:val="20"/>
              </w:rPr>
            </w:pPr>
          </w:p>
        </w:tc>
        <w:tc>
          <w:tcPr>
            <w:tcW w:w="705" w:type="dxa"/>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Pr="006E187F" w:rsidRDefault="00003B0B" w:rsidP="005D7093">
            <w:pPr>
              <w:rPr>
                <w:rFonts w:ascii="Arial Narrow" w:hAnsi="Arial Narrow"/>
                <w:b/>
                <w:bCs/>
                <w:color w:val="000000" w:themeColor="text1"/>
                <w:sz w:val="20"/>
                <w:szCs w:val="20"/>
              </w:rPr>
            </w:pPr>
            <w:r w:rsidRPr="006E187F">
              <w:rPr>
                <w:rFonts w:ascii="Arial Narrow" w:hAnsi="Arial Narrow"/>
                <w:b/>
                <w:bCs/>
                <w:color w:val="000000" w:themeColor="text1"/>
                <w:sz w:val="20"/>
                <w:szCs w:val="20"/>
              </w:rPr>
              <w:t>Administrative Advice:</w:t>
            </w:r>
          </w:p>
          <w:p w:rsidR="00003B0B" w:rsidRPr="006E187F" w:rsidRDefault="00003B0B"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Applications for authorisation under this restriction may be made in real time using the Online PBS Authorities system (see www.servicesaustralia.gov.au/HPOS) or by telephone by contacting Services Australia on 1800 888 333.</w:t>
            </w:r>
          </w:p>
        </w:tc>
      </w:tr>
      <w:tr w:rsidR="00003B0B" w:rsidRPr="005F0AAA" w:rsidTr="005D7093">
        <w:tblPrEx>
          <w:tblCellMar>
            <w:top w:w="15" w:type="dxa"/>
            <w:left w:w="15" w:type="dxa"/>
            <w:bottom w:w="15" w:type="dxa"/>
            <w:right w:w="15" w:type="dxa"/>
          </w:tblCellMar>
          <w:tblLook w:val="04A0" w:firstRow="1" w:lastRow="0" w:firstColumn="1" w:lastColumn="0" w:noHBand="0" w:noVBand="1"/>
        </w:tblPrEx>
        <w:trPr>
          <w:trHeight w:val="31"/>
        </w:trPr>
        <w:tc>
          <w:tcPr>
            <w:tcW w:w="275" w:type="dxa"/>
            <w:vMerge/>
            <w:vAlign w:val="center"/>
          </w:tcPr>
          <w:p w:rsidR="00003B0B" w:rsidRPr="006E187F" w:rsidRDefault="00003B0B" w:rsidP="005D7093">
            <w:pPr>
              <w:jc w:val="center"/>
              <w:rPr>
                <w:rFonts w:ascii="Arial Narrow" w:hAnsi="Arial Narrow"/>
                <w:color w:val="000000" w:themeColor="text1"/>
                <w:sz w:val="20"/>
                <w:szCs w:val="20"/>
              </w:rPr>
            </w:pPr>
          </w:p>
        </w:tc>
        <w:tc>
          <w:tcPr>
            <w:tcW w:w="705" w:type="dxa"/>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Pr="005F0AAA" w:rsidRDefault="00003B0B" w:rsidP="005D7093">
            <w:pPr>
              <w:rPr>
                <w:rFonts w:ascii="Arial Narrow" w:hAnsi="Arial Narrow"/>
                <w:b/>
                <w:bCs/>
                <w:color w:val="000000" w:themeColor="text1"/>
                <w:sz w:val="20"/>
                <w:szCs w:val="20"/>
              </w:rPr>
            </w:pPr>
            <w:r w:rsidRPr="006E187F">
              <w:rPr>
                <w:rFonts w:ascii="Arial Narrow" w:hAnsi="Arial Narrow"/>
                <w:b/>
                <w:bCs/>
                <w:color w:val="000000" w:themeColor="text1"/>
                <w:sz w:val="20"/>
                <w:szCs w:val="20"/>
              </w:rPr>
              <w:t>Administrative Advice:</w:t>
            </w:r>
            <w:r>
              <w:rPr>
                <w:rFonts w:ascii="Arial Narrow" w:hAnsi="Arial Narrow"/>
                <w:b/>
                <w:bCs/>
                <w:color w:val="000000" w:themeColor="text1"/>
                <w:sz w:val="20"/>
                <w:szCs w:val="20"/>
              </w:rPr>
              <w:t xml:space="preserve"> </w:t>
            </w:r>
            <w:r w:rsidRPr="006E187F">
              <w:rPr>
                <w:rFonts w:ascii="Arial Narrow" w:hAnsi="Arial Narrow"/>
                <w:bCs/>
                <w:color w:val="000000" w:themeColor="text1"/>
                <w:sz w:val="20"/>
                <w:szCs w:val="20"/>
              </w:rPr>
              <w:t>No increase in the maximum number of repeats may be authorised.</w:t>
            </w:r>
          </w:p>
        </w:tc>
      </w:tr>
      <w:tr w:rsidR="00003B0B" w:rsidRPr="005F0AAA" w:rsidTr="005D7093">
        <w:tblPrEx>
          <w:tblCellMar>
            <w:top w:w="15" w:type="dxa"/>
            <w:left w:w="15" w:type="dxa"/>
            <w:bottom w:w="15" w:type="dxa"/>
            <w:right w:w="15" w:type="dxa"/>
          </w:tblCellMar>
          <w:tblLook w:val="04A0" w:firstRow="1" w:lastRow="0" w:firstColumn="1" w:lastColumn="0" w:noHBand="0" w:noVBand="1"/>
        </w:tblPrEx>
        <w:trPr>
          <w:trHeight w:val="208"/>
        </w:trPr>
        <w:tc>
          <w:tcPr>
            <w:tcW w:w="275" w:type="dxa"/>
            <w:vMerge/>
            <w:vAlign w:val="center"/>
          </w:tcPr>
          <w:p w:rsidR="00003B0B" w:rsidRPr="006E187F" w:rsidRDefault="00003B0B" w:rsidP="005D7093">
            <w:pPr>
              <w:jc w:val="center"/>
              <w:rPr>
                <w:rFonts w:ascii="Arial Narrow" w:hAnsi="Arial Narrow"/>
                <w:color w:val="000000" w:themeColor="text1"/>
                <w:sz w:val="20"/>
                <w:szCs w:val="20"/>
              </w:rPr>
            </w:pPr>
          </w:p>
        </w:tc>
        <w:tc>
          <w:tcPr>
            <w:tcW w:w="705" w:type="dxa"/>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Pr="005F0AAA" w:rsidRDefault="00003B0B" w:rsidP="005D7093">
            <w:pPr>
              <w:rPr>
                <w:rFonts w:ascii="Arial Narrow" w:hAnsi="Arial Narrow"/>
                <w:b/>
                <w:bCs/>
                <w:color w:val="000000" w:themeColor="text1"/>
                <w:sz w:val="20"/>
                <w:szCs w:val="20"/>
              </w:rPr>
            </w:pPr>
            <w:r w:rsidRPr="006E187F">
              <w:rPr>
                <w:rFonts w:ascii="Arial Narrow" w:hAnsi="Arial Narrow"/>
                <w:b/>
                <w:bCs/>
                <w:color w:val="000000" w:themeColor="text1"/>
                <w:sz w:val="20"/>
                <w:szCs w:val="20"/>
              </w:rPr>
              <w:t>Administrative Advice:</w:t>
            </w:r>
            <w:r>
              <w:rPr>
                <w:rFonts w:ascii="Arial Narrow" w:hAnsi="Arial Narrow"/>
                <w:b/>
                <w:bCs/>
                <w:color w:val="000000" w:themeColor="text1"/>
                <w:sz w:val="20"/>
                <w:szCs w:val="20"/>
              </w:rPr>
              <w:t xml:space="preserve"> </w:t>
            </w:r>
            <w:r w:rsidRPr="006E187F">
              <w:rPr>
                <w:rFonts w:ascii="Arial Narrow" w:hAnsi="Arial Narrow"/>
                <w:bCs/>
                <w:color w:val="000000" w:themeColor="text1"/>
                <w:sz w:val="20"/>
                <w:szCs w:val="20"/>
              </w:rPr>
              <w:t>Special Pricing Arrangements apply.</w:t>
            </w:r>
          </w:p>
        </w:tc>
      </w:tr>
      <w:tr w:rsidR="00003B0B" w:rsidRPr="006E187F" w:rsidTr="00AC6070">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hideMark/>
          </w:tcPr>
          <w:p w:rsidR="00003B0B" w:rsidRPr="006E187F" w:rsidRDefault="00003B0B"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Indication:</w:t>
            </w:r>
            <w:r w:rsidRPr="006E187F">
              <w:rPr>
                <w:rFonts w:ascii="Arial Narrow" w:hAnsi="Arial Narrow"/>
                <w:color w:val="000000" w:themeColor="text1"/>
                <w:sz w:val="20"/>
                <w:szCs w:val="20"/>
              </w:rPr>
              <w:t xml:space="preserve"> </w:t>
            </w:r>
            <w:r w:rsidRPr="006E187F">
              <w:rPr>
                <w:rFonts w:ascii="Arial Narrow" w:hAnsi="Arial Narrow"/>
                <w:bCs/>
                <w:color w:val="000000" w:themeColor="text1"/>
                <w:sz w:val="20"/>
                <w:szCs w:val="20"/>
              </w:rPr>
              <w:t>Relapsed and/or refractory multiple myeloma</w:t>
            </w:r>
          </w:p>
        </w:tc>
      </w:tr>
      <w:tr w:rsidR="00003B0B" w:rsidRPr="006E187F" w:rsidTr="00AC6070">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hideMark/>
          </w:tcPr>
          <w:p w:rsidR="00003B0B" w:rsidRPr="006E187F" w:rsidRDefault="00003B0B"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Treatment Phase:</w:t>
            </w:r>
            <w:r w:rsidRPr="006E187F">
              <w:rPr>
                <w:rFonts w:ascii="Arial Narrow" w:hAnsi="Arial Narrow"/>
                <w:color w:val="000000" w:themeColor="text1"/>
                <w:sz w:val="20"/>
                <w:szCs w:val="20"/>
              </w:rPr>
              <w:t xml:space="preserve"> Initial treatment as second-line drug therapy for weeks 1 to 9 (administered once weekly)</w:t>
            </w:r>
          </w:p>
        </w:tc>
      </w:tr>
      <w:tr w:rsidR="00003B0B" w:rsidRPr="006E187F" w:rsidTr="00AC6070">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hideMark/>
          </w:tcPr>
          <w:p w:rsidR="00003B0B" w:rsidRPr="006E187F" w:rsidRDefault="00003B0B"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 xml:space="preserve">Clinical criteria: </w:t>
            </w:r>
          </w:p>
        </w:tc>
      </w:tr>
      <w:tr w:rsidR="00003B0B" w:rsidRPr="006E187F" w:rsidTr="00AC6070">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hideMark/>
          </w:tcPr>
          <w:p w:rsidR="00003B0B" w:rsidRPr="006E187F" w:rsidRDefault="00003B0B" w:rsidP="005D7093">
            <w:pPr>
              <w:rPr>
                <w:rFonts w:ascii="Arial Narrow" w:hAnsi="Arial Narrow"/>
                <w:color w:val="000000" w:themeColor="text1"/>
                <w:sz w:val="20"/>
                <w:szCs w:val="20"/>
              </w:rPr>
            </w:pPr>
            <w:r w:rsidRPr="006E187F">
              <w:rPr>
                <w:rFonts w:ascii="Arial Narrow" w:hAnsi="Arial Narrow"/>
                <w:color w:val="000000" w:themeColor="text1"/>
                <w:sz w:val="20"/>
                <w:szCs w:val="20"/>
              </w:rPr>
              <w:t>The condition must be confirmed by a histological diagnosis</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Pr="006E187F" w:rsidRDefault="00003B0B"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AND</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Pr="006E187F" w:rsidRDefault="00003B0B"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Clinical criteria:</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Pr="006E187F" w:rsidRDefault="00003B0B" w:rsidP="005D7093">
            <w:pPr>
              <w:rPr>
                <w:rFonts w:ascii="Arial Narrow" w:hAnsi="Arial Narrow"/>
                <w:color w:val="000000" w:themeColor="text1"/>
                <w:sz w:val="20"/>
                <w:szCs w:val="20"/>
              </w:rPr>
            </w:pPr>
            <w:r w:rsidRPr="006E187F">
              <w:rPr>
                <w:rFonts w:ascii="Arial Narrow" w:hAnsi="Arial Narrow"/>
                <w:color w:val="000000" w:themeColor="text1"/>
                <w:sz w:val="20"/>
                <w:szCs w:val="20"/>
              </w:rPr>
              <w:t>The treatment must be in combination with bortezomib and dexamethasone</w:t>
            </w:r>
          </w:p>
        </w:tc>
      </w:tr>
      <w:tr w:rsidR="00003B0B" w:rsidRPr="006E187F" w:rsidTr="00AC6070">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hideMark/>
          </w:tcPr>
          <w:p w:rsidR="00003B0B" w:rsidRPr="006E187F" w:rsidRDefault="00003B0B"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AND</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hideMark/>
          </w:tcPr>
          <w:p w:rsidR="00003B0B" w:rsidRPr="006E187F" w:rsidRDefault="00003B0B"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Clinical criteria:</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hideMark/>
          </w:tcPr>
          <w:p w:rsidR="00003B0B" w:rsidRPr="006E187F" w:rsidRDefault="00003B0B" w:rsidP="005D7093">
            <w:pPr>
              <w:rPr>
                <w:rFonts w:ascii="Arial Narrow" w:hAnsi="Arial Narrow"/>
                <w:color w:val="000000" w:themeColor="text1"/>
                <w:sz w:val="20"/>
                <w:szCs w:val="20"/>
              </w:rPr>
            </w:pPr>
            <w:r w:rsidRPr="006E187F">
              <w:rPr>
                <w:rFonts w:ascii="Arial Narrow" w:hAnsi="Arial Narrow"/>
                <w:color w:val="000000" w:themeColor="text1"/>
                <w:sz w:val="20"/>
                <w:szCs w:val="20"/>
              </w:rPr>
              <w:t>Patient must have progressive disease after only one prior therapy (i.e. use must be as second-line drug therapy; use as third-line drug therapy or beyond is not PBS-subsidised)</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Pr="006E187F" w:rsidRDefault="00003B0B"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AND</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Pr="006E187F" w:rsidRDefault="00003B0B"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Clinical criteria:</w:t>
            </w:r>
          </w:p>
        </w:tc>
      </w:tr>
      <w:tr w:rsidR="00003B0B" w:rsidRPr="006E187F" w:rsidTr="00BE5C17">
        <w:tblPrEx>
          <w:tblCellMar>
            <w:top w:w="15" w:type="dxa"/>
            <w:left w:w="15" w:type="dxa"/>
            <w:bottom w:w="15" w:type="dxa"/>
            <w:right w:w="15" w:type="dxa"/>
          </w:tblCellMar>
          <w:tblLook w:val="04A0" w:firstRow="1" w:lastRow="0" w:firstColumn="1" w:lastColumn="0" w:noHBand="0" w:noVBand="1"/>
        </w:tblPrEx>
        <w:trPr>
          <w:trHeight w:val="55"/>
        </w:trPr>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Pr="006E187F" w:rsidRDefault="00003B0B" w:rsidP="005D7093">
            <w:pPr>
              <w:rPr>
                <w:rFonts w:ascii="Arial Narrow" w:hAnsi="Arial Narrow"/>
                <w:color w:val="000000" w:themeColor="text1"/>
                <w:sz w:val="20"/>
                <w:szCs w:val="20"/>
              </w:rPr>
            </w:pPr>
            <w:r w:rsidRPr="006E187F">
              <w:rPr>
                <w:rFonts w:ascii="Arial Narrow" w:hAnsi="Arial Narrow"/>
                <w:color w:val="000000" w:themeColor="text1"/>
                <w:sz w:val="20"/>
                <w:szCs w:val="20"/>
              </w:rPr>
              <w:t>Patient must not be receiving concomitant PBS-subsidised carfilzomib, thalidomide or its analogues</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Pr="006E187F" w:rsidRDefault="00003B0B" w:rsidP="005D7093">
            <w:pPr>
              <w:rPr>
                <w:rFonts w:ascii="Arial Narrow" w:hAnsi="Arial Narrow"/>
                <w:color w:val="000000" w:themeColor="text1"/>
                <w:sz w:val="20"/>
                <w:szCs w:val="20"/>
              </w:rPr>
            </w:pPr>
            <w:r w:rsidRPr="006E187F">
              <w:rPr>
                <w:rFonts w:ascii="Arial Narrow" w:hAnsi="Arial Narrow"/>
                <w:b/>
                <w:bCs/>
                <w:color w:val="000000" w:themeColor="text1"/>
                <w:sz w:val="20"/>
                <w:szCs w:val="20"/>
              </w:rPr>
              <w:t>AND</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Pr="004B31F9" w:rsidRDefault="00003B0B" w:rsidP="005D7093">
            <w:pPr>
              <w:rPr>
                <w:rFonts w:ascii="Arial Narrow" w:hAnsi="Arial Narrow"/>
                <w:b/>
                <w:bCs/>
                <w:strike/>
                <w:color w:val="000000" w:themeColor="text1"/>
                <w:sz w:val="20"/>
                <w:szCs w:val="20"/>
              </w:rPr>
            </w:pPr>
            <w:r w:rsidRPr="004B31F9">
              <w:rPr>
                <w:rFonts w:ascii="Arial Narrow" w:hAnsi="Arial Narrow"/>
                <w:b/>
                <w:bCs/>
                <w:strike/>
                <w:color w:val="000000" w:themeColor="text1"/>
                <w:sz w:val="20"/>
                <w:szCs w:val="20"/>
              </w:rPr>
              <w:t>Clinical criteria:</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Pr="004B31F9" w:rsidRDefault="00003B0B" w:rsidP="005D7093">
            <w:pPr>
              <w:rPr>
                <w:rFonts w:ascii="Arial Narrow" w:hAnsi="Arial Narrow"/>
                <w:strike/>
                <w:color w:val="000000" w:themeColor="text1"/>
                <w:sz w:val="20"/>
                <w:szCs w:val="20"/>
              </w:rPr>
            </w:pPr>
            <w:r w:rsidRPr="004B31F9">
              <w:rPr>
                <w:rFonts w:ascii="Arial Narrow" w:hAnsi="Arial Narrow"/>
                <w:strike/>
                <w:color w:val="000000" w:themeColor="text1"/>
                <w:sz w:val="20"/>
                <w:szCs w:val="20"/>
              </w:rPr>
              <w:t>Patient must not have previously received this drug for this condition</w:t>
            </w:r>
          </w:p>
        </w:tc>
      </w:tr>
      <w:tr w:rsidR="00003B0B" w:rsidRPr="00364CAD" w:rsidTr="005D7093">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Pr="00950BF9" w:rsidRDefault="00003B0B" w:rsidP="005D7093">
            <w:pPr>
              <w:rPr>
                <w:rFonts w:ascii="Arial Narrow" w:hAnsi="Arial Narrow"/>
                <w:b/>
                <w:bCs/>
                <w:color w:val="000000" w:themeColor="text1"/>
                <w:sz w:val="20"/>
                <w:szCs w:val="20"/>
              </w:rPr>
            </w:pPr>
            <w:r w:rsidRPr="00950BF9">
              <w:rPr>
                <w:rFonts w:ascii="Arial Narrow" w:hAnsi="Arial Narrow"/>
                <w:b/>
                <w:bCs/>
                <w:color w:val="000000" w:themeColor="text1"/>
                <w:sz w:val="20"/>
                <w:szCs w:val="20"/>
              </w:rPr>
              <w:t>Treatment criteria:</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Pr="00950BF9" w:rsidRDefault="00003B0B" w:rsidP="005D7093">
            <w:pPr>
              <w:rPr>
                <w:rFonts w:ascii="Arial Narrow" w:hAnsi="Arial Narrow"/>
                <w:color w:val="000000" w:themeColor="text1"/>
                <w:sz w:val="20"/>
                <w:szCs w:val="20"/>
              </w:rPr>
            </w:pPr>
            <w:r w:rsidRPr="00950BF9">
              <w:rPr>
                <w:rFonts w:ascii="Arial Narrow" w:hAnsi="Arial Narrow"/>
                <w:color w:val="000000" w:themeColor="text1"/>
                <w:sz w:val="20"/>
                <w:szCs w:val="20"/>
              </w:rPr>
              <w:t>Patient must be undergoing treatment with this drug in one of the following situations: (i) for the first time for this PBS indication, (ii) changing the drug’s form (intravenous/subcutaneous) within the first 9 weeks of treatment</w:t>
            </w:r>
          </w:p>
        </w:tc>
      </w:tr>
      <w:tr w:rsidR="00003B0B" w:rsidRPr="006E187F" w:rsidTr="00AC6070">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hideMark/>
          </w:tcPr>
          <w:p w:rsidR="00003B0B" w:rsidRDefault="00003B0B" w:rsidP="005D7093">
            <w:pPr>
              <w:rPr>
                <w:rFonts w:ascii="Arial Narrow" w:hAnsi="Arial Narrow"/>
                <w:b/>
                <w:bCs/>
                <w:color w:val="000000" w:themeColor="text1"/>
                <w:sz w:val="20"/>
                <w:szCs w:val="20"/>
              </w:rPr>
            </w:pPr>
            <w:r w:rsidRPr="006E187F">
              <w:rPr>
                <w:rFonts w:ascii="Arial Narrow" w:hAnsi="Arial Narrow"/>
                <w:b/>
                <w:bCs/>
                <w:color w:val="000000" w:themeColor="text1"/>
                <w:sz w:val="20"/>
                <w:szCs w:val="20"/>
              </w:rPr>
              <w:t xml:space="preserve">Prescribing Instructions: </w:t>
            </w:r>
          </w:p>
          <w:p w:rsidR="00003B0B" w:rsidRPr="006E187F" w:rsidRDefault="00003B0B" w:rsidP="005D7093">
            <w:pPr>
              <w:rPr>
                <w:rFonts w:ascii="Arial Narrow" w:hAnsi="Arial Narrow"/>
                <w:color w:val="000000" w:themeColor="text1"/>
                <w:sz w:val="20"/>
                <w:szCs w:val="20"/>
              </w:rPr>
            </w:pPr>
            <w:r w:rsidRPr="006E187F">
              <w:rPr>
                <w:rFonts w:ascii="Arial Narrow" w:hAnsi="Arial Narrow"/>
                <w:bCs/>
                <w:color w:val="000000" w:themeColor="text1"/>
                <w:sz w:val="20"/>
                <w:szCs w:val="20"/>
              </w:rPr>
              <w:t>Progressive disease is defined as at least 1 of the following:, (a) at least a 25% increase and an absolute increase of at least 5 g per L in serum M protein (monoclonal protein); or, (b) at least a 25% increase in 24-hour urinary light chain M protein excretion, and an absolute increase of at least 200 mg per 24 hours; or, (c) in oligo-secretory and non-secretory myeloma patients only, at least a 50% increase in the difference between involved free light chain and uninvolved free light chain; or, (d) at least a 25% relative increase and at least a 10% absolute increase in plasma cells in a bone marrow aspirate or on biopsy; or, (e) an increase in the size or number of lytic bone lesions (not including compression fractures); or, (f) at least a 25% increase in the size of an existing or the development of a new soft tissue plasmacytoma (determined by clinical examination or diagnostic imaging); or, (g) development of hypercalcaemia (corrected serum calcium greater than 2.65 mmol per L not attributable to any other cause).</w:t>
            </w:r>
          </w:p>
        </w:tc>
      </w:tr>
      <w:tr w:rsidR="00003B0B" w:rsidRPr="006E187F" w:rsidTr="00AC6070">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hideMark/>
          </w:tcPr>
          <w:p w:rsidR="00003B0B" w:rsidRDefault="00003B0B" w:rsidP="005D7093">
            <w:pPr>
              <w:rPr>
                <w:rFonts w:ascii="Arial Narrow" w:hAnsi="Arial Narrow"/>
                <w:b/>
                <w:bCs/>
                <w:color w:val="000000" w:themeColor="text1"/>
                <w:sz w:val="20"/>
                <w:szCs w:val="20"/>
              </w:rPr>
            </w:pPr>
            <w:r w:rsidRPr="006E187F">
              <w:rPr>
                <w:rFonts w:ascii="Arial Narrow" w:hAnsi="Arial Narrow"/>
                <w:b/>
                <w:bCs/>
                <w:color w:val="000000" w:themeColor="text1"/>
                <w:sz w:val="20"/>
                <w:szCs w:val="20"/>
              </w:rPr>
              <w:t xml:space="preserve">Prescribing Instructions: </w:t>
            </w:r>
          </w:p>
          <w:p w:rsidR="00003B0B" w:rsidRPr="006E187F" w:rsidRDefault="00003B0B" w:rsidP="005D7093">
            <w:pPr>
              <w:rPr>
                <w:rFonts w:ascii="Arial Narrow" w:hAnsi="Arial Narrow"/>
                <w:color w:val="000000" w:themeColor="text1"/>
                <w:sz w:val="20"/>
                <w:szCs w:val="20"/>
              </w:rPr>
            </w:pPr>
            <w:r w:rsidRPr="006E187F">
              <w:rPr>
                <w:rFonts w:ascii="Arial Narrow" w:hAnsi="Arial Narrow"/>
                <w:bCs/>
                <w:color w:val="000000" w:themeColor="text1"/>
                <w:sz w:val="20"/>
                <w:szCs w:val="20"/>
              </w:rPr>
              <w:t>Oligo-secretory and non-secretory patients are defined as having active disease with less than 10 g per L serum M protein.</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Default="00003B0B" w:rsidP="005D7093">
            <w:pPr>
              <w:rPr>
                <w:rFonts w:ascii="Arial Narrow" w:hAnsi="Arial Narrow"/>
                <w:b/>
                <w:bCs/>
                <w:color w:val="000000" w:themeColor="text1"/>
                <w:sz w:val="20"/>
                <w:szCs w:val="20"/>
              </w:rPr>
            </w:pPr>
            <w:r w:rsidRPr="006E187F">
              <w:rPr>
                <w:rFonts w:ascii="Arial Narrow" w:hAnsi="Arial Narrow"/>
                <w:b/>
                <w:bCs/>
                <w:color w:val="000000" w:themeColor="text1"/>
                <w:sz w:val="20"/>
                <w:szCs w:val="20"/>
              </w:rPr>
              <w:t xml:space="preserve">Prescribing Instructions: </w:t>
            </w:r>
          </w:p>
          <w:p w:rsidR="00003B0B" w:rsidRDefault="00003B0B"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 </w:t>
            </w:r>
          </w:p>
          <w:p w:rsidR="00003B0B" w:rsidRDefault="00003B0B"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Confirmation of eligibility for treatment with current diagnostic reports of at least one of the following must be documented in the patient's medical records:</w:t>
            </w:r>
          </w:p>
          <w:p w:rsidR="00003B0B" w:rsidRDefault="00003B0B"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(a) the level of serum monoclonal protein; or, </w:t>
            </w:r>
          </w:p>
          <w:p w:rsidR="00003B0B" w:rsidRDefault="00003B0B"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(b) Bence-Jones proteinuria - the results of 24-hour urinary light chain M protein excretion; or, </w:t>
            </w:r>
          </w:p>
          <w:p w:rsidR="00003B0B" w:rsidRDefault="00003B0B"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(c) the serum level of free kappa and lambda light chains; or, </w:t>
            </w:r>
          </w:p>
          <w:p w:rsidR="00003B0B" w:rsidRDefault="00003B0B"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(d) bone marrow aspirate or trephine; or, </w:t>
            </w:r>
          </w:p>
          <w:p w:rsidR="00003B0B" w:rsidRDefault="00003B0B"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(e) if present, the size and location of lytic bone lesions (not including compression fractures); or, </w:t>
            </w:r>
          </w:p>
          <w:p w:rsidR="00003B0B" w:rsidRDefault="00003B0B"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(f) if present, the size and location of all soft tissue plasmacytomas by clinical or radiographic examination i.e. MRI or CT-scan; or, </w:t>
            </w:r>
          </w:p>
          <w:p w:rsidR="00003B0B" w:rsidRDefault="00003B0B"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 xml:space="preserve">(g) if present, the level of hypercalcaemia, corrected for albumin concentration. </w:t>
            </w:r>
          </w:p>
          <w:p w:rsidR="00003B0B" w:rsidRPr="006E187F" w:rsidRDefault="00003B0B"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p>
        </w:tc>
      </w:tr>
      <w:tr w:rsidR="00003B0B" w:rsidRPr="006E187F" w:rsidTr="005D7093">
        <w:tblPrEx>
          <w:tblCellMar>
            <w:top w:w="15" w:type="dxa"/>
            <w:left w:w="15" w:type="dxa"/>
            <w:bottom w:w="15" w:type="dxa"/>
            <w:right w:w="15" w:type="dxa"/>
          </w:tblCellMar>
          <w:tblLook w:val="04A0" w:firstRow="1" w:lastRow="0" w:firstColumn="1" w:lastColumn="0" w:noHBand="0" w:noVBand="1"/>
        </w:tblPrEx>
        <w:trPr>
          <w:trHeight w:val="1420"/>
        </w:trPr>
        <w:tc>
          <w:tcPr>
            <w:tcW w:w="980" w:type="dxa"/>
            <w:gridSpan w:val="2"/>
            <w:vAlign w:val="center"/>
          </w:tcPr>
          <w:p w:rsidR="00003B0B" w:rsidRPr="006E187F" w:rsidRDefault="00003B0B" w:rsidP="005D7093">
            <w:pPr>
              <w:jc w:val="center"/>
              <w:rPr>
                <w:rFonts w:ascii="Arial Narrow" w:hAnsi="Arial Narrow"/>
                <w:color w:val="000000" w:themeColor="text1"/>
                <w:sz w:val="20"/>
                <w:szCs w:val="20"/>
              </w:rPr>
            </w:pPr>
          </w:p>
        </w:tc>
        <w:tc>
          <w:tcPr>
            <w:tcW w:w="7946" w:type="dxa"/>
            <w:gridSpan w:val="4"/>
            <w:vAlign w:val="center"/>
          </w:tcPr>
          <w:p w:rsidR="00003B0B" w:rsidRDefault="00003B0B" w:rsidP="005D7093">
            <w:pPr>
              <w:rPr>
                <w:rFonts w:ascii="Arial Narrow" w:hAnsi="Arial Narrow"/>
                <w:b/>
                <w:bCs/>
                <w:color w:val="000000" w:themeColor="text1"/>
                <w:sz w:val="20"/>
                <w:szCs w:val="20"/>
              </w:rPr>
            </w:pPr>
            <w:r w:rsidRPr="006E187F">
              <w:rPr>
                <w:rFonts w:ascii="Arial Narrow" w:hAnsi="Arial Narrow"/>
                <w:b/>
                <w:bCs/>
                <w:color w:val="000000" w:themeColor="text1"/>
                <w:sz w:val="20"/>
                <w:szCs w:val="20"/>
              </w:rPr>
              <w:t xml:space="preserve">Prescribing instructions: </w:t>
            </w:r>
          </w:p>
          <w:p w:rsidR="00003B0B" w:rsidRDefault="00003B0B"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A line of therapy is defined as 1 or more cycles of a planned treatment program. This may consist of 1 or more planned cycles of single-agent therapy or combination therapy, as well as a sequence of treatments administered in a planned manner.</w:t>
            </w:r>
          </w:p>
          <w:p w:rsidR="00003B0B" w:rsidRPr="006E187F" w:rsidRDefault="00003B0B" w:rsidP="005D7093">
            <w:pPr>
              <w:rPr>
                <w:rFonts w:ascii="Arial Narrow" w:hAnsi="Arial Narrow"/>
                <w:bCs/>
                <w:color w:val="000000" w:themeColor="text1"/>
                <w:sz w:val="20"/>
                <w:szCs w:val="20"/>
              </w:rPr>
            </w:pPr>
            <w:r w:rsidRPr="006E187F">
              <w:rPr>
                <w:rFonts w:ascii="Arial Narrow" w:hAnsi="Arial Narrow"/>
                <w:bCs/>
                <w:color w:val="000000" w:themeColor="text1"/>
                <w:sz w:val="20"/>
                <w:szCs w:val="20"/>
              </w:rPr>
              <w:t>A new line of therapy starts when a planned course of therapy is modified to include other treatment agents (alone or in combination) as a result of disease progression, relapse, or toxicity, with the exception to this being the need to attain a sufficient response for stem cell transplantation to proceed. A new line of therapy also starts when a planned period of observation off therapy is interrupted by a need for additional treatment for the disease.</w:t>
            </w:r>
          </w:p>
        </w:tc>
      </w:tr>
    </w:tbl>
    <w:p w:rsidR="00ED6E26" w:rsidRDefault="00ED6E26" w:rsidP="004E1FEB">
      <w:pPr>
        <w:pStyle w:val="NoSpacing"/>
      </w:pPr>
    </w:p>
    <w:p w:rsidR="00110C6E" w:rsidRDefault="00110C6E" w:rsidP="00110C6E">
      <w:pPr>
        <w:jc w:val="left"/>
        <w:rPr>
          <w:b/>
          <w:bCs/>
          <w:i/>
        </w:rPr>
      </w:pPr>
      <w:r w:rsidRPr="001C6154">
        <w:rPr>
          <w:b/>
          <w:bCs/>
          <w:i/>
        </w:rPr>
        <w:t>This restriction may be subject to further review. Should there be any chang</w:t>
      </w:r>
      <w:r w:rsidR="00044A4C">
        <w:rPr>
          <w:b/>
          <w:bCs/>
          <w:i/>
        </w:rPr>
        <w:t>es made to the restriction the s</w:t>
      </w:r>
      <w:r w:rsidRPr="001C6154">
        <w:rPr>
          <w:b/>
          <w:bCs/>
          <w:i/>
        </w:rPr>
        <w:t>ponsor will be informed.</w:t>
      </w:r>
    </w:p>
    <w:p w:rsidR="007D7F3B" w:rsidRPr="001C6154" w:rsidRDefault="007D7F3B" w:rsidP="00110C6E">
      <w:pPr>
        <w:jc w:val="left"/>
      </w:pPr>
    </w:p>
    <w:p w:rsidR="007D7F3B" w:rsidRPr="007D7F3B" w:rsidRDefault="007D7F3B" w:rsidP="007D7F3B">
      <w:pPr>
        <w:pStyle w:val="2-SectionHeading"/>
      </w:pPr>
      <w:r w:rsidRPr="00C07617">
        <w:t>Context for Decision</w:t>
      </w:r>
    </w:p>
    <w:p w:rsidR="007D7F3B" w:rsidRPr="007129F2" w:rsidRDefault="007D7F3B" w:rsidP="007D7F3B">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7D7F3B" w:rsidRPr="007D7F3B" w:rsidRDefault="007D7F3B" w:rsidP="007D7F3B">
      <w:pPr>
        <w:pStyle w:val="2-SectionHeading"/>
      </w:pPr>
      <w:r>
        <w:t>Sponsor’s Comment</w:t>
      </w:r>
    </w:p>
    <w:p w:rsidR="007D7F3B" w:rsidRPr="001179AC" w:rsidRDefault="007D7F3B" w:rsidP="007D7F3B">
      <w:pPr>
        <w:spacing w:after="120"/>
        <w:ind w:firstLine="720"/>
        <w:rPr>
          <w:rFonts w:asciiTheme="minorHAnsi" w:hAnsiTheme="minorHAnsi"/>
          <w:bCs/>
        </w:rPr>
      </w:pPr>
      <w:r w:rsidRPr="00C07617">
        <w:rPr>
          <w:rFonts w:asciiTheme="minorHAnsi" w:hAnsiTheme="minorHAnsi"/>
          <w:bCs/>
        </w:rPr>
        <w:t>The sponsor had no comment.</w:t>
      </w:r>
    </w:p>
    <w:p w:rsidR="00110C6E" w:rsidRDefault="00110C6E" w:rsidP="004E1FEB">
      <w:pPr>
        <w:pStyle w:val="NoSpacing"/>
      </w:pPr>
    </w:p>
    <w:sectPr w:rsidR="00110C6E" w:rsidSect="00BC51CA">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F84" w:rsidRDefault="00733F84" w:rsidP="00124A51">
      <w:r>
        <w:separator/>
      </w:r>
    </w:p>
    <w:p w:rsidR="00733F84" w:rsidRDefault="00733F84"/>
  </w:endnote>
  <w:endnote w:type="continuationSeparator" w:id="0">
    <w:p w:rsidR="00733F84" w:rsidRDefault="00733F84" w:rsidP="00124A51">
      <w:r>
        <w:continuationSeparator/>
      </w:r>
    </w:p>
    <w:p w:rsidR="00733F84" w:rsidRDefault="00733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84" w:rsidRDefault="00733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28" w:rsidRPr="00D13A3E" w:rsidRDefault="00B15128" w:rsidP="00015886">
    <w:pPr>
      <w:ind w:right="360"/>
      <w:jc w:val="center"/>
      <w:rPr>
        <w:b/>
        <w:sz w:val="20"/>
      </w:rPr>
    </w:pPr>
  </w:p>
  <w:p w:rsidR="00B15128" w:rsidRPr="00F90A91" w:rsidRDefault="00B15128" w:rsidP="000130A5">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087C7A">
      <w:rPr>
        <w:b/>
        <w:noProof/>
      </w:rPr>
      <w:t>11</w:t>
    </w:r>
    <w:r w:rsidRPr="00836F75">
      <w:rPr>
        <w:b/>
        <w:noProof/>
      </w:rPr>
      <w:fldChar w:fldCharType="end"/>
    </w:r>
    <w:r>
      <w:rPr>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84" w:rsidRDefault="00733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F84" w:rsidRDefault="00733F84" w:rsidP="00124A51">
      <w:r>
        <w:separator/>
      </w:r>
    </w:p>
    <w:p w:rsidR="00733F84" w:rsidRDefault="00733F84"/>
  </w:footnote>
  <w:footnote w:type="continuationSeparator" w:id="0">
    <w:p w:rsidR="00733F84" w:rsidRDefault="00733F84" w:rsidP="00124A51">
      <w:r>
        <w:continuationSeparator/>
      </w:r>
    </w:p>
    <w:p w:rsidR="00733F84" w:rsidRDefault="00733F84"/>
  </w:footnote>
  <w:footnote w:id="1">
    <w:p w:rsidR="00B15128" w:rsidRDefault="00B15128" w:rsidP="00C46662">
      <w:pPr>
        <w:pStyle w:val="FootnoteText"/>
      </w:pPr>
      <w:r>
        <w:rPr>
          <w:rStyle w:val="FootnoteReference"/>
        </w:rPr>
        <w:footnoteRef/>
      </w:r>
      <w:r>
        <w:t xml:space="preserve"> Lonial S, et al. (2016), ‘Daratumumab monotherapy in patients with treatment-refractory multiple myeloma (SIRIUS): an open-label, randomised, phase 2 trial’, Lancet, 387 (10027), https://doi.org/10.1016/S2352-3026(20)30081-8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84" w:rsidRDefault="00733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28" w:rsidRPr="00056684" w:rsidRDefault="00B15128" w:rsidP="000130A5">
    <w:pPr>
      <w:pStyle w:val="Header"/>
      <w:ind w:left="360"/>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July 2021</w:t>
    </w:r>
    <w:r w:rsidRPr="00056684">
      <w:rPr>
        <w:rFonts w:asciiTheme="minorHAnsi" w:hAnsiTheme="minorHAnsi"/>
        <w:i/>
        <w:color w:val="808080"/>
      </w:rPr>
      <w:t xml:space="preserve"> PBAC Meeting</w:t>
    </w:r>
  </w:p>
  <w:p w:rsidR="00B15128" w:rsidRPr="008C7ECB" w:rsidRDefault="00B15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84" w:rsidRDefault="00733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B70883"/>
    <w:multiLevelType w:val="hybridMultilevel"/>
    <w:tmpl w:val="718A1C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2E2BAF"/>
    <w:multiLevelType w:val="hybridMultilevel"/>
    <w:tmpl w:val="27B002C8"/>
    <w:lvl w:ilvl="0" w:tplc="0C09000F">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376C72"/>
    <w:multiLevelType w:val="hybridMultilevel"/>
    <w:tmpl w:val="61CAF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B0D21B28"/>
    <w:lvl w:ilvl="0" w:tplc="04090001">
      <w:start w:val="1"/>
      <w:numFmt w:val="bullet"/>
      <w:pStyle w:val="ListParagraph"/>
      <w:lvlText w:val=""/>
      <w:lvlJc w:val="left"/>
      <w:pPr>
        <w:ind w:left="720" w:hanging="360"/>
      </w:pPr>
      <w:rPr>
        <w:rFonts w:ascii="Symbol" w:hAnsi="Symbol" w:hint="default"/>
      </w:rPr>
    </w:lvl>
    <w:lvl w:ilvl="1" w:tplc="1CF09E34">
      <w:numFmt w:val="bullet"/>
      <w:lvlText w:val="•"/>
      <w:lvlJc w:val="left"/>
      <w:pPr>
        <w:ind w:left="1800" w:hanging="72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761E21BF"/>
    <w:multiLevelType w:val="hybridMultilevel"/>
    <w:tmpl w:val="2F320AF0"/>
    <w:lvl w:ilvl="0" w:tplc="4C20C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4D033C"/>
    <w:multiLevelType w:val="multilevel"/>
    <w:tmpl w:val="5922D6AA"/>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9"/>
  </w:num>
  <w:num w:numId="3">
    <w:abstractNumId w:val="10"/>
  </w:num>
  <w:num w:numId="4">
    <w:abstractNumId w:val="0"/>
  </w:num>
  <w:num w:numId="5">
    <w:abstractNumId w:val="15"/>
  </w:num>
  <w:num w:numId="6">
    <w:abstractNumId w:val="8"/>
  </w:num>
  <w:num w:numId="7">
    <w:abstractNumId w:val="2"/>
  </w:num>
  <w:num w:numId="8">
    <w:abstractNumId w:val="4"/>
  </w:num>
  <w:num w:numId="9">
    <w:abstractNumId w:val="14"/>
  </w:num>
  <w:num w:numId="10">
    <w:abstractNumId w:val="11"/>
  </w:num>
  <w:num w:numId="11">
    <w:abstractNumId w:val="12"/>
  </w:num>
  <w:num w:numId="12">
    <w:abstractNumId w:val="3"/>
  </w:num>
  <w:num w:numId="13">
    <w:abstractNumId w:val="1"/>
  </w:num>
  <w:num w:numId="14">
    <w:abstractNumId w:val="6"/>
  </w:num>
  <w:num w:numId="15">
    <w:abstractNumId w:val="7"/>
  </w:num>
  <w:num w:numId="16">
    <w:abstractNumId w:val="5"/>
  </w:num>
  <w:num w:numId="1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C1MDMwMzcwMTQwsjRX0lEKTi0uzszPAykwqgUAr7v9ZiwAAAA="/>
  </w:docVars>
  <w:rsids>
    <w:rsidRoot w:val="00E65E79"/>
    <w:rsid w:val="00000042"/>
    <w:rsid w:val="000002A0"/>
    <w:rsid w:val="00000790"/>
    <w:rsid w:val="0000110B"/>
    <w:rsid w:val="00002A3A"/>
    <w:rsid w:val="00003499"/>
    <w:rsid w:val="00003639"/>
    <w:rsid w:val="000039B7"/>
    <w:rsid w:val="00003B0B"/>
    <w:rsid w:val="000062A2"/>
    <w:rsid w:val="0000639A"/>
    <w:rsid w:val="0001012B"/>
    <w:rsid w:val="000130A5"/>
    <w:rsid w:val="00013247"/>
    <w:rsid w:val="000156BC"/>
    <w:rsid w:val="00015886"/>
    <w:rsid w:val="000162EF"/>
    <w:rsid w:val="000203D2"/>
    <w:rsid w:val="000207C9"/>
    <w:rsid w:val="0002225F"/>
    <w:rsid w:val="00023763"/>
    <w:rsid w:val="00023D33"/>
    <w:rsid w:val="0002468B"/>
    <w:rsid w:val="0002624E"/>
    <w:rsid w:val="000274B8"/>
    <w:rsid w:val="000333FC"/>
    <w:rsid w:val="000334FB"/>
    <w:rsid w:val="00033863"/>
    <w:rsid w:val="00033C90"/>
    <w:rsid w:val="00035DC0"/>
    <w:rsid w:val="00036829"/>
    <w:rsid w:val="0003686F"/>
    <w:rsid w:val="000374B1"/>
    <w:rsid w:val="00037695"/>
    <w:rsid w:val="00040895"/>
    <w:rsid w:val="00040936"/>
    <w:rsid w:val="00041AC0"/>
    <w:rsid w:val="00042A10"/>
    <w:rsid w:val="00043460"/>
    <w:rsid w:val="000435EE"/>
    <w:rsid w:val="00043C37"/>
    <w:rsid w:val="00044A4C"/>
    <w:rsid w:val="00045017"/>
    <w:rsid w:val="00045A2B"/>
    <w:rsid w:val="0004698F"/>
    <w:rsid w:val="000505E9"/>
    <w:rsid w:val="00053065"/>
    <w:rsid w:val="00053570"/>
    <w:rsid w:val="000539D0"/>
    <w:rsid w:val="00054621"/>
    <w:rsid w:val="000546D7"/>
    <w:rsid w:val="00054925"/>
    <w:rsid w:val="00055ADA"/>
    <w:rsid w:val="00055E10"/>
    <w:rsid w:val="00056ECF"/>
    <w:rsid w:val="000571C2"/>
    <w:rsid w:val="00057D77"/>
    <w:rsid w:val="000604DF"/>
    <w:rsid w:val="00061B20"/>
    <w:rsid w:val="00064ED0"/>
    <w:rsid w:val="000653B5"/>
    <w:rsid w:val="00065D74"/>
    <w:rsid w:val="00066360"/>
    <w:rsid w:val="00066AF8"/>
    <w:rsid w:val="0006707E"/>
    <w:rsid w:val="000671C3"/>
    <w:rsid w:val="00067E32"/>
    <w:rsid w:val="0007111D"/>
    <w:rsid w:val="00071248"/>
    <w:rsid w:val="000720B9"/>
    <w:rsid w:val="000737F7"/>
    <w:rsid w:val="00073962"/>
    <w:rsid w:val="00073B72"/>
    <w:rsid w:val="000751E0"/>
    <w:rsid w:val="0007672F"/>
    <w:rsid w:val="00076B54"/>
    <w:rsid w:val="000774F0"/>
    <w:rsid w:val="00077B3E"/>
    <w:rsid w:val="00080909"/>
    <w:rsid w:val="000812CA"/>
    <w:rsid w:val="00081E63"/>
    <w:rsid w:val="00081E67"/>
    <w:rsid w:val="0008258D"/>
    <w:rsid w:val="000829ED"/>
    <w:rsid w:val="00083146"/>
    <w:rsid w:val="00083E99"/>
    <w:rsid w:val="00084FA8"/>
    <w:rsid w:val="000856C5"/>
    <w:rsid w:val="00085C31"/>
    <w:rsid w:val="00087C7A"/>
    <w:rsid w:val="000902D9"/>
    <w:rsid w:val="00090C7E"/>
    <w:rsid w:val="00091FFA"/>
    <w:rsid w:val="00092600"/>
    <w:rsid w:val="0009262B"/>
    <w:rsid w:val="00093310"/>
    <w:rsid w:val="0009445C"/>
    <w:rsid w:val="00095200"/>
    <w:rsid w:val="00095FE5"/>
    <w:rsid w:val="00096284"/>
    <w:rsid w:val="00096A11"/>
    <w:rsid w:val="000A022F"/>
    <w:rsid w:val="000A1BC0"/>
    <w:rsid w:val="000A438F"/>
    <w:rsid w:val="000A5899"/>
    <w:rsid w:val="000A6039"/>
    <w:rsid w:val="000A66C5"/>
    <w:rsid w:val="000A7453"/>
    <w:rsid w:val="000A7D08"/>
    <w:rsid w:val="000B0121"/>
    <w:rsid w:val="000B0661"/>
    <w:rsid w:val="000B0670"/>
    <w:rsid w:val="000B0E75"/>
    <w:rsid w:val="000B27CB"/>
    <w:rsid w:val="000B2DCB"/>
    <w:rsid w:val="000B38E5"/>
    <w:rsid w:val="000B43BB"/>
    <w:rsid w:val="000B5145"/>
    <w:rsid w:val="000B57F2"/>
    <w:rsid w:val="000B5CE0"/>
    <w:rsid w:val="000B5D90"/>
    <w:rsid w:val="000B6CAC"/>
    <w:rsid w:val="000B7421"/>
    <w:rsid w:val="000B7612"/>
    <w:rsid w:val="000B7774"/>
    <w:rsid w:val="000B78AE"/>
    <w:rsid w:val="000B7B49"/>
    <w:rsid w:val="000B7DAD"/>
    <w:rsid w:val="000C3C3C"/>
    <w:rsid w:val="000C3DF9"/>
    <w:rsid w:val="000C6713"/>
    <w:rsid w:val="000C718B"/>
    <w:rsid w:val="000D0CCB"/>
    <w:rsid w:val="000D16C8"/>
    <w:rsid w:val="000D1BFC"/>
    <w:rsid w:val="000D1D5D"/>
    <w:rsid w:val="000D281A"/>
    <w:rsid w:val="000D2848"/>
    <w:rsid w:val="000D326A"/>
    <w:rsid w:val="000D3E0F"/>
    <w:rsid w:val="000D4379"/>
    <w:rsid w:val="000D4F46"/>
    <w:rsid w:val="000D51FB"/>
    <w:rsid w:val="000D6F87"/>
    <w:rsid w:val="000D7304"/>
    <w:rsid w:val="000E02CA"/>
    <w:rsid w:val="000E0640"/>
    <w:rsid w:val="000E135D"/>
    <w:rsid w:val="000E20B3"/>
    <w:rsid w:val="000E22CD"/>
    <w:rsid w:val="000E23D5"/>
    <w:rsid w:val="000E2F6F"/>
    <w:rsid w:val="000F00BA"/>
    <w:rsid w:val="000F0FD3"/>
    <w:rsid w:val="000F1FFE"/>
    <w:rsid w:val="000F2FB3"/>
    <w:rsid w:val="000F316A"/>
    <w:rsid w:val="000F3C74"/>
    <w:rsid w:val="000F4BB8"/>
    <w:rsid w:val="000F4FA9"/>
    <w:rsid w:val="000F53FB"/>
    <w:rsid w:val="000F7127"/>
    <w:rsid w:val="000F78A4"/>
    <w:rsid w:val="000F7B54"/>
    <w:rsid w:val="00100F8A"/>
    <w:rsid w:val="00103C11"/>
    <w:rsid w:val="0010452E"/>
    <w:rsid w:val="00105AE2"/>
    <w:rsid w:val="001060C6"/>
    <w:rsid w:val="00106B80"/>
    <w:rsid w:val="001079F6"/>
    <w:rsid w:val="0011032E"/>
    <w:rsid w:val="00110C6E"/>
    <w:rsid w:val="0011211B"/>
    <w:rsid w:val="0011348B"/>
    <w:rsid w:val="001144D7"/>
    <w:rsid w:val="00115982"/>
    <w:rsid w:val="00115D9A"/>
    <w:rsid w:val="00116C53"/>
    <w:rsid w:val="00120BBD"/>
    <w:rsid w:val="00121799"/>
    <w:rsid w:val="001222FC"/>
    <w:rsid w:val="0012322E"/>
    <w:rsid w:val="00123902"/>
    <w:rsid w:val="00124A51"/>
    <w:rsid w:val="001258AA"/>
    <w:rsid w:val="00126621"/>
    <w:rsid w:val="00126B1D"/>
    <w:rsid w:val="001301E9"/>
    <w:rsid w:val="00130CAB"/>
    <w:rsid w:val="00130F6E"/>
    <w:rsid w:val="00131C7E"/>
    <w:rsid w:val="00131D82"/>
    <w:rsid w:val="00132B22"/>
    <w:rsid w:val="00133D36"/>
    <w:rsid w:val="001341B7"/>
    <w:rsid w:val="00136E7A"/>
    <w:rsid w:val="00137537"/>
    <w:rsid w:val="00137645"/>
    <w:rsid w:val="0014015A"/>
    <w:rsid w:val="00140D70"/>
    <w:rsid w:val="00140E99"/>
    <w:rsid w:val="00141161"/>
    <w:rsid w:val="00142700"/>
    <w:rsid w:val="0014368A"/>
    <w:rsid w:val="00143F67"/>
    <w:rsid w:val="00145540"/>
    <w:rsid w:val="001456B0"/>
    <w:rsid w:val="00146DC9"/>
    <w:rsid w:val="00147492"/>
    <w:rsid w:val="00154C02"/>
    <w:rsid w:val="001568E1"/>
    <w:rsid w:val="00156F8F"/>
    <w:rsid w:val="00157130"/>
    <w:rsid w:val="001576B1"/>
    <w:rsid w:val="0016047B"/>
    <w:rsid w:val="00160A4C"/>
    <w:rsid w:val="00161BEB"/>
    <w:rsid w:val="00162309"/>
    <w:rsid w:val="00162913"/>
    <w:rsid w:val="001629EC"/>
    <w:rsid w:val="00163EFF"/>
    <w:rsid w:val="00163F66"/>
    <w:rsid w:val="00165121"/>
    <w:rsid w:val="001661FB"/>
    <w:rsid w:val="001671A0"/>
    <w:rsid w:val="0016767F"/>
    <w:rsid w:val="001734E9"/>
    <w:rsid w:val="00173565"/>
    <w:rsid w:val="001737EA"/>
    <w:rsid w:val="00173B07"/>
    <w:rsid w:val="0017458C"/>
    <w:rsid w:val="001751FA"/>
    <w:rsid w:val="00176830"/>
    <w:rsid w:val="00176E86"/>
    <w:rsid w:val="00177B28"/>
    <w:rsid w:val="00177EF8"/>
    <w:rsid w:val="0018086D"/>
    <w:rsid w:val="00180A03"/>
    <w:rsid w:val="001818AA"/>
    <w:rsid w:val="00181D9C"/>
    <w:rsid w:val="00184B0E"/>
    <w:rsid w:val="001865DF"/>
    <w:rsid w:val="0018752F"/>
    <w:rsid w:val="001932B4"/>
    <w:rsid w:val="00193838"/>
    <w:rsid w:val="00194AD8"/>
    <w:rsid w:val="00195222"/>
    <w:rsid w:val="00195F36"/>
    <w:rsid w:val="0019724D"/>
    <w:rsid w:val="001975D8"/>
    <w:rsid w:val="00197888"/>
    <w:rsid w:val="00197D4E"/>
    <w:rsid w:val="001A178E"/>
    <w:rsid w:val="001A2B9A"/>
    <w:rsid w:val="001A43FA"/>
    <w:rsid w:val="001A47C5"/>
    <w:rsid w:val="001A59FB"/>
    <w:rsid w:val="001A5E9E"/>
    <w:rsid w:val="001A6354"/>
    <w:rsid w:val="001A6366"/>
    <w:rsid w:val="001A6F4D"/>
    <w:rsid w:val="001A7AE8"/>
    <w:rsid w:val="001B0AF2"/>
    <w:rsid w:val="001B1622"/>
    <w:rsid w:val="001B204E"/>
    <w:rsid w:val="001B2372"/>
    <w:rsid w:val="001B3443"/>
    <w:rsid w:val="001B3F25"/>
    <w:rsid w:val="001B4D20"/>
    <w:rsid w:val="001B6991"/>
    <w:rsid w:val="001B6E29"/>
    <w:rsid w:val="001C2A9B"/>
    <w:rsid w:val="001C3405"/>
    <w:rsid w:val="001C4299"/>
    <w:rsid w:val="001C4874"/>
    <w:rsid w:val="001C5F94"/>
    <w:rsid w:val="001C6E66"/>
    <w:rsid w:val="001D1100"/>
    <w:rsid w:val="001D1391"/>
    <w:rsid w:val="001D2381"/>
    <w:rsid w:val="001D25D7"/>
    <w:rsid w:val="001D4FA4"/>
    <w:rsid w:val="001D50B2"/>
    <w:rsid w:val="001D7645"/>
    <w:rsid w:val="001D79CD"/>
    <w:rsid w:val="001D7D29"/>
    <w:rsid w:val="001E165E"/>
    <w:rsid w:val="001E1E86"/>
    <w:rsid w:val="001E238E"/>
    <w:rsid w:val="001E2483"/>
    <w:rsid w:val="001E2B1E"/>
    <w:rsid w:val="001E2CFF"/>
    <w:rsid w:val="001E2F24"/>
    <w:rsid w:val="001E30D4"/>
    <w:rsid w:val="001E34DF"/>
    <w:rsid w:val="001E52EB"/>
    <w:rsid w:val="001E61D2"/>
    <w:rsid w:val="001E62F5"/>
    <w:rsid w:val="001E740C"/>
    <w:rsid w:val="001E7ED3"/>
    <w:rsid w:val="001F1235"/>
    <w:rsid w:val="001F1CB3"/>
    <w:rsid w:val="001F2126"/>
    <w:rsid w:val="001F24B1"/>
    <w:rsid w:val="001F38B5"/>
    <w:rsid w:val="001F3E62"/>
    <w:rsid w:val="001F4081"/>
    <w:rsid w:val="001F52FB"/>
    <w:rsid w:val="001F7361"/>
    <w:rsid w:val="0020062D"/>
    <w:rsid w:val="002011B0"/>
    <w:rsid w:val="00203181"/>
    <w:rsid w:val="00203783"/>
    <w:rsid w:val="0020385F"/>
    <w:rsid w:val="0020686F"/>
    <w:rsid w:val="002068A0"/>
    <w:rsid w:val="00206B68"/>
    <w:rsid w:val="00206D4C"/>
    <w:rsid w:val="00207021"/>
    <w:rsid w:val="0020732F"/>
    <w:rsid w:val="002076D2"/>
    <w:rsid w:val="00207D00"/>
    <w:rsid w:val="002105C1"/>
    <w:rsid w:val="0021121C"/>
    <w:rsid w:val="00211E85"/>
    <w:rsid w:val="00213EF5"/>
    <w:rsid w:val="00215FE6"/>
    <w:rsid w:val="002167F2"/>
    <w:rsid w:val="00216BF5"/>
    <w:rsid w:val="00220149"/>
    <w:rsid w:val="0022106A"/>
    <w:rsid w:val="00221E01"/>
    <w:rsid w:val="0022306C"/>
    <w:rsid w:val="00223B49"/>
    <w:rsid w:val="00223D5A"/>
    <w:rsid w:val="00223E79"/>
    <w:rsid w:val="002243CE"/>
    <w:rsid w:val="00224D7F"/>
    <w:rsid w:val="00224DD4"/>
    <w:rsid w:val="002255F0"/>
    <w:rsid w:val="00225FBE"/>
    <w:rsid w:val="002278A0"/>
    <w:rsid w:val="00227B97"/>
    <w:rsid w:val="002309CC"/>
    <w:rsid w:val="00230D26"/>
    <w:rsid w:val="00230FE7"/>
    <w:rsid w:val="00231209"/>
    <w:rsid w:val="00231411"/>
    <w:rsid w:val="00231438"/>
    <w:rsid w:val="00231FEA"/>
    <w:rsid w:val="0023209F"/>
    <w:rsid w:val="00233C01"/>
    <w:rsid w:val="0023413C"/>
    <w:rsid w:val="002346F0"/>
    <w:rsid w:val="00235B8D"/>
    <w:rsid w:val="0023629D"/>
    <w:rsid w:val="002369AB"/>
    <w:rsid w:val="00237255"/>
    <w:rsid w:val="00237974"/>
    <w:rsid w:val="002412E6"/>
    <w:rsid w:val="002414A1"/>
    <w:rsid w:val="00241881"/>
    <w:rsid w:val="002418BD"/>
    <w:rsid w:val="002424AF"/>
    <w:rsid w:val="00242521"/>
    <w:rsid w:val="00242F2C"/>
    <w:rsid w:val="0024315B"/>
    <w:rsid w:val="002439DC"/>
    <w:rsid w:val="002441D2"/>
    <w:rsid w:val="00244DC8"/>
    <w:rsid w:val="002458BA"/>
    <w:rsid w:val="00245CE9"/>
    <w:rsid w:val="0024628C"/>
    <w:rsid w:val="0024636C"/>
    <w:rsid w:val="00247925"/>
    <w:rsid w:val="00251006"/>
    <w:rsid w:val="002524D5"/>
    <w:rsid w:val="00252A97"/>
    <w:rsid w:val="00253B1D"/>
    <w:rsid w:val="00254437"/>
    <w:rsid w:val="00254536"/>
    <w:rsid w:val="00254DCF"/>
    <w:rsid w:val="0025534B"/>
    <w:rsid w:val="00255BB7"/>
    <w:rsid w:val="00257541"/>
    <w:rsid w:val="00257A39"/>
    <w:rsid w:val="00257AC4"/>
    <w:rsid w:val="00261EEF"/>
    <w:rsid w:val="00262A1A"/>
    <w:rsid w:val="00262A87"/>
    <w:rsid w:val="002635E6"/>
    <w:rsid w:val="00263FE6"/>
    <w:rsid w:val="00264AEF"/>
    <w:rsid w:val="00264D26"/>
    <w:rsid w:val="002652D2"/>
    <w:rsid w:val="002663BF"/>
    <w:rsid w:val="00267642"/>
    <w:rsid w:val="00267AEA"/>
    <w:rsid w:val="002700E6"/>
    <w:rsid w:val="0027294B"/>
    <w:rsid w:val="00272C31"/>
    <w:rsid w:val="00273879"/>
    <w:rsid w:val="00273EB4"/>
    <w:rsid w:val="00274682"/>
    <w:rsid w:val="002751EB"/>
    <w:rsid w:val="00275982"/>
    <w:rsid w:val="00275C5A"/>
    <w:rsid w:val="00275D82"/>
    <w:rsid w:val="00276359"/>
    <w:rsid w:val="00276605"/>
    <w:rsid w:val="00276E57"/>
    <w:rsid w:val="00281014"/>
    <w:rsid w:val="002824E9"/>
    <w:rsid w:val="0028665D"/>
    <w:rsid w:val="00292D6D"/>
    <w:rsid w:val="002937AF"/>
    <w:rsid w:val="00293902"/>
    <w:rsid w:val="00294892"/>
    <w:rsid w:val="00295DCF"/>
    <w:rsid w:val="00296411"/>
    <w:rsid w:val="0029683F"/>
    <w:rsid w:val="002A001D"/>
    <w:rsid w:val="002A0E3D"/>
    <w:rsid w:val="002A14AB"/>
    <w:rsid w:val="002A2ADE"/>
    <w:rsid w:val="002A2F50"/>
    <w:rsid w:val="002A5330"/>
    <w:rsid w:val="002A7070"/>
    <w:rsid w:val="002A7077"/>
    <w:rsid w:val="002B05A1"/>
    <w:rsid w:val="002B09A4"/>
    <w:rsid w:val="002B1C1F"/>
    <w:rsid w:val="002B432F"/>
    <w:rsid w:val="002B536F"/>
    <w:rsid w:val="002B54C4"/>
    <w:rsid w:val="002B62B3"/>
    <w:rsid w:val="002B6754"/>
    <w:rsid w:val="002B6CCE"/>
    <w:rsid w:val="002C22A8"/>
    <w:rsid w:val="002C2510"/>
    <w:rsid w:val="002C2775"/>
    <w:rsid w:val="002C27C1"/>
    <w:rsid w:val="002C5099"/>
    <w:rsid w:val="002C544A"/>
    <w:rsid w:val="002C5889"/>
    <w:rsid w:val="002C71CE"/>
    <w:rsid w:val="002D08F8"/>
    <w:rsid w:val="002D4B33"/>
    <w:rsid w:val="002D577C"/>
    <w:rsid w:val="002D7C06"/>
    <w:rsid w:val="002E1071"/>
    <w:rsid w:val="002E1351"/>
    <w:rsid w:val="002E15B9"/>
    <w:rsid w:val="002E2158"/>
    <w:rsid w:val="002E2770"/>
    <w:rsid w:val="002E4F02"/>
    <w:rsid w:val="002E51E7"/>
    <w:rsid w:val="002E674C"/>
    <w:rsid w:val="002E7722"/>
    <w:rsid w:val="002F07BA"/>
    <w:rsid w:val="002F0DA9"/>
    <w:rsid w:val="002F1014"/>
    <w:rsid w:val="002F643C"/>
    <w:rsid w:val="002F71C0"/>
    <w:rsid w:val="002F74F1"/>
    <w:rsid w:val="00301017"/>
    <w:rsid w:val="0030155F"/>
    <w:rsid w:val="00301BC4"/>
    <w:rsid w:val="00302DF9"/>
    <w:rsid w:val="00302F69"/>
    <w:rsid w:val="00303B8B"/>
    <w:rsid w:val="0030587B"/>
    <w:rsid w:val="00306D98"/>
    <w:rsid w:val="0030786C"/>
    <w:rsid w:val="0031031A"/>
    <w:rsid w:val="0031089F"/>
    <w:rsid w:val="00310981"/>
    <w:rsid w:val="00311B67"/>
    <w:rsid w:val="003124D9"/>
    <w:rsid w:val="00312594"/>
    <w:rsid w:val="003137EB"/>
    <w:rsid w:val="00314AB2"/>
    <w:rsid w:val="003152F4"/>
    <w:rsid w:val="00315498"/>
    <w:rsid w:val="00316474"/>
    <w:rsid w:val="00316830"/>
    <w:rsid w:val="00317173"/>
    <w:rsid w:val="003174F0"/>
    <w:rsid w:val="0032198D"/>
    <w:rsid w:val="00321EB2"/>
    <w:rsid w:val="00322107"/>
    <w:rsid w:val="00322355"/>
    <w:rsid w:val="00322846"/>
    <w:rsid w:val="00322A5F"/>
    <w:rsid w:val="00323816"/>
    <w:rsid w:val="0032503C"/>
    <w:rsid w:val="003265D7"/>
    <w:rsid w:val="00326DA7"/>
    <w:rsid w:val="003270E4"/>
    <w:rsid w:val="00330DAA"/>
    <w:rsid w:val="00330F5C"/>
    <w:rsid w:val="003366C9"/>
    <w:rsid w:val="003371B0"/>
    <w:rsid w:val="00340DF1"/>
    <w:rsid w:val="00342F63"/>
    <w:rsid w:val="003435EF"/>
    <w:rsid w:val="00350DC2"/>
    <w:rsid w:val="003517F9"/>
    <w:rsid w:val="00351BA9"/>
    <w:rsid w:val="00352B4F"/>
    <w:rsid w:val="00354F64"/>
    <w:rsid w:val="0035609C"/>
    <w:rsid w:val="0035620E"/>
    <w:rsid w:val="00356B10"/>
    <w:rsid w:val="00357590"/>
    <w:rsid w:val="003577DA"/>
    <w:rsid w:val="00360345"/>
    <w:rsid w:val="00360B3F"/>
    <w:rsid w:val="00361A05"/>
    <w:rsid w:val="003624C4"/>
    <w:rsid w:val="00362C6D"/>
    <w:rsid w:val="00363B00"/>
    <w:rsid w:val="00364CAD"/>
    <w:rsid w:val="003654AC"/>
    <w:rsid w:val="0036610B"/>
    <w:rsid w:val="00366A06"/>
    <w:rsid w:val="003678EA"/>
    <w:rsid w:val="00370D4C"/>
    <w:rsid w:val="003710CF"/>
    <w:rsid w:val="0037358A"/>
    <w:rsid w:val="00373B53"/>
    <w:rsid w:val="0037400A"/>
    <w:rsid w:val="00374016"/>
    <w:rsid w:val="003750F6"/>
    <w:rsid w:val="003760FC"/>
    <w:rsid w:val="0037637B"/>
    <w:rsid w:val="00377CB6"/>
    <w:rsid w:val="00381797"/>
    <w:rsid w:val="00381D18"/>
    <w:rsid w:val="0038365C"/>
    <w:rsid w:val="0038369B"/>
    <w:rsid w:val="00383A18"/>
    <w:rsid w:val="00383B78"/>
    <w:rsid w:val="00385235"/>
    <w:rsid w:val="003857F2"/>
    <w:rsid w:val="00385A9D"/>
    <w:rsid w:val="00386B58"/>
    <w:rsid w:val="003902B1"/>
    <w:rsid w:val="00391091"/>
    <w:rsid w:val="0039140C"/>
    <w:rsid w:val="0039179C"/>
    <w:rsid w:val="003948C1"/>
    <w:rsid w:val="00396896"/>
    <w:rsid w:val="00396FD0"/>
    <w:rsid w:val="003A1A7A"/>
    <w:rsid w:val="003A2392"/>
    <w:rsid w:val="003A2831"/>
    <w:rsid w:val="003A3933"/>
    <w:rsid w:val="003A3CB6"/>
    <w:rsid w:val="003A3ED1"/>
    <w:rsid w:val="003A44DB"/>
    <w:rsid w:val="003A4AFD"/>
    <w:rsid w:val="003A4D41"/>
    <w:rsid w:val="003A5C0A"/>
    <w:rsid w:val="003A65E2"/>
    <w:rsid w:val="003A7A78"/>
    <w:rsid w:val="003B06E3"/>
    <w:rsid w:val="003B3971"/>
    <w:rsid w:val="003B42D2"/>
    <w:rsid w:val="003B4BBE"/>
    <w:rsid w:val="003B55D1"/>
    <w:rsid w:val="003B5B61"/>
    <w:rsid w:val="003C0F1D"/>
    <w:rsid w:val="003C1654"/>
    <w:rsid w:val="003C18AF"/>
    <w:rsid w:val="003C20DC"/>
    <w:rsid w:val="003C2E66"/>
    <w:rsid w:val="003C4E77"/>
    <w:rsid w:val="003C5542"/>
    <w:rsid w:val="003C7A06"/>
    <w:rsid w:val="003C7D19"/>
    <w:rsid w:val="003C7D2F"/>
    <w:rsid w:val="003D00F4"/>
    <w:rsid w:val="003D019E"/>
    <w:rsid w:val="003D085A"/>
    <w:rsid w:val="003D1828"/>
    <w:rsid w:val="003D1DE4"/>
    <w:rsid w:val="003D1E9A"/>
    <w:rsid w:val="003D2422"/>
    <w:rsid w:val="003D34AD"/>
    <w:rsid w:val="003D39A1"/>
    <w:rsid w:val="003D3FBF"/>
    <w:rsid w:val="003D4A30"/>
    <w:rsid w:val="003D7452"/>
    <w:rsid w:val="003D79BB"/>
    <w:rsid w:val="003D7C98"/>
    <w:rsid w:val="003D7D9D"/>
    <w:rsid w:val="003E0543"/>
    <w:rsid w:val="003E057E"/>
    <w:rsid w:val="003E4EBC"/>
    <w:rsid w:val="003E690A"/>
    <w:rsid w:val="003E749E"/>
    <w:rsid w:val="003F0EE9"/>
    <w:rsid w:val="003F4156"/>
    <w:rsid w:val="003F42A7"/>
    <w:rsid w:val="003F4A23"/>
    <w:rsid w:val="003F513A"/>
    <w:rsid w:val="003F5ADF"/>
    <w:rsid w:val="003F6DF2"/>
    <w:rsid w:val="003F7533"/>
    <w:rsid w:val="00400B29"/>
    <w:rsid w:val="00400D25"/>
    <w:rsid w:val="00402A7F"/>
    <w:rsid w:val="0040504B"/>
    <w:rsid w:val="004059F4"/>
    <w:rsid w:val="00407FE5"/>
    <w:rsid w:val="004101B0"/>
    <w:rsid w:val="00410326"/>
    <w:rsid w:val="00410708"/>
    <w:rsid w:val="00410EC7"/>
    <w:rsid w:val="00411B39"/>
    <w:rsid w:val="004127A7"/>
    <w:rsid w:val="00413385"/>
    <w:rsid w:val="00413A1E"/>
    <w:rsid w:val="004142F3"/>
    <w:rsid w:val="00414476"/>
    <w:rsid w:val="004144A7"/>
    <w:rsid w:val="0041459A"/>
    <w:rsid w:val="00414C2E"/>
    <w:rsid w:val="004151CF"/>
    <w:rsid w:val="00415528"/>
    <w:rsid w:val="00416364"/>
    <w:rsid w:val="00420164"/>
    <w:rsid w:val="0042047F"/>
    <w:rsid w:val="00420AA6"/>
    <w:rsid w:val="00420B9F"/>
    <w:rsid w:val="0042192C"/>
    <w:rsid w:val="00421F2F"/>
    <w:rsid w:val="00422260"/>
    <w:rsid w:val="0042413F"/>
    <w:rsid w:val="00425F37"/>
    <w:rsid w:val="004279CB"/>
    <w:rsid w:val="00427E84"/>
    <w:rsid w:val="00430F5A"/>
    <w:rsid w:val="004319F8"/>
    <w:rsid w:val="00431E55"/>
    <w:rsid w:val="004321F6"/>
    <w:rsid w:val="00432BAA"/>
    <w:rsid w:val="00433044"/>
    <w:rsid w:val="00433535"/>
    <w:rsid w:val="0043394C"/>
    <w:rsid w:val="00433EDE"/>
    <w:rsid w:val="00434088"/>
    <w:rsid w:val="00434C75"/>
    <w:rsid w:val="00435FCE"/>
    <w:rsid w:val="004364FE"/>
    <w:rsid w:val="004367DD"/>
    <w:rsid w:val="004375B9"/>
    <w:rsid w:val="0043787C"/>
    <w:rsid w:val="00440863"/>
    <w:rsid w:val="004428D0"/>
    <w:rsid w:val="00444185"/>
    <w:rsid w:val="004443A7"/>
    <w:rsid w:val="0044442C"/>
    <w:rsid w:val="004448D1"/>
    <w:rsid w:val="00445941"/>
    <w:rsid w:val="004464EB"/>
    <w:rsid w:val="004478D6"/>
    <w:rsid w:val="00447D26"/>
    <w:rsid w:val="00447DFC"/>
    <w:rsid w:val="004502E7"/>
    <w:rsid w:val="004519F7"/>
    <w:rsid w:val="00454DBD"/>
    <w:rsid w:val="00455D45"/>
    <w:rsid w:val="004602F4"/>
    <w:rsid w:val="00464595"/>
    <w:rsid w:val="0046529B"/>
    <w:rsid w:val="004658B5"/>
    <w:rsid w:val="0046786C"/>
    <w:rsid w:val="00471D34"/>
    <w:rsid w:val="00471EA5"/>
    <w:rsid w:val="004725FD"/>
    <w:rsid w:val="00472A79"/>
    <w:rsid w:val="00473F19"/>
    <w:rsid w:val="00474035"/>
    <w:rsid w:val="00474DFD"/>
    <w:rsid w:val="00475E22"/>
    <w:rsid w:val="0048088E"/>
    <w:rsid w:val="00480A49"/>
    <w:rsid w:val="00480F2B"/>
    <w:rsid w:val="00481FA1"/>
    <w:rsid w:val="00482720"/>
    <w:rsid w:val="00482CCE"/>
    <w:rsid w:val="00482E45"/>
    <w:rsid w:val="00483131"/>
    <w:rsid w:val="004835E7"/>
    <w:rsid w:val="0048389A"/>
    <w:rsid w:val="00484655"/>
    <w:rsid w:val="004867E2"/>
    <w:rsid w:val="00486EEC"/>
    <w:rsid w:val="00486F85"/>
    <w:rsid w:val="00490B17"/>
    <w:rsid w:val="0049158B"/>
    <w:rsid w:val="00491B3A"/>
    <w:rsid w:val="00492CFD"/>
    <w:rsid w:val="00494207"/>
    <w:rsid w:val="00494DD5"/>
    <w:rsid w:val="004962D2"/>
    <w:rsid w:val="00496708"/>
    <w:rsid w:val="004A0DA1"/>
    <w:rsid w:val="004A13D6"/>
    <w:rsid w:val="004A2092"/>
    <w:rsid w:val="004A2EC5"/>
    <w:rsid w:val="004A3343"/>
    <w:rsid w:val="004A52E9"/>
    <w:rsid w:val="004A6040"/>
    <w:rsid w:val="004A6597"/>
    <w:rsid w:val="004A7848"/>
    <w:rsid w:val="004B13F5"/>
    <w:rsid w:val="004B1CB4"/>
    <w:rsid w:val="004B2439"/>
    <w:rsid w:val="004B2852"/>
    <w:rsid w:val="004B2F18"/>
    <w:rsid w:val="004B31F9"/>
    <w:rsid w:val="004B325C"/>
    <w:rsid w:val="004B3DDB"/>
    <w:rsid w:val="004B44FD"/>
    <w:rsid w:val="004B5CFC"/>
    <w:rsid w:val="004B6C76"/>
    <w:rsid w:val="004B6F79"/>
    <w:rsid w:val="004B774D"/>
    <w:rsid w:val="004C0196"/>
    <w:rsid w:val="004C15BE"/>
    <w:rsid w:val="004C3BAD"/>
    <w:rsid w:val="004C4AED"/>
    <w:rsid w:val="004C5A2A"/>
    <w:rsid w:val="004C684B"/>
    <w:rsid w:val="004C7FE6"/>
    <w:rsid w:val="004D2C2D"/>
    <w:rsid w:val="004D2DFC"/>
    <w:rsid w:val="004D3EE7"/>
    <w:rsid w:val="004D4967"/>
    <w:rsid w:val="004D5AF0"/>
    <w:rsid w:val="004D69B5"/>
    <w:rsid w:val="004D6A49"/>
    <w:rsid w:val="004D7227"/>
    <w:rsid w:val="004E0E7F"/>
    <w:rsid w:val="004E0EB8"/>
    <w:rsid w:val="004E18E9"/>
    <w:rsid w:val="004E1FEB"/>
    <w:rsid w:val="004E2ADC"/>
    <w:rsid w:val="004E40D7"/>
    <w:rsid w:val="004E43B2"/>
    <w:rsid w:val="004E43BC"/>
    <w:rsid w:val="004E46FB"/>
    <w:rsid w:val="004E6624"/>
    <w:rsid w:val="004E6CFF"/>
    <w:rsid w:val="004E7F1F"/>
    <w:rsid w:val="004F073B"/>
    <w:rsid w:val="004F1D02"/>
    <w:rsid w:val="004F2679"/>
    <w:rsid w:val="004F2F21"/>
    <w:rsid w:val="004F3280"/>
    <w:rsid w:val="004F3DE5"/>
    <w:rsid w:val="004F4895"/>
    <w:rsid w:val="004F497B"/>
    <w:rsid w:val="004F60BB"/>
    <w:rsid w:val="004F6913"/>
    <w:rsid w:val="004F6E8E"/>
    <w:rsid w:val="004F7865"/>
    <w:rsid w:val="0050174E"/>
    <w:rsid w:val="00501854"/>
    <w:rsid w:val="0050219B"/>
    <w:rsid w:val="00503D28"/>
    <w:rsid w:val="00503F17"/>
    <w:rsid w:val="00506928"/>
    <w:rsid w:val="005077EF"/>
    <w:rsid w:val="00510448"/>
    <w:rsid w:val="00511AD5"/>
    <w:rsid w:val="00511DC7"/>
    <w:rsid w:val="005132F5"/>
    <w:rsid w:val="005142C5"/>
    <w:rsid w:val="0051501B"/>
    <w:rsid w:val="005152B5"/>
    <w:rsid w:val="00515ABB"/>
    <w:rsid w:val="00517BB5"/>
    <w:rsid w:val="00520875"/>
    <w:rsid w:val="0052123C"/>
    <w:rsid w:val="00521319"/>
    <w:rsid w:val="005215D8"/>
    <w:rsid w:val="00521797"/>
    <w:rsid w:val="00522BC8"/>
    <w:rsid w:val="00523C28"/>
    <w:rsid w:val="00523DA0"/>
    <w:rsid w:val="005250AA"/>
    <w:rsid w:val="00526B0B"/>
    <w:rsid w:val="00526E48"/>
    <w:rsid w:val="00530493"/>
    <w:rsid w:val="0053176B"/>
    <w:rsid w:val="0053240D"/>
    <w:rsid w:val="00532D4A"/>
    <w:rsid w:val="00536B76"/>
    <w:rsid w:val="00536F42"/>
    <w:rsid w:val="00537182"/>
    <w:rsid w:val="005408F4"/>
    <w:rsid w:val="00541491"/>
    <w:rsid w:val="00541EDD"/>
    <w:rsid w:val="00542743"/>
    <w:rsid w:val="00542C2D"/>
    <w:rsid w:val="005478BD"/>
    <w:rsid w:val="005479E3"/>
    <w:rsid w:val="00551173"/>
    <w:rsid w:val="00551985"/>
    <w:rsid w:val="00552BD3"/>
    <w:rsid w:val="005532A0"/>
    <w:rsid w:val="005549DB"/>
    <w:rsid w:val="00555109"/>
    <w:rsid w:val="00556B35"/>
    <w:rsid w:val="0055741A"/>
    <w:rsid w:val="00560B06"/>
    <w:rsid w:val="005611B7"/>
    <w:rsid w:val="0056138C"/>
    <w:rsid w:val="00561416"/>
    <w:rsid w:val="005618D4"/>
    <w:rsid w:val="00564EDC"/>
    <w:rsid w:val="005655A3"/>
    <w:rsid w:val="00565DF0"/>
    <w:rsid w:val="0056696F"/>
    <w:rsid w:val="00567B66"/>
    <w:rsid w:val="00570813"/>
    <w:rsid w:val="00572269"/>
    <w:rsid w:val="0057244A"/>
    <w:rsid w:val="005728D4"/>
    <w:rsid w:val="00572B10"/>
    <w:rsid w:val="00572F26"/>
    <w:rsid w:val="00573066"/>
    <w:rsid w:val="005732BC"/>
    <w:rsid w:val="0057342F"/>
    <w:rsid w:val="00573475"/>
    <w:rsid w:val="005749E1"/>
    <w:rsid w:val="005750C5"/>
    <w:rsid w:val="005752DE"/>
    <w:rsid w:val="00575A7C"/>
    <w:rsid w:val="00575D8D"/>
    <w:rsid w:val="00576972"/>
    <w:rsid w:val="00576B13"/>
    <w:rsid w:val="0057776C"/>
    <w:rsid w:val="00580DA1"/>
    <w:rsid w:val="00582F22"/>
    <w:rsid w:val="00583699"/>
    <w:rsid w:val="00585CDD"/>
    <w:rsid w:val="00587058"/>
    <w:rsid w:val="00590421"/>
    <w:rsid w:val="00590A11"/>
    <w:rsid w:val="00591957"/>
    <w:rsid w:val="00592C52"/>
    <w:rsid w:val="00593BEA"/>
    <w:rsid w:val="00594D1D"/>
    <w:rsid w:val="00597BF9"/>
    <w:rsid w:val="005A0263"/>
    <w:rsid w:val="005A1F1F"/>
    <w:rsid w:val="005A2556"/>
    <w:rsid w:val="005A309A"/>
    <w:rsid w:val="005A323F"/>
    <w:rsid w:val="005A373D"/>
    <w:rsid w:val="005A549B"/>
    <w:rsid w:val="005A600B"/>
    <w:rsid w:val="005A615C"/>
    <w:rsid w:val="005A7523"/>
    <w:rsid w:val="005A7ECE"/>
    <w:rsid w:val="005B0B58"/>
    <w:rsid w:val="005B4E53"/>
    <w:rsid w:val="005B5857"/>
    <w:rsid w:val="005B6AC9"/>
    <w:rsid w:val="005B6D53"/>
    <w:rsid w:val="005B76A8"/>
    <w:rsid w:val="005B7844"/>
    <w:rsid w:val="005B795C"/>
    <w:rsid w:val="005B7AD6"/>
    <w:rsid w:val="005B7F2F"/>
    <w:rsid w:val="005C16F9"/>
    <w:rsid w:val="005C170F"/>
    <w:rsid w:val="005C1B83"/>
    <w:rsid w:val="005C25FF"/>
    <w:rsid w:val="005C2D55"/>
    <w:rsid w:val="005C346B"/>
    <w:rsid w:val="005C44C1"/>
    <w:rsid w:val="005C61AB"/>
    <w:rsid w:val="005D044D"/>
    <w:rsid w:val="005D052E"/>
    <w:rsid w:val="005D0ABD"/>
    <w:rsid w:val="005D18AD"/>
    <w:rsid w:val="005D26B4"/>
    <w:rsid w:val="005D2A3F"/>
    <w:rsid w:val="005D52CC"/>
    <w:rsid w:val="005D7093"/>
    <w:rsid w:val="005D7179"/>
    <w:rsid w:val="005E5315"/>
    <w:rsid w:val="005E6CBC"/>
    <w:rsid w:val="005E72FF"/>
    <w:rsid w:val="005E73C0"/>
    <w:rsid w:val="005E7FB4"/>
    <w:rsid w:val="005F05A1"/>
    <w:rsid w:val="005F0648"/>
    <w:rsid w:val="005F0A8B"/>
    <w:rsid w:val="005F0AAA"/>
    <w:rsid w:val="005F2706"/>
    <w:rsid w:val="005F2E33"/>
    <w:rsid w:val="005F3981"/>
    <w:rsid w:val="005F45D2"/>
    <w:rsid w:val="005F4B60"/>
    <w:rsid w:val="005F5037"/>
    <w:rsid w:val="005F511B"/>
    <w:rsid w:val="005F51BD"/>
    <w:rsid w:val="005F51D5"/>
    <w:rsid w:val="005F62B3"/>
    <w:rsid w:val="005F6A8F"/>
    <w:rsid w:val="005F6BB7"/>
    <w:rsid w:val="005F7588"/>
    <w:rsid w:val="006025D9"/>
    <w:rsid w:val="00603DB9"/>
    <w:rsid w:val="00604F66"/>
    <w:rsid w:val="00606FBA"/>
    <w:rsid w:val="00607669"/>
    <w:rsid w:val="006076F4"/>
    <w:rsid w:val="00607AFD"/>
    <w:rsid w:val="006109DD"/>
    <w:rsid w:val="00612015"/>
    <w:rsid w:val="00612BDB"/>
    <w:rsid w:val="00612F97"/>
    <w:rsid w:val="0061345D"/>
    <w:rsid w:val="00613AFA"/>
    <w:rsid w:val="0061549B"/>
    <w:rsid w:val="00615BD3"/>
    <w:rsid w:val="00616802"/>
    <w:rsid w:val="00616E17"/>
    <w:rsid w:val="00617E12"/>
    <w:rsid w:val="00620C25"/>
    <w:rsid w:val="00621477"/>
    <w:rsid w:val="00621ADA"/>
    <w:rsid w:val="00621B04"/>
    <w:rsid w:val="00621D45"/>
    <w:rsid w:val="00622AE7"/>
    <w:rsid w:val="006237A7"/>
    <w:rsid w:val="00623F7B"/>
    <w:rsid w:val="00626CC2"/>
    <w:rsid w:val="006304D4"/>
    <w:rsid w:val="0063158F"/>
    <w:rsid w:val="00631D6B"/>
    <w:rsid w:val="00632183"/>
    <w:rsid w:val="00632888"/>
    <w:rsid w:val="006330A1"/>
    <w:rsid w:val="0063479F"/>
    <w:rsid w:val="006353F0"/>
    <w:rsid w:val="006357B5"/>
    <w:rsid w:val="006364A1"/>
    <w:rsid w:val="006364D4"/>
    <w:rsid w:val="0063678E"/>
    <w:rsid w:val="00637BFD"/>
    <w:rsid w:val="00640573"/>
    <w:rsid w:val="00640E46"/>
    <w:rsid w:val="00641C4E"/>
    <w:rsid w:val="00641FB3"/>
    <w:rsid w:val="0064434C"/>
    <w:rsid w:val="00644663"/>
    <w:rsid w:val="006471CC"/>
    <w:rsid w:val="00647A29"/>
    <w:rsid w:val="0065079F"/>
    <w:rsid w:val="00651F40"/>
    <w:rsid w:val="00652A28"/>
    <w:rsid w:val="0065379F"/>
    <w:rsid w:val="00653A0A"/>
    <w:rsid w:val="00655257"/>
    <w:rsid w:val="00656188"/>
    <w:rsid w:val="0065715A"/>
    <w:rsid w:val="006610F1"/>
    <w:rsid w:val="00661C6B"/>
    <w:rsid w:val="0066288B"/>
    <w:rsid w:val="00663503"/>
    <w:rsid w:val="00671004"/>
    <w:rsid w:val="00672646"/>
    <w:rsid w:val="00673DEF"/>
    <w:rsid w:val="0067470B"/>
    <w:rsid w:val="00674E42"/>
    <w:rsid w:val="0067606F"/>
    <w:rsid w:val="00676840"/>
    <w:rsid w:val="00677552"/>
    <w:rsid w:val="0067777C"/>
    <w:rsid w:val="00680C13"/>
    <w:rsid w:val="006813F8"/>
    <w:rsid w:val="00682112"/>
    <w:rsid w:val="00682BA6"/>
    <w:rsid w:val="00683C05"/>
    <w:rsid w:val="00685498"/>
    <w:rsid w:val="006854C8"/>
    <w:rsid w:val="00685EEE"/>
    <w:rsid w:val="00686957"/>
    <w:rsid w:val="006872BA"/>
    <w:rsid w:val="00690795"/>
    <w:rsid w:val="00690A91"/>
    <w:rsid w:val="00690FC0"/>
    <w:rsid w:val="00691648"/>
    <w:rsid w:val="006917D7"/>
    <w:rsid w:val="00691BB1"/>
    <w:rsid w:val="00691E4B"/>
    <w:rsid w:val="0069434C"/>
    <w:rsid w:val="00694F44"/>
    <w:rsid w:val="00696F51"/>
    <w:rsid w:val="0069768D"/>
    <w:rsid w:val="006979A5"/>
    <w:rsid w:val="006A03F3"/>
    <w:rsid w:val="006A25BA"/>
    <w:rsid w:val="006A6B99"/>
    <w:rsid w:val="006A77CB"/>
    <w:rsid w:val="006A7E5F"/>
    <w:rsid w:val="006B0E43"/>
    <w:rsid w:val="006B0F79"/>
    <w:rsid w:val="006B20A8"/>
    <w:rsid w:val="006B261B"/>
    <w:rsid w:val="006B2A4E"/>
    <w:rsid w:val="006B2C90"/>
    <w:rsid w:val="006B322D"/>
    <w:rsid w:val="006B35E6"/>
    <w:rsid w:val="006B465A"/>
    <w:rsid w:val="006B4EAD"/>
    <w:rsid w:val="006B6318"/>
    <w:rsid w:val="006B6DD0"/>
    <w:rsid w:val="006B6E28"/>
    <w:rsid w:val="006B6EF9"/>
    <w:rsid w:val="006C0399"/>
    <w:rsid w:val="006C1A87"/>
    <w:rsid w:val="006C2770"/>
    <w:rsid w:val="006C2A8E"/>
    <w:rsid w:val="006C3255"/>
    <w:rsid w:val="006C34AD"/>
    <w:rsid w:val="006C3E64"/>
    <w:rsid w:val="006C3F26"/>
    <w:rsid w:val="006C4132"/>
    <w:rsid w:val="006C45B7"/>
    <w:rsid w:val="006C47B6"/>
    <w:rsid w:val="006C58F3"/>
    <w:rsid w:val="006C6538"/>
    <w:rsid w:val="006D0511"/>
    <w:rsid w:val="006D0D17"/>
    <w:rsid w:val="006D34E4"/>
    <w:rsid w:val="006D3C7D"/>
    <w:rsid w:val="006D4659"/>
    <w:rsid w:val="006D5D5F"/>
    <w:rsid w:val="006D68FB"/>
    <w:rsid w:val="006E187F"/>
    <w:rsid w:val="006E2868"/>
    <w:rsid w:val="006E2FCE"/>
    <w:rsid w:val="006E32A8"/>
    <w:rsid w:val="006E3C48"/>
    <w:rsid w:val="006E763A"/>
    <w:rsid w:val="006F14AA"/>
    <w:rsid w:val="006F2058"/>
    <w:rsid w:val="006F21C1"/>
    <w:rsid w:val="006F306C"/>
    <w:rsid w:val="006F35F5"/>
    <w:rsid w:val="006F5D81"/>
    <w:rsid w:val="006F63A5"/>
    <w:rsid w:val="006F688D"/>
    <w:rsid w:val="006F6979"/>
    <w:rsid w:val="0070142B"/>
    <w:rsid w:val="0070253B"/>
    <w:rsid w:val="0070276E"/>
    <w:rsid w:val="00702864"/>
    <w:rsid w:val="00702F8F"/>
    <w:rsid w:val="007075FF"/>
    <w:rsid w:val="007079FC"/>
    <w:rsid w:val="00707D13"/>
    <w:rsid w:val="007114A8"/>
    <w:rsid w:val="0071166A"/>
    <w:rsid w:val="00711A36"/>
    <w:rsid w:val="00711FFA"/>
    <w:rsid w:val="00713D84"/>
    <w:rsid w:val="00714ADE"/>
    <w:rsid w:val="00714C26"/>
    <w:rsid w:val="007151B0"/>
    <w:rsid w:val="0071529C"/>
    <w:rsid w:val="00715F38"/>
    <w:rsid w:val="007170DA"/>
    <w:rsid w:val="007172AD"/>
    <w:rsid w:val="00720801"/>
    <w:rsid w:val="007213E4"/>
    <w:rsid w:val="0072242A"/>
    <w:rsid w:val="00722B1B"/>
    <w:rsid w:val="0072362F"/>
    <w:rsid w:val="0072416F"/>
    <w:rsid w:val="00724394"/>
    <w:rsid w:val="00724671"/>
    <w:rsid w:val="007255AA"/>
    <w:rsid w:val="00727C94"/>
    <w:rsid w:val="007304C3"/>
    <w:rsid w:val="00731B0A"/>
    <w:rsid w:val="00731EAE"/>
    <w:rsid w:val="007323A2"/>
    <w:rsid w:val="00733073"/>
    <w:rsid w:val="00733691"/>
    <w:rsid w:val="00733F84"/>
    <w:rsid w:val="00734900"/>
    <w:rsid w:val="00735033"/>
    <w:rsid w:val="00735328"/>
    <w:rsid w:val="00735726"/>
    <w:rsid w:val="0073685B"/>
    <w:rsid w:val="00736CB3"/>
    <w:rsid w:val="00737FB5"/>
    <w:rsid w:val="00741915"/>
    <w:rsid w:val="007449BF"/>
    <w:rsid w:val="00744F89"/>
    <w:rsid w:val="007459C0"/>
    <w:rsid w:val="00746BC0"/>
    <w:rsid w:val="00747030"/>
    <w:rsid w:val="007472AE"/>
    <w:rsid w:val="007510B4"/>
    <w:rsid w:val="00752142"/>
    <w:rsid w:val="007523F9"/>
    <w:rsid w:val="007524BB"/>
    <w:rsid w:val="00752633"/>
    <w:rsid w:val="0075357E"/>
    <w:rsid w:val="007536F4"/>
    <w:rsid w:val="0075570F"/>
    <w:rsid w:val="007573E8"/>
    <w:rsid w:val="0075753F"/>
    <w:rsid w:val="00760C4E"/>
    <w:rsid w:val="00760F9E"/>
    <w:rsid w:val="007627BE"/>
    <w:rsid w:val="00762A99"/>
    <w:rsid w:val="00764F03"/>
    <w:rsid w:val="00765B1A"/>
    <w:rsid w:val="00765FFE"/>
    <w:rsid w:val="00770E0F"/>
    <w:rsid w:val="0077282B"/>
    <w:rsid w:val="007741EA"/>
    <w:rsid w:val="007752C7"/>
    <w:rsid w:val="00775A0F"/>
    <w:rsid w:val="00776CDD"/>
    <w:rsid w:val="00777335"/>
    <w:rsid w:val="007773D4"/>
    <w:rsid w:val="0078087E"/>
    <w:rsid w:val="007843F2"/>
    <w:rsid w:val="00784F81"/>
    <w:rsid w:val="00785A9F"/>
    <w:rsid w:val="00791542"/>
    <w:rsid w:val="007925DF"/>
    <w:rsid w:val="00792DB4"/>
    <w:rsid w:val="007946E2"/>
    <w:rsid w:val="00794F5E"/>
    <w:rsid w:val="00794F65"/>
    <w:rsid w:val="00796700"/>
    <w:rsid w:val="007A08AA"/>
    <w:rsid w:val="007A0A12"/>
    <w:rsid w:val="007A0DE3"/>
    <w:rsid w:val="007A132D"/>
    <w:rsid w:val="007A1345"/>
    <w:rsid w:val="007A231C"/>
    <w:rsid w:val="007A2D15"/>
    <w:rsid w:val="007A2DDB"/>
    <w:rsid w:val="007A3803"/>
    <w:rsid w:val="007A5471"/>
    <w:rsid w:val="007A70BA"/>
    <w:rsid w:val="007B0D68"/>
    <w:rsid w:val="007B1273"/>
    <w:rsid w:val="007B12F3"/>
    <w:rsid w:val="007B251D"/>
    <w:rsid w:val="007B4923"/>
    <w:rsid w:val="007B4B07"/>
    <w:rsid w:val="007B4F58"/>
    <w:rsid w:val="007B528D"/>
    <w:rsid w:val="007B5620"/>
    <w:rsid w:val="007B600A"/>
    <w:rsid w:val="007B6024"/>
    <w:rsid w:val="007B63CA"/>
    <w:rsid w:val="007B7608"/>
    <w:rsid w:val="007B77D1"/>
    <w:rsid w:val="007C07C7"/>
    <w:rsid w:val="007C0F90"/>
    <w:rsid w:val="007C1CD9"/>
    <w:rsid w:val="007C32EF"/>
    <w:rsid w:val="007C361D"/>
    <w:rsid w:val="007C3A79"/>
    <w:rsid w:val="007C4B84"/>
    <w:rsid w:val="007C70FF"/>
    <w:rsid w:val="007C7C25"/>
    <w:rsid w:val="007C7F32"/>
    <w:rsid w:val="007D004F"/>
    <w:rsid w:val="007D0B38"/>
    <w:rsid w:val="007D1075"/>
    <w:rsid w:val="007D5440"/>
    <w:rsid w:val="007D69EB"/>
    <w:rsid w:val="007D6CC3"/>
    <w:rsid w:val="007D7F3B"/>
    <w:rsid w:val="007E01E0"/>
    <w:rsid w:val="007E0D2C"/>
    <w:rsid w:val="007E128F"/>
    <w:rsid w:val="007E2E5D"/>
    <w:rsid w:val="007F1017"/>
    <w:rsid w:val="007F2196"/>
    <w:rsid w:val="007F37D3"/>
    <w:rsid w:val="007F4A3F"/>
    <w:rsid w:val="007F4A61"/>
    <w:rsid w:val="007F5255"/>
    <w:rsid w:val="007F56CC"/>
    <w:rsid w:val="007F61C2"/>
    <w:rsid w:val="007F7E4C"/>
    <w:rsid w:val="008004C0"/>
    <w:rsid w:val="00800A13"/>
    <w:rsid w:val="00801379"/>
    <w:rsid w:val="00802796"/>
    <w:rsid w:val="00803A2B"/>
    <w:rsid w:val="00803F94"/>
    <w:rsid w:val="00804891"/>
    <w:rsid w:val="00804B25"/>
    <w:rsid w:val="00805142"/>
    <w:rsid w:val="008052AC"/>
    <w:rsid w:val="00805CBD"/>
    <w:rsid w:val="00805FCE"/>
    <w:rsid w:val="00806F1C"/>
    <w:rsid w:val="00807862"/>
    <w:rsid w:val="00807A8B"/>
    <w:rsid w:val="00810081"/>
    <w:rsid w:val="00811383"/>
    <w:rsid w:val="00812149"/>
    <w:rsid w:val="00812CAC"/>
    <w:rsid w:val="00813309"/>
    <w:rsid w:val="00813854"/>
    <w:rsid w:val="00814C1E"/>
    <w:rsid w:val="008153D7"/>
    <w:rsid w:val="00815A6F"/>
    <w:rsid w:val="00816361"/>
    <w:rsid w:val="008166EF"/>
    <w:rsid w:val="00816FEF"/>
    <w:rsid w:val="00820A8C"/>
    <w:rsid w:val="008215FB"/>
    <w:rsid w:val="008216CC"/>
    <w:rsid w:val="008221A2"/>
    <w:rsid w:val="00823174"/>
    <w:rsid w:val="00823649"/>
    <w:rsid w:val="00823A42"/>
    <w:rsid w:val="00825751"/>
    <w:rsid w:val="008264EB"/>
    <w:rsid w:val="00833B05"/>
    <w:rsid w:val="008346C6"/>
    <w:rsid w:val="008362B4"/>
    <w:rsid w:val="00836666"/>
    <w:rsid w:val="00836DB9"/>
    <w:rsid w:val="00840CA2"/>
    <w:rsid w:val="00841553"/>
    <w:rsid w:val="0084374F"/>
    <w:rsid w:val="00844A22"/>
    <w:rsid w:val="00845648"/>
    <w:rsid w:val="00846111"/>
    <w:rsid w:val="00847703"/>
    <w:rsid w:val="00847DF5"/>
    <w:rsid w:val="00852890"/>
    <w:rsid w:val="00852F7D"/>
    <w:rsid w:val="0085309D"/>
    <w:rsid w:val="0085461D"/>
    <w:rsid w:val="00854CD3"/>
    <w:rsid w:val="008556C1"/>
    <w:rsid w:val="00856210"/>
    <w:rsid w:val="008567E1"/>
    <w:rsid w:val="00856897"/>
    <w:rsid w:val="00856CA5"/>
    <w:rsid w:val="00856E9A"/>
    <w:rsid w:val="00857E9E"/>
    <w:rsid w:val="008600F3"/>
    <w:rsid w:val="0086075D"/>
    <w:rsid w:val="00862502"/>
    <w:rsid w:val="008625A7"/>
    <w:rsid w:val="0086274D"/>
    <w:rsid w:val="00862CC1"/>
    <w:rsid w:val="008639C0"/>
    <w:rsid w:val="00863B61"/>
    <w:rsid w:val="00864145"/>
    <w:rsid w:val="008660D4"/>
    <w:rsid w:val="00871FA9"/>
    <w:rsid w:val="008728E9"/>
    <w:rsid w:val="00874D30"/>
    <w:rsid w:val="008752F7"/>
    <w:rsid w:val="00881816"/>
    <w:rsid w:val="008821BE"/>
    <w:rsid w:val="00882874"/>
    <w:rsid w:val="00882E3C"/>
    <w:rsid w:val="00883787"/>
    <w:rsid w:val="008855E4"/>
    <w:rsid w:val="00885A6E"/>
    <w:rsid w:val="00886C29"/>
    <w:rsid w:val="00886CD2"/>
    <w:rsid w:val="00891E6F"/>
    <w:rsid w:val="0089275D"/>
    <w:rsid w:val="00892A36"/>
    <w:rsid w:val="00893239"/>
    <w:rsid w:val="00894489"/>
    <w:rsid w:val="00894660"/>
    <w:rsid w:val="008963A5"/>
    <w:rsid w:val="00896D5D"/>
    <w:rsid w:val="008A04EF"/>
    <w:rsid w:val="008A1351"/>
    <w:rsid w:val="008A3363"/>
    <w:rsid w:val="008A3371"/>
    <w:rsid w:val="008A3C3E"/>
    <w:rsid w:val="008A79DE"/>
    <w:rsid w:val="008A7C8B"/>
    <w:rsid w:val="008B1757"/>
    <w:rsid w:val="008B31B6"/>
    <w:rsid w:val="008B3272"/>
    <w:rsid w:val="008B5517"/>
    <w:rsid w:val="008B5FB4"/>
    <w:rsid w:val="008B7895"/>
    <w:rsid w:val="008B7992"/>
    <w:rsid w:val="008B7D7E"/>
    <w:rsid w:val="008C114B"/>
    <w:rsid w:val="008C42A6"/>
    <w:rsid w:val="008C5610"/>
    <w:rsid w:val="008C5739"/>
    <w:rsid w:val="008C7151"/>
    <w:rsid w:val="008C7ECB"/>
    <w:rsid w:val="008D3B86"/>
    <w:rsid w:val="008D4755"/>
    <w:rsid w:val="008D4C3D"/>
    <w:rsid w:val="008D5386"/>
    <w:rsid w:val="008D6B4D"/>
    <w:rsid w:val="008D70E4"/>
    <w:rsid w:val="008D743C"/>
    <w:rsid w:val="008D7834"/>
    <w:rsid w:val="008E0850"/>
    <w:rsid w:val="008E0D3C"/>
    <w:rsid w:val="008E1B9E"/>
    <w:rsid w:val="008E300E"/>
    <w:rsid w:val="008E55AB"/>
    <w:rsid w:val="008F0CD5"/>
    <w:rsid w:val="008F120A"/>
    <w:rsid w:val="008F242A"/>
    <w:rsid w:val="008F27E0"/>
    <w:rsid w:val="008F48EB"/>
    <w:rsid w:val="008F4F0B"/>
    <w:rsid w:val="008F6173"/>
    <w:rsid w:val="008F6756"/>
    <w:rsid w:val="008F6F8D"/>
    <w:rsid w:val="008F7CF3"/>
    <w:rsid w:val="00902431"/>
    <w:rsid w:val="00903452"/>
    <w:rsid w:val="009046C4"/>
    <w:rsid w:val="009048D6"/>
    <w:rsid w:val="009062A5"/>
    <w:rsid w:val="00910FA7"/>
    <w:rsid w:val="00911220"/>
    <w:rsid w:val="00911272"/>
    <w:rsid w:val="00911894"/>
    <w:rsid w:val="00912AB8"/>
    <w:rsid w:val="009135D6"/>
    <w:rsid w:val="0091374C"/>
    <w:rsid w:val="00914C77"/>
    <w:rsid w:val="00916C44"/>
    <w:rsid w:val="0092035A"/>
    <w:rsid w:val="00921ACB"/>
    <w:rsid w:val="0092369B"/>
    <w:rsid w:val="009236D5"/>
    <w:rsid w:val="0092393D"/>
    <w:rsid w:val="00930E50"/>
    <w:rsid w:val="00934748"/>
    <w:rsid w:val="00934988"/>
    <w:rsid w:val="009358B0"/>
    <w:rsid w:val="00937089"/>
    <w:rsid w:val="009378A1"/>
    <w:rsid w:val="00940E70"/>
    <w:rsid w:val="00941DD7"/>
    <w:rsid w:val="00942BCF"/>
    <w:rsid w:val="00943E07"/>
    <w:rsid w:val="00944F8A"/>
    <w:rsid w:val="0094589D"/>
    <w:rsid w:val="0094648F"/>
    <w:rsid w:val="00946C13"/>
    <w:rsid w:val="009473A5"/>
    <w:rsid w:val="00947844"/>
    <w:rsid w:val="00950BF9"/>
    <w:rsid w:val="00950D1E"/>
    <w:rsid w:val="009510A2"/>
    <w:rsid w:val="00951AF4"/>
    <w:rsid w:val="00952520"/>
    <w:rsid w:val="00953257"/>
    <w:rsid w:val="0095443D"/>
    <w:rsid w:val="0095474C"/>
    <w:rsid w:val="0095646B"/>
    <w:rsid w:val="00956863"/>
    <w:rsid w:val="009608F6"/>
    <w:rsid w:val="009614C8"/>
    <w:rsid w:val="00962CB9"/>
    <w:rsid w:val="00963556"/>
    <w:rsid w:val="00963F8D"/>
    <w:rsid w:val="00964312"/>
    <w:rsid w:val="009650BD"/>
    <w:rsid w:val="00965B8A"/>
    <w:rsid w:val="00965F31"/>
    <w:rsid w:val="009672A2"/>
    <w:rsid w:val="0097071F"/>
    <w:rsid w:val="009717AC"/>
    <w:rsid w:val="009748D2"/>
    <w:rsid w:val="009751C1"/>
    <w:rsid w:val="009811F1"/>
    <w:rsid w:val="00983E57"/>
    <w:rsid w:val="00984170"/>
    <w:rsid w:val="00984729"/>
    <w:rsid w:val="00984EAC"/>
    <w:rsid w:val="00985DE2"/>
    <w:rsid w:val="0098675D"/>
    <w:rsid w:val="009879D4"/>
    <w:rsid w:val="0099262C"/>
    <w:rsid w:val="009926E0"/>
    <w:rsid w:val="00992D73"/>
    <w:rsid w:val="0099451E"/>
    <w:rsid w:val="00994BF8"/>
    <w:rsid w:val="00994EE5"/>
    <w:rsid w:val="009953F5"/>
    <w:rsid w:val="00996027"/>
    <w:rsid w:val="00996B1A"/>
    <w:rsid w:val="00997BC9"/>
    <w:rsid w:val="009A1497"/>
    <w:rsid w:val="009A2DCC"/>
    <w:rsid w:val="009A2F79"/>
    <w:rsid w:val="009A35A0"/>
    <w:rsid w:val="009A5ABC"/>
    <w:rsid w:val="009A6703"/>
    <w:rsid w:val="009A6C9E"/>
    <w:rsid w:val="009A7362"/>
    <w:rsid w:val="009A7F10"/>
    <w:rsid w:val="009B3646"/>
    <w:rsid w:val="009B3E26"/>
    <w:rsid w:val="009B5247"/>
    <w:rsid w:val="009B7953"/>
    <w:rsid w:val="009C0B10"/>
    <w:rsid w:val="009C13D1"/>
    <w:rsid w:val="009C3706"/>
    <w:rsid w:val="009C3A3A"/>
    <w:rsid w:val="009C4894"/>
    <w:rsid w:val="009C6CEA"/>
    <w:rsid w:val="009C7B85"/>
    <w:rsid w:val="009D0254"/>
    <w:rsid w:val="009D1A64"/>
    <w:rsid w:val="009D22DA"/>
    <w:rsid w:val="009D5B91"/>
    <w:rsid w:val="009D792E"/>
    <w:rsid w:val="009E0DFE"/>
    <w:rsid w:val="009E280E"/>
    <w:rsid w:val="009E31F6"/>
    <w:rsid w:val="009E4C07"/>
    <w:rsid w:val="009E6293"/>
    <w:rsid w:val="009E6B97"/>
    <w:rsid w:val="009E769A"/>
    <w:rsid w:val="009F0470"/>
    <w:rsid w:val="009F1103"/>
    <w:rsid w:val="009F2498"/>
    <w:rsid w:val="009F3387"/>
    <w:rsid w:val="009F4B32"/>
    <w:rsid w:val="009F58A8"/>
    <w:rsid w:val="00A01184"/>
    <w:rsid w:val="00A037C2"/>
    <w:rsid w:val="00A03D43"/>
    <w:rsid w:val="00A03EBC"/>
    <w:rsid w:val="00A04380"/>
    <w:rsid w:val="00A051A5"/>
    <w:rsid w:val="00A05472"/>
    <w:rsid w:val="00A0585A"/>
    <w:rsid w:val="00A05A46"/>
    <w:rsid w:val="00A05C32"/>
    <w:rsid w:val="00A0653F"/>
    <w:rsid w:val="00A06866"/>
    <w:rsid w:val="00A07A42"/>
    <w:rsid w:val="00A11A7C"/>
    <w:rsid w:val="00A11CD0"/>
    <w:rsid w:val="00A13948"/>
    <w:rsid w:val="00A1555B"/>
    <w:rsid w:val="00A155C5"/>
    <w:rsid w:val="00A15E30"/>
    <w:rsid w:val="00A16AD8"/>
    <w:rsid w:val="00A20531"/>
    <w:rsid w:val="00A21C95"/>
    <w:rsid w:val="00A21CF3"/>
    <w:rsid w:val="00A2238D"/>
    <w:rsid w:val="00A22A65"/>
    <w:rsid w:val="00A24813"/>
    <w:rsid w:val="00A2513F"/>
    <w:rsid w:val="00A25B95"/>
    <w:rsid w:val="00A267FF"/>
    <w:rsid w:val="00A279E9"/>
    <w:rsid w:val="00A27AEC"/>
    <w:rsid w:val="00A320DB"/>
    <w:rsid w:val="00A330CB"/>
    <w:rsid w:val="00A34068"/>
    <w:rsid w:val="00A35364"/>
    <w:rsid w:val="00A3563E"/>
    <w:rsid w:val="00A35D16"/>
    <w:rsid w:val="00A37BCD"/>
    <w:rsid w:val="00A40EF3"/>
    <w:rsid w:val="00A41689"/>
    <w:rsid w:val="00A42592"/>
    <w:rsid w:val="00A432EF"/>
    <w:rsid w:val="00A434E9"/>
    <w:rsid w:val="00A43C59"/>
    <w:rsid w:val="00A45B86"/>
    <w:rsid w:val="00A46477"/>
    <w:rsid w:val="00A50324"/>
    <w:rsid w:val="00A50ECD"/>
    <w:rsid w:val="00A518F3"/>
    <w:rsid w:val="00A52729"/>
    <w:rsid w:val="00A52F12"/>
    <w:rsid w:val="00A53675"/>
    <w:rsid w:val="00A540B9"/>
    <w:rsid w:val="00A56075"/>
    <w:rsid w:val="00A564D7"/>
    <w:rsid w:val="00A56B6A"/>
    <w:rsid w:val="00A56C70"/>
    <w:rsid w:val="00A5759D"/>
    <w:rsid w:val="00A578DC"/>
    <w:rsid w:val="00A57AD5"/>
    <w:rsid w:val="00A640E2"/>
    <w:rsid w:val="00A64D65"/>
    <w:rsid w:val="00A64FE8"/>
    <w:rsid w:val="00A6702D"/>
    <w:rsid w:val="00A6725B"/>
    <w:rsid w:val="00A6792E"/>
    <w:rsid w:val="00A70196"/>
    <w:rsid w:val="00A70605"/>
    <w:rsid w:val="00A70634"/>
    <w:rsid w:val="00A7305D"/>
    <w:rsid w:val="00A73134"/>
    <w:rsid w:val="00A73C99"/>
    <w:rsid w:val="00A746DB"/>
    <w:rsid w:val="00A74C29"/>
    <w:rsid w:val="00A76001"/>
    <w:rsid w:val="00A777B2"/>
    <w:rsid w:val="00A80846"/>
    <w:rsid w:val="00A825D4"/>
    <w:rsid w:val="00A828F6"/>
    <w:rsid w:val="00A82B73"/>
    <w:rsid w:val="00A8314D"/>
    <w:rsid w:val="00A8318D"/>
    <w:rsid w:val="00A8591B"/>
    <w:rsid w:val="00A86E8B"/>
    <w:rsid w:val="00A87164"/>
    <w:rsid w:val="00A919C3"/>
    <w:rsid w:val="00A93072"/>
    <w:rsid w:val="00A938BD"/>
    <w:rsid w:val="00A93953"/>
    <w:rsid w:val="00A94FF1"/>
    <w:rsid w:val="00A959D8"/>
    <w:rsid w:val="00AA0BEB"/>
    <w:rsid w:val="00AA113D"/>
    <w:rsid w:val="00AA41A7"/>
    <w:rsid w:val="00AA4F8E"/>
    <w:rsid w:val="00AA50CF"/>
    <w:rsid w:val="00AA6BD5"/>
    <w:rsid w:val="00AA6BD8"/>
    <w:rsid w:val="00AA6C7D"/>
    <w:rsid w:val="00AA7FD6"/>
    <w:rsid w:val="00AB042A"/>
    <w:rsid w:val="00AB19EF"/>
    <w:rsid w:val="00AB27F7"/>
    <w:rsid w:val="00AB2D34"/>
    <w:rsid w:val="00AB3430"/>
    <w:rsid w:val="00AB37B9"/>
    <w:rsid w:val="00AB3D7A"/>
    <w:rsid w:val="00AB40E5"/>
    <w:rsid w:val="00AB44D5"/>
    <w:rsid w:val="00AB4AD1"/>
    <w:rsid w:val="00AB5E07"/>
    <w:rsid w:val="00AB7CFA"/>
    <w:rsid w:val="00AC0D58"/>
    <w:rsid w:val="00AC4317"/>
    <w:rsid w:val="00AC5724"/>
    <w:rsid w:val="00AC5A2B"/>
    <w:rsid w:val="00AC5B48"/>
    <w:rsid w:val="00AC5CBF"/>
    <w:rsid w:val="00AC6070"/>
    <w:rsid w:val="00AD001C"/>
    <w:rsid w:val="00AD104F"/>
    <w:rsid w:val="00AD1450"/>
    <w:rsid w:val="00AD2F4F"/>
    <w:rsid w:val="00AD4C92"/>
    <w:rsid w:val="00AD6502"/>
    <w:rsid w:val="00AE03E9"/>
    <w:rsid w:val="00AE0695"/>
    <w:rsid w:val="00AE3E7E"/>
    <w:rsid w:val="00AE4A11"/>
    <w:rsid w:val="00AE772D"/>
    <w:rsid w:val="00AF1315"/>
    <w:rsid w:val="00AF19BF"/>
    <w:rsid w:val="00AF2A66"/>
    <w:rsid w:val="00AF2DC3"/>
    <w:rsid w:val="00AF57C1"/>
    <w:rsid w:val="00AF7A2D"/>
    <w:rsid w:val="00B01BC2"/>
    <w:rsid w:val="00B033E5"/>
    <w:rsid w:val="00B036BA"/>
    <w:rsid w:val="00B03A63"/>
    <w:rsid w:val="00B04FDB"/>
    <w:rsid w:val="00B0553E"/>
    <w:rsid w:val="00B100FA"/>
    <w:rsid w:val="00B12CB6"/>
    <w:rsid w:val="00B15128"/>
    <w:rsid w:val="00B15B6A"/>
    <w:rsid w:val="00B201A4"/>
    <w:rsid w:val="00B201D1"/>
    <w:rsid w:val="00B213A6"/>
    <w:rsid w:val="00B214DA"/>
    <w:rsid w:val="00B235B0"/>
    <w:rsid w:val="00B24DF6"/>
    <w:rsid w:val="00B30AA4"/>
    <w:rsid w:val="00B32FD9"/>
    <w:rsid w:val="00B33D96"/>
    <w:rsid w:val="00B34356"/>
    <w:rsid w:val="00B34BE1"/>
    <w:rsid w:val="00B34FE2"/>
    <w:rsid w:val="00B34FFB"/>
    <w:rsid w:val="00B35166"/>
    <w:rsid w:val="00B357D8"/>
    <w:rsid w:val="00B360F4"/>
    <w:rsid w:val="00B36A00"/>
    <w:rsid w:val="00B3763F"/>
    <w:rsid w:val="00B37BFC"/>
    <w:rsid w:val="00B40358"/>
    <w:rsid w:val="00B41614"/>
    <w:rsid w:val="00B42851"/>
    <w:rsid w:val="00B42F80"/>
    <w:rsid w:val="00B435CB"/>
    <w:rsid w:val="00B44337"/>
    <w:rsid w:val="00B46860"/>
    <w:rsid w:val="00B477B1"/>
    <w:rsid w:val="00B47F6E"/>
    <w:rsid w:val="00B505C8"/>
    <w:rsid w:val="00B50DB8"/>
    <w:rsid w:val="00B51277"/>
    <w:rsid w:val="00B53654"/>
    <w:rsid w:val="00B53905"/>
    <w:rsid w:val="00B54B5B"/>
    <w:rsid w:val="00B55302"/>
    <w:rsid w:val="00B55426"/>
    <w:rsid w:val="00B5562E"/>
    <w:rsid w:val="00B55D65"/>
    <w:rsid w:val="00B56D56"/>
    <w:rsid w:val="00B57000"/>
    <w:rsid w:val="00B60939"/>
    <w:rsid w:val="00B60AFD"/>
    <w:rsid w:val="00B62715"/>
    <w:rsid w:val="00B62B77"/>
    <w:rsid w:val="00B63DE8"/>
    <w:rsid w:val="00B63E39"/>
    <w:rsid w:val="00B65611"/>
    <w:rsid w:val="00B668DE"/>
    <w:rsid w:val="00B66A26"/>
    <w:rsid w:val="00B67416"/>
    <w:rsid w:val="00B674B6"/>
    <w:rsid w:val="00B70BCA"/>
    <w:rsid w:val="00B70E8E"/>
    <w:rsid w:val="00B72FDB"/>
    <w:rsid w:val="00B7348F"/>
    <w:rsid w:val="00B74373"/>
    <w:rsid w:val="00B75AB5"/>
    <w:rsid w:val="00B76AD8"/>
    <w:rsid w:val="00B76C92"/>
    <w:rsid w:val="00B76DB5"/>
    <w:rsid w:val="00B76DCB"/>
    <w:rsid w:val="00B8075A"/>
    <w:rsid w:val="00B818A4"/>
    <w:rsid w:val="00B83340"/>
    <w:rsid w:val="00B83ABB"/>
    <w:rsid w:val="00B84117"/>
    <w:rsid w:val="00B84F94"/>
    <w:rsid w:val="00B858F0"/>
    <w:rsid w:val="00B85AA2"/>
    <w:rsid w:val="00B8649C"/>
    <w:rsid w:val="00B8695D"/>
    <w:rsid w:val="00B87F0A"/>
    <w:rsid w:val="00B92413"/>
    <w:rsid w:val="00B92D0B"/>
    <w:rsid w:val="00B933AC"/>
    <w:rsid w:val="00B94573"/>
    <w:rsid w:val="00B94945"/>
    <w:rsid w:val="00B94B61"/>
    <w:rsid w:val="00B94DD6"/>
    <w:rsid w:val="00B967ED"/>
    <w:rsid w:val="00B97159"/>
    <w:rsid w:val="00B973DE"/>
    <w:rsid w:val="00B97818"/>
    <w:rsid w:val="00BA2021"/>
    <w:rsid w:val="00BA2424"/>
    <w:rsid w:val="00BA31A3"/>
    <w:rsid w:val="00BA322D"/>
    <w:rsid w:val="00BA3F4A"/>
    <w:rsid w:val="00BA5F01"/>
    <w:rsid w:val="00BA63FA"/>
    <w:rsid w:val="00BB00B3"/>
    <w:rsid w:val="00BB0843"/>
    <w:rsid w:val="00BB0BDD"/>
    <w:rsid w:val="00BB112F"/>
    <w:rsid w:val="00BB176C"/>
    <w:rsid w:val="00BB18DC"/>
    <w:rsid w:val="00BB1F04"/>
    <w:rsid w:val="00BB2A61"/>
    <w:rsid w:val="00BB2A73"/>
    <w:rsid w:val="00BB3308"/>
    <w:rsid w:val="00BB380C"/>
    <w:rsid w:val="00BB3A45"/>
    <w:rsid w:val="00BB3A54"/>
    <w:rsid w:val="00BB4ACC"/>
    <w:rsid w:val="00BB4D85"/>
    <w:rsid w:val="00BB50C2"/>
    <w:rsid w:val="00BB6478"/>
    <w:rsid w:val="00BB69CA"/>
    <w:rsid w:val="00BB703E"/>
    <w:rsid w:val="00BB732D"/>
    <w:rsid w:val="00BB7405"/>
    <w:rsid w:val="00BC2A4F"/>
    <w:rsid w:val="00BC2B37"/>
    <w:rsid w:val="00BC3631"/>
    <w:rsid w:val="00BC4F61"/>
    <w:rsid w:val="00BC51CA"/>
    <w:rsid w:val="00BC591F"/>
    <w:rsid w:val="00BC74ED"/>
    <w:rsid w:val="00BC7D6D"/>
    <w:rsid w:val="00BD03C8"/>
    <w:rsid w:val="00BD2108"/>
    <w:rsid w:val="00BD4BFE"/>
    <w:rsid w:val="00BD6022"/>
    <w:rsid w:val="00BD68A3"/>
    <w:rsid w:val="00BD6938"/>
    <w:rsid w:val="00BD6CF3"/>
    <w:rsid w:val="00BD78EA"/>
    <w:rsid w:val="00BD7EEC"/>
    <w:rsid w:val="00BE0ECA"/>
    <w:rsid w:val="00BE2180"/>
    <w:rsid w:val="00BE21F2"/>
    <w:rsid w:val="00BE4275"/>
    <w:rsid w:val="00BE5C17"/>
    <w:rsid w:val="00BF0370"/>
    <w:rsid w:val="00BF06AE"/>
    <w:rsid w:val="00BF0F95"/>
    <w:rsid w:val="00BF2433"/>
    <w:rsid w:val="00BF61C9"/>
    <w:rsid w:val="00BF6C94"/>
    <w:rsid w:val="00BF73E2"/>
    <w:rsid w:val="00BF7578"/>
    <w:rsid w:val="00C00424"/>
    <w:rsid w:val="00C02ADC"/>
    <w:rsid w:val="00C06276"/>
    <w:rsid w:val="00C06A01"/>
    <w:rsid w:val="00C06EFD"/>
    <w:rsid w:val="00C1179F"/>
    <w:rsid w:val="00C11BC6"/>
    <w:rsid w:val="00C12C14"/>
    <w:rsid w:val="00C1411B"/>
    <w:rsid w:val="00C15E0E"/>
    <w:rsid w:val="00C15F04"/>
    <w:rsid w:val="00C1648D"/>
    <w:rsid w:val="00C16D98"/>
    <w:rsid w:val="00C179B3"/>
    <w:rsid w:val="00C17E3F"/>
    <w:rsid w:val="00C200AA"/>
    <w:rsid w:val="00C214FC"/>
    <w:rsid w:val="00C21DD5"/>
    <w:rsid w:val="00C22118"/>
    <w:rsid w:val="00C2213F"/>
    <w:rsid w:val="00C2322C"/>
    <w:rsid w:val="00C237ED"/>
    <w:rsid w:val="00C24632"/>
    <w:rsid w:val="00C25418"/>
    <w:rsid w:val="00C25D65"/>
    <w:rsid w:val="00C25D9C"/>
    <w:rsid w:val="00C25F8B"/>
    <w:rsid w:val="00C26A00"/>
    <w:rsid w:val="00C26D1C"/>
    <w:rsid w:val="00C2778B"/>
    <w:rsid w:val="00C30305"/>
    <w:rsid w:val="00C31649"/>
    <w:rsid w:val="00C3213D"/>
    <w:rsid w:val="00C33D84"/>
    <w:rsid w:val="00C3434C"/>
    <w:rsid w:val="00C40385"/>
    <w:rsid w:val="00C41768"/>
    <w:rsid w:val="00C41914"/>
    <w:rsid w:val="00C4343E"/>
    <w:rsid w:val="00C43ED2"/>
    <w:rsid w:val="00C44B52"/>
    <w:rsid w:val="00C46662"/>
    <w:rsid w:val="00C475AA"/>
    <w:rsid w:val="00C50C11"/>
    <w:rsid w:val="00C51A37"/>
    <w:rsid w:val="00C53C98"/>
    <w:rsid w:val="00C5413F"/>
    <w:rsid w:val="00C54855"/>
    <w:rsid w:val="00C55C18"/>
    <w:rsid w:val="00C56931"/>
    <w:rsid w:val="00C56FCF"/>
    <w:rsid w:val="00C57B6C"/>
    <w:rsid w:val="00C61671"/>
    <w:rsid w:val="00C61779"/>
    <w:rsid w:val="00C628A6"/>
    <w:rsid w:val="00C63069"/>
    <w:rsid w:val="00C64344"/>
    <w:rsid w:val="00C646AE"/>
    <w:rsid w:val="00C65108"/>
    <w:rsid w:val="00C65576"/>
    <w:rsid w:val="00C66165"/>
    <w:rsid w:val="00C7060A"/>
    <w:rsid w:val="00C7151A"/>
    <w:rsid w:val="00C717E3"/>
    <w:rsid w:val="00C71BEF"/>
    <w:rsid w:val="00C71CD4"/>
    <w:rsid w:val="00C71F60"/>
    <w:rsid w:val="00C72241"/>
    <w:rsid w:val="00C733E1"/>
    <w:rsid w:val="00C74AE6"/>
    <w:rsid w:val="00C750C8"/>
    <w:rsid w:val="00C7560F"/>
    <w:rsid w:val="00C7709B"/>
    <w:rsid w:val="00C80A0E"/>
    <w:rsid w:val="00C81EF2"/>
    <w:rsid w:val="00C8213F"/>
    <w:rsid w:val="00C82E9C"/>
    <w:rsid w:val="00C85154"/>
    <w:rsid w:val="00C86AF8"/>
    <w:rsid w:val="00C874A4"/>
    <w:rsid w:val="00C8797A"/>
    <w:rsid w:val="00C87EA9"/>
    <w:rsid w:val="00C900B8"/>
    <w:rsid w:val="00C90C71"/>
    <w:rsid w:val="00C91FD1"/>
    <w:rsid w:val="00C931CF"/>
    <w:rsid w:val="00C93274"/>
    <w:rsid w:val="00C932B8"/>
    <w:rsid w:val="00C938CF"/>
    <w:rsid w:val="00C94053"/>
    <w:rsid w:val="00C9624D"/>
    <w:rsid w:val="00C9696B"/>
    <w:rsid w:val="00C969DA"/>
    <w:rsid w:val="00CA2688"/>
    <w:rsid w:val="00CA2C0E"/>
    <w:rsid w:val="00CA2C77"/>
    <w:rsid w:val="00CA429C"/>
    <w:rsid w:val="00CA444F"/>
    <w:rsid w:val="00CA4765"/>
    <w:rsid w:val="00CA5245"/>
    <w:rsid w:val="00CA710F"/>
    <w:rsid w:val="00CA71F4"/>
    <w:rsid w:val="00CA7456"/>
    <w:rsid w:val="00CA74DF"/>
    <w:rsid w:val="00CA7B09"/>
    <w:rsid w:val="00CB063F"/>
    <w:rsid w:val="00CB087A"/>
    <w:rsid w:val="00CB12A5"/>
    <w:rsid w:val="00CB1CAC"/>
    <w:rsid w:val="00CB1CE1"/>
    <w:rsid w:val="00CB2F2A"/>
    <w:rsid w:val="00CB3856"/>
    <w:rsid w:val="00CB42F9"/>
    <w:rsid w:val="00CB48E6"/>
    <w:rsid w:val="00CB4B11"/>
    <w:rsid w:val="00CB5B1A"/>
    <w:rsid w:val="00CB6B22"/>
    <w:rsid w:val="00CB7F5F"/>
    <w:rsid w:val="00CC1B39"/>
    <w:rsid w:val="00CC218A"/>
    <w:rsid w:val="00CC305B"/>
    <w:rsid w:val="00CC35EA"/>
    <w:rsid w:val="00CC3848"/>
    <w:rsid w:val="00CC3C0E"/>
    <w:rsid w:val="00CC68DA"/>
    <w:rsid w:val="00CC6F4E"/>
    <w:rsid w:val="00CD3F77"/>
    <w:rsid w:val="00CD5F08"/>
    <w:rsid w:val="00CD6ADC"/>
    <w:rsid w:val="00CD7193"/>
    <w:rsid w:val="00CE2C3A"/>
    <w:rsid w:val="00CE38C8"/>
    <w:rsid w:val="00CE588D"/>
    <w:rsid w:val="00CE6274"/>
    <w:rsid w:val="00CE77B6"/>
    <w:rsid w:val="00CF04F1"/>
    <w:rsid w:val="00CF2626"/>
    <w:rsid w:val="00CF2737"/>
    <w:rsid w:val="00CF2B8D"/>
    <w:rsid w:val="00CF31E1"/>
    <w:rsid w:val="00CF3763"/>
    <w:rsid w:val="00CF456B"/>
    <w:rsid w:val="00CF5A22"/>
    <w:rsid w:val="00CF602D"/>
    <w:rsid w:val="00CF66B3"/>
    <w:rsid w:val="00CF7BAC"/>
    <w:rsid w:val="00CF7D84"/>
    <w:rsid w:val="00D0262E"/>
    <w:rsid w:val="00D0352B"/>
    <w:rsid w:val="00D038D2"/>
    <w:rsid w:val="00D05623"/>
    <w:rsid w:val="00D05D14"/>
    <w:rsid w:val="00D05E3D"/>
    <w:rsid w:val="00D05F05"/>
    <w:rsid w:val="00D06139"/>
    <w:rsid w:val="00D071DA"/>
    <w:rsid w:val="00D07815"/>
    <w:rsid w:val="00D110BD"/>
    <w:rsid w:val="00D119AF"/>
    <w:rsid w:val="00D13675"/>
    <w:rsid w:val="00D141E1"/>
    <w:rsid w:val="00D1423A"/>
    <w:rsid w:val="00D144FD"/>
    <w:rsid w:val="00D15314"/>
    <w:rsid w:val="00D16D2A"/>
    <w:rsid w:val="00D17D6C"/>
    <w:rsid w:val="00D201C1"/>
    <w:rsid w:val="00D2155B"/>
    <w:rsid w:val="00D21808"/>
    <w:rsid w:val="00D21879"/>
    <w:rsid w:val="00D23A32"/>
    <w:rsid w:val="00D23AE5"/>
    <w:rsid w:val="00D23D11"/>
    <w:rsid w:val="00D23F51"/>
    <w:rsid w:val="00D241A5"/>
    <w:rsid w:val="00D244B6"/>
    <w:rsid w:val="00D255B1"/>
    <w:rsid w:val="00D25E7E"/>
    <w:rsid w:val="00D25F98"/>
    <w:rsid w:val="00D268E2"/>
    <w:rsid w:val="00D2754D"/>
    <w:rsid w:val="00D27B27"/>
    <w:rsid w:val="00D33BE9"/>
    <w:rsid w:val="00D33F93"/>
    <w:rsid w:val="00D357FF"/>
    <w:rsid w:val="00D37048"/>
    <w:rsid w:val="00D37508"/>
    <w:rsid w:val="00D40830"/>
    <w:rsid w:val="00D42206"/>
    <w:rsid w:val="00D424C7"/>
    <w:rsid w:val="00D42EBB"/>
    <w:rsid w:val="00D43B2A"/>
    <w:rsid w:val="00D43D83"/>
    <w:rsid w:val="00D47575"/>
    <w:rsid w:val="00D478DF"/>
    <w:rsid w:val="00D50F0D"/>
    <w:rsid w:val="00D5142C"/>
    <w:rsid w:val="00D5243B"/>
    <w:rsid w:val="00D53068"/>
    <w:rsid w:val="00D533EC"/>
    <w:rsid w:val="00D5341D"/>
    <w:rsid w:val="00D538A9"/>
    <w:rsid w:val="00D5503A"/>
    <w:rsid w:val="00D55189"/>
    <w:rsid w:val="00D56A95"/>
    <w:rsid w:val="00D6141A"/>
    <w:rsid w:val="00D6428D"/>
    <w:rsid w:val="00D664FF"/>
    <w:rsid w:val="00D67845"/>
    <w:rsid w:val="00D70F16"/>
    <w:rsid w:val="00D72058"/>
    <w:rsid w:val="00D72F57"/>
    <w:rsid w:val="00D7661D"/>
    <w:rsid w:val="00D76A44"/>
    <w:rsid w:val="00D77DA7"/>
    <w:rsid w:val="00D80256"/>
    <w:rsid w:val="00D80C84"/>
    <w:rsid w:val="00D815EF"/>
    <w:rsid w:val="00D81F26"/>
    <w:rsid w:val="00D83EF4"/>
    <w:rsid w:val="00D843F4"/>
    <w:rsid w:val="00D84467"/>
    <w:rsid w:val="00D84782"/>
    <w:rsid w:val="00D86231"/>
    <w:rsid w:val="00D91923"/>
    <w:rsid w:val="00D93753"/>
    <w:rsid w:val="00D95F98"/>
    <w:rsid w:val="00D9652E"/>
    <w:rsid w:val="00D969D4"/>
    <w:rsid w:val="00DA3167"/>
    <w:rsid w:val="00DA33A1"/>
    <w:rsid w:val="00DA4DC3"/>
    <w:rsid w:val="00DA77A5"/>
    <w:rsid w:val="00DB011F"/>
    <w:rsid w:val="00DB38E1"/>
    <w:rsid w:val="00DB3DBF"/>
    <w:rsid w:val="00DB484F"/>
    <w:rsid w:val="00DC0446"/>
    <w:rsid w:val="00DC04F6"/>
    <w:rsid w:val="00DC0690"/>
    <w:rsid w:val="00DC07BC"/>
    <w:rsid w:val="00DC1D65"/>
    <w:rsid w:val="00DC3C57"/>
    <w:rsid w:val="00DC3D55"/>
    <w:rsid w:val="00DC5501"/>
    <w:rsid w:val="00DC7154"/>
    <w:rsid w:val="00DC7E8A"/>
    <w:rsid w:val="00DD0F78"/>
    <w:rsid w:val="00DD2222"/>
    <w:rsid w:val="00DD273C"/>
    <w:rsid w:val="00DD2804"/>
    <w:rsid w:val="00DD3F28"/>
    <w:rsid w:val="00DD4537"/>
    <w:rsid w:val="00DD4E15"/>
    <w:rsid w:val="00DE2304"/>
    <w:rsid w:val="00DE3138"/>
    <w:rsid w:val="00DE3360"/>
    <w:rsid w:val="00DE37F8"/>
    <w:rsid w:val="00DE4FCB"/>
    <w:rsid w:val="00DE5BDD"/>
    <w:rsid w:val="00DE5D07"/>
    <w:rsid w:val="00DE661A"/>
    <w:rsid w:val="00DE72A7"/>
    <w:rsid w:val="00DE7832"/>
    <w:rsid w:val="00DF18FC"/>
    <w:rsid w:val="00DF291C"/>
    <w:rsid w:val="00DF519B"/>
    <w:rsid w:val="00DF5D2B"/>
    <w:rsid w:val="00DF7E98"/>
    <w:rsid w:val="00DF7F98"/>
    <w:rsid w:val="00E00E8E"/>
    <w:rsid w:val="00E01141"/>
    <w:rsid w:val="00E0292C"/>
    <w:rsid w:val="00E02E8C"/>
    <w:rsid w:val="00E0451C"/>
    <w:rsid w:val="00E04EB2"/>
    <w:rsid w:val="00E05630"/>
    <w:rsid w:val="00E05981"/>
    <w:rsid w:val="00E06DBB"/>
    <w:rsid w:val="00E10149"/>
    <w:rsid w:val="00E10D17"/>
    <w:rsid w:val="00E10DA2"/>
    <w:rsid w:val="00E11340"/>
    <w:rsid w:val="00E122A1"/>
    <w:rsid w:val="00E125A7"/>
    <w:rsid w:val="00E14B05"/>
    <w:rsid w:val="00E16372"/>
    <w:rsid w:val="00E17A96"/>
    <w:rsid w:val="00E2024F"/>
    <w:rsid w:val="00E20E4D"/>
    <w:rsid w:val="00E20ED6"/>
    <w:rsid w:val="00E21358"/>
    <w:rsid w:val="00E21820"/>
    <w:rsid w:val="00E2249B"/>
    <w:rsid w:val="00E22A0D"/>
    <w:rsid w:val="00E22FBD"/>
    <w:rsid w:val="00E23644"/>
    <w:rsid w:val="00E244F6"/>
    <w:rsid w:val="00E2771E"/>
    <w:rsid w:val="00E310A6"/>
    <w:rsid w:val="00E311EF"/>
    <w:rsid w:val="00E32180"/>
    <w:rsid w:val="00E34948"/>
    <w:rsid w:val="00E353A8"/>
    <w:rsid w:val="00E366E4"/>
    <w:rsid w:val="00E36C2A"/>
    <w:rsid w:val="00E37569"/>
    <w:rsid w:val="00E401B2"/>
    <w:rsid w:val="00E40E3B"/>
    <w:rsid w:val="00E41B67"/>
    <w:rsid w:val="00E41E30"/>
    <w:rsid w:val="00E42F73"/>
    <w:rsid w:val="00E43D70"/>
    <w:rsid w:val="00E4571E"/>
    <w:rsid w:val="00E466F3"/>
    <w:rsid w:val="00E4766F"/>
    <w:rsid w:val="00E47B2C"/>
    <w:rsid w:val="00E51560"/>
    <w:rsid w:val="00E537B2"/>
    <w:rsid w:val="00E53992"/>
    <w:rsid w:val="00E53F59"/>
    <w:rsid w:val="00E53FC8"/>
    <w:rsid w:val="00E54347"/>
    <w:rsid w:val="00E55424"/>
    <w:rsid w:val="00E55915"/>
    <w:rsid w:val="00E55BB5"/>
    <w:rsid w:val="00E55DBE"/>
    <w:rsid w:val="00E56139"/>
    <w:rsid w:val="00E57930"/>
    <w:rsid w:val="00E600B7"/>
    <w:rsid w:val="00E6093D"/>
    <w:rsid w:val="00E61D08"/>
    <w:rsid w:val="00E63244"/>
    <w:rsid w:val="00E65E79"/>
    <w:rsid w:val="00E66401"/>
    <w:rsid w:val="00E66BA2"/>
    <w:rsid w:val="00E6739D"/>
    <w:rsid w:val="00E67416"/>
    <w:rsid w:val="00E70102"/>
    <w:rsid w:val="00E70FB8"/>
    <w:rsid w:val="00E713A5"/>
    <w:rsid w:val="00E718B6"/>
    <w:rsid w:val="00E71AEB"/>
    <w:rsid w:val="00E723BA"/>
    <w:rsid w:val="00E729A2"/>
    <w:rsid w:val="00E73581"/>
    <w:rsid w:val="00E77E28"/>
    <w:rsid w:val="00E801A0"/>
    <w:rsid w:val="00E80E8F"/>
    <w:rsid w:val="00E81386"/>
    <w:rsid w:val="00E833F7"/>
    <w:rsid w:val="00E83BDF"/>
    <w:rsid w:val="00E855AD"/>
    <w:rsid w:val="00E87A1D"/>
    <w:rsid w:val="00E901B9"/>
    <w:rsid w:val="00E90915"/>
    <w:rsid w:val="00E9094A"/>
    <w:rsid w:val="00E9107C"/>
    <w:rsid w:val="00E91D35"/>
    <w:rsid w:val="00E92211"/>
    <w:rsid w:val="00E926A5"/>
    <w:rsid w:val="00E926AA"/>
    <w:rsid w:val="00E93B2C"/>
    <w:rsid w:val="00E9453C"/>
    <w:rsid w:val="00E96785"/>
    <w:rsid w:val="00EA17C3"/>
    <w:rsid w:val="00EA2CAA"/>
    <w:rsid w:val="00EA3864"/>
    <w:rsid w:val="00EA3A9E"/>
    <w:rsid w:val="00EA44F6"/>
    <w:rsid w:val="00EA7F1C"/>
    <w:rsid w:val="00EB15B6"/>
    <w:rsid w:val="00EB2D8C"/>
    <w:rsid w:val="00EB3D06"/>
    <w:rsid w:val="00EB4916"/>
    <w:rsid w:val="00EB5368"/>
    <w:rsid w:val="00EB6A66"/>
    <w:rsid w:val="00EC00C9"/>
    <w:rsid w:val="00EC03D6"/>
    <w:rsid w:val="00EC0DD9"/>
    <w:rsid w:val="00EC191B"/>
    <w:rsid w:val="00EC2649"/>
    <w:rsid w:val="00EC2676"/>
    <w:rsid w:val="00EC31ED"/>
    <w:rsid w:val="00EC439A"/>
    <w:rsid w:val="00EC4896"/>
    <w:rsid w:val="00EC534A"/>
    <w:rsid w:val="00EC5836"/>
    <w:rsid w:val="00EC688C"/>
    <w:rsid w:val="00ED0403"/>
    <w:rsid w:val="00ED4395"/>
    <w:rsid w:val="00ED5101"/>
    <w:rsid w:val="00ED5631"/>
    <w:rsid w:val="00ED57EA"/>
    <w:rsid w:val="00ED5BD4"/>
    <w:rsid w:val="00ED6E26"/>
    <w:rsid w:val="00ED7A91"/>
    <w:rsid w:val="00EE07D3"/>
    <w:rsid w:val="00EE17AF"/>
    <w:rsid w:val="00EE1996"/>
    <w:rsid w:val="00EE1C01"/>
    <w:rsid w:val="00EE22AF"/>
    <w:rsid w:val="00EE4215"/>
    <w:rsid w:val="00EE6E9A"/>
    <w:rsid w:val="00EE7014"/>
    <w:rsid w:val="00EF0171"/>
    <w:rsid w:val="00EF03F5"/>
    <w:rsid w:val="00EF0524"/>
    <w:rsid w:val="00EF1152"/>
    <w:rsid w:val="00EF1B25"/>
    <w:rsid w:val="00EF1DA0"/>
    <w:rsid w:val="00EF3A6B"/>
    <w:rsid w:val="00EF4747"/>
    <w:rsid w:val="00EF4BF8"/>
    <w:rsid w:val="00EF4E82"/>
    <w:rsid w:val="00F01A15"/>
    <w:rsid w:val="00F01A23"/>
    <w:rsid w:val="00F02253"/>
    <w:rsid w:val="00F03C2E"/>
    <w:rsid w:val="00F0443C"/>
    <w:rsid w:val="00F0469E"/>
    <w:rsid w:val="00F04A66"/>
    <w:rsid w:val="00F04B4B"/>
    <w:rsid w:val="00F0516C"/>
    <w:rsid w:val="00F067A2"/>
    <w:rsid w:val="00F06BCC"/>
    <w:rsid w:val="00F075E6"/>
    <w:rsid w:val="00F079EB"/>
    <w:rsid w:val="00F07B9E"/>
    <w:rsid w:val="00F10037"/>
    <w:rsid w:val="00F1116F"/>
    <w:rsid w:val="00F1263A"/>
    <w:rsid w:val="00F12911"/>
    <w:rsid w:val="00F130B1"/>
    <w:rsid w:val="00F14FC3"/>
    <w:rsid w:val="00F15991"/>
    <w:rsid w:val="00F15B77"/>
    <w:rsid w:val="00F17285"/>
    <w:rsid w:val="00F17679"/>
    <w:rsid w:val="00F24837"/>
    <w:rsid w:val="00F2575F"/>
    <w:rsid w:val="00F27565"/>
    <w:rsid w:val="00F30CDD"/>
    <w:rsid w:val="00F310D4"/>
    <w:rsid w:val="00F31762"/>
    <w:rsid w:val="00F31D5A"/>
    <w:rsid w:val="00F337F2"/>
    <w:rsid w:val="00F33975"/>
    <w:rsid w:val="00F33DE9"/>
    <w:rsid w:val="00F3426D"/>
    <w:rsid w:val="00F35E6D"/>
    <w:rsid w:val="00F3619A"/>
    <w:rsid w:val="00F369E1"/>
    <w:rsid w:val="00F40AAA"/>
    <w:rsid w:val="00F40BA7"/>
    <w:rsid w:val="00F40F9D"/>
    <w:rsid w:val="00F4197D"/>
    <w:rsid w:val="00F41ACD"/>
    <w:rsid w:val="00F4349F"/>
    <w:rsid w:val="00F434F3"/>
    <w:rsid w:val="00F43586"/>
    <w:rsid w:val="00F4359C"/>
    <w:rsid w:val="00F437D2"/>
    <w:rsid w:val="00F46CB6"/>
    <w:rsid w:val="00F4756D"/>
    <w:rsid w:val="00F47DE0"/>
    <w:rsid w:val="00F47DE8"/>
    <w:rsid w:val="00F533C2"/>
    <w:rsid w:val="00F53850"/>
    <w:rsid w:val="00F542C1"/>
    <w:rsid w:val="00F54F6E"/>
    <w:rsid w:val="00F55E73"/>
    <w:rsid w:val="00F55EDA"/>
    <w:rsid w:val="00F56C80"/>
    <w:rsid w:val="00F5766D"/>
    <w:rsid w:val="00F57FB8"/>
    <w:rsid w:val="00F60092"/>
    <w:rsid w:val="00F61C18"/>
    <w:rsid w:val="00F64CDA"/>
    <w:rsid w:val="00F65F4B"/>
    <w:rsid w:val="00F66FB9"/>
    <w:rsid w:val="00F67A69"/>
    <w:rsid w:val="00F70417"/>
    <w:rsid w:val="00F70BFF"/>
    <w:rsid w:val="00F70C9D"/>
    <w:rsid w:val="00F72BBC"/>
    <w:rsid w:val="00F74CD9"/>
    <w:rsid w:val="00F77849"/>
    <w:rsid w:val="00F806BC"/>
    <w:rsid w:val="00F80A7B"/>
    <w:rsid w:val="00F80E5D"/>
    <w:rsid w:val="00F81E27"/>
    <w:rsid w:val="00F81E78"/>
    <w:rsid w:val="00F8360A"/>
    <w:rsid w:val="00F851CE"/>
    <w:rsid w:val="00F91219"/>
    <w:rsid w:val="00F9125C"/>
    <w:rsid w:val="00F91590"/>
    <w:rsid w:val="00F920A5"/>
    <w:rsid w:val="00F92444"/>
    <w:rsid w:val="00F9393E"/>
    <w:rsid w:val="00F96E05"/>
    <w:rsid w:val="00F96FD0"/>
    <w:rsid w:val="00F97A78"/>
    <w:rsid w:val="00FA008E"/>
    <w:rsid w:val="00FA0B20"/>
    <w:rsid w:val="00FA0B48"/>
    <w:rsid w:val="00FA1239"/>
    <w:rsid w:val="00FA24E7"/>
    <w:rsid w:val="00FA3846"/>
    <w:rsid w:val="00FA5EE6"/>
    <w:rsid w:val="00FA6456"/>
    <w:rsid w:val="00FA645B"/>
    <w:rsid w:val="00FA7956"/>
    <w:rsid w:val="00FB063E"/>
    <w:rsid w:val="00FB2951"/>
    <w:rsid w:val="00FB2AEB"/>
    <w:rsid w:val="00FB2FCB"/>
    <w:rsid w:val="00FB3A8E"/>
    <w:rsid w:val="00FB7C55"/>
    <w:rsid w:val="00FC1074"/>
    <w:rsid w:val="00FC1884"/>
    <w:rsid w:val="00FC371D"/>
    <w:rsid w:val="00FC5A62"/>
    <w:rsid w:val="00FC5F0B"/>
    <w:rsid w:val="00FD2100"/>
    <w:rsid w:val="00FD3BC0"/>
    <w:rsid w:val="00FD436C"/>
    <w:rsid w:val="00FD446D"/>
    <w:rsid w:val="00FD4F2C"/>
    <w:rsid w:val="00FD6394"/>
    <w:rsid w:val="00FE0E6C"/>
    <w:rsid w:val="00FE1CDC"/>
    <w:rsid w:val="00FE31A8"/>
    <w:rsid w:val="00FE4297"/>
    <w:rsid w:val="00FE4848"/>
    <w:rsid w:val="00FE70C3"/>
    <w:rsid w:val="00FF07B1"/>
    <w:rsid w:val="00FF13B3"/>
    <w:rsid w:val="00FF1DE0"/>
    <w:rsid w:val="00FF2368"/>
    <w:rsid w:val="00FF2AD9"/>
    <w:rsid w:val="00FF30B7"/>
    <w:rsid w:val="00FF359F"/>
    <w:rsid w:val="00FF3DCF"/>
    <w:rsid w:val="00FF492C"/>
    <w:rsid w:val="00FF4A21"/>
    <w:rsid w:val="00FF4D03"/>
    <w:rsid w:val="00FF54AF"/>
    <w:rsid w:val="00FF5AA3"/>
    <w:rsid w:val="00FF5AD8"/>
    <w:rsid w:val="00FF6620"/>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317"/>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rsid w:val="00D21879"/>
    <w:rPr>
      <w:rFonts w:ascii="Calibri" w:hAnsi="Calibri"/>
      <w:b/>
      <w:sz w:val="20"/>
      <w:lang w:val="en-AU"/>
    </w:rPr>
  </w:style>
  <w:style w:type="paragraph" w:customStyle="1" w:styleId="TableCentre">
    <w:name w:val="Table Centre"/>
    <w:basedOn w:val="Normal"/>
    <w:uiPriority w:val="99"/>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paragraph" w:customStyle="1" w:styleId="TableFigureFootnote">
    <w:name w:val="Table &amp; Figure Footnote"/>
    <w:basedOn w:val="BodyText"/>
    <w:next w:val="BodyText"/>
    <w:qFormat/>
    <w:rsid w:val="00BC4F61"/>
    <w:pPr>
      <w:spacing w:before="20" w:after="20"/>
      <w:jc w:val="both"/>
    </w:pPr>
    <w:rPr>
      <w:rFonts w:ascii="Arial" w:hAnsi="Arial" w:cs="Times New Roman"/>
      <w:sz w:val="16"/>
      <w:lang w:eastAsia="en-US"/>
    </w:rPr>
  </w:style>
  <w:style w:type="table" w:customStyle="1" w:styleId="Summarybox5">
    <w:name w:val="Summary box5"/>
    <w:basedOn w:val="TableNormal"/>
    <w:next w:val="TableGrid"/>
    <w:uiPriority w:val="59"/>
    <w:rsid w:val="003A393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2A5330"/>
    <w:rPr>
      <w:sz w:val="20"/>
      <w:szCs w:val="20"/>
    </w:rPr>
  </w:style>
  <w:style w:type="character" w:customStyle="1" w:styleId="FootnoteTextChar">
    <w:name w:val="Footnote Text Char"/>
    <w:basedOn w:val="DefaultParagraphFont"/>
    <w:link w:val="FootnoteText"/>
    <w:semiHidden/>
    <w:rsid w:val="002A5330"/>
    <w:rPr>
      <w:rFonts w:ascii="Calibri" w:hAnsi="Calibri" w:cs="Arial"/>
    </w:rPr>
  </w:style>
  <w:style w:type="character" w:styleId="FootnoteReference">
    <w:name w:val="footnote reference"/>
    <w:basedOn w:val="DefaultParagraphFont"/>
    <w:semiHidden/>
    <w:unhideWhenUsed/>
    <w:rsid w:val="002A5330"/>
    <w:rPr>
      <w:vertAlign w:val="superscript"/>
    </w:rPr>
  </w:style>
  <w:style w:type="paragraph" w:customStyle="1" w:styleId="ExecSumBodyText">
    <w:name w:val="Exec Sum Body Text"/>
    <w:basedOn w:val="Normal"/>
    <w:link w:val="ExecSumBodyTextChar"/>
    <w:qFormat/>
    <w:rsid w:val="00E537B2"/>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E537B2"/>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421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43309689">
      <w:bodyDiv w:val="1"/>
      <w:marLeft w:val="0"/>
      <w:marRight w:val="0"/>
      <w:marTop w:val="0"/>
      <w:marBottom w:val="0"/>
      <w:divBdr>
        <w:top w:val="none" w:sz="0" w:space="0" w:color="auto"/>
        <w:left w:val="none" w:sz="0" w:space="0" w:color="auto"/>
        <w:bottom w:val="none" w:sz="0" w:space="0" w:color="auto"/>
        <w:right w:val="none" w:sz="0" w:space="0" w:color="auto"/>
      </w:divBdr>
    </w:div>
    <w:div w:id="796876171">
      <w:bodyDiv w:val="1"/>
      <w:marLeft w:val="0"/>
      <w:marRight w:val="0"/>
      <w:marTop w:val="0"/>
      <w:marBottom w:val="0"/>
      <w:divBdr>
        <w:top w:val="none" w:sz="0" w:space="0" w:color="auto"/>
        <w:left w:val="none" w:sz="0" w:space="0" w:color="auto"/>
        <w:bottom w:val="none" w:sz="0" w:space="0" w:color="auto"/>
        <w:right w:val="none" w:sz="0" w:space="0" w:color="auto"/>
      </w:divBdr>
    </w:div>
    <w:div w:id="100486699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5119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F862-9B02-46B0-801B-ADDAE2FE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9202</Words>
  <Characters>52236</Characters>
  <Application>Microsoft Office Word</Application>
  <DocSecurity>0</DocSecurity>
  <Lines>435</Lines>
  <Paragraphs>122</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5.02	DARATUMUMAB, Solution for subcutaneous injection 1,800 mg in 15 mL vial, Da</vt:lpstr>
      <vt:lpstr>Purpose of Application</vt:lpstr>
      <vt:lpstr>Background</vt:lpstr>
      <vt:lpstr>    Registration status</vt:lpstr>
      <vt:lpstr>Requested listing</vt:lpstr>
      <vt:lpstr>Population and disease</vt:lpstr>
      <vt:lpstr>Comparator</vt:lpstr>
      <vt:lpstr>Consideration of the evidence</vt:lpstr>
      <vt:lpstr>    Sponsor hearing</vt:lpstr>
      <vt:lpstr>    Consumer comments</vt:lpstr>
      <vt:lpstr>    Clinical trial</vt:lpstr>
      <vt:lpstr>    Comparative effectiveness</vt:lpstr>
      <vt:lpstr>    Comparative harms</vt:lpstr>
      <vt:lpstr>    Benefits/harms</vt:lpstr>
      <vt:lpstr>    Clinical claim</vt:lpstr>
      <vt:lpstr>    Economic analysis </vt:lpstr>
      <vt:lpstr>    Drug cost/patient/year</vt:lpstr>
      <vt:lpstr>    Estimated PBS usage &amp; financial implications</vt:lpstr>
      <vt:lpstr>    Quality Use of Medicines</vt:lpstr>
      <vt:lpstr>    Financial Management – Risk Sharing Arrangements</vt:lpstr>
      <vt:lpstr>PBAC Outcome</vt:lpstr>
      <vt:lpstr>Recommended listing</vt:lpstr>
      <vt:lpstr>Context for Decision</vt:lpstr>
      <vt:lpstr>Sponsor’s Comment</vt:lpstr>
    </vt:vector>
  </TitlesOfParts>
  <Company/>
  <LinksUpToDate>false</LinksUpToDate>
  <CharactersWithSpaces>61316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2021-10-25T02:47:00Z</dcterms:created>
  <dcterms:modified xsi:type="dcterms:W3CDTF">2021-10-25T02:47:00Z</dcterms:modified>
</cp:coreProperties>
</file>