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5C202F" w:rsidRDefault="00EB63AF" w:rsidP="004A6040">
      <w:pPr>
        <w:pStyle w:val="1-MainHeading"/>
      </w:pPr>
      <w:r w:rsidRPr="005C202F">
        <w:t>5</w:t>
      </w:r>
      <w:r w:rsidR="00433044" w:rsidRPr="005C202F">
        <w:t>.</w:t>
      </w:r>
      <w:r w:rsidRPr="005C202F">
        <w:t>03</w:t>
      </w:r>
      <w:r w:rsidR="00163F66" w:rsidRPr="005C202F">
        <w:tab/>
      </w:r>
      <w:r w:rsidR="00121C9E" w:rsidRPr="005C202F">
        <w:t>ESKETAMINE</w:t>
      </w:r>
      <w:r w:rsidR="00163F66" w:rsidRPr="005C202F">
        <w:t>,</w:t>
      </w:r>
      <w:r w:rsidR="00163F66" w:rsidRPr="005C202F">
        <w:br/>
      </w:r>
      <w:r w:rsidR="00EF4B75" w:rsidRPr="005C202F">
        <w:t>N</w:t>
      </w:r>
      <w:r w:rsidR="00121C9E" w:rsidRPr="005C202F">
        <w:t>asal spray</w:t>
      </w:r>
      <w:r w:rsidRPr="005C202F">
        <w:t xml:space="preserve"> solution </w:t>
      </w:r>
      <w:r w:rsidR="007F0BA2" w:rsidRPr="005C202F">
        <w:t>28 mg</w:t>
      </w:r>
      <w:r w:rsidR="00163F66" w:rsidRPr="005C202F">
        <w:t>,</w:t>
      </w:r>
      <w:r w:rsidR="00163F66" w:rsidRPr="005C202F">
        <w:br/>
      </w:r>
      <w:r w:rsidR="007F0BA2" w:rsidRPr="005C202F">
        <w:t>Spravato</w:t>
      </w:r>
      <w:r w:rsidR="00B60939" w:rsidRPr="005C202F">
        <w:rPr>
          <w:vertAlign w:val="superscript"/>
        </w:rPr>
        <w:t>®</w:t>
      </w:r>
      <w:r w:rsidR="004A6040" w:rsidRPr="005C202F">
        <w:t>,</w:t>
      </w:r>
      <w:r w:rsidR="004A6040" w:rsidRPr="005C202F">
        <w:br/>
      </w:r>
      <w:r w:rsidR="007F0BA2" w:rsidRPr="005C202F">
        <w:t>Janssen-Cilag Pty Ltd</w:t>
      </w:r>
      <w:r w:rsidR="00B60939" w:rsidRPr="005C202F">
        <w:t>.</w:t>
      </w:r>
    </w:p>
    <w:p w:rsidR="00B50DB8" w:rsidRPr="005C202F" w:rsidRDefault="00B50DB8" w:rsidP="004A6040">
      <w:pPr>
        <w:pStyle w:val="2-SectionHeading"/>
      </w:pPr>
      <w:bookmarkStart w:id="0" w:name="_Toc72325752"/>
      <w:r w:rsidRPr="005C202F">
        <w:t xml:space="preserve">Purpose of </w:t>
      </w:r>
      <w:r w:rsidR="00CD7193" w:rsidRPr="005C202F">
        <w:t>s</w:t>
      </w:r>
      <w:r w:rsidR="00BB3A45" w:rsidRPr="005C202F">
        <w:t>ubmission</w:t>
      </w:r>
      <w:bookmarkEnd w:id="0"/>
    </w:p>
    <w:p w:rsidR="002C2775" w:rsidRPr="005C202F" w:rsidRDefault="007170DA" w:rsidP="004E18E9">
      <w:pPr>
        <w:pStyle w:val="ExecSumBodyText"/>
      </w:pPr>
      <w:r w:rsidRPr="005C202F">
        <w:t xml:space="preserve">The </w:t>
      </w:r>
      <w:r w:rsidR="00A747C9" w:rsidRPr="005C202F">
        <w:t xml:space="preserve">Category 1 </w:t>
      </w:r>
      <w:r w:rsidRPr="005C202F">
        <w:t xml:space="preserve">submission requested </w:t>
      </w:r>
      <w:r w:rsidR="00907F3B" w:rsidRPr="005C202F">
        <w:t xml:space="preserve">a </w:t>
      </w:r>
      <w:r w:rsidR="008B1757" w:rsidRPr="005C202F">
        <w:t>Section 100</w:t>
      </w:r>
      <w:r w:rsidR="00907F3B" w:rsidRPr="005C202F">
        <w:t xml:space="preserve"> (</w:t>
      </w:r>
      <w:r w:rsidR="00F67E2C" w:rsidRPr="005C202F">
        <w:t>Highly Specialised Drugs)</w:t>
      </w:r>
      <w:r w:rsidR="009A2C17" w:rsidRPr="005C202F">
        <w:t>,</w:t>
      </w:r>
      <w:r w:rsidR="008B1757" w:rsidRPr="005C202F">
        <w:t xml:space="preserve"> </w:t>
      </w:r>
      <w:r w:rsidR="00506970" w:rsidRPr="005C202F">
        <w:t>Authority Required</w:t>
      </w:r>
      <w:r w:rsidR="009A2C17" w:rsidRPr="005C202F">
        <w:t xml:space="preserve"> (telephone/electronic)</w:t>
      </w:r>
      <w:r w:rsidR="00506970" w:rsidRPr="005C202F">
        <w:t xml:space="preserve"> </w:t>
      </w:r>
      <w:r w:rsidR="008B1757" w:rsidRPr="005C202F">
        <w:t xml:space="preserve">listing for </w:t>
      </w:r>
      <w:r w:rsidR="00506970" w:rsidRPr="005C202F">
        <w:t>esketamine nasal spray</w:t>
      </w:r>
      <w:r w:rsidR="008B1757" w:rsidRPr="005C202F">
        <w:t xml:space="preserve"> for </w:t>
      </w:r>
      <w:r w:rsidR="0050174E" w:rsidRPr="005C202F">
        <w:t xml:space="preserve">the </w:t>
      </w:r>
      <w:r w:rsidR="008B1757" w:rsidRPr="005C202F">
        <w:t xml:space="preserve">treatment of </w:t>
      </w:r>
      <w:r w:rsidR="00506970" w:rsidRPr="005C202F">
        <w:t>treatment resistant depression</w:t>
      </w:r>
      <w:r w:rsidR="00A747C9" w:rsidRPr="005C202F">
        <w:t xml:space="preserve"> (TRD)</w:t>
      </w:r>
      <w:r w:rsidR="00506970" w:rsidRPr="005C202F">
        <w:t xml:space="preserve">, </w:t>
      </w:r>
      <w:r w:rsidR="00A86D44" w:rsidRPr="005C202F">
        <w:t>initiated in conjunction with a newly prescribed oral antidepressant</w:t>
      </w:r>
      <w:r w:rsidR="00016D18" w:rsidRPr="005C202F">
        <w:t xml:space="preserve"> (OAD)</w:t>
      </w:r>
      <w:r w:rsidR="008B1757" w:rsidRPr="005C202F">
        <w:t xml:space="preserve">. </w:t>
      </w:r>
    </w:p>
    <w:p w:rsidR="00C2778B" w:rsidRPr="005C202F" w:rsidRDefault="005750C5" w:rsidP="004E18E9">
      <w:pPr>
        <w:pStyle w:val="ExecSumBodyText"/>
      </w:pPr>
      <w:r w:rsidRPr="005C202F">
        <w:t>Listing was requested on a cost-effectiveness</w:t>
      </w:r>
      <w:r w:rsidR="00FC32BE" w:rsidRPr="005C202F">
        <w:t xml:space="preserve"> basis </w:t>
      </w:r>
      <w:r w:rsidR="009A2C17" w:rsidRPr="005C202F">
        <w:t>versus</w:t>
      </w:r>
      <w:r w:rsidR="00FC32BE" w:rsidRPr="005C202F">
        <w:t xml:space="preserve"> a newly prescribed </w:t>
      </w:r>
      <w:r w:rsidR="00016D18" w:rsidRPr="005C202F">
        <w:t xml:space="preserve">OAD </w:t>
      </w:r>
      <w:r w:rsidR="00FC32BE" w:rsidRPr="005C202F">
        <w:t xml:space="preserve">alone. </w:t>
      </w:r>
    </w:p>
    <w:p w:rsidR="008B1757" w:rsidRPr="005C202F" w:rsidRDefault="008B1757" w:rsidP="00C66A37">
      <w:pPr>
        <w:pStyle w:val="TableFigureCaption"/>
        <w:keepLines/>
      </w:pPr>
      <w:r w:rsidRPr="005C202F">
        <w:t xml:space="preserve">Table </w:t>
      </w:r>
      <w:r w:rsidR="00FC32BE" w:rsidRPr="005C202F">
        <w:t>1</w:t>
      </w:r>
      <w:r w:rsidRPr="005C202F">
        <w:t>:</w:t>
      </w:r>
      <w:r w:rsidR="00BC591F" w:rsidRPr="005C202F">
        <w:t xml:space="preserve"> </w:t>
      </w:r>
      <w:r w:rsidRPr="005C202F">
        <w:t xml:space="preserve">Key components of the clinical issue addressed </w:t>
      </w:r>
      <w:r w:rsidR="00C43668" w:rsidRPr="005C202F">
        <w:t>in</w:t>
      </w:r>
      <w:r w:rsidRPr="005C202F">
        <w:t xml:space="preserve"> the submission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5C202F" w:rsidTr="008C4D19">
        <w:trPr>
          <w:cantSplit/>
          <w:tblHeader/>
        </w:trPr>
        <w:tc>
          <w:tcPr>
            <w:tcW w:w="924" w:type="pct"/>
            <w:shd w:val="clear" w:color="auto" w:fill="auto"/>
          </w:tcPr>
          <w:p w:rsidR="008B1757" w:rsidRPr="005C202F" w:rsidRDefault="008B1757" w:rsidP="00C66A37">
            <w:pPr>
              <w:pStyle w:val="Tableheadingrow"/>
              <w:keepLines/>
              <w:rPr>
                <w:szCs w:val="20"/>
                <w:lang w:val="en-AU"/>
              </w:rPr>
            </w:pPr>
            <w:r w:rsidRPr="005C202F">
              <w:rPr>
                <w:lang w:val="en-AU"/>
              </w:rPr>
              <w:t>Component</w:t>
            </w:r>
          </w:p>
        </w:tc>
        <w:tc>
          <w:tcPr>
            <w:tcW w:w="4076" w:type="pct"/>
            <w:shd w:val="clear" w:color="auto" w:fill="auto"/>
          </w:tcPr>
          <w:p w:rsidR="008B1757" w:rsidRPr="005C202F" w:rsidRDefault="008B1757" w:rsidP="00C66A37">
            <w:pPr>
              <w:pStyle w:val="Tableheadingrow"/>
              <w:keepLines/>
              <w:rPr>
                <w:lang w:val="en-AU"/>
              </w:rPr>
            </w:pPr>
            <w:r w:rsidRPr="005C202F">
              <w:rPr>
                <w:lang w:val="en-AU"/>
              </w:rPr>
              <w:t>Description</w:t>
            </w:r>
          </w:p>
        </w:tc>
      </w:tr>
      <w:tr w:rsidR="00AD3A0B" w:rsidRPr="005C202F" w:rsidTr="008C4D19">
        <w:trPr>
          <w:cantSplit/>
        </w:trPr>
        <w:tc>
          <w:tcPr>
            <w:tcW w:w="924" w:type="pct"/>
            <w:shd w:val="clear" w:color="auto" w:fill="auto"/>
          </w:tcPr>
          <w:p w:rsidR="00AD3A0B" w:rsidRPr="005C202F" w:rsidRDefault="00AD3A0B" w:rsidP="00C66A37">
            <w:pPr>
              <w:pStyle w:val="TableText"/>
              <w:keepLines/>
            </w:pPr>
            <w:r w:rsidRPr="005C202F">
              <w:t>Population</w:t>
            </w:r>
          </w:p>
        </w:tc>
        <w:tc>
          <w:tcPr>
            <w:tcW w:w="4076" w:type="pct"/>
            <w:vAlign w:val="center"/>
          </w:tcPr>
          <w:p w:rsidR="00AD3A0B" w:rsidRPr="005C202F" w:rsidRDefault="00AD3A0B" w:rsidP="00C66A37">
            <w:pPr>
              <w:pStyle w:val="TableText"/>
              <w:keepLines/>
              <w:rPr>
                <w:szCs w:val="20"/>
              </w:rPr>
            </w:pPr>
            <w:r w:rsidRPr="005C202F">
              <w:t>Adult patients with treatment resistant depression, who have not responded adequately to at least two different antidepressants of adequate dose and duration to treat the current moderate to severe depressive episode.</w:t>
            </w:r>
          </w:p>
        </w:tc>
      </w:tr>
      <w:tr w:rsidR="00AD3A0B" w:rsidRPr="005C202F" w:rsidTr="008C4D19">
        <w:trPr>
          <w:cantSplit/>
        </w:trPr>
        <w:tc>
          <w:tcPr>
            <w:tcW w:w="924" w:type="pct"/>
            <w:shd w:val="clear" w:color="auto" w:fill="auto"/>
          </w:tcPr>
          <w:p w:rsidR="00AD3A0B" w:rsidRPr="005C202F" w:rsidRDefault="00AD3A0B" w:rsidP="00C66A37">
            <w:pPr>
              <w:pStyle w:val="TableText"/>
              <w:keepLines/>
            </w:pPr>
            <w:r w:rsidRPr="005C202F">
              <w:t>Intervention</w:t>
            </w:r>
          </w:p>
        </w:tc>
        <w:tc>
          <w:tcPr>
            <w:tcW w:w="4076" w:type="pct"/>
            <w:vAlign w:val="center"/>
          </w:tcPr>
          <w:p w:rsidR="00AD3A0B" w:rsidRPr="005C202F" w:rsidRDefault="00AD3A0B" w:rsidP="00C66A37">
            <w:pPr>
              <w:pStyle w:val="TableText"/>
              <w:keepLines/>
            </w:pPr>
            <w:r w:rsidRPr="005C202F">
              <w:t>Esketamine nasal spray is to be initiated in conjunction with a newly initiated oral antidepressant.</w:t>
            </w:r>
          </w:p>
          <w:p w:rsidR="00AD3A0B" w:rsidRPr="005C202F" w:rsidRDefault="00AD3A0B" w:rsidP="00C66A37">
            <w:pPr>
              <w:pStyle w:val="TableText"/>
              <w:keepLines/>
              <w:rPr>
                <w:szCs w:val="20"/>
              </w:rPr>
            </w:pPr>
            <w:r w:rsidRPr="005C202F">
              <w:rPr>
                <w:szCs w:val="20"/>
              </w:rPr>
              <w:t>Induction phase (4 weeks): Esketamine is administered twice per week with the first dose of 56 mg and with subsequent doses of either 56 mg or 84 mg, depending on clinical response.</w:t>
            </w:r>
          </w:p>
          <w:p w:rsidR="00AD3A0B" w:rsidRPr="005C202F" w:rsidRDefault="00AD3A0B" w:rsidP="00C66A37">
            <w:pPr>
              <w:pStyle w:val="TableText"/>
              <w:keepLines/>
              <w:rPr>
                <w:szCs w:val="20"/>
              </w:rPr>
            </w:pPr>
            <w:r w:rsidRPr="005C202F">
              <w:rPr>
                <w:szCs w:val="20"/>
              </w:rPr>
              <w:t>Maintenance phase:</w:t>
            </w:r>
          </w:p>
          <w:p w:rsidR="00AD3A0B" w:rsidRPr="005C202F" w:rsidRDefault="00AD3A0B" w:rsidP="00515AFF">
            <w:pPr>
              <w:pStyle w:val="TableText"/>
              <w:keepLines/>
              <w:numPr>
                <w:ilvl w:val="0"/>
                <w:numId w:val="6"/>
              </w:numPr>
              <w:rPr>
                <w:szCs w:val="20"/>
              </w:rPr>
            </w:pPr>
            <w:r w:rsidRPr="005C202F">
              <w:rPr>
                <w:szCs w:val="20"/>
              </w:rPr>
              <w:t>Weeks 5-8: 56 mg or 84 mg administered once weekly.</w:t>
            </w:r>
          </w:p>
          <w:p w:rsidR="00AD3A0B" w:rsidRPr="005C202F" w:rsidRDefault="00AD3A0B" w:rsidP="00515AFF">
            <w:pPr>
              <w:pStyle w:val="TableText"/>
              <w:keepLines/>
              <w:numPr>
                <w:ilvl w:val="0"/>
                <w:numId w:val="6"/>
              </w:numPr>
              <w:rPr>
                <w:szCs w:val="20"/>
              </w:rPr>
            </w:pPr>
            <w:r w:rsidRPr="005C202F">
              <w:rPr>
                <w:szCs w:val="20"/>
              </w:rPr>
              <w:t xml:space="preserve">From week 9: 56 mg or 84 mg administered once weekly or every two weeks depending on dose and frequency that best maintains remission/response. </w:t>
            </w:r>
          </w:p>
          <w:p w:rsidR="00D11A4A" w:rsidRPr="005C202F" w:rsidRDefault="00AD3A0B" w:rsidP="00D11A4A">
            <w:pPr>
              <w:pStyle w:val="TableFigureFooter"/>
              <w:keepNext/>
              <w:keepLines/>
              <w:rPr>
                <w:sz w:val="20"/>
                <w:szCs w:val="20"/>
              </w:rPr>
            </w:pPr>
            <w:r w:rsidRPr="005C202F">
              <w:rPr>
                <w:sz w:val="20"/>
                <w:szCs w:val="20"/>
              </w:rPr>
              <w:t>Patients should continue therapy to maintain remission/response and must discontinue therapy if they relapse (i.e., a clinically significant worsening of symptoms)</w:t>
            </w:r>
            <w:r w:rsidR="005C202F">
              <w:rPr>
                <w:sz w:val="20"/>
                <w:szCs w:val="20"/>
              </w:rPr>
              <w:t xml:space="preserve">. </w:t>
            </w:r>
          </w:p>
          <w:p w:rsidR="00AD3A0B" w:rsidRPr="005C202F" w:rsidRDefault="00D11A4A" w:rsidP="005825A8">
            <w:pPr>
              <w:pStyle w:val="TableFigureFooter"/>
              <w:keepNext/>
              <w:keepLines/>
              <w:rPr>
                <w:sz w:val="20"/>
              </w:rPr>
            </w:pPr>
            <w:r w:rsidRPr="005C202F">
              <w:rPr>
                <w:sz w:val="20"/>
                <w:szCs w:val="20"/>
              </w:rPr>
              <w:t>Patients over 65 years of age receive a dose of 28 mg</w:t>
            </w:r>
            <w:r w:rsidR="005825A8" w:rsidRPr="005C202F">
              <w:rPr>
                <w:sz w:val="20"/>
                <w:szCs w:val="20"/>
              </w:rPr>
              <w:t xml:space="preserve"> during all phases</w:t>
            </w:r>
            <w:r w:rsidR="005825A8" w:rsidRPr="005C202F">
              <w:rPr>
                <w:sz w:val="20"/>
              </w:rPr>
              <w:t>.</w:t>
            </w:r>
          </w:p>
        </w:tc>
      </w:tr>
      <w:tr w:rsidR="00AD3A0B" w:rsidRPr="005C202F" w:rsidTr="008C4D19">
        <w:trPr>
          <w:cantSplit/>
        </w:trPr>
        <w:tc>
          <w:tcPr>
            <w:tcW w:w="924" w:type="pct"/>
            <w:shd w:val="clear" w:color="auto" w:fill="auto"/>
          </w:tcPr>
          <w:p w:rsidR="00AD3A0B" w:rsidRPr="005C202F" w:rsidRDefault="00AD3A0B" w:rsidP="00C66A37">
            <w:pPr>
              <w:pStyle w:val="TableText"/>
              <w:keepLines/>
            </w:pPr>
            <w:r w:rsidRPr="005C202F">
              <w:t>Comparator</w:t>
            </w:r>
          </w:p>
        </w:tc>
        <w:tc>
          <w:tcPr>
            <w:tcW w:w="4076" w:type="pct"/>
            <w:vAlign w:val="center"/>
          </w:tcPr>
          <w:p w:rsidR="00AD3A0B" w:rsidRPr="005C202F" w:rsidRDefault="00AD3A0B" w:rsidP="00C66A37">
            <w:pPr>
              <w:pStyle w:val="TableText"/>
              <w:keepLines/>
            </w:pPr>
            <w:r w:rsidRPr="005C202F">
              <w:t xml:space="preserve">Initiation of a new oral antidepressant. </w:t>
            </w:r>
          </w:p>
        </w:tc>
      </w:tr>
      <w:tr w:rsidR="00AD3A0B" w:rsidRPr="005C202F" w:rsidTr="008C4D19">
        <w:trPr>
          <w:cantSplit/>
        </w:trPr>
        <w:tc>
          <w:tcPr>
            <w:tcW w:w="924" w:type="pct"/>
            <w:shd w:val="clear" w:color="auto" w:fill="auto"/>
          </w:tcPr>
          <w:p w:rsidR="00AD3A0B" w:rsidRPr="005C202F" w:rsidRDefault="00AD3A0B" w:rsidP="00C66A37">
            <w:pPr>
              <w:pStyle w:val="TableText"/>
              <w:keepLines/>
            </w:pPr>
            <w:r w:rsidRPr="005C202F">
              <w:t>Outcomes</w:t>
            </w:r>
          </w:p>
        </w:tc>
        <w:tc>
          <w:tcPr>
            <w:tcW w:w="4076" w:type="pct"/>
            <w:vAlign w:val="center"/>
          </w:tcPr>
          <w:p w:rsidR="00AD3A0B" w:rsidRPr="005C202F" w:rsidRDefault="00AD3A0B" w:rsidP="00C66A37">
            <w:pPr>
              <w:pStyle w:val="TableText"/>
              <w:keepLines/>
              <w:rPr>
                <w:rFonts w:eastAsia="Times New Roman" w:cs="Arial"/>
                <w:bCs w:val="0"/>
                <w:snapToGrid w:val="0"/>
                <w:color w:val="0066FF"/>
                <w:szCs w:val="20"/>
              </w:rPr>
            </w:pPr>
            <w:r w:rsidRPr="005C202F">
              <w:t xml:space="preserve">Change in depression severity (using the Montgomery-Asberg Depression Rating Scale (MADRS) total score), incidence of clinical response and remission, health related quality of life, incidence of adverse events </w:t>
            </w:r>
          </w:p>
        </w:tc>
      </w:tr>
      <w:tr w:rsidR="00AD3A0B" w:rsidRPr="005C202F" w:rsidTr="008C4D19">
        <w:trPr>
          <w:cantSplit/>
        </w:trPr>
        <w:tc>
          <w:tcPr>
            <w:tcW w:w="924" w:type="pct"/>
            <w:shd w:val="clear" w:color="auto" w:fill="auto"/>
          </w:tcPr>
          <w:p w:rsidR="00AD3A0B" w:rsidRPr="005C202F" w:rsidRDefault="00AD3A0B" w:rsidP="00C66A37">
            <w:pPr>
              <w:pStyle w:val="TableText"/>
              <w:keepLines/>
            </w:pPr>
            <w:r w:rsidRPr="005C202F">
              <w:t>Clinical claim</w:t>
            </w:r>
          </w:p>
        </w:tc>
        <w:tc>
          <w:tcPr>
            <w:tcW w:w="4076" w:type="pct"/>
            <w:vAlign w:val="center"/>
          </w:tcPr>
          <w:p w:rsidR="00AD3A0B" w:rsidRPr="005C202F" w:rsidRDefault="00AD3A0B" w:rsidP="00C66A37">
            <w:pPr>
              <w:pStyle w:val="TableText"/>
              <w:keepLines/>
              <w:rPr>
                <w:rFonts w:eastAsia="Times New Roman" w:cs="Arial"/>
                <w:bCs w:val="0"/>
                <w:snapToGrid w:val="0"/>
                <w:color w:val="0066FF"/>
                <w:szCs w:val="20"/>
              </w:rPr>
            </w:pPr>
            <w:r w:rsidRPr="005C202F">
              <w:t>Esketamine nasal spray in combination with a newly initiated oral antidepressant is superior in terms of effectiveness and inferior in terms of safety compared with placebo plus a newly initiated oral antidepressant.</w:t>
            </w:r>
          </w:p>
        </w:tc>
      </w:tr>
    </w:tbl>
    <w:p w:rsidR="004E43B2" w:rsidRPr="005C202F" w:rsidRDefault="008B1757" w:rsidP="00C66A37">
      <w:pPr>
        <w:pStyle w:val="TableFigureFooter"/>
        <w:keepNext/>
        <w:keepLines/>
      </w:pPr>
      <w:r w:rsidRPr="005C202F">
        <w:t xml:space="preserve">Source: </w:t>
      </w:r>
      <w:r w:rsidR="00855249" w:rsidRPr="005C202F">
        <w:t>Table 1-1</w:t>
      </w:r>
      <w:r w:rsidRPr="005C202F">
        <w:t xml:space="preserve"> of the submission</w:t>
      </w:r>
    </w:p>
    <w:p w:rsidR="005C25FF" w:rsidRPr="005C202F" w:rsidRDefault="005C25FF" w:rsidP="004A6040">
      <w:pPr>
        <w:pStyle w:val="2-SectionHeading"/>
      </w:pPr>
      <w:bookmarkStart w:id="1" w:name="_Toc72325753"/>
      <w:r w:rsidRPr="005C202F">
        <w:t>Background</w:t>
      </w:r>
      <w:bookmarkEnd w:id="1"/>
    </w:p>
    <w:p w:rsidR="005C25FF" w:rsidRPr="005C202F" w:rsidRDefault="005C25FF" w:rsidP="004A6040">
      <w:pPr>
        <w:pStyle w:val="3-SubsectionHeading"/>
      </w:pPr>
      <w:bookmarkStart w:id="2" w:name="_Toc22897638"/>
      <w:bookmarkStart w:id="3" w:name="_Toc72325754"/>
      <w:r w:rsidRPr="005C202F">
        <w:t>Registration status</w:t>
      </w:r>
      <w:bookmarkEnd w:id="2"/>
      <w:bookmarkEnd w:id="3"/>
    </w:p>
    <w:p w:rsidR="00EC5C5C" w:rsidRPr="005C202F" w:rsidRDefault="00EC5C5C" w:rsidP="00BA5CC7">
      <w:pPr>
        <w:pStyle w:val="ExecSumBodyText"/>
      </w:pPr>
      <w:r w:rsidRPr="005C202F">
        <w:t xml:space="preserve">Esketamine nasal spray was registered on the ARTG on 9 March 2021 for </w:t>
      </w:r>
      <w:r w:rsidR="00683824" w:rsidRPr="005C202F">
        <w:t>‘</w:t>
      </w:r>
      <w:r w:rsidRPr="005C202F">
        <w:t>treatment resistant depression (Major Depressive Disorder in adults who have not responded adequately to at least two different antidepressants of adequate dose and duration to treat the current moderate to severe depressive episode). Esketamine is to be initiated in conjunction with a newly initiated oral antidepressant</w:t>
      </w:r>
      <w:r w:rsidR="00683824" w:rsidRPr="005C202F">
        <w:t>’</w:t>
      </w:r>
      <w:r w:rsidRPr="005C202F">
        <w:t>.</w:t>
      </w:r>
    </w:p>
    <w:p w:rsidR="00EC5C5C" w:rsidRPr="005C202F" w:rsidRDefault="00EC5C5C" w:rsidP="00BA5CC7">
      <w:pPr>
        <w:pStyle w:val="ExecSumBodyText"/>
      </w:pPr>
      <w:r w:rsidRPr="005C202F">
        <w:lastRenderedPageBreak/>
        <w:t xml:space="preserve">Esketamine was originally rejected by the TGA delegate on 10 September 2020, on the basis </w:t>
      </w:r>
      <w:r w:rsidR="001E3166" w:rsidRPr="005C202F">
        <w:t>of the design of the pivotal tr</w:t>
      </w:r>
      <w:r w:rsidR="0079557C" w:rsidRPr="005C202F">
        <w:t>ia</w:t>
      </w:r>
      <w:r w:rsidR="001E3166" w:rsidRPr="005C202F">
        <w:t>ls; the failure of some of the pivotal trials to achieve the primary efficacy outcome; the magnitude of the safety risk management issues associated with the use of the product; and the potential for misuse/diversion of the product.</w:t>
      </w:r>
    </w:p>
    <w:p w:rsidR="00EC5C5C" w:rsidRPr="005C202F" w:rsidRDefault="00EC5C5C" w:rsidP="00DB4F9A">
      <w:pPr>
        <w:pStyle w:val="ExecSumBodyText"/>
      </w:pPr>
      <w:r w:rsidRPr="005C202F">
        <w:t>The sponsor appealed the decision on 1 December 2020</w:t>
      </w:r>
      <w:r w:rsidR="00C66A37" w:rsidRPr="005C202F">
        <w:t xml:space="preserve"> and the</w:t>
      </w:r>
      <w:r w:rsidRPr="005C202F">
        <w:t xml:space="preserve"> TGA delegate revoked the initial decision and made a new decision in substitution, to register esketamine on 27 January 2021. The substituted decision to register the product was made on the basis that the quality, safety and efficacy of the product for the purposes for which it is to be used had been satisfactorily established.</w:t>
      </w:r>
    </w:p>
    <w:p w:rsidR="004247A0" w:rsidRPr="005C202F" w:rsidRDefault="004247A0" w:rsidP="004247A0">
      <w:pPr>
        <w:pStyle w:val="ExecSumBodyText"/>
      </w:pPr>
      <w:r w:rsidRPr="005C202F">
        <w:t>The ESC noted</w:t>
      </w:r>
      <w:r w:rsidR="00683824" w:rsidRPr="005C202F">
        <w:t xml:space="preserve"> that, in addition to the indication</w:t>
      </w:r>
      <w:r w:rsidR="00116BAE" w:rsidRPr="005C202F">
        <w:t xml:space="preserve"> in paragraph 2.1</w:t>
      </w:r>
      <w:r w:rsidR="00683824" w:rsidRPr="005C202F">
        <w:t xml:space="preserve">, </w:t>
      </w:r>
      <w:r w:rsidRPr="005C202F">
        <w:t>esketamine was indicated in Europe for “adults with a moderate to severe episode of major depressive disorder, as acute short-term treatment, for the rapid reduction of depressive symptoms, which according to clinical judgement constitute a psychiatric emergency</w:t>
      </w:r>
      <w:r w:rsidR="00116BAE" w:rsidRPr="005C202F">
        <w:t>”</w:t>
      </w:r>
      <w:r w:rsidRPr="005C202F">
        <w:t>.</w:t>
      </w:r>
      <w:r w:rsidR="00116BAE" w:rsidRPr="005C202F">
        <w:t xml:space="preserve"> </w:t>
      </w:r>
      <w:r w:rsidRPr="005C202F">
        <w:t>The ESC noted this indication was based on the ASPIRE-1 (NCT03039192) and ASPIRE-2 (NCT03097133) studies</w:t>
      </w:r>
      <w:r w:rsidR="005C202F">
        <w:t xml:space="preserve">. </w:t>
      </w:r>
    </w:p>
    <w:p w:rsidR="005178CA" w:rsidRPr="005C202F" w:rsidRDefault="005178CA" w:rsidP="005178CA">
      <w:pPr>
        <w:pStyle w:val="3-SubsectionHeading"/>
      </w:pPr>
      <w:r w:rsidRPr="005C202F">
        <w:t>Clinical expert advice</w:t>
      </w:r>
    </w:p>
    <w:p w:rsidR="005178CA" w:rsidRPr="005C202F" w:rsidRDefault="005178CA" w:rsidP="005178CA">
      <w:pPr>
        <w:pStyle w:val="ExecSumBodyText"/>
        <w:rPr>
          <w:rFonts w:ascii="Calibri" w:hAnsi="Calibri" w:cs="Calibri"/>
          <w:snapToGrid/>
        </w:rPr>
      </w:pPr>
      <w:bookmarkStart w:id="4" w:name="_Ref78967403"/>
      <w:r w:rsidRPr="005C202F">
        <w:rPr>
          <w:rFonts w:ascii="Calibri" w:hAnsi="Calibri" w:cs="Calibri"/>
          <w:snapToGrid/>
        </w:rPr>
        <w:t>Prior to the ESC meeting</w:t>
      </w:r>
      <w:r w:rsidR="000B1917" w:rsidRPr="005C202F">
        <w:rPr>
          <w:rFonts w:ascii="Calibri" w:hAnsi="Calibri" w:cs="Calibri"/>
          <w:snapToGrid/>
        </w:rPr>
        <w:t>,</w:t>
      </w:r>
      <w:r w:rsidRPr="005C202F">
        <w:rPr>
          <w:rFonts w:ascii="Calibri" w:hAnsi="Calibri" w:cs="Calibri"/>
          <w:snapToGrid/>
        </w:rPr>
        <w:t xml:space="preserve"> </w:t>
      </w:r>
      <w:r w:rsidR="006700BA" w:rsidRPr="005C202F">
        <w:rPr>
          <w:rFonts w:ascii="Calibri" w:hAnsi="Calibri" w:cs="Calibri"/>
          <w:snapToGrid/>
        </w:rPr>
        <w:t xml:space="preserve">the </w:t>
      </w:r>
      <w:r w:rsidRPr="005C202F">
        <w:rPr>
          <w:rFonts w:ascii="Calibri" w:hAnsi="Calibri" w:cs="Calibri"/>
          <w:snapToGrid/>
        </w:rPr>
        <w:t xml:space="preserve">PBAC </w:t>
      </w:r>
      <w:r w:rsidR="000B1917" w:rsidRPr="005C202F">
        <w:rPr>
          <w:rFonts w:ascii="Calibri" w:hAnsi="Calibri" w:cs="Calibri"/>
          <w:snapToGrid/>
        </w:rPr>
        <w:t xml:space="preserve">sought clinical advice </w:t>
      </w:r>
      <w:r w:rsidRPr="005C202F">
        <w:rPr>
          <w:rFonts w:ascii="Calibri" w:hAnsi="Calibri" w:cs="Calibri"/>
          <w:snapToGrid/>
        </w:rPr>
        <w:t xml:space="preserve">regarding the </w:t>
      </w:r>
      <w:r w:rsidR="000B1917" w:rsidRPr="005C202F">
        <w:rPr>
          <w:rFonts w:ascii="Calibri" w:hAnsi="Calibri" w:cs="Calibri"/>
          <w:snapToGrid/>
        </w:rPr>
        <w:t xml:space="preserve">likely place </w:t>
      </w:r>
      <w:r w:rsidRPr="005C202F">
        <w:rPr>
          <w:rFonts w:ascii="Calibri" w:hAnsi="Calibri" w:cs="Calibri"/>
          <w:snapToGrid/>
        </w:rPr>
        <w:t xml:space="preserve">of esketamine in the treatment of TRD. The clinicians </w:t>
      </w:r>
      <w:r w:rsidR="000B1917" w:rsidRPr="005C202F">
        <w:rPr>
          <w:rFonts w:ascii="Calibri" w:hAnsi="Calibri" w:cs="Calibri"/>
          <w:snapToGrid/>
        </w:rPr>
        <w:t xml:space="preserve">consulted </w:t>
      </w:r>
      <w:r w:rsidRPr="005C202F">
        <w:rPr>
          <w:rFonts w:ascii="Calibri" w:hAnsi="Calibri" w:cs="Calibri"/>
          <w:snapToGrid/>
        </w:rPr>
        <w:t>considered:</w:t>
      </w:r>
      <w:bookmarkEnd w:id="4"/>
    </w:p>
    <w:p w:rsidR="005178CA" w:rsidRPr="005C202F" w:rsidRDefault="005178CA" w:rsidP="00BB30EC">
      <w:pPr>
        <w:pStyle w:val="CommentText"/>
        <w:numPr>
          <w:ilvl w:val="0"/>
          <w:numId w:val="14"/>
        </w:numPr>
        <w:ind w:left="1134" w:hanging="283"/>
        <w:rPr>
          <w:sz w:val="24"/>
          <w:szCs w:val="24"/>
        </w:rPr>
      </w:pPr>
      <w:r w:rsidRPr="005C202F">
        <w:rPr>
          <w:rFonts w:cs="Calibri"/>
          <w:sz w:val="24"/>
          <w:szCs w:val="24"/>
        </w:rPr>
        <w:t xml:space="preserve">The proposed definition of TRD in the requested listing (failed to respond to at least two different antidepressants) </w:t>
      </w:r>
      <w:r w:rsidR="000B1917" w:rsidRPr="005C202F">
        <w:rPr>
          <w:rFonts w:cs="Calibri"/>
          <w:sz w:val="24"/>
          <w:szCs w:val="24"/>
        </w:rPr>
        <w:t xml:space="preserve">did not reflect how treatment resistant depression would be defined </w:t>
      </w:r>
      <w:r w:rsidRPr="005C202F">
        <w:rPr>
          <w:rFonts w:cs="Calibri"/>
          <w:sz w:val="24"/>
          <w:szCs w:val="24"/>
        </w:rPr>
        <w:t>in practice</w:t>
      </w:r>
      <w:r w:rsidR="000B1917" w:rsidRPr="005C202F">
        <w:rPr>
          <w:rFonts w:cs="Calibri"/>
          <w:sz w:val="24"/>
          <w:szCs w:val="24"/>
        </w:rPr>
        <w:t xml:space="preserve"> in Australia</w:t>
      </w:r>
      <w:r w:rsidRPr="005C202F">
        <w:rPr>
          <w:rFonts w:cs="Calibri"/>
          <w:sz w:val="24"/>
          <w:szCs w:val="24"/>
        </w:rPr>
        <w:t xml:space="preserve">, and </w:t>
      </w:r>
      <w:r w:rsidR="000B1917" w:rsidRPr="005C202F">
        <w:rPr>
          <w:rFonts w:cs="Calibri"/>
          <w:sz w:val="24"/>
          <w:szCs w:val="24"/>
        </w:rPr>
        <w:t xml:space="preserve">that other interventions </w:t>
      </w:r>
      <w:r w:rsidRPr="005C202F">
        <w:rPr>
          <w:rFonts w:cs="Calibri"/>
          <w:sz w:val="24"/>
          <w:szCs w:val="24"/>
        </w:rPr>
        <w:t>for which longer term safety data are available, should be considered or trialled prior to considering treatment with esketamine;</w:t>
      </w:r>
    </w:p>
    <w:p w:rsidR="005178CA" w:rsidRPr="005C202F" w:rsidRDefault="005178CA" w:rsidP="005B5CBB">
      <w:pPr>
        <w:pStyle w:val="CommentText"/>
        <w:numPr>
          <w:ilvl w:val="0"/>
          <w:numId w:val="14"/>
        </w:numPr>
        <w:ind w:left="1134" w:hanging="283"/>
        <w:rPr>
          <w:rFonts w:cs="Calibri"/>
          <w:sz w:val="24"/>
          <w:szCs w:val="24"/>
        </w:rPr>
      </w:pPr>
      <w:r w:rsidRPr="005C202F">
        <w:rPr>
          <w:rFonts w:cs="Calibri"/>
          <w:sz w:val="24"/>
          <w:szCs w:val="24"/>
        </w:rPr>
        <w:t>The requirement to commence a new antidepressant with esketamine is clinically inappropriate;</w:t>
      </w:r>
    </w:p>
    <w:p w:rsidR="005178CA" w:rsidRPr="005C202F" w:rsidRDefault="005178CA" w:rsidP="005B5CBB">
      <w:pPr>
        <w:pStyle w:val="CommentText"/>
        <w:numPr>
          <w:ilvl w:val="0"/>
          <w:numId w:val="14"/>
        </w:numPr>
        <w:ind w:left="1134" w:hanging="283"/>
        <w:rPr>
          <w:rFonts w:cs="Calibri"/>
          <w:sz w:val="24"/>
          <w:szCs w:val="24"/>
        </w:rPr>
      </w:pPr>
      <w:r w:rsidRPr="005C202F">
        <w:rPr>
          <w:rFonts w:cs="Calibri"/>
          <w:sz w:val="24"/>
          <w:szCs w:val="24"/>
        </w:rPr>
        <w:t>There should be extensive monitoring requirements associated with administering esketamine given the potential adverse events which can be severe;</w:t>
      </w:r>
    </w:p>
    <w:p w:rsidR="005178CA" w:rsidRPr="005C202F" w:rsidRDefault="005178CA" w:rsidP="005B5CBB">
      <w:pPr>
        <w:numPr>
          <w:ilvl w:val="0"/>
          <w:numId w:val="14"/>
        </w:numPr>
        <w:ind w:left="1134" w:hanging="283"/>
        <w:rPr>
          <w:lang w:eastAsia="en-US"/>
        </w:rPr>
      </w:pPr>
      <w:r w:rsidRPr="005C202F">
        <w:rPr>
          <w:lang w:eastAsia="en-US"/>
        </w:rPr>
        <w:t xml:space="preserve">The appropriate treatment duration is unclear and there </w:t>
      </w:r>
      <w:r w:rsidR="00974D32" w:rsidRPr="005C202F">
        <w:rPr>
          <w:lang w:eastAsia="en-US"/>
        </w:rPr>
        <w:t xml:space="preserve">is </w:t>
      </w:r>
      <w:r w:rsidRPr="005C202F">
        <w:rPr>
          <w:lang w:eastAsia="en-US"/>
        </w:rPr>
        <w:t>potential risk of ongoing use;</w:t>
      </w:r>
    </w:p>
    <w:p w:rsidR="005178CA" w:rsidRPr="005C202F" w:rsidRDefault="005178CA" w:rsidP="005B5CBB">
      <w:pPr>
        <w:numPr>
          <w:ilvl w:val="0"/>
          <w:numId w:val="14"/>
        </w:numPr>
        <w:ind w:left="1134" w:hanging="283"/>
      </w:pPr>
      <w:r w:rsidRPr="005C202F">
        <w:rPr>
          <w:lang w:eastAsia="en-US"/>
        </w:rPr>
        <w:t>There is a significant risk of use in indications other than</w:t>
      </w:r>
      <w:r w:rsidR="00974D32" w:rsidRPr="005C202F">
        <w:rPr>
          <w:lang w:eastAsia="en-US"/>
        </w:rPr>
        <w:t xml:space="preserve"> TRD</w:t>
      </w:r>
      <w:r w:rsidRPr="005C202F">
        <w:rPr>
          <w:lang w:eastAsia="en-US"/>
        </w:rPr>
        <w:t xml:space="preserve">, including </w:t>
      </w:r>
      <w:r w:rsidR="00974D32" w:rsidRPr="005C202F">
        <w:rPr>
          <w:lang w:eastAsia="en-US"/>
        </w:rPr>
        <w:t>major depressive disorder (MDD), post-traumatic stress disorder</w:t>
      </w:r>
      <w:r w:rsidRPr="005C202F">
        <w:rPr>
          <w:lang w:eastAsia="en-US"/>
        </w:rPr>
        <w:t xml:space="preserve">, anxiety, </w:t>
      </w:r>
      <w:r w:rsidR="00974D32" w:rsidRPr="005C202F">
        <w:rPr>
          <w:lang w:eastAsia="en-US"/>
        </w:rPr>
        <w:t>obsessive compulsive disorder</w:t>
      </w:r>
      <w:r w:rsidRPr="005C202F">
        <w:rPr>
          <w:lang w:eastAsia="en-US"/>
        </w:rPr>
        <w:t>, chronic pain</w:t>
      </w:r>
      <w:r w:rsidR="002F447C" w:rsidRPr="005C202F">
        <w:rPr>
          <w:lang w:eastAsia="en-US"/>
        </w:rPr>
        <w:t xml:space="preserve"> and</w:t>
      </w:r>
      <w:r w:rsidRPr="005C202F">
        <w:rPr>
          <w:lang w:eastAsia="en-US"/>
        </w:rPr>
        <w:t xml:space="preserve"> acute suicidality.</w:t>
      </w:r>
    </w:p>
    <w:p w:rsidR="005178CA" w:rsidRPr="005C202F" w:rsidRDefault="005178CA" w:rsidP="005B5CBB">
      <w:pPr>
        <w:ind w:left="402"/>
      </w:pPr>
    </w:p>
    <w:p w:rsidR="005D32F9" w:rsidRPr="005C202F" w:rsidRDefault="005178CA" w:rsidP="005D32F9">
      <w:pPr>
        <w:pStyle w:val="ExecSumBodyText"/>
      </w:pPr>
      <w:r w:rsidRPr="005C202F">
        <w:t>The ESC noted this advice and considered the submission position</w:t>
      </w:r>
      <w:r w:rsidR="00974D32" w:rsidRPr="005C202F">
        <w:t>ed</w:t>
      </w:r>
      <w:r w:rsidRPr="005C202F">
        <w:t xml:space="preserve"> esketamine inappropriately early in the treatment algorithm</w:t>
      </w:r>
      <w:r w:rsidR="00974D32" w:rsidRPr="005C202F">
        <w:t>, which</w:t>
      </w:r>
      <w:r w:rsidRPr="005C202F">
        <w:t xml:space="preserve"> impacted</w:t>
      </w:r>
      <w:r w:rsidR="00174439" w:rsidRPr="005C202F">
        <w:t xml:space="preserve"> </w:t>
      </w:r>
      <w:r w:rsidRPr="005C202F">
        <w:t>on the comparator, interpretation of the clinical evidence, economic evaluation and financial estimates.</w:t>
      </w:r>
    </w:p>
    <w:p w:rsidR="005D32F9" w:rsidRPr="005C202F" w:rsidRDefault="005D32F9" w:rsidP="005D32F9">
      <w:pPr>
        <w:ind w:firstLine="709"/>
        <w:rPr>
          <w:rFonts w:asciiTheme="minorHAnsi" w:hAnsiTheme="minorHAnsi"/>
          <w:i/>
        </w:rPr>
      </w:pPr>
      <w:r w:rsidRPr="005C202F">
        <w:rPr>
          <w:rFonts w:asciiTheme="minorHAnsi" w:hAnsiTheme="minorHAnsi"/>
          <w:i/>
        </w:rPr>
        <w:t>For more detail on PBAC’s view, see section 7 PBAC outcome.</w:t>
      </w:r>
    </w:p>
    <w:p w:rsidR="00B60939" w:rsidRPr="005C202F" w:rsidRDefault="00B50DB8" w:rsidP="004E18E9">
      <w:pPr>
        <w:pStyle w:val="2-SectionHeading"/>
      </w:pPr>
      <w:bookmarkStart w:id="5" w:name="_Toc72325755"/>
      <w:r w:rsidRPr="005C202F">
        <w:t>Requested listing</w:t>
      </w:r>
      <w:bookmarkEnd w:id="5"/>
    </w:p>
    <w:p w:rsidR="00A40A56" w:rsidRPr="005C202F" w:rsidRDefault="009476D4" w:rsidP="009476D4">
      <w:pPr>
        <w:pStyle w:val="ExecSumBodyText"/>
      </w:pPr>
      <w:r w:rsidRPr="005C202F">
        <w:t>Suggestions and additions proposed by the Secretariat are added in italics and suggested deletions are crossed out with strikethrough.</w:t>
      </w:r>
    </w:p>
    <w:tbl>
      <w:tblPr>
        <w:tblpPr w:leftFromText="180" w:rightFromText="180" w:vertAnchor="text" w:tblpY="1"/>
        <w:tblOverlap w:val="never"/>
        <w:tblW w:w="923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43"/>
        <w:gridCol w:w="1039"/>
        <w:gridCol w:w="1040"/>
        <w:gridCol w:w="1040"/>
        <w:gridCol w:w="2976"/>
        <w:gridCol w:w="1298"/>
      </w:tblGrid>
      <w:tr w:rsidR="0029048A" w:rsidRPr="005C202F" w:rsidTr="00EB63AF">
        <w:trPr>
          <w:trHeight w:val="554"/>
        </w:trPr>
        <w:tc>
          <w:tcPr>
            <w:tcW w:w="1843" w:type="dxa"/>
          </w:tcPr>
          <w:p w:rsidR="0029048A" w:rsidRPr="005C202F" w:rsidRDefault="0029048A" w:rsidP="00EB63AF">
            <w:pPr>
              <w:pStyle w:val="TableFigureCaption"/>
            </w:pPr>
            <w:r w:rsidRPr="005C202F">
              <w:t>Name, restriction, manner of administration, form</w:t>
            </w:r>
          </w:p>
        </w:tc>
        <w:tc>
          <w:tcPr>
            <w:tcW w:w="1039" w:type="dxa"/>
          </w:tcPr>
          <w:p w:rsidR="0029048A" w:rsidRPr="005C202F" w:rsidRDefault="0029048A" w:rsidP="00EB63AF">
            <w:pPr>
              <w:pStyle w:val="TableFigureCaption"/>
              <w:jc w:val="center"/>
            </w:pPr>
            <w:r w:rsidRPr="005C202F">
              <w:t>Maximum quantity (packs)</w:t>
            </w:r>
          </w:p>
        </w:tc>
        <w:tc>
          <w:tcPr>
            <w:tcW w:w="1040" w:type="dxa"/>
          </w:tcPr>
          <w:p w:rsidR="0029048A" w:rsidRPr="005C202F" w:rsidRDefault="0029048A" w:rsidP="00EB63AF">
            <w:pPr>
              <w:pStyle w:val="TableFigureCaption"/>
              <w:jc w:val="center"/>
            </w:pPr>
            <w:r w:rsidRPr="005C202F">
              <w:t>Maximum quantity (units)</w:t>
            </w:r>
          </w:p>
        </w:tc>
        <w:tc>
          <w:tcPr>
            <w:tcW w:w="1040" w:type="dxa"/>
          </w:tcPr>
          <w:p w:rsidR="0029048A" w:rsidRPr="005C202F" w:rsidRDefault="0029048A" w:rsidP="00EB63AF">
            <w:pPr>
              <w:pStyle w:val="TableFigureCaption"/>
              <w:jc w:val="center"/>
            </w:pPr>
            <w:r w:rsidRPr="005C202F">
              <w:t>No. of repeats</w:t>
            </w:r>
          </w:p>
        </w:tc>
        <w:tc>
          <w:tcPr>
            <w:tcW w:w="2976" w:type="dxa"/>
          </w:tcPr>
          <w:p w:rsidR="0029048A" w:rsidRPr="005C202F" w:rsidRDefault="0029048A" w:rsidP="00EB63AF">
            <w:pPr>
              <w:pStyle w:val="TableFigureCaption"/>
              <w:jc w:val="center"/>
            </w:pPr>
            <w:r w:rsidRPr="005C202F">
              <w:t>Published (effective) dispensed price for maximum quantity</w:t>
            </w:r>
          </w:p>
          <w:p w:rsidR="0029048A" w:rsidRPr="005C202F" w:rsidRDefault="0029048A" w:rsidP="00EB63AF">
            <w:pPr>
              <w:pStyle w:val="TableFigureCaption"/>
              <w:jc w:val="center"/>
            </w:pPr>
          </w:p>
        </w:tc>
        <w:tc>
          <w:tcPr>
            <w:tcW w:w="1298" w:type="dxa"/>
          </w:tcPr>
          <w:p w:rsidR="0029048A" w:rsidRPr="005C202F" w:rsidRDefault="0029048A" w:rsidP="00EB63AF">
            <w:pPr>
              <w:pStyle w:val="TableFigureCaption"/>
              <w:jc w:val="center"/>
            </w:pPr>
            <w:r w:rsidRPr="005C202F">
              <w:t>Proprietary name and manufacturer</w:t>
            </w:r>
          </w:p>
        </w:tc>
      </w:tr>
      <w:tr w:rsidR="0029048A" w:rsidRPr="005C202F" w:rsidTr="00EB63AF">
        <w:tc>
          <w:tcPr>
            <w:tcW w:w="9236" w:type="dxa"/>
            <w:gridSpan w:val="6"/>
            <w:vAlign w:val="center"/>
          </w:tcPr>
          <w:p w:rsidR="0029048A" w:rsidRPr="005C202F" w:rsidRDefault="0029048A" w:rsidP="00EB63AF">
            <w:pPr>
              <w:pStyle w:val="TableText"/>
            </w:pPr>
            <w:r w:rsidRPr="005C202F">
              <w:t>Initial treatment/Induction (Treatment weeks 1-4)</w:t>
            </w:r>
          </w:p>
        </w:tc>
      </w:tr>
      <w:tr w:rsidR="0029048A" w:rsidRPr="005C202F" w:rsidTr="00EB63AF">
        <w:trPr>
          <w:trHeight w:val="894"/>
        </w:trPr>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b/>
              </w:rPr>
            </w:pPr>
            <w:r w:rsidRPr="005C202F">
              <w:t>Nasal spray device, 28 mg, 1</w:t>
            </w:r>
          </w:p>
        </w:tc>
        <w:tc>
          <w:tcPr>
            <w:tcW w:w="1039" w:type="dxa"/>
            <w:vAlign w:val="center"/>
          </w:tcPr>
          <w:p w:rsidR="0029048A" w:rsidRPr="005C202F" w:rsidRDefault="0029048A" w:rsidP="00EB63AF">
            <w:pPr>
              <w:pStyle w:val="TableText"/>
              <w:jc w:val="center"/>
              <w:rPr>
                <w:rFonts w:ascii="Times" w:hAnsi="Times"/>
              </w:rPr>
            </w:pPr>
            <w:r w:rsidRPr="005C202F">
              <w:t>8</w:t>
            </w:r>
          </w:p>
        </w:tc>
        <w:tc>
          <w:tcPr>
            <w:tcW w:w="1040" w:type="dxa"/>
            <w:vAlign w:val="center"/>
          </w:tcPr>
          <w:p w:rsidR="0029048A" w:rsidRPr="005C202F" w:rsidRDefault="0029048A" w:rsidP="00EB63AF">
            <w:pPr>
              <w:pStyle w:val="TableText"/>
              <w:jc w:val="center"/>
              <w:rPr>
                <w:rFonts w:ascii="Times" w:hAnsi="Times"/>
              </w:rPr>
            </w:pPr>
            <w:r w:rsidRPr="005C202F">
              <w:t>8</w:t>
            </w:r>
          </w:p>
        </w:tc>
        <w:tc>
          <w:tcPr>
            <w:tcW w:w="1040" w:type="dxa"/>
            <w:vAlign w:val="center"/>
          </w:tcPr>
          <w:p w:rsidR="0029048A" w:rsidRPr="005C202F" w:rsidRDefault="0029048A" w:rsidP="00EB63AF">
            <w:pPr>
              <w:pStyle w:val="TableText"/>
              <w:jc w:val="center"/>
              <w:rPr>
                <w:rFonts w:ascii="Times" w:hAnsi="Times"/>
              </w:rPr>
            </w:pPr>
            <w:r w:rsidRPr="005C202F">
              <w:t>0</w:t>
            </w:r>
          </w:p>
        </w:tc>
        <w:tc>
          <w:tcPr>
            <w:tcW w:w="2976" w:type="dxa"/>
            <w:vAlign w:val="center"/>
          </w:tcPr>
          <w:p w:rsidR="0029048A" w:rsidRPr="005C202F" w:rsidRDefault="0029048A" w:rsidP="00EB63AF">
            <w:pPr>
              <w:pStyle w:val="TableText"/>
              <w:jc w:val="center"/>
            </w:pPr>
            <w:r w:rsidRPr="005C202F">
              <w:t>Public Hospital:</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rPr>
                <w:rFonts w:ascii="Times" w:hAnsi="Times"/>
              </w:rPr>
            </w:pPr>
            <w:r w:rsidRPr="005C202F">
              <w:t>Spravato</w:t>
            </w:r>
            <w:r w:rsidRPr="005C202F">
              <w:rPr>
                <w:vertAlign w:val="superscript"/>
              </w:rPr>
              <w:t>®</w:t>
            </w:r>
            <w:r w:rsidRPr="005C202F">
              <w:t>, Janssen-Cilag Pty Ltd</w:t>
            </w:r>
          </w:p>
        </w:tc>
      </w:tr>
      <w:tr w:rsidR="0029048A" w:rsidRPr="005C202F" w:rsidTr="00EB63AF">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smallCaps/>
              </w:rPr>
            </w:pPr>
            <w:r w:rsidRPr="005C202F">
              <w:t>Nasal spray device, 28 mg, 2</w:t>
            </w:r>
          </w:p>
        </w:tc>
        <w:tc>
          <w:tcPr>
            <w:tcW w:w="1039" w:type="dxa"/>
            <w:vAlign w:val="center"/>
          </w:tcPr>
          <w:p w:rsidR="0029048A" w:rsidRPr="005C202F" w:rsidRDefault="0029048A" w:rsidP="00EB63AF">
            <w:pPr>
              <w:pStyle w:val="TableText"/>
              <w:jc w:val="center"/>
            </w:pPr>
            <w:r w:rsidRPr="005C202F">
              <w:t>8</w:t>
            </w:r>
          </w:p>
        </w:tc>
        <w:tc>
          <w:tcPr>
            <w:tcW w:w="1040" w:type="dxa"/>
            <w:vAlign w:val="center"/>
          </w:tcPr>
          <w:p w:rsidR="0029048A" w:rsidRPr="005C202F" w:rsidRDefault="0029048A" w:rsidP="00EB63AF">
            <w:pPr>
              <w:pStyle w:val="TableText"/>
              <w:jc w:val="center"/>
            </w:pPr>
            <w:r w:rsidRPr="005C202F">
              <w:t>16</w:t>
            </w:r>
          </w:p>
        </w:tc>
        <w:tc>
          <w:tcPr>
            <w:tcW w:w="1040" w:type="dxa"/>
            <w:vAlign w:val="center"/>
          </w:tcPr>
          <w:p w:rsidR="0029048A" w:rsidRPr="005C202F" w:rsidRDefault="0029048A" w:rsidP="00EB63AF">
            <w:pPr>
              <w:pStyle w:val="TableText"/>
              <w:jc w:val="center"/>
            </w:pPr>
            <w:r w:rsidRPr="005C202F">
              <w:t>0</w:t>
            </w:r>
          </w:p>
        </w:tc>
        <w:tc>
          <w:tcPr>
            <w:tcW w:w="2976" w:type="dxa"/>
            <w:vAlign w:val="center"/>
          </w:tcPr>
          <w:p w:rsidR="0029048A" w:rsidRPr="005C202F" w:rsidRDefault="0029048A" w:rsidP="00EB63AF">
            <w:pPr>
              <w:pStyle w:val="TableText"/>
              <w:jc w:val="center"/>
            </w:pPr>
            <w:r w:rsidRPr="005C202F">
              <w:t>Public Hospital:</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pPr>
            <w:r w:rsidRPr="005C202F">
              <w:t>Spravato</w:t>
            </w:r>
            <w:r w:rsidRPr="005C202F">
              <w:rPr>
                <w:vertAlign w:val="superscript"/>
              </w:rPr>
              <w:t>®</w:t>
            </w:r>
            <w:r w:rsidRPr="005C202F">
              <w:t>, Janssen-Cilag Pty Ltd</w:t>
            </w:r>
          </w:p>
        </w:tc>
      </w:tr>
      <w:tr w:rsidR="0029048A" w:rsidRPr="005C202F" w:rsidTr="00EB63AF">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smallCaps/>
              </w:rPr>
            </w:pPr>
            <w:r w:rsidRPr="005C202F">
              <w:t>Nasal spray device, 28 mg, 3</w:t>
            </w:r>
          </w:p>
        </w:tc>
        <w:tc>
          <w:tcPr>
            <w:tcW w:w="1039" w:type="dxa"/>
            <w:vAlign w:val="center"/>
          </w:tcPr>
          <w:p w:rsidR="0029048A" w:rsidRPr="005C202F" w:rsidRDefault="0029048A" w:rsidP="00EB63AF">
            <w:pPr>
              <w:pStyle w:val="TableText"/>
              <w:jc w:val="center"/>
            </w:pPr>
            <w:r w:rsidRPr="005C202F">
              <w:t>8</w:t>
            </w:r>
          </w:p>
        </w:tc>
        <w:tc>
          <w:tcPr>
            <w:tcW w:w="1040" w:type="dxa"/>
            <w:vAlign w:val="center"/>
          </w:tcPr>
          <w:p w:rsidR="0029048A" w:rsidRPr="005C202F" w:rsidRDefault="0029048A" w:rsidP="00EB63AF">
            <w:pPr>
              <w:pStyle w:val="TableText"/>
              <w:jc w:val="center"/>
            </w:pPr>
            <w:r w:rsidRPr="005C202F">
              <w:t>24</w:t>
            </w:r>
          </w:p>
        </w:tc>
        <w:tc>
          <w:tcPr>
            <w:tcW w:w="1040" w:type="dxa"/>
            <w:vAlign w:val="center"/>
          </w:tcPr>
          <w:p w:rsidR="0029048A" w:rsidRPr="005C202F" w:rsidRDefault="0029048A" w:rsidP="00EB63AF">
            <w:pPr>
              <w:pStyle w:val="TableText"/>
              <w:jc w:val="center"/>
            </w:pPr>
            <w:r w:rsidRPr="005C202F">
              <w:t>0</w:t>
            </w:r>
          </w:p>
        </w:tc>
        <w:tc>
          <w:tcPr>
            <w:tcW w:w="2976" w:type="dxa"/>
            <w:vAlign w:val="center"/>
          </w:tcPr>
          <w:p w:rsidR="0029048A" w:rsidRPr="005C202F" w:rsidRDefault="0029048A" w:rsidP="00EB63AF">
            <w:pPr>
              <w:pStyle w:val="TableText"/>
              <w:jc w:val="center"/>
            </w:pPr>
            <w:r w:rsidRPr="005C202F">
              <w:t>Public Hospital:</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pPr>
            <w:r w:rsidRPr="005C202F">
              <w:t>Spravato</w:t>
            </w:r>
            <w:r w:rsidRPr="005C202F">
              <w:rPr>
                <w:vertAlign w:val="superscript"/>
              </w:rPr>
              <w:t>®</w:t>
            </w:r>
            <w:r w:rsidRPr="005C202F">
              <w:t>, Janssen-Cilag Pty Ltd</w:t>
            </w:r>
          </w:p>
        </w:tc>
      </w:tr>
      <w:tr w:rsidR="0029048A" w:rsidRPr="005C202F" w:rsidTr="00EB63AF">
        <w:tc>
          <w:tcPr>
            <w:tcW w:w="9236" w:type="dxa"/>
            <w:gridSpan w:val="6"/>
            <w:vAlign w:val="center"/>
          </w:tcPr>
          <w:p w:rsidR="0029048A" w:rsidRPr="005C202F" w:rsidRDefault="0029048A" w:rsidP="00EB63AF">
            <w:pPr>
              <w:pStyle w:val="TableText"/>
            </w:pPr>
            <w:r w:rsidRPr="005C202F">
              <w:t>Continuing treatment/</w:t>
            </w:r>
            <w:r w:rsidRPr="005C202F">
              <w:rPr>
                <w:strike/>
              </w:rPr>
              <w:t>Maintenance period 1 (Treatment weeks 5-8)</w:t>
            </w:r>
          </w:p>
        </w:tc>
      </w:tr>
      <w:tr w:rsidR="0029048A" w:rsidRPr="005C202F" w:rsidTr="00EB63AF">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smallCaps/>
              </w:rPr>
            </w:pPr>
            <w:r w:rsidRPr="005C202F">
              <w:t>Nasal spray device, 28 mg, 1</w:t>
            </w:r>
          </w:p>
        </w:tc>
        <w:tc>
          <w:tcPr>
            <w:tcW w:w="1039" w:type="dxa"/>
            <w:vAlign w:val="center"/>
          </w:tcPr>
          <w:p w:rsidR="0029048A" w:rsidRPr="005C202F" w:rsidRDefault="0029048A" w:rsidP="00EB63AF">
            <w:pPr>
              <w:pStyle w:val="TableText"/>
              <w:jc w:val="center"/>
            </w:pPr>
            <w:r w:rsidRPr="005C202F">
              <w:t>4</w:t>
            </w:r>
          </w:p>
        </w:tc>
        <w:tc>
          <w:tcPr>
            <w:tcW w:w="1040" w:type="dxa"/>
            <w:vAlign w:val="center"/>
          </w:tcPr>
          <w:p w:rsidR="0029048A" w:rsidRPr="005C202F" w:rsidRDefault="0029048A" w:rsidP="00EB63AF">
            <w:pPr>
              <w:pStyle w:val="TableText"/>
              <w:jc w:val="center"/>
            </w:pPr>
            <w:r w:rsidRPr="005C202F">
              <w:t>4</w:t>
            </w:r>
          </w:p>
        </w:tc>
        <w:tc>
          <w:tcPr>
            <w:tcW w:w="1040" w:type="dxa"/>
            <w:vAlign w:val="center"/>
          </w:tcPr>
          <w:p w:rsidR="0029048A" w:rsidRPr="005C202F" w:rsidRDefault="0029048A" w:rsidP="00EB63AF">
            <w:pPr>
              <w:pStyle w:val="TableText"/>
              <w:jc w:val="center"/>
              <w:rPr>
                <w:strike/>
              </w:rPr>
            </w:pPr>
            <w:r w:rsidRPr="005C202F">
              <w:rPr>
                <w:strike/>
              </w:rPr>
              <w:t>0</w:t>
            </w:r>
            <w:r w:rsidR="007333B3" w:rsidRPr="005C202F">
              <w:rPr>
                <w:strike/>
              </w:rPr>
              <w:t xml:space="preserve"> </w:t>
            </w:r>
            <w:r w:rsidR="007333B3" w:rsidRPr="005C202F">
              <w:rPr>
                <w:i/>
              </w:rPr>
              <w:t>2</w:t>
            </w:r>
          </w:p>
        </w:tc>
        <w:tc>
          <w:tcPr>
            <w:tcW w:w="2976" w:type="dxa"/>
            <w:vAlign w:val="center"/>
          </w:tcPr>
          <w:p w:rsidR="0029048A" w:rsidRPr="005C202F" w:rsidRDefault="0029048A" w:rsidP="00EB63AF">
            <w:pPr>
              <w:pStyle w:val="TableText"/>
              <w:jc w:val="center"/>
            </w:pPr>
            <w:r w:rsidRPr="005C202F">
              <w:t>Public Hospital:</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pPr>
            <w:r w:rsidRPr="005C202F">
              <w:t>Spravato</w:t>
            </w:r>
            <w:r w:rsidRPr="005C202F">
              <w:rPr>
                <w:vertAlign w:val="superscript"/>
              </w:rPr>
              <w:t>®</w:t>
            </w:r>
            <w:r w:rsidRPr="005C202F">
              <w:t>, Janssen-Cilag Pty Ltd</w:t>
            </w:r>
          </w:p>
        </w:tc>
      </w:tr>
      <w:tr w:rsidR="0029048A" w:rsidRPr="005C202F" w:rsidTr="00EB63AF">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smallCaps/>
              </w:rPr>
            </w:pPr>
            <w:r w:rsidRPr="005C202F">
              <w:t>Nasal spray device, 28 mg, 2</w:t>
            </w:r>
          </w:p>
        </w:tc>
        <w:tc>
          <w:tcPr>
            <w:tcW w:w="1039" w:type="dxa"/>
            <w:vAlign w:val="center"/>
          </w:tcPr>
          <w:p w:rsidR="0029048A" w:rsidRPr="005C202F" w:rsidRDefault="0029048A" w:rsidP="00EB63AF">
            <w:pPr>
              <w:pStyle w:val="TableText"/>
              <w:jc w:val="center"/>
            </w:pPr>
            <w:r w:rsidRPr="005C202F">
              <w:t>4</w:t>
            </w:r>
          </w:p>
        </w:tc>
        <w:tc>
          <w:tcPr>
            <w:tcW w:w="1040" w:type="dxa"/>
            <w:vAlign w:val="center"/>
          </w:tcPr>
          <w:p w:rsidR="0029048A" w:rsidRPr="005C202F" w:rsidRDefault="0029048A" w:rsidP="00EB63AF">
            <w:pPr>
              <w:pStyle w:val="TableText"/>
              <w:jc w:val="center"/>
            </w:pPr>
            <w:r w:rsidRPr="005C202F">
              <w:t>8</w:t>
            </w:r>
          </w:p>
        </w:tc>
        <w:tc>
          <w:tcPr>
            <w:tcW w:w="1040" w:type="dxa"/>
            <w:vAlign w:val="center"/>
          </w:tcPr>
          <w:p w:rsidR="0029048A" w:rsidRPr="005C202F" w:rsidRDefault="007333B3" w:rsidP="00EB63AF">
            <w:pPr>
              <w:pStyle w:val="TableText"/>
              <w:jc w:val="center"/>
            </w:pPr>
            <w:r w:rsidRPr="005C202F">
              <w:rPr>
                <w:strike/>
              </w:rPr>
              <w:t xml:space="preserve">0 </w:t>
            </w:r>
            <w:r w:rsidRPr="005C202F">
              <w:rPr>
                <w:i/>
              </w:rPr>
              <w:t>2</w:t>
            </w:r>
          </w:p>
        </w:tc>
        <w:tc>
          <w:tcPr>
            <w:tcW w:w="2976" w:type="dxa"/>
            <w:vAlign w:val="center"/>
          </w:tcPr>
          <w:p w:rsidR="0029048A" w:rsidRPr="005C202F" w:rsidRDefault="0029048A" w:rsidP="00EB63AF">
            <w:pPr>
              <w:pStyle w:val="TableText"/>
              <w:jc w:val="center"/>
            </w:pPr>
            <w:r w:rsidRPr="005C202F">
              <w:t xml:space="preserve">Public Hospital: </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pPr>
            <w:r w:rsidRPr="005C202F">
              <w:t>Spravato</w:t>
            </w:r>
            <w:r w:rsidRPr="005C202F">
              <w:rPr>
                <w:vertAlign w:val="superscript"/>
              </w:rPr>
              <w:t>®</w:t>
            </w:r>
            <w:r w:rsidRPr="005C202F">
              <w:t>, Janssen-Cilag Pty Ltd</w:t>
            </w:r>
          </w:p>
        </w:tc>
      </w:tr>
      <w:tr w:rsidR="0029048A" w:rsidRPr="005C202F" w:rsidTr="00EB63AF">
        <w:tc>
          <w:tcPr>
            <w:tcW w:w="1843" w:type="dxa"/>
            <w:vAlign w:val="center"/>
          </w:tcPr>
          <w:p w:rsidR="0029048A" w:rsidRPr="005C202F" w:rsidRDefault="0029048A" w:rsidP="00EB63AF">
            <w:pPr>
              <w:pStyle w:val="TableText"/>
            </w:pPr>
            <w:r w:rsidRPr="005C202F">
              <w:rPr>
                <w:smallCaps/>
              </w:rPr>
              <w:t>Esketamine</w:t>
            </w:r>
          </w:p>
          <w:p w:rsidR="0029048A" w:rsidRPr="005C202F" w:rsidRDefault="0029048A" w:rsidP="00EB63AF">
            <w:pPr>
              <w:pStyle w:val="TableText"/>
              <w:rPr>
                <w:smallCaps/>
              </w:rPr>
            </w:pPr>
            <w:r w:rsidRPr="005C202F">
              <w:t>Nasal spray device, 28 mg, 3</w:t>
            </w:r>
          </w:p>
        </w:tc>
        <w:tc>
          <w:tcPr>
            <w:tcW w:w="1039" w:type="dxa"/>
            <w:vAlign w:val="center"/>
          </w:tcPr>
          <w:p w:rsidR="0029048A" w:rsidRPr="005C202F" w:rsidRDefault="0029048A" w:rsidP="00EB63AF">
            <w:pPr>
              <w:pStyle w:val="TableText"/>
              <w:jc w:val="center"/>
            </w:pPr>
            <w:r w:rsidRPr="005C202F">
              <w:t>4</w:t>
            </w:r>
          </w:p>
        </w:tc>
        <w:tc>
          <w:tcPr>
            <w:tcW w:w="1040" w:type="dxa"/>
            <w:vAlign w:val="center"/>
          </w:tcPr>
          <w:p w:rsidR="0029048A" w:rsidRPr="005C202F" w:rsidRDefault="0029048A" w:rsidP="00EB63AF">
            <w:pPr>
              <w:pStyle w:val="TableText"/>
              <w:jc w:val="center"/>
            </w:pPr>
            <w:r w:rsidRPr="005C202F">
              <w:t>12</w:t>
            </w:r>
          </w:p>
        </w:tc>
        <w:tc>
          <w:tcPr>
            <w:tcW w:w="1040" w:type="dxa"/>
            <w:vAlign w:val="center"/>
          </w:tcPr>
          <w:p w:rsidR="0029048A" w:rsidRPr="005C202F" w:rsidRDefault="007333B3" w:rsidP="00EB63AF">
            <w:pPr>
              <w:pStyle w:val="TableText"/>
              <w:jc w:val="center"/>
            </w:pPr>
            <w:r w:rsidRPr="005C202F">
              <w:rPr>
                <w:strike/>
              </w:rPr>
              <w:t xml:space="preserve">0 </w:t>
            </w:r>
            <w:r w:rsidRPr="005C202F">
              <w:rPr>
                <w:i/>
              </w:rPr>
              <w:t>2</w:t>
            </w:r>
          </w:p>
        </w:tc>
        <w:tc>
          <w:tcPr>
            <w:tcW w:w="2976" w:type="dxa"/>
            <w:vAlign w:val="center"/>
          </w:tcPr>
          <w:p w:rsidR="0029048A" w:rsidRPr="005C202F" w:rsidRDefault="0029048A" w:rsidP="00EB63AF">
            <w:pPr>
              <w:pStyle w:val="TableText"/>
              <w:jc w:val="center"/>
            </w:pPr>
            <w:r w:rsidRPr="005C202F">
              <w:t>Public Hospital:</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p w:rsidR="0029048A" w:rsidRPr="005C202F" w:rsidRDefault="0029048A" w:rsidP="00EB63AF">
            <w:pPr>
              <w:pStyle w:val="TableText"/>
              <w:jc w:val="center"/>
            </w:pPr>
            <w:r w:rsidRPr="005C202F">
              <w:t>Private Hospital/Community Access:</w:t>
            </w:r>
          </w:p>
          <w:p w:rsidR="0029048A" w:rsidRPr="005C202F" w:rsidRDefault="0029048A" w:rsidP="00EB63AF">
            <w:pPr>
              <w:pStyle w:val="TableText"/>
              <w:jc w:val="center"/>
            </w:pPr>
            <w:r w:rsidRPr="005C202F">
              <w:t>$</w:t>
            </w:r>
            <w:r w:rsidR="002704A1">
              <w:rPr>
                <w:noProof/>
                <w:color w:val="000000"/>
                <w:highlight w:val="black"/>
              </w:rPr>
              <w:t>''''''''''''''''''''</w:t>
            </w:r>
            <w:r w:rsidRPr="005C202F">
              <w:t xml:space="preserve"> ($</w:t>
            </w:r>
            <w:r w:rsidR="002704A1">
              <w:rPr>
                <w:noProof/>
                <w:color w:val="000000"/>
                <w:highlight w:val="black"/>
              </w:rPr>
              <w:t>''''''''''''''''''''</w:t>
            </w:r>
            <w:r w:rsidRPr="005C202F">
              <w:t>)</w:t>
            </w:r>
          </w:p>
        </w:tc>
        <w:tc>
          <w:tcPr>
            <w:tcW w:w="1298" w:type="dxa"/>
            <w:vAlign w:val="center"/>
          </w:tcPr>
          <w:p w:rsidR="0029048A" w:rsidRPr="005C202F" w:rsidRDefault="0029048A" w:rsidP="00EB63AF">
            <w:pPr>
              <w:pStyle w:val="TableText"/>
            </w:pPr>
            <w:r w:rsidRPr="005C202F">
              <w:t>Spravato</w:t>
            </w:r>
            <w:r w:rsidRPr="005C202F">
              <w:rPr>
                <w:vertAlign w:val="superscript"/>
              </w:rPr>
              <w:t>®</w:t>
            </w:r>
            <w:r w:rsidRPr="005C202F">
              <w:t>, Janssen-Cilag Pty Ltd</w:t>
            </w:r>
          </w:p>
        </w:tc>
      </w:tr>
      <w:tr w:rsidR="0029048A" w:rsidRPr="005C202F" w:rsidTr="00EB63AF">
        <w:tc>
          <w:tcPr>
            <w:tcW w:w="9236" w:type="dxa"/>
            <w:gridSpan w:val="6"/>
            <w:vAlign w:val="center"/>
          </w:tcPr>
          <w:p w:rsidR="0029048A" w:rsidRPr="005C202F" w:rsidRDefault="0029048A" w:rsidP="00EB63AF">
            <w:pPr>
              <w:pStyle w:val="TableText"/>
              <w:rPr>
                <w:strike/>
              </w:rPr>
            </w:pPr>
            <w:r w:rsidRPr="005C202F">
              <w:rPr>
                <w:strike/>
              </w:rPr>
              <w:t>Continuing treatment/Maintenance period 2 (Treatment week 9 onwards)</w:t>
            </w:r>
          </w:p>
        </w:tc>
      </w:tr>
      <w:tr w:rsidR="0029048A" w:rsidRPr="005C202F" w:rsidTr="00EB63AF">
        <w:tc>
          <w:tcPr>
            <w:tcW w:w="1843" w:type="dxa"/>
            <w:vAlign w:val="center"/>
          </w:tcPr>
          <w:p w:rsidR="0029048A" w:rsidRPr="005C202F" w:rsidRDefault="0029048A" w:rsidP="00EB63AF">
            <w:pPr>
              <w:pStyle w:val="TableText"/>
              <w:rPr>
                <w:strike/>
              </w:rPr>
            </w:pPr>
            <w:r w:rsidRPr="005C202F">
              <w:rPr>
                <w:smallCaps/>
                <w:strike/>
              </w:rPr>
              <w:t>Esketamine</w:t>
            </w:r>
          </w:p>
          <w:p w:rsidR="0029048A" w:rsidRPr="005C202F" w:rsidRDefault="0029048A" w:rsidP="00EB63AF">
            <w:pPr>
              <w:pStyle w:val="TableText"/>
              <w:rPr>
                <w:smallCaps/>
                <w:strike/>
              </w:rPr>
            </w:pPr>
            <w:r w:rsidRPr="005C202F">
              <w:rPr>
                <w:strike/>
              </w:rPr>
              <w:t>Nasal spray device, 28 mg, 1</w:t>
            </w:r>
          </w:p>
        </w:tc>
        <w:tc>
          <w:tcPr>
            <w:tcW w:w="1039" w:type="dxa"/>
            <w:vAlign w:val="center"/>
          </w:tcPr>
          <w:p w:rsidR="0029048A" w:rsidRPr="005C202F" w:rsidRDefault="0029048A" w:rsidP="00EB63AF">
            <w:pPr>
              <w:pStyle w:val="TableText"/>
              <w:jc w:val="center"/>
              <w:rPr>
                <w:strike/>
              </w:rPr>
            </w:pPr>
            <w:r w:rsidRPr="005C202F">
              <w:rPr>
                <w:strike/>
              </w:rPr>
              <w:t>4</w:t>
            </w:r>
          </w:p>
        </w:tc>
        <w:tc>
          <w:tcPr>
            <w:tcW w:w="1040" w:type="dxa"/>
            <w:vAlign w:val="center"/>
          </w:tcPr>
          <w:p w:rsidR="0029048A" w:rsidRPr="005C202F" w:rsidRDefault="0029048A" w:rsidP="00EB63AF">
            <w:pPr>
              <w:pStyle w:val="TableText"/>
              <w:jc w:val="center"/>
              <w:rPr>
                <w:strike/>
              </w:rPr>
            </w:pPr>
            <w:r w:rsidRPr="005C202F">
              <w:rPr>
                <w:strike/>
              </w:rPr>
              <w:t>4</w:t>
            </w:r>
          </w:p>
        </w:tc>
        <w:tc>
          <w:tcPr>
            <w:tcW w:w="1040" w:type="dxa"/>
            <w:vAlign w:val="center"/>
          </w:tcPr>
          <w:p w:rsidR="0029048A" w:rsidRPr="005C202F" w:rsidRDefault="0029048A" w:rsidP="00EB63AF">
            <w:pPr>
              <w:pStyle w:val="TableText"/>
              <w:jc w:val="center"/>
              <w:rPr>
                <w:strike/>
              </w:rPr>
            </w:pPr>
            <w:r w:rsidRPr="005C202F">
              <w:rPr>
                <w:strike/>
              </w:rPr>
              <w:t>2</w:t>
            </w:r>
          </w:p>
        </w:tc>
        <w:tc>
          <w:tcPr>
            <w:tcW w:w="2976" w:type="dxa"/>
            <w:vAlign w:val="center"/>
          </w:tcPr>
          <w:p w:rsidR="0029048A" w:rsidRPr="005C202F" w:rsidRDefault="0029048A" w:rsidP="00EB63AF">
            <w:pPr>
              <w:pStyle w:val="TableText"/>
              <w:jc w:val="center"/>
              <w:rPr>
                <w:strike/>
              </w:rPr>
            </w:pPr>
            <w:r w:rsidRPr="005C202F">
              <w:rPr>
                <w:strike/>
              </w:rPr>
              <w:t>Public Hospital:</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p w:rsidR="0029048A" w:rsidRPr="005C202F" w:rsidRDefault="0029048A" w:rsidP="00EB63AF">
            <w:pPr>
              <w:pStyle w:val="TableText"/>
              <w:jc w:val="center"/>
              <w:rPr>
                <w:strike/>
              </w:rPr>
            </w:pPr>
            <w:r w:rsidRPr="005C202F">
              <w:rPr>
                <w:strike/>
              </w:rPr>
              <w:t>Private Hospital/Community Access:</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tc>
        <w:tc>
          <w:tcPr>
            <w:tcW w:w="1298" w:type="dxa"/>
            <w:vAlign w:val="center"/>
          </w:tcPr>
          <w:p w:rsidR="0029048A" w:rsidRPr="005C202F" w:rsidRDefault="0029048A" w:rsidP="00EB63AF">
            <w:pPr>
              <w:pStyle w:val="TableText"/>
              <w:rPr>
                <w:strike/>
              </w:rPr>
            </w:pPr>
            <w:r w:rsidRPr="005C202F">
              <w:rPr>
                <w:strike/>
              </w:rPr>
              <w:t>Spravato</w:t>
            </w:r>
            <w:r w:rsidRPr="005C202F">
              <w:rPr>
                <w:strike/>
                <w:vertAlign w:val="superscript"/>
              </w:rPr>
              <w:t>®</w:t>
            </w:r>
            <w:r w:rsidRPr="005C202F">
              <w:rPr>
                <w:strike/>
              </w:rPr>
              <w:t>, Janssen-Cilag Pty Ltd</w:t>
            </w:r>
          </w:p>
        </w:tc>
      </w:tr>
      <w:tr w:rsidR="0029048A" w:rsidRPr="005C202F" w:rsidTr="00EB63AF">
        <w:tc>
          <w:tcPr>
            <w:tcW w:w="1843" w:type="dxa"/>
            <w:vAlign w:val="center"/>
          </w:tcPr>
          <w:p w:rsidR="0029048A" w:rsidRPr="005C202F" w:rsidRDefault="0029048A" w:rsidP="00EB63AF">
            <w:pPr>
              <w:pStyle w:val="TableText"/>
              <w:rPr>
                <w:strike/>
              </w:rPr>
            </w:pPr>
            <w:r w:rsidRPr="005C202F">
              <w:rPr>
                <w:smallCaps/>
                <w:strike/>
              </w:rPr>
              <w:t>Esketamine</w:t>
            </w:r>
          </w:p>
          <w:p w:rsidR="0029048A" w:rsidRPr="005C202F" w:rsidRDefault="0029048A" w:rsidP="00EB63AF">
            <w:pPr>
              <w:pStyle w:val="TableText"/>
              <w:rPr>
                <w:smallCaps/>
                <w:strike/>
              </w:rPr>
            </w:pPr>
            <w:r w:rsidRPr="005C202F">
              <w:rPr>
                <w:strike/>
              </w:rPr>
              <w:t>Nasal spray device, 28 mg, 2</w:t>
            </w:r>
          </w:p>
        </w:tc>
        <w:tc>
          <w:tcPr>
            <w:tcW w:w="1039" w:type="dxa"/>
            <w:vAlign w:val="center"/>
          </w:tcPr>
          <w:p w:rsidR="0029048A" w:rsidRPr="005C202F" w:rsidRDefault="0029048A" w:rsidP="00EB63AF">
            <w:pPr>
              <w:pStyle w:val="TableText"/>
              <w:jc w:val="center"/>
              <w:rPr>
                <w:strike/>
              </w:rPr>
            </w:pPr>
            <w:r w:rsidRPr="005C202F">
              <w:rPr>
                <w:strike/>
              </w:rPr>
              <w:t>4</w:t>
            </w:r>
          </w:p>
        </w:tc>
        <w:tc>
          <w:tcPr>
            <w:tcW w:w="1040" w:type="dxa"/>
            <w:vAlign w:val="center"/>
          </w:tcPr>
          <w:p w:rsidR="0029048A" w:rsidRPr="005C202F" w:rsidRDefault="0029048A" w:rsidP="00EB63AF">
            <w:pPr>
              <w:pStyle w:val="TableText"/>
              <w:jc w:val="center"/>
              <w:rPr>
                <w:strike/>
              </w:rPr>
            </w:pPr>
            <w:r w:rsidRPr="005C202F">
              <w:rPr>
                <w:strike/>
              </w:rPr>
              <w:t>8</w:t>
            </w:r>
          </w:p>
        </w:tc>
        <w:tc>
          <w:tcPr>
            <w:tcW w:w="1040" w:type="dxa"/>
            <w:vAlign w:val="center"/>
          </w:tcPr>
          <w:p w:rsidR="0029048A" w:rsidRPr="005C202F" w:rsidRDefault="0029048A" w:rsidP="00EB63AF">
            <w:pPr>
              <w:pStyle w:val="TableText"/>
              <w:jc w:val="center"/>
              <w:rPr>
                <w:strike/>
              </w:rPr>
            </w:pPr>
            <w:r w:rsidRPr="005C202F">
              <w:rPr>
                <w:strike/>
              </w:rPr>
              <w:t>2</w:t>
            </w:r>
          </w:p>
        </w:tc>
        <w:tc>
          <w:tcPr>
            <w:tcW w:w="2976" w:type="dxa"/>
            <w:vAlign w:val="center"/>
          </w:tcPr>
          <w:p w:rsidR="0029048A" w:rsidRPr="005C202F" w:rsidRDefault="0029048A" w:rsidP="00EB63AF">
            <w:pPr>
              <w:pStyle w:val="TableText"/>
              <w:jc w:val="center"/>
              <w:rPr>
                <w:strike/>
              </w:rPr>
            </w:pPr>
            <w:r w:rsidRPr="005C202F">
              <w:rPr>
                <w:strike/>
              </w:rPr>
              <w:t>Public Hospital:</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p w:rsidR="0029048A" w:rsidRPr="005C202F" w:rsidRDefault="0029048A" w:rsidP="00EB63AF">
            <w:pPr>
              <w:pStyle w:val="TableText"/>
              <w:jc w:val="center"/>
              <w:rPr>
                <w:strike/>
              </w:rPr>
            </w:pPr>
            <w:r w:rsidRPr="005C202F">
              <w:rPr>
                <w:strike/>
              </w:rPr>
              <w:t>Private Hospital/Community Access:</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tc>
        <w:tc>
          <w:tcPr>
            <w:tcW w:w="1298" w:type="dxa"/>
            <w:vAlign w:val="center"/>
          </w:tcPr>
          <w:p w:rsidR="0029048A" w:rsidRPr="005C202F" w:rsidRDefault="0029048A" w:rsidP="00EB63AF">
            <w:pPr>
              <w:pStyle w:val="TableText"/>
              <w:rPr>
                <w:strike/>
              </w:rPr>
            </w:pPr>
            <w:r w:rsidRPr="005C202F">
              <w:rPr>
                <w:strike/>
              </w:rPr>
              <w:t>Spravato</w:t>
            </w:r>
            <w:r w:rsidRPr="005C202F">
              <w:rPr>
                <w:strike/>
                <w:vertAlign w:val="superscript"/>
              </w:rPr>
              <w:t>®</w:t>
            </w:r>
            <w:r w:rsidRPr="005C202F">
              <w:rPr>
                <w:strike/>
              </w:rPr>
              <w:t>, Janssen-Cilag Pty Ltd</w:t>
            </w:r>
          </w:p>
        </w:tc>
      </w:tr>
      <w:tr w:rsidR="0029048A" w:rsidRPr="005C202F" w:rsidTr="00EB63AF">
        <w:tc>
          <w:tcPr>
            <w:tcW w:w="1843" w:type="dxa"/>
            <w:vAlign w:val="center"/>
          </w:tcPr>
          <w:p w:rsidR="0029048A" w:rsidRPr="005C202F" w:rsidRDefault="0029048A" w:rsidP="00EB63AF">
            <w:pPr>
              <w:pStyle w:val="TableText"/>
              <w:rPr>
                <w:strike/>
              </w:rPr>
            </w:pPr>
            <w:r w:rsidRPr="005C202F">
              <w:rPr>
                <w:smallCaps/>
                <w:strike/>
              </w:rPr>
              <w:t>Esketamine</w:t>
            </w:r>
          </w:p>
          <w:p w:rsidR="0029048A" w:rsidRPr="005C202F" w:rsidRDefault="0029048A" w:rsidP="00EB63AF">
            <w:pPr>
              <w:pStyle w:val="TableText"/>
              <w:rPr>
                <w:smallCaps/>
                <w:strike/>
              </w:rPr>
            </w:pPr>
            <w:r w:rsidRPr="005C202F">
              <w:rPr>
                <w:strike/>
              </w:rPr>
              <w:t>Nasal spray device, 28 mg, 3</w:t>
            </w:r>
          </w:p>
        </w:tc>
        <w:tc>
          <w:tcPr>
            <w:tcW w:w="1039" w:type="dxa"/>
            <w:vAlign w:val="center"/>
          </w:tcPr>
          <w:p w:rsidR="0029048A" w:rsidRPr="005C202F" w:rsidRDefault="0029048A" w:rsidP="00EB63AF">
            <w:pPr>
              <w:pStyle w:val="TableText"/>
              <w:jc w:val="center"/>
              <w:rPr>
                <w:strike/>
              </w:rPr>
            </w:pPr>
            <w:r w:rsidRPr="005C202F">
              <w:rPr>
                <w:strike/>
              </w:rPr>
              <w:t>4</w:t>
            </w:r>
          </w:p>
        </w:tc>
        <w:tc>
          <w:tcPr>
            <w:tcW w:w="1040" w:type="dxa"/>
            <w:vAlign w:val="center"/>
          </w:tcPr>
          <w:p w:rsidR="0029048A" w:rsidRPr="005C202F" w:rsidRDefault="0029048A" w:rsidP="00EB63AF">
            <w:pPr>
              <w:pStyle w:val="TableText"/>
              <w:jc w:val="center"/>
              <w:rPr>
                <w:strike/>
              </w:rPr>
            </w:pPr>
            <w:r w:rsidRPr="005C202F">
              <w:rPr>
                <w:strike/>
              </w:rPr>
              <w:t>12</w:t>
            </w:r>
          </w:p>
        </w:tc>
        <w:tc>
          <w:tcPr>
            <w:tcW w:w="1040" w:type="dxa"/>
            <w:vAlign w:val="center"/>
          </w:tcPr>
          <w:p w:rsidR="0029048A" w:rsidRPr="005C202F" w:rsidRDefault="0029048A" w:rsidP="00EB63AF">
            <w:pPr>
              <w:pStyle w:val="TableText"/>
              <w:jc w:val="center"/>
              <w:rPr>
                <w:strike/>
              </w:rPr>
            </w:pPr>
            <w:r w:rsidRPr="005C202F">
              <w:rPr>
                <w:strike/>
              </w:rPr>
              <w:t>2</w:t>
            </w:r>
          </w:p>
        </w:tc>
        <w:tc>
          <w:tcPr>
            <w:tcW w:w="2976" w:type="dxa"/>
            <w:vAlign w:val="center"/>
          </w:tcPr>
          <w:p w:rsidR="0029048A" w:rsidRPr="005C202F" w:rsidRDefault="0029048A" w:rsidP="00EB63AF">
            <w:pPr>
              <w:pStyle w:val="TableText"/>
              <w:jc w:val="center"/>
              <w:rPr>
                <w:strike/>
              </w:rPr>
            </w:pPr>
            <w:r w:rsidRPr="005C202F">
              <w:rPr>
                <w:strike/>
              </w:rPr>
              <w:t>Public Hospital:</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p w:rsidR="0029048A" w:rsidRPr="005C202F" w:rsidRDefault="0029048A" w:rsidP="00EB63AF">
            <w:pPr>
              <w:pStyle w:val="TableText"/>
              <w:jc w:val="center"/>
              <w:rPr>
                <w:strike/>
              </w:rPr>
            </w:pPr>
            <w:r w:rsidRPr="005C202F">
              <w:rPr>
                <w:strike/>
              </w:rPr>
              <w:t>Private Hospital/Community Access:</w:t>
            </w:r>
          </w:p>
          <w:p w:rsidR="0029048A" w:rsidRPr="005C202F" w:rsidRDefault="0029048A" w:rsidP="00EB63AF">
            <w:pPr>
              <w:pStyle w:val="TableText"/>
              <w:jc w:val="center"/>
              <w:rPr>
                <w:strike/>
              </w:rPr>
            </w:pPr>
            <w:r w:rsidRPr="005C202F">
              <w:rPr>
                <w:strike/>
              </w:rPr>
              <w:t>$</w:t>
            </w:r>
            <w:r w:rsidR="002704A1">
              <w:rPr>
                <w:strike/>
                <w:noProof/>
                <w:color w:val="000000"/>
                <w:highlight w:val="black"/>
              </w:rPr>
              <w:t>'''''''''''''''''''''</w:t>
            </w:r>
            <w:r w:rsidRPr="005C202F">
              <w:rPr>
                <w:strike/>
              </w:rPr>
              <w:t xml:space="preserve"> ($</w:t>
            </w:r>
            <w:r w:rsidR="002704A1">
              <w:rPr>
                <w:strike/>
                <w:noProof/>
                <w:color w:val="000000"/>
                <w:highlight w:val="black"/>
              </w:rPr>
              <w:t>'''''''''''''''''''</w:t>
            </w:r>
            <w:r w:rsidRPr="005C202F">
              <w:rPr>
                <w:strike/>
              </w:rPr>
              <w:t>)</w:t>
            </w:r>
          </w:p>
        </w:tc>
        <w:tc>
          <w:tcPr>
            <w:tcW w:w="1298" w:type="dxa"/>
            <w:vAlign w:val="center"/>
          </w:tcPr>
          <w:p w:rsidR="0029048A" w:rsidRPr="005C202F" w:rsidRDefault="0029048A" w:rsidP="00EB63AF">
            <w:pPr>
              <w:pStyle w:val="TableText"/>
              <w:rPr>
                <w:strike/>
              </w:rPr>
            </w:pPr>
            <w:r w:rsidRPr="005C202F">
              <w:rPr>
                <w:strike/>
              </w:rPr>
              <w:t>Spravato</w:t>
            </w:r>
            <w:r w:rsidRPr="005C202F">
              <w:rPr>
                <w:strike/>
                <w:vertAlign w:val="superscript"/>
              </w:rPr>
              <w:t>®</w:t>
            </w:r>
            <w:r w:rsidRPr="005C202F">
              <w:rPr>
                <w:strike/>
              </w:rPr>
              <w:t>, Janssen-Cilag Pty Ltd</w:t>
            </w:r>
          </w:p>
        </w:tc>
      </w:tr>
    </w:tbl>
    <w:p w:rsidR="00604BC1" w:rsidRPr="005C202F" w:rsidRDefault="00604BC1" w:rsidP="00604BC1">
      <w:pPr>
        <w:pStyle w:val="TableFigureCaption"/>
      </w:pPr>
    </w:p>
    <w:tbl>
      <w:tblPr>
        <w:tblpPr w:leftFromText="180" w:rightFromText="180" w:vertAnchor="text" w:tblpY="1"/>
        <w:tblOverlap w:val="never"/>
        <w:tblW w:w="5000" w:type="pct"/>
        <w:tblLook w:val="0000" w:firstRow="0" w:lastRow="0" w:firstColumn="0" w:lastColumn="0" w:noHBand="0" w:noVBand="0"/>
      </w:tblPr>
      <w:tblGrid>
        <w:gridCol w:w="2123"/>
        <w:gridCol w:w="6894"/>
      </w:tblGrid>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Category / Program:</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 xml:space="preserve">Section 100 – Highly Specialised Drugs Program </w:t>
            </w:r>
          </w:p>
          <w:p w:rsidR="00604BC1" w:rsidRPr="005C202F" w:rsidRDefault="00604BC1" w:rsidP="00EB63AF">
            <w:pPr>
              <w:pStyle w:val="TableText"/>
            </w:pPr>
            <w:r w:rsidRPr="005C202F">
              <w:t>PBS Esketamine nasal spray Program</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Prescriber type: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983D9B">
            <w:pPr>
              <w:pStyle w:val="TableText"/>
            </w:pPr>
            <w:r w:rsidRPr="005C202F">
              <w:t>Medical Practitioners</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Severity:</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Moderate to severe</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Condition: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Major depressive disorder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PBS Indication: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Treatment resistant depression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Treatment phase: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Initial treatment/induction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i/>
              </w:rPr>
            </w:pPr>
            <w:r w:rsidRPr="005C202F">
              <w:rPr>
                <w:b/>
              </w:rPr>
              <w:t>Restriction: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Authority Required – Telephone, Electronic</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Treatment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rPr>
            </w:pPr>
            <w:r w:rsidRPr="005C202F">
              <w:rPr>
                <w:rFonts w:cs="Arial"/>
              </w:rPr>
              <w:t>Psychiatrists or under the supervision of a psychiatrist</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Clinical criteria:</w:t>
            </w:r>
          </w:p>
          <w:p w:rsidR="00604BC1" w:rsidRPr="005C202F" w:rsidRDefault="00604BC1" w:rsidP="00EB63AF">
            <w:pPr>
              <w:pStyle w:val="TableText"/>
              <w:rPr>
                <w:i/>
              </w:rPr>
            </w:pP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rPr>
            </w:pPr>
            <w:r w:rsidRPr="005C202F">
              <w:rPr>
                <w:rFonts w:cs="Arial"/>
              </w:rPr>
              <w:t>Patient must have received and not achieved an adequate response to at least two different antidepressant medications at adequate doses and duration to treat the current moderate to severe depressive episode.</w:t>
            </w:r>
          </w:p>
          <w:p w:rsidR="00604BC1" w:rsidRPr="005C202F" w:rsidRDefault="00604BC1" w:rsidP="00EB63AF">
            <w:pPr>
              <w:pStyle w:val="TableText"/>
              <w:rPr>
                <w:rFonts w:cs="Arial"/>
              </w:rPr>
            </w:pPr>
            <w:r w:rsidRPr="005C202F">
              <w:rPr>
                <w:rFonts w:cs="Arial"/>
              </w:rPr>
              <w:t>AND</w:t>
            </w:r>
          </w:p>
          <w:p w:rsidR="00604BC1" w:rsidRPr="005C202F" w:rsidRDefault="00604BC1" w:rsidP="00EB63AF">
            <w:pPr>
              <w:pStyle w:val="TableText"/>
              <w:rPr>
                <w:rFonts w:cs="Arial"/>
              </w:rPr>
            </w:pPr>
            <w:r w:rsidRPr="005C202F">
              <w:rPr>
                <w:rFonts w:cs="Arial"/>
              </w:rPr>
              <w:t>Patient must have moderate to severe depression symptoms</w:t>
            </w:r>
          </w:p>
          <w:p w:rsidR="00604BC1" w:rsidRPr="005C202F" w:rsidRDefault="00604BC1" w:rsidP="00EB63AF">
            <w:pPr>
              <w:pStyle w:val="TableText"/>
              <w:rPr>
                <w:rFonts w:cs="Arial"/>
              </w:rPr>
            </w:pPr>
            <w:r w:rsidRPr="005C202F">
              <w:rPr>
                <w:rFonts w:cs="Arial"/>
              </w:rPr>
              <w:t>AND</w:t>
            </w:r>
          </w:p>
          <w:p w:rsidR="00604BC1" w:rsidRPr="005C202F" w:rsidRDefault="00604BC1" w:rsidP="00EB63AF">
            <w:pPr>
              <w:pStyle w:val="TableText"/>
              <w:rPr>
                <w:rFonts w:cs="Arial"/>
              </w:rPr>
            </w:pPr>
            <w:r w:rsidRPr="005C202F">
              <w:rPr>
                <w:rFonts w:cs="Arial"/>
              </w:rPr>
              <w:t>Treatment must be used in combination with a newly initiated oral antidepressant</w:t>
            </w:r>
          </w:p>
          <w:p w:rsidR="00604BC1" w:rsidRPr="005C202F" w:rsidRDefault="00604BC1" w:rsidP="00EB63AF">
            <w:pPr>
              <w:pStyle w:val="TableText"/>
              <w:rPr>
                <w:rFonts w:cs="Arial"/>
              </w:rPr>
            </w:pPr>
            <w:r w:rsidRPr="005C202F">
              <w:rPr>
                <w:rFonts w:cs="Arial"/>
              </w:rPr>
              <w:t>AND</w:t>
            </w:r>
          </w:p>
          <w:p w:rsidR="00604BC1" w:rsidRPr="005C202F" w:rsidRDefault="00604BC1" w:rsidP="00EB63AF">
            <w:pPr>
              <w:pStyle w:val="TableText"/>
              <w:rPr>
                <w:rFonts w:cs="Arial"/>
              </w:rPr>
            </w:pPr>
            <w:r w:rsidRPr="005C202F">
              <w:rPr>
                <w:rFonts w:cs="Arial"/>
              </w:rPr>
              <w:t>Patient must not receive more than 4 weeks of treatment under this restriction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Population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Patients must be aged 18 years or greater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Prescriber Instructions:</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Dosing frequency and dosage should be individualised to the lowest frequency and dosage to maintain remission/response</w:t>
            </w:r>
          </w:p>
          <w:p w:rsidR="00604BC1" w:rsidRPr="005C202F" w:rsidRDefault="00604BC1" w:rsidP="00EB63AF">
            <w:pPr>
              <w:pStyle w:val="TableText"/>
            </w:pPr>
            <w:r w:rsidRPr="005C202F">
              <w:t>The drug must be self-administered under the supervision of a healthcare professional.</w:t>
            </w:r>
          </w:p>
          <w:p w:rsidR="00604BC1" w:rsidRPr="005C202F" w:rsidRDefault="00604BC1" w:rsidP="00EB63AF">
            <w:pPr>
              <w:pStyle w:val="TableText"/>
            </w:pPr>
            <w:r w:rsidRPr="005C202F">
              <w:t>Patient must be monitored by a healthcare professional following administration in a healthcare facility</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Administrative Advice: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Care must be taken to comply with the provisions of the state/territory law for prescribing this drug</w:t>
            </w:r>
          </w:p>
        </w:tc>
      </w:tr>
    </w:tbl>
    <w:p w:rsidR="00604BC1" w:rsidRPr="005C202F" w:rsidRDefault="00604BC1" w:rsidP="00604BC1">
      <w:pPr>
        <w:pStyle w:val="TableFigureCaption"/>
      </w:pPr>
    </w:p>
    <w:tbl>
      <w:tblPr>
        <w:tblpPr w:leftFromText="180" w:rightFromText="180" w:vertAnchor="text" w:tblpY="1"/>
        <w:tblOverlap w:val="never"/>
        <w:tblW w:w="5000" w:type="pct"/>
        <w:tblLook w:val="0000" w:firstRow="0" w:lastRow="0" w:firstColumn="0" w:lastColumn="0" w:noHBand="0" w:noVBand="0"/>
      </w:tblPr>
      <w:tblGrid>
        <w:gridCol w:w="2123"/>
        <w:gridCol w:w="6894"/>
      </w:tblGrid>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Category / Program:</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 xml:space="preserve">Section 100 – Highly Specialised Drugs Program </w:t>
            </w:r>
          </w:p>
          <w:p w:rsidR="00604BC1" w:rsidRPr="005C202F" w:rsidRDefault="00604BC1" w:rsidP="00EB63AF">
            <w:pPr>
              <w:pStyle w:val="TableText"/>
            </w:pPr>
            <w:r w:rsidRPr="005C202F">
              <w:t>PBS esketamine nasal spray program</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Prescriber type: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Medical Practitioners</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Severity:</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Moderate to severe</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Condition: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Major depressive disorder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PBS Indication: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Treatment resistant depression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Treatment phase: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Continuing treatment</w:t>
            </w:r>
            <w:r w:rsidRPr="005C202F">
              <w:rPr>
                <w:strike/>
              </w:rPr>
              <w:t>/maintenance period 1</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i/>
              </w:rPr>
            </w:pPr>
            <w:r w:rsidRPr="005C202F">
              <w:rPr>
                <w:b/>
              </w:rPr>
              <w:t>Restriction: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Authority Required – Telephone, Electronic</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Treatment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rPr>
            </w:pPr>
            <w:r w:rsidRPr="005C202F">
              <w:rPr>
                <w:rFonts w:cs="Arial"/>
              </w:rPr>
              <w:t>Psychiatrists or under the supervision of a psychiatrist</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Clinical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rPr>
            </w:pPr>
            <w:r w:rsidRPr="005C202F">
              <w:rPr>
                <w:rFonts w:cs="Arial"/>
              </w:rPr>
              <w:t>Patient must have previously received PBS-subsidised treatment with this drug for this condition</w:t>
            </w:r>
          </w:p>
          <w:p w:rsidR="00604BC1" w:rsidRPr="005C202F" w:rsidRDefault="00604BC1" w:rsidP="00EB63AF">
            <w:pPr>
              <w:pStyle w:val="TableText"/>
              <w:rPr>
                <w:rFonts w:cs="Arial"/>
              </w:rPr>
            </w:pPr>
            <w:r w:rsidRPr="005C202F">
              <w:rPr>
                <w:rFonts w:cs="Arial"/>
              </w:rPr>
              <w:t>AND</w:t>
            </w:r>
          </w:p>
          <w:p w:rsidR="00604BC1" w:rsidRPr="005C202F" w:rsidRDefault="00604BC1" w:rsidP="00EB63AF">
            <w:pPr>
              <w:pStyle w:val="TableText"/>
              <w:rPr>
                <w:rFonts w:cs="Arial"/>
              </w:rPr>
            </w:pPr>
            <w:r w:rsidRPr="005C202F">
              <w:rPr>
                <w:rFonts w:cs="Arial"/>
              </w:rPr>
              <w:t>Patient must have responded adequately</w:t>
            </w:r>
            <w:r w:rsidR="009F436A" w:rsidRPr="005C202F">
              <w:rPr>
                <w:rFonts w:cs="Arial"/>
              </w:rPr>
              <w:t xml:space="preserve"> </w:t>
            </w:r>
            <w:r w:rsidR="009F436A" w:rsidRPr="005C202F">
              <w:rPr>
                <w:rFonts w:cs="Arial"/>
                <w:i/>
              </w:rPr>
              <w:t>during the initial treatment phase</w:t>
            </w:r>
            <w:r w:rsidRPr="005C202F">
              <w:rPr>
                <w:rFonts w:cs="Arial"/>
              </w:rPr>
              <w:t xml:space="preserve"> </w:t>
            </w:r>
            <w:r w:rsidRPr="005C202F">
              <w:rPr>
                <w:rFonts w:cs="Arial"/>
                <w:strike/>
              </w:rPr>
              <w:t>to the treatment by week 4 for continuing</w:t>
            </w:r>
            <w:r w:rsidRPr="005C202F">
              <w:rPr>
                <w:rFonts w:cs="Arial"/>
              </w:rPr>
              <w:t xml:space="preserve"> treatment</w:t>
            </w:r>
          </w:p>
          <w:p w:rsidR="00604BC1" w:rsidRPr="005C202F" w:rsidRDefault="00604BC1" w:rsidP="00EB63AF">
            <w:pPr>
              <w:pStyle w:val="TableText"/>
              <w:rPr>
                <w:rFonts w:cs="Arial"/>
              </w:rPr>
            </w:pPr>
            <w:r w:rsidRPr="005C202F">
              <w:rPr>
                <w:rFonts w:cs="Arial"/>
              </w:rPr>
              <w:t>AND</w:t>
            </w:r>
          </w:p>
          <w:p w:rsidR="00604BC1" w:rsidRPr="005C202F" w:rsidRDefault="00604BC1" w:rsidP="00EB63AF">
            <w:pPr>
              <w:pStyle w:val="TableText"/>
              <w:rPr>
                <w:rFonts w:cs="Arial"/>
              </w:rPr>
            </w:pPr>
            <w:r w:rsidRPr="005C202F">
              <w:rPr>
                <w:rFonts w:cs="Arial"/>
              </w:rPr>
              <w:t>Patient must not receive more than 4 weeks of treatment under this restriction.</w:t>
            </w:r>
          </w:p>
          <w:p w:rsidR="009F436A" w:rsidRPr="005C202F" w:rsidRDefault="009F436A" w:rsidP="00EB63AF">
            <w:pPr>
              <w:pStyle w:val="TableText"/>
              <w:rPr>
                <w:i/>
              </w:rPr>
            </w:pPr>
            <w:r w:rsidRPr="005C202F">
              <w:rPr>
                <w:i/>
              </w:rPr>
              <w:t>AND</w:t>
            </w:r>
          </w:p>
          <w:p w:rsidR="009F436A" w:rsidRPr="005C202F" w:rsidRDefault="009F436A" w:rsidP="00EB63AF">
            <w:pPr>
              <w:pStyle w:val="TableText"/>
              <w:rPr>
                <w:rFonts w:cs="Arial"/>
                <w:i/>
              </w:rPr>
            </w:pPr>
            <w:r w:rsidRPr="005C202F">
              <w:rPr>
                <w:i/>
              </w:rPr>
              <w:t>Patient must not have relapsed while receiving treatment with this drug for this condition during subsequent treatment cycles.</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Population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Patients must be aged 18 years or greater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Prescriber Instructions:</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Dosing frequency and dosage should be individualised to the lowest frequency and dosage to maintain remission/response</w:t>
            </w:r>
          </w:p>
          <w:p w:rsidR="00604BC1" w:rsidRPr="005C202F" w:rsidRDefault="00604BC1" w:rsidP="00EB63AF">
            <w:pPr>
              <w:pStyle w:val="TableText"/>
            </w:pPr>
            <w:r w:rsidRPr="005C202F">
              <w:t>The drug must be self-administered under the supervision of a healthcare professional.</w:t>
            </w:r>
          </w:p>
          <w:p w:rsidR="00604BC1" w:rsidRPr="005C202F" w:rsidRDefault="00604BC1" w:rsidP="00EB63AF">
            <w:pPr>
              <w:pStyle w:val="TableText"/>
            </w:pPr>
            <w:r w:rsidRPr="005C202F">
              <w:t>Patient must be monitored by a healthcare professional following administration in a healthcare facility</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rPr>
            </w:pPr>
            <w:r w:rsidRPr="005C202F">
              <w:rPr>
                <w:b/>
              </w:rPr>
              <w:t>Administrative Advice: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pPr>
            <w:r w:rsidRPr="005C202F">
              <w:t>Care must be taken to comply with the provisions of the state/territory law for prescribing this drug</w:t>
            </w:r>
          </w:p>
        </w:tc>
      </w:tr>
    </w:tbl>
    <w:p w:rsidR="00604BC1" w:rsidRPr="005C202F" w:rsidRDefault="00604BC1" w:rsidP="00604BC1">
      <w:pPr>
        <w:pStyle w:val="TableFigureCaption"/>
      </w:pPr>
    </w:p>
    <w:tbl>
      <w:tblPr>
        <w:tblpPr w:leftFromText="180" w:rightFromText="180" w:vertAnchor="text" w:tblpY="1"/>
        <w:tblOverlap w:val="never"/>
        <w:tblW w:w="5000" w:type="pct"/>
        <w:tblLook w:val="0000" w:firstRow="0" w:lastRow="0" w:firstColumn="0" w:lastColumn="0" w:noHBand="0" w:noVBand="0"/>
      </w:tblPr>
      <w:tblGrid>
        <w:gridCol w:w="2123"/>
        <w:gridCol w:w="6894"/>
      </w:tblGrid>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Category / Program:</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 xml:space="preserve">Section 100 – Highly Specialised Drugs Program </w:t>
            </w:r>
          </w:p>
          <w:p w:rsidR="00604BC1" w:rsidRPr="005C202F" w:rsidRDefault="00604BC1" w:rsidP="00EB63AF">
            <w:pPr>
              <w:pStyle w:val="TableText"/>
              <w:rPr>
                <w:strike/>
              </w:rPr>
            </w:pPr>
            <w:r w:rsidRPr="005C202F">
              <w:rPr>
                <w:strike/>
              </w:rPr>
              <w:t>PBS esketamine nasal spray program</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Prescriber type: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983D9B">
            <w:pPr>
              <w:pStyle w:val="TableText"/>
              <w:rPr>
                <w:strike/>
              </w:rPr>
            </w:pPr>
            <w:r w:rsidRPr="005C202F">
              <w:rPr>
                <w:strike/>
              </w:rPr>
              <w:t>Medical Practitioners</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Severity:</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Moderate to severe</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Condition: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Major depressive disorder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PBS Indication: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Treatment resistant depression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Treatment phase: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Continuing treatment/maintenance period 2</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i/>
                <w:strike/>
              </w:rPr>
            </w:pPr>
            <w:r w:rsidRPr="005C202F">
              <w:rPr>
                <w:b/>
                <w:strike/>
              </w:rPr>
              <w:t>Restriction:</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Authority Required – Telephone, Electroni</w:t>
            </w:r>
            <w:r w:rsidR="00983D9B" w:rsidRPr="005C202F">
              <w:rPr>
                <w:strike/>
              </w:rPr>
              <w:t>c</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Treatment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strike/>
              </w:rPr>
            </w:pPr>
            <w:r w:rsidRPr="005C202F">
              <w:rPr>
                <w:rFonts w:cs="Arial"/>
                <w:strike/>
              </w:rPr>
              <w:t>Psychiatrists or under the supervision of a psychiatrist</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Clinical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rFonts w:cs="Arial"/>
                <w:strike/>
              </w:rPr>
            </w:pPr>
            <w:r w:rsidRPr="005C202F">
              <w:rPr>
                <w:rFonts w:cs="Arial"/>
                <w:strike/>
              </w:rPr>
              <w:t>Patient must have previously received PBS-subsidised treatment with this drug for this condition</w:t>
            </w:r>
          </w:p>
          <w:p w:rsidR="00604BC1" w:rsidRPr="005C202F" w:rsidRDefault="00604BC1" w:rsidP="00EB63AF">
            <w:pPr>
              <w:pStyle w:val="TableText"/>
              <w:rPr>
                <w:rFonts w:cs="Arial"/>
                <w:strike/>
              </w:rPr>
            </w:pPr>
            <w:r w:rsidRPr="005C202F">
              <w:rPr>
                <w:rFonts w:cs="Arial"/>
                <w:strike/>
              </w:rPr>
              <w:t>AND</w:t>
            </w:r>
          </w:p>
          <w:p w:rsidR="00604BC1" w:rsidRPr="005C202F" w:rsidRDefault="00604BC1" w:rsidP="00EB63AF">
            <w:pPr>
              <w:pStyle w:val="TableText"/>
              <w:rPr>
                <w:rFonts w:cs="Arial"/>
                <w:strike/>
              </w:rPr>
            </w:pPr>
            <w:r w:rsidRPr="005C202F">
              <w:rPr>
                <w:rFonts w:cs="Arial"/>
                <w:strike/>
              </w:rPr>
              <w:t>Patient must not have relapsed while receiving treatment with this drug for this condition</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Population criteria:</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Patients must be aged 18 years or greater</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Prescriber Instructions:</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Dosing frequency and dosage should be individualised to the lowest frequency and dosage to maintain remission/response</w:t>
            </w:r>
          </w:p>
          <w:p w:rsidR="00604BC1" w:rsidRPr="005C202F" w:rsidRDefault="00604BC1" w:rsidP="00EB63AF">
            <w:pPr>
              <w:pStyle w:val="TableText"/>
              <w:rPr>
                <w:strike/>
              </w:rPr>
            </w:pPr>
            <w:r w:rsidRPr="005C202F">
              <w:rPr>
                <w:strike/>
              </w:rPr>
              <w:t>The drug must be self-administered under the supervision of a healthcare professional.</w:t>
            </w:r>
          </w:p>
          <w:p w:rsidR="00604BC1" w:rsidRPr="005C202F" w:rsidRDefault="00604BC1" w:rsidP="00EB63AF">
            <w:pPr>
              <w:pStyle w:val="TableText"/>
              <w:rPr>
                <w:strike/>
              </w:rPr>
            </w:pPr>
            <w:r w:rsidRPr="005C202F">
              <w:rPr>
                <w:strike/>
              </w:rPr>
              <w:t>Patient must be monitored by a healthcare professional following administration in a healthcare facility</w:t>
            </w:r>
          </w:p>
        </w:tc>
      </w:tr>
      <w:tr w:rsidR="00604BC1" w:rsidRPr="005C202F" w:rsidTr="0096682A">
        <w:trPr>
          <w:cantSplit/>
        </w:trPr>
        <w:tc>
          <w:tcPr>
            <w:tcW w:w="1177"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b/>
                <w:strike/>
              </w:rPr>
            </w:pPr>
            <w:r w:rsidRPr="005C202F">
              <w:rPr>
                <w:b/>
                <w:strike/>
              </w:rPr>
              <w:t>Administrative Advice:</w:t>
            </w:r>
          </w:p>
        </w:tc>
        <w:tc>
          <w:tcPr>
            <w:tcW w:w="3823" w:type="pct"/>
            <w:tcBorders>
              <w:top w:val="single" w:sz="4" w:space="0" w:color="auto"/>
              <w:left w:val="single" w:sz="4" w:space="0" w:color="auto"/>
              <w:bottom w:val="single" w:sz="4" w:space="0" w:color="auto"/>
              <w:right w:val="single" w:sz="4" w:space="0" w:color="auto"/>
            </w:tcBorders>
          </w:tcPr>
          <w:p w:rsidR="00604BC1" w:rsidRPr="005C202F" w:rsidRDefault="00604BC1" w:rsidP="00EB63AF">
            <w:pPr>
              <w:pStyle w:val="TableText"/>
              <w:rPr>
                <w:strike/>
              </w:rPr>
            </w:pPr>
            <w:r w:rsidRPr="005C202F">
              <w:rPr>
                <w:strike/>
              </w:rPr>
              <w:t>Care must be taken to comply with the provisions of the state/territory law for prescribing this drug</w:t>
            </w:r>
          </w:p>
        </w:tc>
      </w:tr>
    </w:tbl>
    <w:p w:rsidR="0029048A" w:rsidRPr="005C202F" w:rsidRDefault="0029048A" w:rsidP="001E1E86">
      <w:pPr>
        <w:pStyle w:val="ExecSumBodyText"/>
        <w:numPr>
          <w:ilvl w:val="0"/>
          <w:numId w:val="0"/>
        </w:numPr>
        <w:rPr>
          <w:color w:val="0066FF"/>
        </w:rPr>
      </w:pPr>
    </w:p>
    <w:p w:rsidR="007848F1" w:rsidRPr="005C202F" w:rsidRDefault="007848F1" w:rsidP="004E18E9">
      <w:pPr>
        <w:pStyle w:val="ExecSumBodyText"/>
      </w:pPr>
      <w:r w:rsidRPr="005C202F">
        <w:t xml:space="preserve">The submission proposed </w:t>
      </w:r>
      <w:r w:rsidR="0059535E" w:rsidRPr="005C202F">
        <w:t xml:space="preserve">an effective and published price for esketamine nasal spray with </w:t>
      </w:r>
      <w:r w:rsidRPr="005C202F">
        <w:t xml:space="preserve">a special pricing arrangement. </w:t>
      </w:r>
    </w:p>
    <w:p w:rsidR="00983D9B" w:rsidRPr="005C202F" w:rsidRDefault="00983D9B" w:rsidP="00AB2159">
      <w:pPr>
        <w:pStyle w:val="ExecSumBodyText"/>
      </w:pPr>
      <w:r w:rsidRPr="005C202F">
        <w:t>The sponsor requested that esketamine nasal spray be administered via a special Section 100 program, similar to the program</w:t>
      </w:r>
      <w:r w:rsidR="008661C6">
        <w:t xml:space="preserve"> implemented</w:t>
      </w:r>
      <w:r w:rsidRPr="005C202F">
        <w:t xml:space="preserve"> for </w:t>
      </w:r>
      <w:r w:rsidR="008661C6">
        <w:t xml:space="preserve">botulinum toxin medicines </w:t>
      </w:r>
      <w:r w:rsidRPr="005C202F">
        <w:t>(Section 100 Botulinum Toxin Program).</w:t>
      </w:r>
      <w:r w:rsidRPr="005C202F" w:rsidDel="00035C36">
        <w:t xml:space="preserve"> </w:t>
      </w:r>
      <w:r w:rsidRPr="005C202F">
        <w:t>The special program would be implemented to manage the administration requirements for esketamine nasal spray, including the need for supervised dosing and post-administration monitoring, and to limit the number of co-payments that a patient would be required to pay to one in any given monthly period.</w:t>
      </w:r>
      <w:r w:rsidR="009A2F4F" w:rsidRPr="005C202F">
        <w:t xml:space="preserve"> It is unclear how the establishment of a new Section 100 program would facilitate the supervised dosing and post-administration monitoring requirements of esketamin</w:t>
      </w:r>
      <w:r w:rsidR="00C66A37" w:rsidRPr="005C202F">
        <w:t>e</w:t>
      </w:r>
      <w:r w:rsidR="008661C6">
        <w:t xml:space="preserve"> or how it would address the number of co-payments a patient would pay per month</w:t>
      </w:r>
      <w:r w:rsidR="009A2F4F" w:rsidRPr="005C202F">
        <w:t xml:space="preserve">. </w:t>
      </w:r>
    </w:p>
    <w:p w:rsidR="00074D1A" w:rsidRPr="005C202F" w:rsidRDefault="00074D1A" w:rsidP="00074D1A">
      <w:pPr>
        <w:pStyle w:val="ExecSumBodyText"/>
      </w:pPr>
      <w:r w:rsidRPr="005C202F">
        <w:t>The dispensing and storage of esketamine nasal spray will be subject to a number of requirements, including:</w:t>
      </w:r>
    </w:p>
    <w:p w:rsidR="00074D1A" w:rsidRPr="005C202F" w:rsidRDefault="00074D1A" w:rsidP="00515AFF">
      <w:pPr>
        <w:pStyle w:val="ExecSumBodyText"/>
        <w:numPr>
          <w:ilvl w:val="1"/>
          <w:numId w:val="8"/>
        </w:numPr>
        <w:ind w:left="1060" w:hanging="340"/>
        <w:contextualSpacing/>
      </w:pPr>
      <w:r w:rsidRPr="005C202F">
        <w:t>Patients are not permitted to handle the drug until ready for administration in the clinic</w:t>
      </w:r>
      <w:r w:rsidR="00983D9B" w:rsidRPr="005C202F">
        <w:t>.</w:t>
      </w:r>
    </w:p>
    <w:p w:rsidR="00074D1A" w:rsidRPr="005C202F" w:rsidRDefault="00074D1A" w:rsidP="00515AFF">
      <w:pPr>
        <w:pStyle w:val="ExecSumBodyText"/>
        <w:numPr>
          <w:ilvl w:val="1"/>
          <w:numId w:val="8"/>
        </w:numPr>
        <w:ind w:left="1060" w:hanging="340"/>
        <w:contextualSpacing/>
      </w:pPr>
      <w:r w:rsidRPr="005C202F">
        <w:t xml:space="preserve">Administration of esketamine nasal spray must be under the supervision of a healthcare professional on a bi-weekly, weekly, or fortnightly basis, patient dependent. The sponsor stated that in order to avoid disadvantaging any patient, the eventual arrangement for the delivery of esketamine nasal spray should not result in more than one monthly PBS co-payment, should include timely script delivery, and avoid patients having to pay additional consultation fees to see a physician and/or nurse for each administration. </w:t>
      </w:r>
      <w:r w:rsidR="003A192F" w:rsidRPr="005C202F">
        <w:rPr>
          <w:iCs/>
        </w:rPr>
        <w:t xml:space="preserve">The treatment model which would </w:t>
      </w:r>
      <w:r w:rsidR="005C202F" w:rsidRPr="005C202F">
        <w:rPr>
          <w:iCs/>
        </w:rPr>
        <w:t>allow these</w:t>
      </w:r>
      <w:r w:rsidRPr="005C202F">
        <w:rPr>
          <w:iCs/>
        </w:rPr>
        <w:t xml:space="preserve"> requirements </w:t>
      </w:r>
      <w:r w:rsidR="003A192F" w:rsidRPr="005C202F">
        <w:rPr>
          <w:iCs/>
        </w:rPr>
        <w:t xml:space="preserve">to </w:t>
      </w:r>
      <w:r w:rsidRPr="005C202F">
        <w:rPr>
          <w:iCs/>
        </w:rPr>
        <w:t>be met in Australian clinical practice</w:t>
      </w:r>
      <w:r w:rsidR="003A192F" w:rsidRPr="005C202F">
        <w:rPr>
          <w:iCs/>
        </w:rPr>
        <w:t xml:space="preserve"> was unclear in the submission</w:t>
      </w:r>
      <w:r w:rsidRPr="005C202F">
        <w:rPr>
          <w:iCs/>
        </w:rPr>
        <w:t xml:space="preserve">. </w:t>
      </w:r>
      <w:r w:rsidR="007E0E84" w:rsidRPr="005C202F">
        <w:rPr>
          <w:iCs/>
        </w:rPr>
        <w:t xml:space="preserve">The submission stated that </w:t>
      </w:r>
      <w:r w:rsidR="003A192F" w:rsidRPr="005C202F">
        <w:rPr>
          <w:iCs/>
        </w:rPr>
        <w:t xml:space="preserve">the use of esketamine nasal spray </w:t>
      </w:r>
      <w:r w:rsidR="007E0E84" w:rsidRPr="005C202F">
        <w:rPr>
          <w:iCs/>
        </w:rPr>
        <w:t>will most likely occur in private psychiatry practices, but it is unclear whether private psychiatry practices will have the staffing and infrastructure available to support the administration and monitoring requirements, and what the potential costs to patients would be</w:t>
      </w:r>
      <w:r w:rsidR="007E0E84" w:rsidRPr="005C202F">
        <w:t>.</w:t>
      </w:r>
    </w:p>
    <w:p w:rsidR="00074D1A" w:rsidRPr="005C202F" w:rsidRDefault="00074D1A" w:rsidP="00515AFF">
      <w:pPr>
        <w:pStyle w:val="ExecSumBodyText"/>
        <w:numPr>
          <w:ilvl w:val="1"/>
          <w:numId w:val="8"/>
        </w:numPr>
        <w:ind w:left="1060" w:hanging="340"/>
      </w:pPr>
      <w:r w:rsidRPr="005C202F">
        <w:t>Schedule 8 drug administration and State/Territory requirements to be fulfilled</w:t>
      </w:r>
      <w:r w:rsidR="00983D9B" w:rsidRPr="005C202F">
        <w:t>.</w:t>
      </w:r>
    </w:p>
    <w:p w:rsidR="000450DA" w:rsidRPr="005C202F" w:rsidRDefault="000450DA" w:rsidP="000450DA">
      <w:pPr>
        <w:pStyle w:val="ExecSumBodyText"/>
      </w:pPr>
      <w:r w:rsidRPr="005C202F">
        <w:t xml:space="preserve">The </w:t>
      </w:r>
      <w:r w:rsidR="00186F0C">
        <w:t>Pre-Sub-Committee Response (</w:t>
      </w:r>
      <w:r w:rsidRPr="005C202F">
        <w:t>PSCR</w:t>
      </w:r>
      <w:r w:rsidR="00186F0C">
        <w:t>)</w:t>
      </w:r>
      <w:r w:rsidRPr="005C202F">
        <w:t xml:space="preserve"> stated the sponsor is cur</w:t>
      </w:r>
      <w:r w:rsidR="00AE563E" w:rsidRPr="005C202F">
        <w:t xml:space="preserve">rently working with treatment </w:t>
      </w:r>
      <w:r w:rsidRPr="005C202F">
        <w:t xml:space="preserve">sites (private and public psychiatry clinics and hospitals) to ensure that health care professionals (HCPs) (psychiatrists, nurses and other staff) are trained and the required facilities are in place for </w:t>
      </w:r>
      <w:r w:rsidR="00AE563E" w:rsidRPr="005C202F">
        <w:t xml:space="preserve">the </w:t>
      </w:r>
      <w:r w:rsidRPr="005C202F">
        <w:t xml:space="preserve">safe use of esketamine, in accordance with the </w:t>
      </w:r>
      <w:r w:rsidR="002F447C" w:rsidRPr="005C202F">
        <w:t>product information (</w:t>
      </w:r>
      <w:r w:rsidRPr="005C202F">
        <w:t>PI</w:t>
      </w:r>
      <w:r w:rsidR="002F447C" w:rsidRPr="005C202F">
        <w:t>)</w:t>
      </w:r>
      <w:r w:rsidRPr="005C202F">
        <w:t xml:space="preserve"> and as required by the TGA Risk-Management Plan. The PSCR stated that following prescription by a psychiatrist (or a medical practitioner in consultation with a psychiatrist) at the treatment site, the prescription is delivered to a nominated (onsite) pharmacy. The dispensed drug is then securely delivered to and stored in a S8 medication safe at the treatment site. </w:t>
      </w:r>
      <w:r w:rsidR="00AE563E" w:rsidRPr="005C202F">
        <w:t>U</w:t>
      </w:r>
      <w:r w:rsidRPr="005C202F">
        <w:t xml:space="preserve">pon presentation at the treatment site </w:t>
      </w:r>
      <w:r w:rsidR="00AE563E" w:rsidRPr="005C202F">
        <w:t xml:space="preserve">patients </w:t>
      </w:r>
      <w:r w:rsidRPr="005C202F">
        <w:t xml:space="preserve">have a pre-administration check by the onsite psychiatrist. Next, the patient self-administers the drug and remains in the room for monitoring in accordance with the PI, all completed under the supervision of an HCP who in most instances </w:t>
      </w:r>
      <w:r w:rsidR="00D83931" w:rsidRPr="005C202F">
        <w:t xml:space="preserve">will be </w:t>
      </w:r>
      <w:r w:rsidRPr="005C202F">
        <w:t xml:space="preserve">a mental health nurse. The patient is then assessed for release, which includes </w:t>
      </w:r>
      <w:r w:rsidR="007A231A" w:rsidRPr="005C202F">
        <w:t xml:space="preserve">the </w:t>
      </w:r>
      <w:r w:rsidRPr="005C202F">
        <w:t xml:space="preserve">patient having organised transport </w:t>
      </w:r>
      <w:r w:rsidR="00C74AAF" w:rsidRPr="005C202F">
        <w:t>as the</w:t>
      </w:r>
      <w:r w:rsidR="003A192F" w:rsidRPr="005C202F">
        <w:t>y</w:t>
      </w:r>
      <w:r w:rsidR="00C74AAF" w:rsidRPr="005C202F">
        <w:t xml:space="preserve"> </w:t>
      </w:r>
      <w:r w:rsidRPr="005C202F">
        <w:t xml:space="preserve">cannot drive until after an overnight restful sleep. </w:t>
      </w:r>
    </w:p>
    <w:p w:rsidR="00074D1A" w:rsidRPr="005C202F" w:rsidRDefault="00074D1A" w:rsidP="002F6A0F">
      <w:pPr>
        <w:pStyle w:val="ExecSumBodyText"/>
        <w:rPr>
          <w:i/>
          <w:iCs/>
        </w:rPr>
      </w:pPr>
      <w:r w:rsidRPr="005C202F">
        <w:t xml:space="preserve">Treatment with esketamine nasal spray is to be initiated in conjunction with a new </w:t>
      </w:r>
      <w:r w:rsidR="00AE563E" w:rsidRPr="005C202F">
        <w:t>OAD</w:t>
      </w:r>
      <w:r w:rsidRPr="005C202F">
        <w:t xml:space="preserve">. The proposed restriction does not specify </w:t>
      </w:r>
      <w:r w:rsidR="001E3166" w:rsidRPr="005C202F">
        <w:t xml:space="preserve">which </w:t>
      </w:r>
      <w:r w:rsidRPr="005C202F">
        <w:t>oral agents</w:t>
      </w:r>
      <w:r w:rsidR="001E3166" w:rsidRPr="005C202F">
        <w:t xml:space="preserve"> should be initiated alongside esketamine nasal spray</w:t>
      </w:r>
      <w:r w:rsidRPr="005C202F">
        <w:t xml:space="preserve">. </w:t>
      </w:r>
      <w:r w:rsidRPr="005C202F">
        <w:rPr>
          <w:iCs/>
        </w:rPr>
        <w:t xml:space="preserve">Only four oral antidepressants were allowed in the induction clinical trials, two of which were </w:t>
      </w:r>
      <w:r w:rsidR="00AE563E" w:rsidRPr="005C202F">
        <w:rPr>
          <w:iCs/>
        </w:rPr>
        <w:t>selective serotonin reuptake inhibitors (</w:t>
      </w:r>
      <w:r w:rsidRPr="005C202F">
        <w:rPr>
          <w:iCs/>
        </w:rPr>
        <w:t>SSRIs</w:t>
      </w:r>
      <w:r w:rsidR="00AE563E" w:rsidRPr="005C202F">
        <w:rPr>
          <w:iCs/>
        </w:rPr>
        <w:t>)</w:t>
      </w:r>
      <w:r w:rsidRPr="005C202F">
        <w:rPr>
          <w:iCs/>
        </w:rPr>
        <w:t xml:space="preserve"> and two of which were </w:t>
      </w:r>
      <w:r w:rsidR="00AE563E" w:rsidRPr="005C202F">
        <w:rPr>
          <w:iCs/>
        </w:rPr>
        <w:t>serotonin and norepinephrine reuptake inhibitors (</w:t>
      </w:r>
      <w:r w:rsidRPr="005C202F">
        <w:rPr>
          <w:iCs/>
        </w:rPr>
        <w:t>SNRIs</w:t>
      </w:r>
      <w:r w:rsidR="00AE563E" w:rsidRPr="005C202F">
        <w:rPr>
          <w:iCs/>
        </w:rPr>
        <w:t>)</w:t>
      </w:r>
      <w:r w:rsidRPr="005C202F">
        <w:rPr>
          <w:iCs/>
        </w:rPr>
        <w:t xml:space="preserve">. The impact of allowing any </w:t>
      </w:r>
      <w:r w:rsidR="00AE563E" w:rsidRPr="005C202F">
        <w:rPr>
          <w:iCs/>
        </w:rPr>
        <w:t>OAD</w:t>
      </w:r>
      <w:r w:rsidRPr="005C202F">
        <w:rPr>
          <w:iCs/>
        </w:rPr>
        <w:t>, especially those with different mechanisms of action, is unclear. In other jurisdictions, including the EMA and Canada, esketamine is approved for use only in conjunction with SSRIs and SNRIs.</w:t>
      </w:r>
      <w:r w:rsidR="00D673B9" w:rsidRPr="005C202F">
        <w:rPr>
          <w:iCs/>
        </w:rPr>
        <w:t xml:space="preserve"> The PSCR</w:t>
      </w:r>
      <w:r w:rsidR="00186F0C">
        <w:rPr>
          <w:iCs/>
        </w:rPr>
        <w:t xml:space="preserve"> </w:t>
      </w:r>
      <w:r w:rsidR="00D673B9" w:rsidRPr="005C202F">
        <w:rPr>
          <w:iCs/>
        </w:rPr>
        <w:t xml:space="preserve">noted the sponsor was amenable to restricting the newly initiated </w:t>
      </w:r>
      <w:r w:rsidR="00395830" w:rsidRPr="005C202F">
        <w:rPr>
          <w:iCs/>
        </w:rPr>
        <w:t>OAD</w:t>
      </w:r>
      <w:r w:rsidR="00D673B9" w:rsidRPr="005C202F">
        <w:rPr>
          <w:iCs/>
        </w:rPr>
        <w:t xml:space="preserve"> alongside esketamine to the SSRI</w:t>
      </w:r>
      <w:r w:rsidR="000700F5" w:rsidRPr="005C202F">
        <w:rPr>
          <w:iCs/>
        </w:rPr>
        <w:t xml:space="preserve"> and </w:t>
      </w:r>
      <w:r w:rsidR="00D673B9" w:rsidRPr="005C202F">
        <w:rPr>
          <w:iCs/>
        </w:rPr>
        <w:t>SNRI classes.</w:t>
      </w:r>
      <w:r w:rsidR="002F6A0F" w:rsidRPr="005C202F">
        <w:rPr>
          <w:iCs/>
        </w:rPr>
        <w:t xml:space="preserve"> The ESC</w:t>
      </w:r>
      <w:r w:rsidR="002F447C" w:rsidRPr="005C202F">
        <w:rPr>
          <w:iCs/>
        </w:rPr>
        <w:t xml:space="preserve"> considered</w:t>
      </w:r>
      <w:r w:rsidR="002F6A0F" w:rsidRPr="005C202F">
        <w:rPr>
          <w:iCs/>
        </w:rPr>
        <w:t xml:space="preserve"> that, while it was consistent with the TGA indication and the presented clinical evidence for esketamine, initiation of two new medicines for TRD at the same time (i.e., esketamine and a newly initiated OAD) was inconsistent with good clinical practice.</w:t>
      </w:r>
      <w:r w:rsidR="002F6A0F" w:rsidRPr="005C202F">
        <w:rPr>
          <w:i/>
          <w:iCs/>
        </w:rPr>
        <w:t xml:space="preserve"> </w:t>
      </w:r>
      <w:r w:rsidR="001E7439" w:rsidRPr="005C202F">
        <w:t>The Pre-PBAC Response stated the proposed restriction does not specify the exact timing of initiating a new OAD</w:t>
      </w:r>
      <w:r w:rsidR="00320552" w:rsidRPr="005C202F">
        <w:t xml:space="preserve"> and that each could be initiated separately to assess tolerability while being unlikely to impact the efficacy of esketamine as observed in the clinical trials.</w:t>
      </w:r>
    </w:p>
    <w:p w:rsidR="00074D1A" w:rsidRPr="005C202F" w:rsidRDefault="00074D1A" w:rsidP="00884704">
      <w:pPr>
        <w:pStyle w:val="ExecSumBodyText"/>
      </w:pPr>
      <w:r w:rsidRPr="005C202F">
        <w:t xml:space="preserve">The restriction is based on a </w:t>
      </w:r>
      <w:r w:rsidR="00F840B5" w:rsidRPr="005C202F">
        <w:t>TRD definition of</w:t>
      </w:r>
      <w:r w:rsidRPr="005C202F">
        <w:t xml:space="preserve"> inadequate response to at least 2 antidepressants (inadequate response not defined). </w:t>
      </w:r>
      <w:r w:rsidRPr="005C202F">
        <w:rPr>
          <w:iCs/>
        </w:rPr>
        <w:t>The definition of TRD may vary, and increasingly clinicians may be relying less upon pharmacological criteria to define TRD. The definition is also complicated by the lack of consensus in describing acute antidepressant responses, and what determines a treatment failure (i.e. inadequate dose or duration of pharmacotherapy, or nonadherence to treatment).</w:t>
      </w:r>
      <w:r w:rsidRPr="005C202F">
        <w:rPr>
          <w:i/>
          <w:iCs/>
        </w:rPr>
        <w:t xml:space="preserve"> </w:t>
      </w:r>
    </w:p>
    <w:p w:rsidR="00074D1A" w:rsidRPr="005C202F" w:rsidRDefault="00074D1A" w:rsidP="00884704">
      <w:pPr>
        <w:pStyle w:val="ExecSumBodyText"/>
      </w:pPr>
      <w:r w:rsidRPr="005C202F">
        <w:t xml:space="preserve">The proposed restriction is generally consistent with the eligibility criteria of the key trials. </w:t>
      </w:r>
      <w:r w:rsidRPr="005C202F">
        <w:rPr>
          <w:iCs/>
        </w:rPr>
        <w:t>However, the included trials excluded patients with comorbid conditions, particularly psychotic disorders, due to potential safety concerns. These patients would be eligible for treatment under the proposed restriction. The benefits and harms of treatment with esketamine nasal spray in populations with psychotic disorders are unknown</w:t>
      </w:r>
      <w:r w:rsidRPr="005C202F">
        <w:t>.</w:t>
      </w:r>
      <w:r w:rsidR="00D673B9" w:rsidRPr="005C202F">
        <w:t xml:space="preserve"> The PSCR noted the sponsor was amenable to including a caution or note regarding use in patients with a presence o</w:t>
      </w:r>
      <w:r w:rsidR="000450DA" w:rsidRPr="005C202F">
        <w:t>r</w:t>
      </w:r>
      <w:r w:rsidR="00D673B9" w:rsidRPr="005C202F">
        <w:t xml:space="preserve"> history of psychosis in the restriction.</w:t>
      </w:r>
    </w:p>
    <w:p w:rsidR="00884704" w:rsidRPr="005C202F" w:rsidRDefault="00074D1A" w:rsidP="00074D1A">
      <w:pPr>
        <w:pStyle w:val="ExecSumBodyText"/>
      </w:pPr>
      <w:r w:rsidRPr="005C202F">
        <w:t>The proposed continuation rules are unclear, and interpretations may vary between clinicians</w:t>
      </w:r>
      <w:r w:rsidR="005C202F">
        <w:t xml:space="preserve">. </w:t>
      </w:r>
      <w:r w:rsidRPr="005C202F">
        <w:t xml:space="preserve">The product information state that evidence of therapeutic benefit should be evaluated at the end of the induction phase to determine the need for continued treatment, however the criteria for assessing therapeutic benefit is unclear. The proposed restriction for continuing treatment/maintenance period 1 specifies that the patient must have ‘responded adequately’. </w:t>
      </w:r>
      <w:r w:rsidRPr="005C202F">
        <w:rPr>
          <w:iCs/>
        </w:rPr>
        <w:t>In practice, this may vary between some reduction in symptoms, and achieving complete remission of depressive symptoms and may typically be evaluated over a longer timeframe than four weeks. It is unclear what criteria will be used to evaluate response in clinical practice</w:t>
      </w:r>
      <w:r w:rsidRPr="005C202F">
        <w:t xml:space="preserve">. </w:t>
      </w:r>
    </w:p>
    <w:p w:rsidR="00074D1A" w:rsidRPr="005C202F" w:rsidRDefault="00074D1A" w:rsidP="007E0E84">
      <w:pPr>
        <w:pStyle w:val="ExecSumBodyText"/>
      </w:pPr>
      <w:r w:rsidRPr="005C202F">
        <w:t xml:space="preserve">The proposed restriction for continuing treatment/maintenance period 2 specifies that the patient ‘must not relapse’. In practice, the definition of relapse may also vary in terms of clinical symptoms and timeframes. </w:t>
      </w:r>
      <w:r w:rsidRPr="005C202F">
        <w:rPr>
          <w:iCs/>
        </w:rPr>
        <w:t>It is unclear whether the proposed restriction, and the definitions used in the clinical trials, align with the clinical definition of relapse</w:t>
      </w:r>
      <w:r w:rsidR="00D30EDE" w:rsidRPr="005C202F">
        <w:rPr>
          <w:iCs/>
        </w:rPr>
        <w:t>.</w:t>
      </w:r>
    </w:p>
    <w:p w:rsidR="00CA762A" w:rsidRPr="005C202F" w:rsidRDefault="0079557C" w:rsidP="00CA762A">
      <w:pPr>
        <w:pStyle w:val="ExecSumBodyText"/>
      </w:pPr>
      <w:r w:rsidRPr="005C202F">
        <w:rPr>
          <w:iCs/>
        </w:rPr>
        <w:t>Although prescribing of esketamine nasal spray by a psychiatrist or in consultation with a psychiatrist is appropriate, access to psychiatrists in many areas of Australia is poor. As a result, there may be equity issues associated with access to this treatment.</w:t>
      </w:r>
    </w:p>
    <w:p w:rsidR="005D32F9" w:rsidRPr="005C202F" w:rsidRDefault="00CA762A" w:rsidP="005D32F9">
      <w:pPr>
        <w:pStyle w:val="ExecSumBodyText"/>
      </w:pPr>
      <w:r w:rsidRPr="005C202F">
        <w:rPr>
          <w:iCs/>
        </w:rPr>
        <w:t xml:space="preserve">The ESC noted </w:t>
      </w:r>
      <w:r w:rsidR="002F6A0F" w:rsidRPr="005C202F">
        <w:rPr>
          <w:iCs/>
        </w:rPr>
        <w:t>that</w:t>
      </w:r>
      <w:r w:rsidRPr="005C202F">
        <w:rPr>
          <w:iCs/>
        </w:rPr>
        <w:t xml:space="preserve"> intravenously delivered ketamine</w:t>
      </w:r>
      <w:r w:rsidR="002F6A0F" w:rsidRPr="005C202F">
        <w:rPr>
          <w:iCs/>
        </w:rPr>
        <w:t xml:space="preserve"> </w:t>
      </w:r>
      <w:r w:rsidR="00174439" w:rsidRPr="005C202F">
        <w:rPr>
          <w:iCs/>
        </w:rPr>
        <w:t xml:space="preserve">is currently available </w:t>
      </w:r>
      <w:r w:rsidR="00BB30EC" w:rsidRPr="005C202F">
        <w:rPr>
          <w:iCs/>
        </w:rPr>
        <w:t>in private treatment settings</w:t>
      </w:r>
      <w:r w:rsidR="002F6A0F" w:rsidRPr="005C202F">
        <w:rPr>
          <w:iCs/>
        </w:rPr>
        <w:t xml:space="preserve"> </w:t>
      </w:r>
      <w:r w:rsidRPr="005C202F">
        <w:rPr>
          <w:iCs/>
        </w:rPr>
        <w:t xml:space="preserve">for </w:t>
      </w:r>
      <w:r w:rsidR="002F6A0F" w:rsidRPr="005C202F">
        <w:rPr>
          <w:iCs/>
        </w:rPr>
        <w:t>a number of</w:t>
      </w:r>
      <w:r w:rsidR="00174439" w:rsidRPr="005C202F">
        <w:rPr>
          <w:iCs/>
        </w:rPr>
        <w:t xml:space="preserve"> (off-label) </w:t>
      </w:r>
      <w:r w:rsidRPr="005C202F">
        <w:rPr>
          <w:iCs/>
        </w:rPr>
        <w:t>psychiatric conditions</w:t>
      </w:r>
      <w:r w:rsidR="002F6A0F" w:rsidRPr="005C202F">
        <w:rPr>
          <w:iCs/>
        </w:rPr>
        <w:t xml:space="preserve"> </w:t>
      </w:r>
      <w:r w:rsidR="00516662" w:rsidRPr="005C202F">
        <w:rPr>
          <w:iCs/>
        </w:rPr>
        <w:t xml:space="preserve">including </w:t>
      </w:r>
      <w:r w:rsidR="002F6A0F" w:rsidRPr="005C202F">
        <w:rPr>
          <w:iCs/>
        </w:rPr>
        <w:t xml:space="preserve">depression, </w:t>
      </w:r>
      <w:r w:rsidRPr="005C202F">
        <w:rPr>
          <w:iCs/>
        </w:rPr>
        <w:t>post-traumatic stress disorder, obsessive-compulsive disorder and acute suicidal ideation and considered there was a high risk of leakage to these conditions</w:t>
      </w:r>
      <w:r w:rsidR="00BB30EC" w:rsidRPr="005C202F">
        <w:rPr>
          <w:iCs/>
        </w:rPr>
        <w:t>.</w:t>
      </w:r>
    </w:p>
    <w:p w:rsidR="005D32F9" w:rsidRPr="005C202F" w:rsidRDefault="005D32F9" w:rsidP="005D32F9">
      <w:pPr>
        <w:ind w:firstLine="709"/>
        <w:rPr>
          <w:rFonts w:asciiTheme="minorHAnsi" w:hAnsiTheme="minorHAnsi"/>
          <w:i/>
        </w:rPr>
      </w:pPr>
      <w:r w:rsidRPr="005C202F">
        <w:rPr>
          <w:rFonts w:asciiTheme="minorHAnsi" w:hAnsiTheme="minorHAnsi"/>
          <w:i/>
        </w:rPr>
        <w:t>For more detail on PBAC’s view, see section 7 PBAC outcome.</w:t>
      </w:r>
    </w:p>
    <w:p w:rsidR="00B50DB8" w:rsidRPr="005C202F" w:rsidRDefault="00203181" w:rsidP="004E18E9">
      <w:pPr>
        <w:pStyle w:val="2-SectionHeading"/>
      </w:pPr>
      <w:bookmarkStart w:id="6" w:name="_Toc72325756"/>
      <w:r w:rsidRPr="005C202F">
        <w:t xml:space="preserve">Population and </w:t>
      </w:r>
      <w:r w:rsidR="008E0D3C" w:rsidRPr="005C202F">
        <w:t>d</w:t>
      </w:r>
      <w:r w:rsidRPr="005C202F">
        <w:t>isease</w:t>
      </w:r>
      <w:bookmarkEnd w:id="6"/>
    </w:p>
    <w:p w:rsidR="00B9567D" w:rsidRPr="005C202F" w:rsidRDefault="00B9567D" w:rsidP="00B9567D">
      <w:pPr>
        <w:pStyle w:val="ExecSumBodyText"/>
      </w:pPr>
      <w:r w:rsidRPr="005C202F">
        <w:t>Major depressive disorder (MDD) is a common, debilitating, and recurrent mental health disorder, characterised by persistent feelings of sadness and hopelessness, or loss of interest in activities once enjoyed, with additional psychophysiological changes including weight changes, fatigue, and decreased ability to concentrate, think, or make decisions. These core symptoms may vary from patient to patient, however, they are typically seen for much of the day, almost always every day for at least two weeks and are associated with relevant psychological distress and considerable impairment of psychosocial and work functioning.</w:t>
      </w:r>
    </w:p>
    <w:p w:rsidR="00B9567D" w:rsidRPr="005C202F" w:rsidRDefault="00B9567D" w:rsidP="00505D5E">
      <w:pPr>
        <w:pStyle w:val="ExecSumBodyText"/>
      </w:pPr>
      <w:r w:rsidRPr="005C202F">
        <w:t>Although a number of pharmacological treatment options are currently available for MDD, up to one third of patients do not adequately respond to treatment, and up to 20% are considered non-responders, even if there is good compliance over a reasonable period of time with an adequate dosage. Treatment-resistant depression (TRD</w:t>
      </w:r>
      <w:r w:rsidR="00505D5E" w:rsidRPr="005C202F">
        <w:t>)</w:t>
      </w:r>
      <w:r w:rsidRPr="005C202F">
        <w:t xml:space="preserve"> is the clinical term for a subpopulation of MDD patients that have not achieved an adequate response to conventional pharmacological antidepressant therapy. </w:t>
      </w:r>
    </w:p>
    <w:p w:rsidR="00B9567D" w:rsidRPr="005C202F" w:rsidRDefault="00B9567D" w:rsidP="008767AB">
      <w:pPr>
        <w:pStyle w:val="ExecSumBodyText"/>
      </w:pPr>
      <w:r w:rsidRPr="005C202F">
        <w:t xml:space="preserve">TRD most often refers to major depressive episodes that do not respond satisfactorily to at least two trials of antidepressant monotherapy, however the definition has not been standardised. </w:t>
      </w:r>
      <w:r w:rsidR="006C7859" w:rsidRPr="005C202F">
        <w:rPr>
          <w:iCs/>
        </w:rPr>
        <w:t xml:space="preserve">The </w:t>
      </w:r>
      <w:r w:rsidR="00EB34E4" w:rsidRPr="005C202F">
        <w:rPr>
          <w:iCs/>
        </w:rPr>
        <w:t xml:space="preserve">2020 </w:t>
      </w:r>
      <w:r w:rsidR="006C7859" w:rsidRPr="005C202F">
        <w:rPr>
          <w:iCs/>
        </w:rPr>
        <w:t>Australian guidelines for the treatment of mood disorders refer to the definition of TRD as the failure to achieve a suitable response to two or more adequate courses of pharmacotherapy as ‘a very modest and clinically meaningless threshold’ (Malhi et al., 2021).</w:t>
      </w:r>
      <w:r w:rsidR="006C7859" w:rsidRPr="005C202F">
        <w:t xml:space="preserve"> </w:t>
      </w:r>
    </w:p>
    <w:p w:rsidR="00894489" w:rsidRPr="005C202F" w:rsidRDefault="00B9567D" w:rsidP="00B9567D">
      <w:pPr>
        <w:pStyle w:val="ExecSumBodyText"/>
      </w:pPr>
      <w:r w:rsidRPr="005C202F">
        <w:t xml:space="preserve">Symptoms of TRD follow those of MDD in general, for example depressed mood, loss of interest or pleasure, sleep disturbance, fatigue, neurocognitive dysfunction and changes in appetite and weight. Compared to patients with non-TRD MDD, patients with TRD are thought to be at greater risk of relapse. </w:t>
      </w:r>
    </w:p>
    <w:p w:rsidR="00D7265A" w:rsidRPr="005C202F" w:rsidRDefault="00D7265A" w:rsidP="00A1647A">
      <w:pPr>
        <w:pStyle w:val="ExecSumBodyText"/>
      </w:pPr>
      <w:r w:rsidRPr="005C202F">
        <w:t>Treatment options recommended in the 2020 RANZCP Guidelines for managing patients with TRD include optimising current antidepressant use, switching to a different antidepressant, combining two antidepressants, augmenting treatment by adding an antipsychotic or lithium to the existing antidepressant, and using non-pharmacologic physical therapies such as</w:t>
      </w:r>
      <w:r w:rsidR="00856264" w:rsidRPr="005C202F">
        <w:t xml:space="preserve"> electroconvulsive therapy</w:t>
      </w:r>
      <w:r w:rsidRPr="005C202F">
        <w:t xml:space="preserve"> </w:t>
      </w:r>
      <w:r w:rsidR="00856264" w:rsidRPr="005C202F">
        <w:t>(</w:t>
      </w:r>
      <w:r w:rsidRPr="005C202F">
        <w:t>ECT</w:t>
      </w:r>
      <w:r w:rsidR="00856264" w:rsidRPr="005C202F">
        <w:t>)</w:t>
      </w:r>
      <w:r w:rsidRPr="005C202F">
        <w:t xml:space="preserve"> and</w:t>
      </w:r>
      <w:r w:rsidR="00856264" w:rsidRPr="005C202F">
        <w:t xml:space="preserve"> repetitive transcranial magnetic stimulation</w:t>
      </w:r>
      <w:r w:rsidRPr="005C202F">
        <w:t xml:space="preserve"> </w:t>
      </w:r>
      <w:r w:rsidR="00856264" w:rsidRPr="005C202F">
        <w:t>(</w:t>
      </w:r>
      <w:r w:rsidRPr="005C202F">
        <w:t>rTMS</w:t>
      </w:r>
      <w:r w:rsidR="00856264" w:rsidRPr="005C202F">
        <w:t>)</w:t>
      </w:r>
      <w:r w:rsidRPr="005C202F">
        <w:t xml:space="preserve"> (Mahli 2021). The treatment algorithm for MDD, and TRD in particular, is complex and broadly involves a combination of initial pharmacotherapy together with psychotherapy, followed by non-pharmacotherapies or physical therapies, including ECT, rTMS or vagus nerve stimulation (VNS).</w:t>
      </w:r>
    </w:p>
    <w:p w:rsidR="00D7265A" w:rsidRPr="005C202F" w:rsidRDefault="00D7265A" w:rsidP="00A1647A">
      <w:pPr>
        <w:pStyle w:val="ExecSumBodyText"/>
      </w:pPr>
      <w:r w:rsidRPr="005C202F">
        <w:t>There are no clear lines of therapy for TRD. The choice between switching therapy, augmenting therapy, psychotherapy or a physical therapy may be impacted by a number of factors, including availability and patient preference, because there is no compelling evidence that one is superior to the others for acute outcomes</w:t>
      </w:r>
      <w:r w:rsidR="00A1647A" w:rsidRPr="005C202F">
        <w:t xml:space="preserve">. </w:t>
      </w:r>
    </w:p>
    <w:p w:rsidR="002D3AF2" w:rsidRPr="005C202F" w:rsidRDefault="002D3AF2" w:rsidP="002D3AF2">
      <w:pPr>
        <w:pStyle w:val="ExecSumBodyText"/>
      </w:pPr>
      <w:r w:rsidRPr="005C202F">
        <w:t>Esketamine, the S-enantiomer of racemic ketamine, is an antidepressant with a novel mechanism of action. It is a non-selective, non-competitive, antagonist of the N-methyl-D-aspartate (NMDA) receptor, an ionotropic glutamate receptor</w:t>
      </w:r>
      <w:r w:rsidR="005C202F">
        <w:t xml:space="preserve">. </w:t>
      </w:r>
      <w:r w:rsidR="008A08CE" w:rsidRPr="005C202F">
        <w:t>Ketamine, administered by either intramuscular or intravenous route, is approved as an anaesthetic drug by the TGA, but is not currently approved or indicated for use in treating depression.</w:t>
      </w:r>
    </w:p>
    <w:p w:rsidR="0079557C" w:rsidRPr="005C202F" w:rsidRDefault="0064224A" w:rsidP="002D3AF2">
      <w:pPr>
        <w:pStyle w:val="ExecSumBodyText"/>
      </w:pPr>
      <w:r w:rsidRPr="005C202F">
        <w:rPr>
          <w:iCs/>
        </w:rPr>
        <w:t>Esketamine a</w:t>
      </w:r>
      <w:r w:rsidR="0079557C" w:rsidRPr="005C202F">
        <w:rPr>
          <w:iCs/>
        </w:rPr>
        <w:t>dministration and monitoring requirements were not well described in the submission. In the esketamine clinical trials, administration occurred over a 20-minute period following a consultation to assess suitability for treatment. The Australian product information suggests that blood pressure is checked at 40 minutes and thereafter as needed, with transient increases in systolic and/or diastolic blood pressure lasting approximately 1-2 hours</w:t>
      </w:r>
      <w:r w:rsidR="0079557C" w:rsidRPr="005C202F">
        <w:t>.</w:t>
      </w:r>
    </w:p>
    <w:p w:rsidR="007627BE" w:rsidRPr="005C202F" w:rsidRDefault="00983D9B" w:rsidP="002D3AF2">
      <w:pPr>
        <w:pStyle w:val="ExecSumBodyText"/>
      </w:pPr>
      <w:r w:rsidRPr="005C202F">
        <w:t xml:space="preserve">The clinical management algorithm presented in the submission positions esketamine nasal spray, initiated with a new </w:t>
      </w:r>
      <w:r w:rsidR="00F11D2A" w:rsidRPr="005C202F">
        <w:t>OAD</w:t>
      </w:r>
      <w:r w:rsidRPr="005C202F">
        <w:t xml:space="preserve">, for use in patients with TRD who have previously failed treatment with two prior </w:t>
      </w:r>
      <w:r w:rsidR="00F11D2A" w:rsidRPr="005C202F">
        <w:t xml:space="preserve">OADs </w:t>
      </w:r>
      <w:r w:rsidRPr="005C202F">
        <w:t xml:space="preserve">in the same depressive episode. Esketamine nasal spray is included </w:t>
      </w:r>
      <w:r w:rsidR="001E3166" w:rsidRPr="005C202F">
        <w:t xml:space="preserve">in the submission </w:t>
      </w:r>
      <w:r w:rsidRPr="005C202F">
        <w:t xml:space="preserve">alongside other </w:t>
      </w:r>
      <w:r w:rsidR="001E3166" w:rsidRPr="005C202F">
        <w:t xml:space="preserve">pharmacological </w:t>
      </w:r>
      <w:r w:rsidRPr="005C202F">
        <w:t>management options like switching antidepressant therapy, combination antidepressant therapy, and augmentation.</w:t>
      </w:r>
      <w:r w:rsidR="001E3166" w:rsidRPr="005C202F">
        <w:t xml:space="preserve"> The submission stated that esketamine nasal spray will most likely displace ECT or rTMS rather than replace them. </w:t>
      </w:r>
      <w:r w:rsidR="001E3166" w:rsidRPr="005C202F">
        <w:rPr>
          <w:iCs/>
        </w:rPr>
        <w:t>Given that there are no clear lines of therapy in the treatment of depression, and the place in therapy of esketamine nasal spray is unclear and emerging, the integration of esketamine alongside non-pharmacological treatment options in practice is unclear</w:t>
      </w:r>
      <w:r w:rsidR="001E3166" w:rsidRPr="005C202F">
        <w:t xml:space="preserve">. </w:t>
      </w:r>
    </w:p>
    <w:p w:rsidR="005D32F9" w:rsidRPr="005C202F" w:rsidRDefault="00430AC3" w:rsidP="005D32F9">
      <w:pPr>
        <w:pStyle w:val="ExecSumBodyText"/>
      </w:pPr>
      <w:r w:rsidRPr="005C202F">
        <w:rPr>
          <w:iCs/>
        </w:rPr>
        <w:t xml:space="preserve">The PSCR argued the place in therapy of esketamine was based on clinical guidelines and argued that the requested placement of esketamine after failure with at least two </w:t>
      </w:r>
      <w:r w:rsidR="00F11D2A" w:rsidRPr="005C202F">
        <w:rPr>
          <w:iCs/>
        </w:rPr>
        <w:t>OADs</w:t>
      </w:r>
      <w:r w:rsidRPr="005C202F">
        <w:rPr>
          <w:iCs/>
        </w:rPr>
        <w:t xml:space="preserve"> was reasonable. The PSCR further argued that augmentation is only indicated for partial response to </w:t>
      </w:r>
      <w:r w:rsidR="00F11D2A" w:rsidRPr="005C202F">
        <w:rPr>
          <w:iCs/>
        </w:rPr>
        <w:t>OADs</w:t>
      </w:r>
      <w:r w:rsidRPr="005C202F">
        <w:rPr>
          <w:iCs/>
        </w:rPr>
        <w:t xml:space="preserve"> and specialised interventions such as ECT were reserved for after failure of all pharmacotherapy options. </w:t>
      </w:r>
      <w:r w:rsidR="00175299" w:rsidRPr="005C202F">
        <w:rPr>
          <w:iCs/>
        </w:rPr>
        <w:t>The ESC considered that, g</w:t>
      </w:r>
      <w:r w:rsidRPr="005C202F">
        <w:rPr>
          <w:iCs/>
        </w:rPr>
        <w:t xml:space="preserve">iven the range of available </w:t>
      </w:r>
      <w:r w:rsidR="00175299" w:rsidRPr="005C202F">
        <w:rPr>
          <w:iCs/>
        </w:rPr>
        <w:t xml:space="preserve">established </w:t>
      </w:r>
      <w:r w:rsidRPr="005C202F">
        <w:rPr>
          <w:iCs/>
        </w:rPr>
        <w:t xml:space="preserve">options for </w:t>
      </w:r>
      <w:r w:rsidR="00F11D2A" w:rsidRPr="005C202F">
        <w:rPr>
          <w:iCs/>
        </w:rPr>
        <w:t>MDD</w:t>
      </w:r>
      <w:r w:rsidRPr="005C202F">
        <w:rPr>
          <w:iCs/>
        </w:rPr>
        <w:t xml:space="preserve"> (including TRD)</w:t>
      </w:r>
      <w:r w:rsidR="00175299" w:rsidRPr="005C202F">
        <w:rPr>
          <w:iCs/>
        </w:rPr>
        <w:t xml:space="preserve"> and the limited clinical evidence available for esketamine</w:t>
      </w:r>
      <w:r w:rsidRPr="005C202F">
        <w:rPr>
          <w:iCs/>
        </w:rPr>
        <w:t>, the proposed restriction placed esketamine too early in the treatment algorithm.</w:t>
      </w:r>
      <w:r w:rsidR="005D32F9" w:rsidRPr="005C202F">
        <w:rPr>
          <w:iCs/>
        </w:rPr>
        <w:t xml:space="preserve"> </w:t>
      </w:r>
    </w:p>
    <w:p w:rsidR="002D0FA5" w:rsidRPr="005C202F" w:rsidRDefault="0012077A" w:rsidP="005D32F9">
      <w:pPr>
        <w:pStyle w:val="ExecSumBodyText"/>
      </w:pPr>
      <w:r w:rsidRPr="005C202F">
        <w:t>The Pre-PBAC Response stated the proposed place in the treatment algorithm was consistent with the TGA approved indication, the clinical trial evidence and the most commonly accepted definition of TRD</w:t>
      </w:r>
      <w:r w:rsidR="006050F3" w:rsidRPr="005C202F">
        <w:t>. The response</w:t>
      </w:r>
      <w:r w:rsidR="008D4336" w:rsidRPr="005C202F">
        <w:t xml:space="preserve"> </w:t>
      </w:r>
      <w:r w:rsidRPr="005C202F">
        <w:t>noted that the requirement for patients to have failed at least two OADs was a minimum requirement and some patients would have trialled additional treatment options, which was also reflected in the clinical trial as 32.7% of patients in the TRANSFORM-2 study had received at least three OADs and 20.1% had received augmentation therapy. The PBAC agreed with the ESC and considered that given the</w:t>
      </w:r>
      <w:r w:rsidR="00106F3C" w:rsidRPr="005C202F">
        <w:t xml:space="preserve"> effectiveness and safety of </w:t>
      </w:r>
      <w:r w:rsidR="001E7439" w:rsidRPr="005C202F">
        <w:t xml:space="preserve">other treatment options are established in </w:t>
      </w:r>
      <w:r w:rsidR="00CA07DB" w:rsidRPr="005C202F">
        <w:t>practice esketamine</w:t>
      </w:r>
      <w:r w:rsidR="001E7439" w:rsidRPr="005C202F">
        <w:t xml:space="preserve"> should be placed later in the treatment algorithm for TRD</w:t>
      </w:r>
      <w:r w:rsidR="00D30EDE" w:rsidRPr="005C202F">
        <w:t>.</w:t>
      </w:r>
      <w:r w:rsidR="002D0FA5" w:rsidRPr="005C202F">
        <w:t xml:space="preserve"> </w:t>
      </w:r>
    </w:p>
    <w:p w:rsidR="005D32F9" w:rsidRPr="005C202F" w:rsidRDefault="005D32F9" w:rsidP="005D32F9">
      <w:pPr>
        <w:ind w:firstLine="709"/>
        <w:rPr>
          <w:rFonts w:asciiTheme="minorHAnsi" w:hAnsiTheme="minorHAnsi"/>
          <w:i/>
        </w:rPr>
      </w:pPr>
      <w:r w:rsidRPr="005C202F">
        <w:rPr>
          <w:rFonts w:asciiTheme="minorHAnsi" w:hAnsiTheme="minorHAnsi"/>
          <w:i/>
        </w:rPr>
        <w:t>For more detail on PBAC’s view, see section 7 PBAC outcome.</w:t>
      </w:r>
    </w:p>
    <w:p w:rsidR="00B50DB8" w:rsidRPr="005C202F" w:rsidRDefault="00B50DB8" w:rsidP="004E18E9">
      <w:pPr>
        <w:pStyle w:val="2-SectionHeading"/>
      </w:pPr>
      <w:bookmarkStart w:id="7" w:name="_Toc72325757"/>
      <w:r w:rsidRPr="005C202F">
        <w:t>Comparator</w:t>
      </w:r>
      <w:bookmarkEnd w:id="7"/>
    </w:p>
    <w:p w:rsidR="00B444CC" w:rsidRPr="005C202F" w:rsidRDefault="00B444CC" w:rsidP="00882E3C">
      <w:pPr>
        <w:pStyle w:val="ExecSumBodyText"/>
        <w:rPr>
          <w:snapToGrid/>
        </w:rPr>
      </w:pPr>
      <w:r w:rsidRPr="005C202F">
        <w:t xml:space="preserve">The submission nominated switching to a new antidepressant as the main comparator. The choice of comparator was supported by utilisation data from the 10% </w:t>
      </w:r>
      <w:r w:rsidR="0079557C" w:rsidRPr="005C202F">
        <w:t>PBS</w:t>
      </w:r>
      <w:r w:rsidRPr="005C202F">
        <w:t xml:space="preserve"> sample, and by expert psychiatrists, both of which suggested that switching to a new antidepressant is the most commonly used therapeutic strategy in a patient with TRD. The submission noted that this was consistent with the design of the phase III clinical studies where esketamine nasal spray was used as add-on to a patient switching to a new anti-depressant and compared to placebo plus switching to a new anti-depressant. </w:t>
      </w:r>
    </w:p>
    <w:p w:rsidR="008D2893" w:rsidRPr="005C202F" w:rsidRDefault="008D2893" w:rsidP="008D2893">
      <w:pPr>
        <w:pStyle w:val="ExecSumBodyText"/>
        <w:rPr>
          <w:snapToGrid/>
        </w:rPr>
      </w:pPr>
      <w:r w:rsidRPr="005C202F">
        <w:rPr>
          <w:snapToGrid/>
        </w:rPr>
        <w:t>There are several therapeutic strategies that are recommended for use in patients with TRD including:</w:t>
      </w:r>
    </w:p>
    <w:p w:rsidR="008D2893" w:rsidRPr="005C202F" w:rsidRDefault="008D2893" w:rsidP="00515AFF">
      <w:pPr>
        <w:pStyle w:val="ExecSumBodyText"/>
        <w:numPr>
          <w:ilvl w:val="1"/>
          <w:numId w:val="8"/>
        </w:numPr>
        <w:ind w:left="1060" w:hanging="340"/>
        <w:contextualSpacing/>
      </w:pPr>
      <w:r w:rsidRPr="005C202F">
        <w:t>Switching to another antidepressant</w:t>
      </w:r>
      <w:r w:rsidR="001E3166" w:rsidRPr="005C202F">
        <w:t>;</w:t>
      </w:r>
    </w:p>
    <w:p w:rsidR="008D2893" w:rsidRPr="005C202F" w:rsidRDefault="008D2893" w:rsidP="00515AFF">
      <w:pPr>
        <w:pStyle w:val="ExecSumBodyText"/>
        <w:numPr>
          <w:ilvl w:val="1"/>
          <w:numId w:val="8"/>
        </w:numPr>
        <w:ind w:left="1060" w:hanging="340"/>
        <w:contextualSpacing/>
      </w:pPr>
      <w:r w:rsidRPr="005C202F">
        <w:t>Adding on another antidepressant (combination therapy)</w:t>
      </w:r>
      <w:r w:rsidR="001E3166" w:rsidRPr="005C202F">
        <w:t>;</w:t>
      </w:r>
    </w:p>
    <w:p w:rsidR="008D2893" w:rsidRPr="005C202F" w:rsidRDefault="008D2893" w:rsidP="00515AFF">
      <w:pPr>
        <w:pStyle w:val="ExecSumBodyText"/>
        <w:numPr>
          <w:ilvl w:val="1"/>
          <w:numId w:val="8"/>
        </w:numPr>
        <w:ind w:left="1060" w:hanging="340"/>
        <w:contextualSpacing/>
      </w:pPr>
      <w:r w:rsidRPr="005C202F">
        <w:t>Augmentation with lithium or an antipsychotic (e.g. olanzapine or aripiprazole)</w:t>
      </w:r>
      <w:r w:rsidR="001E3166" w:rsidRPr="005C202F">
        <w:t>;</w:t>
      </w:r>
    </w:p>
    <w:p w:rsidR="008D2893" w:rsidRPr="005C202F" w:rsidRDefault="008D2893" w:rsidP="00515AFF">
      <w:pPr>
        <w:pStyle w:val="ExecSumBodyText"/>
        <w:numPr>
          <w:ilvl w:val="1"/>
          <w:numId w:val="8"/>
        </w:numPr>
        <w:ind w:left="1060" w:hanging="340"/>
        <w:contextualSpacing/>
      </w:pPr>
      <w:r w:rsidRPr="005C202F">
        <w:t>Physical treatments like ECT or rTMS, which are less commonly used and typically reserved where pharmacological approaches have failed</w:t>
      </w:r>
      <w:r w:rsidR="001E3166" w:rsidRPr="005C202F">
        <w:t>; and</w:t>
      </w:r>
    </w:p>
    <w:p w:rsidR="001E3166" w:rsidRPr="005C202F" w:rsidRDefault="001E3166" w:rsidP="00515AFF">
      <w:pPr>
        <w:pStyle w:val="ExecSumBodyText"/>
        <w:numPr>
          <w:ilvl w:val="1"/>
          <w:numId w:val="8"/>
        </w:numPr>
        <w:ind w:left="1060" w:hanging="340"/>
      </w:pPr>
      <w:r w:rsidRPr="005C202F">
        <w:t>Psychotherapy, such as cognitive-behavioural therapy.</w:t>
      </w:r>
    </w:p>
    <w:p w:rsidR="00B50DB8" w:rsidRPr="005C202F" w:rsidRDefault="008D2893" w:rsidP="008D2893">
      <w:pPr>
        <w:pStyle w:val="ExecSumBodyText"/>
        <w:rPr>
          <w:iCs/>
          <w:snapToGrid/>
        </w:rPr>
      </w:pPr>
      <w:r w:rsidRPr="005C202F">
        <w:rPr>
          <w:iCs/>
          <w:snapToGrid/>
        </w:rPr>
        <w:t xml:space="preserve">Based on the 10% </w:t>
      </w:r>
      <w:r w:rsidR="00FB2359" w:rsidRPr="005C202F">
        <w:rPr>
          <w:iCs/>
          <w:snapToGrid/>
        </w:rPr>
        <w:t xml:space="preserve">PBS </w:t>
      </w:r>
      <w:r w:rsidRPr="005C202F">
        <w:rPr>
          <w:iCs/>
          <w:snapToGrid/>
        </w:rPr>
        <w:t>sample analysis provided in the submission, a significant proportion of patients use either combination therapy, or add-on another agent (approximately 35.3%). The included data, based on PBS prescriptions, does not capture use of other potential comparators such as ECT, rTMS, or psychological therapies.</w:t>
      </w:r>
      <w:r w:rsidR="00BC591F" w:rsidRPr="005C202F">
        <w:rPr>
          <w:snapToGrid/>
        </w:rPr>
        <w:t xml:space="preserve"> </w:t>
      </w:r>
      <w:bookmarkStart w:id="8" w:name="_Hlk72235519"/>
      <w:r w:rsidR="001E3166" w:rsidRPr="005C202F">
        <w:rPr>
          <w:snapToGrid/>
        </w:rPr>
        <w:t>The data provided in the submission summarising the 10% PBS sample data w</w:t>
      </w:r>
      <w:r w:rsidR="00307A87" w:rsidRPr="005C202F">
        <w:rPr>
          <w:snapToGrid/>
        </w:rPr>
        <w:t>ere</w:t>
      </w:r>
      <w:r w:rsidR="001E3166" w:rsidRPr="005C202F">
        <w:rPr>
          <w:snapToGrid/>
        </w:rPr>
        <w:t xml:space="preserve"> not sufficient to verify the claims made in the submission. </w:t>
      </w:r>
    </w:p>
    <w:p w:rsidR="00C80800" w:rsidRPr="005C202F" w:rsidRDefault="00C80800" w:rsidP="008D2893">
      <w:pPr>
        <w:pStyle w:val="ExecSumBodyText"/>
        <w:rPr>
          <w:iCs/>
          <w:snapToGrid/>
        </w:rPr>
      </w:pPr>
      <w:r w:rsidRPr="005C202F">
        <w:t>The submission stated ECT and rTMS were not considered as comparators as esketamine nasal spray would most likely displace these therapies for TRD, rather than replace</w:t>
      </w:r>
      <w:r w:rsidR="005C202F">
        <w:t xml:space="preserve">. </w:t>
      </w:r>
    </w:p>
    <w:p w:rsidR="005D32F9" w:rsidRPr="005C202F" w:rsidRDefault="00174439" w:rsidP="005D32F9">
      <w:pPr>
        <w:pStyle w:val="ExecSumBodyText"/>
        <w:rPr>
          <w:snapToGrid/>
        </w:rPr>
      </w:pPr>
      <w:r w:rsidRPr="005C202F">
        <w:rPr>
          <w:snapToGrid/>
        </w:rPr>
        <w:t xml:space="preserve">As noted above </w:t>
      </w:r>
      <w:r w:rsidRPr="005363A6">
        <w:rPr>
          <w:snapToGrid/>
        </w:rPr>
        <w:t>(paragraph 2.6),</w:t>
      </w:r>
      <w:r w:rsidRPr="005C202F">
        <w:rPr>
          <w:snapToGrid/>
        </w:rPr>
        <w:t xml:space="preserve"> the ESC considered the submission positioned esketamine inappropriately early in the treatment algorithm, </w:t>
      </w:r>
      <w:r w:rsidR="00E043B4" w:rsidRPr="005C202F">
        <w:rPr>
          <w:snapToGrid/>
        </w:rPr>
        <w:t xml:space="preserve">and positioning further down the treatment algorithm would </w:t>
      </w:r>
      <w:r w:rsidRPr="005C202F">
        <w:rPr>
          <w:snapToGrid/>
        </w:rPr>
        <w:t>impact</w:t>
      </w:r>
      <w:r w:rsidR="00E043B4" w:rsidRPr="005C202F">
        <w:rPr>
          <w:snapToGrid/>
        </w:rPr>
        <w:t xml:space="preserve"> </w:t>
      </w:r>
      <w:r w:rsidRPr="005C202F">
        <w:rPr>
          <w:snapToGrid/>
        </w:rPr>
        <w:t>on the</w:t>
      </w:r>
      <w:r w:rsidR="00E043B4" w:rsidRPr="005C202F">
        <w:rPr>
          <w:snapToGrid/>
        </w:rPr>
        <w:t xml:space="preserve"> appropriate</w:t>
      </w:r>
      <w:r w:rsidRPr="005C202F">
        <w:rPr>
          <w:snapToGrid/>
        </w:rPr>
        <w:t xml:space="preserve"> comparator.</w:t>
      </w:r>
    </w:p>
    <w:p w:rsidR="005D32F9" w:rsidRPr="005C202F" w:rsidRDefault="005D32F9" w:rsidP="005D32F9">
      <w:pPr>
        <w:ind w:firstLine="709"/>
        <w:rPr>
          <w:rFonts w:asciiTheme="minorHAnsi" w:hAnsiTheme="minorHAnsi"/>
          <w:i/>
        </w:rPr>
      </w:pPr>
      <w:r w:rsidRPr="005C202F">
        <w:rPr>
          <w:rFonts w:asciiTheme="minorHAnsi" w:hAnsiTheme="minorHAnsi"/>
          <w:i/>
        </w:rPr>
        <w:t>For more detail on PBAC’s view, see section 7 PBAC outcome.</w:t>
      </w:r>
    </w:p>
    <w:p w:rsidR="00223D5A" w:rsidRPr="005C202F" w:rsidRDefault="00223D5A" w:rsidP="00223D5A">
      <w:pPr>
        <w:pStyle w:val="2-SectionHeading"/>
        <w:numPr>
          <w:ilvl w:val="0"/>
          <w:numId w:val="1"/>
        </w:numPr>
      </w:pPr>
      <w:bookmarkStart w:id="9" w:name="_Toc72325758"/>
      <w:bookmarkStart w:id="10" w:name="_Toc22897640"/>
      <w:bookmarkEnd w:id="8"/>
      <w:r w:rsidRPr="005C202F">
        <w:t>Consideration of the evidence</w:t>
      </w:r>
      <w:bookmarkEnd w:id="9"/>
    </w:p>
    <w:p w:rsidR="002A5CF4" w:rsidRPr="005C202F" w:rsidRDefault="002A5CF4" w:rsidP="0086240F">
      <w:pPr>
        <w:widowControl w:val="0"/>
        <w:spacing w:before="240" w:line="276" w:lineRule="auto"/>
        <w:outlineLvl w:val="1"/>
        <w:rPr>
          <w:rFonts w:asciiTheme="minorHAnsi" w:hAnsiTheme="minorHAnsi"/>
          <w:b/>
          <w:bCs/>
          <w:i/>
          <w:snapToGrid w:val="0"/>
          <w:sz w:val="28"/>
          <w:szCs w:val="28"/>
        </w:rPr>
      </w:pPr>
      <w:bookmarkStart w:id="11" w:name="_Toc72325759"/>
      <w:r w:rsidRPr="005C202F">
        <w:rPr>
          <w:rFonts w:asciiTheme="minorHAnsi" w:hAnsiTheme="minorHAnsi"/>
          <w:b/>
          <w:bCs/>
          <w:i/>
          <w:snapToGrid w:val="0"/>
          <w:sz w:val="28"/>
          <w:szCs w:val="28"/>
        </w:rPr>
        <w:t>Sponsor hearing</w:t>
      </w:r>
    </w:p>
    <w:p w:rsidR="002A5CF4" w:rsidRPr="005C202F" w:rsidRDefault="002A5CF4" w:rsidP="00067156">
      <w:pPr>
        <w:pStyle w:val="ExecSumBodyText"/>
      </w:pPr>
      <w:r w:rsidRPr="005C202F">
        <w:t>The sponsor requested a hearing for this item</w:t>
      </w:r>
      <w:r w:rsidR="005C202F">
        <w:t xml:space="preserve">. </w:t>
      </w:r>
      <w:r w:rsidR="00320552" w:rsidRPr="005C202F">
        <w:t xml:space="preserve">The clinician </w:t>
      </w:r>
      <w:r w:rsidR="00DB43D6" w:rsidRPr="005C202F">
        <w:t>clarified the clinical management of TRD</w:t>
      </w:r>
      <w:r w:rsidR="00D06DFF" w:rsidRPr="005C202F">
        <w:t xml:space="preserve"> and the possible role of esketamine, noting its novel mechanism of action. </w:t>
      </w:r>
      <w:r w:rsidR="00760DB7" w:rsidRPr="005C202F">
        <w:t>The clinician</w:t>
      </w:r>
      <w:r w:rsidR="00DB43D6" w:rsidRPr="005C202F">
        <w:t xml:space="preserve"> </w:t>
      </w:r>
      <w:r w:rsidR="00D06DFF" w:rsidRPr="005C202F">
        <w:t xml:space="preserve">also </w:t>
      </w:r>
      <w:r w:rsidR="00DB43D6" w:rsidRPr="005C202F">
        <w:t xml:space="preserve">stated it was inappropriate to continue a treatment that </w:t>
      </w:r>
      <w:r w:rsidR="005A05C5" w:rsidRPr="005C202F">
        <w:t>was no longer providing benefit</w:t>
      </w:r>
      <w:r w:rsidR="00DB43D6" w:rsidRPr="005C202F">
        <w:t xml:space="preserve"> and therefore commencing a new OAD on or around commencement of esketamine was clinically appropriate. The clinician stated that the focus of treatment should be to achieve functional recovery and symptom remission for patients, which was demonstrated in the clinical trials</w:t>
      </w:r>
      <w:r w:rsidR="00760DB7" w:rsidRPr="005C202F">
        <w:t xml:space="preserve"> for esketamine</w:t>
      </w:r>
      <w:r w:rsidR="00DB43D6" w:rsidRPr="005C202F">
        <w:t>.</w:t>
      </w:r>
      <w:r w:rsidR="00067156" w:rsidRPr="005C202F">
        <w:t xml:space="preserve"> </w:t>
      </w:r>
      <w:r w:rsidR="008661C6">
        <w:t>The PBAC considered the hearing did not provide any further insight regarding the appropriate use of esketamine</w:t>
      </w:r>
      <w:r w:rsidR="003853BC">
        <w:t xml:space="preserve"> in clinical practice.</w:t>
      </w:r>
    </w:p>
    <w:p w:rsidR="002A5CF4" w:rsidRPr="005C202F" w:rsidRDefault="002A5CF4" w:rsidP="0086240F">
      <w:pPr>
        <w:widowControl w:val="0"/>
        <w:spacing w:before="240" w:line="276" w:lineRule="auto"/>
        <w:outlineLvl w:val="1"/>
        <w:rPr>
          <w:rFonts w:asciiTheme="minorHAnsi" w:hAnsiTheme="minorHAnsi"/>
          <w:b/>
          <w:bCs/>
          <w:i/>
          <w:snapToGrid w:val="0"/>
          <w:sz w:val="28"/>
          <w:szCs w:val="28"/>
        </w:rPr>
      </w:pPr>
      <w:r w:rsidRPr="005C202F">
        <w:rPr>
          <w:rFonts w:asciiTheme="minorHAnsi" w:hAnsiTheme="minorHAnsi"/>
          <w:b/>
          <w:bCs/>
          <w:i/>
          <w:snapToGrid w:val="0"/>
          <w:sz w:val="28"/>
          <w:szCs w:val="28"/>
        </w:rPr>
        <w:t>Consumer comments</w:t>
      </w:r>
    </w:p>
    <w:p w:rsidR="002A5CF4" w:rsidRPr="005C202F" w:rsidRDefault="002A5CF4" w:rsidP="002A5CF4">
      <w:pPr>
        <w:widowControl w:val="0"/>
        <w:numPr>
          <w:ilvl w:val="1"/>
          <w:numId w:val="1"/>
        </w:numPr>
        <w:spacing w:after="120"/>
        <w:rPr>
          <w:rFonts w:asciiTheme="minorHAnsi" w:hAnsiTheme="minorHAnsi"/>
          <w:bCs/>
          <w:snapToGrid w:val="0"/>
        </w:rPr>
      </w:pPr>
      <w:r w:rsidRPr="005C202F">
        <w:rPr>
          <w:rFonts w:asciiTheme="minorHAnsi" w:hAnsiTheme="minorHAnsi"/>
          <w:bCs/>
          <w:snapToGrid w:val="0"/>
        </w:rPr>
        <w:t>The PBAC noted and welcomed the input from individuals (2), health care professionals (6) and organisations (1) via the Consumer Comments facility on the PBS website</w:t>
      </w:r>
      <w:r w:rsidR="005C202F">
        <w:rPr>
          <w:rFonts w:asciiTheme="minorHAnsi" w:hAnsiTheme="minorHAnsi"/>
          <w:bCs/>
          <w:snapToGrid w:val="0"/>
        </w:rPr>
        <w:t xml:space="preserve">. </w:t>
      </w:r>
      <w:r w:rsidRPr="005C202F">
        <w:rPr>
          <w:rFonts w:asciiTheme="minorHAnsi" w:hAnsiTheme="minorHAnsi"/>
          <w:bCs/>
          <w:snapToGrid w:val="0"/>
        </w:rPr>
        <w:t xml:space="preserve">The comments </w:t>
      </w:r>
      <w:r w:rsidR="00DB43D6" w:rsidRPr="005C202F">
        <w:rPr>
          <w:rFonts w:asciiTheme="minorHAnsi" w:hAnsiTheme="minorHAnsi"/>
          <w:bCs/>
          <w:snapToGrid w:val="0"/>
        </w:rPr>
        <w:t xml:space="preserve">described the burden of living with TRD and noted the high clinical need for novel therapies to treat the condition. Some comments noted that ketamine may also provide some benefits to patients with TRD and other mental illnesses. </w:t>
      </w:r>
    </w:p>
    <w:p w:rsidR="002A5CF4" w:rsidRPr="00AD1410" w:rsidRDefault="002A5CF4" w:rsidP="00AD1410">
      <w:pPr>
        <w:pStyle w:val="ExecSumBodyText"/>
        <w:rPr>
          <w:bCs/>
        </w:rPr>
      </w:pPr>
      <w:r w:rsidRPr="005C202F">
        <w:t>The PBAC noted the</w:t>
      </w:r>
      <w:r w:rsidR="00FC6DBD" w:rsidRPr="005C202F">
        <w:t xml:space="preserve"> comments</w:t>
      </w:r>
      <w:r w:rsidRPr="005C202F">
        <w:t xml:space="preserve"> received from the Mental Illness Fellowship of Australia</w:t>
      </w:r>
      <w:r w:rsidR="00FC6DBD" w:rsidRPr="005C202F">
        <w:t xml:space="preserve"> which were strongly supportive of additional treatment options being available for TRD. The Fellowship noted</w:t>
      </w:r>
      <w:r w:rsidR="00445D6C" w:rsidRPr="005C202F">
        <w:t xml:space="preserve"> </w:t>
      </w:r>
      <w:r w:rsidR="00EF201B" w:rsidRPr="005C202F">
        <w:t xml:space="preserve">the adherence benefits and rapid response that some patients achieve with </w:t>
      </w:r>
      <w:r w:rsidR="00607959" w:rsidRPr="005C202F">
        <w:t xml:space="preserve">esketamine </w:t>
      </w:r>
      <w:r w:rsidR="00EF201B" w:rsidRPr="005C202F">
        <w:t>compared to other antidepressant options</w:t>
      </w:r>
      <w:r w:rsidRPr="005C202F">
        <w:t xml:space="preserve">. </w:t>
      </w:r>
      <w:r w:rsidR="00AD1410">
        <w:t xml:space="preserve">The Fellowship noted esketamine would likely be used as a third line treatment option and would provide an alternative for patients that have had no improvement using existing treatments. The Fellowship noted that ECT, used when all alternative pharmacological approaches have been exhausted, is still a feared treatment for some patients and having esketamine available as an additional treatment option would be welcomed. </w:t>
      </w:r>
      <w:r w:rsidR="00AD1410" w:rsidRPr="00AD1410" w:rsidDel="00780D6F">
        <w:rPr>
          <w:bCs/>
        </w:rPr>
        <w:t xml:space="preserve"> </w:t>
      </w:r>
    </w:p>
    <w:p w:rsidR="00B60939" w:rsidRPr="005363A6" w:rsidRDefault="00B60939" w:rsidP="005363A6">
      <w:pPr>
        <w:widowControl w:val="0"/>
        <w:spacing w:before="240" w:line="276" w:lineRule="auto"/>
        <w:outlineLvl w:val="1"/>
        <w:rPr>
          <w:rFonts w:asciiTheme="minorHAnsi" w:hAnsiTheme="minorHAnsi"/>
          <w:b/>
          <w:bCs/>
          <w:i/>
          <w:snapToGrid w:val="0"/>
          <w:sz w:val="28"/>
          <w:szCs w:val="28"/>
        </w:rPr>
      </w:pPr>
      <w:r w:rsidRPr="005363A6">
        <w:rPr>
          <w:rFonts w:asciiTheme="minorHAnsi" w:hAnsiTheme="minorHAnsi"/>
          <w:b/>
          <w:bCs/>
          <w:i/>
          <w:snapToGrid w:val="0"/>
          <w:sz w:val="28"/>
          <w:szCs w:val="28"/>
        </w:rPr>
        <w:t xml:space="preserve">Clinical </w:t>
      </w:r>
      <w:r w:rsidR="00D5243B" w:rsidRPr="005363A6">
        <w:rPr>
          <w:rFonts w:asciiTheme="minorHAnsi" w:hAnsiTheme="minorHAnsi"/>
          <w:b/>
          <w:bCs/>
          <w:i/>
          <w:snapToGrid w:val="0"/>
          <w:sz w:val="28"/>
          <w:szCs w:val="28"/>
        </w:rPr>
        <w:t>studies</w:t>
      </w:r>
      <w:bookmarkEnd w:id="10"/>
      <w:bookmarkEnd w:id="11"/>
    </w:p>
    <w:p w:rsidR="007F1017" w:rsidRPr="00AD1410" w:rsidRDefault="007A3402" w:rsidP="00AD1410">
      <w:pPr>
        <w:pStyle w:val="ExecSumBodyText"/>
        <w:rPr>
          <w:bCs/>
        </w:rPr>
      </w:pPr>
      <w:r w:rsidRPr="00AD1410">
        <w:rPr>
          <w:bCs/>
        </w:rPr>
        <w:t>The submission was based on three short-term (induction), double blind, randomised controlled trials (RCTs) (TRANSFORM-1, TRANSFORM-2 and TRANSFORM-3) and three long-term studies (SUSTAIN-1, SUSTAIN-2 and SUSTAIN-3)</w:t>
      </w:r>
      <w:r w:rsidR="008D64B8" w:rsidRPr="00AD1410">
        <w:rPr>
          <w:bCs/>
        </w:rPr>
        <w:t xml:space="preserve">, comparing esketamine nasal spray with a newly initiated </w:t>
      </w:r>
      <w:r w:rsidR="00C33A29" w:rsidRPr="00AD1410">
        <w:rPr>
          <w:bCs/>
        </w:rPr>
        <w:t>OAD</w:t>
      </w:r>
      <w:r w:rsidR="008D64B8" w:rsidRPr="00AD1410">
        <w:rPr>
          <w:bCs/>
        </w:rPr>
        <w:t xml:space="preserve"> with intranasal placebo </w:t>
      </w:r>
      <w:r w:rsidR="009E58B7" w:rsidRPr="00AD1410">
        <w:rPr>
          <w:bCs/>
        </w:rPr>
        <w:t xml:space="preserve">plus </w:t>
      </w:r>
      <w:r w:rsidR="008D64B8" w:rsidRPr="00AD1410">
        <w:rPr>
          <w:bCs/>
        </w:rPr>
        <w:t xml:space="preserve">a newly initiated </w:t>
      </w:r>
      <w:r w:rsidR="00C33A29" w:rsidRPr="00AD1410">
        <w:rPr>
          <w:bCs/>
        </w:rPr>
        <w:t>OAD</w:t>
      </w:r>
      <w:r w:rsidRPr="00AD1410">
        <w:rPr>
          <w:bCs/>
        </w:rPr>
        <w:t>.</w:t>
      </w:r>
      <w:r w:rsidR="00983D9B" w:rsidRPr="00AD1410">
        <w:rPr>
          <w:bCs/>
        </w:rPr>
        <w:t xml:space="preserve"> </w:t>
      </w:r>
    </w:p>
    <w:p w:rsidR="00862502" w:rsidRPr="005C202F" w:rsidRDefault="00A73134" w:rsidP="00AD1410">
      <w:pPr>
        <w:pStyle w:val="ExecSumBodyText"/>
      </w:pPr>
      <w:r w:rsidRPr="00AD1410">
        <w:rPr>
          <w:bCs/>
        </w:rPr>
        <w:t xml:space="preserve">Details of the </w:t>
      </w:r>
      <w:r w:rsidR="00A76F53" w:rsidRPr="00AD1410">
        <w:rPr>
          <w:bCs/>
        </w:rPr>
        <w:t>studies</w:t>
      </w:r>
      <w:r w:rsidRPr="00AD1410">
        <w:rPr>
          <w:bCs/>
        </w:rPr>
        <w:t xml:space="preserve"> presented in the submission are provide</w:t>
      </w:r>
      <w:r w:rsidRPr="005C202F">
        <w:rPr>
          <w:snapToGrid/>
        </w:rPr>
        <w:t>d in the table below.</w:t>
      </w:r>
    </w:p>
    <w:p w:rsidR="008E0D3C" w:rsidRPr="005C202F" w:rsidRDefault="008E0D3C" w:rsidP="00EF0782">
      <w:pPr>
        <w:pStyle w:val="TableFigureCaption"/>
      </w:pPr>
      <w:r w:rsidRPr="005C202F">
        <w:t xml:space="preserve">Table </w:t>
      </w:r>
      <w:r w:rsidR="00AE7F9E" w:rsidRPr="005C202F">
        <w:t>2</w:t>
      </w:r>
      <w:r w:rsidRPr="005C202F">
        <w:t>:</w:t>
      </w:r>
      <w:r w:rsidR="00BC591F" w:rsidRPr="005C202F">
        <w:t xml:space="preserve"> </w:t>
      </w:r>
      <w:r w:rsidR="00FE59F4" w:rsidRPr="005C202F">
        <w:t>Trials</w:t>
      </w:r>
      <w:r w:rsidRPr="005C202F">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E7F9E" w:rsidRPr="005C202F" w:rsidTr="00EF0782">
        <w:trPr>
          <w:cantSplit/>
          <w:tblHeader/>
        </w:trPr>
        <w:tc>
          <w:tcPr>
            <w:tcW w:w="796" w:type="pct"/>
            <w:vAlign w:val="center"/>
          </w:tcPr>
          <w:p w:rsidR="00AE7F9E" w:rsidRPr="005C202F" w:rsidRDefault="00AE7F9E" w:rsidP="00EF0782">
            <w:pPr>
              <w:pStyle w:val="Tableheadingrow"/>
              <w:rPr>
                <w:lang w:val="en-AU"/>
              </w:rPr>
            </w:pPr>
            <w:r w:rsidRPr="005C202F">
              <w:rPr>
                <w:lang w:val="en-AU"/>
              </w:rPr>
              <w:t>Trial ID</w:t>
            </w:r>
          </w:p>
        </w:tc>
        <w:tc>
          <w:tcPr>
            <w:tcW w:w="3027" w:type="pct"/>
            <w:vAlign w:val="center"/>
          </w:tcPr>
          <w:p w:rsidR="00AE7F9E" w:rsidRPr="005C202F" w:rsidRDefault="00AE7F9E" w:rsidP="00EF0782">
            <w:pPr>
              <w:pStyle w:val="Tableheadingrow"/>
              <w:rPr>
                <w:lang w:val="en-AU"/>
              </w:rPr>
            </w:pPr>
            <w:r w:rsidRPr="005C202F">
              <w:rPr>
                <w:lang w:val="en-AU"/>
              </w:rPr>
              <w:t>Protocol title/ Publication title</w:t>
            </w:r>
          </w:p>
        </w:tc>
        <w:tc>
          <w:tcPr>
            <w:tcW w:w="1177" w:type="pct"/>
            <w:vAlign w:val="center"/>
          </w:tcPr>
          <w:p w:rsidR="00AE7F9E" w:rsidRPr="005C202F" w:rsidRDefault="00AE7F9E" w:rsidP="00EF0782">
            <w:pPr>
              <w:pStyle w:val="Tableheadingrow"/>
              <w:rPr>
                <w:lang w:val="en-AU"/>
              </w:rPr>
            </w:pPr>
            <w:r w:rsidRPr="005C202F">
              <w:rPr>
                <w:lang w:val="en-AU"/>
              </w:rPr>
              <w:t>Publication citation</w:t>
            </w:r>
          </w:p>
        </w:tc>
      </w:tr>
      <w:tr w:rsidR="00AE7F9E" w:rsidRPr="005C202F" w:rsidTr="00EF0782">
        <w:trPr>
          <w:cantSplit/>
        </w:trPr>
        <w:tc>
          <w:tcPr>
            <w:tcW w:w="796" w:type="pct"/>
            <w:vMerge w:val="restart"/>
            <w:vAlign w:val="center"/>
          </w:tcPr>
          <w:p w:rsidR="00AE7F9E" w:rsidRPr="005C202F" w:rsidRDefault="00AE7F9E" w:rsidP="00EF0782">
            <w:pPr>
              <w:pStyle w:val="TableText"/>
            </w:pPr>
            <w:r w:rsidRPr="005C202F">
              <w:t>TRANSFORM-2 (</w:t>
            </w:r>
            <w:r w:rsidRPr="005C202F">
              <w:rPr>
                <w:szCs w:val="18"/>
              </w:rPr>
              <w:t>NCT02418585)</w:t>
            </w:r>
          </w:p>
        </w:tc>
        <w:tc>
          <w:tcPr>
            <w:tcW w:w="3027" w:type="pct"/>
            <w:tcBorders>
              <w:bottom w:val="single" w:sz="4" w:space="0" w:color="auto"/>
            </w:tcBorders>
            <w:vAlign w:val="center"/>
          </w:tcPr>
          <w:p w:rsidR="00AE7F9E" w:rsidRPr="005C202F" w:rsidRDefault="00AE7F9E" w:rsidP="00EF0782">
            <w:pPr>
              <w:pStyle w:val="TableText"/>
              <w:rPr>
                <w:szCs w:val="18"/>
              </w:rPr>
            </w:pPr>
            <w:r w:rsidRPr="005C202F">
              <w:rPr>
                <w:szCs w:val="18"/>
              </w:rPr>
              <w:t>A Randomized, Double-blind, Multicenter, Active-controlled Study to Evaluate the Efficacy, Safety, and Tolerability of Flexible Doses of Intranasal Esketamine Plus an Oral Antidepressant in Adult Subjects with Treatment-resistant Depression (TRANSFORM-2)</w:t>
            </w:r>
          </w:p>
        </w:tc>
        <w:tc>
          <w:tcPr>
            <w:tcW w:w="1177" w:type="pct"/>
            <w:tcBorders>
              <w:bottom w:val="single" w:sz="4" w:space="0" w:color="auto"/>
            </w:tcBorders>
            <w:vAlign w:val="center"/>
          </w:tcPr>
          <w:p w:rsidR="00AE7F9E" w:rsidRPr="005C202F" w:rsidRDefault="00AE7F9E" w:rsidP="00EF0782">
            <w:pPr>
              <w:pStyle w:val="TableText"/>
            </w:pPr>
            <w:r w:rsidRPr="005C202F">
              <w:t>Internal study report; 6 November 2017</w:t>
            </w:r>
          </w:p>
        </w:tc>
      </w:tr>
      <w:tr w:rsidR="00AE7F9E" w:rsidRPr="005C202F" w:rsidTr="00EF0782">
        <w:trPr>
          <w:cantSplit/>
        </w:trPr>
        <w:tc>
          <w:tcPr>
            <w:tcW w:w="796" w:type="pct"/>
            <w:vMerge/>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Popova V, Daly EJ, Trivedi M, Cooper K, Lane R, Lim P, et al. (2019). Efficacy and Safety of Flexibly Dosed Esketamine Nasal Spray Combined With a Newly Initiated Oral Antidepressant in Treatment-Resistant Depression: A Randomized Double-Blind Active-Controlled Study.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Am J Psychiatry; 176(6): 428-38.</w:t>
            </w:r>
          </w:p>
        </w:tc>
      </w:tr>
      <w:tr w:rsidR="00AE7F9E" w:rsidRPr="005C202F" w:rsidTr="00EF0782">
        <w:trPr>
          <w:cantSplit/>
        </w:trPr>
        <w:tc>
          <w:tcPr>
            <w:tcW w:w="796" w:type="pct"/>
            <w:vMerge/>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Hudgens S, Floden L, Blackowicz M, Jamieson C, Popova V, Fedgchin M, et al. (2021). Meaningful Change in Depression Symptoms Assessed with the Patient Health Questionnaire (PHQ-9) and Montgomery-Åsberg Depression Rating Scale (MADRS) Among Patients with Treatment Resistant Depression in Two, Randomized, Double-blind, Active-controlled Trials of Esketamine Nasal Spray Combined With a New Oral Antidepressant.</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J Aff Dis; 281: 767-775</w:t>
            </w:r>
          </w:p>
        </w:tc>
      </w:tr>
      <w:tr w:rsidR="00AE7F9E" w:rsidRPr="005C202F" w:rsidTr="00EF0782">
        <w:trPr>
          <w:cantSplit/>
        </w:trPr>
        <w:tc>
          <w:tcPr>
            <w:tcW w:w="796" w:type="pct"/>
            <w:vMerge/>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Saad Z, Hibar D, Fedgchin M, Popova V, Furey ML, Singh JB, et al. (2020). Effects of Mu-Opiate Receptor Gene Polymorphism rs1799971 (A118G) on the Antidepressant and Dissociation Responses in Esketamine Nasal Spray Clinical Trials.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Int J Neuropsychopharmacol; 23: 549-558.</w:t>
            </w:r>
          </w:p>
        </w:tc>
      </w:tr>
      <w:tr w:rsidR="00AE7F9E" w:rsidRPr="005C202F" w:rsidTr="00EF0782">
        <w:trPr>
          <w:cantSplit/>
        </w:trPr>
        <w:tc>
          <w:tcPr>
            <w:tcW w:w="796" w:type="pct"/>
            <w:vMerge/>
            <w:tcBorders>
              <w:bottom w:val="single" w:sz="4" w:space="0" w:color="auto"/>
            </w:tcBorders>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Citrome L, DiBernardo A, Singh J. (2020). Appraising Esketamine Nasal Spray for the Management of Treatment-Resistant Depression in Adults: number Needed to Treat, Number Needed to Harm, and Likelihood to be Helped/Harmed.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J Aff Dis; 271:228-238.</w:t>
            </w:r>
          </w:p>
        </w:tc>
      </w:tr>
      <w:tr w:rsidR="00AE7F9E" w:rsidRPr="005C202F" w:rsidTr="00EF0782">
        <w:trPr>
          <w:cantSplit/>
        </w:trPr>
        <w:tc>
          <w:tcPr>
            <w:tcW w:w="796" w:type="pct"/>
            <w:vMerge w:val="restart"/>
            <w:tcBorders>
              <w:top w:val="single" w:sz="4" w:space="0" w:color="auto"/>
            </w:tcBorders>
            <w:vAlign w:val="center"/>
          </w:tcPr>
          <w:p w:rsidR="00AE7F9E" w:rsidRPr="005C202F" w:rsidRDefault="00AE7F9E" w:rsidP="00EF0782">
            <w:pPr>
              <w:pStyle w:val="TableText"/>
            </w:pPr>
            <w:r w:rsidRPr="005C202F">
              <w:t>TRANSFORM-1 (NCT02417064)</w:t>
            </w: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A Randomized, Double-blind, Multicenter, Active-controlled Study to Evaluate the Efficacy, Safety, and Tolerability of Fixed Doses of Intranasal Esketamine Plus an Oral Antidepressant in Adult Subjects with Treatment-resistant Depression</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Internal study report; 26 July 2018</w:t>
            </w:r>
          </w:p>
        </w:tc>
      </w:tr>
      <w:tr w:rsidR="00AE7F9E" w:rsidRPr="005C202F" w:rsidTr="00EF0782">
        <w:trPr>
          <w:cantSplit/>
        </w:trPr>
        <w:tc>
          <w:tcPr>
            <w:tcW w:w="796" w:type="pct"/>
            <w:vMerge/>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Fedgchin M, Trivedi M, Daly EJ, Melkote R, Lane R, Lim P, et al. (2019). Efficacy and Safety of Fixed-Dose Esketamine Nasal Spray Combined With a New Oral Antidepressant in Treatment-Resistant Depression: Results of a Randomized, Double-Blind, Active-Controlled Study (TRANSFORM-1).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Int J Neuropsychopharmacol; 22: 616-630</w:t>
            </w:r>
          </w:p>
        </w:tc>
      </w:tr>
      <w:tr w:rsidR="00AE7F9E" w:rsidRPr="005C202F" w:rsidTr="00EF0782">
        <w:trPr>
          <w:cantSplit/>
        </w:trPr>
        <w:tc>
          <w:tcPr>
            <w:tcW w:w="796" w:type="pct"/>
            <w:vMerge/>
            <w:tcBorders>
              <w:bottom w:val="single" w:sz="4" w:space="0" w:color="auto"/>
            </w:tcBorders>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Saad Z, Hibar D, Fedgchin M, Popova V, Furey ML, Singh JB, et al. (2020). Effects of Mu-Opiate Receptor Gene Polymorphism rs1799971 (A118G) on the Antidepressant and Dissociation Responses in Esketamine Nasal Spray Clinical Trials.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i/>
                <w:szCs w:val="18"/>
              </w:rPr>
            </w:pPr>
            <w:r w:rsidRPr="005C202F">
              <w:rPr>
                <w:szCs w:val="18"/>
              </w:rPr>
              <w:t>Int J Neuropsychopharmacol; 23: 549-558.</w:t>
            </w:r>
          </w:p>
        </w:tc>
      </w:tr>
      <w:tr w:rsidR="00AE7F9E" w:rsidRPr="005C202F" w:rsidTr="00EF0782">
        <w:trPr>
          <w:cantSplit/>
        </w:trPr>
        <w:tc>
          <w:tcPr>
            <w:tcW w:w="796" w:type="pct"/>
            <w:vMerge w:val="restart"/>
            <w:vAlign w:val="center"/>
          </w:tcPr>
          <w:p w:rsidR="00AE7F9E" w:rsidRPr="005C202F" w:rsidRDefault="00AE7F9E" w:rsidP="00EF0782">
            <w:pPr>
              <w:pStyle w:val="TableText"/>
            </w:pPr>
            <w:r w:rsidRPr="005C202F">
              <w:t>TRANSFORM-3 (NCT02422186)</w:t>
            </w:r>
          </w:p>
        </w:tc>
        <w:tc>
          <w:tcPr>
            <w:tcW w:w="3027" w:type="pct"/>
            <w:tcBorders>
              <w:bottom w:val="single" w:sz="4" w:space="0" w:color="auto"/>
            </w:tcBorders>
            <w:vAlign w:val="center"/>
          </w:tcPr>
          <w:p w:rsidR="00AE7F9E" w:rsidRPr="005C202F" w:rsidRDefault="00AE7F9E" w:rsidP="00EF0782">
            <w:pPr>
              <w:pStyle w:val="TableText"/>
            </w:pPr>
            <w:r w:rsidRPr="005C202F">
              <w:t>Randomized, Double-blind, Multicenter, Active-controlled Study to Evaluate the Efficacy, Safety, and Tolerability of Intranasal Esketamine Plus an Oral Antidepressant in Elderly Subjects with Treatment-resistant Depression</w:t>
            </w:r>
          </w:p>
        </w:tc>
        <w:tc>
          <w:tcPr>
            <w:tcW w:w="1177" w:type="pct"/>
            <w:tcBorders>
              <w:bottom w:val="single" w:sz="4" w:space="0" w:color="auto"/>
            </w:tcBorders>
            <w:vAlign w:val="center"/>
          </w:tcPr>
          <w:p w:rsidR="00AE7F9E" w:rsidRPr="005C202F" w:rsidRDefault="00AE7F9E" w:rsidP="00EF0782">
            <w:pPr>
              <w:pStyle w:val="TableText"/>
            </w:pPr>
            <w:r w:rsidRPr="005C202F">
              <w:t>Internal study report; 12 July 2018</w:t>
            </w:r>
          </w:p>
        </w:tc>
      </w:tr>
      <w:tr w:rsidR="00AE7F9E" w:rsidRPr="005C202F" w:rsidTr="00EF0782">
        <w:trPr>
          <w:cantSplit/>
        </w:trPr>
        <w:tc>
          <w:tcPr>
            <w:tcW w:w="796" w:type="pct"/>
            <w:vMerge/>
            <w:tcBorders>
              <w:bottom w:val="single" w:sz="4" w:space="0" w:color="auto"/>
            </w:tcBorders>
            <w:vAlign w:val="center"/>
          </w:tcPr>
          <w:p w:rsidR="00AE7F9E" w:rsidRPr="005C202F" w:rsidRDefault="00AE7F9E" w:rsidP="00EF0782">
            <w:pPr>
              <w:pStyle w:val="TableText"/>
            </w:pP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 xml:space="preserve">Ochs-Ross R, Daly EJ, Zhang Y, Lane R, Lim P, Morrison RL, et al. (2020). Efficacy and Safety of Esketamine Nasal Spray Plus an Oral Antidepressant in Elderly Patients with Treatment-Resistant Depression-TRANSFORM-3. </w:t>
            </w:r>
          </w:p>
        </w:tc>
        <w:tc>
          <w:tcPr>
            <w:tcW w:w="1177" w:type="pct"/>
            <w:tcBorders>
              <w:top w:val="single" w:sz="4" w:space="0" w:color="auto"/>
              <w:bottom w:val="single" w:sz="4" w:space="0" w:color="auto"/>
            </w:tcBorders>
            <w:vAlign w:val="center"/>
          </w:tcPr>
          <w:p w:rsidR="00AE7F9E" w:rsidRPr="005C202F" w:rsidRDefault="00AE7F9E" w:rsidP="00EF0782">
            <w:pPr>
              <w:pStyle w:val="TableText"/>
              <w:rPr>
                <w:i/>
              </w:rPr>
            </w:pPr>
            <w:r w:rsidRPr="005C202F">
              <w:rPr>
                <w:szCs w:val="18"/>
              </w:rPr>
              <w:t>Am J Geriatr Psychiatry; 28(2):121-141.</w:t>
            </w:r>
          </w:p>
        </w:tc>
      </w:tr>
      <w:tr w:rsidR="00AE7F9E" w:rsidRPr="005C202F" w:rsidTr="00EF0782">
        <w:trPr>
          <w:cantSplit/>
        </w:trPr>
        <w:tc>
          <w:tcPr>
            <w:tcW w:w="796" w:type="pct"/>
            <w:vMerge w:val="restart"/>
            <w:tcBorders>
              <w:top w:val="single" w:sz="4" w:space="0" w:color="auto"/>
            </w:tcBorders>
            <w:vAlign w:val="center"/>
          </w:tcPr>
          <w:p w:rsidR="00AE7F9E" w:rsidRPr="005C202F" w:rsidRDefault="00AE7F9E" w:rsidP="00EF0782">
            <w:pPr>
              <w:pStyle w:val="TableText"/>
            </w:pPr>
            <w:r w:rsidRPr="005C202F">
              <w:t>SUSTAIN-1 (NCT02493868)</w:t>
            </w:r>
          </w:p>
        </w:tc>
        <w:tc>
          <w:tcPr>
            <w:tcW w:w="3027" w:type="pct"/>
            <w:tcBorders>
              <w:top w:val="single" w:sz="4" w:space="0" w:color="auto"/>
              <w:bottom w:val="single" w:sz="4" w:space="0" w:color="auto"/>
            </w:tcBorders>
            <w:vAlign w:val="center"/>
          </w:tcPr>
          <w:p w:rsidR="00AE7F9E" w:rsidRPr="005C202F" w:rsidRDefault="00AE7F9E" w:rsidP="00EF0782">
            <w:pPr>
              <w:pStyle w:val="TableText"/>
              <w:rPr>
                <w:szCs w:val="18"/>
              </w:rPr>
            </w:pPr>
            <w:r w:rsidRPr="005C202F">
              <w:rPr>
                <w:szCs w:val="18"/>
              </w:rPr>
              <w:t>A Randomized, Double-blind, Multicenter, Active-controlled Study of Intranasal Esketamine Plus an Oral Antidepressant for Relapse Prevention in Treatment-resistant Depression</w:t>
            </w:r>
          </w:p>
        </w:tc>
        <w:tc>
          <w:tcPr>
            <w:tcW w:w="1177" w:type="pct"/>
            <w:tcBorders>
              <w:top w:val="single" w:sz="4" w:space="0" w:color="auto"/>
              <w:bottom w:val="single" w:sz="4" w:space="0" w:color="auto"/>
            </w:tcBorders>
            <w:vAlign w:val="center"/>
          </w:tcPr>
          <w:p w:rsidR="00AE7F9E" w:rsidRPr="005C202F" w:rsidRDefault="00AE7F9E" w:rsidP="00EF0782">
            <w:pPr>
              <w:pStyle w:val="TableText"/>
            </w:pPr>
            <w:r w:rsidRPr="005C202F">
              <w:t>Internal study report; 15 August 2018</w:t>
            </w:r>
          </w:p>
        </w:tc>
      </w:tr>
      <w:tr w:rsidR="00AE7F9E" w:rsidRPr="005C202F" w:rsidTr="00EF0782">
        <w:trPr>
          <w:cantSplit/>
        </w:trPr>
        <w:tc>
          <w:tcPr>
            <w:tcW w:w="796" w:type="pct"/>
            <w:vMerge/>
            <w:vAlign w:val="center"/>
          </w:tcPr>
          <w:p w:rsidR="00AE7F9E" w:rsidRPr="005C202F" w:rsidRDefault="00AE7F9E" w:rsidP="00B77A30">
            <w:pPr>
              <w:pStyle w:val="TableText"/>
              <w:keepNext w:val="0"/>
            </w:pPr>
          </w:p>
        </w:tc>
        <w:tc>
          <w:tcPr>
            <w:tcW w:w="3027" w:type="pct"/>
            <w:tcBorders>
              <w:bottom w:val="single" w:sz="4" w:space="0" w:color="auto"/>
            </w:tcBorders>
            <w:vAlign w:val="center"/>
          </w:tcPr>
          <w:p w:rsidR="00AE7F9E" w:rsidRPr="005C202F" w:rsidRDefault="00AE7F9E" w:rsidP="00B77A30">
            <w:pPr>
              <w:pStyle w:val="TableText"/>
              <w:keepNext w:val="0"/>
            </w:pPr>
            <w:r w:rsidRPr="005C202F">
              <w:t xml:space="preserve">Daly EJ, Trivedi MH, Janik A, Li H, Zhang Y, Li X, et al. (2019). Efficacy of Esketamine Nasal Spray Plus Oral Antidepressant Treatment for Relapse Prevention in Patients With Treatment-Resistant Depression: A Randomized Clinical Trial. </w:t>
            </w:r>
          </w:p>
        </w:tc>
        <w:tc>
          <w:tcPr>
            <w:tcW w:w="1177" w:type="pct"/>
            <w:tcBorders>
              <w:bottom w:val="single" w:sz="4" w:space="0" w:color="auto"/>
            </w:tcBorders>
            <w:vAlign w:val="center"/>
          </w:tcPr>
          <w:p w:rsidR="00AE7F9E" w:rsidRPr="005C202F" w:rsidRDefault="00AE7F9E" w:rsidP="00B77A30">
            <w:pPr>
              <w:pStyle w:val="TableText"/>
              <w:keepNext w:val="0"/>
            </w:pPr>
            <w:r w:rsidRPr="005C202F">
              <w:t>JAMA Psychiatry; 76(9):893-903</w:t>
            </w:r>
          </w:p>
        </w:tc>
      </w:tr>
      <w:tr w:rsidR="00AE7F9E" w:rsidRPr="005C202F" w:rsidTr="00EF0782">
        <w:trPr>
          <w:cantSplit/>
        </w:trPr>
        <w:tc>
          <w:tcPr>
            <w:tcW w:w="796" w:type="pct"/>
            <w:vMerge/>
            <w:tcBorders>
              <w:bottom w:val="single" w:sz="4" w:space="0" w:color="auto"/>
            </w:tcBorders>
            <w:vAlign w:val="center"/>
          </w:tcPr>
          <w:p w:rsidR="00AE7F9E" w:rsidRPr="005C202F" w:rsidRDefault="00AE7F9E" w:rsidP="00B77A30">
            <w:pPr>
              <w:pStyle w:val="TableText"/>
              <w:keepNext w:val="0"/>
            </w:pPr>
          </w:p>
        </w:tc>
        <w:tc>
          <w:tcPr>
            <w:tcW w:w="3027" w:type="pct"/>
            <w:tcBorders>
              <w:top w:val="single" w:sz="4" w:space="0" w:color="auto"/>
              <w:bottom w:val="single" w:sz="4" w:space="0" w:color="auto"/>
            </w:tcBorders>
            <w:vAlign w:val="center"/>
          </w:tcPr>
          <w:p w:rsidR="00AE7F9E" w:rsidRPr="005C202F" w:rsidRDefault="00AE7F9E" w:rsidP="00B77A30">
            <w:pPr>
              <w:pStyle w:val="TableText"/>
              <w:keepNext w:val="0"/>
              <w:rPr>
                <w:szCs w:val="18"/>
              </w:rPr>
            </w:pPr>
            <w:r w:rsidRPr="005C202F">
              <w:t xml:space="preserve">Citrome L, DiBernardo A, Singh J. (2020). Appraising Esketamine Nasal Spray for the Management of Treatment-Resistant Depression in Adults: number Needed to Treat, Number Needed to Harm, and Likelihood to be Helped/Harmed. </w:t>
            </w:r>
          </w:p>
        </w:tc>
        <w:tc>
          <w:tcPr>
            <w:tcW w:w="1177" w:type="pct"/>
            <w:tcBorders>
              <w:top w:val="single" w:sz="4" w:space="0" w:color="auto"/>
              <w:bottom w:val="single" w:sz="4" w:space="0" w:color="auto"/>
            </w:tcBorders>
            <w:vAlign w:val="center"/>
          </w:tcPr>
          <w:p w:rsidR="00AE7F9E" w:rsidRPr="005C202F" w:rsidRDefault="00AE7F9E" w:rsidP="00B77A30">
            <w:pPr>
              <w:pStyle w:val="TableText"/>
              <w:keepNext w:val="0"/>
            </w:pPr>
            <w:r w:rsidRPr="005C202F">
              <w:t>J Aff Dis; 271:228-238.</w:t>
            </w:r>
          </w:p>
        </w:tc>
      </w:tr>
      <w:tr w:rsidR="00AE7F9E" w:rsidRPr="005C202F" w:rsidTr="00EF0782">
        <w:trPr>
          <w:cantSplit/>
        </w:trPr>
        <w:tc>
          <w:tcPr>
            <w:tcW w:w="796" w:type="pct"/>
            <w:tcBorders>
              <w:top w:val="single" w:sz="4" w:space="0" w:color="auto"/>
              <w:bottom w:val="single" w:sz="4" w:space="0" w:color="auto"/>
            </w:tcBorders>
            <w:vAlign w:val="center"/>
          </w:tcPr>
          <w:p w:rsidR="00AE7F9E" w:rsidRPr="005C202F" w:rsidRDefault="00AE7F9E" w:rsidP="00B77A30">
            <w:pPr>
              <w:pStyle w:val="TableText"/>
              <w:keepNext w:val="0"/>
            </w:pPr>
            <w:r w:rsidRPr="005C202F">
              <w:t>SUSTAIN-2 (NCT02497287)</w:t>
            </w:r>
          </w:p>
        </w:tc>
        <w:tc>
          <w:tcPr>
            <w:tcW w:w="3027" w:type="pct"/>
            <w:tcBorders>
              <w:top w:val="single" w:sz="4" w:space="0" w:color="auto"/>
              <w:bottom w:val="single" w:sz="4" w:space="0" w:color="auto"/>
            </w:tcBorders>
            <w:vAlign w:val="center"/>
          </w:tcPr>
          <w:p w:rsidR="00AE7F9E" w:rsidRPr="005C202F" w:rsidRDefault="00AE7F9E" w:rsidP="00B77A30">
            <w:pPr>
              <w:pStyle w:val="TableText"/>
              <w:keepNext w:val="0"/>
              <w:rPr>
                <w:szCs w:val="18"/>
              </w:rPr>
            </w:pPr>
            <w:r w:rsidRPr="005C202F">
              <w:rPr>
                <w:szCs w:val="18"/>
              </w:rPr>
              <w:t>An Open-label, Long-term, Safety and Efficacy Study of Intranasal Esketamine in Treatment-resistant Depression</w:t>
            </w:r>
          </w:p>
        </w:tc>
        <w:tc>
          <w:tcPr>
            <w:tcW w:w="1177" w:type="pct"/>
            <w:tcBorders>
              <w:top w:val="single" w:sz="4" w:space="0" w:color="auto"/>
              <w:bottom w:val="single" w:sz="4" w:space="0" w:color="auto"/>
            </w:tcBorders>
            <w:vAlign w:val="center"/>
          </w:tcPr>
          <w:p w:rsidR="00AE7F9E" w:rsidRPr="005C202F" w:rsidRDefault="00AE7F9E" w:rsidP="00B77A30">
            <w:pPr>
              <w:pStyle w:val="TableText"/>
              <w:keepNext w:val="0"/>
            </w:pPr>
            <w:r w:rsidRPr="005C202F">
              <w:t>Internal study report; 14 August 2018</w:t>
            </w:r>
          </w:p>
        </w:tc>
      </w:tr>
      <w:tr w:rsidR="00AE7F9E" w:rsidRPr="005C202F" w:rsidTr="00EF0782">
        <w:trPr>
          <w:cantSplit/>
        </w:trPr>
        <w:tc>
          <w:tcPr>
            <w:tcW w:w="796" w:type="pct"/>
            <w:tcBorders>
              <w:top w:val="single" w:sz="4" w:space="0" w:color="auto"/>
              <w:bottom w:val="single" w:sz="4" w:space="0" w:color="auto"/>
            </w:tcBorders>
            <w:vAlign w:val="center"/>
          </w:tcPr>
          <w:p w:rsidR="00AE7F9E" w:rsidRPr="005C202F" w:rsidRDefault="00AE7F9E" w:rsidP="00B77A30">
            <w:pPr>
              <w:pStyle w:val="TableText"/>
              <w:keepNext w:val="0"/>
            </w:pPr>
            <w:r w:rsidRPr="005C202F">
              <w:t>SUSTAIN-3 (NCT02782104)</w:t>
            </w:r>
          </w:p>
        </w:tc>
        <w:tc>
          <w:tcPr>
            <w:tcW w:w="3027" w:type="pct"/>
            <w:tcBorders>
              <w:top w:val="single" w:sz="4" w:space="0" w:color="auto"/>
              <w:bottom w:val="single" w:sz="4" w:space="0" w:color="auto"/>
            </w:tcBorders>
            <w:vAlign w:val="center"/>
          </w:tcPr>
          <w:p w:rsidR="00AE7F9E" w:rsidRPr="005C202F" w:rsidRDefault="00AE7F9E" w:rsidP="00B77A30">
            <w:pPr>
              <w:pStyle w:val="TableText"/>
              <w:keepNext w:val="0"/>
              <w:rPr>
                <w:szCs w:val="18"/>
              </w:rPr>
            </w:pPr>
            <w:r w:rsidRPr="005C202F">
              <w:rPr>
                <w:szCs w:val="18"/>
              </w:rPr>
              <w:t>An Open-label Long-term Extension Safety Study of Esketamine Nasal Spray in Treatment-resistant Depression</w:t>
            </w:r>
          </w:p>
        </w:tc>
        <w:tc>
          <w:tcPr>
            <w:tcW w:w="1177" w:type="pct"/>
            <w:tcBorders>
              <w:top w:val="single" w:sz="4" w:space="0" w:color="auto"/>
              <w:bottom w:val="single" w:sz="4" w:space="0" w:color="auto"/>
            </w:tcBorders>
            <w:vAlign w:val="center"/>
          </w:tcPr>
          <w:p w:rsidR="00AE7F9E" w:rsidRPr="005C202F" w:rsidRDefault="00AE7F9E" w:rsidP="00B77A30">
            <w:pPr>
              <w:pStyle w:val="TableText"/>
              <w:keepNext w:val="0"/>
            </w:pPr>
            <w:r w:rsidRPr="005C202F">
              <w:t>Internal study report; 21 May 2019</w:t>
            </w:r>
          </w:p>
        </w:tc>
      </w:tr>
    </w:tbl>
    <w:p w:rsidR="00AE7F9E" w:rsidRPr="005C202F" w:rsidRDefault="00AE7F9E" w:rsidP="00AE7F9E">
      <w:pPr>
        <w:pStyle w:val="TableFigureFooter"/>
        <w:rPr>
          <w:sz w:val="20"/>
        </w:rPr>
      </w:pPr>
      <w:r w:rsidRPr="005C202F">
        <w:t>Source: Table 2.2-2, pp.74-76 of the submission</w:t>
      </w:r>
    </w:p>
    <w:p w:rsidR="007F1017" w:rsidRPr="005C202F" w:rsidRDefault="008F120A" w:rsidP="00EC5836">
      <w:pPr>
        <w:pStyle w:val="ExecSumBodyText"/>
        <w:rPr>
          <w:color w:val="0066FF"/>
        </w:rPr>
      </w:pPr>
      <w:r w:rsidRPr="005C202F">
        <w:t xml:space="preserve">The key features of the </w:t>
      </w:r>
      <w:r w:rsidR="00621ADA" w:rsidRPr="005C202F">
        <w:t>included evidence</w:t>
      </w:r>
      <w:r w:rsidRPr="005C202F">
        <w:t xml:space="preserve"> are summarised in the table below.</w:t>
      </w:r>
      <w:r w:rsidR="00BC591F" w:rsidRPr="005C202F">
        <w:t xml:space="preserve"> </w:t>
      </w:r>
    </w:p>
    <w:p w:rsidR="007F1017" w:rsidRPr="005C202F" w:rsidRDefault="007F1017" w:rsidP="00EF0782">
      <w:pPr>
        <w:pStyle w:val="TableFigureCaption"/>
        <w:keepLines/>
      </w:pPr>
      <w:r w:rsidRPr="005C202F">
        <w:t xml:space="preserve">Table </w:t>
      </w:r>
      <w:r w:rsidR="00075956" w:rsidRPr="005C202F">
        <w:t>3</w:t>
      </w:r>
      <w:r w:rsidRPr="005C202F">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425"/>
        <w:gridCol w:w="1738"/>
        <w:gridCol w:w="657"/>
        <w:gridCol w:w="2287"/>
        <w:gridCol w:w="1173"/>
        <w:gridCol w:w="1466"/>
      </w:tblGrid>
      <w:tr w:rsidR="00B41614" w:rsidRPr="005C202F" w:rsidTr="00B77A30">
        <w:trPr>
          <w:cantSplit/>
          <w:tblHeader/>
        </w:trPr>
        <w:tc>
          <w:tcPr>
            <w:tcW w:w="1271" w:type="dxa"/>
            <w:shd w:val="clear" w:color="auto" w:fill="auto"/>
            <w:vAlign w:val="center"/>
          </w:tcPr>
          <w:p w:rsidR="007F1017" w:rsidRPr="005C202F" w:rsidRDefault="007F1017" w:rsidP="00EF0782">
            <w:pPr>
              <w:pStyle w:val="Tableheadingrow"/>
              <w:keepLines/>
              <w:rPr>
                <w:lang w:val="en-AU"/>
              </w:rPr>
            </w:pPr>
            <w:r w:rsidRPr="005C202F">
              <w:rPr>
                <w:lang w:val="en-AU"/>
              </w:rPr>
              <w:t>Trial</w:t>
            </w:r>
          </w:p>
        </w:tc>
        <w:tc>
          <w:tcPr>
            <w:tcW w:w="425" w:type="dxa"/>
            <w:shd w:val="clear" w:color="auto" w:fill="auto"/>
            <w:vAlign w:val="center"/>
          </w:tcPr>
          <w:p w:rsidR="007F1017" w:rsidRPr="005C202F" w:rsidRDefault="007F1017" w:rsidP="00EF0782">
            <w:pPr>
              <w:pStyle w:val="Tableheadingrow"/>
              <w:keepLines/>
              <w:jc w:val="center"/>
              <w:rPr>
                <w:lang w:val="en-AU"/>
              </w:rPr>
            </w:pPr>
            <w:r w:rsidRPr="005C202F">
              <w:rPr>
                <w:lang w:val="en-AU"/>
              </w:rPr>
              <w:t>N</w:t>
            </w:r>
          </w:p>
        </w:tc>
        <w:tc>
          <w:tcPr>
            <w:tcW w:w="1738" w:type="dxa"/>
            <w:shd w:val="clear" w:color="auto" w:fill="auto"/>
            <w:vAlign w:val="center"/>
          </w:tcPr>
          <w:p w:rsidR="007F1017" w:rsidRPr="005C202F" w:rsidRDefault="007F1017" w:rsidP="00EF0782">
            <w:pPr>
              <w:pStyle w:val="Tableheadingrow"/>
              <w:keepLines/>
              <w:jc w:val="center"/>
              <w:rPr>
                <w:lang w:val="en-AU"/>
              </w:rPr>
            </w:pPr>
            <w:r w:rsidRPr="005C202F">
              <w:rPr>
                <w:lang w:val="en-AU"/>
              </w:rPr>
              <w:t>Design/ duration</w:t>
            </w:r>
          </w:p>
        </w:tc>
        <w:tc>
          <w:tcPr>
            <w:tcW w:w="657" w:type="dxa"/>
            <w:shd w:val="clear" w:color="auto" w:fill="auto"/>
            <w:vAlign w:val="center"/>
          </w:tcPr>
          <w:p w:rsidR="007F1017" w:rsidRPr="005C202F" w:rsidRDefault="007F1017" w:rsidP="00EF0782">
            <w:pPr>
              <w:pStyle w:val="Tableheadingrow"/>
              <w:keepLines/>
              <w:jc w:val="center"/>
              <w:rPr>
                <w:lang w:val="en-AU"/>
              </w:rPr>
            </w:pPr>
            <w:r w:rsidRPr="005C202F">
              <w:rPr>
                <w:lang w:val="en-AU"/>
              </w:rPr>
              <w:t>Risk of bias</w:t>
            </w:r>
          </w:p>
        </w:tc>
        <w:tc>
          <w:tcPr>
            <w:tcW w:w="2287" w:type="dxa"/>
            <w:shd w:val="clear" w:color="auto" w:fill="auto"/>
            <w:vAlign w:val="center"/>
          </w:tcPr>
          <w:p w:rsidR="007F1017" w:rsidRPr="005C202F" w:rsidRDefault="007F1017" w:rsidP="00EF0782">
            <w:pPr>
              <w:pStyle w:val="Tableheadingrow"/>
              <w:keepLines/>
              <w:jc w:val="center"/>
              <w:rPr>
                <w:lang w:val="en-AU"/>
              </w:rPr>
            </w:pPr>
            <w:r w:rsidRPr="005C202F">
              <w:rPr>
                <w:lang w:val="en-AU"/>
              </w:rPr>
              <w:t>Patient population</w:t>
            </w:r>
          </w:p>
        </w:tc>
        <w:tc>
          <w:tcPr>
            <w:tcW w:w="1173" w:type="dxa"/>
            <w:shd w:val="clear" w:color="auto" w:fill="auto"/>
            <w:vAlign w:val="center"/>
          </w:tcPr>
          <w:p w:rsidR="007F1017" w:rsidRPr="005C202F" w:rsidRDefault="007F1017" w:rsidP="00EF0782">
            <w:pPr>
              <w:pStyle w:val="Tableheadingrow"/>
              <w:keepLines/>
              <w:jc w:val="center"/>
              <w:rPr>
                <w:lang w:val="en-AU"/>
              </w:rPr>
            </w:pPr>
            <w:r w:rsidRPr="005C202F">
              <w:rPr>
                <w:lang w:val="en-AU"/>
              </w:rPr>
              <w:t>Outcomes</w:t>
            </w:r>
          </w:p>
        </w:tc>
        <w:tc>
          <w:tcPr>
            <w:tcW w:w="1466" w:type="dxa"/>
            <w:shd w:val="clear" w:color="auto" w:fill="auto"/>
            <w:vAlign w:val="center"/>
          </w:tcPr>
          <w:p w:rsidR="007F1017" w:rsidRPr="005C202F" w:rsidRDefault="007F1017" w:rsidP="00EF0782">
            <w:pPr>
              <w:pStyle w:val="Tableheadingrow"/>
              <w:keepLines/>
              <w:jc w:val="center"/>
              <w:rPr>
                <w:lang w:val="en-AU"/>
              </w:rPr>
            </w:pPr>
            <w:r w:rsidRPr="005C202F">
              <w:rPr>
                <w:lang w:val="en-AU"/>
              </w:rPr>
              <w:t>Use in modelled evaluation</w:t>
            </w:r>
          </w:p>
        </w:tc>
      </w:tr>
      <w:tr w:rsidR="007F1017" w:rsidRPr="005C202F" w:rsidTr="00B77A30">
        <w:trPr>
          <w:cantSplit/>
        </w:trPr>
        <w:tc>
          <w:tcPr>
            <w:tcW w:w="9017" w:type="dxa"/>
            <w:gridSpan w:val="7"/>
            <w:shd w:val="clear" w:color="auto" w:fill="auto"/>
            <w:vAlign w:val="center"/>
          </w:tcPr>
          <w:p w:rsidR="007F1017" w:rsidRPr="005C202F" w:rsidRDefault="00075956" w:rsidP="00EF0782">
            <w:pPr>
              <w:pStyle w:val="Tableheadingrow"/>
              <w:keepLines/>
              <w:rPr>
                <w:lang w:val="en-AU"/>
              </w:rPr>
            </w:pPr>
            <w:r w:rsidRPr="005C202F">
              <w:rPr>
                <w:lang w:val="en-AU"/>
              </w:rPr>
              <w:t xml:space="preserve">Esketamine nasal spray + </w:t>
            </w:r>
            <w:r w:rsidR="00766CB9" w:rsidRPr="005C202F">
              <w:rPr>
                <w:lang w:val="en-AU"/>
              </w:rPr>
              <w:t>oral antidepressant</w:t>
            </w:r>
            <w:r w:rsidRPr="005C202F">
              <w:rPr>
                <w:lang w:val="en-AU"/>
              </w:rPr>
              <w:t xml:space="preserve"> </w:t>
            </w:r>
            <w:r w:rsidR="00766CB9" w:rsidRPr="005C202F">
              <w:rPr>
                <w:lang w:val="en-AU"/>
              </w:rPr>
              <w:t>versus placebo + oral antidepressant</w:t>
            </w:r>
          </w:p>
        </w:tc>
      </w:tr>
      <w:tr w:rsidR="00C20F48" w:rsidRPr="005C202F" w:rsidTr="00B77A30">
        <w:trPr>
          <w:cantSplit/>
        </w:trPr>
        <w:tc>
          <w:tcPr>
            <w:tcW w:w="1271" w:type="dxa"/>
            <w:shd w:val="clear" w:color="auto" w:fill="auto"/>
            <w:vAlign w:val="center"/>
          </w:tcPr>
          <w:p w:rsidR="00C20F48" w:rsidRPr="005C202F" w:rsidRDefault="00C20F48" w:rsidP="009523FA">
            <w:pPr>
              <w:pStyle w:val="TableText"/>
              <w:jc w:val="center"/>
            </w:pPr>
            <w:r w:rsidRPr="005C202F">
              <w:t>TRANSFORM-2</w:t>
            </w:r>
          </w:p>
        </w:tc>
        <w:tc>
          <w:tcPr>
            <w:tcW w:w="425" w:type="dxa"/>
            <w:shd w:val="clear" w:color="auto" w:fill="auto"/>
            <w:vAlign w:val="center"/>
          </w:tcPr>
          <w:p w:rsidR="00C20F48" w:rsidRPr="005C202F" w:rsidRDefault="008D3EF5" w:rsidP="009523FA">
            <w:pPr>
              <w:pStyle w:val="TableText"/>
              <w:jc w:val="center"/>
            </w:pPr>
            <w:r w:rsidRPr="005C202F">
              <w:t>227</w:t>
            </w:r>
          </w:p>
        </w:tc>
        <w:tc>
          <w:tcPr>
            <w:tcW w:w="1738" w:type="dxa"/>
            <w:vAlign w:val="center"/>
          </w:tcPr>
          <w:p w:rsidR="00C20F48" w:rsidRPr="005C202F" w:rsidRDefault="00811760" w:rsidP="009523FA">
            <w:pPr>
              <w:pStyle w:val="TableText"/>
            </w:pPr>
            <w:r w:rsidRPr="005C202F">
              <w:t>MC</w:t>
            </w:r>
            <w:r w:rsidR="00C20F48" w:rsidRPr="005C202F">
              <w:t xml:space="preserve">, </w:t>
            </w:r>
            <w:r w:rsidRPr="005C202F">
              <w:t>DB</w:t>
            </w:r>
            <w:r w:rsidR="00C20F48" w:rsidRPr="005C202F">
              <w:t xml:space="preserve">, flexibly dosed (56 mg or 84 mg), active comparator </w:t>
            </w:r>
            <w:r w:rsidRPr="005C202F">
              <w:t>RCT</w:t>
            </w:r>
            <w:r w:rsidR="00C20F48" w:rsidRPr="005C202F">
              <w:t xml:space="preserve">. </w:t>
            </w:r>
            <w:r w:rsidRPr="005C202F">
              <w:t>M</w:t>
            </w:r>
            <w:r w:rsidR="00C20F48" w:rsidRPr="005C202F">
              <w:t xml:space="preserve">edian duration of exposure was 25 days. </w:t>
            </w:r>
          </w:p>
        </w:tc>
        <w:tc>
          <w:tcPr>
            <w:tcW w:w="657" w:type="dxa"/>
            <w:vAlign w:val="center"/>
          </w:tcPr>
          <w:p w:rsidR="00C20F48" w:rsidRPr="005C202F" w:rsidRDefault="00C20F48" w:rsidP="009523FA">
            <w:pPr>
              <w:pStyle w:val="TableText"/>
              <w:jc w:val="center"/>
            </w:pPr>
            <w:r w:rsidRPr="005C202F">
              <w:rPr>
                <w:iCs/>
              </w:rPr>
              <w:t>Low</w:t>
            </w:r>
          </w:p>
        </w:tc>
        <w:tc>
          <w:tcPr>
            <w:tcW w:w="2287" w:type="dxa"/>
            <w:shd w:val="clear" w:color="auto" w:fill="auto"/>
            <w:vAlign w:val="center"/>
          </w:tcPr>
          <w:p w:rsidR="00C20F48" w:rsidRPr="005C202F" w:rsidRDefault="007F1935" w:rsidP="009523FA">
            <w:pPr>
              <w:pStyle w:val="TableText"/>
            </w:pPr>
            <w:r w:rsidRPr="005C202F">
              <w:t xml:space="preserve">Adults aged 18-64 years with single-episode or recurrent moderate to severe MDD, and non-response to prior treatment with </w:t>
            </w:r>
            <w:r w:rsidR="00CD3664" w:rsidRPr="005C202F">
              <w:t xml:space="preserve">1-5 </w:t>
            </w:r>
            <w:r w:rsidRPr="005C202F">
              <w:t>antidepressants in the current episode</w:t>
            </w:r>
          </w:p>
        </w:tc>
        <w:tc>
          <w:tcPr>
            <w:tcW w:w="1173" w:type="dxa"/>
            <w:shd w:val="clear" w:color="auto" w:fill="auto"/>
            <w:vAlign w:val="center"/>
          </w:tcPr>
          <w:p w:rsidR="00C20F48" w:rsidRPr="005C202F" w:rsidRDefault="00CC01BF" w:rsidP="009523FA">
            <w:pPr>
              <w:pStyle w:val="TableText"/>
            </w:pPr>
            <w:r w:rsidRPr="005C202F">
              <w:t>Change from baseline in MADRS</w:t>
            </w:r>
          </w:p>
          <w:p w:rsidR="00CC01BF" w:rsidRPr="005C202F" w:rsidRDefault="00CC01BF" w:rsidP="009523FA">
            <w:pPr>
              <w:pStyle w:val="TableText"/>
            </w:pPr>
            <w:r w:rsidRPr="005C202F">
              <w:t>Proportion achieving response/ remission</w:t>
            </w:r>
          </w:p>
        </w:tc>
        <w:tc>
          <w:tcPr>
            <w:tcW w:w="1466" w:type="dxa"/>
            <w:shd w:val="clear" w:color="auto" w:fill="auto"/>
            <w:vAlign w:val="center"/>
          </w:tcPr>
          <w:p w:rsidR="00C20F48" w:rsidRPr="005C202F" w:rsidRDefault="00DC03F7" w:rsidP="009523FA">
            <w:pPr>
              <w:pStyle w:val="TableText"/>
              <w:jc w:val="center"/>
            </w:pPr>
            <w:r w:rsidRPr="005C202F">
              <w:t>Proportion achieving response/ remission</w:t>
            </w:r>
          </w:p>
        </w:tc>
      </w:tr>
      <w:tr w:rsidR="00C20F48" w:rsidRPr="005C202F" w:rsidTr="00B77A30">
        <w:trPr>
          <w:cantSplit/>
        </w:trPr>
        <w:tc>
          <w:tcPr>
            <w:tcW w:w="1271" w:type="dxa"/>
            <w:shd w:val="clear" w:color="auto" w:fill="auto"/>
            <w:vAlign w:val="center"/>
          </w:tcPr>
          <w:p w:rsidR="00C20F48" w:rsidRPr="005C202F" w:rsidRDefault="00C20F48" w:rsidP="009523FA">
            <w:pPr>
              <w:pStyle w:val="TableText"/>
              <w:jc w:val="center"/>
            </w:pPr>
            <w:r w:rsidRPr="005C202F">
              <w:t>TRANSFORM-1</w:t>
            </w:r>
          </w:p>
        </w:tc>
        <w:tc>
          <w:tcPr>
            <w:tcW w:w="425" w:type="dxa"/>
            <w:shd w:val="clear" w:color="auto" w:fill="auto"/>
            <w:vAlign w:val="center"/>
          </w:tcPr>
          <w:p w:rsidR="00C20F48" w:rsidRPr="005C202F" w:rsidRDefault="008D3EF5" w:rsidP="009523FA">
            <w:pPr>
              <w:pStyle w:val="TableText"/>
              <w:jc w:val="center"/>
            </w:pPr>
            <w:r w:rsidRPr="005C202F">
              <w:t>346</w:t>
            </w:r>
          </w:p>
        </w:tc>
        <w:tc>
          <w:tcPr>
            <w:tcW w:w="1738" w:type="dxa"/>
          </w:tcPr>
          <w:p w:rsidR="00C20F48" w:rsidRPr="005C202F" w:rsidRDefault="00185F15" w:rsidP="009523FA">
            <w:pPr>
              <w:pStyle w:val="TableText"/>
            </w:pPr>
            <w:r w:rsidRPr="005C202F">
              <w:t>MC, DB, fixed dose (56 mg or 84 mg), active comparator RCT. Median duration of exposure was 25 days</w:t>
            </w:r>
            <w:r w:rsidR="00EF0782" w:rsidRPr="005C202F">
              <w:t>.</w:t>
            </w:r>
          </w:p>
        </w:tc>
        <w:tc>
          <w:tcPr>
            <w:tcW w:w="657" w:type="dxa"/>
            <w:vAlign w:val="center"/>
          </w:tcPr>
          <w:p w:rsidR="00C20F48" w:rsidRPr="005C202F" w:rsidRDefault="00C20F48" w:rsidP="009523FA">
            <w:pPr>
              <w:pStyle w:val="TableText"/>
              <w:jc w:val="center"/>
            </w:pPr>
            <w:r w:rsidRPr="005C202F">
              <w:rPr>
                <w:iCs/>
              </w:rPr>
              <w:t>Low</w:t>
            </w:r>
          </w:p>
        </w:tc>
        <w:tc>
          <w:tcPr>
            <w:tcW w:w="2287" w:type="dxa"/>
            <w:shd w:val="clear" w:color="auto" w:fill="auto"/>
            <w:vAlign w:val="center"/>
          </w:tcPr>
          <w:p w:rsidR="00C20F48" w:rsidRPr="005C202F" w:rsidRDefault="007F1935" w:rsidP="009523FA">
            <w:pPr>
              <w:pStyle w:val="TableText"/>
            </w:pPr>
            <w:r w:rsidRPr="005C202F">
              <w:t xml:space="preserve">Adults aged 18-64 years with single-episode or recurrent moderate to severe MDD, and non-response to prior treatment with </w:t>
            </w:r>
            <w:r w:rsidR="00CD3664" w:rsidRPr="005C202F">
              <w:t xml:space="preserve">1-5 </w:t>
            </w:r>
            <w:r w:rsidRPr="005C202F">
              <w:t>antidepressants in the current episode</w:t>
            </w:r>
          </w:p>
        </w:tc>
        <w:tc>
          <w:tcPr>
            <w:tcW w:w="1173" w:type="dxa"/>
            <w:shd w:val="clear" w:color="auto" w:fill="auto"/>
            <w:vAlign w:val="center"/>
          </w:tcPr>
          <w:p w:rsidR="00CC01BF" w:rsidRPr="005C202F" w:rsidRDefault="00CC01BF" w:rsidP="009523FA">
            <w:pPr>
              <w:pStyle w:val="TableText"/>
            </w:pPr>
            <w:r w:rsidRPr="005C202F">
              <w:t>Change from baseline in MADRS</w:t>
            </w:r>
          </w:p>
          <w:p w:rsidR="00C20F48" w:rsidRPr="005C202F" w:rsidRDefault="00CC01BF" w:rsidP="009523FA">
            <w:pPr>
              <w:pStyle w:val="TableText"/>
            </w:pPr>
            <w:r w:rsidRPr="005C202F">
              <w:t>Proportion achieving response/ remission</w:t>
            </w:r>
          </w:p>
        </w:tc>
        <w:tc>
          <w:tcPr>
            <w:tcW w:w="1466" w:type="dxa"/>
            <w:shd w:val="clear" w:color="auto" w:fill="auto"/>
            <w:vAlign w:val="center"/>
          </w:tcPr>
          <w:p w:rsidR="00C20F48" w:rsidRPr="005C202F" w:rsidRDefault="00DC03F7" w:rsidP="009523FA">
            <w:pPr>
              <w:pStyle w:val="TableText"/>
              <w:jc w:val="center"/>
            </w:pPr>
            <w:r w:rsidRPr="005C202F">
              <w:t>Not used</w:t>
            </w:r>
          </w:p>
        </w:tc>
      </w:tr>
      <w:tr w:rsidR="00C20F48" w:rsidRPr="005C202F" w:rsidTr="00B77A30">
        <w:trPr>
          <w:cantSplit/>
        </w:trPr>
        <w:tc>
          <w:tcPr>
            <w:tcW w:w="1271" w:type="dxa"/>
            <w:shd w:val="clear" w:color="auto" w:fill="auto"/>
            <w:vAlign w:val="center"/>
          </w:tcPr>
          <w:p w:rsidR="00C20F48" w:rsidRPr="005C202F" w:rsidRDefault="00C20F48" w:rsidP="009523FA">
            <w:pPr>
              <w:pStyle w:val="TableText"/>
              <w:jc w:val="center"/>
            </w:pPr>
            <w:r w:rsidRPr="005C202F">
              <w:t>TRANSFORM-3</w:t>
            </w:r>
          </w:p>
        </w:tc>
        <w:tc>
          <w:tcPr>
            <w:tcW w:w="425" w:type="dxa"/>
            <w:shd w:val="clear" w:color="auto" w:fill="auto"/>
            <w:vAlign w:val="center"/>
          </w:tcPr>
          <w:p w:rsidR="00C20F48" w:rsidRPr="005C202F" w:rsidRDefault="00D37D14" w:rsidP="009523FA">
            <w:pPr>
              <w:pStyle w:val="TableText"/>
              <w:jc w:val="center"/>
            </w:pPr>
            <w:r w:rsidRPr="005C202F">
              <w:t>138</w:t>
            </w:r>
          </w:p>
        </w:tc>
        <w:tc>
          <w:tcPr>
            <w:tcW w:w="1738" w:type="dxa"/>
          </w:tcPr>
          <w:p w:rsidR="00C20F48" w:rsidRPr="005C202F" w:rsidRDefault="00FE2B94" w:rsidP="009523FA">
            <w:pPr>
              <w:pStyle w:val="TableText"/>
            </w:pPr>
            <w:r w:rsidRPr="005C202F">
              <w:t>MC</w:t>
            </w:r>
            <w:r w:rsidR="00185F15" w:rsidRPr="005C202F">
              <w:t xml:space="preserve">, DB, flexibly dosed (28 mg, 56 mg or 84 mg), active comparator RCT in older adults. Median duration of exposure was 25 days. </w:t>
            </w:r>
          </w:p>
        </w:tc>
        <w:tc>
          <w:tcPr>
            <w:tcW w:w="657" w:type="dxa"/>
            <w:vAlign w:val="center"/>
          </w:tcPr>
          <w:p w:rsidR="00C20F48" w:rsidRPr="005C202F" w:rsidRDefault="00C20F48" w:rsidP="009523FA">
            <w:pPr>
              <w:pStyle w:val="TableText"/>
              <w:jc w:val="center"/>
            </w:pPr>
            <w:r w:rsidRPr="005C202F">
              <w:rPr>
                <w:iCs/>
              </w:rPr>
              <w:t>Low</w:t>
            </w:r>
          </w:p>
        </w:tc>
        <w:tc>
          <w:tcPr>
            <w:tcW w:w="2287" w:type="dxa"/>
            <w:shd w:val="clear" w:color="auto" w:fill="auto"/>
            <w:vAlign w:val="center"/>
          </w:tcPr>
          <w:p w:rsidR="00C20F48" w:rsidRPr="005C202F" w:rsidRDefault="007F1935" w:rsidP="009523FA">
            <w:pPr>
              <w:pStyle w:val="TableText"/>
            </w:pPr>
            <w:r w:rsidRPr="005C202F">
              <w:t xml:space="preserve">Adults aged 65 years+ with single-episode or recurrent moderate to severe MDD, and non-response to prior treatment with </w:t>
            </w:r>
            <w:r w:rsidR="00CD3664" w:rsidRPr="005C202F">
              <w:t>1-8</w:t>
            </w:r>
            <w:r w:rsidRPr="005C202F">
              <w:t xml:space="preserve"> antidepressants in the current episode</w:t>
            </w:r>
          </w:p>
        </w:tc>
        <w:tc>
          <w:tcPr>
            <w:tcW w:w="1173" w:type="dxa"/>
            <w:shd w:val="clear" w:color="auto" w:fill="auto"/>
            <w:vAlign w:val="center"/>
          </w:tcPr>
          <w:p w:rsidR="00CC01BF" w:rsidRPr="005C202F" w:rsidRDefault="00CC01BF" w:rsidP="009523FA">
            <w:pPr>
              <w:pStyle w:val="TableText"/>
            </w:pPr>
            <w:r w:rsidRPr="005C202F">
              <w:t>Change from baseline in MADRS</w:t>
            </w:r>
          </w:p>
          <w:p w:rsidR="00C20F48" w:rsidRPr="005C202F" w:rsidRDefault="00CC01BF" w:rsidP="009523FA">
            <w:pPr>
              <w:pStyle w:val="TableText"/>
            </w:pPr>
            <w:r w:rsidRPr="005C202F">
              <w:t>Proportion achieving response/ remission</w:t>
            </w:r>
          </w:p>
        </w:tc>
        <w:tc>
          <w:tcPr>
            <w:tcW w:w="1466" w:type="dxa"/>
            <w:shd w:val="clear" w:color="auto" w:fill="auto"/>
            <w:vAlign w:val="center"/>
          </w:tcPr>
          <w:p w:rsidR="00C20F48" w:rsidRPr="005C202F" w:rsidRDefault="00DC03F7" w:rsidP="009523FA">
            <w:pPr>
              <w:pStyle w:val="TableText"/>
              <w:jc w:val="center"/>
            </w:pPr>
            <w:r w:rsidRPr="005C202F">
              <w:t>Not used</w:t>
            </w:r>
          </w:p>
        </w:tc>
      </w:tr>
      <w:tr w:rsidR="003C0A46" w:rsidRPr="005C202F" w:rsidTr="00B77A30">
        <w:trPr>
          <w:cantSplit/>
        </w:trPr>
        <w:tc>
          <w:tcPr>
            <w:tcW w:w="1271" w:type="dxa"/>
            <w:shd w:val="clear" w:color="auto" w:fill="auto"/>
            <w:vAlign w:val="center"/>
          </w:tcPr>
          <w:p w:rsidR="003C0A46" w:rsidRPr="005C202F" w:rsidRDefault="003C0A46" w:rsidP="009523FA">
            <w:pPr>
              <w:pStyle w:val="TableText"/>
              <w:jc w:val="center"/>
            </w:pPr>
            <w:r w:rsidRPr="005C202F">
              <w:t>SUSTAIN-1</w:t>
            </w:r>
          </w:p>
        </w:tc>
        <w:tc>
          <w:tcPr>
            <w:tcW w:w="425" w:type="dxa"/>
            <w:shd w:val="clear" w:color="auto" w:fill="auto"/>
            <w:vAlign w:val="center"/>
          </w:tcPr>
          <w:p w:rsidR="003C0A46" w:rsidRPr="005C202F" w:rsidRDefault="00D37D14" w:rsidP="009523FA">
            <w:pPr>
              <w:pStyle w:val="TableText"/>
              <w:jc w:val="center"/>
            </w:pPr>
            <w:r w:rsidRPr="005C202F">
              <w:t xml:space="preserve">452 </w:t>
            </w:r>
          </w:p>
        </w:tc>
        <w:tc>
          <w:tcPr>
            <w:tcW w:w="1738" w:type="dxa"/>
          </w:tcPr>
          <w:p w:rsidR="003C0A46" w:rsidRPr="005C202F" w:rsidRDefault="00FE2B94" w:rsidP="009523FA">
            <w:pPr>
              <w:pStyle w:val="TableText"/>
            </w:pPr>
            <w:r w:rsidRPr="005C202F">
              <w:t>MC, DB, flexibly dosed (56 mg or 84 mg), active comparator RCT</w:t>
            </w:r>
            <w:r w:rsidRPr="005C202F">
              <w:rPr>
                <w:b/>
                <w:bCs w:val="0"/>
              </w:rPr>
              <w:t xml:space="preserve"> </w:t>
            </w:r>
            <w:r w:rsidR="003C0A46" w:rsidRPr="005C202F">
              <w:t>relapse prevention study using a randomised withdrawal design.</w:t>
            </w:r>
            <w:r w:rsidR="003C0A46" w:rsidRPr="005C202F">
              <w:rPr>
                <w:b/>
                <w:bCs w:val="0"/>
              </w:rPr>
              <w:t xml:space="preserve"> </w:t>
            </w:r>
          </w:p>
        </w:tc>
        <w:tc>
          <w:tcPr>
            <w:tcW w:w="657" w:type="dxa"/>
            <w:vAlign w:val="center"/>
          </w:tcPr>
          <w:p w:rsidR="003C0A46" w:rsidRPr="005C202F" w:rsidRDefault="003C0A46" w:rsidP="009523FA">
            <w:pPr>
              <w:pStyle w:val="TableText"/>
              <w:jc w:val="center"/>
            </w:pPr>
            <w:r w:rsidRPr="005C202F">
              <w:rPr>
                <w:iCs/>
              </w:rPr>
              <w:t>Unclear</w:t>
            </w:r>
          </w:p>
        </w:tc>
        <w:tc>
          <w:tcPr>
            <w:tcW w:w="2287" w:type="dxa"/>
            <w:shd w:val="clear" w:color="auto" w:fill="auto"/>
            <w:vAlign w:val="center"/>
          </w:tcPr>
          <w:p w:rsidR="003C0A46" w:rsidRPr="005C202F" w:rsidRDefault="007F1935" w:rsidP="009523FA">
            <w:pPr>
              <w:pStyle w:val="TableText"/>
            </w:pPr>
            <w:r w:rsidRPr="005C202F">
              <w:t xml:space="preserve">Adults aged 18-64 years with single-episode or recurrent moderate to severe MDD, and non-response to prior treatment </w:t>
            </w:r>
            <w:r w:rsidR="00370F2A" w:rsidRPr="005C202F">
              <w:t>with 1-5</w:t>
            </w:r>
            <w:r w:rsidRPr="005C202F">
              <w:t xml:space="preserve"> antidepressants in the current episode</w:t>
            </w:r>
          </w:p>
        </w:tc>
        <w:tc>
          <w:tcPr>
            <w:tcW w:w="1173" w:type="dxa"/>
            <w:shd w:val="clear" w:color="auto" w:fill="auto"/>
            <w:vAlign w:val="center"/>
          </w:tcPr>
          <w:p w:rsidR="003C0A46" w:rsidRPr="005C202F" w:rsidRDefault="00573C65" w:rsidP="009523FA">
            <w:pPr>
              <w:pStyle w:val="TableText"/>
            </w:pPr>
            <w:r w:rsidRPr="005C202F">
              <w:t>Proportion of relapses in stable remitters/ responders</w:t>
            </w:r>
          </w:p>
        </w:tc>
        <w:tc>
          <w:tcPr>
            <w:tcW w:w="1466" w:type="dxa"/>
            <w:shd w:val="clear" w:color="auto" w:fill="auto"/>
            <w:vAlign w:val="center"/>
          </w:tcPr>
          <w:p w:rsidR="003C0A46" w:rsidRPr="005C202F" w:rsidRDefault="00567F37" w:rsidP="009523FA">
            <w:pPr>
              <w:pStyle w:val="TableText"/>
              <w:jc w:val="center"/>
            </w:pPr>
            <w:r w:rsidRPr="005C202F">
              <w:t>Proportion</w:t>
            </w:r>
            <w:r w:rsidR="00983D9B" w:rsidRPr="005C202F">
              <w:t>s</w:t>
            </w:r>
            <w:r w:rsidRPr="005C202F">
              <w:t xml:space="preserve"> of relapses in stable remitters/ responders</w:t>
            </w:r>
            <w:r w:rsidR="00B15528" w:rsidRPr="005C202F">
              <w:t>, remission from response, recurrence from recovery</w:t>
            </w:r>
          </w:p>
        </w:tc>
      </w:tr>
      <w:tr w:rsidR="003C0A46" w:rsidRPr="005C202F" w:rsidTr="00B77A30">
        <w:trPr>
          <w:cantSplit/>
        </w:trPr>
        <w:tc>
          <w:tcPr>
            <w:tcW w:w="1271" w:type="dxa"/>
            <w:shd w:val="clear" w:color="auto" w:fill="auto"/>
            <w:vAlign w:val="center"/>
          </w:tcPr>
          <w:p w:rsidR="003C0A46" w:rsidRPr="005C202F" w:rsidRDefault="003C0A46" w:rsidP="009523FA">
            <w:pPr>
              <w:pStyle w:val="TableText"/>
              <w:jc w:val="center"/>
            </w:pPr>
            <w:r w:rsidRPr="005C202F">
              <w:t>SUSTAIN-2</w:t>
            </w:r>
          </w:p>
        </w:tc>
        <w:tc>
          <w:tcPr>
            <w:tcW w:w="425" w:type="dxa"/>
            <w:shd w:val="clear" w:color="auto" w:fill="auto"/>
            <w:vAlign w:val="center"/>
          </w:tcPr>
          <w:p w:rsidR="003C0A46" w:rsidRPr="005C202F" w:rsidRDefault="00D37D14" w:rsidP="009523FA">
            <w:pPr>
              <w:pStyle w:val="TableText"/>
              <w:jc w:val="center"/>
            </w:pPr>
            <w:r w:rsidRPr="005C202F">
              <w:t>802</w:t>
            </w:r>
          </w:p>
        </w:tc>
        <w:tc>
          <w:tcPr>
            <w:tcW w:w="1738" w:type="dxa"/>
          </w:tcPr>
          <w:p w:rsidR="003C0A46" w:rsidRPr="005C202F" w:rsidRDefault="0029721E" w:rsidP="009523FA">
            <w:pPr>
              <w:pStyle w:val="TableText"/>
            </w:pPr>
            <w:r w:rsidRPr="005C202F">
              <w:t>OL, MC</w:t>
            </w:r>
            <w:r w:rsidR="003C0A46" w:rsidRPr="005C202F">
              <w:t>, long-term safety</w:t>
            </w:r>
            <w:r w:rsidRPr="005C202F">
              <w:t xml:space="preserve"> study</w:t>
            </w:r>
            <w:r w:rsidR="003C0A46" w:rsidRPr="005C202F">
              <w:t>. The median duration of exposure was 22.9 weeks.</w:t>
            </w:r>
          </w:p>
        </w:tc>
        <w:tc>
          <w:tcPr>
            <w:tcW w:w="657" w:type="dxa"/>
            <w:vAlign w:val="center"/>
          </w:tcPr>
          <w:p w:rsidR="003C0A46" w:rsidRPr="005C202F" w:rsidRDefault="003C0A46" w:rsidP="009523FA">
            <w:pPr>
              <w:pStyle w:val="TableText"/>
              <w:jc w:val="center"/>
            </w:pPr>
            <w:r w:rsidRPr="005C202F">
              <w:rPr>
                <w:iCs/>
              </w:rPr>
              <w:t>High</w:t>
            </w:r>
          </w:p>
        </w:tc>
        <w:tc>
          <w:tcPr>
            <w:tcW w:w="2287" w:type="dxa"/>
            <w:shd w:val="clear" w:color="auto" w:fill="auto"/>
            <w:vAlign w:val="center"/>
          </w:tcPr>
          <w:p w:rsidR="003C0A46" w:rsidRPr="005C202F" w:rsidRDefault="007F1935" w:rsidP="009523FA">
            <w:pPr>
              <w:pStyle w:val="TableText"/>
            </w:pPr>
            <w:r w:rsidRPr="005C202F">
              <w:t>Adults aged 18 years</w:t>
            </w:r>
            <w:r w:rsidR="008C39C3" w:rsidRPr="005C202F">
              <w:t>+</w:t>
            </w:r>
            <w:r w:rsidRPr="005C202F">
              <w:t xml:space="preserve"> with single-episode or recurrent moderate to severe MDD, and non-response to prior treatment </w:t>
            </w:r>
            <w:r w:rsidR="00370F2A" w:rsidRPr="005C202F">
              <w:t xml:space="preserve">with ≥2 </w:t>
            </w:r>
            <w:r w:rsidRPr="005C202F">
              <w:t>antidepressants in the current episode</w:t>
            </w:r>
          </w:p>
        </w:tc>
        <w:tc>
          <w:tcPr>
            <w:tcW w:w="1173" w:type="dxa"/>
            <w:shd w:val="clear" w:color="auto" w:fill="auto"/>
            <w:vAlign w:val="center"/>
          </w:tcPr>
          <w:p w:rsidR="003C0A46" w:rsidRPr="005C202F" w:rsidRDefault="000944EB" w:rsidP="009523FA">
            <w:pPr>
              <w:pStyle w:val="TableText"/>
            </w:pPr>
            <w:r w:rsidRPr="005C202F">
              <w:t>Adverse events</w:t>
            </w:r>
          </w:p>
        </w:tc>
        <w:tc>
          <w:tcPr>
            <w:tcW w:w="1466" w:type="dxa"/>
            <w:shd w:val="clear" w:color="auto" w:fill="auto"/>
            <w:vAlign w:val="center"/>
          </w:tcPr>
          <w:p w:rsidR="003C0A46" w:rsidRPr="005C202F" w:rsidRDefault="00567F37" w:rsidP="009523FA">
            <w:pPr>
              <w:pStyle w:val="TableText"/>
              <w:jc w:val="center"/>
            </w:pPr>
            <w:r w:rsidRPr="005C202F">
              <w:t>Not used</w:t>
            </w:r>
          </w:p>
        </w:tc>
      </w:tr>
      <w:tr w:rsidR="003C0A46" w:rsidRPr="005C202F" w:rsidTr="00B77A30">
        <w:trPr>
          <w:cantSplit/>
        </w:trPr>
        <w:tc>
          <w:tcPr>
            <w:tcW w:w="1271" w:type="dxa"/>
            <w:shd w:val="clear" w:color="auto" w:fill="auto"/>
            <w:vAlign w:val="center"/>
          </w:tcPr>
          <w:p w:rsidR="003C0A46" w:rsidRPr="005C202F" w:rsidRDefault="003C0A46" w:rsidP="009523FA">
            <w:pPr>
              <w:pStyle w:val="TableText"/>
              <w:jc w:val="center"/>
            </w:pPr>
            <w:r w:rsidRPr="005C202F">
              <w:t>SUSTAIN-3</w:t>
            </w:r>
          </w:p>
        </w:tc>
        <w:tc>
          <w:tcPr>
            <w:tcW w:w="425" w:type="dxa"/>
            <w:shd w:val="clear" w:color="auto" w:fill="auto"/>
            <w:vAlign w:val="center"/>
          </w:tcPr>
          <w:p w:rsidR="003C0A46" w:rsidRPr="005C202F" w:rsidRDefault="00D37D14" w:rsidP="009523FA">
            <w:pPr>
              <w:pStyle w:val="TableText"/>
              <w:jc w:val="center"/>
            </w:pPr>
            <w:r w:rsidRPr="005C202F">
              <w:t>1140</w:t>
            </w:r>
          </w:p>
        </w:tc>
        <w:tc>
          <w:tcPr>
            <w:tcW w:w="1738" w:type="dxa"/>
          </w:tcPr>
          <w:p w:rsidR="003C0A46" w:rsidRPr="005C202F" w:rsidRDefault="0029721E" w:rsidP="009523FA">
            <w:pPr>
              <w:pStyle w:val="TableText"/>
            </w:pPr>
            <w:r w:rsidRPr="005C202F">
              <w:t>OL, MC,</w:t>
            </w:r>
            <w:r w:rsidR="003C0A46" w:rsidRPr="005C202F">
              <w:t xml:space="preserve"> long-term safety</w:t>
            </w:r>
            <w:r w:rsidRPr="005C202F">
              <w:t xml:space="preserve"> study</w:t>
            </w:r>
            <w:r w:rsidR="003C0A46" w:rsidRPr="005C202F">
              <w:t xml:space="preserve"> (ongoing). The median duration of exposure was 15.2 months.</w:t>
            </w:r>
          </w:p>
        </w:tc>
        <w:tc>
          <w:tcPr>
            <w:tcW w:w="657" w:type="dxa"/>
            <w:vAlign w:val="center"/>
          </w:tcPr>
          <w:p w:rsidR="003C0A46" w:rsidRPr="005C202F" w:rsidRDefault="003C0A46" w:rsidP="009523FA">
            <w:pPr>
              <w:pStyle w:val="TableText"/>
              <w:jc w:val="center"/>
            </w:pPr>
            <w:r w:rsidRPr="005C202F">
              <w:rPr>
                <w:iCs/>
              </w:rPr>
              <w:t>High</w:t>
            </w:r>
          </w:p>
        </w:tc>
        <w:tc>
          <w:tcPr>
            <w:tcW w:w="2287" w:type="dxa"/>
            <w:shd w:val="clear" w:color="auto" w:fill="auto"/>
            <w:vAlign w:val="center"/>
          </w:tcPr>
          <w:p w:rsidR="003C0A46" w:rsidRPr="005C202F" w:rsidRDefault="00A7078C" w:rsidP="009523FA">
            <w:pPr>
              <w:pStyle w:val="TableText"/>
            </w:pPr>
            <w:r w:rsidRPr="005C202F">
              <w:t>Adult and elderly people with TRD, who previously participated in TRANSFORM-1, TRANSFORM-2, SUSTAIN-1, SUSTAIN-2, TRANSFORM-3 or TRD3006</w:t>
            </w:r>
          </w:p>
        </w:tc>
        <w:tc>
          <w:tcPr>
            <w:tcW w:w="1173" w:type="dxa"/>
            <w:shd w:val="clear" w:color="auto" w:fill="auto"/>
            <w:vAlign w:val="center"/>
          </w:tcPr>
          <w:p w:rsidR="003C0A46" w:rsidRPr="005C202F" w:rsidRDefault="000944EB" w:rsidP="009523FA">
            <w:pPr>
              <w:pStyle w:val="TableText"/>
            </w:pPr>
            <w:r w:rsidRPr="005C202F">
              <w:t>Adverse events</w:t>
            </w:r>
          </w:p>
        </w:tc>
        <w:tc>
          <w:tcPr>
            <w:tcW w:w="1466" w:type="dxa"/>
            <w:shd w:val="clear" w:color="auto" w:fill="auto"/>
            <w:vAlign w:val="center"/>
          </w:tcPr>
          <w:p w:rsidR="003C0A46" w:rsidRPr="005C202F" w:rsidRDefault="00567F37" w:rsidP="009523FA">
            <w:pPr>
              <w:pStyle w:val="TableText"/>
              <w:jc w:val="center"/>
            </w:pPr>
            <w:r w:rsidRPr="005C202F">
              <w:t>Not used</w:t>
            </w:r>
          </w:p>
        </w:tc>
      </w:tr>
    </w:tbl>
    <w:p w:rsidR="0029721E" w:rsidRPr="005C202F" w:rsidRDefault="0029721E" w:rsidP="00D517F1">
      <w:pPr>
        <w:pStyle w:val="TableFigureFooter"/>
        <w:jc w:val="left"/>
      </w:pPr>
      <w:r w:rsidRPr="005C202F">
        <w:t xml:space="preserve">Source: </w:t>
      </w:r>
      <w:r w:rsidR="00B944E7" w:rsidRPr="005C202F">
        <w:t xml:space="preserve">Table 2.3-1, p.82; </w:t>
      </w:r>
      <w:r w:rsidRPr="005C202F">
        <w:t>Table 2.3-2, p.83; Table 2.3-3, p.86; Table 2.3-3, p.87 of the submission; Table 2.1, pp.1-3; Table 2.2, pp. 3-4; Table 2.3, pp.5-7, Attachment 13 of the submission</w:t>
      </w:r>
    </w:p>
    <w:p w:rsidR="00620C25" w:rsidRPr="005C202F" w:rsidRDefault="0029721E" w:rsidP="0029721E">
      <w:pPr>
        <w:pStyle w:val="TableFigureFooter"/>
        <w:rPr>
          <w:sz w:val="20"/>
        </w:rPr>
      </w:pPr>
      <w:r w:rsidRPr="005C202F">
        <w:t xml:space="preserve">Abbreviations: </w:t>
      </w:r>
      <w:r w:rsidR="00AD505E" w:rsidRPr="005C202F">
        <w:t xml:space="preserve">DB, double blind; MADRS, Montgomery-Asberg Depression Rating Scale; MC, multi-centre; </w:t>
      </w:r>
      <w:r w:rsidR="00435E91" w:rsidRPr="005C202F">
        <w:t>MDD</w:t>
      </w:r>
      <w:r w:rsidR="00AD505E" w:rsidRPr="005C202F">
        <w:t>, major depressive disorder</w:t>
      </w:r>
      <w:r w:rsidR="00435E91" w:rsidRPr="005C202F">
        <w:t xml:space="preserve">; </w:t>
      </w:r>
      <w:r w:rsidR="00AD505E" w:rsidRPr="005C202F">
        <w:t xml:space="preserve">OL, open label; RCT, randomised controlled trial; </w:t>
      </w:r>
      <w:r w:rsidRPr="005C202F">
        <w:t>TRD, treatment-resistant depression</w:t>
      </w:r>
    </w:p>
    <w:p w:rsidR="006C201B" w:rsidRPr="005C202F" w:rsidRDefault="006719EF" w:rsidP="00E043B4">
      <w:pPr>
        <w:pStyle w:val="ExecSumBodyText"/>
      </w:pPr>
      <w:r w:rsidRPr="005C202F">
        <w:t>The submission used the results</w:t>
      </w:r>
      <w:r w:rsidR="00586D0F" w:rsidRPr="005C202F">
        <w:t xml:space="preserve"> from the TRANSFORM-2 trial</w:t>
      </w:r>
      <w:r w:rsidRPr="005C202F">
        <w:t xml:space="preserve"> as the pivotal evidence of short-term response during treatment induction</w:t>
      </w:r>
      <w:r w:rsidR="00484011" w:rsidRPr="005C202F">
        <w:t xml:space="preserve"> as it enrolled adult patients (age 18-64) and evaluated flexibly-dosed esketamine, consistent with the product information. </w:t>
      </w:r>
      <w:r w:rsidR="00A54929" w:rsidRPr="005C202F">
        <w:t xml:space="preserve">Results of TRANSFORM-1 (adult patients 18-64 years; fixed </w:t>
      </w:r>
      <w:r w:rsidR="00BF0222" w:rsidRPr="005C202F">
        <w:t xml:space="preserve">esketamine </w:t>
      </w:r>
      <w:r w:rsidR="00A54929" w:rsidRPr="005C202F">
        <w:t>dose regimen</w:t>
      </w:r>
      <w:r w:rsidR="00BF0222" w:rsidRPr="005C202F">
        <w:t>s</w:t>
      </w:r>
      <w:r w:rsidR="00A54929" w:rsidRPr="005C202F">
        <w:t>)</w:t>
      </w:r>
      <w:r w:rsidR="00BF0222" w:rsidRPr="005C202F">
        <w:t xml:space="preserve"> and TRANSFORM-3 (adults age ≥65 years; flexible dose regimen) were </w:t>
      </w:r>
      <w:r w:rsidR="00C9150B" w:rsidRPr="005C202F">
        <w:t>used as supportive evidence.</w:t>
      </w:r>
      <w:r w:rsidR="00CA762A" w:rsidRPr="005C202F">
        <w:rPr>
          <w:i/>
        </w:rPr>
        <w:t xml:space="preserve"> </w:t>
      </w:r>
      <w:r w:rsidR="006C201B" w:rsidRPr="005C202F">
        <w:t>The ESC considered that the design of the TRANSFORMS studies, which required initiation of two new pharmacotherapies at the same time</w:t>
      </w:r>
      <w:r w:rsidR="00175299" w:rsidRPr="005C202F">
        <w:t xml:space="preserve"> (i.e., esketa</w:t>
      </w:r>
      <w:r w:rsidR="00CD2D5A" w:rsidRPr="005C202F">
        <w:t xml:space="preserve">mine and an OAD) </w:t>
      </w:r>
      <w:r w:rsidR="00CE3175" w:rsidRPr="005C202F">
        <w:t xml:space="preserve">is </w:t>
      </w:r>
      <w:r w:rsidR="006C201B" w:rsidRPr="005C202F">
        <w:t>inconsistent with how TRD is managed in practice.</w:t>
      </w:r>
    </w:p>
    <w:p w:rsidR="00C852CD" w:rsidRPr="005C202F" w:rsidRDefault="001E3166" w:rsidP="00CA3C0B">
      <w:pPr>
        <w:pStyle w:val="ExecSumBodyText"/>
      </w:pPr>
      <w:r w:rsidRPr="005C202F">
        <w:t>SUSTAIN-1 had a complex trial design, incorporating five phases: screening (4-7 weeks), induction (4 weeks open-label esketamine treatment), optimisation (12 weeks open-label esketamine treatment); maintenance (variable length of time, until relapse or until a maximum of up to 84 relapses occurred in patients with stable remission, or earlier based on interim analysis results); and follow up (2 weeks). Patients could enter the trial by direct entry or after TRANSFORM-1 or TRANSFORM-2. Only patients who achieved stable response or remission using esketamine nasal spray in combination with a newly initiated oral antidepressant during initiation and optimisation were eligible to be randomised in the double-blind maintenance phase to either continue with esketamine with an oral antidepressant, or discontinue esketamine and continue the oral antidepressant only</w:t>
      </w:r>
      <w:r w:rsidRPr="005C202F">
        <w:rPr>
          <w:i/>
        </w:rPr>
        <w:t xml:space="preserve">. </w:t>
      </w:r>
      <w:r w:rsidR="00C852CD" w:rsidRPr="005C202F">
        <w:rPr>
          <w:iCs/>
        </w:rPr>
        <w:t>This type of design is at risk of overstating the efficacy of maintenance treatment, as the comparison group is at high risk of relapse, due to abruptly stopping treatment soon after improvement</w:t>
      </w:r>
      <w:r w:rsidRPr="005C202F">
        <w:rPr>
          <w:iCs/>
        </w:rPr>
        <w:t xml:space="preserve"> (NICE, 2018)</w:t>
      </w:r>
      <w:r w:rsidR="00C852CD" w:rsidRPr="005C202F">
        <w:rPr>
          <w:iCs/>
        </w:rPr>
        <w:t>. The trial is also at risk of functional unblinding, with patients assigned to placebo realising that they are no longer on esketamine after switching, given the immediate side effects associated with esketamine use.</w:t>
      </w:r>
      <w:r w:rsidRPr="005C202F">
        <w:t xml:space="preserve"> </w:t>
      </w:r>
      <w:r w:rsidRPr="005C202F">
        <w:rPr>
          <w:iCs/>
        </w:rPr>
        <w:t>Such a withdrawal approach is unlikely reflective of how esketamine cessation would be undertaken in practice.</w:t>
      </w:r>
    </w:p>
    <w:p w:rsidR="004275CA" w:rsidRPr="005C202F" w:rsidRDefault="004275CA" w:rsidP="00EC5836">
      <w:pPr>
        <w:pStyle w:val="ExecSumBodyText"/>
        <w:rPr>
          <w:iCs/>
        </w:rPr>
      </w:pPr>
      <w:r w:rsidRPr="005C202F">
        <w:rPr>
          <w:iCs/>
        </w:rPr>
        <w:t>Maintaining blinding was a potential issue in all randomised esketamine nasal spray trials, as esketamine is known to cause transient dissociative effects in some individuals. This may also influence patient responses to outcome measurements.</w:t>
      </w:r>
    </w:p>
    <w:p w:rsidR="007F2FA1" w:rsidRPr="005C202F" w:rsidRDefault="007F2FA1" w:rsidP="00EC5836">
      <w:pPr>
        <w:pStyle w:val="ExecSumBodyText"/>
      </w:pPr>
      <w:r w:rsidRPr="005C202F">
        <w:t xml:space="preserve">Across all studies, patients were excluded who had: a current or prior DSM-5 diagnosis of a psychotic disorder; a history of suicidal behaviour in the past year; intent or suicidal ideation within 6 months before screening as clinically assessed by the investigator or based on the C-SSRS scale; a history of moderate or severe substance or alcohol use disorder according to DSM-5 criteria. </w:t>
      </w:r>
      <w:r w:rsidRPr="005C202F">
        <w:rPr>
          <w:iCs/>
        </w:rPr>
        <w:t xml:space="preserve">Collectively, these features may limit generalisability to other populations. </w:t>
      </w:r>
    </w:p>
    <w:p w:rsidR="00B60939" w:rsidRPr="005C202F" w:rsidRDefault="00B60939" w:rsidP="00EC5836">
      <w:pPr>
        <w:pStyle w:val="3-SubsectionHeading"/>
      </w:pPr>
      <w:bookmarkStart w:id="12" w:name="_Toc22897641"/>
      <w:bookmarkStart w:id="13" w:name="_Toc72325760"/>
      <w:r w:rsidRPr="005C202F">
        <w:t>Comparative effectiveness</w:t>
      </w:r>
      <w:bookmarkEnd w:id="12"/>
      <w:bookmarkEnd w:id="13"/>
    </w:p>
    <w:p w:rsidR="00AD154D" w:rsidRPr="005C202F" w:rsidRDefault="00AD154D" w:rsidP="00AD154D">
      <w:pPr>
        <w:pStyle w:val="4-SubsectSubhead"/>
      </w:pPr>
      <w:r w:rsidRPr="005C202F">
        <w:t>Short term studies (TRAN</w:t>
      </w:r>
      <w:r w:rsidR="005D5F79" w:rsidRPr="005C202F">
        <w:t>S</w:t>
      </w:r>
      <w:r w:rsidRPr="005C202F">
        <w:t>FORM trials)</w:t>
      </w:r>
    </w:p>
    <w:p w:rsidR="007C5DD9" w:rsidRPr="005C202F" w:rsidRDefault="007C5DD9" w:rsidP="00732E33">
      <w:pPr>
        <w:pStyle w:val="ExecSumBodyText"/>
        <w:keepNext/>
        <w:keepLines/>
      </w:pPr>
      <w:r w:rsidRPr="005C202F">
        <w:t>The</w:t>
      </w:r>
      <w:r w:rsidR="007D6061" w:rsidRPr="005C202F">
        <w:t xml:space="preserve"> results of the</w:t>
      </w:r>
      <w:r w:rsidRPr="005C202F">
        <w:t xml:space="preserve"> primary efficacy endpoint for </w:t>
      </w:r>
      <w:r w:rsidR="007D6061" w:rsidRPr="005C202F">
        <w:t xml:space="preserve">the </w:t>
      </w:r>
      <w:r w:rsidRPr="005C202F">
        <w:t>TRANSFORM trials</w:t>
      </w:r>
      <w:r w:rsidR="007D6061" w:rsidRPr="005C202F">
        <w:t xml:space="preserve"> (</w:t>
      </w:r>
      <w:r w:rsidRPr="005C202F">
        <w:t>change in MADRS total score from baseline to the end of the 4-week double-blind induction phase)</w:t>
      </w:r>
      <w:r w:rsidR="007D6061" w:rsidRPr="005C202F">
        <w:t xml:space="preserve">, are </w:t>
      </w:r>
      <w:r w:rsidR="0093377F" w:rsidRPr="005C202F">
        <w:t>summarised in Table 4</w:t>
      </w:r>
      <w:r w:rsidRPr="005C202F">
        <w:t xml:space="preserve">. </w:t>
      </w:r>
    </w:p>
    <w:p w:rsidR="00DE69C8" w:rsidRPr="005C202F" w:rsidRDefault="00EE0C9D" w:rsidP="00732E33">
      <w:pPr>
        <w:pStyle w:val="Tableheadingrow"/>
        <w:keepLines/>
        <w:rPr>
          <w:lang w:val="en-AU"/>
        </w:rPr>
      </w:pPr>
      <w:r w:rsidRPr="005C202F">
        <w:rPr>
          <w:lang w:val="en-AU"/>
        </w:rPr>
        <w:t>Table 4: Montgomery-Asberg Depression Rating Scale (MADRS) total score: change from baseline to Day 28 by MMRM or to Endpoint (DB) by ANCOVA LOCF; double-blind induction studies (Full analysis set)</w:t>
      </w:r>
    </w:p>
    <w:tbl>
      <w:tblPr>
        <w:tblStyle w:val="TableGrid"/>
        <w:tblW w:w="0" w:type="auto"/>
        <w:tblLayout w:type="fixed"/>
        <w:tblCellMar>
          <w:left w:w="57" w:type="dxa"/>
          <w:right w:w="57" w:type="dxa"/>
        </w:tblCellMar>
        <w:tblLook w:val="04A0" w:firstRow="1" w:lastRow="0" w:firstColumn="1" w:lastColumn="0" w:noHBand="0" w:noVBand="1"/>
        <w:tblCaption w:val="Table 4: Montgomery-Asberg Depression Rating Scale (MADRS) total score: change from baseline to Day 28 by MMRM or to Endpoint (DB) by ANCOVA LOCF; double-blind induction studies (Full analysis set)"/>
      </w:tblPr>
      <w:tblGrid>
        <w:gridCol w:w="2263"/>
        <w:gridCol w:w="567"/>
        <w:gridCol w:w="1684"/>
        <w:gridCol w:w="443"/>
        <w:gridCol w:w="1808"/>
        <w:gridCol w:w="601"/>
        <w:gridCol w:w="1650"/>
      </w:tblGrid>
      <w:tr w:rsidR="00DE69C8" w:rsidRPr="005C202F" w:rsidTr="001F6F55">
        <w:trPr>
          <w:tblHeader/>
        </w:trPr>
        <w:tc>
          <w:tcPr>
            <w:tcW w:w="2263" w:type="dxa"/>
            <w:vMerge w:val="restart"/>
          </w:tcPr>
          <w:p w:rsidR="00DE69C8" w:rsidRPr="005C202F" w:rsidRDefault="00DE69C8" w:rsidP="00732E33">
            <w:pPr>
              <w:keepNext/>
              <w:keepLines/>
              <w:rPr>
                <w:rFonts w:ascii="Arial Narrow" w:hAnsi="Arial Narrow"/>
                <w:sz w:val="20"/>
                <w:szCs w:val="20"/>
              </w:rPr>
            </w:pPr>
          </w:p>
        </w:tc>
        <w:tc>
          <w:tcPr>
            <w:tcW w:w="2251" w:type="dxa"/>
            <w:gridSpan w:val="2"/>
            <w:vAlign w:val="center"/>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Baseline</w:t>
            </w:r>
          </w:p>
        </w:tc>
        <w:tc>
          <w:tcPr>
            <w:tcW w:w="2251" w:type="dxa"/>
            <w:gridSpan w:val="2"/>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MMRM</w:t>
            </w:r>
            <w:r w:rsidR="0079557C" w:rsidRPr="005C202F">
              <w:rPr>
                <w:rFonts w:ascii="Arial Narrow" w:hAnsi="Arial Narrow"/>
                <w:b/>
                <w:bCs/>
                <w:sz w:val="20"/>
                <w:szCs w:val="20"/>
                <w:vertAlign w:val="superscript"/>
              </w:rPr>
              <w:t>a</w:t>
            </w:r>
            <w:r w:rsidRPr="005C202F">
              <w:rPr>
                <w:rFonts w:ascii="Arial Narrow" w:hAnsi="Arial Narrow"/>
                <w:b/>
                <w:bCs/>
                <w:sz w:val="20"/>
                <w:szCs w:val="20"/>
              </w:rPr>
              <w:t xml:space="preserve"> change from baseline to Day 28</w:t>
            </w:r>
          </w:p>
        </w:tc>
        <w:tc>
          <w:tcPr>
            <w:tcW w:w="2251" w:type="dxa"/>
            <w:gridSpan w:val="2"/>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ANCOVA</w:t>
            </w:r>
            <w:r w:rsidR="0079557C" w:rsidRPr="005C202F">
              <w:rPr>
                <w:rFonts w:ascii="Arial Narrow" w:hAnsi="Arial Narrow"/>
                <w:b/>
                <w:bCs/>
                <w:sz w:val="20"/>
                <w:szCs w:val="20"/>
                <w:vertAlign w:val="superscript"/>
              </w:rPr>
              <w:t>b</w:t>
            </w:r>
            <w:r w:rsidRPr="005C202F">
              <w:rPr>
                <w:rFonts w:ascii="Arial Narrow" w:hAnsi="Arial Narrow"/>
                <w:b/>
                <w:bCs/>
                <w:sz w:val="20"/>
                <w:szCs w:val="20"/>
              </w:rPr>
              <w:t xml:space="preserve"> change from baseline to Day 28</w:t>
            </w:r>
          </w:p>
        </w:tc>
      </w:tr>
      <w:tr w:rsidR="00DE69C8" w:rsidRPr="005C202F" w:rsidTr="001F6F55">
        <w:trPr>
          <w:tblHeader/>
        </w:trPr>
        <w:tc>
          <w:tcPr>
            <w:tcW w:w="2263" w:type="dxa"/>
            <w:vMerge/>
          </w:tcPr>
          <w:p w:rsidR="00DE69C8" w:rsidRPr="005C202F" w:rsidRDefault="00DE69C8" w:rsidP="00732E33">
            <w:pPr>
              <w:keepNext/>
              <w:keepLines/>
              <w:rPr>
                <w:rFonts w:ascii="Arial Narrow" w:hAnsi="Arial Narrow"/>
                <w:sz w:val="20"/>
                <w:szCs w:val="20"/>
              </w:rPr>
            </w:pPr>
          </w:p>
        </w:tc>
        <w:tc>
          <w:tcPr>
            <w:tcW w:w="567"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N</w:t>
            </w:r>
          </w:p>
        </w:tc>
        <w:tc>
          <w:tcPr>
            <w:tcW w:w="1684"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Mean (SD)</w:t>
            </w:r>
          </w:p>
        </w:tc>
        <w:tc>
          <w:tcPr>
            <w:tcW w:w="443"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N</w:t>
            </w:r>
          </w:p>
        </w:tc>
        <w:tc>
          <w:tcPr>
            <w:tcW w:w="1808"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Mean (SD)</w:t>
            </w:r>
          </w:p>
        </w:tc>
        <w:tc>
          <w:tcPr>
            <w:tcW w:w="601"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N</w:t>
            </w:r>
          </w:p>
        </w:tc>
        <w:tc>
          <w:tcPr>
            <w:tcW w:w="1650" w:type="dxa"/>
          </w:tcPr>
          <w:p w:rsidR="00DE69C8" w:rsidRPr="005C202F" w:rsidRDefault="00DE69C8" w:rsidP="00732E33">
            <w:pPr>
              <w:keepNext/>
              <w:keepLines/>
              <w:jc w:val="center"/>
              <w:rPr>
                <w:rFonts w:ascii="Arial Narrow" w:hAnsi="Arial Narrow"/>
                <w:b/>
                <w:bCs/>
                <w:sz w:val="20"/>
                <w:szCs w:val="20"/>
              </w:rPr>
            </w:pPr>
            <w:r w:rsidRPr="005C202F">
              <w:rPr>
                <w:rFonts w:ascii="Arial Narrow" w:hAnsi="Arial Narrow"/>
                <w:b/>
                <w:bCs/>
                <w:sz w:val="20"/>
                <w:szCs w:val="20"/>
              </w:rPr>
              <w:t>Mean (SD)</w:t>
            </w:r>
          </w:p>
        </w:tc>
      </w:tr>
      <w:tr w:rsidR="00DE69C8" w:rsidRPr="005C202F" w:rsidTr="00EB63AF">
        <w:tc>
          <w:tcPr>
            <w:tcW w:w="9016" w:type="dxa"/>
            <w:gridSpan w:val="7"/>
          </w:tcPr>
          <w:p w:rsidR="00DE69C8" w:rsidRPr="005C202F" w:rsidRDefault="00DE69C8" w:rsidP="00732E33">
            <w:pPr>
              <w:keepNext/>
              <w:keepLines/>
              <w:jc w:val="left"/>
              <w:rPr>
                <w:rFonts w:ascii="Arial Narrow" w:hAnsi="Arial Narrow"/>
                <w:sz w:val="20"/>
                <w:szCs w:val="20"/>
                <w:vertAlign w:val="superscript"/>
              </w:rPr>
            </w:pPr>
            <w:r w:rsidRPr="005C202F">
              <w:rPr>
                <w:rFonts w:ascii="Arial Narrow" w:hAnsi="Arial Narrow"/>
                <w:b/>
                <w:bCs/>
                <w:sz w:val="20"/>
                <w:szCs w:val="20"/>
              </w:rPr>
              <w:t>TRANSFORM-2</w:t>
            </w:r>
            <w:r w:rsidR="0079557C" w:rsidRPr="005C202F">
              <w:rPr>
                <w:rFonts w:ascii="Arial Narrow" w:hAnsi="Arial Narrow"/>
                <w:b/>
                <w:bCs/>
                <w:sz w:val="20"/>
                <w:szCs w:val="20"/>
                <w:vertAlign w:val="superscript"/>
              </w:rPr>
              <w:t>c</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Esketamine+OAD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114</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37.0 (5.69)</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101</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-21.4 (12.32)</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112</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-19.6 (13.58)</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Placebo+OAD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109</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37.3 (5.66)</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100</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-17.0 (13.88)</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109</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-16.3 (14.24)</w:t>
            </w:r>
          </w:p>
        </w:tc>
      </w:tr>
      <w:tr w:rsidR="00DE69C8" w:rsidRPr="005C202F" w:rsidTr="00EB63AF">
        <w:tc>
          <w:tcPr>
            <w:tcW w:w="4514" w:type="dxa"/>
            <w:gridSpan w:val="3"/>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Mean difference (95% CI)</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
                <w:bCs/>
                <w:sz w:val="20"/>
                <w:szCs w:val="20"/>
              </w:rPr>
              <w:t>-4.0 (-7.3, -0.6)</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
                <w:bCs/>
                <w:sz w:val="20"/>
                <w:szCs w:val="20"/>
              </w:rPr>
              <w:t>-3.5 (-6.7, -0.3)</w:t>
            </w:r>
          </w:p>
        </w:tc>
      </w:tr>
      <w:tr w:rsidR="00DE69C8" w:rsidRPr="005C202F" w:rsidTr="00EB63AF">
        <w:tc>
          <w:tcPr>
            <w:tcW w:w="9016" w:type="dxa"/>
            <w:gridSpan w:val="7"/>
          </w:tcPr>
          <w:p w:rsidR="00DE69C8" w:rsidRPr="005C202F" w:rsidRDefault="00DE69C8" w:rsidP="00732E33">
            <w:pPr>
              <w:keepNext/>
              <w:keepLines/>
              <w:jc w:val="left"/>
              <w:rPr>
                <w:rFonts w:ascii="Arial Narrow" w:hAnsi="Arial Narrow"/>
                <w:sz w:val="20"/>
                <w:szCs w:val="20"/>
                <w:vertAlign w:val="superscript"/>
              </w:rPr>
            </w:pPr>
            <w:r w:rsidRPr="005C202F">
              <w:rPr>
                <w:rFonts w:ascii="Arial Narrow" w:hAnsi="Arial Narrow"/>
                <w:b/>
                <w:sz w:val="20"/>
                <w:szCs w:val="20"/>
              </w:rPr>
              <w:t>TRANSFORM-1</w:t>
            </w:r>
            <w:r w:rsidR="002030D6" w:rsidRPr="005C202F">
              <w:rPr>
                <w:rFonts w:ascii="Arial Narrow" w:hAnsi="Arial Narrow"/>
                <w:b/>
                <w:sz w:val="20"/>
                <w:szCs w:val="20"/>
                <w:vertAlign w:val="superscript"/>
              </w:rPr>
              <w:t>d,e</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bCs/>
                <w:sz w:val="20"/>
                <w:szCs w:val="20"/>
              </w:rPr>
            </w:pPr>
            <w:r w:rsidRPr="005C202F">
              <w:rPr>
                <w:rFonts w:ascii="Arial Narrow" w:hAnsi="Arial Narrow"/>
                <w:bCs/>
                <w:sz w:val="20"/>
                <w:szCs w:val="20"/>
              </w:rPr>
              <w:t>Esketamine 56 mg + 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115</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37.4 (4.76)</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111</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-19.0 (13.86)</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115</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-18.3 (14.21)</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bCs/>
                <w:sz w:val="20"/>
                <w:szCs w:val="20"/>
              </w:rPr>
            </w:pPr>
            <w:r w:rsidRPr="005C202F">
              <w:rPr>
                <w:rFonts w:ascii="Arial Narrow" w:hAnsi="Arial Narrow"/>
                <w:bCs/>
                <w:sz w:val="20"/>
                <w:szCs w:val="20"/>
              </w:rPr>
              <w:t>Esketamine 84 mg + 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114</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37.8 (5.58)</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98</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-18.8 (14.12)</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113</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-17.4 (14.25)</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bCs/>
                <w:sz w:val="20"/>
                <w:szCs w:val="20"/>
              </w:rPr>
            </w:pPr>
            <w:r w:rsidRPr="005C202F">
              <w:rPr>
                <w:rFonts w:ascii="Arial Narrow" w:hAnsi="Arial Narrow"/>
                <w:bCs/>
                <w:sz w:val="20"/>
                <w:szCs w:val="20"/>
              </w:rPr>
              <w:t>Placebo + 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113</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37.5 (6.16)</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108</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-14.8 (15.07)</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113</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-14.3 (15.00)</w:t>
            </w:r>
          </w:p>
        </w:tc>
      </w:tr>
      <w:tr w:rsidR="00DE69C8" w:rsidRPr="005C202F" w:rsidTr="00EB63AF">
        <w:tc>
          <w:tcPr>
            <w:tcW w:w="4514" w:type="dxa"/>
            <w:gridSpan w:val="3"/>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Mean difference, ESK 56 mg vs placebo (95% CI)</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-4.1 (-7.7, -0.5)</w:t>
            </w:r>
            <w:r w:rsidR="00C71B69" w:rsidRPr="005C202F">
              <w:rPr>
                <w:rFonts w:ascii="Arial Narrow" w:hAnsi="Arial Narrow"/>
                <w:bCs/>
                <w:sz w:val="20"/>
                <w:szCs w:val="20"/>
                <w:vertAlign w:val="superscript"/>
              </w:rPr>
              <w:t>g</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-4.1 (-7.5, -0.6)</w:t>
            </w:r>
          </w:p>
        </w:tc>
      </w:tr>
      <w:tr w:rsidR="00DE69C8" w:rsidRPr="005C202F" w:rsidTr="00EB63AF">
        <w:tc>
          <w:tcPr>
            <w:tcW w:w="4514" w:type="dxa"/>
            <w:gridSpan w:val="3"/>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Mean difference, ESK 84 mg vs placebo (95% CI)</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-3.2 (-6.9, 0.5)</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-2.0 (-5.5, 1.4)</w:t>
            </w:r>
          </w:p>
        </w:tc>
      </w:tr>
      <w:tr w:rsidR="00DE69C8" w:rsidRPr="005C202F" w:rsidTr="00EB63AF">
        <w:tc>
          <w:tcPr>
            <w:tcW w:w="9016" w:type="dxa"/>
            <w:gridSpan w:val="7"/>
          </w:tcPr>
          <w:p w:rsidR="00DE69C8" w:rsidRPr="005C202F" w:rsidRDefault="00DE69C8" w:rsidP="00732E33">
            <w:pPr>
              <w:keepNext/>
              <w:keepLines/>
              <w:jc w:val="left"/>
              <w:rPr>
                <w:rFonts w:ascii="Arial Narrow" w:hAnsi="Arial Narrow"/>
                <w:sz w:val="20"/>
                <w:szCs w:val="20"/>
                <w:vertAlign w:val="superscript"/>
              </w:rPr>
            </w:pPr>
            <w:r w:rsidRPr="005C202F">
              <w:rPr>
                <w:rFonts w:ascii="Arial Narrow" w:hAnsi="Arial Narrow"/>
                <w:b/>
                <w:sz w:val="20"/>
                <w:szCs w:val="20"/>
              </w:rPr>
              <w:t>TRANSFORM-3</w:t>
            </w:r>
            <w:r w:rsidR="0079557C" w:rsidRPr="005C202F">
              <w:rPr>
                <w:rFonts w:ascii="Arial Narrow" w:hAnsi="Arial Narrow"/>
                <w:b/>
                <w:sz w:val="20"/>
                <w:szCs w:val="20"/>
                <w:vertAlign w:val="superscript"/>
              </w:rPr>
              <w:t xml:space="preserve"> e</w:t>
            </w:r>
            <w:r w:rsidR="002030D6" w:rsidRPr="005C202F">
              <w:rPr>
                <w:rFonts w:ascii="Arial Narrow" w:hAnsi="Arial Narrow"/>
                <w:b/>
                <w:sz w:val="20"/>
                <w:szCs w:val="20"/>
                <w:vertAlign w:val="superscript"/>
              </w:rPr>
              <w:t>,f</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Esketamine+OAD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72</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35.5 (5.91)</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63</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-10.0 (12.74)</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71</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-9.3 (12.28)</w:t>
            </w:r>
          </w:p>
        </w:tc>
      </w:tr>
      <w:tr w:rsidR="00DE69C8" w:rsidRPr="005C202F" w:rsidTr="00EB63AF">
        <w:tc>
          <w:tcPr>
            <w:tcW w:w="2263" w:type="dxa"/>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Placebo+OAD</w:t>
            </w:r>
          </w:p>
        </w:tc>
        <w:tc>
          <w:tcPr>
            <w:tcW w:w="567"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65</w:t>
            </w:r>
          </w:p>
        </w:tc>
        <w:tc>
          <w:tcPr>
            <w:tcW w:w="1684"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34.8 (6.44)</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60</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-6.3 (8.86)</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64</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-5.6 (9.11)</w:t>
            </w:r>
          </w:p>
        </w:tc>
      </w:tr>
      <w:tr w:rsidR="00DE69C8" w:rsidRPr="005C202F" w:rsidTr="00EB63AF">
        <w:tc>
          <w:tcPr>
            <w:tcW w:w="4514" w:type="dxa"/>
            <w:gridSpan w:val="3"/>
            <w:vAlign w:val="center"/>
          </w:tcPr>
          <w:p w:rsidR="00DE69C8" w:rsidRPr="005C202F" w:rsidRDefault="00DE69C8" w:rsidP="00732E33">
            <w:pPr>
              <w:keepNext/>
              <w:keepLines/>
              <w:jc w:val="left"/>
              <w:rPr>
                <w:rFonts w:ascii="Arial Narrow" w:hAnsi="Arial Narrow"/>
                <w:sz w:val="20"/>
                <w:szCs w:val="20"/>
              </w:rPr>
            </w:pPr>
            <w:r w:rsidRPr="005C202F">
              <w:rPr>
                <w:rFonts w:ascii="Arial Narrow" w:hAnsi="Arial Narrow"/>
                <w:bCs/>
                <w:sz w:val="20"/>
                <w:szCs w:val="20"/>
              </w:rPr>
              <w:t>Mean difference (95% CI)</w:t>
            </w:r>
          </w:p>
        </w:tc>
        <w:tc>
          <w:tcPr>
            <w:tcW w:w="443"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808"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-3.6 (-7.2, 0.1)</w:t>
            </w:r>
          </w:p>
        </w:tc>
        <w:tc>
          <w:tcPr>
            <w:tcW w:w="601" w:type="dxa"/>
          </w:tcPr>
          <w:p w:rsidR="00DE69C8" w:rsidRPr="005C202F" w:rsidRDefault="00DE69C8" w:rsidP="00732E33">
            <w:pPr>
              <w:keepNext/>
              <w:keepLines/>
              <w:jc w:val="center"/>
              <w:rPr>
                <w:rFonts w:ascii="Arial Narrow" w:hAnsi="Arial Narrow"/>
                <w:sz w:val="20"/>
                <w:szCs w:val="20"/>
              </w:rPr>
            </w:pPr>
            <w:r w:rsidRPr="005C202F">
              <w:rPr>
                <w:rFonts w:ascii="Arial Narrow" w:hAnsi="Arial Narrow"/>
                <w:sz w:val="20"/>
                <w:szCs w:val="20"/>
              </w:rPr>
              <w:t>-</w:t>
            </w:r>
          </w:p>
        </w:tc>
        <w:tc>
          <w:tcPr>
            <w:tcW w:w="1650" w:type="dxa"/>
            <w:vAlign w:val="center"/>
          </w:tcPr>
          <w:p w:rsidR="00DE69C8" w:rsidRPr="005C202F" w:rsidRDefault="00DE69C8" w:rsidP="00732E33">
            <w:pPr>
              <w:keepNext/>
              <w:keepLines/>
              <w:jc w:val="center"/>
              <w:rPr>
                <w:rFonts w:ascii="Arial Narrow" w:hAnsi="Arial Narrow"/>
                <w:sz w:val="20"/>
                <w:szCs w:val="20"/>
              </w:rPr>
            </w:pPr>
            <w:r w:rsidRPr="005C202F">
              <w:rPr>
                <w:rFonts w:ascii="Arial Narrow" w:hAnsi="Arial Narrow"/>
                <w:bCs/>
                <w:sz w:val="20"/>
                <w:szCs w:val="20"/>
              </w:rPr>
              <w:t>-3.6 (-7.2, 0.0)</w:t>
            </w:r>
          </w:p>
        </w:tc>
      </w:tr>
    </w:tbl>
    <w:p w:rsidR="00DE69C8" w:rsidRPr="005C202F" w:rsidRDefault="00DE69C8" w:rsidP="00732E33">
      <w:pPr>
        <w:pStyle w:val="TableFooter"/>
        <w:keepNext/>
        <w:keepLines/>
      </w:pPr>
      <w:r w:rsidRPr="005C202F">
        <w:t>Source: Table 2.51, p.136 of the submission; Table 2.50, p.54 Attachment 11 of the submission</w:t>
      </w:r>
    </w:p>
    <w:p w:rsidR="00DE69C8" w:rsidRPr="005C202F" w:rsidRDefault="00DE69C8" w:rsidP="00732E33">
      <w:pPr>
        <w:pStyle w:val="TableFooter"/>
        <w:keepNext/>
        <w:keepLines/>
      </w:pPr>
      <w:r w:rsidRPr="005C202F">
        <w:t>Abbreviations: ANCOVA, analysis of covariance; CI, confidence interval; DB = double-blind; ESK, esketamine; MMRM, Mixed-Effect Model for Repeated Measures; OAD, oral antidepressant; SD, standard deviation</w:t>
      </w:r>
    </w:p>
    <w:p w:rsidR="00DE69C8" w:rsidRPr="005C202F" w:rsidRDefault="0079557C" w:rsidP="00732E33">
      <w:pPr>
        <w:pStyle w:val="TableFooter"/>
        <w:keepNext/>
        <w:keepLines/>
      </w:pPr>
      <w:r w:rsidRPr="005C202F">
        <w:rPr>
          <w:vertAlign w:val="superscript"/>
        </w:rPr>
        <w:t>a</w:t>
      </w:r>
      <w:r w:rsidR="00307A87" w:rsidRPr="005C202F">
        <w:rPr>
          <w:vertAlign w:val="superscript"/>
        </w:rPr>
        <w:t xml:space="preserve"> </w:t>
      </w:r>
      <w:r w:rsidR="00DE69C8" w:rsidRPr="005C202F">
        <w:t xml:space="preserve">Tests for treatment effects based on (MMRM with change from baseline as the response variable applied the fixed effect model terms for treatment (intranasal esk + oral AD, oral AD + intranasal placebo), day, country, class of oral antidepressant (SNRI or SSRI), and treatment-by-day, and baseline value as a covariate. A negative difference favours esketamine </w:t>
      </w:r>
    </w:p>
    <w:p w:rsidR="00DE69C8" w:rsidRPr="005C202F" w:rsidRDefault="0079557C" w:rsidP="00732E33">
      <w:pPr>
        <w:pStyle w:val="TableFooter"/>
        <w:keepNext/>
        <w:keepLines/>
      </w:pPr>
      <w:r w:rsidRPr="005C202F">
        <w:rPr>
          <w:vertAlign w:val="superscript"/>
        </w:rPr>
        <w:t>b</w:t>
      </w:r>
      <w:r w:rsidR="00307A87" w:rsidRPr="005C202F">
        <w:rPr>
          <w:vertAlign w:val="superscript"/>
        </w:rPr>
        <w:t xml:space="preserve"> </w:t>
      </w:r>
      <w:r w:rsidR="00DE69C8" w:rsidRPr="005C202F">
        <w:t>Tests for treatment effect based on ANCOVA model with change from baseline as the response variable applied factors for treatment (intranasal esk + oral AD, oral AD + intranasal placebo), country, and class of oral antidepressant (SNRI or SSRI), and baseline value as a covariate. A negative difference favours esketamine</w:t>
      </w:r>
    </w:p>
    <w:p w:rsidR="00DE69C8" w:rsidRPr="005C202F" w:rsidRDefault="0079557C" w:rsidP="00732E33">
      <w:pPr>
        <w:pStyle w:val="TableFooter"/>
        <w:keepNext/>
        <w:keepLines/>
      </w:pPr>
      <w:r w:rsidRPr="005C202F">
        <w:rPr>
          <w:rFonts w:cstheme="minorHAnsi"/>
          <w:vertAlign w:val="superscript"/>
        </w:rPr>
        <w:t>c</w:t>
      </w:r>
      <w:r w:rsidR="00307A87" w:rsidRPr="005C202F">
        <w:rPr>
          <w:rFonts w:cstheme="minorHAnsi"/>
          <w:vertAlign w:val="superscript"/>
        </w:rPr>
        <w:t xml:space="preserve"> </w:t>
      </w:r>
      <w:r w:rsidR="00DE69C8" w:rsidRPr="005C202F">
        <w:rPr>
          <w:rFonts w:cstheme="minorHAnsi"/>
        </w:rPr>
        <w:t>For TRANSFORM-2, the difference from placebo is the least-squares mean difference between Esk + oral AD and oral AD + placebo</w:t>
      </w:r>
    </w:p>
    <w:p w:rsidR="002030D6" w:rsidRPr="005C202F" w:rsidRDefault="002030D6" w:rsidP="00732E33">
      <w:pPr>
        <w:pStyle w:val="TableFooter"/>
        <w:keepNext/>
        <w:keepLines/>
      </w:pPr>
      <w:r w:rsidRPr="005C202F">
        <w:rPr>
          <w:vertAlign w:val="superscript"/>
        </w:rPr>
        <w:t xml:space="preserve">d </w:t>
      </w:r>
      <w:r w:rsidRPr="005C202F">
        <w:t>In TRANSFORM-1, the comparison for 56 mg was considered statistically significant only if the analysis was significant for 84 mg. As tests showed that the 84 mg dose treatment arm was not statistically significantly different from placebo, 56 mg was not formally evaluated</w:t>
      </w:r>
    </w:p>
    <w:p w:rsidR="002030D6" w:rsidRPr="005C202F" w:rsidRDefault="002030D6" w:rsidP="00732E33">
      <w:pPr>
        <w:pStyle w:val="TableFooter"/>
        <w:keepNext/>
        <w:keepLines/>
      </w:pPr>
      <w:r w:rsidRPr="005C202F">
        <w:t>Notes: MADRS Total score ranges from 0 to 60; a higher score indicates a more severe condition and negative change in score indicates improvement</w:t>
      </w:r>
    </w:p>
    <w:p w:rsidR="002030D6" w:rsidRPr="005C202F" w:rsidRDefault="0079557C" w:rsidP="00732E33">
      <w:pPr>
        <w:pStyle w:val="TableFooter"/>
        <w:keepNext/>
        <w:keepLines/>
      </w:pPr>
      <w:r w:rsidRPr="005C202F">
        <w:rPr>
          <w:vertAlign w:val="superscript"/>
        </w:rPr>
        <w:t>e</w:t>
      </w:r>
      <w:r w:rsidR="00307A87" w:rsidRPr="005C202F">
        <w:rPr>
          <w:vertAlign w:val="superscript"/>
        </w:rPr>
        <w:t xml:space="preserve"> </w:t>
      </w:r>
      <w:r w:rsidR="00DE69C8" w:rsidRPr="005C202F">
        <w:t>For both TRANSFORM-1 and TRANSFORM-3 95% CI value is the 2-sided flexible CI for the difference from placebo</w:t>
      </w:r>
    </w:p>
    <w:p w:rsidR="00DE69C8" w:rsidRPr="005C202F" w:rsidRDefault="002030D6" w:rsidP="00732E33">
      <w:pPr>
        <w:pStyle w:val="TableFooter"/>
        <w:keepNext/>
        <w:keepLines/>
      </w:pPr>
      <w:r w:rsidRPr="005C202F">
        <w:rPr>
          <w:vertAlign w:val="superscript"/>
        </w:rPr>
        <w:t xml:space="preserve">f </w:t>
      </w:r>
      <w:r w:rsidRPr="005C202F">
        <w:t>For TRANSFORM-3, difference from placebo is the median unbiased estimate, which is a weighted combination of the least squares means of the difference from placebo</w:t>
      </w:r>
    </w:p>
    <w:p w:rsidR="00C71B69" w:rsidRPr="005C202F" w:rsidRDefault="00C71B69" w:rsidP="00122786">
      <w:pPr>
        <w:pStyle w:val="ExecSumBodyText"/>
        <w:keepNext/>
        <w:keepLines/>
        <w:numPr>
          <w:ilvl w:val="0"/>
          <w:numId w:val="0"/>
        </w:numPr>
      </w:pPr>
      <w:r w:rsidRPr="005C202F">
        <w:rPr>
          <w:vertAlign w:val="superscript"/>
        </w:rPr>
        <w:t>g</w:t>
      </w:r>
      <w:r w:rsidRPr="005C202F">
        <w:t xml:space="preserve"> </w:t>
      </w:r>
      <w:r w:rsidRPr="005C202F">
        <w:rPr>
          <w:rFonts w:ascii="Arial Narrow" w:hAnsi="Arial Narrow"/>
          <w:sz w:val="18"/>
          <w:szCs w:val="22"/>
          <w:lang w:eastAsia="en-US"/>
        </w:rPr>
        <w:t>although nominally significant, could not be formally evaluated owing to a pre-specified testing sequence that required stopping after the higher dose failed.</w:t>
      </w:r>
    </w:p>
    <w:p w:rsidR="00B07BED" w:rsidRPr="005C202F" w:rsidRDefault="00B07BED" w:rsidP="00EE0C9D">
      <w:pPr>
        <w:pStyle w:val="TableFooter"/>
      </w:pPr>
    </w:p>
    <w:p w:rsidR="00B07BED" w:rsidRPr="005C202F" w:rsidRDefault="00B07BED" w:rsidP="00CD2D5A">
      <w:pPr>
        <w:pStyle w:val="ExecSumBodyText"/>
        <w:rPr>
          <w:color w:val="0066FF"/>
        </w:rPr>
      </w:pPr>
      <w:r w:rsidRPr="005C202F">
        <w:t xml:space="preserve">Of the three short-term induction trials, only TRANSFORM-2 showed a statistically significant treatment effect with esketamine nasal spray compared with placebo. </w:t>
      </w:r>
      <w:r w:rsidR="003F47A8" w:rsidRPr="005C202F">
        <w:t>T</w:t>
      </w:r>
      <w:r w:rsidRPr="005C202F">
        <w:t xml:space="preserve">he mean difference between treatment arms (favouring esketamine) was around 4 MADRS points using </w:t>
      </w:r>
      <w:r w:rsidR="00D30EDE" w:rsidRPr="005C202F">
        <w:t xml:space="preserve">a mixed-effect model for repeated measures </w:t>
      </w:r>
      <w:r w:rsidRPr="005C202F">
        <w:t>MMRM</w:t>
      </w:r>
      <w:r w:rsidR="00D30EDE" w:rsidRPr="005C202F">
        <w:t xml:space="preserve"> analysis</w:t>
      </w:r>
      <w:r w:rsidR="003F47A8" w:rsidRPr="005C202F">
        <w:t>.</w:t>
      </w:r>
      <w:r w:rsidRPr="005C202F">
        <w:t>.</w:t>
      </w:r>
      <w:r w:rsidRPr="005C202F">
        <w:rPr>
          <w:iCs/>
        </w:rPr>
        <w:t xml:space="preserve">. The confidence intervals </w:t>
      </w:r>
      <w:r w:rsidR="00DE1583" w:rsidRPr="005C202F">
        <w:rPr>
          <w:iCs/>
        </w:rPr>
        <w:t xml:space="preserve">were </w:t>
      </w:r>
      <w:r w:rsidRPr="005C202F">
        <w:rPr>
          <w:iCs/>
        </w:rPr>
        <w:t>wide, and the lower bound f</w:t>
      </w:r>
      <w:r w:rsidR="00DE1583" w:rsidRPr="005C202F">
        <w:rPr>
          <w:iCs/>
        </w:rPr>
        <w:t>e</w:t>
      </w:r>
      <w:r w:rsidRPr="005C202F">
        <w:rPr>
          <w:iCs/>
        </w:rPr>
        <w:t>ll below the nominated MCID</w:t>
      </w:r>
      <w:r w:rsidR="00956D4A" w:rsidRPr="005C202F">
        <w:rPr>
          <w:iCs/>
        </w:rPr>
        <w:t xml:space="preserve"> (2 MADRS points)</w:t>
      </w:r>
      <w:r w:rsidRPr="005C202F">
        <w:rPr>
          <w:iCs/>
        </w:rPr>
        <w:t>, suggesting that treatment effects are variable, and a proportion of patients do not derive any additional benefit from treatment with esketamine</w:t>
      </w:r>
      <w:r w:rsidRPr="005C202F">
        <w:rPr>
          <w:i/>
        </w:rPr>
        <w:t xml:space="preserve">. </w:t>
      </w:r>
      <w:bookmarkStart w:id="14" w:name="_Hlk77755202"/>
      <w:r w:rsidR="0004359A" w:rsidRPr="005C202F">
        <w:t xml:space="preserve">The ESC noted other studies have suggested a difference of 7 to 9 points in the MADRS is clinically important </w:t>
      </w:r>
      <w:r w:rsidR="00D76F71" w:rsidRPr="005C202F">
        <w:t xml:space="preserve">(Leucht 2017) </w:t>
      </w:r>
      <w:r w:rsidR="0004359A" w:rsidRPr="005C202F">
        <w:t xml:space="preserve">and noted a difference of 6.5 was considered clinically important in the power calculations for TRANSFORM-2. </w:t>
      </w:r>
      <w:bookmarkEnd w:id="14"/>
      <w:r w:rsidR="00BD48C4" w:rsidRPr="005C202F">
        <w:t xml:space="preserve">The Pre-PBAC Response stated the threshold applied in Leucht 2017 was to an absolute change from baseline and not a between-group difference, as reported in the TRANSFORM-2 trial and reiterated the absolute change in MADRS for the esketamine + OAD group </w:t>
      </w:r>
      <w:r w:rsidR="00792AB3" w:rsidRPr="005C202F">
        <w:t>was -21.5 points</w:t>
      </w:r>
      <w:r w:rsidR="005C202F">
        <w:t xml:space="preserve">. </w:t>
      </w:r>
      <w:r w:rsidR="001C5FF1" w:rsidRPr="005C202F">
        <w:t xml:space="preserve">The PBAC considered the observed difference in the esketamine + OAD arm compared to a new OAD alone of 4 points on the MADRS scale was </w:t>
      </w:r>
      <w:r w:rsidR="00DE1583" w:rsidRPr="005C202F">
        <w:t xml:space="preserve">of </w:t>
      </w:r>
      <w:r w:rsidR="001C5FF1" w:rsidRPr="005C202F">
        <w:t>uncertain</w:t>
      </w:r>
      <w:r w:rsidR="00DE1583" w:rsidRPr="005C202F">
        <w:t xml:space="preserve"> clinical significance</w:t>
      </w:r>
      <w:r w:rsidR="001C5FF1" w:rsidRPr="005C202F">
        <w:t>.</w:t>
      </w:r>
    </w:p>
    <w:p w:rsidR="0093377F" w:rsidRPr="005C202F" w:rsidRDefault="00B07BED" w:rsidP="00B07BED">
      <w:pPr>
        <w:pStyle w:val="ExecSumBodyText"/>
      </w:pPr>
      <w:r w:rsidRPr="005C202F">
        <w:t xml:space="preserve">The other two short-term induction studies, TRANSFORM-1 and TRANSFORM-3, failed to demonstrate a statistically significant treatment effect of esketamine nasal spray. </w:t>
      </w:r>
    </w:p>
    <w:p w:rsidR="00695E8D" w:rsidRPr="005C202F" w:rsidRDefault="00963C15" w:rsidP="00B07BED">
      <w:pPr>
        <w:pStyle w:val="ExecSumBodyText"/>
      </w:pPr>
      <w:r w:rsidRPr="005C202F">
        <w:t xml:space="preserve">The proportion of responders and remitters at day 28 </w:t>
      </w:r>
      <w:r w:rsidR="00DE1583" w:rsidRPr="005C202F">
        <w:t xml:space="preserve">in </w:t>
      </w:r>
      <w:r w:rsidRPr="005C202F">
        <w:t xml:space="preserve">the TRANSFORM-2 trial are summarised in Table </w:t>
      </w:r>
      <w:r w:rsidR="007A26A1" w:rsidRPr="005C202F">
        <w:t>5.</w:t>
      </w:r>
      <w:r w:rsidR="00A76F53" w:rsidRPr="005C202F">
        <w:t xml:space="preserve"> A subject was defined as a responder at a given time point if the percent improvement (decrease) in MADRS total score from baseline was ≥ 50%. Subjects who had a MADRS total score of ≤ 12 were considered remitters.</w:t>
      </w:r>
      <w:r w:rsidR="00742B16" w:rsidRPr="005C202F">
        <w:t xml:space="preserve"> These outcomes were used to inform the transition probabilities in the economic model.</w:t>
      </w:r>
      <w:r w:rsidR="0004359A" w:rsidRPr="005C202F">
        <w:t xml:space="preserve"> The ESC noted the definition of remission was less stringent than applied in other</w:t>
      </w:r>
      <w:r w:rsidR="00834BD3" w:rsidRPr="005C202F">
        <w:t xml:space="preserve"> studies, which </w:t>
      </w:r>
      <w:r w:rsidR="000B1917" w:rsidRPr="005C202F">
        <w:t xml:space="preserve">defined remission as </w:t>
      </w:r>
      <w:r w:rsidR="0004359A" w:rsidRPr="005C202F">
        <w:rPr>
          <w:rFonts w:cstheme="minorHAnsi"/>
        </w:rPr>
        <w:t>≤</w:t>
      </w:r>
      <w:r w:rsidR="00D76F71" w:rsidRPr="005C202F">
        <w:t xml:space="preserve"> 8 (Leucht 2017</w:t>
      </w:r>
      <w:r w:rsidR="000B1917" w:rsidRPr="005C202F">
        <w:t>).</w:t>
      </w:r>
      <w:r w:rsidR="000B1917" w:rsidRPr="005C202F">
        <w:rPr>
          <w:i/>
        </w:rPr>
        <w:t xml:space="preserve"> </w:t>
      </w:r>
    </w:p>
    <w:p w:rsidR="002A4B8B" w:rsidRPr="005C202F" w:rsidRDefault="002A4B8B" w:rsidP="006A633E">
      <w:pPr>
        <w:pStyle w:val="TableFigureCaption"/>
        <w:keepLines/>
        <w:jc w:val="both"/>
      </w:pPr>
      <w:r w:rsidRPr="005C202F">
        <w:t>Table 5: Proportion of responders and remitters at day 28 based on MADRS total score, TRANSFORM-2 (full analysis set</w:t>
      </w:r>
      <w:r w:rsidR="00DE69C8" w:rsidRPr="005C202F">
        <w:t>)</w:t>
      </w:r>
    </w:p>
    <w:tbl>
      <w:tblPr>
        <w:tblStyle w:val="TableGrid"/>
        <w:tblW w:w="0" w:type="auto"/>
        <w:tblLook w:val="04A0" w:firstRow="1" w:lastRow="0" w:firstColumn="1" w:lastColumn="0" w:noHBand="0" w:noVBand="1"/>
        <w:tblCaption w:val="Table 5: Proportion of responders and remitters at day 28 based on MADRS total score, TRANSFORM-2 (full analysis set)"/>
      </w:tblPr>
      <w:tblGrid>
        <w:gridCol w:w="3005"/>
        <w:gridCol w:w="3006"/>
        <w:gridCol w:w="3006"/>
      </w:tblGrid>
      <w:tr w:rsidR="00DE69C8" w:rsidRPr="005C202F" w:rsidTr="001F6F55">
        <w:trPr>
          <w:tblHeader/>
        </w:trPr>
        <w:tc>
          <w:tcPr>
            <w:tcW w:w="3005" w:type="dxa"/>
          </w:tcPr>
          <w:p w:rsidR="00DE69C8" w:rsidRPr="005C202F" w:rsidRDefault="00DE69C8" w:rsidP="006A633E">
            <w:pPr>
              <w:pStyle w:val="Tabletext0"/>
              <w:keepNext/>
              <w:keepLines/>
            </w:pPr>
          </w:p>
        </w:tc>
        <w:tc>
          <w:tcPr>
            <w:tcW w:w="3006" w:type="dxa"/>
          </w:tcPr>
          <w:p w:rsidR="00DE69C8" w:rsidRPr="005C202F" w:rsidRDefault="00DE69C8" w:rsidP="006A633E">
            <w:pPr>
              <w:pStyle w:val="Tabletext0"/>
              <w:keepNext/>
              <w:keepLines/>
              <w:jc w:val="center"/>
              <w:rPr>
                <w:b/>
                <w:bCs/>
              </w:rPr>
            </w:pPr>
            <w:r w:rsidRPr="005C202F">
              <w:rPr>
                <w:b/>
                <w:bCs/>
              </w:rPr>
              <w:t>Esketamine + OAD</w:t>
            </w:r>
          </w:p>
          <w:p w:rsidR="00DE69C8" w:rsidRPr="005C202F" w:rsidRDefault="00DE69C8" w:rsidP="006A633E">
            <w:pPr>
              <w:pStyle w:val="Tabletext0"/>
              <w:keepNext/>
              <w:keepLines/>
              <w:jc w:val="center"/>
              <w:rPr>
                <w:b/>
                <w:bCs/>
              </w:rPr>
            </w:pPr>
            <w:r w:rsidRPr="005C202F">
              <w:rPr>
                <w:b/>
                <w:bCs/>
              </w:rPr>
              <w:t>N = 114</w:t>
            </w:r>
          </w:p>
        </w:tc>
        <w:tc>
          <w:tcPr>
            <w:tcW w:w="3006" w:type="dxa"/>
          </w:tcPr>
          <w:p w:rsidR="00DE69C8" w:rsidRPr="005C202F" w:rsidRDefault="00DE69C8" w:rsidP="006A633E">
            <w:pPr>
              <w:pStyle w:val="Tabletext0"/>
              <w:keepNext/>
              <w:keepLines/>
              <w:jc w:val="center"/>
              <w:rPr>
                <w:b/>
                <w:bCs/>
              </w:rPr>
            </w:pPr>
            <w:r w:rsidRPr="005C202F">
              <w:rPr>
                <w:b/>
                <w:bCs/>
              </w:rPr>
              <w:t>Placebo + OAD</w:t>
            </w:r>
          </w:p>
          <w:p w:rsidR="00DE69C8" w:rsidRPr="005C202F" w:rsidRDefault="00DE69C8" w:rsidP="006A633E">
            <w:pPr>
              <w:pStyle w:val="Tabletext0"/>
              <w:keepNext/>
              <w:keepLines/>
              <w:jc w:val="center"/>
              <w:rPr>
                <w:b/>
                <w:bCs/>
              </w:rPr>
            </w:pPr>
            <w:r w:rsidRPr="005C202F">
              <w:rPr>
                <w:b/>
                <w:bCs/>
              </w:rPr>
              <w:t>N = 109</w:t>
            </w:r>
          </w:p>
        </w:tc>
      </w:tr>
      <w:tr w:rsidR="00DE69C8" w:rsidRPr="005C202F" w:rsidTr="00EB63AF">
        <w:tc>
          <w:tcPr>
            <w:tcW w:w="9017" w:type="dxa"/>
            <w:gridSpan w:val="3"/>
          </w:tcPr>
          <w:p w:rsidR="00DE69C8" w:rsidRPr="005C202F" w:rsidRDefault="00DE69C8" w:rsidP="006A633E">
            <w:pPr>
              <w:pStyle w:val="Tabletext0"/>
              <w:keepNext/>
              <w:keepLines/>
              <w:rPr>
                <w:b/>
                <w:bCs/>
              </w:rPr>
            </w:pPr>
            <w:r w:rsidRPr="005C202F">
              <w:rPr>
                <w:b/>
                <w:bCs/>
              </w:rPr>
              <w:t>Response (</w:t>
            </w:r>
            <w:r w:rsidRPr="005C202F">
              <w:rPr>
                <w:rFonts w:cs="Calibri"/>
                <w:b/>
                <w:bCs/>
              </w:rPr>
              <w:t>≥</w:t>
            </w:r>
            <w:r w:rsidRPr="005C202F">
              <w:rPr>
                <w:b/>
                <w:bCs/>
              </w:rPr>
              <w:t>50% improvement MADRS score)</w:t>
            </w:r>
          </w:p>
        </w:tc>
      </w:tr>
      <w:tr w:rsidR="00DE69C8" w:rsidRPr="005C202F" w:rsidTr="00EB63AF">
        <w:tc>
          <w:tcPr>
            <w:tcW w:w="3005" w:type="dxa"/>
          </w:tcPr>
          <w:p w:rsidR="00DE69C8" w:rsidRPr="005C202F" w:rsidRDefault="00DE69C8" w:rsidP="006A633E">
            <w:pPr>
              <w:pStyle w:val="Tabletext0"/>
              <w:keepNext/>
              <w:keepLines/>
            </w:pPr>
            <w:r w:rsidRPr="005C202F">
              <w:t>Observed cases, n/N (%)</w:t>
            </w:r>
          </w:p>
        </w:tc>
        <w:tc>
          <w:tcPr>
            <w:tcW w:w="3006" w:type="dxa"/>
            <w:vAlign w:val="center"/>
          </w:tcPr>
          <w:p w:rsidR="00DE69C8" w:rsidRPr="005C202F" w:rsidRDefault="00DE69C8" w:rsidP="006A633E">
            <w:pPr>
              <w:pStyle w:val="Tabletext0"/>
              <w:keepNext/>
              <w:keepLines/>
              <w:jc w:val="center"/>
            </w:pPr>
            <w:r w:rsidRPr="005C202F">
              <w:t>70/101 (69.3)</w:t>
            </w:r>
          </w:p>
        </w:tc>
        <w:tc>
          <w:tcPr>
            <w:tcW w:w="3006" w:type="dxa"/>
            <w:vAlign w:val="center"/>
          </w:tcPr>
          <w:p w:rsidR="00DE69C8" w:rsidRPr="005C202F" w:rsidRDefault="00DE69C8" w:rsidP="006A633E">
            <w:pPr>
              <w:pStyle w:val="Tabletext0"/>
              <w:keepNext/>
              <w:keepLines/>
              <w:jc w:val="center"/>
            </w:pPr>
            <w:r w:rsidRPr="005C202F">
              <w:t>52/100 (52)</w:t>
            </w:r>
          </w:p>
        </w:tc>
      </w:tr>
      <w:tr w:rsidR="00DE69C8" w:rsidRPr="005C202F" w:rsidTr="00EB63AF">
        <w:tc>
          <w:tcPr>
            <w:tcW w:w="3005" w:type="dxa"/>
          </w:tcPr>
          <w:p w:rsidR="00DE69C8" w:rsidRPr="005C202F" w:rsidRDefault="00DE69C8" w:rsidP="006A633E">
            <w:pPr>
              <w:pStyle w:val="Tabletext0"/>
              <w:keepNext/>
              <w:keepLines/>
            </w:pPr>
            <w:r w:rsidRPr="005C202F">
              <w:t>LOCF, n/N (%)</w:t>
            </w:r>
          </w:p>
        </w:tc>
        <w:tc>
          <w:tcPr>
            <w:tcW w:w="3006" w:type="dxa"/>
            <w:vAlign w:val="center"/>
          </w:tcPr>
          <w:p w:rsidR="00DE69C8" w:rsidRPr="005C202F" w:rsidRDefault="00DE69C8" w:rsidP="006A633E">
            <w:pPr>
              <w:pStyle w:val="Tabletext0"/>
              <w:keepNext/>
              <w:keepLines/>
              <w:jc w:val="center"/>
            </w:pPr>
            <w:r w:rsidRPr="005C202F">
              <w:t>71/112 (63.4)</w:t>
            </w:r>
          </w:p>
        </w:tc>
        <w:tc>
          <w:tcPr>
            <w:tcW w:w="3006" w:type="dxa"/>
            <w:vAlign w:val="center"/>
          </w:tcPr>
          <w:p w:rsidR="00DE69C8" w:rsidRPr="005C202F" w:rsidRDefault="00DE69C8" w:rsidP="006A633E">
            <w:pPr>
              <w:pStyle w:val="Tabletext0"/>
              <w:keepNext/>
              <w:keepLines/>
              <w:jc w:val="center"/>
            </w:pPr>
            <w:r w:rsidRPr="005C202F">
              <w:t>54/109 (49.5)</w:t>
            </w:r>
          </w:p>
        </w:tc>
      </w:tr>
      <w:tr w:rsidR="00DE69C8" w:rsidRPr="005C202F" w:rsidTr="00EB63AF">
        <w:tc>
          <w:tcPr>
            <w:tcW w:w="9017" w:type="dxa"/>
            <w:gridSpan w:val="3"/>
          </w:tcPr>
          <w:p w:rsidR="00DE69C8" w:rsidRPr="005C202F" w:rsidRDefault="00DE69C8" w:rsidP="006A633E">
            <w:pPr>
              <w:pStyle w:val="Tabletext0"/>
              <w:keepNext/>
              <w:keepLines/>
              <w:rPr>
                <w:b/>
                <w:bCs/>
              </w:rPr>
            </w:pPr>
            <w:r w:rsidRPr="005C202F">
              <w:rPr>
                <w:b/>
                <w:bCs/>
              </w:rPr>
              <w:t xml:space="preserve">Remission (MADRS total score </w:t>
            </w:r>
            <w:r w:rsidRPr="005C202F">
              <w:rPr>
                <w:rFonts w:cs="Calibri"/>
                <w:b/>
                <w:bCs/>
              </w:rPr>
              <w:t>≤</w:t>
            </w:r>
            <w:r w:rsidRPr="005C202F">
              <w:rPr>
                <w:b/>
                <w:bCs/>
              </w:rPr>
              <w:t>12)</w:t>
            </w:r>
          </w:p>
        </w:tc>
      </w:tr>
      <w:tr w:rsidR="00DE69C8" w:rsidRPr="005C202F" w:rsidTr="00EB63AF">
        <w:tc>
          <w:tcPr>
            <w:tcW w:w="3005" w:type="dxa"/>
          </w:tcPr>
          <w:p w:rsidR="00DE69C8" w:rsidRPr="005C202F" w:rsidRDefault="00DE69C8" w:rsidP="006A633E">
            <w:pPr>
              <w:pStyle w:val="Tabletext0"/>
              <w:keepNext/>
              <w:keepLines/>
            </w:pPr>
            <w:r w:rsidRPr="005C202F">
              <w:t>Observed cases, n/N (%)</w:t>
            </w:r>
          </w:p>
        </w:tc>
        <w:tc>
          <w:tcPr>
            <w:tcW w:w="3006" w:type="dxa"/>
            <w:vAlign w:val="center"/>
          </w:tcPr>
          <w:p w:rsidR="00DE69C8" w:rsidRPr="005C202F" w:rsidRDefault="00DE69C8" w:rsidP="006A633E">
            <w:pPr>
              <w:pStyle w:val="Tabletext0"/>
              <w:keepNext/>
              <w:keepLines/>
              <w:jc w:val="center"/>
            </w:pPr>
            <w:r w:rsidRPr="005C202F">
              <w:t>53/101 (52.5)</w:t>
            </w:r>
          </w:p>
        </w:tc>
        <w:tc>
          <w:tcPr>
            <w:tcW w:w="3006" w:type="dxa"/>
            <w:vAlign w:val="center"/>
          </w:tcPr>
          <w:p w:rsidR="00DE69C8" w:rsidRPr="005C202F" w:rsidRDefault="00DE69C8" w:rsidP="006A633E">
            <w:pPr>
              <w:pStyle w:val="Tabletext0"/>
              <w:keepNext/>
              <w:keepLines/>
              <w:jc w:val="center"/>
            </w:pPr>
            <w:r w:rsidRPr="005C202F">
              <w:t>31/100 (31)</w:t>
            </w:r>
          </w:p>
        </w:tc>
      </w:tr>
      <w:tr w:rsidR="00DE69C8" w:rsidRPr="005C202F" w:rsidTr="00EB63AF">
        <w:tc>
          <w:tcPr>
            <w:tcW w:w="3005" w:type="dxa"/>
          </w:tcPr>
          <w:p w:rsidR="00DE69C8" w:rsidRPr="005C202F" w:rsidRDefault="00DE69C8" w:rsidP="006A633E">
            <w:pPr>
              <w:pStyle w:val="Tabletext0"/>
              <w:keepNext/>
              <w:keepLines/>
            </w:pPr>
            <w:r w:rsidRPr="005C202F">
              <w:t>LOCF, n/N (%)</w:t>
            </w:r>
          </w:p>
        </w:tc>
        <w:tc>
          <w:tcPr>
            <w:tcW w:w="3006" w:type="dxa"/>
            <w:vAlign w:val="center"/>
          </w:tcPr>
          <w:p w:rsidR="00DE69C8" w:rsidRPr="005C202F" w:rsidRDefault="00DE69C8" w:rsidP="006A633E">
            <w:pPr>
              <w:pStyle w:val="Tabletext0"/>
              <w:keepNext/>
              <w:keepLines/>
              <w:jc w:val="center"/>
            </w:pPr>
            <w:r w:rsidRPr="005C202F">
              <w:t>54/112 (48.2)</w:t>
            </w:r>
          </w:p>
        </w:tc>
        <w:tc>
          <w:tcPr>
            <w:tcW w:w="3006" w:type="dxa"/>
            <w:vAlign w:val="center"/>
          </w:tcPr>
          <w:p w:rsidR="00DE69C8" w:rsidRPr="005C202F" w:rsidRDefault="00DE69C8" w:rsidP="006A633E">
            <w:pPr>
              <w:pStyle w:val="Tabletext0"/>
              <w:keepNext/>
              <w:keepLines/>
              <w:jc w:val="center"/>
            </w:pPr>
            <w:r w:rsidRPr="005C202F">
              <w:t>33/109 (30.3)</w:t>
            </w:r>
          </w:p>
        </w:tc>
      </w:tr>
    </w:tbl>
    <w:p w:rsidR="00850082" w:rsidRPr="005C202F" w:rsidRDefault="00DE69C8" w:rsidP="006A633E">
      <w:pPr>
        <w:pStyle w:val="TableFigureFooter"/>
        <w:keepNext/>
        <w:keepLines/>
      </w:pPr>
      <w:r w:rsidRPr="005C202F">
        <w:t>Source: Table 2.55, p.142; Table 2.56, p.143 of the submission</w:t>
      </w:r>
    </w:p>
    <w:p w:rsidR="00695E8D" w:rsidRPr="005C202F" w:rsidRDefault="007A26A1" w:rsidP="00B07BED">
      <w:pPr>
        <w:pStyle w:val="ExecSumBodyText"/>
      </w:pPr>
      <w:r w:rsidRPr="005C202F">
        <w:t xml:space="preserve">Based on changes in the MADRS score, at day 28, response rate was 69% in the esketamine nasal spray treatment group versus 52% for the intranasal placebo group (a risk-difference of 17%). At day 28, the remission rate was 53% in the esketamine nasal spray treatment group versus 31% for the intranasal placebo group (a risk difference of 22%). </w:t>
      </w:r>
      <w:r w:rsidR="001E3166" w:rsidRPr="005C202F">
        <w:rPr>
          <w:iCs/>
        </w:rPr>
        <w:t>Response and remission in practice are more likely to be determined based on an assessment of both clinical symptoms and overall level of functioning</w:t>
      </w:r>
      <w:r w:rsidR="00016117" w:rsidRPr="005C202F">
        <w:rPr>
          <w:iCs/>
        </w:rPr>
        <w:t>, rather than using the MADRS</w:t>
      </w:r>
      <w:r w:rsidR="001E3166" w:rsidRPr="005C202F">
        <w:t>.</w:t>
      </w:r>
    </w:p>
    <w:p w:rsidR="00695E8D" w:rsidRPr="005C202F" w:rsidRDefault="00C10720" w:rsidP="00B07BED">
      <w:pPr>
        <w:pStyle w:val="ExecSumBodyText"/>
      </w:pPr>
      <w:r w:rsidRPr="005C202F">
        <w:t>The results for the EQ-5D-5L Visual Analogue Scale</w:t>
      </w:r>
      <w:r w:rsidR="004165B3" w:rsidRPr="005C202F">
        <w:t>, health status index,</w:t>
      </w:r>
      <w:r w:rsidRPr="005C202F">
        <w:t xml:space="preserve"> and sum score across dimensions in the TRANSFORM-2 trial are summarised in Table 6.</w:t>
      </w:r>
    </w:p>
    <w:p w:rsidR="00AD1029" w:rsidRPr="005C202F" w:rsidRDefault="00AD1029">
      <w:pPr>
        <w:jc w:val="left"/>
        <w:rPr>
          <w:rFonts w:ascii="Arial Narrow" w:eastAsiaTheme="minorHAnsi" w:hAnsi="Arial Narrow" w:cstheme="minorBidi"/>
          <w:b/>
          <w:sz w:val="20"/>
          <w:szCs w:val="22"/>
          <w:lang w:eastAsia="en-US"/>
        </w:rPr>
      </w:pPr>
      <w:r w:rsidRPr="005C202F">
        <w:br w:type="page"/>
      </w:r>
    </w:p>
    <w:p w:rsidR="004165B3" w:rsidRPr="005C202F" w:rsidRDefault="004165B3" w:rsidP="004165B3">
      <w:pPr>
        <w:pStyle w:val="TableHeading"/>
        <w:spacing w:after="0"/>
      </w:pPr>
      <w:r w:rsidRPr="005C202F">
        <w:t xml:space="preserve">Table 6: EQ-5D Visual Analogue Scale, health status index and sum scores in the TRANSFORM-2 trial </w:t>
      </w:r>
    </w:p>
    <w:tbl>
      <w:tblPr>
        <w:tblStyle w:val="TableGrid"/>
        <w:tblW w:w="0" w:type="auto"/>
        <w:tblLook w:val="04A0" w:firstRow="1" w:lastRow="0" w:firstColumn="1" w:lastColumn="0" w:noHBand="0" w:noVBand="1"/>
        <w:tblCaption w:val="Table 6: EQ-5D Visual Analogue Scale, health status index and sum scores in the TRANSFORM-2 trial "/>
      </w:tblPr>
      <w:tblGrid>
        <w:gridCol w:w="1812"/>
        <w:gridCol w:w="1799"/>
        <w:gridCol w:w="1803"/>
        <w:gridCol w:w="1800"/>
        <w:gridCol w:w="1803"/>
      </w:tblGrid>
      <w:tr w:rsidR="004165B3" w:rsidRPr="005C202F" w:rsidTr="00850082">
        <w:trPr>
          <w:tblHeader/>
        </w:trPr>
        <w:tc>
          <w:tcPr>
            <w:tcW w:w="1812" w:type="dxa"/>
            <w:vMerge w:val="restart"/>
          </w:tcPr>
          <w:p w:rsidR="004165B3" w:rsidRPr="005C202F" w:rsidRDefault="004165B3" w:rsidP="00EB63AF">
            <w:pPr>
              <w:pStyle w:val="Tabletext0"/>
            </w:pPr>
          </w:p>
        </w:tc>
        <w:tc>
          <w:tcPr>
            <w:tcW w:w="3602" w:type="dxa"/>
            <w:gridSpan w:val="2"/>
            <w:vAlign w:val="center"/>
          </w:tcPr>
          <w:p w:rsidR="004165B3" w:rsidRPr="005C202F" w:rsidRDefault="004165B3" w:rsidP="00EB63AF">
            <w:pPr>
              <w:pStyle w:val="Tabletext0"/>
              <w:jc w:val="center"/>
              <w:rPr>
                <w:b/>
              </w:rPr>
            </w:pPr>
            <w:r w:rsidRPr="005C202F">
              <w:rPr>
                <w:b/>
              </w:rPr>
              <w:t>Esketamine + oral AD</w:t>
            </w:r>
          </w:p>
        </w:tc>
        <w:tc>
          <w:tcPr>
            <w:tcW w:w="3603" w:type="dxa"/>
            <w:gridSpan w:val="2"/>
            <w:vAlign w:val="center"/>
          </w:tcPr>
          <w:p w:rsidR="004165B3" w:rsidRPr="005C202F" w:rsidRDefault="004165B3" w:rsidP="00EB63AF">
            <w:pPr>
              <w:pStyle w:val="Tabletext0"/>
              <w:jc w:val="center"/>
              <w:rPr>
                <w:b/>
              </w:rPr>
            </w:pPr>
            <w:r w:rsidRPr="005C202F">
              <w:rPr>
                <w:b/>
              </w:rPr>
              <w:t>Placebo + oral AD</w:t>
            </w:r>
          </w:p>
        </w:tc>
      </w:tr>
      <w:tr w:rsidR="004165B3" w:rsidRPr="005C202F" w:rsidTr="00850082">
        <w:trPr>
          <w:tblHeader/>
        </w:trPr>
        <w:tc>
          <w:tcPr>
            <w:tcW w:w="1812" w:type="dxa"/>
            <w:vMerge/>
          </w:tcPr>
          <w:p w:rsidR="004165B3" w:rsidRPr="005C202F" w:rsidRDefault="004165B3" w:rsidP="00EB63AF">
            <w:pPr>
              <w:pStyle w:val="Tabletext0"/>
            </w:pPr>
          </w:p>
        </w:tc>
        <w:tc>
          <w:tcPr>
            <w:tcW w:w="1799" w:type="dxa"/>
            <w:vAlign w:val="center"/>
          </w:tcPr>
          <w:p w:rsidR="004165B3" w:rsidRPr="005C202F" w:rsidRDefault="004165B3" w:rsidP="00EB63AF">
            <w:pPr>
              <w:pStyle w:val="Tabletext0"/>
              <w:jc w:val="center"/>
              <w:rPr>
                <w:b/>
              </w:rPr>
            </w:pPr>
            <w:r w:rsidRPr="005C202F">
              <w:rPr>
                <w:b/>
              </w:rPr>
              <w:t>N</w:t>
            </w:r>
          </w:p>
        </w:tc>
        <w:tc>
          <w:tcPr>
            <w:tcW w:w="1803" w:type="dxa"/>
            <w:vAlign w:val="center"/>
          </w:tcPr>
          <w:p w:rsidR="004165B3" w:rsidRPr="005C202F" w:rsidRDefault="004165B3" w:rsidP="00EB63AF">
            <w:pPr>
              <w:pStyle w:val="Tabletext0"/>
              <w:jc w:val="center"/>
              <w:rPr>
                <w:b/>
              </w:rPr>
            </w:pPr>
            <w:r w:rsidRPr="005C202F">
              <w:rPr>
                <w:b/>
              </w:rPr>
              <w:t>Mean (SD)</w:t>
            </w:r>
          </w:p>
        </w:tc>
        <w:tc>
          <w:tcPr>
            <w:tcW w:w="1800" w:type="dxa"/>
            <w:vAlign w:val="center"/>
          </w:tcPr>
          <w:p w:rsidR="004165B3" w:rsidRPr="005C202F" w:rsidRDefault="004165B3" w:rsidP="00EB63AF">
            <w:pPr>
              <w:pStyle w:val="Tabletext0"/>
              <w:jc w:val="center"/>
              <w:rPr>
                <w:b/>
              </w:rPr>
            </w:pPr>
            <w:r w:rsidRPr="005C202F">
              <w:rPr>
                <w:b/>
              </w:rPr>
              <w:t>N</w:t>
            </w:r>
          </w:p>
        </w:tc>
        <w:tc>
          <w:tcPr>
            <w:tcW w:w="1803" w:type="dxa"/>
            <w:vAlign w:val="center"/>
          </w:tcPr>
          <w:p w:rsidR="004165B3" w:rsidRPr="005C202F" w:rsidRDefault="004165B3" w:rsidP="00EB63AF">
            <w:pPr>
              <w:pStyle w:val="Tabletext0"/>
              <w:jc w:val="center"/>
              <w:rPr>
                <w:b/>
              </w:rPr>
            </w:pPr>
            <w:r w:rsidRPr="005C202F">
              <w:rPr>
                <w:b/>
              </w:rPr>
              <w:t>Mean (SD)</w:t>
            </w:r>
          </w:p>
        </w:tc>
      </w:tr>
      <w:tr w:rsidR="004165B3" w:rsidRPr="005C202F" w:rsidTr="00EB63AF">
        <w:tc>
          <w:tcPr>
            <w:tcW w:w="9017" w:type="dxa"/>
            <w:gridSpan w:val="5"/>
            <w:vAlign w:val="center"/>
          </w:tcPr>
          <w:p w:rsidR="004165B3" w:rsidRPr="005C202F" w:rsidRDefault="004165B3" w:rsidP="00EB63AF">
            <w:pPr>
              <w:pStyle w:val="Tabletext0"/>
              <w:rPr>
                <w:b/>
                <w:bCs/>
              </w:rPr>
            </w:pPr>
            <w:r w:rsidRPr="005C202F">
              <w:rPr>
                <w:b/>
                <w:bCs/>
              </w:rPr>
              <w:t>EQ VAS score</w:t>
            </w:r>
          </w:p>
        </w:tc>
      </w:tr>
      <w:tr w:rsidR="004165B3" w:rsidRPr="005C202F" w:rsidTr="00EB63AF">
        <w:tc>
          <w:tcPr>
            <w:tcW w:w="1812" w:type="dxa"/>
          </w:tcPr>
          <w:p w:rsidR="004165B3" w:rsidRPr="005C202F" w:rsidRDefault="004165B3" w:rsidP="00EB63AF">
            <w:pPr>
              <w:pStyle w:val="Tabletext0"/>
              <w:rPr>
                <w:bCs/>
              </w:rPr>
            </w:pPr>
            <w:r w:rsidRPr="005C202F">
              <w:rPr>
                <w:bCs/>
              </w:rPr>
              <w:t>Baseline</w:t>
            </w:r>
          </w:p>
        </w:tc>
        <w:tc>
          <w:tcPr>
            <w:tcW w:w="1799" w:type="dxa"/>
            <w:vAlign w:val="center"/>
          </w:tcPr>
          <w:p w:rsidR="004165B3" w:rsidRPr="005C202F" w:rsidRDefault="004165B3" w:rsidP="00EB63AF">
            <w:pPr>
              <w:pStyle w:val="Tabletext0"/>
              <w:jc w:val="center"/>
            </w:pPr>
            <w:r w:rsidRPr="005C202F">
              <w:t>114</w:t>
            </w:r>
          </w:p>
        </w:tc>
        <w:tc>
          <w:tcPr>
            <w:tcW w:w="1803" w:type="dxa"/>
            <w:vAlign w:val="center"/>
          </w:tcPr>
          <w:p w:rsidR="004165B3" w:rsidRPr="005C202F" w:rsidRDefault="004165B3" w:rsidP="00EB63AF">
            <w:pPr>
              <w:pStyle w:val="Tabletext0"/>
              <w:jc w:val="center"/>
            </w:pPr>
            <w:r w:rsidRPr="005C202F">
              <w:t>40.9 (20.24)</w:t>
            </w:r>
          </w:p>
        </w:tc>
        <w:tc>
          <w:tcPr>
            <w:tcW w:w="1800" w:type="dxa"/>
            <w:vAlign w:val="center"/>
          </w:tcPr>
          <w:p w:rsidR="004165B3" w:rsidRPr="005C202F" w:rsidRDefault="004165B3" w:rsidP="00EB63AF">
            <w:pPr>
              <w:pStyle w:val="Tabletext0"/>
              <w:jc w:val="center"/>
            </w:pPr>
            <w:r w:rsidRPr="005C202F">
              <w:t>109</w:t>
            </w:r>
          </w:p>
        </w:tc>
        <w:tc>
          <w:tcPr>
            <w:tcW w:w="1803" w:type="dxa"/>
            <w:vAlign w:val="center"/>
          </w:tcPr>
          <w:p w:rsidR="004165B3" w:rsidRPr="005C202F" w:rsidRDefault="004165B3" w:rsidP="00EB63AF">
            <w:pPr>
              <w:pStyle w:val="Tabletext0"/>
              <w:jc w:val="center"/>
            </w:pPr>
            <w:r w:rsidRPr="005C202F">
              <w:t>38.4 (20.27)</w:t>
            </w:r>
          </w:p>
        </w:tc>
      </w:tr>
      <w:tr w:rsidR="004165B3" w:rsidRPr="005C202F" w:rsidTr="00EB63AF">
        <w:tc>
          <w:tcPr>
            <w:tcW w:w="1812" w:type="dxa"/>
          </w:tcPr>
          <w:p w:rsidR="004165B3" w:rsidRPr="005C202F" w:rsidRDefault="004165B3" w:rsidP="00EB63AF">
            <w:pPr>
              <w:pStyle w:val="Tabletext0"/>
              <w:rPr>
                <w:bCs/>
              </w:rPr>
            </w:pPr>
            <w:r w:rsidRPr="005C202F">
              <w:rPr>
                <w:bCs/>
              </w:rPr>
              <w:t>End point (day 28)</w:t>
            </w:r>
          </w:p>
        </w:tc>
        <w:tc>
          <w:tcPr>
            <w:tcW w:w="1799" w:type="dxa"/>
            <w:vAlign w:val="center"/>
          </w:tcPr>
          <w:p w:rsidR="004165B3" w:rsidRPr="005C202F" w:rsidRDefault="004165B3" w:rsidP="00EB63AF">
            <w:pPr>
              <w:pStyle w:val="Tabletext0"/>
              <w:jc w:val="center"/>
            </w:pPr>
            <w:r w:rsidRPr="005C202F">
              <w:t>111</w:t>
            </w:r>
          </w:p>
        </w:tc>
        <w:tc>
          <w:tcPr>
            <w:tcW w:w="1803" w:type="dxa"/>
            <w:vAlign w:val="center"/>
          </w:tcPr>
          <w:p w:rsidR="004165B3" w:rsidRPr="005C202F" w:rsidRDefault="004165B3" w:rsidP="00EB63AF">
            <w:pPr>
              <w:pStyle w:val="Tabletext0"/>
              <w:jc w:val="center"/>
            </w:pPr>
            <w:r w:rsidRPr="005C202F">
              <w:t>69.4 (19.91)</w:t>
            </w:r>
          </w:p>
        </w:tc>
        <w:tc>
          <w:tcPr>
            <w:tcW w:w="1800" w:type="dxa"/>
            <w:vAlign w:val="center"/>
          </w:tcPr>
          <w:p w:rsidR="004165B3" w:rsidRPr="005C202F" w:rsidRDefault="004165B3" w:rsidP="00EB63AF">
            <w:pPr>
              <w:pStyle w:val="Tabletext0"/>
              <w:jc w:val="center"/>
            </w:pPr>
            <w:r w:rsidRPr="005C202F">
              <w:t>105</w:t>
            </w:r>
          </w:p>
        </w:tc>
        <w:tc>
          <w:tcPr>
            <w:tcW w:w="1803" w:type="dxa"/>
            <w:vAlign w:val="center"/>
          </w:tcPr>
          <w:p w:rsidR="004165B3" w:rsidRPr="005C202F" w:rsidRDefault="004165B3" w:rsidP="00EB63AF">
            <w:pPr>
              <w:pStyle w:val="Tabletext0"/>
              <w:jc w:val="center"/>
            </w:pPr>
            <w:r w:rsidRPr="005C202F">
              <w:t>59.8 (23.50)</w:t>
            </w:r>
          </w:p>
        </w:tc>
      </w:tr>
      <w:tr w:rsidR="004165B3" w:rsidRPr="005C202F" w:rsidTr="00EB63AF">
        <w:tc>
          <w:tcPr>
            <w:tcW w:w="9017" w:type="dxa"/>
            <w:gridSpan w:val="5"/>
            <w:vAlign w:val="center"/>
          </w:tcPr>
          <w:p w:rsidR="004165B3" w:rsidRPr="005C202F" w:rsidRDefault="004165B3" w:rsidP="00EB63AF">
            <w:pPr>
              <w:pStyle w:val="Tabletext0"/>
              <w:rPr>
                <w:b/>
                <w:bCs/>
              </w:rPr>
            </w:pPr>
            <w:r w:rsidRPr="005C202F">
              <w:rPr>
                <w:b/>
                <w:bCs/>
              </w:rPr>
              <w:t>Health status index</w:t>
            </w:r>
          </w:p>
        </w:tc>
      </w:tr>
      <w:tr w:rsidR="004165B3" w:rsidRPr="005C202F" w:rsidTr="00EB63AF">
        <w:tc>
          <w:tcPr>
            <w:tcW w:w="1812" w:type="dxa"/>
          </w:tcPr>
          <w:p w:rsidR="004165B3" w:rsidRPr="005C202F" w:rsidRDefault="004165B3" w:rsidP="00EB63AF">
            <w:pPr>
              <w:pStyle w:val="Tabletext0"/>
              <w:rPr>
                <w:bCs/>
              </w:rPr>
            </w:pPr>
            <w:r w:rsidRPr="005C202F">
              <w:rPr>
                <w:bCs/>
              </w:rPr>
              <w:t>Baseline</w:t>
            </w:r>
          </w:p>
        </w:tc>
        <w:tc>
          <w:tcPr>
            <w:tcW w:w="1799" w:type="dxa"/>
            <w:vAlign w:val="center"/>
          </w:tcPr>
          <w:p w:rsidR="004165B3" w:rsidRPr="005C202F" w:rsidRDefault="004165B3" w:rsidP="00EB63AF">
            <w:pPr>
              <w:pStyle w:val="Tabletext0"/>
              <w:jc w:val="center"/>
            </w:pPr>
            <w:r w:rsidRPr="005C202F">
              <w:t>114</w:t>
            </w:r>
          </w:p>
        </w:tc>
        <w:tc>
          <w:tcPr>
            <w:tcW w:w="1803" w:type="dxa"/>
            <w:vAlign w:val="center"/>
          </w:tcPr>
          <w:p w:rsidR="004165B3" w:rsidRPr="005C202F" w:rsidRDefault="004165B3" w:rsidP="00EB63AF">
            <w:pPr>
              <w:pStyle w:val="Tabletext0"/>
              <w:jc w:val="center"/>
            </w:pPr>
            <w:r w:rsidRPr="005C202F">
              <w:t>0.530 (0.208)</w:t>
            </w:r>
          </w:p>
        </w:tc>
        <w:tc>
          <w:tcPr>
            <w:tcW w:w="1800" w:type="dxa"/>
            <w:vAlign w:val="center"/>
          </w:tcPr>
          <w:p w:rsidR="004165B3" w:rsidRPr="005C202F" w:rsidRDefault="004165B3" w:rsidP="00EB63AF">
            <w:pPr>
              <w:pStyle w:val="Tabletext0"/>
              <w:jc w:val="center"/>
            </w:pPr>
            <w:r w:rsidRPr="005C202F">
              <w:t>109</w:t>
            </w:r>
          </w:p>
        </w:tc>
        <w:tc>
          <w:tcPr>
            <w:tcW w:w="1803" w:type="dxa"/>
            <w:vAlign w:val="center"/>
          </w:tcPr>
          <w:p w:rsidR="004165B3" w:rsidRPr="005C202F" w:rsidRDefault="004165B3" w:rsidP="00EB63AF">
            <w:pPr>
              <w:pStyle w:val="Tabletext0"/>
              <w:jc w:val="center"/>
            </w:pPr>
            <w:r w:rsidRPr="005C202F">
              <w:t>0.501 (0.214)</w:t>
            </w:r>
          </w:p>
        </w:tc>
      </w:tr>
      <w:tr w:rsidR="004165B3" w:rsidRPr="005C202F" w:rsidTr="00EB63AF">
        <w:tc>
          <w:tcPr>
            <w:tcW w:w="1812" w:type="dxa"/>
          </w:tcPr>
          <w:p w:rsidR="004165B3" w:rsidRPr="005C202F" w:rsidRDefault="004165B3" w:rsidP="00EB63AF">
            <w:pPr>
              <w:pStyle w:val="Tabletext0"/>
              <w:rPr>
                <w:bCs/>
              </w:rPr>
            </w:pPr>
            <w:r w:rsidRPr="005C202F">
              <w:rPr>
                <w:bCs/>
              </w:rPr>
              <w:t>End point (day 28)</w:t>
            </w:r>
          </w:p>
        </w:tc>
        <w:tc>
          <w:tcPr>
            <w:tcW w:w="1799" w:type="dxa"/>
            <w:vAlign w:val="center"/>
          </w:tcPr>
          <w:p w:rsidR="004165B3" w:rsidRPr="005C202F" w:rsidRDefault="004165B3" w:rsidP="00EB63AF">
            <w:pPr>
              <w:pStyle w:val="Tabletext0"/>
              <w:jc w:val="center"/>
            </w:pPr>
            <w:r w:rsidRPr="005C202F">
              <w:t>111</w:t>
            </w:r>
          </w:p>
        </w:tc>
        <w:tc>
          <w:tcPr>
            <w:tcW w:w="1803" w:type="dxa"/>
            <w:vAlign w:val="center"/>
          </w:tcPr>
          <w:p w:rsidR="004165B3" w:rsidRPr="005C202F" w:rsidRDefault="004165B3" w:rsidP="00EB63AF">
            <w:pPr>
              <w:pStyle w:val="Tabletext0"/>
              <w:jc w:val="center"/>
            </w:pPr>
            <w:r w:rsidRPr="005C202F">
              <w:t>0.815 (0.177)</w:t>
            </w:r>
          </w:p>
        </w:tc>
        <w:tc>
          <w:tcPr>
            <w:tcW w:w="1800" w:type="dxa"/>
            <w:vAlign w:val="center"/>
          </w:tcPr>
          <w:p w:rsidR="004165B3" w:rsidRPr="005C202F" w:rsidRDefault="004165B3" w:rsidP="00EB63AF">
            <w:pPr>
              <w:pStyle w:val="Tabletext0"/>
              <w:jc w:val="center"/>
            </w:pPr>
            <w:r w:rsidRPr="005C202F">
              <w:t>105</w:t>
            </w:r>
          </w:p>
        </w:tc>
        <w:tc>
          <w:tcPr>
            <w:tcW w:w="1803" w:type="dxa"/>
            <w:vAlign w:val="center"/>
          </w:tcPr>
          <w:p w:rsidR="004165B3" w:rsidRPr="005C202F" w:rsidRDefault="004165B3" w:rsidP="00EB63AF">
            <w:pPr>
              <w:pStyle w:val="Tabletext0"/>
              <w:jc w:val="center"/>
            </w:pPr>
            <w:r w:rsidRPr="005C202F">
              <w:t>0.737 (0.230)</w:t>
            </w:r>
          </w:p>
        </w:tc>
      </w:tr>
      <w:tr w:rsidR="004165B3" w:rsidRPr="005C202F" w:rsidTr="00EB63AF">
        <w:tc>
          <w:tcPr>
            <w:tcW w:w="9017" w:type="dxa"/>
            <w:gridSpan w:val="5"/>
            <w:vAlign w:val="center"/>
          </w:tcPr>
          <w:p w:rsidR="004165B3" w:rsidRPr="005C202F" w:rsidRDefault="004165B3" w:rsidP="00EB63AF">
            <w:pPr>
              <w:pStyle w:val="Tabletext0"/>
              <w:rPr>
                <w:b/>
                <w:bCs/>
              </w:rPr>
            </w:pPr>
            <w:r w:rsidRPr="005C202F">
              <w:rPr>
                <w:b/>
                <w:bCs/>
              </w:rPr>
              <w:t>Sum score</w:t>
            </w:r>
          </w:p>
        </w:tc>
      </w:tr>
      <w:tr w:rsidR="004165B3" w:rsidRPr="005C202F" w:rsidTr="00EB63AF">
        <w:tc>
          <w:tcPr>
            <w:tcW w:w="1812" w:type="dxa"/>
          </w:tcPr>
          <w:p w:rsidR="004165B3" w:rsidRPr="005C202F" w:rsidRDefault="004165B3" w:rsidP="00EB63AF">
            <w:pPr>
              <w:pStyle w:val="Tabletext0"/>
              <w:rPr>
                <w:b/>
              </w:rPr>
            </w:pPr>
            <w:r w:rsidRPr="005C202F">
              <w:rPr>
                <w:bCs/>
              </w:rPr>
              <w:t>Baseline</w:t>
            </w:r>
          </w:p>
        </w:tc>
        <w:tc>
          <w:tcPr>
            <w:tcW w:w="1799" w:type="dxa"/>
            <w:vAlign w:val="center"/>
          </w:tcPr>
          <w:p w:rsidR="004165B3" w:rsidRPr="005C202F" w:rsidRDefault="004165B3" w:rsidP="00EB63AF">
            <w:pPr>
              <w:pStyle w:val="Tabletext0"/>
              <w:jc w:val="center"/>
            </w:pPr>
            <w:r w:rsidRPr="005C202F">
              <w:t>114</w:t>
            </w:r>
          </w:p>
        </w:tc>
        <w:tc>
          <w:tcPr>
            <w:tcW w:w="1803" w:type="dxa"/>
            <w:vAlign w:val="center"/>
          </w:tcPr>
          <w:p w:rsidR="004165B3" w:rsidRPr="005C202F" w:rsidRDefault="004165B3" w:rsidP="00EB63AF">
            <w:pPr>
              <w:pStyle w:val="Tabletext0"/>
              <w:jc w:val="center"/>
            </w:pPr>
            <w:r w:rsidRPr="005C202F">
              <w:t>38.2 (14.83)</w:t>
            </w:r>
          </w:p>
        </w:tc>
        <w:tc>
          <w:tcPr>
            <w:tcW w:w="1800" w:type="dxa"/>
            <w:vAlign w:val="center"/>
          </w:tcPr>
          <w:p w:rsidR="004165B3" w:rsidRPr="005C202F" w:rsidRDefault="004165B3" w:rsidP="00EB63AF">
            <w:pPr>
              <w:pStyle w:val="Tabletext0"/>
              <w:jc w:val="center"/>
            </w:pPr>
            <w:r w:rsidRPr="005C202F">
              <w:t>109</w:t>
            </w:r>
          </w:p>
        </w:tc>
        <w:tc>
          <w:tcPr>
            <w:tcW w:w="1803" w:type="dxa"/>
            <w:vAlign w:val="center"/>
          </w:tcPr>
          <w:p w:rsidR="004165B3" w:rsidRPr="005C202F" w:rsidRDefault="004165B3" w:rsidP="00EB63AF">
            <w:pPr>
              <w:pStyle w:val="Tabletext0"/>
              <w:jc w:val="center"/>
            </w:pPr>
            <w:r w:rsidRPr="005C202F">
              <w:t>40.0 (15.35)</w:t>
            </w:r>
          </w:p>
        </w:tc>
      </w:tr>
      <w:tr w:rsidR="004165B3" w:rsidRPr="005C202F" w:rsidTr="00EB63AF">
        <w:tc>
          <w:tcPr>
            <w:tcW w:w="1812" w:type="dxa"/>
          </w:tcPr>
          <w:p w:rsidR="004165B3" w:rsidRPr="005C202F" w:rsidRDefault="004165B3" w:rsidP="00EB63AF">
            <w:pPr>
              <w:pStyle w:val="Tabletext0"/>
              <w:rPr>
                <w:b/>
              </w:rPr>
            </w:pPr>
            <w:r w:rsidRPr="005C202F">
              <w:rPr>
                <w:bCs/>
              </w:rPr>
              <w:t>End point (day 28)</w:t>
            </w:r>
          </w:p>
        </w:tc>
        <w:tc>
          <w:tcPr>
            <w:tcW w:w="1799" w:type="dxa"/>
            <w:vAlign w:val="center"/>
          </w:tcPr>
          <w:p w:rsidR="004165B3" w:rsidRPr="005C202F" w:rsidRDefault="004165B3" w:rsidP="00EB63AF">
            <w:pPr>
              <w:pStyle w:val="Tabletext0"/>
              <w:jc w:val="center"/>
            </w:pPr>
            <w:r w:rsidRPr="005C202F">
              <w:t>111</w:t>
            </w:r>
          </w:p>
        </w:tc>
        <w:tc>
          <w:tcPr>
            <w:tcW w:w="1803" w:type="dxa"/>
            <w:vAlign w:val="center"/>
          </w:tcPr>
          <w:p w:rsidR="004165B3" w:rsidRPr="005C202F" w:rsidRDefault="004165B3" w:rsidP="00EB63AF">
            <w:pPr>
              <w:pStyle w:val="Tabletext0"/>
              <w:jc w:val="center"/>
            </w:pPr>
            <w:r w:rsidRPr="005C202F">
              <w:t>15.5 (15.43)</w:t>
            </w:r>
          </w:p>
        </w:tc>
        <w:tc>
          <w:tcPr>
            <w:tcW w:w="1800" w:type="dxa"/>
            <w:vAlign w:val="center"/>
          </w:tcPr>
          <w:p w:rsidR="004165B3" w:rsidRPr="005C202F" w:rsidRDefault="004165B3" w:rsidP="00EB63AF">
            <w:pPr>
              <w:pStyle w:val="Tabletext0"/>
              <w:jc w:val="center"/>
            </w:pPr>
            <w:r w:rsidRPr="005C202F">
              <w:t>105</w:t>
            </w:r>
          </w:p>
        </w:tc>
        <w:tc>
          <w:tcPr>
            <w:tcW w:w="1803" w:type="dxa"/>
            <w:vAlign w:val="center"/>
          </w:tcPr>
          <w:p w:rsidR="004165B3" w:rsidRPr="005C202F" w:rsidRDefault="004165B3" w:rsidP="00EB63AF">
            <w:pPr>
              <w:pStyle w:val="Tabletext0"/>
              <w:jc w:val="center"/>
            </w:pPr>
            <w:r w:rsidRPr="005C202F">
              <w:t>22.3 (18.81)</w:t>
            </w:r>
          </w:p>
        </w:tc>
      </w:tr>
    </w:tbl>
    <w:p w:rsidR="004165B3" w:rsidRPr="005C202F" w:rsidRDefault="004165B3" w:rsidP="004165B3">
      <w:pPr>
        <w:pStyle w:val="TableFooter"/>
        <w:widowControl/>
      </w:pPr>
      <w:r w:rsidRPr="005C202F">
        <w:t>Source: TEFEQ5D01A, p.2853 TRANSFORM-2 clinical study report</w:t>
      </w:r>
    </w:p>
    <w:p w:rsidR="004165B3" w:rsidRPr="005C202F" w:rsidRDefault="004165B3" w:rsidP="004165B3">
      <w:pPr>
        <w:pStyle w:val="TableFooter"/>
        <w:widowControl/>
      </w:pPr>
      <w:r w:rsidRPr="005C202F">
        <w:t>Abbreviations: AD, antidepressant; SD, standard deviation; VAS, visual analogue scale</w:t>
      </w:r>
    </w:p>
    <w:p w:rsidR="004165B3" w:rsidRPr="005C202F" w:rsidRDefault="004165B3" w:rsidP="004165B3">
      <w:pPr>
        <w:pStyle w:val="TableFooter"/>
      </w:pPr>
      <w:r w:rsidRPr="005C202F">
        <w:t>Note: EQ-VAS score from 0 (the worst health you can imagine) to 100 (the best health you can imagine), Health Status Index ranges from -0.148 to 0.949 and is anchored at 0 (health state valued equal to dead) and 1 (full health), and Sum score from 0 to 100, where Sum score=(sum of the scores from the 5 dimensions minus 5) * 5.</w:t>
      </w:r>
    </w:p>
    <w:p w:rsidR="00695E8D" w:rsidRPr="005C202F" w:rsidRDefault="00695E8D" w:rsidP="00695E8D">
      <w:pPr>
        <w:pStyle w:val="TableFooter"/>
      </w:pPr>
    </w:p>
    <w:p w:rsidR="001E3166" w:rsidRPr="005C202F" w:rsidRDefault="00F92DDC" w:rsidP="001E3166">
      <w:pPr>
        <w:pStyle w:val="ExecSumBodyText"/>
      </w:pPr>
      <w:r w:rsidRPr="005C202F">
        <w:t>Participants in both arms of the TRANSFORM-2 trial experienced improvements in quality of life as measured by the EQ-5D-5L</w:t>
      </w:r>
      <w:r w:rsidR="00AC665C" w:rsidRPr="005C202F">
        <w:t xml:space="preserve"> VAS and sum score</w:t>
      </w:r>
      <w:r w:rsidRPr="005C202F">
        <w:t xml:space="preserve"> between baseline and end of study, favouring treatment with intranasal esketamine. Similar results were obtained in </w:t>
      </w:r>
      <w:r w:rsidR="00956D4A" w:rsidRPr="005C202F">
        <w:t xml:space="preserve">the </w:t>
      </w:r>
      <w:r w:rsidRPr="005C202F">
        <w:t>TRANSFORM-1</w:t>
      </w:r>
      <w:r w:rsidR="00956D4A" w:rsidRPr="005C202F">
        <w:t xml:space="preserve"> and </w:t>
      </w:r>
      <w:r w:rsidRPr="005C202F">
        <w:t>TRANSFORM-3</w:t>
      </w:r>
      <w:r w:rsidR="00956D4A" w:rsidRPr="005C202F">
        <w:t xml:space="preserve"> trials</w:t>
      </w:r>
      <w:r w:rsidRPr="005C202F">
        <w:t>.</w:t>
      </w:r>
    </w:p>
    <w:p w:rsidR="00AD154D" w:rsidRPr="005C202F" w:rsidRDefault="00AD154D" w:rsidP="00AD154D">
      <w:pPr>
        <w:pStyle w:val="4-SubsectSubhead"/>
      </w:pPr>
      <w:r w:rsidRPr="005C202F">
        <w:t>Maintenance study (SUSTAIN-1)</w:t>
      </w:r>
    </w:p>
    <w:p w:rsidR="00F92DDC" w:rsidRPr="005C202F" w:rsidRDefault="00842457" w:rsidP="00B07BED">
      <w:pPr>
        <w:pStyle w:val="ExecSumBodyText"/>
      </w:pPr>
      <w:r w:rsidRPr="005C202F">
        <w:t xml:space="preserve">In the SUSTAIN-1 trial, the primary efficacy endpoint was the time from randomisation (in the maintenance phase) to the first relapse in </w:t>
      </w:r>
      <w:r w:rsidR="001E3166" w:rsidRPr="005C202F">
        <w:t xml:space="preserve">patients </w:t>
      </w:r>
      <w:r w:rsidRPr="005C202F">
        <w:t xml:space="preserve">who </w:t>
      </w:r>
      <w:r w:rsidR="001E3166" w:rsidRPr="005C202F">
        <w:t xml:space="preserve">previously </w:t>
      </w:r>
      <w:r w:rsidRPr="005C202F">
        <w:t xml:space="preserve">achieved stable remission </w:t>
      </w:r>
      <w:r w:rsidR="001E3166" w:rsidRPr="005C202F">
        <w:t>with esketamine nasal spray by</w:t>
      </w:r>
      <w:r w:rsidRPr="005C202F">
        <w:t xml:space="preserve"> the end of the optimisation phase. </w:t>
      </w:r>
      <w:r w:rsidR="007650D8" w:rsidRPr="005C202F">
        <w:t>Time to relapse</w:t>
      </w:r>
      <w:r w:rsidRPr="005C202F">
        <w:t xml:space="preserve"> in the stable remitters </w:t>
      </w:r>
      <w:r w:rsidR="009C549A" w:rsidRPr="005C202F">
        <w:t xml:space="preserve">and stable responders </w:t>
      </w:r>
      <w:r w:rsidRPr="005C202F">
        <w:t>set</w:t>
      </w:r>
      <w:r w:rsidR="009C549A" w:rsidRPr="005C202F">
        <w:t>s</w:t>
      </w:r>
      <w:r w:rsidRPr="005C202F">
        <w:t xml:space="preserve"> </w:t>
      </w:r>
      <w:r w:rsidR="009C549A" w:rsidRPr="005C202F">
        <w:t>are</w:t>
      </w:r>
      <w:r w:rsidRPr="005C202F">
        <w:t xml:space="preserve"> summarised in Table </w:t>
      </w:r>
      <w:r w:rsidR="00C10720" w:rsidRPr="005C202F">
        <w:t xml:space="preserve">7. </w:t>
      </w:r>
    </w:p>
    <w:p w:rsidR="00861DE4" w:rsidRPr="005C202F" w:rsidRDefault="00861DE4" w:rsidP="00861DE4">
      <w:pPr>
        <w:pStyle w:val="TableHeading"/>
        <w:keepLines/>
        <w:spacing w:after="0"/>
        <w:jc w:val="both"/>
      </w:pPr>
      <w:r w:rsidRPr="005C202F">
        <w:t>Table 7: Results of primary efficacy outcome (time to relapse)</w:t>
      </w:r>
      <w:r w:rsidRPr="005C202F">
        <w:rPr>
          <w:vertAlign w:val="superscript"/>
        </w:rPr>
        <w:t>a</w:t>
      </w:r>
      <w:r w:rsidRPr="005C202F">
        <w:t xml:space="preserve"> in the SUSTAIN-1 trial (stable remitters</w:t>
      </w:r>
      <w:r w:rsidR="006F4D22" w:rsidRPr="005C202F">
        <w:t xml:space="preserve"> and responders</w:t>
      </w:r>
      <w:r w:rsidRPr="005C202F">
        <w:t>)</w:t>
      </w:r>
    </w:p>
    <w:tbl>
      <w:tblPr>
        <w:tblStyle w:val="TableGrid"/>
        <w:tblW w:w="0" w:type="auto"/>
        <w:tblCellMar>
          <w:left w:w="28" w:type="dxa"/>
          <w:right w:w="28" w:type="dxa"/>
        </w:tblCellMar>
        <w:tblLook w:val="04A0" w:firstRow="1" w:lastRow="0" w:firstColumn="1" w:lastColumn="0" w:noHBand="0" w:noVBand="1"/>
        <w:tblCaption w:val="Table 7: Results of primary efficacy outcome (time to relapse)a in the SUSTAIN-1 trial (stable remitters and responders)"/>
      </w:tblPr>
      <w:tblGrid>
        <w:gridCol w:w="2972"/>
        <w:gridCol w:w="1559"/>
        <w:gridCol w:w="1418"/>
        <w:gridCol w:w="1559"/>
        <w:gridCol w:w="1509"/>
      </w:tblGrid>
      <w:tr w:rsidR="00861DE4" w:rsidRPr="005C202F" w:rsidTr="001F6F55">
        <w:trPr>
          <w:tblHeader/>
        </w:trPr>
        <w:tc>
          <w:tcPr>
            <w:tcW w:w="2972" w:type="dxa"/>
          </w:tcPr>
          <w:p w:rsidR="00861DE4" w:rsidRPr="005C202F" w:rsidRDefault="00861DE4" w:rsidP="00EB63AF">
            <w:pPr>
              <w:keepNext/>
              <w:keepLines/>
            </w:pPr>
          </w:p>
        </w:tc>
        <w:tc>
          <w:tcPr>
            <w:tcW w:w="1559" w:type="dxa"/>
            <w:vAlign w:val="center"/>
          </w:tcPr>
          <w:p w:rsidR="00861DE4" w:rsidRPr="005C202F" w:rsidRDefault="00861DE4" w:rsidP="009C549A">
            <w:pPr>
              <w:pStyle w:val="TableText"/>
              <w:keepLines/>
              <w:jc w:val="center"/>
              <w:rPr>
                <w:b/>
              </w:rPr>
            </w:pPr>
            <w:r w:rsidRPr="005C202F">
              <w:rPr>
                <w:b/>
              </w:rPr>
              <w:t>Esketamine + AD</w:t>
            </w:r>
          </w:p>
        </w:tc>
        <w:tc>
          <w:tcPr>
            <w:tcW w:w="1418" w:type="dxa"/>
            <w:vAlign w:val="center"/>
          </w:tcPr>
          <w:p w:rsidR="00861DE4" w:rsidRPr="005C202F" w:rsidRDefault="00861DE4" w:rsidP="009C549A">
            <w:pPr>
              <w:pStyle w:val="TableText"/>
              <w:keepLines/>
              <w:jc w:val="center"/>
              <w:rPr>
                <w:b/>
              </w:rPr>
            </w:pPr>
            <w:r w:rsidRPr="005C202F">
              <w:rPr>
                <w:b/>
              </w:rPr>
              <w:t>Placebo + AD</w:t>
            </w:r>
          </w:p>
        </w:tc>
        <w:tc>
          <w:tcPr>
            <w:tcW w:w="1559" w:type="dxa"/>
            <w:vAlign w:val="center"/>
          </w:tcPr>
          <w:p w:rsidR="00861DE4" w:rsidRPr="005C202F" w:rsidRDefault="00861DE4" w:rsidP="00EB63AF">
            <w:pPr>
              <w:pStyle w:val="TableText"/>
              <w:keepLines/>
              <w:jc w:val="center"/>
              <w:rPr>
                <w:b/>
              </w:rPr>
            </w:pPr>
            <w:r w:rsidRPr="005C202F">
              <w:rPr>
                <w:b/>
              </w:rPr>
              <w:t>Mean difference</w:t>
            </w:r>
          </w:p>
        </w:tc>
        <w:tc>
          <w:tcPr>
            <w:tcW w:w="1509" w:type="dxa"/>
            <w:vAlign w:val="center"/>
          </w:tcPr>
          <w:p w:rsidR="00A965F5" w:rsidRPr="005C202F" w:rsidRDefault="00861DE4" w:rsidP="00EB63AF">
            <w:pPr>
              <w:pStyle w:val="TableText"/>
              <w:keepLines/>
              <w:jc w:val="center"/>
              <w:rPr>
                <w:b/>
              </w:rPr>
            </w:pPr>
            <w:r w:rsidRPr="005C202F">
              <w:rPr>
                <w:b/>
              </w:rPr>
              <w:t>Hazard ratio</w:t>
            </w:r>
          </w:p>
          <w:p w:rsidR="00861DE4" w:rsidRPr="005C202F" w:rsidRDefault="00861DE4" w:rsidP="00EB63AF">
            <w:pPr>
              <w:pStyle w:val="TableText"/>
              <w:keepLines/>
              <w:jc w:val="center"/>
              <w:rPr>
                <w:b/>
                <w:vertAlign w:val="superscript"/>
              </w:rPr>
            </w:pPr>
            <w:r w:rsidRPr="005C202F">
              <w:rPr>
                <w:b/>
              </w:rPr>
              <w:t>(95% CI)</w:t>
            </w:r>
            <w:r w:rsidRPr="005C202F">
              <w:rPr>
                <w:b/>
                <w:vertAlign w:val="superscript"/>
              </w:rPr>
              <w:t>b</w:t>
            </w:r>
          </w:p>
        </w:tc>
      </w:tr>
      <w:tr w:rsidR="009C549A" w:rsidRPr="005C202F" w:rsidTr="00A965F5">
        <w:tc>
          <w:tcPr>
            <w:tcW w:w="2972" w:type="dxa"/>
          </w:tcPr>
          <w:p w:rsidR="009C549A" w:rsidRPr="005C202F" w:rsidRDefault="009C549A" w:rsidP="00EB63AF">
            <w:pPr>
              <w:keepNext/>
              <w:keepLines/>
              <w:rPr>
                <w:b/>
              </w:rPr>
            </w:pPr>
            <w:r w:rsidRPr="005C202F">
              <w:rPr>
                <w:rFonts w:ascii="Arial Narrow" w:eastAsiaTheme="majorEastAsia" w:hAnsi="Arial Narrow" w:cstheme="majorBidi"/>
                <w:b/>
                <w:sz w:val="20"/>
              </w:rPr>
              <w:t>Stable Remitters</w:t>
            </w:r>
          </w:p>
        </w:tc>
        <w:tc>
          <w:tcPr>
            <w:tcW w:w="1559" w:type="dxa"/>
            <w:vAlign w:val="center"/>
          </w:tcPr>
          <w:p w:rsidR="009C549A" w:rsidRPr="005C202F" w:rsidRDefault="009C549A" w:rsidP="00EB63AF">
            <w:pPr>
              <w:pStyle w:val="TableText"/>
              <w:keepLines/>
              <w:jc w:val="center"/>
              <w:rPr>
                <w:b/>
              </w:rPr>
            </w:pPr>
            <w:r w:rsidRPr="005C202F">
              <w:rPr>
                <w:b/>
              </w:rPr>
              <w:t>N=90</w:t>
            </w:r>
          </w:p>
        </w:tc>
        <w:tc>
          <w:tcPr>
            <w:tcW w:w="1418" w:type="dxa"/>
            <w:vAlign w:val="center"/>
          </w:tcPr>
          <w:p w:rsidR="009C549A" w:rsidRPr="005C202F" w:rsidRDefault="009C549A" w:rsidP="00EB63AF">
            <w:pPr>
              <w:pStyle w:val="TableText"/>
              <w:keepLines/>
              <w:jc w:val="center"/>
              <w:rPr>
                <w:b/>
              </w:rPr>
            </w:pPr>
            <w:r w:rsidRPr="005C202F">
              <w:rPr>
                <w:b/>
              </w:rPr>
              <w:t>N=86</w:t>
            </w:r>
          </w:p>
        </w:tc>
        <w:tc>
          <w:tcPr>
            <w:tcW w:w="1559" w:type="dxa"/>
            <w:vAlign w:val="center"/>
          </w:tcPr>
          <w:p w:rsidR="009C549A" w:rsidRPr="005C202F" w:rsidRDefault="006F4D22" w:rsidP="00EB63AF">
            <w:pPr>
              <w:pStyle w:val="TableText"/>
              <w:keepLines/>
              <w:jc w:val="center"/>
              <w:rPr>
                <w:b/>
              </w:rPr>
            </w:pPr>
            <w:r w:rsidRPr="005C202F">
              <w:rPr>
                <w:b/>
              </w:rPr>
              <w:t>-</w:t>
            </w:r>
          </w:p>
        </w:tc>
        <w:tc>
          <w:tcPr>
            <w:tcW w:w="1509" w:type="dxa"/>
            <w:vAlign w:val="center"/>
          </w:tcPr>
          <w:p w:rsidR="009C549A" w:rsidRPr="005C202F" w:rsidRDefault="006F4D22" w:rsidP="00EB63AF">
            <w:pPr>
              <w:pStyle w:val="TableText"/>
              <w:keepLines/>
              <w:jc w:val="center"/>
              <w:rPr>
                <w:b/>
              </w:rPr>
            </w:pPr>
            <w:r w:rsidRPr="005C202F">
              <w:rPr>
                <w:b/>
              </w:rPr>
              <w:t>-</w:t>
            </w:r>
          </w:p>
        </w:tc>
      </w:tr>
      <w:tr w:rsidR="00861DE4" w:rsidRPr="005C202F" w:rsidTr="00A965F5">
        <w:tc>
          <w:tcPr>
            <w:tcW w:w="2972" w:type="dxa"/>
          </w:tcPr>
          <w:p w:rsidR="00861DE4" w:rsidRPr="005C202F" w:rsidRDefault="00861DE4" w:rsidP="00EB63AF">
            <w:pPr>
              <w:pStyle w:val="TableText"/>
            </w:pPr>
            <w:r w:rsidRPr="005C202F">
              <w:t>Number of relapses, n (%)</w:t>
            </w:r>
          </w:p>
        </w:tc>
        <w:tc>
          <w:tcPr>
            <w:tcW w:w="1559" w:type="dxa"/>
            <w:tcBorders>
              <w:top w:val="single" w:sz="4" w:space="0" w:color="auto"/>
              <w:left w:val="single" w:sz="4" w:space="0" w:color="auto"/>
              <w:bottom w:val="single" w:sz="4" w:space="0" w:color="auto"/>
              <w:right w:val="single" w:sz="4" w:space="0" w:color="auto"/>
            </w:tcBorders>
            <w:vAlign w:val="center"/>
          </w:tcPr>
          <w:p w:rsidR="00861DE4" w:rsidRPr="005C202F" w:rsidRDefault="00861DE4" w:rsidP="00EB63AF">
            <w:pPr>
              <w:pStyle w:val="TableText"/>
              <w:jc w:val="center"/>
            </w:pPr>
            <w:r w:rsidRPr="005C202F">
              <w:t>24 (26.7)</w:t>
            </w:r>
          </w:p>
        </w:tc>
        <w:tc>
          <w:tcPr>
            <w:tcW w:w="1418" w:type="dxa"/>
            <w:vAlign w:val="center"/>
          </w:tcPr>
          <w:p w:rsidR="00861DE4" w:rsidRPr="005C202F" w:rsidRDefault="00861DE4" w:rsidP="00EB63AF">
            <w:pPr>
              <w:pStyle w:val="TableText"/>
              <w:jc w:val="center"/>
            </w:pPr>
            <w:r w:rsidRPr="005C202F">
              <w:t>39 (45.3)</w:t>
            </w:r>
          </w:p>
        </w:tc>
        <w:tc>
          <w:tcPr>
            <w:tcW w:w="1559" w:type="dxa"/>
            <w:vAlign w:val="center"/>
          </w:tcPr>
          <w:p w:rsidR="00861DE4" w:rsidRPr="005C202F" w:rsidRDefault="00861DE4" w:rsidP="00EB63AF">
            <w:pPr>
              <w:pStyle w:val="TableText"/>
              <w:jc w:val="center"/>
            </w:pPr>
            <w:r w:rsidRPr="005C202F">
              <w:t>18.6</w:t>
            </w:r>
          </w:p>
        </w:tc>
        <w:tc>
          <w:tcPr>
            <w:tcW w:w="1509" w:type="dxa"/>
            <w:vMerge w:val="restart"/>
            <w:tcBorders>
              <w:top w:val="single" w:sz="4" w:space="0" w:color="auto"/>
              <w:left w:val="single" w:sz="4" w:space="0" w:color="auto"/>
              <w:right w:val="single" w:sz="4" w:space="0" w:color="auto"/>
            </w:tcBorders>
            <w:vAlign w:val="center"/>
          </w:tcPr>
          <w:p w:rsidR="00861DE4" w:rsidRPr="005C202F" w:rsidRDefault="00861DE4" w:rsidP="00EB63AF">
            <w:pPr>
              <w:pStyle w:val="TableText"/>
              <w:jc w:val="center"/>
              <w:rPr>
                <w:b/>
              </w:rPr>
            </w:pPr>
            <w:r w:rsidRPr="005C202F">
              <w:rPr>
                <w:b/>
              </w:rPr>
              <w:t>0.49 (0.29, 0.84)</w:t>
            </w:r>
          </w:p>
        </w:tc>
      </w:tr>
      <w:tr w:rsidR="00861DE4" w:rsidRPr="005C202F" w:rsidTr="00A965F5">
        <w:tc>
          <w:tcPr>
            <w:tcW w:w="2972" w:type="dxa"/>
          </w:tcPr>
          <w:p w:rsidR="00861DE4" w:rsidRPr="005C202F" w:rsidRDefault="00861DE4" w:rsidP="00EB63AF">
            <w:pPr>
              <w:pStyle w:val="TableText"/>
            </w:pPr>
            <w:r w:rsidRPr="005C202F">
              <w:t>Median time to relapse, days (95% CI)</w:t>
            </w:r>
          </w:p>
        </w:tc>
        <w:tc>
          <w:tcPr>
            <w:tcW w:w="1559" w:type="dxa"/>
            <w:tcBorders>
              <w:top w:val="single" w:sz="4" w:space="0" w:color="auto"/>
              <w:left w:val="single" w:sz="4" w:space="0" w:color="auto"/>
              <w:bottom w:val="single" w:sz="4" w:space="0" w:color="auto"/>
              <w:right w:val="single" w:sz="4" w:space="0" w:color="auto"/>
            </w:tcBorders>
            <w:vAlign w:val="center"/>
          </w:tcPr>
          <w:p w:rsidR="00861DE4" w:rsidRPr="005C202F" w:rsidRDefault="00861DE4" w:rsidP="00EB63AF">
            <w:pPr>
              <w:pStyle w:val="TableText"/>
              <w:jc w:val="center"/>
            </w:pPr>
            <w:r w:rsidRPr="005C202F">
              <w:t>NE</w:t>
            </w:r>
          </w:p>
        </w:tc>
        <w:tc>
          <w:tcPr>
            <w:tcW w:w="1418" w:type="dxa"/>
            <w:vAlign w:val="center"/>
          </w:tcPr>
          <w:p w:rsidR="00861DE4" w:rsidRPr="005C202F" w:rsidRDefault="00861DE4" w:rsidP="00EB63AF">
            <w:pPr>
              <w:pStyle w:val="TableText"/>
              <w:jc w:val="center"/>
            </w:pPr>
            <w:r w:rsidRPr="005C202F">
              <w:t>273.0 (97.0, NE)</w:t>
            </w:r>
          </w:p>
        </w:tc>
        <w:tc>
          <w:tcPr>
            <w:tcW w:w="1559" w:type="dxa"/>
            <w:vAlign w:val="center"/>
          </w:tcPr>
          <w:p w:rsidR="00861DE4" w:rsidRPr="005C202F" w:rsidRDefault="00861DE4" w:rsidP="00EB63AF">
            <w:pPr>
              <w:pStyle w:val="TableText"/>
              <w:jc w:val="center"/>
            </w:pPr>
            <w:r w:rsidRPr="005C202F">
              <w:t>NE</w:t>
            </w:r>
          </w:p>
        </w:tc>
        <w:tc>
          <w:tcPr>
            <w:tcW w:w="1509" w:type="dxa"/>
            <w:vMerge/>
            <w:tcBorders>
              <w:left w:val="single" w:sz="4" w:space="0" w:color="auto"/>
              <w:bottom w:val="single" w:sz="4" w:space="0" w:color="auto"/>
              <w:right w:val="single" w:sz="4" w:space="0" w:color="auto"/>
            </w:tcBorders>
            <w:vAlign w:val="center"/>
          </w:tcPr>
          <w:p w:rsidR="00861DE4" w:rsidRPr="005C202F" w:rsidRDefault="00861DE4" w:rsidP="00EB63AF">
            <w:pPr>
              <w:pStyle w:val="TableText"/>
              <w:jc w:val="center"/>
            </w:pPr>
          </w:p>
        </w:tc>
      </w:tr>
      <w:tr w:rsidR="009C549A" w:rsidRPr="005C202F" w:rsidTr="00A965F5">
        <w:tc>
          <w:tcPr>
            <w:tcW w:w="2972" w:type="dxa"/>
          </w:tcPr>
          <w:p w:rsidR="009C549A" w:rsidRPr="005C202F" w:rsidRDefault="009C549A" w:rsidP="00EB63AF">
            <w:pPr>
              <w:keepNext/>
              <w:keepLines/>
              <w:rPr>
                <w:b/>
              </w:rPr>
            </w:pPr>
            <w:r w:rsidRPr="005C202F">
              <w:rPr>
                <w:rFonts w:ascii="Arial Narrow" w:eastAsiaTheme="majorEastAsia" w:hAnsi="Arial Narrow" w:cstheme="majorBidi"/>
                <w:b/>
                <w:sz w:val="20"/>
              </w:rPr>
              <w:t>Stable Responders</w:t>
            </w:r>
          </w:p>
        </w:tc>
        <w:tc>
          <w:tcPr>
            <w:tcW w:w="1559" w:type="dxa"/>
          </w:tcPr>
          <w:p w:rsidR="009C549A" w:rsidRPr="005C202F" w:rsidRDefault="009C549A" w:rsidP="00EB63AF">
            <w:pPr>
              <w:pStyle w:val="TableText"/>
              <w:keepLines/>
              <w:jc w:val="center"/>
              <w:rPr>
                <w:b/>
              </w:rPr>
            </w:pPr>
            <w:r w:rsidRPr="005C202F">
              <w:rPr>
                <w:b/>
              </w:rPr>
              <w:t>N=</w:t>
            </w:r>
            <w:r w:rsidR="0018784D" w:rsidRPr="005C202F">
              <w:rPr>
                <w:b/>
              </w:rPr>
              <w:t>62</w:t>
            </w:r>
          </w:p>
        </w:tc>
        <w:tc>
          <w:tcPr>
            <w:tcW w:w="1418" w:type="dxa"/>
          </w:tcPr>
          <w:p w:rsidR="009C549A" w:rsidRPr="005C202F" w:rsidRDefault="009C549A" w:rsidP="00EB63AF">
            <w:pPr>
              <w:pStyle w:val="TableText"/>
              <w:keepLines/>
              <w:jc w:val="center"/>
              <w:rPr>
                <w:b/>
              </w:rPr>
            </w:pPr>
            <w:r w:rsidRPr="005C202F">
              <w:rPr>
                <w:b/>
              </w:rPr>
              <w:t>N=</w:t>
            </w:r>
            <w:r w:rsidR="0018784D" w:rsidRPr="005C202F">
              <w:rPr>
                <w:b/>
              </w:rPr>
              <w:t>59</w:t>
            </w:r>
          </w:p>
        </w:tc>
        <w:tc>
          <w:tcPr>
            <w:tcW w:w="1559" w:type="dxa"/>
          </w:tcPr>
          <w:p w:rsidR="009C549A" w:rsidRPr="005C202F" w:rsidRDefault="006F4D22" w:rsidP="00EB63AF">
            <w:pPr>
              <w:pStyle w:val="TableText"/>
              <w:keepLines/>
              <w:jc w:val="center"/>
              <w:rPr>
                <w:b/>
              </w:rPr>
            </w:pPr>
            <w:r w:rsidRPr="005C202F">
              <w:rPr>
                <w:b/>
              </w:rPr>
              <w:t>-</w:t>
            </w:r>
          </w:p>
        </w:tc>
        <w:tc>
          <w:tcPr>
            <w:tcW w:w="1509" w:type="dxa"/>
          </w:tcPr>
          <w:p w:rsidR="009C549A" w:rsidRPr="005C202F" w:rsidRDefault="006F4D22" w:rsidP="00EB63AF">
            <w:pPr>
              <w:pStyle w:val="TableText"/>
              <w:keepLines/>
              <w:jc w:val="center"/>
              <w:rPr>
                <w:b/>
              </w:rPr>
            </w:pPr>
            <w:r w:rsidRPr="005C202F">
              <w:rPr>
                <w:b/>
              </w:rPr>
              <w:t>-</w:t>
            </w:r>
          </w:p>
        </w:tc>
      </w:tr>
      <w:tr w:rsidR="0018784D" w:rsidRPr="005C202F" w:rsidTr="00A965F5">
        <w:tc>
          <w:tcPr>
            <w:tcW w:w="2972" w:type="dxa"/>
          </w:tcPr>
          <w:p w:rsidR="0018784D" w:rsidRPr="005C202F" w:rsidRDefault="0018784D" w:rsidP="0018784D">
            <w:pPr>
              <w:pStyle w:val="TableText"/>
            </w:pPr>
            <w:r w:rsidRPr="005C202F">
              <w:t>Number of relapses, n (%)</w:t>
            </w:r>
          </w:p>
        </w:tc>
        <w:tc>
          <w:tcPr>
            <w:tcW w:w="1559" w:type="dxa"/>
            <w:vAlign w:val="center"/>
          </w:tcPr>
          <w:p w:rsidR="0018784D" w:rsidRPr="005C202F" w:rsidRDefault="0018784D" w:rsidP="0018784D">
            <w:pPr>
              <w:pStyle w:val="TableText"/>
              <w:jc w:val="center"/>
            </w:pPr>
            <w:r w:rsidRPr="005C202F">
              <w:t>16 (25.8)</w:t>
            </w:r>
          </w:p>
        </w:tc>
        <w:tc>
          <w:tcPr>
            <w:tcW w:w="1418" w:type="dxa"/>
            <w:vAlign w:val="center"/>
          </w:tcPr>
          <w:p w:rsidR="0018784D" w:rsidRPr="005C202F" w:rsidRDefault="0018784D" w:rsidP="0018784D">
            <w:pPr>
              <w:pStyle w:val="TableText"/>
              <w:jc w:val="center"/>
            </w:pPr>
            <w:r w:rsidRPr="005C202F">
              <w:t>34 (57.6)</w:t>
            </w:r>
          </w:p>
        </w:tc>
        <w:tc>
          <w:tcPr>
            <w:tcW w:w="1559" w:type="dxa"/>
            <w:vAlign w:val="center"/>
          </w:tcPr>
          <w:p w:rsidR="0018784D" w:rsidRPr="005C202F" w:rsidRDefault="0018784D" w:rsidP="0018784D">
            <w:pPr>
              <w:pStyle w:val="TableText"/>
              <w:jc w:val="center"/>
            </w:pPr>
            <w:r w:rsidRPr="005C202F">
              <w:t>31.8</w:t>
            </w:r>
          </w:p>
        </w:tc>
        <w:tc>
          <w:tcPr>
            <w:tcW w:w="1509" w:type="dxa"/>
            <w:vMerge w:val="restart"/>
            <w:vAlign w:val="center"/>
          </w:tcPr>
          <w:p w:rsidR="0018784D" w:rsidRPr="005C202F" w:rsidRDefault="0018784D" w:rsidP="0018784D">
            <w:pPr>
              <w:pStyle w:val="TableText"/>
              <w:jc w:val="center"/>
              <w:rPr>
                <w:b/>
              </w:rPr>
            </w:pPr>
            <w:r w:rsidRPr="005C202F">
              <w:rPr>
                <w:b/>
              </w:rPr>
              <w:t>0.30 (0.16, 0.55)</w:t>
            </w:r>
          </w:p>
        </w:tc>
      </w:tr>
      <w:tr w:rsidR="0018784D" w:rsidRPr="005C202F" w:rsidTr="00A965F5">
        <w:tc>
          <w:tcPr>
            <w:tcW w:w="2972" w:type="dxa"/>
          </w:tcPr>
          <w:p w:rsidR="0018784D" w:rsidRPr="005C202F" w:rsidRDefault="0018784D" w:rsidP="0018784D">
            <w:pPr>
              <w:pStyle w:val="TableText"/>
            </w:pPr>
            <w:r w:rsidRPr="005C202F">
              <w:t>Median time to relapse, days (95% CI)</w:t>
            </w:r>
          </w:p>
        </w:tc>
        <w:tc>
          <w:tcPr>
            <w:tcW w:w="1559" w:type="dxa"/>
            <w:vAlign w:val="center"/>
          </w:tcPr>
          <w:p w:rsidR="0018784D" w:rsidRPr="005C202F" w:rsidRDefault="0018784D" w:rsidP="0018784D">
            <w:pPr>
              <w:pStyle w:val="TableText"/>
              <w:jc w:val="center"/>
            </w:pPr>
            <w:r w:rsidRPr="005C202F">
              <w:t>635.0 (264.0, 635.0)</w:t>
            </w:r>
          </w:p>
        </w:tc>
        <w:tc>
          <w:tcPr>
            <w:tcW w:w="1418" w:type="dxa"/>
            <w:vAlign w:val="center"/>
          </w:tcPr>
          <w:p w:rsidR="0018784D" w:rsidRPr="005C202F" w:rsidRDefault="0018784D" w:rsidP="0018784D">
            <w:pPr>
              <w:pStyle w:val="TableText"/>
              <w:jc w:val="center"/>
            </w:pPr>
            <w:r w:rsidRPr="005C202F">
              <w:t>88.0 (46.0, 196.0)</w:t>
            </w:r>
          </w:p>
        </w:tc>
        <w:tc>
          <w:tcPr>
            <w:tcW w:w="1559" w:type="dxa"/>
            <w:vAlign w:val="center"/>
          </w:tcPr>
          <w:p w:rsidR="0018784D" w:rsidRPr="005C202F" w:rsidRDefault="0018784D" w:rsidP="0018784D">
            <w:pPr>
              <w:pStyle w:val="TableText"/>
              <w:jc w:val="center"/>
            </w:pPr>
            <w:r w:rsidRPr="005C202F">
              <w:t>547</w:t>
            </w:r>
          </w:p>
        </w:tc>
        <w:tc>
          <w:tcPr>
            <w:tcW w:w="1509" w:type="dxa"/>
            <w:vMerge/>
          </w:tcPr>
          <w:p w:rsidR="0018784D" w:rsidRPr="005C202F" w:rsidRDefault="0018784D" w:rsidP="0018784D">
            <w:pPr>
              <w:pStyle w:val="TableText"/>
              <w:jc w:val="center"/>
            </w:pPr>
          </w:p>
        </w:tc>
      </w:tr>
    </w:tbl>
    <w:p w:rsidR="00861DE4" w:rsidRPr="005C202F" w:rsidRDefault="00861DE4" w:rsidP="00861DE4">
      <w:pPr>
        <w:pStyle w:val="TableFooter"/>
      </w:pPr>
      <w:r w:rsidRPr="005C202F">
        <w:t xml:space="preserve">Source: Table 2.5.11, p.149 </w:t>
      </w:r>
      <w:r w:rsidR="00BE559C" w:rsidRPr="005C202F">
        <w:t xml:space="preserve">and Table 2.5.12, p.152 </w:t>
      </w:r>
      <w:r w:rsidRPr="005C202F">
        <w:t>of the submission</w:t>
      </w:r>
    </w:p>
    <w:p w:rsidR="00861DE4" w:rsidRPr="005C202F" w:rsidRDefault="00861DE4" w:rsidP="00861DE4">
      <w:pPr>
        <w:pStyle w:val="TableFooter"/>
        <w:rPr>
          <w:bCs/>
        </w:rPr>
      </w:pPr>
      <w:r w:rsidRPr="005C202F">
        <w:rPr>
          <w:bCs/>
        </w:rPr>
        <w:t>Abbreviations: AD, antidepressant; CI, confidence interval; NE, not estimable</w:t>
      </w:r>
    </w:p>
    <w:p w:rsidR="00861DE4" w:rsidRPr="005C202F" w:rsidRDefault="00861DE4" w:rsidP="00861DE4">
      <w:pPr>
        <w:pStyle w:val="TableFooter"/>
        <w:rPr>
          <w:bCs/>
        </w:rPr>
      </w:pPr>
      <w:r w:rsidRPr="005C202F">
        <w:rPr>
          <w:bCs/>
          <w:vertAlign w:val="superscript"/>
        </w:rPr>
        <w:t xml:space="preserve">a </w:t>
      </w:r>
      <w:r w:rsidRPr="005C202F">
        <w:rPr>
          <w:bCs/>
        </w:rPr>
        <w:t>Based on Kaplan-Meier product limit estimates</w:t>
      </w:r>
    </w:p>
    <w:p w:rsidR="00861DE4" w:rsidRPr="005C202F" w:rsidRDefault="00861DE4" w:rsidP="00861DE4">
      <w:pPr>
        <w:pStyle w:val="TableFooter"/>
        <w:rPr>
          <w:bCs/>
        </w:rPr>
      </w:pPr>
      <w:r w:rsidRPr="005C202F">
        <w:rPr>
          <w:bCs/>
          <w:vertAlign w:val="superscript"/>
        </w:rPr>
        <w:t xml:space="preserve">b </w:t>
      </w:r>
      <w:r w:rsidRPr="005C202F">
        <w:rPr>
          <w:bCs/>
        </w:rPr>
        <w:t>Hazard ratio and CI are weighted estimates based on Wassmer (2006) and calculated using R</w:t>
      </w:r>
    </w:p>
    <w:p w:rsidR="004E420D" w:rsidRPr="005C202F" w:rsidRDefault="004E420D" w:rsidP="00861DE4">
      <w:pPr>
        <w:pStyle w:val="TableFooter"/>
        <w:rPr>
          <w:bCs/>
        </w:rPr>
      </w:pPr>
    </w:p>
    <w:p w:rsidR="007650D8" w:rsidRPr="005C202F" w:rsidRDefault="004E420D" w:rsidP="00D0597A">
      <w:pPr>
        <w:pStyle w:val="ExecSumBodyText"/>
      </w:pPr>
      <w:r w:rsidRPr="005C202F">
        <w:t>Treatment with esketamine nasal spray significantly delayed relapse in stable remitters</w:t>
      </w:r>
      <w:r w:rsidR="00035124" w:rsidRPr="005C202F">
        <w:t xml:space="preserve"> and stable responders</w:t>
      </w:r>
      <w:r w:rsidRPr="005C202F">
        <w:t xml:space="preserve"> compared with intranasal placebo.</w:t>
      </w:r>
      <w:r w:rsidR="00D0597A" w:rsidRPr="005C202F">
        <w:t xml:space="preserve"> </w:t>
      </w:r>
    </w:p>
    <w:p w:rsidR="00742B16" w:rsidRPr="005C202F" w:rsidRDefault="00742B16" w:rsidP="00C56D7D">
      <w:pPr>
        <w:pStyle w:val="ExecSumBodyText"/>
      </w:pPr>
      <w:bookmarkStart w:id="15" w:name="_Ref79312283"/>
      <w:r w:rsidRPr="005C202F">
        <w:t xml:space="preserve">The FDA review committee noted that there was a faster rate of relapse </w:t>
      </w:r>
      <w:r w:rsidR="00E54412" w:rsidRPr="005C202F">
        <w:t xml:space="preserve">in the placebo arm </w:t>
      </w:r>
      <w:r w:rsidRPr="005C202F">
        <w:t>observed in SUSTAIN-1 compared to other maintenance of effect studies of MDD (FDA, 2019). This could reflect functional unblinding, with patients randomised to placebo realising that they are no longer on esketamine after switching, given the immediate side effects associated with esketamine use. The abrupt withdrawal of esketamine nasal spray so</w:t>
      </w:r>
      <w:r w:rsidRPr="005C202F">
        <w:rPr>
          <w:i/>
        </w:rPr>
        <w:t xml:space="preserve"> </w:t>
      </w:r>
      <w:r w:rsidRPr="005C202F">
        <w:t>soon after achieving remission may not reflect use in clinical practice, and there is a risk that this overstates the relapse rate in the placebo treatment arm.</w:t>
      </w:r>
      <w:r w:rsidR="001E3166" w:rsidRPr="005C202F">
        <w:t xml:space="preserve"> </w:t>
      </w:r>
      <w:r w:rsidR="00C15E80" w:rsidRPr="005C202F">
        <w:t xml:space="preserve">The PSCR </w:t>
      </w:r>
      <w:r w:rsidR="00C56D7D" w:rsidRPr="005C202F">
        <w:t>stated it is unlikely that a pharmacologic withdrawal effect contributed to the relapse rate in the placebo arm given the short half-life of esketamine</w:t>
      </w:r>
      <w:r w:rsidR="005C202F">
        <w:t xml:space="preserve">. </w:t>
      </w:r>
      <w:r w:rsidR="00C56D7D" w:rsidRPr="005C202F">
        <w:t>The PSCR stated a post-hoc analysis found that most esketamine treated patients did not have dissociative symptoms before randomisation into SUSTAIN-1 (or after) as these symptoms tend to reduce over time.</w:t>
      </w:r>
      <w:r w:rsidR="00EA51DF" w:rsidRPr="005C202F">
        <w:t xml:space="preserve"> The PSCR </w:t>
      </w:r>
      <w:r w:rsidR="0059051A" w:rsidRPr="005C202F">
        <w:t>and</w:t>
      </w:r>
      <w:r w:rsidR="000E6676" w:rsidRPr="005C202F">
        <w:t xml:space="preserve"> p</w:t>
      </w:r>
      <w:r w:rsidR="0059051A" w:rsidRPr="005C202F">
        <w:t xml:space="preserve">re-PBAC </w:t>
      </w:r>
      <w:r w:rsidR="000E6676" w:rsidRPr="005C202F">
        <w:t>r</w:t>
      </w:r>
      <w:r w:rsidR="0059051A" w:rsidRPr="005C202F">
        <w:t>esponse</w:t>
      </w:r>
      <w:r w:rsidR="00B823E5" w:rsidRPr="005C202F">
        <w:t xml:space="preserve"> </w:t>
      </w:r>
      <w:r w:rsidR="0059051A" w:rsidRPr="005C202F">
        <w:t xml:space="preserve"> stated there was no evidence of functional unblinding and noted a post-hoc analysis performed for NICE found that most patients in the placebo arm of SUSTAIN-1 who relapsed early did not experience dissociation</w:t>
      </w:r>
      <w:r w:rsidR="00B823E5" w:rsidRPr="005C202F">
        <w:t xml:space="preserve"> effects</w:t>
      </w:r>
      <w:r w:rsidR="0059051A" w:rsidRPr="005C202F">
        <w:t xml:space="preserve"> before or after randomisation</w:t>
      </w:r>
      <w:r w:rsidR="00B823E5" w:rsidRPr="005C202F">
        <w:t>.</w:t>
      </w:r>
      <w:r w:rsidR="00C56D7D" w:rsidRPr="005C202F">
        <w:t xml:space="preserve"> </w:t>
      </w:r>
      <w:r w:rsidR="00C15E80" w:rsidRPr="005C202F">
        <w:t>The</w:t>
      </w:r>
      <w:r w:rsidR="002104D2" w:rsidRPr="005C202F">
        <w:t xml:space="preserve"> ESC</w:t>
      </w:r>
      <w:r w:rsidR="0059051A" w:rsidRPr="005C202F">
        <w:t xml:space="preserve"> and PBAC</w:t>
      </w:r>
      <w:r w:rsidR="00C15E80" w:rsidRPr="005C202F">
        <w:t xml:space="preserve"> noted that esketamine has a distinct side effect profile</w:t>
      </w:r>
      <w:r w:rsidR="00EA51DF" w:rsidRPr="005C202F">
        <w:t xml:space="preserve"> </w:t>
      </w:r>
      <w:r w:rsidR="00CA2356" w:rsidRPr="005C202F">
        <w:t>(including nausea, vertigo, dysgeusia</w:t>
      </w:r>
      <w:r w:rsidR="00CA07DB">
        <w:t xml:space="preserve"> and </w:t>
      </w:r>
      <w:r w:rsidR="00CA2356" w:rsidRPr="005C202F">
        <w:t xml:space="preserve">somnolence) </w:t>
      </w:r>
      <w:r w:rsidR="00C15E80" w:rsidRPr="005C202F">
        <w:t>and given these patients had prior exposure to esketamine considered the risk that some unblinding had occurred could not be excluded.</w:t>
      </w:r>
      <w:bookmarkEnd w:id="15"/>
    </w:p>
    <w:p w:rsidR="00B60939" w:rsidRPr="005C202F" w:rsidRDefault="00B60939" w:rsidP="00D86231">
      <w:pPr>
        <w:pStyle w:val="3-SubsectionHeading"/>
      </w:pPr>
      <w:bookmarkStart w:id="16" w:name="_Toc22897642"/>
      <w:bookmarkStart w:id="17" w:name="_Toc72325761"/>
      <w:r w:rsidRPr="005C202F">
        <w:t>Comparative harms</w:t>
      </w:r>
      <w:bookmarkEnd w:id="16"/>
      <w:bookmarkEnd w:id="17"/>
    </w:p>
    <w:p w:rsidR="00B60939" w:rsidRPr="005C202F" w:rsidRDefault="00BB7A61" w:rsidP="00D86231">
      <w:pPr>
        <w:pStyle w:val="ExecSumBodyText"/>
      </w:pPr>
      <w:bookmarkStart w:id="18" w:name="_Hlk71561421"/>
      <w:r w:rsidRPr="005C202F">
        <w:t xml:space="preserve">A summary of treatment-emergent adverse events from the </w:t>
      </w:r>
      <w:r w:rsidR="003A0DB1" w:rsidRPr="005C202F">
        <w:t xml:space="preserve">TRANSFORM-2, TRANSFORM-1 and TRANSFORM-3 </w:t>
      </w:r>
      <w:r w:rsidRPr="005C202F">
        <w:t xml:space="preserve">trials is presented in Table </w:t>
      </w:r>
      <w:r w:rsidR="00A60886">
        <w:t>8</w:t>
      </w:r>
      <w:r w:rsidRPr="005C202F">
        <w:t>.</w:t>
      </w:r>
    </w:p>
    <w:bookmarkEnd w:id="18"/>
    <w:p w:rsidR="009C7905" w:rsidRPr="005C202F" w:rsidRDefault="00BB7A61" w:rsidP="00122786">
      <w:pPr>
        <w:pStyle w:val="Tableheadingrow"/>
        <w:rPr>
          <w:lang w:val="en-AU"/>
        </w:rPr>
      </w:pPr>
      <w:r w:rsidRPr="005C202F">
        <w:rPr>
          <w:lang w:val="en-AU"/>
        </w:rPr>
        <w:t xml:space="preserve">Table </w:t>
      </w:r>
      <w:r w:rsidR="00A60886">
        <w:rPr>
          <w:lang w:val="en-AU"/>
        </w:rPr>
        <w:t>8</w:t>
      </w:r>
      <w:r w:rsidRPr="005C202F">
        <w:rPr>
          <w:lang w:val="en-AU"/>
        </w:rPr>
        <w:t>: Incidence of adverse events in the double-blind induction phase of the TRANSFORM trials (safety analysis set)</w:t>
      </w:r>
    </w:p>
    <w:tbl>
      <w:tblPr>
        <w:tblStyle w:val="LashStyleTable1"/>
        <w:tblW w:w="8669" w:type="dxa"/>
        <w:tblLayout w:type="fixed"/>
        <w:tblCellMar>
          <w:left w:w="28" w:type="dxa"/>
          <w:right w:w="28" w:type="dxa"/>
        </w:tblCellMar>
        <w:tblLook w:val="04A0" w:firstRow="1" w:lastRow="0" w:firstColumn="1" w:lastColumn="0" w:noHBand="0" w:noVBand="1"/>
        <w:tblCaption w:val="Table 8: Incidence of adverse events in the double-blind induction phase of the TRANSFORM trials (safety analysis set)"/>
      </w:tblPr>
      <w:tblGrid>
        <w:gridCol w:w="2038"/>
        <w:gridCol w:w="954"/>
        <w:gridCol w:w="954"/>
        <w:gridCol w:w="954"/>
        <w:gridCol w:w="920"/>
        <w:gridCol w:w="7"/>
        <w:gridCol w:w="982"/>
        <w:gridCol w:w="930"/>
        <w:gridCol w:w="930"/>
      </w:tblGrid>
      <w:tr w:rsidR="00FC6DBD" w:rsidRPr="005C202F" w:rsidTr="001F6F55">
        <w:trPr>
          <w:tblHeader/>
        </w:trPr>
        <w:tc>
          <w:tcPr>
            <w:tcW w:w="2038" w:type="dxa"/>
            <w:vMerge w:val="restart"/>
          </w:tcPr>
          <w:p w:rsidR="00FC6DBD" w:rsidRPr="005C202F" w:rsidRDefault="00FC6DBD" w:rsidP="00122786">
            <w:pPr>
              <w:keepNext/>
              <w:jc w:val="left"/>
              <w:rPr>
                <w:rFonts w:ascii="Arial Narrow" w:hAnsi="Arial Narrow" w:cs="Times New Roman"/>
                <w:sz w:val="20"/>
                <w:szCs w:val="22"/>
                <w:lang w:eastAsia="en-US"/>
              </w:rPr>
            </w:pPr>
          </w:p>
        </w:tc>
        <w:tc>
          <w:tcPr>
            <w:tcW w:w="1908" w:type="dxa"/>
            <w:gridSpan w:val="2"/>
            <w:vAlign w:val="center"/>
          </w:tcPr>
          <w:p w:rsidR="00FC6DBD" w:rsidRPr="005C202F" w:rsidRDefault="00FC6DBD" w:rsidP="00122786">
            <w:pPr>
              <w:keepNext/>
              <w:jc w:val="center"/>
              <w:rPr>
                <w:rFonts w:ascii="Arial Narrow" w:hAnsi="Arial Narrow" w:cs="Times New Roman"/>
                <w:b/>
                <w:bCs/>
                <w:sz w:val="20"/>
                <w:szCs w:val="22"/>
                <w:lang w:eastAsia="en-US"/>
              </w:rPr>
            </w:pPr>
            <w:r w:rsidRPr="005C202F">
              <w:rPr>
                <w:rFonts w:ascii="Arial Narrow" w:hAnsi="Arial Narrow" w:cs="Times New Roman"/>
                <w:b/>
                <w:bCs/>
                <w:sz w:val="20"/>
                <w:szCs w:val="22"/>
                <w:lang w:eastAsia="en-US"/>
              </w:rPr>
              <w:t>TRANSFORM-2</w:t>
            </w:r>
          </w:p>
        </w:tc>
        <w:tc>
          <w:tcPr>
            <w:tcW w:w="2863" w:type="dxa"/>
            <w:gridSpan w:val="4"/>
            <w:vAlign w:val="center"/>
          </w:tcPr>
          <w:p w:rsidR="00FC6DBD" w:rsidRPr="005C202F" w:rsidRDefault="00FC6DBD" w:rsidP="00122786">
            <w:pPr>
              <w:keepNext/>
              <w:jc w:val="center"/>
              <w:rPr>
                <w:rFonts w:ascii="Arial Narrow" w:hAnsi="Arial Narrow" w:cs="Times New Roman"/>
                <w:b/>
                <w:bCs/>
                <w:sz w:val="20"/>
                <w:szCs w:val="22"/>
                <w:lang w:eastAsia="en-US"/>
              </w:rPr>
            </w:pPr>
            <w:r w:rsidRPr="005C202F">
              <w:rPr>
                <w:rFonts w:ascii="Arial Narrow" w:hAnsi="Arial Narrow" w:cs="Times New Roman"/>
                <w:b/>
                <w:bCs/>
                <w:sz w:val="20"/>
                <w:szCs w:val="22"/>
                <w:lang w:eastAsia="en-US"/>
              </w:rPr>
              <w:t>TRANSFORM-1</w:t>
            </w:r>
          </w:p>
        </w:tc>
        <w:tc>
          <w:tcPr>
            <w:tcW w:w="1860" w:type="dxa"/>
            <w:gridSpan w:val="2"/>
            <w:vAlign w:val="center"/>
          </w:tcPr>
          <w:p w:rsidR="00FC6DBD" w:rsidRPr="005C202F" w:rsidRDefault="00FC6DBD" w:rsidP="00122786">
            <w:pPr>
              <w:keepNext/>
              <w:jc w:val="center"/>
              <w:rPr>
                <w:rFonts w:ascii="Arial Narrow" w:hAnsi="Arial Narrow" w:cs="Times New Roman"/>
                <w:b/>
                <w:bCs/>
                <w:sz w:val="20"/>
                <w:szCs w:val="22"/>
                <w:lang w:eastAsia="en-US"/>
              </w:rPr>
            </w:pPr>
            <w:r w:rsidRPr="005C202F">
              <w:rPr>
                <w:rFonts w:ascii="Arial Narrow" w:hAnsi="Arial Narrow" w:cs="Times New Roman"/>
                <w:b/>
                <w:bCs/>
                <w:sz w:val="20"/>
                <w:szCs w:val="22"/>
                <w:lang w:eastAsia="en-US"/>
              </w:rPr>
              <w:t>TRANSFORM-3</w:t>
            </w:r>
          </w:p>
        </w:tc>
      </w:tr>
      <w:tr w:rsidR="00FC6DBD" w:rsidRPr="005C202F" w:rsidTr="001F6F55">
        <w:trPr>
          <w:tblHeader/>
        </w:trPr>
        <w:tc>
          <w:tcPr>
            <w:tcW w:w="2038" w:type="dxa"/>
            <w:vMerge/>
          </w:tcPr>
          <w:p w:rsidR="00FC6DBD" w:rsidRPr="005C202F" w:rsidRDefault="00FC6DBD" w:rsidP="00122786">
            <w:pPr>
              <w:keepNext/>
              <w:jc w:val="left"/>
              <w:rPr>
                <w:rFonts w:ascii="Arial Narrow" w:hAnsi="Arial Narrow" w:cs="Times New Roman"/>
                <w:sz w:val="20"/>
                <w:szCs w:val="22"/>
                <w:lang w:eastAsia="en-US"/>
              </w:rPr>
            </w:pPr>
          </w:p>
        </w:tc>
        <w:tc>
          <w:tcPr>
            <w:tcW w:w="954"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bCs/>
                <w:sz w:val="20"/>
                <w:szCs w:val="22"/>
                <w:lang w:eastAsia="en-US"/>
              </w:rPr>
              <w:t>E</w:t>
            </w:r>
            <w:r w:rsidRPr="005C202F">
              <w:rPr>
                <w:rFonts w:ascii="Arial Narrow" w:hAnsi="Arial Narrow" w:cs="Times New Roman"/>
                <w:b/>
                <w:sz w:val="20"/>
                <w:szCs w:val="22"/>
                <w:lang w:eastAsia="en-US"/>
              </w:rPr>
              <w:t>SK</w:t>
            </w:r>
            <w:r w:rsidRPr="005C202F">
              <w:rPr>
                <w:rFonts w:ascii="Arial Narrow" w:hAnsi="Arial Narrow" w:cs="Times New Roman"/>
                <w:b/>
                <w:bCs/>
                <w:sz w:val="20"/>
                <w:szCs w:val="22"/>
                <w:lang w:eastAsia="en-US"/>
              </w:rPr>
              <w:t xml:space="preserve"> + </w:t>
            </w:r>
            <w:r w:rsidRPr="005C202F">
              <w:rPr>
                <w:rFonts w:ascii="Arial Narrow" w:hAnsi="Arial Narrow" w:cs="Times New Roman"/>
                <w:b/>
                <w:sz w:val="20"/>
                <w:szCs w:val="22"/>
                <w:lang w:eastAsia="en-US"/>
              </w:rPr>
              <w:t>O</w:t>
            </w:r>
            <w:r w:rsidRPr="005C202F">
              <w:rPr>
                <w:rFonts w:ascii="Arial Narrow" w:hAnsi="Arial Narrow" w:cs="Times New Roman"/>
                <w:b/>
                <w:bCs/>
                <w:sz w:val="20"/>
                <w:szCs w:val="22"/>
                <w:lang w:eastAsia="en-US"/>
              </w:rPr>
              <w:t>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115</w:t>
            </w:r>
          </w:p>
        </w:tc>
        <w:tc>
          <w:tcPr>
            <w:tcW w:w="954"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sz w:val="20"/>
                <w:szCs w:val="22"/>
                <w:lang w:eastAsia="en-US"/>
              </w:rPr>
              <w:t>PBO</w:t>
            </w:r>
            <w:r w:rsidRPr="005C202F">
              <w:rPr>
                <w:rFonts w:ascii="Arial Narrow" w:hAnsi="Arial Narrow" w:cs="Times New Roman"/>
                <w:b/>
                <w:bCs/>
                <w:sz w:val="20"/>
                <w:szCs w:val="22"/>
                <w:lang w:eastAsia="en-US"/>
              </w:rPr>
              <w:t xml:space="preserve"> + OAD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109</w:t>
            </w:r>
          </w:p>
        </w:tc>
        <w:tc>
          <w:tcPr>
            <w:tcW w:w="954"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bCs/>
                <w:sz w:val="20"/>
                <w:szCs w:val="22"/>
                <w:lang w:eastAsia="en-US"/>
              </w:rPr>
              <w:t>E</w:t>
            </w:r>
            <w:r w:rsidRPr="005C202F">
              <w:rPr>
                <w:rFonts w:ascii="Arial Narrow" w:hAnsi="Arial Narrow" w:cs="Times New Roman"/>
                <w:b/>
                <w:sz w:val="20"/>
                <w:szCs w:val="22"/>
                <w:lang w:eastAsia="en-US"/>
              </w:rPr>
              <w:t>SK</w:t>
            </w:r>
            <w:r w:rsidRPr="005C202F">
              <w:rPr>
                <w:rFonts w:ascii="Arial Narrow" w:hAnsi="Arial Narrow" w:cs="Times New Roman"/>
                <w:b/>
                <w:bCs/>
                <w:sz w:val="20"/>
                <w:szCs w:val="22"/>
                <w:lang w:eastAsia="en-US"/>
              </w:rPr>
              <w:t xml:space="preserve"> 56 mg + OAD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115</w:t>
            </w:r>
          </w:p>
        </w:tc>
        <w:tc>
          <w:tcPr>
            <w:tcW w:w="927" w:type="dxa"/>
            <w:gridSpan w:val="2"/>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bCs/>
                <w:sz w:val="20"/>
                <w:szCs w:val="22"/>
                <w:lang w:eastAsia="en-US"/>
              </w:rPr>
              <w:t>E</w:t>
            </w:r>
            <w:r w:rsidRPr="005C202F">
              <w:rPr>
                <w:rFonts w:ascii="Arial Narrow" w:hAnsi="Arial Narrow" w:cs="Times New Roman"/>
                <w:b/>
                <w:sz w:val="20"/>
                <w:szCs w:val="22"/>
                <w:lang w:eastAsia="en-US"/>
              </w:rPr>
              <w:t>SK</w:t>
            </w:r>
            <w:r w:rsidRPr="005C202F">
              <w:rPr>
                <w:rFonts w:ascii="Arial Narrow" w:hAnsi="Arial Narrow" w:cs="Times New Roman"/>
                <w:b/>
                <w:bCs/>
                <w:sz w:val="20"/>
                <w:szCs w:val="22"/>
                <w:lang w:eastAsia="en-US"/>
              </w:rPr>
              <w:t xml:space="preserve"> 84 mg + OAD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116</w:t>
            </w:r>
          </w:p>
        </w:tc>
        <w:tc>
          <w:tcPr>
            <w:tcW w:w="982"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bCs/>
                <w:sz w:val="20"/>
                <w:szCs w:val="22"/>
                <w:lang w:eastAsia="en-US"/>
              </w:rPr>
              <w:t>P</w:t>
            </w:r>
            <w:r w:rsidRPr="005C202F">
              <w:rPr>
                <w:rFonts w:ascii="Arial Narrow" w:hAnsi="Arial Narrow" w:cs="Times New Roman"/>
                <w:b/>
                <w:sz w:val="20"/>
                <w:szCs w:val="22"/>
                <w:lang w:eastAsia="en-US"/>
              </w:rPr>
              <w:t>BO</w:t>
            </w:r>
            <w:r w:rsidRPr="005C202F">
              <w:rPr>
                <w:rFonts w:ascii="Arial Narrow" w:hAnsi="Arial Narrow" w:cs="Times New Roman"/>
                <w:b/>
                <w:bCs/>
                <w:sz w:val="20"/>
                <w:szCs w:val="22"/>
                <w:lang w:eastAsia="en-US"/>
              </w:rPr>
              <w:t xml:space="preserve"> + OAD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113</w:t>
            </w:r>
          </w:p>
        </w:tc>
        <w:tc>
          <w:tcPr>
            <w:tcW w:w="930"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bCs/>
                <w:sz w:val="20"/>
                <w:szCs w:val="22"/>
                <w:lang w:eastAsia="en-US"/>
              </w:rPr>
              <w:t>E</w:t>
            </w:r>
            <w:r w:rsidRPr="005C202F">
              <w:rPr>
                <w:rFonts w:ascii="Arial Narrow" w:hAnsi="Arial Narrow" w:cs="Times New Roman"/>
                <w:b/>
                <w:sz w:val="20"/>
                <w:szCs w:val="22"/>
                <w:lang w:eastAsia="en-US"/>
              </w:rPr>
              <w:t>SK</w:t>
            </w:r>
            <w:r w:rsidRPr="005C202F">
              <w:rPr>
                <w:rFonts w:ascii="Arial Narrow" w:hAnsi="Arial Narrow" w:cs="Times New Roman"/>
                <w:b/>
                <w:bCs/>
                <w:sz w:val="20"/>
                <w:szCs w:val="22"/>
                <w:lang w:eastAsia="en-US"/>
              </w:rPr>
              <w:t xml:space="preserve"> + </w:t>
            </w:r>
            <w:r w:rsidRPr="005C202F">
              <w:rPr>
                <w:rFonts w:ascii="Arial Narrow" w:hAnsi="Arial Narrow" w:cs="Times New Roman"/>
                <w:b/>
                <w:sz w:val="20"/>
                <w:szCs w:val="22"/>
                <w:lang w:eastAsia="en-US"/>
              </w:rPr>
              <w:t>O</w:t>
            </w:r>
            <w:r w:rsidRPr="005C202F">
              <w:rPr>
                <w:rFonts w:ascii="Arial Narrow" w:hAnsi="Arial Narrow" w:cs="Times New Roman"/>
                <w:b/>
                <w:bCs/>
                <w:sz w:val="20"/>
                <w:szCs w:val="22"/>
                <w:lang w:eastAsia="en-US"/>
              </w:rPr>
              <w:t>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72</w:t>
            </w:r>
          </w:p>
        </w:tc>
        <w:tc>
          <w:tcPr>
            <w:tcW w:w="930" w:type="dxa"/>
            <w:shd w:val="clear" w:color="auto" w:fill="auto"/>
            <w:vAlign w:val="center"/>
          </w:tcPr>
          <w:p w:rsidR="00FC6DBD" w:rsidRPr="005C202F" w:rsidRDefault="00FC6DBD" w:rsidP="00122786">
            <w:pPr>
              <w:keepNext/>
              <w:jc w:val="center"/>
              <w:rPr>
                <w:rFonts w:ascii="Arial Narrow" w:hAnsi="Arial Narrow" w:cs="Times New Roman"/>
                <w:b/>
                <w:bCs/>
                <w:color w:val="2F5496"/>
                <w:sz w:val="20"/>
                <w:szCs w:val="22"/>
                <w:lang w:eastAsia="en-US"/>
              </w:rPr>
            </w:pPr>
            <w:r w:rsidRPr="005C202F">
              <w:rPr>
                <w:rFonts w:ascii="Arial Narrow" w:hAnsi="Arial Narrow" w:cs="Times New Roman"/>
                <w:b/>
                <w:sz w:val="20"/>
                <w:szCs w:val="22"/>
                <w:lang w:eastAsia="en-US"/>
              </w:rPr>
              <w:t>PBO</w:t>
            </w:r>
            <w:r w:rsidRPr="005C202F">
              <w:rPr>
                <w:rFonts w:ascii="Arial Narrow" w:hAnsi="Arial Narrow" w:cs="Times New Roman"/>
                <w:b/>
                <w:bCs/>
                <w:sz w:val="20"/>
                <w:szCs w:val="22"/>
                <w:lang w:eastAsia="en-US"/>
              </w:rPr>
              <w:t xml:space="preserve"> + OAD</w:t>
            </w:r>
          </w:p>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b/>
                <w:bCs/>
                <w:sz w:val="20"/>
                <w:szCs w:val="22"/>
                <w:lang w:eastAsia="en-US"/>
              </w:rPr>
              <w:t>N = 65</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TEAE</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98 (85.2)</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90 (78.3)</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100 (87.0)</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103 (88.8)</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77 (68.1)</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51 (70.8)</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39 (60.0)</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 xml:space="preserve">TEAE possibly related to intranasal drug </w:t>
            </w:r>
            <w:r w:rsidRPr="005C202F">
              <w:rPr>
                <w:rFonts w:ascii="Arial Narrow" w:hAnsi="Arial Narrow" w:cs="Times New Roman"/>
                <w:sz w:val="20"/>
                <w:szCs w:val="22"/>
                <w:vertAlign w:val="superscript"/>
                <w:lang w:eastAsia="en-US"/>
              </w:rPr>
              <w:t>a</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90 (78.3)</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39 (35.8)</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89 (77.4)</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92 (79.3)</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54 (47.8)</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42 (58.3)</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22 (33.8)</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 xml:space="preserve">TEAE possibly related to oral antidepressant </w:t>
            </w:r>
            <w:r w:rsidRPr="005C202F">
              <w:rPr>
                <w:rFonts w:ascii="Arial Narrow" w:hAnsi="Arial Narrow" w:cs="Times New Roman"/>
                <w:sz w:val="20"/>
                <w:szCs w:val="22"/>
                <w:vertAlign w:val="superscript"/>
                <w:lang w:eastAsia="en-US"/>
              </w:rPr>
              <w:t>a</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39 (33.9)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26 (23.9)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44 (38.3)</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43 (37.1)</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34 (30.1)</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13 (18.1)</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11 (16.9)</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TEAE leading to death</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1 or more serious TEAE</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 (1.7)</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 (4.2)</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 (3.1)</w:t>
            </w:r>
          </w:p>
        </w:tc>
      </w:tr>
      <w:tr w:rsidR="00FC6DBD" w:rsidRPr="005C202F" w:rsidTr="00FC6DBD">
        <w:tc>
          <w:tcPr>
            <w:tcW w:w="2038" w:type="dxa"/>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 xml:space="preserve">TEAE  leading to intranasal drug withdrawn </w:t>
            </w:r>
            <w:r w:rsidRPr="005C202F">
              <w:rPr>
                <w:rFonts w:ascii="Arial Narrow" w:hAnsi="Arial Narrow" w:cs="Times New Roman"/>
                <w:sz w:val="20"/>
                <w:szCs w:val="22"/>
                <w:vertAlign w:val="superscript"/>
                <w:lang w:eastAsia="en-US"/>
              </w:rPr>
              <w:t xml:space="preserve">b </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8 (7.0)</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54"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2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7 (6.0)</w:t>
            </w:r>
          </w:p>
        </w:tc>
        <w:tc>
          <w:tcPr>
            <w:tcW w:w="989" w:type="dxa"/>
            <w:gridSpan w:val="2"/>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 (1.8)</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 (5.6)</w:t>
            </w:r>
          </w:p>
        </w:tc>
        <w:tc>
          <w:tcPr>
            <w:tcW w:w="930" w:type="dxa"/>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 (3.1)</w:t>
            </w:r>
          </w:p>
        </w:tc>
      </w:tr>
      <w:tr w:rsidR="00FC6DBD" w:rsidRPr="005C202F" w:rsidTr="00FC6DBD">
        <w:tc>
          <w:tcPr>
            <w:tcW w:w="2038" w:type="dxa"/>
            <w:tcBorders>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 xml:space="preserve">TEAE leading to oral antidepressant withdrawn </w:t>
            </w:r>
            <w:r w:rsidRPr="005C202F">
              <w:rPr>
                <w:rFonts w:ascii="Arial Narrow" w:hAnsi="Arial Narrow" w:cs="Times New Roman"/>
                <w:sz w:val="20"/>
                <w:szCs w:val="22"/>
                <w:vertAlign w:val="superscript"/>
                <w:lang w:eastAsia="en-US"/>
              </w:rPr>
              <w:t>b</w:t>
            </w:r>
          </w:p>
        </w:tc>
        <w:tc>
          <w:tcPr>
            <w:tcW w:w="954"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bookmarkStart w:id="19" w:name="_GoBack"/>
            <w:bookmarkEnd w:id="19"/>
            <w:r w:rsidRPr="005C202F">
              <w:rPr>
                <w:rFonts w:ascii="Arial Narrow" w:hAnsi="Arial Narrow" w:cs="Times New Roman"/>
                <w:sz w:val="20"/>
                <w:szCs w:val="22"/>
                <w:lang w:eastAsia="en-US"/>
              </w:rPr>
              <w:t>4 (3.5)</w:t>
            </w:r>
          </w:p>
        </w:tc>
        <w:tc>
          <w:tcPr>
            <w:tcW w:w="954"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54"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0</w:t>
            </w:r>
          </w:p>
        </w:tc>
        <w:tc>
          <w:tcPr>
            <w:tcW w:w="920"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(0.9)</w:t>
            </w:r>
          </w:p>
        </w:tc>
        <w:tc>
          <w:tcPr>
            <w:tcW w:w="989" w:type="dxa"/>
            <w:gridSpan w:val="2"/>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2 (1.8)</w:t>
            </w:r>
          </w:p>
        </w:tc>
        <w:tc>
          <w:tcPr>
            <w:tcW w:w="930"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(1.4)</w:t>
            </w:r>
          </w:p>
        </w:tc>
        <w:tc>
          <w:tcPr>
            <w:tcW w:w="930" w:type="dxa"/>
            <w:tcBorders>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(1.5)</w:t>
            </w:r>
          </w:p>
        </w:tc>
      </w:tr>
      <w:tr w:rsidR="00FC6DBD" w:rsidRPr="005C202F" w:rsidTr="00FC6DBD">
        <w:tc>
          <w:tcPr>
            <w:tcW w:w="8669" w:type="dxa"/>
            <w:gridSpan w:val="9"/>
            <w:tcBorders>
              <w:bottom w:val="single" w:sz="4" w:space="0" w:color="auto"/>
            </w:tcBorders>
            <w:vAlign w:val="center"/>
          </w:tcPr>
          <w:p w:rsidR="00FC6DBD" w:rsidRPr="005C202F" w:rsidRDefault="00FC6DBD" w:rsidP="00122786">
            <w:pPr>
              <w:keepNext/>
              <w:jc w:val="left"/>
              <w:rPr>
                <w:rFonts w:ascii="Arial Narrow" w:hAnsi="Arial Narrow" w:cs="Times New Roman"/>
                <w:b/>
                <w:bCs/>
                <w:sz w:val="20"/>
                <w:szCs w:val="22"/>
                <w:lang w:eastAsia="en-US"/>
              </w:rPr>
            </w:pPr>
            <w:r w:rsidRPr="005C202F">
              <w:rPr>
                <w:rFonts w:ascii="Arial Narrow" w:hAnsi="Arial Narrow" w:cs="Times New Roman"/>
                <w:b/>
                <w:bCs/>
                <w:sz w:val="20"/>
                <w:szCs w:val="22"/>
                <w:lang w:eastAsia="en-US"/>
              </w:rPr>
              <w:t>Most common TEAE (≥10%)</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Dissociation</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30 (26.1)</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 (3.7)</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30 (26.1)</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32 (27.6)</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4 (3.5)</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9 (12.5)</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2"/>
                <w:lang w:eastAsia="en-US"/>
              </w:rPr>
            </w:pPr>
            <w:r w:rsidRPr="005C202F">
              <w:rPr>
                <w:rFonts w:ascii="Arial Narrow" w:hAnsi="Arial Narrow" w:cs="Times New Roman"/>
                <w:sz w:val="20"/>
                <w:szCs w:val="22"/>
                <w:lang w:eastAsia="en-US"/>
              </w:rPr>
              <w:t>1 (1.5)</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Nausea</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30 (26.1)</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7 (6.4)</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31 (27.0)</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37 (31.9)</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12 (10.6)</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13 (18.1)</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 (4.6)</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Vertigo</w:t>
            </w:r>
          </w:p>
        </w:tc>
        <w:tc>
          <w:tcPr>
            <w:tcW w:w="954"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30 (26.1)</w:t>
            </w:r>
          </w:p>
        </w:tc>
        <w:tc>
          <w:tcPr>
            <w:tcW w:w="954"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3 (2.8)</w:t>
            </w:r>
          </w:p>
        </w:tc>
        <w:tc>
          <w:tcPr>
            <w:tcW w:w="954"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24 (20.9)</w:t>
            </w:r>
          </w:p>
        </w:tc>
        <w:tc>
          <w:tcPr>
            <w:tcW w:w="920"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24 (20.7)</w:t>
            </w:r>
          </w:p>
        </w:tc>
        <w:tc>
          <w:tcPr>
            <w:tcW w:w="989" w:type="dxa"/>
            <w:gridSpan w:val="2"/>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 (1.8)</w:t>
            </w:r>
          </w:p>
        </w:tc>
        <w:tc>
          <w:tcPr>
            <w:tcW w:w="930"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8 (11.1)</w:t>
            </w:r>
          </w:p>
        </w:tc>
        <w:tc>
          <w:tcPr>
            <w:tcW w:w="930" w:type="dxa"/>
            <w:vAlign w:val="bottom"/>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 (3.1)</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Dysgeusia</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28 (24.3)</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13 (11.9)</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17 (14.8)</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20 (17.2)</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17 (15.0)</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4 (5.6)</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3 (4.6)</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0"/>
                <w:lang w:eastAsia="en-US"/>
              </w:rPr>
              <w:t>Dizziness</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24 (20.9)</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(4.6)</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32 (27.8)</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26 (22.4)</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10 (8.8)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15 (20.8)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(7.7)</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0"/>
                <w:lang w:eastAsia="en-US"/>
              </w:rPr>
              <w:t>Headache</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23 (20.0)</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19 (17.4)</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23 (20.0)</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24 (20.7)</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19 (16.8)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9 (12.5)</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 (3.1)</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0"/>
                <w:lang w:eastAsia="en-US"/>
              </w:rPr>
              <w:t>Somnolence</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15 (13.0)</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7 (6.4)</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24 (20.9)</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21 (18.1)</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13 (11.5)</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2"/>
                <w:lang w:eastAsia="en-US"/>
              </w:rPr>
              <w:t>Vision blurred</w:t>
            </w:r>
          </w:p>
        </w:tc>
        <w:tc>
          <w:tcPr>
            <w:tcW w:w="954"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14 (12.2)</w:t>
            </w:r>
          </w:p>
        </w:tc>
        <w:tc>
          <w:tcPr>
            <w:tcW w:w="954"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3 (2.8)</w:t>
            </w:r>
          </w:p>
        </w:tc>
        <w:tc>
          <w:tcPr>
            <w:tcW w:w="954"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8 (7.0)</w:t>
            </w:r>
          </w:p>
        </w:tc>
        <w:tc>
          <w:tcPr>
            <w:tcW w:w="920"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9 (7.8)</w:t>
            </w:r>
          </w:p>
        </w:tc>
        <w:tc>
          <w:tcPr>
            <w:tcW w:w="989" w:type="dxa"/>
            <w:gridSpan w:val="2"/>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0</w:t>
            </w:r>
          </w:p>
        </w:tc>
        <w:tc>
          <w:tcPr>
            <w:tcW w:w="930"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w:t>
            </w:r>
          </w:p>
        </w:tc>
        <w:tc>
          <w:tcPr>
            <w:tcW w:w="930" w:type="dxa"/>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Paraesthesia</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13 (11.3)</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 (0.9)</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19 (16.5)</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11 (9.5)</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3 (2.7)</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4 (5.6)</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 (3.1)</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Anxiety</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12 (10.4)</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(4.6)</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10 (8.7)</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9 (7.8)</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7 (6.2)</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 (2.8)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(7.7)</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Blood pressure increased</w:t>
            </w:r>
          </w:p>
        </w:tc>
        <w:tc>
          <w:tcPr>
            <w:tcW w:w="954"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11 (9.6)</w:t>
            </w:r>
          </w:p>
        </w:tc>
        <w:tc>
          <w:tcPr>
            <w:tcW w:w="954"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0</w:t>
            </w:r>
          </w:p>
        </w:tc>
        <w:tc>
          <w:tcPr>
            <w:tcW w:w="954"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8 (7.0)</w:t>
            </w:r>
          </w:p>
        </w:tc>
        <w:tc>
          <w:tcPr>
            <w:tcW w:w="920"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11 (9.5)</w:t>
            </w:r>
          </w:p>
        </w:tc>
        <w:tc>
          <w:tcPr>
            <w:tcW w:w="989" w:type="dxa"/>
            <w:gridSpan w:val="2"/>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(4.4)</w:t>
            </w:r>
          </w:p>
        </w:tc>
        <w:tc>
          <w:tcPr>
            <w:tcW w:w="930"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9 (12.5)</w:t>
            </w:r>
          </w:p>
        </w:tc>
        <w:tc>
          <w:tcPr>
            <w:tcW w:w="930" w:type="dxa"/>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3 (4.6)</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Vomiting</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11 (9.6)</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 (1.8)</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7 (6.1)</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14 (12.1)</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2 (1.8)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5 (6.9)</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eastAsia="Calibri" w:hAnsi="Arial Narrow" w:cs="Times New Roman (Body CS)"/>
                <w:sz w:val="20"/>
                <w:szCs w:val="20"/>
                <w:lang w:eastAsia="en-US"/>
              </w:rPr>
            </w:pPr>
            <w:r w:rsidRPr="005C202F">
              <w:rPr>
                <w:rFonts w:ascii="Arial Narrow" w:eastAsia="Calibri" w:hAnsi="Arial Narrow" w:cs="Times New Roman (Body CS)"/>
                <w:sz w:val="20"/>
                <w:szCs w:val="20"/>
                <w:lang w:eastAsia="en-US"/>
              </w:rPr>
              <w:t>1 (1.5)</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2"/>
                <w:lang w:eastAsia="en-US"/>
              </w:rPr>
            </w:pPr>
            <w:r w:rsidRPr="005C202F">
              <w:rPr>
                <w:rFonts w:ascii="Arial Narrow" w:hAnsi="Arial Narrow" w:cs="Times New Roman"/>
                <w:sz w:val="20"/>
                <w:szCs w:val="20"/>
                <w:lang w:eastAsia="en-US"/>
              </w:rPr>
              <w:t>Hypoesthesia</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8 (7.0)</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 (0.9)</w:t>
            </w:r>
          </w:p>
        </w:tc>
        <w:tc>
          <w:tcPr>
            <w:tcW w:w="954"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14 (12.2)</w:t>
            </w:r>
          </w:p>
        </w:tc>
        <w:tc>
          <w:tcPr>
            <w:tcW w:w="92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16 (13.8)</w:t>
            </w:r>
          </w:p>
        </w:tc>
        <w:tc>
          <w:tcPr>
            <w:tcW w:w="989" w:type="dxa"/>
            <w:gridSpan w:val="2"/>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2 (1.8)</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4 (5.6)</w:t>
            </w:r>
          </w:p>
        </w:tc>
        <w:tc>
          <w:tcPr>
            <w:tcW w:w="930" w:type="dxa"/>
            <w:tcBorders>
              <w:top w:val="single" w:sz="4" w:space="0" w:color="auto"/>
              <w:bottom w:val="single" w:sz="4" w:space="0" w:color="auto"/>
            </w:tcBorders>
            <w:vAlign w:val="center"/>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 (1.5)</w:t>
            </w:r>
          </w:p>
        </w:tc>
      </w:tr>
      <w:tr w:rsidR="00FC6DBD" w:rsidRPr="005C202F" w:rsidTr="00FC6DBD">
        <w:tc>
          <w:tcPr>
            <w:tcW w:w="2038" w:type="dxa"/>
            <w:tcBorders>
              <w:top w:val="single" w:sz="4" w:space="0" w:color="auto"/>
              <w:bottom w:val="single" w:sz="4" w:space="0" w:color="auto"/>
            </w:tcBorders>
            <w:vAlign w:val="center"/>
          </w:tcPr>
          <w:p w:rsidR="00FC6DBD" w:rsidRPr="005C202F" w:rsidRDefault="00FC6DBD" w:rsidP="00122786">
            <w:pPr>
              <w:keepNext/>
              <w:jc w:val="left"/>
              <w:rPr>
                <w:rFonts w:ascii="Arial Narrow" w:hAnsi="Arial Narrow" w:cs="Times New Roman"/>
                <w:sz w:val="20"/>
                <w:szCs w:val="20"/>
                <w:lang w:eastAsia="en-US"/>
              </w:rPr>
            </w:pPr>
            <w:r w:rsidRPr="005C202F">
              <w:rPr>
                <w:rFonts w:ascii="Arial Narrow" w:hAnsi="Arial Narrow" w:cs="Times New Roman"/>
                <w:sz w:val="20"/>
                <w:szCs w:val="20"/>
                <w:lang w:eastAsia="en-US"/>
              </w:rPr>
              <w:t>Fatigue</w:t>
            </w:r>
          </w:p>
        </w:tc>
        <w:tc>
          <w:tcPr>
            <w:tcW w:w="954"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(4.3)</w:t>
            </w:r>
          </w:p>
        </w:tc>
        <w:tc>
          <w:tcPr>
            <w:tcW w:w="954"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6 (5.5)</w:t>
            </w:r>
          </w:p>
        </w:tc>
        <w:tc>
          <w:tcPr>
            <w:tcW w:w="954"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12 (10.4)</w:t>
            </w:r>
          </w:p>
        </w:tc>
        <w:tc>
          <w:tcPr>
            <w:tcW w:w="920"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8 (6.9)</w:t>
            </w:r>
          </w:p>
        </w:tc>
        <w:tc>
          <w:tcPr>
            <w:tcW w:w="989" w:type="dxa"/>
            <w:gridSpan w:val="2"/>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(4.4)</w:t>
            </w:r>
          </w:p>
        </w:tc>
        <w:tc>
          <w:tcPr>
            <w:tcW w:w="930"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9 (12.5)</w:t>
            </w:r>
          </w:p>
        </w:tc>
        <w:tc>
          <w:tcPr>
            <w:tcW w:w="930" w:type="dxa"/>
            <w:tcBorders>
              <w:bottom w:val="single" w:sz="4" w:space="0" w:color="auto"/>
            </w:tcBorders>
            <w:vAlign w:val="bottom"/>
          </w:tcPr>
          <w:p w:rsidR="00FC6DBD" w:rsidRPr="005C202F" w:rsidRDefault="00FC6DBD" w:rsidP="00122786">
            <w:pPr>
              <w:keepNext/>
              <w:jc w:val="center"/>
              <w:rPr>
                <w:rFonts w:ascii="Arial Narrow" w:hAnsi="Arial Narrow" w:cs="Times New Roman"/>
                <w:sz w:val="20"/>
                <w:szCs w:val="20"/>
                <w:lang w:eastAsia="en-US"/>
              </w:rPr>
            </w:pPr>
            <w:r w:rsidRPr="005C202F">
              <w:rPr>
                <w:rFonts w:ascii="Arial Narrow" w:hAnsi="Arial Narrow" w:cs="Times New Roman"/>
                <w:sz w:val="20"/>
                <w:szCs w:val="20"/>
                <w:lang w:eastAsia="en-US"/>
              </w:rPr>
              <w:t>5 (7.7)</w:t>
            </w:r>
          </w:p>
        </w:tc>
      </w:tr>
    </w:tbl>
    <w:p w:rsidR="009C7905" w:rsidRPr="005C202F" w:rsidRDefault="009C7905" w:rsidP="009C7905">
      <w:pPr>
        <w:spacing w:after="120"/>
        <w:contextualSpacing/>
        <w:rPr>
          <w:rFonts w:ascii="Arial Narrow" w:hAnsi="Arial Narrow"/>
          <w:snapToGrid w:val="0"/>
          <w:sz w:val="18"/>
          <w:szCs w:val="22"/>
        </w:rPr>
      </w:pPr>
      <w:r w:rsidRPr="005C202F">
        <w:rPr>
          <w:rFonts w:ascii="Arial Narrow" w:hAnsi="Arial Narrow"/>
          <w:snapToGrid w:val="0"/>
          <w:sz w:val="18"/>
          <w:szCs w:val="22"/>
        </w:rPr>
        <w:t>Source: Table 2.5-18, p.167 and Table 2.5-19, p168 of the submission</w:t>
      </w:r>
    </w:p>
    <w:p w:rsidR="009C7905" w:rsidRPr="005C202F" w:rsidRDefault="009C7905" w:rsidP="009C7905">
      <w:pPr>
        <w:spacing w:after="120"/>
        <w:contextualSpacing/>
        <w:rPr>
          <w:rFonts w:ascii="Arial Narrow" w:hAnsi="Arial Narrow"/>
          <w:snapToGrid w:val="0"/>
          <w:sz w:val="18"/>
          <w:szCs w:val="22"/>
        </w:rPr>
      </w:pPr>
      <w:r w:rsidRPr="005C202F">
        <w:rPr>
          <w:rFonts w:ascii="Arial Narrow" w:hAnsi="Arial Narrow"/>
          <w:snapToGrid w:val="0"/>
          <w:sz w:val="18"/>
          <w:szCs w:val="22"/>
        </w:rPr>
        <w:t>Abbreviations: ESK, esketamine nasal spray; OAD, oral antidepressant; PBO, placebo nasal spray; TEAE, treatment-emergent adverse event</w:t>
      </w:r>
    </w:p>
    <w:p w:rsidR="009C7905" w:rsidRPr="005C202F" w:rsidRDefault="009C7905" w:rsidP="009C7905">
      <w:pPr>
        <w:spacing w:after="120"/>
        <w:contextualSpacing/>
        <w:rPr>
          <w:rFonts w:ascii="Arial Narrow" w:hAnsi="Arial Narrow"/>
          <w:snapToGrid w:val="0"/>
          <w:sz w:val="18"/>
          <w:szCs w:val="22"/>
        </w:rPr>
      </w:pPr>
      <w:r w:rsidRPr="005C202F">
        <w:rPr>
          <w:rFonts w:ascii="Arial Narrow" w:hAnsi="Arial Narrow"/>
          <w:snapToGrid w:val="0"/>
          <w:sz w:val="18"/>
          <w:szCs w:val="22"/>
          <w:vertAlign w:val="superscript"/>
        </w:rPr>
        <w:t>a</w:t>
      </w:r>
      <w:r w:rsidRPr="005C202F">
        <w:rPr>
          <w:rFonts w:ascii="Arial Narrow" w:hAnsi="Arial Narrow"/>
          <w:snapToGrid w:val="0"/>
          <w:sz w:val="18"/>
          <w:szCs w:val="22"/>
        </w:rPr>
        <w:t xml:space="preserve"> Study drug relationship of possible, probable, and very likely are included in this category</w:t>
      </w:r>
    </w:p>
    <w:p w:rsidR="009C7905" w:rsidRPr="005C202F" w:rsidRDefault="009C7905" w:rsidP="009C7905">
      <w:pPr>
        <w:spacing w:after="120"/>
        <w:contextualSpacing/>
        <w:rPr>
          <w:rFonts w:ascii="Arial Narrow" w:hAnsi="Arial Narrow"/>
          <w:snapToGrid w:val="0"/>
          <w:sz w:val="18"/>
          <w:szCs w:val="22"/>
        </w:rPr>
      </w:pPr>
      <w:r w:rsidRPr="005C202F">
        <w:rPr>
          <w:rFonts w:ascii="Arial Narrow" w:hAnsi="Arial Narrow"/>
          <w:snapToGrid w:val="0"/>
          <w:sz w:val="18"/>
          <w:szCs w:val="22"/>
          <w:vertAlign w:val="superscript"/>
        </w:rPr>
        <w:t>b</w:t>
      </w:r>
      <w:r w:rsidRPr="005C202F">
        <w:rPr>
          <w:rFonts w:ascii="Arial Narrow" w:hAnsi="Arial Narrow"/>
          <w:snapToGrid w:val="0"/>
          <w:sz w:val="18"/>
          <w:szCs w:val="22"/>
        </w:rPr>
        <w:t xml:space="preserve"> An adverse event that started in the double-blind induction phase and resulted in discontinuation in the follow-up phase is counted as treatment-emergent in the double-blind induction phase</w:t>
      </w:r>
    </w:p>
    <w:p w:rsidR="00BB7A61" w:rsidRPr="005C202F" w:rsidRDefault="00523BE0" w:rsidP="0020230B">
      <w:pPr>
        <w:pStyle w:val="ExecSumBodyText"/>
      </w:pPr>
      <w:r w:rsidRPr="005C202F">
        <w:t>The overall incidence of adverse events was higher in the esketamine treatment arms compared with the placebo treatment arms across all three trials. There was also a higher incidence of adverse events considered to be related to the intranasal study drug in the esketamine treatment arms.</w:t>
      </w:r>
      <w:r w:rsidR="0020230B" w:rsidRPr="005C202F">
        <w:t xml:space="preserve"> More people in the esketamine treatment arms withdrew from treatment due to an AE compared with the placebo treatment arms in the included trials.</w:t>
      </w:r>
    </w:p>
    <w:p w:rsidR="00523BE0" w:rsidRPr="005C202F" w:rsidRDefault="00EF5C4C" w:rsidP="00BB7A61">
      <w:pPr>
        <w:pStyle w:val="ExecSumBodyText"/>
      </w:pPr>
      <w:r w:rsidRPr="005C202F">
        <w:t xml:space="preserve">Across the TRANSFORM trials, the most common treatment-emergent adverse events in the esketamine nasal spray treatment group included dissociation, nausea, vertigo, dysgeusia, dizziness, headache, somnolence, vision blurred, paresthesia, anxiety, hypoesthesia oral, hypoesthesia, increased blood pressure, and fatigue. In TRANSFORM-3, which enrolled older adults aged 65 years and over, urinary tract infections were also more commonly reported in the esketamine nasal spray treatment group. </w:t>
      </w:r>
    </w:p>
    <w:p w:rsidR="00EF5C4C" w:rsidRPr="005C202F" w:rsidRDefault="00D813B2" w:rsidP="00BB7A61">
      <w:pPr>
        <w:pStyle w:val="ExecSumBodyText"/>
      </w:pPr>
      <w:r w:rsidRPr="005C202F">
        <w:t>A summary of t</w:t>
      </w:r>
      <w:r w:rsidR="00EF5C4C" w:rsidRPr="005C202F">
        <w:t>reatment-emergent adverse events by phase, for the induction, optimisation, and maintenance phases of the SUSTAIN-1 trial</w:t>
      </w:r>
      <w:r w:rsidRPr="005C202F">
        <w:t xml:space="preserve"> is included in Table </w:t>
      </w:r>
      <w:r w:rsidR="00A60886">
        <w:t>9</w:t>
      </w:r>
      <w:r w:rsidR="00EF5C4C" w:rsidRPr="005C202F">
        <w:t>.</w:t>
      </w:r>
    </w:p>
    <w:p w:rsidR="00D813B2" w:rsidRPr="005C202F" w:rsidRDefault="00D813B2" w:rsidP="00D813B2">
      <w:pPr>
        <w:pStyle w:val="TableFigureCaption"/>
      </w:pPr>
      <w:r w:rsidRPr="005C202F">
        <w:t xml:space="preserve">Table </w:t>
      </w:r>
      <w:r w:rsidR="00A60886">
        <w:t>9</w:t>
      </w:r>
      <w:r w:rsidRPr="005C202F">
        <w:t>: Overall summary of treatment-emergent adverse events; induction phase, optimisation phase and maintenance phase of SUSTAIN-1 (Safety analysis set)</w:t>
      </w:r>
    </w:p>
    <w:tbl>
      <w:tblPr>
        <w:tblStyle w:val="TableGrid"/>
        <w:tblW w:w="0" w:type="auto"/>
        <w:tblCellMar>
          <w:left w:w="57" w:type="dxa"/>
          <w:right w:w="57" w:type="dxa"/>
        </w:tblCellMar>
        <w:tblLook w:val="04A0" w:firstRow="1" w:lastRow="0" w:firstColumn="1" w:lastColumn="0" w:noHBand="0" w:noVBand="1"/>
        <w:tblCaption w:val="Table 9: Overall summary of treatment-emergent adverse events; induction phase, optimisation phase and maintenance phase of SUSTAIN-1 (Safety analysis set)"/>
      </w:tblPr>
      <w:tblGrid>
        <w:gridCol w:w="3538"/>
        <w:gridCol w:w="1549"/>
        <w:gridCol w:w="1428"/>
        <w:gridCol w:w="1353"/>
        <w:gridCol w:w="1148"/>
      </w:tblGrid>
      <w:tr w:rsidR="00452DAC" w:rsidRPr="005C202F" w:rsidTr="00CA3C0B">
        <w:trPr>
          <w:tblHeader/>
        </w:trPr>
        <w:tc>
          <w:tcPr>
            <w:tcW w:w="3538" w:type="dxa"/>
            <w:vMerge w:val="restart"/>
          </w:tcPr>
          <w:p w:rsidR="00452DAC" w:rsidRPr="005C202F" w:rsidRDefault="00452DAC" w:rsidP="00CA3C0B">
            <w:pPr>
              <w:pStyle w:val="Tabletext0"/>
            </w:pPr>
          </w:p>
        </w:tc>
        <w:tc>
          <w:tcPr>
            <w:tcW w:w="1549" w:type="dxa"/>
            <w:vAlign w:val="center"/>
          </w:tcPr>
          <w:p w:rsidR="00452DAC" w:rsidRPr="005C202F" w:rsidRDefault="00452DAC" w:rsidP="00CA3C0B">
            <w:pPr>
              <w:pStyle w:val="Tabletext0"/>
              <w:jc w:val="center"/>
              <w:rPr>
                <w:b/>
                <w:bCs/>
              </w:rPr>
            </w:pPr>
            <w:r w:rsidRPr="005C202F">
              <w:rPr>
                <w:b/>
                <w:bCs/>
              </w:rPr>
              <w:t>Induction phase</w:t>
            </w:r>
          </w:p>
        </w:tc>
        <w:tc>
          <w:tcPr>
            <w:tcW w:w="1428" w:type="dxa"/>
            <w:vAlign w:val="center"/>
          </w:tcPr>
          <w:p w:rsidR="00452DAC" w:rsidRPr="005C202F" w:rsidRDefault="00452DAC" w:rsidP="00CA3C0B">
            <w:pPr>
              <w:pStyle w:val="Tabletext0"/>
              <w:jc w:val="center"/>
              <w:rPr>
                <w:b/>
                <w:bCs/>
              </w:rPr>
            </w:pPr>
            <w:r w:rsidRPr="005C202F">
              <w:rPr>
                <w:b/>
                <w:bCs/>
              </w:rPr>
              <w:t>Optimisation phase</w:t>
            </w:r>
          </w:p>
        </w:tc>
        <w:tc>
          <w:tcPr>
            <w:tcW w:w="2501" w:type="dxa"/>
            <w:gridSpan w:val="2"/>
            <w:vAlign w:val="center"/>
          </w:tcPr>
          <w:p w:rsidR="00452DAC" w:rsidRPr="005C202F" w:rsidRDefault="00452DAC" w:rsidP="00CA3C0B">
            <w:pPr>
              <w:pStyle w:val="Tabletext0"/>
              <w:jc w:val="center"/>
              <w:rPr>
                <w:b/>
                <w:bCs/>
              </w:rPr>
            </w:pPr>
            <w:r w:rsidRPr="005C202F">
              <w:rPr>
                <w:b/>
                <w:bCs/>
              </w:rPr>
              <w:t>Maintenance phase</w:t>
            </w:r>
          </w:p>
        </w:tc>
      </w:tr>
      <w:tr w:rsidR="00452DAC" w:rsidRPr="005C202F" w:rsidTr="00CA3C0B">
        <w:trPr>
          <w:tblHeader/>
        </w:trPr>
        <w:tc>
          <w:tcPr>
            <w:tcW w:w="3538" w:type="dxa"/>
            <w:vMerge/>
          </w:tcPr>
          <w:p w:rsidR="00452DAC" w:rsidRPr="005C202F" w:rsidRDefault="00452DAC" w:rsidP="00CA3C0B">
            <w:pPr>
              <w:pStyle w:val="Tabletext0"/>
            </w:pPr>
          </w:p>
        </w:tc>
        <w:tc>
          <w:tcPr>
            <w:tcW w:w="1549" w:type="dxa"/>
            <w:vAlign w:val="center"/>
          </w:tcPr>
          <w:p w:rsidR="00452DAC" w:rsidRPr="005C202F" w:rsidRDefault="00452DAC" w:rsidP="00CA3C0B">
            <w:pPr>
              <w:pStyle w:val="Tabletext0"/>
              <w:jc w:val="center"/>
              <w:rPr>
                <w:b/>
                <w:bCs/>
              </w:rPr>
            </w:pPr>
            <w:r w:rsidRPr="005C202F">
              <w:rPr>
                <w:b/>
                <w:bCs/>
              </w:rPr>
              <w:t>ESK + OAD</w:t>
            </w:r>
          </w:p>
          <w:p w:rsidR="00452DAC" w:rsidRPr="005C202F" w:rsidRDefault="00452DAC" w:rsidP="00CA3C0B">
            <w:pPr>
              <w:pStyle w:val="Tabletext0"/>
              <w:jc w:val="center"/>
              <w:rPr>
                <w:b/>
                <w:bCs/>
              </w:rPr>
            </w:pPr>
            <w:r w:rsidRPr="005C202F">
              <w:rPr>
                <w:b/>
                <w:bCs/>
              </w:rPr>
              <w:t>N = 437</w:t>
            </w:r>
          </w:p>
        </w:tc>
        <w:tc>
          <w:tcPr>
            <w:tcW w:w="1428" w:type="dxa"/>
            <w:vAlign w:val="center"/>
          </w:tcPr>
          <w:p w:rsidR="00452DAC" w:rsidRPr="005C202F" w:rsidRDefault="00452DAC" w:rsidP="00CA3C0B">
            <w:pPr>
              <w:pStyle w:val="Tabletext0"/>
              <w:jc w:val="center"/>
              <w:rPr>
                <w:b/>
                <w:bCs/>
              </w:rPr>
            </w:pPr>
            <w:r w:rsidRPr="005C202F">
              <w:rPr>
                <w:b/>
                <w:bCs/>
              </w:rPr>
              <w:t>ESK + OAD</w:t>
            </w:r>
          </w:p>
          <w:p w:rsidR="00452DAC" w:rsidRPr="005C202F" w:rsidRDefault="00452DAC" w:rsidP="00CA3C0B">
            <w:pPr>
              <w:pStyle w:val="Tabletext0"/>
              <w:jc w:val="center"/>
              <w:rPr>
                <w:b/>
                <w:bCs/>
              </w:rPr>
            </w:pPr>
            <w:r w:rsidRPr="005C202F">
              <w:rPr>
                <w:b/>
                <w:bCs/>
              </w:rPr>
              <w:t>N = 455</w:t>
            </w:r>
          </w:p>
        </w:tc>
        <w:tc>
          <w:tcPr>
            <w:tcW w:w="1353" w:type="dxa"/>
            <w:vAlign w:val="center"/>
          </w:tcPr>
          <w:p w:rsidR="00452DAC" w:rsidRPr="005C202F" w:rsidRDefault="00452DAC" w:rsidP="00CA3C0B">
            <w:pPr>
              <w:pStyle w:val="Tabletext0"/>
              <w:jc w:val="center"/>
              <w:rPr>
                <w:b/>
                <w:bCs/>
              </w:rPr>
            </w:pPr>
            <w:r w:rsidRPr="005C202F">
              <w:rPr>
                <w:b/>
                <w:bCs/>
              </w:rPr>
              <w:t>ESK + OAD</w:t>
            </w:r>
          </w:p>
          <w:p w:rsidR="00452DAC" w:rsidRPr="005C202F" w:rsidRDefault="00452DAC" w:rsidP="00CA3C0B">
            <w:pPr>
              <w:pStyle w:val="Tabletext0"/>
              <w:jc w:val="center"/>
              <w:rPr>
                <w:b/>
                <w:bCs/>
              </w:rPr>
            </w:pPr>
            <w:r w:rsidRPr="005C202F">
              <w:rPr>
                <w:b/>
                <w:bCs/>
              </w:rPr>
              <w:t>N = 152</w:t>
            </w:r>
          </w:p>
        </w:tc>
        <w:tc>
          <w:tcPr>
            <w:tcW w:w="1148" w:type="dxa"/>
            <w:vAlign w:val="center"/>
          </w:tcPr>
          <w:p w:rsidR="00452DAC" w:rsidRPr="005C202F" w:rsidRDefault="00452DAC" w:rsidP="00CA3C0B">
            <w:pPr>
              <w:pStyle w:val="Tabletext0"/>
              <w:jc w:val="center"/>
              <w:rPr>
                <w:b/>
                <w:bCs/>
              </w:rPr>
            </w:pPr>
            <w:r w:rsidRPr="005C202F">
              <w:rPr>
                <w:b/>
                <w:bCs/>
              </w:rPr>
              <w:t>PBO + OAD</w:t>
            </w:r>
          </w:p>
          <w:p w:rsidR="00452DAC" w:rsidRPr="005C202F" w:rsidRDefault="00452DAC" w:rsidP="00CA3C0B">
            <w:pPr>
              <w:pStyle w:val="Tabletext0"/>
              <w:jc w:val="center"/>
              <w:rPr>
                <w:b/>
                <w:bCs/>
              </w:rPr>
            </w:pPr>
            <w:r w:rsidRPr="005C202F">
              <w:rPr>
                <w:b/>
                <w:bCs/>
              </w:rPr>
              <w:t>N = 145</w:t>
            </w:r>
          </w:p>
        </w:tc>
      </w:tr>
      <w:tr w:rsidR="00452DAC" w:rsidRPr="005C202F" w:rsidTr="00CA3C0B">
        <w:tc>
          <w:tcPr>
            <w:tcW w:w="3538" w:type="dxa"/>
          </w:tcPr>
          <w:p w:rsidR="00452DAC" w:rsidRPr="005C202F" w:rsidRDefault="00452DAC" w:rsidP="00CA3C0B">
            <w:pPr>
              <w:pStyle w:val="Tabletext0"/>
            </w:pPr>
            <w:r w:rsidRPr="005C202F">
              <w:t>Total number with a TEAE</w:t>
            </w:r>
          </w:p>
        </w:tc>
        <w:tc>
          <w:tcPr>
            <w:tcW w:w="1549" w:type="dxa"/>
            <w:vAlign w:val="center"/>
          </w:tcPr>
          <w:p w:rsidR="00452DAC" w:rsidRPr="005C202F" w:rsidRDefault="00452DAC" w:rsidP="00CA3C0B">
            <w:pPr>
              <w:pStyle w:val="Tabletext0"/>
              <w:jc w:val="center"/>
            </w:pPr>
            <w:r w:rsidRPr="005C202F">
              <w:t>336 (76.9)</w:t>
            </w:r>
          </w:p>
        </w:tc>
        <w:tc>
          <w:tcPr>
            <w:tcW w:w="1428" w:type="dxa"/>
            <w:vAlign w:val="center"/>
          </w:tcPr>
          <w:p w:rsidR="00452DAC" w:rsidRPr="005C202F" w:rsidRDefault="00452DAC" w:rsidP="00CA3C0B">
            <w:pPr>
              <w:pStyle w:val="Tabletext0"/>
              <w:jc w:val="center"/>
            </w:pPr>
            <w:r w:rsidRPr="005C202F">
              <w:t>335 (73.6)</w:t>
            </w:r>
          </w:p>
        </w:tc>
        <w:tc>
          <w:tcPr>
            <w:tcW w:w="1353" w:type="dxa"/>
            <w:vAlign w:val="center"/>
          </w:tcPr>
          <w:p w:rsidR="00452DAC" w:rsidRPr="005C202F" w:rsidRDefault="00452DAC" w:rsidP="00CA3C0B">
            <w:pPr>
              <w:pStyle w:val="Tabletext0"/>
              <w:jc w:val="center"/>
            </w:pPr>
            <w:r w:rsidRPr="005C202F">
              <w:t>125 (82.2)</w:t>
            </w:r>
          </w:p>
        </w:tc>
        <w:tc>
          <w:tcPr>
            <w:tcW w:w="1148" w:type="dxa"/>
            <w:vAlign w:val="center"/>
          </w:tcPr>
          <w:p w:rsidR="00452DAC" w:rsidRPr="005C202F" w:rsidRDefault="00452DAC" w:rsidP="00CA3C0B">
            <w:pPr>
              <w:pStyle w:val="Tabletext0"/>
              <w:jc w:val="center"/>
            </w:pPr>
            <w:r w:rsidRPr="005C202F">
              <w:t>66 (45.5)</w:t>
            </w:r>
          </w:p>
        </w:tc>
      </w:tr>
      <w:tr w:rsidR="00452DAC" w:rsidRPr="005C202F" w:rsidTr="00CA3C0B">
        <w:tc>
          <w:tcPr>
            <w:tcW w:w="3538" w:type="dxa"/>
          </w:tcPr>
          <w:p w:rsidR="00452DAC" w:rsidRPr="005C202F" w:rsidRDefault="00452DAC" w:rsidP="00CA3C0B">
            <w:pPr>
              <w:pStyle w:val="Tabletext0"/>
            </w:pPr>
            <w:r w:rsidRPr="005C202F">
              <w:t xml:space="preserve">TEAE possibly related to intranasal drug </w:t>
            </w:r>
            <w:r w:rsidRPr="005C202F">
              <w:rPr>
                <w:vertAlign w:val="superscript"/>
              </w:rPr>
              <w:t>a</w:t>
            </w:r>
          </w:p>
        </w:tc>
        <w:tc>
          <w:tcPr>
            <w:tcW w:w="1549" w:type="dxa"/>
            <w:vAlign w:val="center"/>
          </w:tcPr>
          <w:p w:rsidR="00452DAC" w:rsidRPr="005C202F" w:rsidRDefault="00452DAC" w:rsidP="00CA3C0B">
            <w:pPr>
              <w:pStyle w:val="Tabletext0"/>
              <w:jc w:val="center"/>
            </w:pPr>
            <w:r w:rsidRPr="005C202F">
              <w:t>301 (68.9)</w:t>
            </w:r>
          </w:p>
        </w:tc>
        <w:tc>
          <w:tcPr>
            <w:tcW w:w="1428" w:type="dxa"/>
            <w:vAlign w:val="center"/>
          </w:tcPr>
          <w:p w:rsidR="00452DAC" w:rsidRPr="005C202F" w:rsidRDefault="00452DAC" w:rsidP="00CA3C0B">
            <w:pPr>
              <w:pStyle w:val="Tabletext0"/>
              <w:jc w:val="center"/>
            </w:pPr>
            <w:r w:rsidRPr="005C202F">
              <w:t>281 (61.8)</w:t>
            </w:r>
          </w:p>
        </w:tc>
        <w:tc>
          <w:tcPr>
            <w:tcW w:w="1353" w:type="dxa"/>
            <w:vAlign w:val="center"/>
          </w:tcPr>
          <w:p w:rsidR="00452DAC" w:rsidRPr="005C202F" w:rsidRDefault="00452DAC" w:rsidP="00CA3C0B">
            <w:pPr>
              <w:pStyle w:val="Tabletext0"/>
              <w:jc w:val="center"/>
            </w:pPr>
            <w:r w:rsidRPr="005C202F">
              <w:t>106 (69.7)</w:t>
            </w:r>
          </w:p>
        </w:tc>
        <w:tc>
          <w:tcPr>
            <w:tcW w:w="1148" w:type="dxa"/>
            <w:vAlign w:val="center"/>
          </w:tcPr>
          <w:p w:rsidR="00452DAC" w:rsidRPr="005C202F" w:rsidRDefault="00452DAC" w:rsidP="00CA3C0B">
            <w:pPr>
              <w:pStyle w:val="Tabletext0"/>
              <w:jc w:val="center"/>
            </w:pPr>
            <w:r w:rsidRPr="005C202F">
              <w:t>37 (25.5)</w:t>
            </w:r>
          </w:p>
        </w:tc>
      </w:tr>
      <w:tr w:rsidR="00452DAC" w:rsidRPr="005C202F" w:rsidTr="00CA3C0B">
        <w:tc>
          <w:tcPr>
            <w:tcW w:w="3538" w:type="dxa"/>
          </w:tcPr>
          <w:p w:rsidR="00452DAC" w:rsidRPr="005C202F" w:rsidRDefault="00452DAC" w:rsidP="00CA3C0B">
            <w:pPr>
              <w:pStyle w:val="Tabletext0"/>
            </w:pPr>
            <w:r w:rsidRPr="005C202F">
              <w:t xml:space="preserve">TEAE possibly related to oral antidepressant </w:t>
            </w:r>
            <w:r w:rsidRPr="005C202F">
              <w:rPr>
                <w:vertAlign w:val="superscript"/>
              </w:rPr>
              <w:t>a</w:t>
            </w:r>
          </w:p>
        </w:tc>
        <w:tc>
          <w:tcPr>
            <w:tcW w:w="1549" w:type="dxa"/>
            <w:vAlign w:val="center"/>
          </w:tcPr>
          <w:p w:rsidR="00452DAC" w:rsidRPr="005C202F" w:rsidRDefault="00452DAC" w:rsidP="00CA3C0B">
            <w:pPr>
              <w:pStyle w:val="Tabletext0"/>
              <w:jc w:val="center"/>
            </w:pPr>
            <w:r w:rsidRPr="005C202F">
              <w:t>71 (16.2)</w:t>
            </w:r>
          </w:p>
        </w:tc>
        <w:tc>
          <w:tcPr>
            <w:tcW w:w="1428" w:type="dxa"/>
            <w:vAlign w:val="center"/>
          </w:tcPr>
          <w:p w:rsidR="00452DAC" w:rsidRPr="005C202F" w:rsidRDefault="00452DAC" w:rsidP="00CA3C0B">
            <w:pPr>
              <w:pStyle w:val="Tabletext0"/>
              <w:jc w:val="center"/>
            </w:pPr>
            <w:r w:rsidRPr="005C202F">
              <w:t>61 (13.4)</w:t>
            </w:r>
          </w:p>
        </w:tc>
        <w:tc>
          <w:tcPr>
            <w:tcW w:w="1353" w:type="dxa"/>
            <w:vAlign w:val="center"/>
          </w:tcPr>
          <w:p w:rsidR="00452DAC" w:rsidRPr="005C202F" w:rsidRDefault="00452DAC" w:rsidP="00CA3C0B">
            <w:pPr>
              <w:pStyle w:val="Tabletext0"/>
              <w:jc w:val="center"/>
            </w:pPr>
            <w:r w:rsidRPr="005C202F">
              <w:t>13 (8.6)</w:t>
            </w:r>
          </w:p>
        </w:tc>
        <w:tc>
          <w:tcPr>
            <w:tcW w:w="1148" w:type="dxa"/>
            <w:vAlign w:val="center"/>
          </w:tcPr>
          <w:p w:rsidR="00452DAC" w:rsidRPr="005C202F" w:rsidRDefault="00452DAC" w:rsidP="00CA3C0B">
            <w:pPr>
              <w:pStyle w:val="Tabletext0"/>
              <w:jc w:val="center"/>
            </w:pPr>
            <w:r w:rsidRPr="005C202F">
              <w:t>9 (6.2)</w:t>
            </w:r>
          </w:p>
        </w:tc>
      </w:tr>
      <w:tr w:rsidR="00452DAC" w:rsidRPr="005C202F" w:rsidTr="00CA3C0B">
        <w:tc>
          <w:tcPr>
            <w:tcW w:w="3538" w:type="dxa"/>
          </w:tcPr>
          <w:p w:rsidR="00452DAC" w:rsidRPr="005C202F" w:rsidRDefault="00452DAC" w:rsidP="00CA3C0B">
            <w:pPr>
              <w:pStyle w:val="Tabletext0"/>
            </w:pPr>
            <w:r w:rsidRPr="005C202F">
              <w:t>TEAE leading to death</w:t>
            </w:r>
          </w:p>
        </w:tc>
        <w:tc>
          <w:tcPr>
            <w:tcW w:w="1549" w:type="dxa"/>
            <w:vAlign w:val="center"/>
          </w:tcPr>
          <w:p w:rsidR="00452DAC" w:rsidRPr="005C202F" w:rsidRDefault="00452DAC" w:rsidP="00CA3C0B">
            <w:pPr>
              <w:pStyle w:val="Tabletext0"/>
              <w:jc w:val="center"/>
            </w:pPr>
            <w:r w:rsidRPr="005C202F">
              <w:t>0</w:t>
            </w:r>
          </w:p>
        </w:tc>
        <w:tc>
          <w:tcPr>
            <w:tcW w:w="1428" w:type="dxa"/>
            <w:vAlign w:val="center"/>
          </w:tcPr>
          <w:p w:rsidR="00452DAC" w:rsidRPr="005C202F" w:rsidRDefault="00452DAC" w:rsidP="00CA3C0B">
            <w:pPr>
              <w:pStyle w:val="Tabletext0"/>
              <w:jc w:val="center"/>
            </w:pPr>
            <w:r w:rsidRPr="005C202F">
              <w:t>0</w:t>
            </w:r>
          </w:p>
        </w:tc>
        <w:tc>
          <w:tcPr>
            <w:tcW w:w="1353" w:type="dxa"/>
            <w:vAlign w:val="center"/>
          </w:tcPr>
          <w:p w:rsidR="00452DAC" w:rsidRPr="005C202F" w:rsidRDefault="00452DAC" w:rsidP="00CA3C0B">
            <w:pPr>
              <w:pStyle w:val="Tabletext0"/>
              <w:jc w:val="center"/>
            </w:pPr>
            <w:r w:rsidRPr="005C202F">
              <w:t>0</w:t>
            </w:r>
          </w:p>
        </w:tc>
        <w:tc>
          <w:tcPr>
            <w:tcW w:w="1148" w:type="dxa"/>
            <w:vAlign w:val="center"/>
          </w:tcPr>
          <w:p w:rsidR="00452DAC" w:rsidRPr="005C202F" w:rsidRDefault="00452DAC" w:rsidP="00CA3C0B">
            <w:pPr>
              <w:pStyle w:val="Tabletext0"/>
              <w:jc w:val="center"/>
            </w:pPr>
            <w:r w:rsidRPr="005C202F">
              <w:t>0</w:t>
            </w:r>
          </w:p>
        </w:tc>
      </w:tr>
      <w:tr w:rsidR="00452DAC" w:rsidRPr="005C202F" w:rsidTr="00CA3C0B">
        <w:tc>
          <w:tcPr>
            <w:tcW w:w="3538" w:type="dxa"/>
          </w:tcPr>
          <w:p w:rsidR="00452DAC" w:rsidRPr="005C202F" w:rsidRDefault="00452DAC" w:rsidP="00CA3C0B">
            <w:pPr>
              <w:pStyle w:val="Tabletext0"/>
            </w:pPr>
            <w:r w:rsidRPr="005C202F">
              <w:t>1 or more serious TEAE</w:t>
            </w:r>
          </w:p>
        </w:tc>
        <w:tc>
          <w:tcPr>
            <w:tcW w:w="1549" w:type="dxa"/>
            <w:vAlign w:val="center"/>
          </w:tcPr>
          <w:p w:rsidR="00452DAC" w:rsidRPr="005C202F" w:rsidRDefault="00452DAC" w:rsidP="00CA3C0B">
            <w:pPr>
              <w:pStyle w:val="Tabletext0"/>
              <w:jc w:val="center"/>
            </w:pPr>
            <w:r w:rsidRPr="005C202F">
              <w:t>13 (3.0)</w:t>
            </w:r>
          </w:p>
        </w:tc>
        <w:tc>
          <w:tcPr>
            <w:tcW w:w="1428" w:type="dxa"/>
            <w:vAlign w:val="center"/>
          </w:tcPr>
          <w:p w:rsidR="00452DAC" w:rsidRPr="005C202F" w:rsidRDefault="00452DAC" w:rsidP="00CA3C0B">
            <w:pPr>
              <w:pStyle w:val="Tabletext0"/>
              <w:jc w:val="center"/>
            </w:pPr>
            <w:r w:rsidRPr="005C202F">
              <w:t>11 (2.4)</w:t>
            </w:r>
          </w:p>
        </w:tc>
        <w:tc>
          <w:tcPr>
            <w:tcW w:w="1353" w:type="dxa"/>
            <w:vAlign w:val="center"/>
          </w:tcPr>
          <w:p w:rsidR="00452DAC" w:rsidRPr="005C202F" w:rsidRDefault="00452DAC" w:rsidP="00CA3C0B">
            <w:pPr>
              <w:pStyle w:val="Tabletext0"/>
              <w:jc w:val="center"/>
            </w:pPr>
            <w:r w:rsidRPr="005C202F">
              <w:t>4 (2.6)</w:t>
            </w:r>
          </w:p>
        </w:tc>
        <w:tc>
          <w:tcPr>
            <w:tcW w:w="1148" w:type="dxa"/>
            <w:vAlign w:val="center"/>
          </w:tcPr>
          <w:p w:rsidR="00452DAC" w:rsidRPr="005C202F" w:rsidRDefault="00452DAC" w:rsidP="00CA3C0B">
            <w:pPr>
              <w:pStyle w:val="Tabletext0"/>
              <w:jc w:val="center"/>
            </w:pPr>
            <w:r w:rsidRPr="005C202F">
              <w:t>1 (0.7)</w:t>
            </w:r>
          </w:p>
        </w:tc>
      </w:tr>
      <w:tr w:rsidR="00452DAC" w:rsidRPr="005C202F" w:rsidTr="00CA3C0B">
        <w:tc>
          <w:tcPr>
            <w:tcW w:w="3538" w:type="dxa"/>
          </w:tcPr>
          <w:p w:rsidR="00452DAC" w:rsidRPr="005C202F" w:rsidRDefault="00452DAC" w:rsidP="0020230B">
            <w:pPr>
              <w:pStyle w:val="Tabletext0"/>
            </w:pPr>
            <w:r w:rsidRPr="005C202F">
              <w:t>TEAE</w:t>
            </w:r>
            <w:r w:rsidR="0020230B" w:rsidRPr="005C202F">
              <w:t xml:space="preserve"> leading</w:t>
            </w:r>
            <w:r w:rsidRPr="005C202F">
              <w:t xml:space="preserve"> to intranasal drug withdrawn </w:t>
            </w:r>
            <w:r w:rsidRPr="005C202F">
              <w:rPr>
                <w:vertAlign w:val="superscript"/>
              </w:rPr>
              <w:t xml:space="preserve">b </w:t>
            </w:r>
          </w:p>
        </w:tc>
        <w:tc>
          <w:tcPr>
            <w:tcW w:w="1549" w:type="dxa"/>
            <w:vAlign w:val="center"/>
          </w:tcPr>
          <w:p w:rsidR="00452DAC" w:rsidRPr="005C202F" w:rsidRDefault="00452DAC" w:rsidP="00CA3C0B">
            <w:pPr>
              <w:pStyle w:val="Tabletext0"/>
              <w:jc w:val="center"/>
            </w:pPr>
            <w:r w:rsidRPr="005C202F">
              <w:t>22 (5.0)</w:t>
            </w:r>
          </w:p>
        </w:tc>
        <w:tc>
          <w:tcPr>
            <w:tcW w:w="1428" w:type="dxa"/>
            <w:vAlign w:val="center"/>
          </w:tcPr>
          <w:p w:rsidR="00452DAC" w:rsidRPr="005C202F" w:rsidRDefault="00452DAC" w:rsidP="00CA3C0B">
            <w:pPr>
              <w:pStyle w:val="Tabletext0"/>
              <w:jc w:val="center"/>
            </w:pPr>
            <w:r w:rsidRPr="005C202F">
              <w:t>5 (1.1)</w:t>
            </w:r>
          </w:p>
        </w:tc>
        <w:tc>
          <w:tcPr>
            <w:tcW w:w="1353" w:type="dxa"/>
            <w:vAlign w:val="center"/>
          </w:tcPr>
          <w:p w:rsidR="00452DAC" w:rsidRPr="005C202F" w:rsidRDefault="00452DAC" w:rsidP="00CA3C0B">
            <w:pPr>
              <w:pStyle w:val="Tabletext0"/>
              <w:jc w:val="center"/>
            </w:pPr>
            <w:r w:rsidRPr="005C202F">
              <w:t>4 (2.6)</w:t>
            </w:r>
          </w:p>
        </w:tc>
        <w:tc>
          <w:tcPr>
            <w:tcW w:w="1148" w:type="dxa"/>
            <w:vAlign w:val="center"/>
          </w:tcPr>
          <w:p w:rsidR="00452DAC" w:rsidRPr="005C202F" w:rsidRDefault="00452DAC" w:rsidP="00CA3C0B">
            <w:pPr>
              <w:pStyle w:val="Tabletext0"/>
              <w:jc w:val="center"/>
            </w:pPr>
            <w:r w:rsidRPr="005C202F">
              <w:t>3 (2.1)</w:t>
            </w:r>
          </w:p>
        </w:tc>
      </w:tr>
      <w:tr w:rsidR="00452DAC" w:rsidRPr="005C202F" w:rsidTr="00CA3C0B">
        <w:tc>
          <w:tcPr>
            <w:tcW w:w="3538" w:type="dxa"/>
          </w:tcPr>
          <w:p w:rsidR="00452DAC" w:rsidRPr="005C202F" w:rsidRDefault="00452DAC" w:rsidP="0020230B">
            <w:pPr>
              <w:pStyle w:val="Tabletext0"/>
            </w:pPr>
            <w:r w:rsidRPr="005C202F">
              <w:t>TEAE</w:t>
            </w:r>
            <w:r w:rsidR="0020230B" w:rsidRPr="005C202F">
              <w:t xml:space="preserve"> leading </w:t>
            </w:r>
            <w:r w:rsidRPr="005C202F">
              <w:t xml:space="preserve"> to oral antidepressant withdrawn </w:t>
            </w:r>
            <w:r w:rsidRPr="005C202F">
              <w:rPr>
                <w:vertAlign w:val="superscript"/>
              </w:rPr>
              <w:t>b</w:t>
            </w:r>
          </w:p>
        </w:tc>
        <w:tc>
          <w:tcPr>
            <w:tcW w:w="1549" w:type="dxa"/>
            <w:vAlign w:val="center"/>
          </w:tcPr>
          <w:p w:rsidR="00452DAC" w:rsidRPr="005C202F" w:rsidRDefault="00452DAC" w:rsidP="00CA3C0B">
            <w:pPr>
              <w:pStyle w:val="Tabletext0"/>
              <w:jc w:val="center"/>
            </w:pPr>
            <w:r w:rsidRPr="005C202F">
              <w:t>8 (1.8)</w:t>
            </w:r>
          </w:p>
        </w:tc>
        <w:tc>
          <w:tcPr>
            <w:tcW w:w="1428" w:type="dxa"/>
            <w:vAlign w:val="center"/>
          </w:tcPr>
          <w:p w:rsidR="00452DAC" w:rsidRPr="005C202F" w:rsidRDefault="00452DAC" w:rsidP="00CA3C0B">
            <w:pPr>
              <w:pStyle w:val="Tabletext0"/>
              <w:jc w:val="center"/>
            </w:pPr>
            <w:r w:rsidRPr="005C202F">
              <w:t>2 (0.4)</w:t>
            </w:r>
          </w:p>
        </w:tc>
        <w:tc>
          <w:tcPr>
            <w:tcW w:w="1353" w:type="dxa"/>
            <w:vAlign w:val="center"/>
          </w:tcPr>
          <w:p w:rsidR="00452DAC" w:rsidRPr="005C202F" w:rsidRDefault="00452DAC" w:rsidP="00CA3C0B">
            <w:pPr>
              <w:pStyle w:val="Tabletext0"/>
              <w:jc w:val="center"/>
            </w:pPr>
            <w:r w:rsidRPr="005C202F">
              <w:t>3 (2.0)</w:t>
            </w:r>
          </w:p>
        </w:tc>
        <w:tc>
          <w:tcPr>
            <w:tcW w:w="1148" w:type="dxa"/>
            <w:vAlign w:val="center"/>
          </w:tcPr>
          <w:p w:rsidR="00452DAC" w:rsidRPr="005C202F" w:rsidRDefault="00452DAC" w:rsidP="00CA3C0B">
            <w:pPr>
              <w:pStyle w:val="Tabletext0"/>
              <w:jc w:val="center"/>
            </w:pPr>
            <w:r w:rsidRPr="005C202F">
              <w:t>0</w:t>
            </w:r>
          </w:p>
        </w:tc>
      </w:tr>
      <w:tr w:rsidR="00452DAC" w:rsidRPr="005C202F" w:rsidTr="00CA3C0B">
        <w:tc>
          <w:tcPr>
            <w:tcW w:w="9016" w:type="dxa"/>
            <w:gridSpan w:val="5"/>
            <w:vAlign w:val="center"/>
          </w:tcPr>
          <w:p w:rsidR="00452DAC" w:rsidRPr="005C202F" w:rsidRDefault="00452DAC" w:rsidP="00CA3C0B">
            <w:pPr>
              <w:pStyle w:val="Tabletext0"/>
            </w:pPr>
            <w:r w:rsidRPr="005C202F">
              <w:rPr>
                <w:b/>
                <w:bCs/>
              </w:rPr>
              <w:t>Most common TEAE (≥10%)</w:t>
            </w:r>
          </w:p>
        </w:tc>
      </w:tr>
      <w:tr w:rsidR="00452DAC" w:rsidRPr="005C202F" w:rsidTr="00CA3C0B">
        <w:tc>
          <w:tcPr>
            <w:tcW w:w="3538" w:type="dxa"/>
          </w:tcPr>
          <w:p w:rsidR="00452DAC" w:rsidRPr="005C202F" w:rsidRDefault="00452DAC" w:rsidP="00CA3C0B">
            <w:pPr>
              <w:pStyle w:val="TableText"/>
              <w:keepNext w:val="0"/>
            </w:pPr>
            <w:r w:rsidRPr="005C202F">
              <w:t>Dizziness</w:t>
            </w:r>
          </w:p>
        </w:tc>
        <w:tc>
          <w:tcPr>
            <w:tcW w:w="1549" w:type="dxa"/>
            <w:vAlign w:val="center"/>
          </w:tcPr>
          <w:p w:rsidR="00452DAC" w:rsidRPr="005C202F" w:rsidRDefault="00452DAC" w:rsidP="00CA3C0B">
            <w:pPr>
              <w:pStyle w:val="TableText"/>
              <w:jc w:val="center"/>
            </w:pPr>
            <w:r w:rsidRPr="005C202F">
              <w:t>97 (22.2)</w:t>
            </w:r>
          </w:p>
        </w:tc>
        <w:tc>
          <w:tcPr>
            <w:tcW w:w="1428" w:type="dxa"/>
            <w:vAlign w:val="center"/>
          </w:tcPr>
          <w:p w:rsidR="00452DAC" w:rsidRPr="005C202F" w:rsidRDefault="00452DAC" w:rsidP="00CA3C0B">
            <w:pPr>
              <w:pStyle w:val="TableText"/>
              <w:jc w:val="center"/>
            </w:pPr>
            <w:r w:rsidRPr="005C202F">
              <w:t>61 (13.4)</w:t>
            </w:r>
          </w:p>
        </w:tc>
        <w:tc>
          <w:tcPr>
            <w:tcW w:w="1353" w:type="dxa"/>
            <w:vAlign w:val="center"/>
          </w:tcPr>
          <w:p w:rsidR="00452DAC" w:rsidRPr="005C202F" w:rsidRDefault="00452DAC" w:rsidP="00CA3C0B">
            <w:pPr>
              <w:pStyle w:val="TableText"/>
              <w:jc w:val="center"/>
            </w:pPr>
            <w:r w:rsidRPr="005C202F">
              <w:t>31 (20.4)</w:t>
            </w:r>
          </w:p>
        </w:tc>
        <w:tc>
          <w:tcPr>
            <w:tcW w:w="1148" w:type="dxa"/>
            <w:vAlign w:val="center"/>
          </w:tcPr>
          <w:p w:rsidR="00452DAC" w:rsidRPr="005C202F" w:rsidRDefault="00452DAC" w:rsidP="00CA3C0B">
            <w:pPr>
              <w:pStyle w:val="TableText"/>
              <w:jc w:val="center"/>
            </w:pPr>
            <w:r w:rsidRPr="005C202F">
              <w:t>7 (4.8)</w:t>
            </w:r>
          </w:p>
        </w:tc>
      </w:tr>
      <w:tr w:rsidR="00452DAC" w:rsidRPr="005C202F" w:rsidTr="00CA3C0B">
        <w:tc>
          <w:tcPr>
            <w:tcW w:w="3538" w:type="dxa"/>
          </w:tcPr>
          <w:p w:rsidR="00452DAC" w:rsidRPr="005C202F" w:rsidRDefault="00452DAC" w:rsidP="00CA3C0B">
            <w:pPr>
              <w:pStyle w:val="TableText"/>
              <w:keepNext w:val="0"/>
            </w:pPr>
            <w:r w:rsidRPr="005C202F">
              <w:t>Dysgeusia</w:t>
            </w:r>
          </w:p>
        </w:tc>
        <w:tc>
          <w:tcPr>
            <w:tcW w:w="1549" w:type="dxa"/>
            <w:vAlign w:val="center"/>
          </w:tcPr>
          <w:p w:rsidR="00452DAC" w:rsidRPr="005C202F" w:rsidRDefault="00452DAC" w:rsidP="00CA3C0B">
            <w:pPr>
              <w:pStyle w:val="TableText"/>
              <w:jc w:val="center"/>
            </w:pPr>
            <w:r w:rsidRPr="005C202F">
              <w:t>90 (20.6)</w:t>
            </w:r>
          </w:p>
        </w:tc>
        <w:tc>
          <w:tcPr>
            <w:tcW w:w="1428" w:type="dxa"/>
            <w:vAlign w:val="center"/>
          </w:tcPr>
          <w:p w:rsidR="00452DAC" w:rsidRPr="005C202F" w:rsidRDefault="00452DAC" w:rsidP="00CA3C0B">
            <w:pPr>
              <w:pStyle w:val="TableText"/>
              <w:jc w:val="center"/>
            </w:pPr>
            <w:r w:rsidRPr="005C202F">
              <w:t>79 (17.4)</w:t>
            </w:r>
          </w:p>
        </w:tc>
        <w:tc>
          <w:tcPr>
            <w:tcW w:w="1353" w:type="dxa"/>
            <w:vAlign w:val="center"/>
          </w:tcPr>
          <w:p w:rsidR="00452DAC" w:rsidRPr="005C202F" w:rsidRDefault="00452DAC" w:rsidP="00CA3C0B">
            <w:pPr>
              <w:pStyle w:val="TableText"/>
              <w:jc w:val="center"/>
            </w:pPr>
            <w:r w:rsidRPr="005C202F">
              <w:t>41 (27.0)</w:t>
            </w:r>
          </w:p>
        </w:tc>
        <w:tc>
          <w:tcPr>
            <w:tcW w:w="1148" w:type="dxa"/>
            <w:vAlign w:val="center"/>
          </w:tcPr>
          <w:p w:rsidR="00452DAC" w:rsidRPr="005C202F" w:rsidRDefault="00452DAC" w:rsidP="00CA3C0B">
            <w:pPr>
              <w:pStyle w:val="TableText"/>
              <w:jc w:val="center"/>
            </w:pPr>
            <w:r w:rsidRPr="005C202F">
              <w:t>10 (6.9)</w:t>
            </w:r>
          </w:p>
        </w:tc>
      </w:tr>
      <w:tr w:rsidR="00452DAC" w:rsidRPr="005C202F" w:rsidTr="00CA3C0B">
        <w:tc>
          <w:tcPr>
            <w:tcW w:w="3538" w:type="dxa"/>
          </w:tcPr>
          <w:p w:rsidR="00452DAC" w:rsidRPr="005C202F" w:rsidRDefault="00452DAC" w:rsidP="00CA3C0B">
            <w:pPr>
              <w:pStyle w:val="TableText"/>
              <w:keepNext w:val="0"/>
            </w:pPr>
            <w:r w:rsidRPr="005C202F">
              <w:t>Somnolence</w:t>
            </w:r>
          </w:p>
        </w:tc>
        <w:tc>
          <w:tcPr>
            <w:tcW w:w="1549" w:type="dxa"/>
            <w:vAlign w:val="center"/>
          </w:tcPr>
          <w:p w:rsidR="00452DAC" w:rsidRPr="005C202F" w:rsidRDefault="00452DAC" w:rsidP="00CA3C0B">
            <w:pPr>
              <w:pStyle w:val="TableText"/>
              <w:jc w:val="center"/>
            </w:pPr>
            <w:r w:rsidRPr="005C202F">
              <w:t>65 (14.9)</w:t>
            </w:r>
          </w:p>
        </w:tc>
        <w:tc>
          <w:tcPr>
            <w:tcW w:w="1428" w:type="dxa"/>
            <w:vAlign w:val="center"/>
          </w:tcPr>
          <w:p w:rsidR="00452DAC" w:rsidRPr="005C202F" w:rsidRDefault="00452DAC" w:rsidP="00CA3C0B">
            <w:pPr>
              <w:pStyle w:val="TableText"/>
              <w:jc w:val="center"/>
            </w:pPr>
            <w:r w:rsidRPr="005C202F">
              <w:t>63 (13.8)</w:t>
            </w:r>
          </w:p>
        </w:tc>
        <w:tc>
          <w:tcPr>
            <w:tcW w:w="1353" w:type="dxa"/>
            <w:vAlign w:val="center"/>
          </w:tcPr>
          <w:p w:rsidR="00452DAC" w:rsidRPr="005C202F" w:rsidRDefault="00452DAC" w:rsidP="00CA3C0B">
            <w:pPr>
              <w:pStyle w:val="TableText"/>
              <w:jc w:val="center"/>
            </w:pPr>
            <w:r w:rsidRPr="005C202F">
              <w:t>32 (21.1)</w:t>
            </w:r>
          </w:p>
        </w:tc>
        <w:tc>
          <w:tcPr>
            <w:tcW w:w="1148" w:type="dxa"/>
            <w:vAlign w:val="center"/>
          </w:tcPr>
          <w:p w:rsidR="00452DAC" w:rsidRPr="005C202F" w:rsidRDefault="00452DAC" w:rsidP="00CA3C0B">
            <w:pPr>
              <w:pStyle w:val="TableText"/>
              <w:jc w:val="center"/>
            </w:pPr>
            <w:r w:rsidRPr="005C202F">
              <w:t>3 (2.1)</w:t>
            </w:r>
          </w:p>
        </w:tc>
      </w:tr>
      <w:tr w:rsidR="00452DAC" w:rsidRPr="005C202F" w:rsidTr="00CA3C0B">
        <w:tc>
          <w:tcPr>
            <w:tcW w:w="3538" w:type="dxa"/>
          </w:tcPr>
          <w:p w:rsidR="00452DAC" w:rsidRPr="005C202F" w:rsidRDefault="00452DAC" w:rsidP="00CA3C0B">
            <w:pPr>
              <w:pStyle w:val="TableText"/>
              <w:keepNext w:val="0"/>
            </w:pPr>
            <w:r w:rsidRPr="005C202F">
              <w:t>Headache</w:t>
            </w:r>
          </w:p>
        </w:tc>
        <w:tc>
          <w:tcPr>
            <w:tcW w:w="1549" w:type="dxa"/>
            <w:vAlign w:val="center"/>
          </w:tcPr>
          <w:p w:rsidR="00452DAC" w:rsidRPr="005C202F" w:rsidRDefault="00452DAC" w:rsidP="00CA3C0B">
            <w:pPr>
              <w:pStyle w:val="TableText"/>
              <w:jc w:val="center"/>
            </w:pPr>
            <w:r w:rsidRPr="005C202F">
              <w:t>60 (13.7)</w:t>
            </w:r>
          </w:p>
        </w:tc>
        <w:tc>
          <w:tcPr>
            <w:tcW w:w="1428" w:type="dxa"/>
            <w:vAlign w:val="center"/>
          </w:tcPr>
          <w:p w:rsidR="00452DAC" w:rsidRPr="005C202F" w:rsidRDefault="00452DAC" w:rsidP="00CA3C0B">
            <w:pPr>
              <w:pStyle w:val="TableText"/>
              <w:jc w:val="center"/>
            </w:pPr>
            <w:r w:rsidRPr="005C202F">
              <w:t>57 (12.5)</w:t>
            </w:r>
          </w:p>
        </w:tc>
        <w:tc>
          <w:tcPr>
            <w:tcW w:w="1353" w:type="dxa"/>
            <w:vAlign w:val="center"/>
          </w:tcPr>
          <w:p w:rsidR="00452DAC" w:rsidRPr="005C202F" w:rsidRDefault="00452DAC" w:rsidP="00CA3C0B">
            <w:pPr>
              <w:pStyle w:val="TableText"/>
              <w:jc w:val="center"/>
            </w:pPr>
            <w:r w:rsidRPr="005C202F">
              <w:t>27 (17.8)</w:t>
            </w:r>
          </w:p>
        </w:tc>
        <w:tc>
          <w:tcPr>
            <w:tcW w:w="1148" w:type="dxa"/>
            <w:vAlign w:val="center"/>
          </w:tcPr>
          <w:p w:rsidR="00452DAC" w:rsidRPr="005C202F" w:rsidRDefault="00452DAC" w:rsidP="00CA3C0B">
            <w:pPr>
              <w:pStyle w:val="TableText"/>
              <w:jc w:val="center"/>
            </w:pPr>
            <w:r w:rsidRPr="005C202F">
              <w:t>14 (9.7)</w:t>
            </w:r>
          </w:p>
        </w:tc>
      </w:tr>
      <w:tr w:rsidR="00452DAC" w:rsidRPr="005C202F" w:rsidTr="00CA3C0B">
        <w:tc>
          <w:tcPr>
            <w:tcW w:w="3538" w:type="dxa"/>
          </w:tcPr>
          <w:p w:rsidR="00452DAC" w:rsidRPr="005C202F" w:rsidRDefault="00452DAC" w:rsidP="00CA3C0B">
            <w:pPr>
              <w:pStyle w:val="TableText"/>
              <w:keepNext w:val="0"/>
            </w:pPr>
            <w:r w:rsidRPr="005C202F">
              <w:t>Paraesthesia</w:t>
            </w:r>
          </w:p>
        </w:tc>
        <w:tc>
          <w:tcPr>
            <w:tcW w:w="1549" w:type="dxa"/>
            <w:vAlign w:val="center"/>
          </w:tcPr>
          <w:p w:rsidR="00452DAC" w:rsidRPr="005C202F" w:rsidRDefault="00452DAC" w:rsidP="00CA3C0B">
            <w:pPr>
              <w:pStyle w:val="TableText"/>
              <w:jc w:val="center"/>
            </w:pPr>
            <w:r w:rsidRPr="005C202F">
              <w:t>48 (11.0)</w:t>
            </w:r>
          </w:p>
        </w:tc>
        <w:tc>
          <w:tcPr>
            <w:tcW w:w="1428" w:type="dxa"/>
            <w:vAlign w:val="center"/>
          </w:tcPr>
          <w:p w:rsidR="00452DAC" w:rsidRPr="005C202F" w:rsidRDefault="00452DAC" w:rsidP="00CA3C0B">
            <w:pPr>
              <w:pStyle w:val="TableText"/>
              <w:jc w:val="center"/>
            </w:pPr>
            <w:r w:rsidRPr="005C202F">
              <w:t>24 (5.3)</w:t>
            </w:r>
          </w:p>
        </w:tc>
        <w:tc>
          <w:tcPr>
            <w:tcW w:w="1353" w:type="dxa"/>
            <w:vAlign w:val="center"/>
          </w:tcPr>
          <w:p w:rsidR="00452DAC" w:rsidRPr="005C202F" w:rsidRDefault="00452DAC" w:rsidP="00CA3C0B">
            <w:pPr>
              <w:pStyle w:val="TableText"/>
              <w:jc w:val="center"/>
            </w:pPr>
            <w:r w:rsidRPr="005C202F">
              <w:t>11 (7.2)</w:t>
            </w:r>
          </w:p>
        </w:tc>
        <w:tc>
          <w:tcPr>
            <w:tcW w:w="1148" w:type="dxa"/>
            <w:vAlign w:val="center"/>
          </w:tcPr>
          <w:p w:rsidR="00452DAC" w:rsidRPr="005C202F" w:rsidRDefault="00452DAC" w:rsidP="00CA3C0B">
            <w:pPr>
              <w:pStyle w:val="TableText"/>
              <w:jc w:val="center"/>
            </w:pPr>
            <w:r w:rsidRPr="005C202F">
              <w:t>0</w:t>
            </w:r>
          </w:p>
        </w:tc>
      </w:tr>
      <w:tr w:rsidR="00452DAC" w:rsidRPr="005C202F" w:rsidTr="00CA3C0B">
        <w:tc>
          <w:tcPr>
            <w:tcW w:w="3538" w:type="dxa"/>
          </w:tcPr>
          <w:p w:rsidR="00452DAC" w:rsidRPr="005C202F" w:rsidRDefault="00452DAC" w:rsidP="00CA3C0B">
            <w:pPr>
              <w:pStyle w:val="Tabletext0"/>
            </w:pPr>
            <w:r w:rsidRPr="005C202F">
              <w:t>Sedation</w:t>
            </w:r>
          </w:p>
        </w:tc>
        <w:tc>
          <w:tcPr>
            <w:tcW w:w="1549" w:type="dxa"/>
            <w:vAlign w:val="center"/>
          </w:tcPr>
          <w:p w:rsidR="00452DAC" w:rsidRPr="005C202F" w:rsidRDefault="00452DAC" w:rsidP="00CA3C0B">
            <w:pPr>
              <w:pStyle w:val="Tabletext0"/>
              <w:jc w:val="center"/>
            </w:pPr>
            <w:r w:rsidRPr="005C202F">
              <w:t>44 (10.1)</w:t>
            </w:r>
          </w:p>
        </w:tc>
        <w:tc>
          <w:tcPr>
            <w:tcW w:w="1428" w:type="dxa"/>
            <w:vAlign w:val="center"/>
          </w:tcPr>
          <w:p w:rsidR="00452DAC" w:rsidRPr="005C202F" w:rsidRDefault="00452DAC" w:rsidP="00CA3C0B">
            <w:pPr>
              <w:pStyle w:val="Tabletext0"/>
              <w:jc w:val="center"/>
            </w:pPr>
            <w:r w:rsidRPr="005C202F">
              <w:t>-</w:t>
            </w:r>
          </w:p>
        </w:tc>
        <w:tc>
          <w:tcPr>
            <w:tcW w:w="1353" w:type="dxa"/>
            <w:vAlign w:val="center"/>
          </w:tcPr>
          <w:p w:rsidR="00452DAC" w:rsidRPr="005C202F" w:rsidRDefault="00452DAC" w:rsidP="00CA3C0B">
            <w:pPr>
              <w:pStyle w:val="Tabletext0"/>
              <w:jc w:val="center"/>
            </w:pPr>
            <w:r w:rsidRPr="005C202F">
              <w:t>10 (6.6)</w:t>
            </w:r>
          </w:p>
        </w:tc>
        <w:tc>
          <w:tcPr>
            <w:tcW w:w="1148" w:type="dxa"/>
            <w:vAlign w:val="center"/>
          </w:tcPr>
          <w:p w:rsidR="00452DAC" w:rsidRPr="005C202F" w:rsidRDefault="00452DAC" w:rsidP="00CA3C0B">
            <w:pPr>
              <w:pStyle w:val="Tabletext0"/>
              <w:jc w:val="center"/>
            </w:pPr>
            <w:r w:rsidRPr="005C202F">
              <w:t>1 (0.7)</w:t>
            </w:r>
          </w:p>
        </w:tc>
      </w:tr>
    </w:tbl>
    <w:p w:rsidR="00452DAC" w:rsidRPr="005C202F" w:rsidRDefault="00452DAC" w:rsidP="00452DAC">
      <w:pPr>
        <w:pStyle w:val="TableFigureFooter"/>
      </w:pPr>
      <w:r w:rsidRPr="005C202F">
        <w:t>Source: Table 2.5-23, p.173 and Table 2.5-24, p.173 of the submission</w:t>
      </w:r>
    </w:p>
    <w:p w:rsidR="00452DAC" w:rsidRPr="005C202F" w:rsidRDefault="00452DAC" w:rsidP="00452DAC">
      <w:pPr>
        <w:pStyle w:val="TableFigureFooter"/>
      </w:pPr>
      <w:r w:rsidRPr="005C202F">
        <w:t>Abbreviations: ESK, esketamine nasal spray; OAD, oral antidepressant; PBO, intranasal placebo</w:t>
      </w:r>
    </w:p>
    <w:p w:rsidR="00452DAC" w:rsidRPr="005C202F" w:rsidRDefault="00452DAC" w:rsidP="00452DAC">
      <w:pPr>
        <w:pStyle w:val="TableFigureFooter"/>
      </w:pPr>
      <w:r w:rsidRPr="005C202F">
        <w:rPr>
          <w:vertAlign w:val="superscript"/>
        </w:rPr>
        <w:t>a</w:t>
      </w:r>
      <w:r w:rsidRPr="005C202F">
        <w:t xml:space="preserve"> Study drug relationship of possible, probable, and very likely are included in this category</w:t>
      </w:r>
    </w:p>
    <w:p w:rsidR="00452DAC" w:rsidRPr="005C202F" w:rsidRDefault="00452DAC" w:rsidP="00452DAC">
      <w:pPr>
        <w:pStyle w:val="TableFigureFooter"/>
      </w:pPr>
      <w:r w:rsidRPr="005C202F">
        <w:rPr>
          <w:vertAlign w:val="superscript"/>
        </w:rPr>
        <w:t>b</w:t>
      </w:r>
      <w:r w:rsidRPr="005C202F">
        <w:t xml:space="preserve"> An adverse event that started in the double-blind induction phase and resulted in discontinuation in the follow-up phase is counted as treatment-emergent in the double-blind induction phase</w:t>
      </w:r>
    </w:p>
    <w:p w:rsidR="00452DAC" w:rsidRPr="005C202F" w:rsidRDefault="00452DAC" w:rsidP="00452DAC">
      <w:pPr>
        <w:pStyle w:val="TableFigureFooter"/>
      </w:pPr>
      <w:r w:rsidRPr="005C202F">
        <w:t>* Incidence is based on the number of subjects experiencing at least one adverse event, not the number of events. Adverse events are coded using MedDRA version 20.0.</w:t>
      </w:r>
    </w:p>
    <w:p w:rsidR="00AF022E" w:rsidRPr="005C202F" w:rsidRDefault="00AF022E" w:rsidP="00AF022E">
      <w:pPr>
        <w:pStyle w:val="ExecSumBodyText"/>
      </w:pPr>
      <w:r w:rsidRPr="005C202F">
        <w:t xml:space="preserve">The types and incidences of most common treatment-emergent adverse events were generally consistent across the 4-week induction phases of the short-term studies and the induction phase of SUSTAIN-1. In the double-blind maintenance phase treatment-emergent adverse events were reported at a higher rate in the esketamine nasal spray versus the intranasal placebo group. </w:t>
      </w:r>
    </w:p>
    <w:p w:rsidR="00D813B2" w:rsidRPr="005C202F" w:rsidRDefault="00AF022E" w:rsidP="00110283">
      <w:pPr>
        <w:pStyle w:val="ExecSumBodyText"/>
      </w:pPr>
      <w:r w:rsidRPr="005C202F">
        <w:t>The most common treatment-emergent adverse events</w:t>
      </w:r>
      <w:r w:rsidR="006B4800" w:rsidRPr="005C202F">
        <w:t xml:space="preserve"> in SUSTAIN-1</w:t>
      </w:r>
      <w:r w:rsidRPr="005C202F">
        <w:t xml:space="preserve"> included dysgeusia, vertigo, dissociation, somnolence, dizziness, headache, nausea, vision blurred, and hypoesthesia oral and were consistent with the types of adverse events observed in the induction phase. </w:t>
      </w:r>
    </w:p>
    <w:p w:rsidR="00BD3C7B" w:rsidRPr="005C202F" w:rsidRDefault="00BD3C7B" w:rsidP="00BD3C7B">
      <w:pPr>
        <w:pStyle w:val="ExecSumBodyText"/>
      </w:pPr>
      <w:r w:rsidRPr="005C202F">
        <w:t xml:space="preserve">The submission noted that a number of adverse events were of clinical interest during the esketamine nasal spray clinical development program: adverse events potentially suggestive of abuse, increased blood pressure, increased heart rate, transient dizziness or vertigo, impaired cognition, cystitis, anxiety, and treatment-emergent suicidality. </w:t>
      </w:r>
    </w:p>
    <w:p w:rsidR="00BB7A61" w:rsidRPr="005C202F" w:rsidRDefault="00BD3C7B" w:rsidP="00D86231">
      <w:pPr>
        <w:pStyle w:val="ExecSumBodyText"/>
      </w:pPr>
      <w:r w:rsidRPr="005C202F">
        <w:t xml:space="preserve">Across all studies, adverse events of drug abuse, drug abuser, drug dependence, drug detoxification, drug rehabilitation, drug tolerance, drug tolerance increased, or drug use disorder were not identified. There were no reports from the investigational sites of any subjects requesting an increase either in the dose of esketamine nasal spray or in the frequency of treatment sessions (as a potential early indicator of drug-seeking behaviour). </w:t>
      </w:r>
      <w:r w:rsidRPr="005C202F">
        <w:rPr>
          <w:iCs/>
        </w:rPr>
        <w:t>It may be difficult to observe these outcomes in a tightly regulated trial setting; it is unclear whether potential abuse</w:t>
      </w:r>
      <w:r w:rsidR="00431998" w:rsidRPr="005C202F">
        <w:rPr>
          <w:iCs/>
        </w:rPr>
        <w:t xml:space="preserve"> or misuse</w:t>
      </w:r>
      <w:r w:rsidRPr="005C202F">
        <w:rPr>
          <w:iCs/>
        </w:rPr>
        <w:t xml:space="preserve"> may occur in clinical practice and this is likely to be dependent upon the model used for administration</w:t>
      </w:r>
      <w:r w:rsidRPr="005C202F">
        <w:t xml:space="preserve">. Increased blood pressure or increased heart rate, dizziness/vertigo, and anxiety in all studies were primarily mild or moderate in severity. Suicidality-related adverse events were reported as severe in only a small number of subjects, and most were considered either not related or doubtfully related to esketamine nasal spray treatment in the opinion of the investigator and therefore likely associated with the underlying disease. There were very low reported cases of cystitis (9 subjects in SUSTAIN-1, 5 subjects in SUSTAIN-2 and 8 subjects in SUSTAIN-3) and impaired cognition (1 subject in SUSTAIN-3) in the esketamine nasal spray studies. </w:t>
      </w:r>
      <w:r w:rsidRPr="005C202F">
        <w:rPr>
          <w:iCs/>
        </w:rPr>
        <w:t>Adverse events such as impaired cognition may not be observable over short-term trial durations</w:t>
      </w:r>
      <w:r w:rsidRPr="005C202F">
        <w:t>.</w:t>
      </w:r>
    </w:p>
    <w:p w:rsidR="007F1017" w:rsidRPr="005C202F" w:rsidRDefault="007F1017" w:rsidP="00D86231">
      <w:pPr>
        <w:pStyle w:val="3-SubsectionHeading"/>
      </w:pPr>
      <w:bookmarkStart w:id="20" w:name="_Toc22897643"/>
      <w:bookmarkStart w:id="21" w:name="_Toc72325762"/>
      <w:r w:rsidRPr="005C202F">
        <w:t>Benefits/harms</w:t>
      </w:r>
      <w:bookmarkEnd w:id="20"/>
      <w:bookmarkEnd w:id="21"/>
    </w:p>
    <w:p w:rsidR="00830071" w:rsidRPr="005C202F" w:rsidRDefault="00830071" w:rsidP="00EB63AF">
      <w:pPr>
        <w:pStyle w:val="ExecSumBodyText"/>
      </w:pPr>
      <w:r w:rsidRPr="005C202F">
        <w:t>On the basis of the direct evidence presented in the submission (</w:t>
      </w:r>
      <w:r w:rsidR="001100C3" w:rsidRPr="005C202F">
        <w:t>4</w:t>
      </w:r>
      <w:r w:rsidRPr="005C202F">
        <w:t xml:space="preserve"> weeks of double-blind </w:t>
      </w:r>
      <w:r w:rsidR="001100C3" w:rsidRPr="005C202F">
        <w:t xml:space="preserve">induction </w:t>
      </w:r>
      <w:r w:rsidRPr="005C202F">
        <w:t xml:space="preserve">treatment in </w:t>
      </w:r>
      <w:r w:rsidR="001100C3" w:rsidRPr="005C202F">
        <w:t>TRANSFORM-2</w:t>
      </w:r>
      <w:r w:rsidRPr="005C202F">
        <w:t xml:space="preserve">), for every 100 patients with </w:t>
      </w:r>
      <w:r w:rsidR="001100C3" w:rsidRPr="005C202F">
        <w:t>treatment-resistant depression</w:t>
      </w:r>
      <w:r w:rsidRPr="005C202F">
        <w:t xml:space="preserve"> treated with </w:t>
      </w:r>
      <w:r w:rsidR="00100AF5" w:rsidRPr="005C202F">
        <w:t>esketamine nasal spray + a</w:t>
      </w:r>
      <w:r w:rsidR="00C329E0" w:rsidRPr="005C202F">
        <w:t xml:space="preserve"> newly initiated </w:t>
      </w:r>
      <w:r w:rsidR="001C0AD9" w:rsidRPr="005C202F">
        <w:t>OAD</w:t>
      </w:r>
      <w:r w:rsidRPr="005C202F">
        <w:t xml:space="preserve"> in comparison to </w:t>
      </w:r>
      <w:r w:rsidR="00100AF5" w:rsidRPr="005C202F">
        <w:t xml:space="preserve">intranasal </w:t>
      </w:r>
      <w:r w:rsidRPr="005C202F">
        <w:t>placebo</w:t>
      </w:r>
      <w:r w:rsidR="00100AF5" w:rsidRPr="005C202F">
        <w:t xml:space="preserve"> + a</w:t>
      </w:r>
      <w:r w:rsidR="00C329E0" w:rsidRPr="005C202F">
        <w:t xml:space="preserve"> newly initiated </w:t>
      </w:r>
      <w:r w:rsidR="001C0AD9" w:rsidRPr="005C202F">
        <w:t>OAD</w:t>
      </w:r>
      <w:r w:rsidRPr="005C202F">
        <w:t>:</w:t>
      </w:r>
    </w:p>
    <w:p w:rsidR="00830071" w:rsidRPr="005C202F" w:rsidRDefault="00830071" w:rsidP="00515AFF">
      <w:pPr>
        <w:pStyle w:val="ExecSumBodyText"/>
        <w:numPr>
          <w:ilvl w:val="1"/>
          <w:numId w:val="8"/>
        </w:numPr>
        <w:ind w:left="1060" w:hanging="340"/>
        <w:contextualSpacing/>
      </w:pPr>
      <w:r w:rsidRPr="005C202F">
        <w:t xml:space="preserve">Approximately </w:t>
      </w:r>
      <w:r w:rsidR="005C6193" w:rsidRPr="005C202F">
        <w:t>17</w:t>
      </w:r>
      <w:r w:rsidRPr="005C202F">
        <w:t xml:space="preserve"> more patients would have a </w:t>
      </w:r>
      <w:r w:rsidR="006B4800" w:rsidRPr="005C202F">
        <w:t xml:space="preserve">response, defined as a </w:t>
      </w:r>
      <w:r w:rsidRPr="005C202F">
        <w:t xml:space="preserve">≥50% reduction in </w:t>
      </w:r>
      <w:r w:rsidR="00A77145" w:rsidRPr="005C202F">
        <w:t>symptoms of depression as measured on the MADRS</w:t>
      </w:r>
      <w:r w:rsidR="006B4800" w:rsidRPr="005C202F">
        <w:t>.</w:t>
      </w:r>
    </w:p>
    <w:p w:rsidR="00830071" w:rsidRPr="005C202F" w:rsidRDefault="00A77145" w:rsidP="00515AFF">
      <w:pPr>
        <w:pStyle w:val="ExecSumBodyText"/>
        <w:numPr>
          <w:ilvl w:val="1"/>
          <w:numId w:val="8"/>
        </w:numPr>
        <w:ind w:left="1060" w:hanging="340"/>
        <w:contextualSpacing/>
      </w:pPr>
      <w:r w:rsidRPr="005C202F">
        <w:t>Approximately 22 additional patients would experience remission</w:t>
      </w:r>
      <w:r w:rsidR="00665ECB" w:rsidRPr="005C202F">
        <w:t>, defined as a MADRS score ≤12</w:t>
      </w:r>
      <w:r w:rsidR="006B4800" w:rsidRPr="005C202F">
        <w:t>.</w:t>
      </w:r>
    </w:p>
    <w:p w:rsidR="00830071" w:rsidRPr="005C202F" w:rsidRDefault="00830071" w:rsidP="00515AFF">
      <w:pPr>
        <w:pStyle w:val="ExecSumBodyText"/>
        <w:numPr>
          <w:ilvl w:val="1"/>
          <w:numId w:val="8"/>
        </w:numPr>
        <w:ind w:left="1060" w:hanging="340"/>
        <w:contextualSpacing/>
      </w:pPr>
      <w:r w:rsidRPr="005C202F">
        <w:t xml:space="preserve">Approximately </w:t>
      </w:r>
      <w:r w:rsidR="000D5D93" w:rsidRPr="005C202F">
        <w:t>16</w:t>
      </w:r>
      <w:r w:rsidRPr="005C202F">
        <w:t xml:space="preserve"> patients would </w:t>
      </w:r>
      <w:r w:rsidR="000D5D93" w:rsidRPr="005C202F">
        <w:t>experience dizziness</w:t>
      </w:r>
      <w:r w:rsidR="006B4800" w:rsidRPr="005C202F">
        <w:t>.</w:t>
      </w:r>
    </w:p>
    <w:p w:rsidR="000D5D93" w:rsidRPr="005C202F" w:rsidRDefault="000D5D93" w:rsidP="00515AFF">
      <w:pPr>
        <w:pStyle w:val="ExecSumBodyText"/>
        <w:numPr>
          <w:ilvl w:val="1"/>
          <w:numId w:val="8"/>
        </w:numPr>
        <w:ind w:left="1060" w:hanging="340"/>
        <w:contextualSpacing/>
      </w:pPr>
      <w:r w:rsidRPr="005C202F">
        <w:t xml:space="preserve">Approximately </w:t>
      </w:r>
      <w:r w:rsidR="003119CB" w:rsidRPr="005C202F">
        <w:t>22 patients would experience dissociation</w:t>
      </w:r>
      <w:r w:rsidR="006B4800" w:rsidRPr="005C202F">
        <w:t>.</w:t>
      </w:r>
    </w:p>
    <w:p w:rsidR="003119CB" w:rsidRPr="005C202F" w:rsidRDefault="003119CB" w:rsidP="00515AFF">
      <w:pPr>
        <w:pStyle w:val="ExecSumBodyText"/>
        <w:numPr>
          <w:ilvl w:val="1"/>
          <w:numId w:val="8"/>
        </w:numPr>
        <w:ind w:left="1060" w:hanging="340"/>
        <w:contextualSpacing/>
      </w:pPr>
      <w:r w:rsidRPr="005C202F">
        <w:t>Approximately 23 patients would experience vertigo</w:t>
      </w:r>
      <w:r w:rsidR="006B4800" w:rsidRPr="005C202F">
        <w:t>.</w:t>
      </w:r>
    </w:p>
    <w:p w:rsidR="003119CB" w:rsidRPr="005C202F" w:rsidRDefault="003119CB" w:rsidP="00515AFF">
      <w:pPr>
        <w:pStyle w:val="ExecSumBodyText"/>
        <w:numPr>
          <w:ilvl w:val="1"/>
          <w:numId w:val="8"/>
        </w:numPr>
        <w:ind w:left="1060" w:hanging="340"/>
      </w:pPr>
      <w:r w:rsidRPr="005C202F">
        <w:t>Approximately 10 patients would have a</w:t>
      </w:r>
      <w:r w:rsidR="0099785B" w:rsidRPr="005C202F">
        <w:t>n increase in blood pressure</w:t>
      </w:r>
      <w:r w:rsidR="006B4800" w:rsidRPr="005C202F">
        <w:t>.</w:t>
      </w:r>
    </w:p>
    <w:p w:rsidR="00830071" w:rsidRPr="005C202F" w:rsidRDefault="00830071" w:rsidP="00830071">
      <w:pPr>
        <w:pStyle w:val="ExecSumBodyText"/>
      </w:pPr>
      <w:r w:rsidRPr="005C202F">
        <w:t>On the basis of the direct evidence presented in the submission (</w:t>
      </w:r>
      <w:r w:rsidR="0099785B" w:rsidRPr="005C202F">
        <w:t>double-blind maintenance treatment in SUSTAIN-1</w:t>
      </w:r>
      <w:r w:rsidRPr="005C202F">
        <w:t xml:space="preserve">), for every 100 patients </w:t>
      </w:r>
      <w:r w:rsidR="00671EE3" w:rsidRPr="005C202F">
        <w:t xml:space="preserve">with treatment-resistant depression </w:t>
      </w:r>
      <w:r w:rsidR="0099785B" w:rsidRPr="005C202F">
        <w:t xml:space="preserve">who achieved remission </w:t>
      </w:r>
      <w:r w:rsidR="00D1785A" w:rsidRPr="005C202F">
        <w:t xml:space="preserve">or response </w:t>
      </w:r>
      <w:r w:rsidR="0099785B" w:rsidRPr="005C202F">
        <w:t>and continued</w:t>
      </w:r>
      <w:r w:rsidR="00671EE3" w:rsidRPr="005C202F">
        <w:t xml:space="preserve"> </w:t>
      </w:r>
      <w:r w:rsidR="0099785B" w:rsidRPr="005C202F">
        <w:t>treat</w:t>
      </w:r>
      <w:r w:rsidR="00671EE3" w:rsidRPr="005C202F">
        <w:t>ment</w:t>
      </w:r>
      <w:r w:rsidR="0099785B" w:rsidRPr="005C202F">
        <w:t xml:space="preserve"> with esketamine nasal spray + an </w:t>
      </w:r>
      <w:r w:rsidR="001C0AD9" w:rsidRPr="005C202F">
        <w:t>OAD</w:t>
      </w:r>
      <w:r w:rsidR="0099785B" w:rsidRPr="005C202F">
        <w:t xml:space="preserve"> </w:t>
      </w:r>
      <w:r w:rsidR="004E16AD" w:rsidRPr="005C202F">
        <w:t>compared</w:t>
      </w:r>
      <w:r w:rsidR="00D10491" w:rsidRPr="005C202F">
        <w:t xml:space="preserve"> </w:t>
      </w:r>
      <w:r w:rsidR="0099785B" w:rsidRPr="005C202F">
        <w:t xml:space="preserve">to </w:t>
      </w:r>
      <w:r w:rsidR="00671EE3" w:rsidRPr="005C202F">
        <w:t xml:space="preserve">those who discontinued treatment with </w:t>
      </w:r>
      <w:r w:rsidR="00341874" w:rsidRPr="005C202F">
        <w:t xml:space="preserve">esketamine nasal spray, </w:t>
      </w:r>
      <w:r w:rsidR="00BF4033" w:rsidRPr="005C202F">
        <w:t xml:space="preserve">instead </w:t>
      </w:r>
      <w:r w:rsidR="00341874" w:rsidRPr="005C202F">
        <w:t xml:space="preserve">receiving an </w:t>
      </w:r>
      <w:r w:rsidR="0099785B" w:rsidRPr="005C202F">
        <w:t xml:space="preserve">intranasal placebo + an </w:t>
      </w:r>
      <w:r w:rsidR="001C0AD9" w:rsidRPr="005C202F">
        <w:t>OAD</w:t>
      </w:r>
      <w:r w:rsidR="004E16AD" w:rsidRPr="005C202F">
        <w:t xml:space="preserve"> in the maintenance phase</w:t>
      </w:r>
      <w:r w:rsidRPr="005C202F">
        <w:t>:</w:t>
      </w:r>
    </w:p>
    <w:p w:rsidR="00830071" w:rsidRPr="005C202F" w:rsidRDefault="004963E3" w:rsidP="00515AFF">
      <w:pPr>
        <w:pStyle w:val="ExecSumBodyText"/>
        <w:numPr>
          <w:ilvl w:val="1"/>
          <w:numId w:val="8"/>
        </w:numPr>
        <w:ind w:left="1060" w:hanging="340"/>
        <w:contextualSpacing/>
      </w:pPr>
      <w:r w:rsidRPr="005C202F">
        <w:t>In those who achieved remission, a</w:t>
      </w:r>
      <w:r w:rsidR="00830071" w:rsidRPr="005C202F">
        <w:t xml:space="preserve">pproximately </w:t>
      </w:r>
      <w:r w:rsidR="00BD1190" w:rsidRPr="005C202F">
        <w:t>19 fewer</w:t>
      </w:r>
      <w:r w:rsidR="00830071" w:rsidRPr="005C202F">
        <w:t xml:space="preserve"> patients would </w:t>
      </w:r>
      <w:r w:rsidR="00BD1190" w:rsidRPr="005C202F">
        <w:t>experience relapse</w:t>
      </w:r>
      <w:r w:rsidRPr="005C202F">
        <w:t xml:space="preserve"> to depression.</w:t>
      </w:r>
    </w:p>
    <w:p w:rsidR="004963E3" w:rsidRPr="005C202F" w:rsidRDefault="004963E3" w:rsidP="00515AFF">
      <w:pPr>
        <w:pStyle w:val="ExecSumBodyText"/>
        <w:numPr>
          <w:ilvl w:val="1"/>
          <w:numId w:val="8"/>
        </w:numPr>
        <w:ind w:left="1060" w:hanging="340"/>
        <w:contextualSpacing/>
      </w:pPr>
      <w:r w:rsidRPr="005C202F">
        <w:t>In those who achieved response, approximately 32 fewer patients would experience relapse to depression.</w:t>
      </w:r>
    </w:p>
    <w:p w:rsidR="00825EDA" w:rsidRPr="005C202F" w:rsidRDefault="00BF4033" w:rsidP="00515AFF">
      <w:pPr>
        <w:pStyle w:val="ExecSumBodyText"/>
        <w:numPr>
          <w:ilvl w:val="1"/>
          <w:numId w:val="8"/>
        </w:numPr>
        <w:ind w:left="1060" w:hanging="340"/>
        <w:contextualSpacing/>
      </w:pPr>
      <w:r w:rsidRPr="005C202F">
        <w:t>Approximately 16 patients would experience dizziness</w:t>
      </w:r>
      <w:r w:rsidR="00BA258A" w:rsidRPr="005C202F">
        <w:t>.</w:t>
      </w:r>
    </w:p>
    <w:p w:rsidR="00BF4033" w:rsidRPr="005C202F" w:rsidRDefault="00BF4033" w:rsidP="00515AFF">
      <w:pPr>
        <w:pStyle w:val="ExecSumBodyText"/>
        <w:numPr>
          <w:ilvl w:val="1"/>
          <w:numId w:val="8"/>
        </w:numPr>
        <w:ind w:left="1060" w:hanging="340"/>
        <w:contextualSpacing/>
      </w:pPr>
      <w:r w:rsidRPr="005C202F">
        <w:t>Approximately 23 patients would experience dissociation</w:t>
      </w:r>
      <w:r w:rsidR="00BA258A" w:rsidRPr="005C202F">
        <w:t>.</w:t>
      </w:r>
    </w:p>
    <w:p w:rsidR="00BF4033" w:rsidRPr="005C202F" w:rsidRDefault="00BF4033" w:rsidP="00515AFF">
      <w:pPr>
        <w:pStyle w:val="ExecSumBodyText"/>
        <w:numPr>
          <w:ilvl w:val="1"/>
          <w:numId w:val="8"/>
        </w:numPr>
        <w:ind w:left="1060" w:hanging="340"/>
        <w:contextualSpacing/>
      </w:pPr>
      <w:r w:rsidRPr="005C202F">
        <w:t>Approximately 20 patients would experience vertigo</w:t>
      </w:r>
      <w:r w:rsidR="00BA258A" w:rsidRPr="005C202F">
        <w:t>.</w:t>
      </w:r>
    </w:p>
    <w:p w:rsidR="00DB0031" w:rsidRPr="005C202F" w:rsidRDefault="00BF4033" w:rsidP="00515AFF">
      <w:pPr>
        <w:pStyle w:val="ExecSumBodyText"/>
        <w:numPr>
          <w:ilvl w:val="1"/>
          <w:numId w:val="8"/>
        </w:numPr>
        <w:ind w:left="1060" w:hanging="340"/>
        <w:contextualSpacing/>
      </w:pPr>
      <w:r w:rsidRPr="005C202F">
        <w:t>Approximately 3 patients would have an increase in blood pressure.</w:t>
      </w:r>
    </w:p>
    <w:p w:rsidR="00B60939" w:rsidRPr="005C202F" w:rsidRDefault="00B60939" w:rsidP="00843598">
      <w:pPr>
        <w:pStyle w:val="3-SubsectionHeading"/>
        <w:tabs>
          <w:tab w:val="left" w:pos="1843"/>
        </w:tabs>
      </w:pPr>
      <w:bookmarkStart w:id="22" w:name="_Toc22897644"/>
      <w:bookmarkStart w:id="23" w:name="_Toc72325763"/>
      <w:r w:rsidRPr="005C202F">
        <w:t>Clinical claim</w:t>
      </w:r>
      <w:bookmarkEnd w:id="22"/>
      <w:bookmarkEnd w:id="23"/>
    </w:p>
    <w:p w:rsidR="00BD6B02" w:rsidRPr="005C202F" w:rsidRDefault="00E35A05" w:rsidP="00E9094A">
      <w:pPr>
        <w:pStyle w:val="ExecSumBodyText"/>
      </w:pPr>
      <w:bookmarkStart w:id="24" w:name="_Ref79311955"/>
      <w:r w:rsidRPr="005C202F">
        <w:t>The submission described esketamine nasal spray in combination with a</w:t>
      </w:r>
      <w:r w:rsidR="000D5F11" w:rsidRPr="005C202F">
        <w:t xml:space="preserve"> </w:t>
      </w:r>
      <w:r w:rsidRPr="005C202F">
        <w:t>n</w:t>
      </w:r>
      <w:r w:rsidR="000D5F11" w:rsidRPr="005C202F">
        <w:t>ewly initiated</w:t>
      </w:r>
      <w:r w:rsidRPr="005C202F">
        <w:t xml:space="preserve"> </w:t>
      </w:r>
      <w:r w:rsidR="001C0AD9" w:rsidRPr="005C202F">
        <w:t>OAD</w:t>
      </w:r>
      <w:r w:rsidRPr="005C202F">
        <w:t xml:space="preserve"> for the treatment of TRD as superior in terms of effectiveness, and inferior in terms of safety, compared with a</w:t>
      </w:r>
      <w:r w:rsidR="000D5F11" w:rsidRPr="005C202F">
        <w:t xml:space="preserve"> </w:t>
      </w:r>
      <w:r w:rsidRPr="005C202F">
        <w:t>n</w:t>
      </w:r>
      <w:r w:rsidR="000D5F11" w:rsidRPr="005C202F">
        <w:t>ewly initiated</w:t>
      </w:r>
      <w:r w:rsidRPr="005C202F">
        <w:t xml:space="preserve"> </w:t>
      </w:r>
      <w:r w:rsidR="001C0AD9" w:rsidRPr="005C202F">
        <w:t>OAD</w:t>
      </w:r>
      <w:r w:rsidR="00834BD3" w:rsidRPr="005C202F">
        <w:t xml:space="preserve"> </w:t>
      </w:r>
      <w:r w:rsidRPr="005C202F">
        <w:t xml:space="preserve">alone. </w:t>
      </w:r>
    </w:p>
    <w:p w:rsidR="00E35A05" w:rsidRPr="005C202F" w:rsidRDefault="00E643E1" w:rsidP="00E9094A">
      <w:pPr>
        <w:pStyle w:val="ExecSumBodyText"/>
      </w:pPr>
      <w:r w:rsidRPr="005C202F">
        <w:rPr>
          <w:iCs/>
        </w:rPr>
        <w:t xml:space="preserve">The ESC considered </w:t>
      </w:r>
      <w:r w:rsidR="00D95112" w:rsidRPr="005C202F">
        <w:rPr>
          <w:iCs/>
        </w:rPr>
        <w:t xml:space="preserve">the </w:t>
      </w:r>
      <w:r w:rsidRPr="005C202F">
        <w:rPr>
          <w:iCs/>
        </w:rPr>
        <w:t>claim</w:t>
      </w:r>
      <w:r w:rsidR="00D95112" w:rsidRPr="005C202F">
        <w:rPr>
          <w:iCs/>
        </w:rPr>
        <w:t xml:space="preserve"> of superior effectiveness</w:t>
      </w:r>
      <w:r w:rsidRPr="005C202F">
        <w:rPr>
          <w:iCs/>
        </w:rPr>
        <w:t xml:space="preserve"> was poorly supported:</w:t>
      </w:r>
      <w:bookmarkEnd w:id="24"/>
      <w:r w:rsidRPr="005C202F">
        <w:rPr>
          <w:iCs/>
        </w:rPr>
        <w:t xml:space="preserve"> </w:t>
      </w:r>
    </w:p>
    <w:p w:rsidR="00E35A05" w:rsidRPr="005C202F" w:rsidRDefault="00E35A05" w:rsidP="007518AD">
      <w:pPr>
        <w:pStyle w:val="ExecSumBodyText"/>
        <w:numPr>
          <w:ilvl w:val="1"/>
          <w:numId w:val="8"/>
        </w:numPr>
        <w:contextualSpacing/>
        <w:rPr>
          <w:iCs/>
        </w:rPr>
      </w:pPr>
      <w:r w:rsidRPr="005C202F">
        <w:rPr>
          <w:iCs/>
        </w:rPr>
        <w:t>Of the three randomised induction trials, only TRANSFORM-2 demonstrate</w:t>
      </w:r>
      <w:r w:rsidR="000259D0" w:rsidRPr="005C202F">
        <w:rPr>
          <w:iCs/>
        </w:rPr>
        <w:t>d an improvement in MADRS for</w:t>
      </w:r>
      <w:r w:rsidRPr="005C202F">
        <w:rPr>
          <w:iCs/>
        </w:rPr>
        <w:t xml:space="preserve"> esketamine over placebo</w:t>
      </w:r>
      <w:r w:rsidR="000259D0" w:rsidRPr="005C202F">
        <w:rPr>
          <w:iCs/>
        </w:rPr>
        <w:t xml:space="preserve"> that was statistically significant</w:t>
      </w:r>
      <w:r w:rsidR="00284CD1" w:rsidRPr="005C202F">
        <w:rPr>
          <w:iCs/>
        </w:rPr>
        <w:t>.</w:t>
      </w:r>
      <w:r w:rsidRPr="005C202F">
        <w:rPr>
          <w:iCs/>
        </w:rPr>
        <w:t xml:space="preserve"> </w:t>
      </w:r>
      <w:r w:rsidR="00284CD1" w:rsidRPr="005C202F">
        <w:rPr>
          <w:iCs/>
        </w:rPr>
        <w:t>T</w:t>
      </w:r>
      <w:r w:rsidRPr="005C202F">
        <w:rPr>
          <w:iCs/>
        </w:rPr>
        <w:t xml:space="preserve">he </w:t>
      </w:r>
      <w:r w:rsidR="00284CD1" w:rsidRPr="005C202F">
        <w:rPr>
          <w:iCs/>
        </w:rPr>
        <w:t>magnitude of the improvement observed in the other two trials was similar</w:t>
      </w:r>
      <w:r w:rsidRPr="005C202F">
        <w:rPr>
          <w:iCs/>
        </w:rPr>
        <w:t xml:space="preserve"> </w:t>
      </w:r>
      <w:r w:rsidR="00284CD1" w:rsidRPr="005C202F">
        <w:rPr>
          <w:iCs/>
        </w:rPr>
        <w:t>although not statistically significant</w:t>
      </w:r>
      <w:r w:rsidRPr="005C202F">
        <w:rPr>
          <w:iCs/>
        </w:rPr>
        <w:t xml:space="preserve">. </w:t>
      </w:r>
      <w:r w:rsidR="007518AD" w:rsidRPr="005C202F">
        <w:rPr>
          <w:iCs/>
        </w:rPr>
        <w:t>The ESC noted the 4 point change in the MADRS observed in TRANSFORM-2 at 4 weeks met the MCID</w:t>
      </w:r>
      <w:r w:rsidR="00284CD1" w:rsidRPr="005C202F">
        <w:rPr>
          <w:iCs/>
        </w:rPr>
        <w:t xml:space="preserve"> nominated in the submission</w:t>
      </w:r>
      <w:r w:rsidR="007518AD" w:rsidRPr="005C202F">
        <w:rPr>
          <w:iCs/>
        </w:rPr>
        <w:t xml:space="preserve"> of 2</w:t>
      </w:r>
      <w:r w:rsidR="00284CD1" w:rsidRPr="005C202F">
        <w:rPr>
          <w:iCs/>
        </w:rPr>
        <w:t xml:space="preserve"> points,</w:t>
      </w:r>
      <w:r w:rsidR="007518AD" w:rsidRPr="005C202F">
        <w:rPr>
          <w:iCs/>
        </w:rPr>
        <w:t xml:space="preserve"> but</w:t>
      </w:r>
      <w:r w:rsidR="00284CD1" w:rsidRPr="005C202F">
        <w:rPr>
          <w:iCs/>
        </w:rPr>
        <w:t xml:space="preserve"> also noted that</w:t>
      </w:r>
      <w:r w:rsidR="007518AD" w:rsidRPr="005C202F">
        <w:rPr>
          <w:iCs/>
        </w:rPr>
        <w:t xml:space="preserve"> studies have considered a difference of at least 7 to 9 points to be clinically important. </w:t>
      </w:r>
    </w:p>
    <w:p w:rsidR="00181D38" w:rsidRPr="005C202F" w:rsidRDefault="00181D38" w:rsidP="001717FB">
      <w:pPr>
        <w:pStyle w:val="ExecSumBodyText"/>
        <w:numPr>
          <w:ilvl w:val="1"/>
          <w:numId w:val="8"/>
        </w:numPr>
        <w:spacing w:after="0"/>
      </w:pPr>
      <w:r w:rsidRPr="005C202F">
        <w:t>The 4 week duration of TRANSFORM-2 was insufficient to see a maximal response from the newly initiated OAD.</w:t>
      </w:r>
    </w:p>
    <w:p w:rsidR="00E35A05" w:rsidRPr="005C202F" w:rsidRDefault="00E35A05" w:rsidP="00515AFF">
      <w:pPr>
        <w:pStyle w:val="ExecSumBodyText"/>
        <w:numPr>
          <w:ilvl w:val="1"/>
          <w:numId w:val="8"/>
        </w:numPr>
        <w:ind w:left="1060" w:hanging="340"/>
        <w:contextualSpacing/>
        <w:rPr>
          <w:iCs/>
        </w:rPr>
      </w:pPr>
      <w:r w:rsidRPr="005C202F">
        <w:rPr>
          <w:iCs/>
        </w:rPr>
        <w:t>Esketamine nasal spray produced antidepressant effects relatively fast compared with other oral antidepressants, however long-term data about the maintenance of treatment effect is currently unavailable. The SUSTAIN-1 trial suggested that participants who discontinue esketamine after improvement are more likely to relapse in comparison with those who do not discontinue esketamine. However, some authors have commented that this type of withdrawal trial design tends to</w:t>
      </w:r>
      <w:r w:rsidRPr="005C202F">
        <w:rPr>
          <w:i/>
          <w:iCs/>
        </w:rPr>
        <w:t xml:space="preserve"> </w:t>
      </w:r>
      <w:r w:rsidRPr="005C202F">
        <w:rPr>
          <w:iCs/>
        </w:rPr>
        <w:t xml:space="preserve">overemphasise the efficacy of maintenance treatment, as the comparison group is at extremely high risk of relapse considering that treatment is abruptly stopped soon after improvement (NICE, 2018). </w:t>
      </w:r>
    </w:p>
    <w:p w:rsidR="00D95112" w:rsidRPr="005C202F" w:rsidRDefault="00E35A05" w:rsidP="00515AFF">
      <w:pPr>
        <w:pStyle w:val="ExecSumBodyText"/>
        <w:numPr>
          <w:ilvl w:val="1"/>
          <w:numId w:val="8"/>
        </w:numPr>
        <w:ind w:left="1060" w:hanging="340"/>
        <w:contextualSpacing/>
        <w:rPr>
          <w:iCs/>
        </w:rPr>
      </w:pPr>
      <w:r w:rsidRPr="005C202F">
        <w:rPr>
          <w:iCs/>
        </w:rPr>
        <w:t>The optimum duration of therapy is yet to be determined. Current guidelines suggest at least 6 months, and ideally more than one year of maintenance treatment with pharmacotherapies for people with major depression, with longer treatment durations suggested for patients with recurrent episodes (Malhi et al., 2021). Patients in the intranasal placebo arm of the SUSTAIN-1 trial, who discontinued treatment after 12 or 16 weeks of treatment, experienced more relapse episodes than those continuing treatment. As the durability of benefit has not been established, it is unclear for how long esketamine should be prescribed to prevent relapse.</w:t>
      </w:r>
    </w:p>
    <w:p w:rsidR="003E1235" w:rsidRPr="005C202F" w:rsidRDefault="003E1235" w:rsidP="003E1235">
      <w:pPr>
        <w:pStyle w:val="ExecSumBodyText"/>
        <w:numPr>
          <w:ilvl w:val="0"/>
          <w:numId w:val="0"/>
        </w:numPr>
        <w:contextualSpacing/>
        <w:rPr>
          <w:iCs/>
        </w:rPr>
      </w:pPr>
    </w:p>
    <w:p w:rsidR="00BD6B02" w:rsidRPr="005C202F" w:rsidRDefault="00BD6B02" w:rsidP="00BD6B02">
      <w:pPr>
        <w:pStyle w:val="ExecSumBodyText"/>
      </w:pPr>
      <w:r w:rsidRPr="005C202F">
        <w:t>The</w:t>
      </w:r>
      <w:r w:rsidR="0077790C" w:rsidRPr="005C202F">
        <w:t xml:space="preserve"> ESC noted there </w:t>
      </w:r>
      <w:r w:rsidRPr="005C202F">
        <w:t>is a lack of long-term safety data</w:t>
      </w:r>
      <w:r w:rsidR="00456FAF" w:rsidRPr="005C202F">
        <w:t xml:space="preserve"> for esketamine</w:t>
      </w:r>
      <w:r w:rsidRPr="005C202F">
        <w:t xml:space="preserve">. Presently it is thought that esketamine may share some of the well-known risks associated with ketamine (e.g. drug abuse, dissociation, altered consciousness; Ballard &amp; Zarate, 2020), however there are no studies directly comparing the two (Malhi et al., 2021). Adverse events continued to be experienced at a greater incidence in the esketamine treatment group compared with the placebo treatment group in the SUSTAIN-1 trial, suggesting that adverse events may continue throughout maintenance treatment. </w:t>
      </w:r>
    </w:p>
    <w:p w:rsidR="003E1235" w:rsidRPr="005C202F" w:rsidRDefault="003E1235" w:rsidP="003E1235">
      <w:pPr>
        <w:pStyle w:val="ExecSumBodyText"/>
      </w:pPr>
      <w:r w:rsidRPr="005C202F">
        <w:t>The PBAC considered that the claim of superior comparative effectiveness</w:t>
      </w:r>
      <w:r w:rsidR="00AB2BE2" w:rsidRPr="005C202F">
        <w:t xml:space="preserve"> of esketamine + new OAD to a new OAD alone</w:t>
      </w:r>
      <w:r w:rsidRPr="005C202F">
        <w:t xml:space="preserve"> </w:t>
      </w:r>
      <w:r w:rsidR="00AB2BE2" w:rsidRPr="005C202F">
        <w:t xml:space="preserve">may be reasonable, however the </w:t>
      </w:r>
      <w:r w:rsidR="007333B3" w:rsidRPr="005C202F">
        <w:t xml:space="preserve">magnitude and </w:t>
      </w:r>
      <w:r w:rsidR="00AB2BE2" w:rsidRPr="005C202F">
        <w:t>clinical importance of the observed benefits was uncertain.</w:t>
      </w:r>
    </w:p>
    <w:p w:rsidR="003E1235" w:rsidRPr="005C202F" w:rsidRDefault="003E1235" w:rsidP="003E1235">
      <w:pPr>
        <w:pStyle w:val="ExecSumBodyText"/>
      </w:pPr>
      <w:r w:rsidRPr="005C202F">
        <w:t>The PBAC considered that the claim of inferior comparative safety</w:t>
      </w:r>
      <w:r w:rsidR="00AB2BE2" w:rsidRPr="005C202F">
        <w:t xml:space="preserve"> of esketamine + new OAD to a new OAD alone</w:t>
      </w:r>
      <w:r w:rsidRPr="005C202F">
        <w:t xml:space="preserve"> was reasonable</w:t>
      </w:r>
      <w:r w:rsidR="00AB2BE2" w:rsidRPr="005C202F">
        <w:t>.</w:t>
      </w:r>
    </w:p>
    <w:p w:rsidR="00B60939" w:rsidRPr="005C202F" w:rsidRDefault="00B60939" w:rsidP="00843598">
      <w:pPr>
        <w:pStyle w:val="3-SubsectionHeading"/>
      </w:pPr>
      <w:bookmarkStart w:id="25" w:name="_Toc22897645"/>
      <w:bookmarkStart w:id="26" w:name="_Toc72325764"/>
      <w:r w:rsidRPr="005C202F">
        <w:t>Economic analysis</w:t>
      </w:r>
      <w:bookmarkEnd w:id="25"/>
      <w:bookmarkEnd w:id="26"/>
      <w:r w:rsidR="00491B3A" w:rsidRPr="005C202F">
        <w:t xml:space="preserve"> </w:t>
      </w:r>
    </w:p>
    <w:p w:rsidR="007518AD" w:rsidRPr="005C202F" w:rsidRDefault="00401FD7" w:rsidP="00401FD7">
      <w:pPr>
        <w:pStyle w:val="ExecSumBodyText"/>
      </w:pPr>
      <w:r w:rsidRPr="005C202F">
        <w:t>As noted above (</w:t>
      </w:r>
      <w:r w:rsidRPr="00E0020F">
        <w:t>paragraph 2.6),</w:t>
      </w:r>
      <w:r w:rsidRPr="005C202F">
        <w:t xml:space="preserve"> the ESC considered the submission positioned esketamine inappropriately early in the treatment algorithm and that the results from the economic model are unlikely to be directly applicable </w:t>
      </w:r>
      <w:r w:rsidR="00BF1E9F" w:rsidRPr="005C202F">
        <w:t xml:space="preserve">to later </w:t>
      </w:r>
      <w:r w:rsidRPr="005C202F">
        <w:t>line use.</w:t>
      </w:r>
    </w:p>
    <w:p w:rsidR="007472AC" w:rsidRPr="005C202F" w:rsidRDefault="007472AC" w:rsidP="007472AC">
      <w:pPr>
        <w:pStyle w:val="ExecSumBodyText"/>
      </w:pPr>
      <w:r w:rsidRPr="005C202F">
        <w:t xml:space="preserve">The submission presented a stepped economic evaluation of the additive effects of using esketamine nasal spray with a newly initiated </w:t>
      </w:r>
      <w:r w:rsidR="00DB649E" w:rsidRPr="005C202F">
        <w:t>OAD</w:t>
      </w:r>
      <w:r w:rsidRPr="005C202F">
        <w:t xml:space="preserve">, compared to a newly initiated </w:t>
      </w:r>
      <w:r w:rsidR="00DB649E" w:rsidRPr="005C202F">
        <w:t>OAD</w:t>
      </w:r>
      <w:r w:rsidRPr="005C202F">
        <w:t xml:space="preserve"> for the treatment of </w:t>
      </w:r>
      <w:r w:rsidR="003573EE" w:rsidRPr="005C202F">
        <w:t>patients with moderate to severe TRD</w:t>
      </w:r>
      <w:r w:rsidR="001D42A6" w:rsidRPr="005C202F">
        <w:t xml:space="preserve">. </w:t>
      </w:r>
      <w:r w:rsidRPr="005C202F">
        <w:t xml:space="preserve">The economic evaluation was based on </w:t>
      </w:r>
      <w:r w:rsidR="001D42A6" w:rsidRPr="005C202F">
        <w:t>two</w:t>
      </w:r>
      <w:r w:rsidRPr="005C202F">
        <w:t xml:space="preserve"> direct randomised trial</w:t>
      </w:r>
      <w:r w:rsidR="001D42A6" w:rsidRPr="005C202F">
        <w:t>s</w:t>
      </w:r>
      <w:r w:rsidRPr="005C202F">
        <w:t xml:space="preserve"> (</w:t>
      </w:r>
      <w:r w:rsidR="001D42A6" w:rsidRPr="005C202F">
        <w:t>TRANSFORM-2 and SUSTAIN-1</w:t>
      </w:r>
      <w:r w:rsidRPr="005C202F">
        <w:t xml:space="preserve">) with additional modelled data. </w:t>
      </w:r>
      <w:r w:rsidR="00AC1757" w:rsidRPr="005C202F">
        <w:t>The ESC noted the</w:t>
      </w:r>
      <w:r w:rsidR="004247A0" w:rsidRPr="005C202F">
        <w:t xml:space="preserve"> economic model did not utilise</w:t>
      </w:r>
      <w:r w:rsidR="00AC1757" w:rsidRPr="005C202F">
        <w:t xml:space="preserve"> all available RCT data for esketamine</w:t>
      </w:r>
      <w:r w:rsidR="005C202F">
        <w:t xml:space="preserve">. </w:t>
      </w:r>
      <w:r w:rsidRPr="005C202F">
        <w:t>The economic evaluation was presented as a cost-effectiveness/cost-utility analysis.</w:t>
      </w:r>
      <w:r w:rsidR="003132C2" w:rsidRPr="005C202F">
        <w:t xml:space="preserve"> The Pre-PBAC Response argued it was reasonable to only use data from the TRANSFORM-2 RCT (as well as the SUSTAIN-1 study for some inputs) as only the TRANSFORM-2 trial was reflective of the dosage regimens in the approved TGA Product Information.</w:t>
      </w:r>
    </w:p>
    <w:p w:rsidR="00D30EDE" w:rsidRPr="005C202F" w:rsidRDefault="00D30EDE" w:rsidP="00D30EDE">
      <w:pPr>
        <w:pStyle w:val="ExecSumBodyText"/>
        <w:rPr>
          <w:color w:val="0066FF"/>
        </w:rPr>
      </w:pPr>
      <w:r w:rsidRPr="005C202F">
        <w:t>The model structure is summarised in Figure 1</w:t>
      </w:r>
      <w:r w:rsidR="002C0475" w:rsidRPr="005C202F">
        <w:t xml:space="preserve"> and Table 1</w:t>
      </w:r>
      <w:r w:rsidR="00A60886">
        <w:t>0</w:t>
      </w:r>
      <w:r w:rsidRPr="005C202F">
        <w:t>.</w:t>
      </w:r>
    </w:p>
    <w:p w:rsidR="00D30EDE" w:rsidRPr="005C202F" w:rsidRDefault="00D30EDE" w:rsidP="00D30EDE">
      <w:pPr>
        <w:pStyle w:val="TableFigureCaption"/>
      </w:pPr>
      <w:r w:rsidRPr="005C202F">
        <w:t>Figure 1: Model structure</w:t>
      </w:r>
    </w:p>
    <w:p w:rsidR="00D30EDE" w:rsidRPr="005C202F" w:rsidRDefault="00D30EDE" w:rsidP="00D30EDE">
      <w:r w:rsidRPr="005C202F">
        <w:rPr>
          <w:noProof/>
        </w:rPr>
        <w:drawing>
          <wp:inline distT="0" distB="0" distL="0" distR="0" wp14:anchorId="3F37912C" wp14:editId="51C91562">
            <wp:extent cx="5730875" cy="3514725"/>
            <wp:effectExtent l="0" t="0" r="3175" b="9525"/>
            <wp:docPr id="1" name="Picture 1" title="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732145" cy="3515504"/>
                    </a:xfrm>
                    <a:prstGeom prst="rect">
                      <a:avLst/>
                    </a:prstGeom>
                    <a:noFill/>
                    <a:ln>
                      <a:noFill/>
                    </a:ln>
                    <a:extLst>
                      <a:ext uri="{53640926-AAD7-44D8-BBD7-CCE9431645EC}">
                        <a14:shadowObscured xmlns:a14="http://schemas.microsoft.com/office/drawing/2010/main"/>
                      </a:ext>
                    </a:extLst>
                  </pic:spPr>
                </pic:pic>
              </a:graphicData>
            </a:graphic>
          </wp:inline>
        </w:drawing>
      </w:r>
    </w:p>
    <w:p w:rsidR="00D30EDE" w:rsidRPr="005C202F" w:rsidRDefault="00D30EDE" w:rsidP="00D30EDE">
      <w:pPr>
        <w:pStyle w:val="TableFigureFooter"/>
      </w:pPr>
      <w:r w:rsidRPr="005C202F">
        <w:t>Source: Figure 6, p.210 of the submission</w:t>
      </w:r>
    </w:p>
    <w:p w:rsidR="00D30EDE" w:rsidRPr="005C202F" w:rsidRDefault="00D30EDE" w:rsidP="00D30EDE">
      <w:pPr>
        <w:pStyle w:val="ExecSumBodyText"/>
        <w:numPr>
          <w:ilvl w:val="0"/>
          <w:numId w:val="0"/>
        </w:numPr>
        <w:ind w:left="720" w:hanging="720"/>
      </w:pPr>
    </w:p>
    <w:p w:rsidR="00AD1029" w:rsidRPr="005C202F" w:rsidRDefault="00AD1029">
      <w:pPr>
        <w:jc w:val="left"/>
        <w:rPr>
          <w:rFonts w:ascii="Arial Narrow" w:eastAsiaTheme="majorEastAsia" w:hAnsi="Arial Narrow" w:cstheme="majorBidi"/>
          <w:b/>
          <w:bCs/>
          <w:sz w:val="20"/>
        </w:rPr>
      </w:pPr>
      <w:r w:rsidRPr="005C202F">
        <w:br w:type="page"/>
      </w:r>
    </w:p>
    <w:p w:rsidR="00275C5A" w:rsidRPr="005C202F" w:rsidRDefault="00275C5A" w:rsidP="00230DB1">
      <w:pPr>
        <w:pStyle w:val="TableFigureCaption"/>
      </w:pPr>
      <w:r w:rsidRPr="005C202F">
        <w:t xml:space="preserve">Table </w:t>
      </w:r>
      <w:r w:rsidR="00191105" w:rsidRPr="005C202F">
        <w:t>1</w:t>
      </w:r>
      <w:r w:rsidR="00A60886">
        <w:t>0</w:t>
      </w:r>
      <w:r w:rsidRPr="005C202F">
        <w:t>: Summary of model structure</w:t>
      </w:r>
      <w:r w:rsidR="00184B0E" w:rsidRPr="005C202F">
        <w:t>, key inputs</w:t>
      </w:r>
      <w:r w:rsidRPr="005C202F">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5"/>
        <w:gridCol w:w="7322"/>
      </w:tblGrid>
      <w:tr w:rsidR="009678B0" w:rsidRPr="005C202F" w:rsidTr="00B77A30">
        <w:trPr>
          <w:tblHeader/>
        </w:trPr>
        <w:tc>
          <w:tcPr>
            <w:tcW w:w="940" w:type="pct"/>
            <w:vAlign w:val="center"/>
          </w:tcPr>
          <w:p w:rsidR="009678B0" w:rsidRPr="005C202F" w:rsidRDefault="009678B0" w:rsidP="00B77A30">
            <w:pPr>
              <w:pStyle w:val="Tableheadingrow"/>
              <w:keepNext w:val="0"/>
              <w:jc w:val="center"/>
              <w:rPr>
                <w:lang w:val="en-AU"/>
              </w:rPr>
            </w:pPr>
            <w:r w:rsidRPr="005C202F">
              <w:rPr>
                <w:lang w:val="en-AU"/>
              </w:rPr>
              <w:t>Component</w:t>
            </w:r>
          </w:p>
        </w:tc>
        <w:tc>
          <w:tcPr>
            <w:tcW w:w="4060" w:type="pct"/>
          </w:tcPr>
          <w:p w:rsidR="009678B0" w:rsidRPr="005C202F" w:rsidRDefault="009678B0" w:rsidP="00B77A30">
            <w:pPr>
              <w:pStyle w:val="Tableheadingrow"/>
              <w:keepNext w:val="0"/>
              <w:jc w:val="center"/>
              <w:rPr>
                <w:lang w:val="en-AU"/>
              </w:rPr>
            </w:pPr>
            <w:r w:rsidRPr="005C202F">
              <w:rPr>
                <w:lang w:val="en-AU"/>
              </w:rPr>
              <w:t>Description</w:t>
            </w:r>
          </w:p>
        </w:tc>
      </w:tr>
      <w:tr w:rsidR="009678B0" w:rsidRPr="005C202F" w:rsidTr="00B77A30">
        <w:tc>
          <w:tcPr>
            <w:tcW w:w="940" w:type="pct"/>
          </w:tcPr>
          <w:p w:rsidR="009678B0" w:rsidRPr="005C202F" w:rsidRDefault="0098061F" w:rsidP="00B77A30">
            <w:pPr>
              <w:pStyle w:val="TableText"/>
              <w:keepNext w:val="0"/>
            </w:pPr>
            <w:r w:rsidRPr="005C202F">
              <w:t>Treatments</w:t>
            </w:r>
          </w:p>
        </w:tc>
        <w:tc>
          <w:tcPr>
            <w:tcW w:w="4060" w:type="pct"/>
          </w:tcPr>
          <w:p w:rsidR="009678B0" w:rsidRPr="005C202F" w:rsidRDefault="0098061F" w:rsidP="00DB649E">
            <w:pPr>
              <w:pStyle w:val="TableText"/>
              <w:keepNext w:val="0"/>
            </w:pPr>
            <w:r w:rsidRPr="005C202F">
              <w:t>Esketamine nasal spray with a newly initiated</w:t>
            </w:r>
            <w:r w:rsidR="00DB649E" w:rsidRPr="005C202F">
              <w:t xml:space="preserve"> OAD</w:t>
            </w:r>
            <w:r w:rsidRPr="005C202F">
              <w:t xml:space="preserve">; </w:t>
            </w:r>
            <w:r w:rsidR="0056762E" w:rsidRPr="005C202F">
              <w:t xml:space="preserve">intranasal placebo with a newly initiated </w:t>
            </w:r>
            <w:r w:rsidR="00DB649E" w:rsidRPr="005C202F">
              <w:t>OAD</w:t>
            </w:r>
          </w:p>
        </w:tc>
      </w:tr>
      <w:tr w:rsidR="009678B0" w:rsidRPr="005C202F" w:rsidTr="00B77A30">
        <w:tc>
          <w:tcPr>
            <w:tcW w:w="940" w:type="pct"/>
          </w:tcPr>
          <w:p w:rsidR="009678B0" w:rsidRPr="005C202F" w:rsidRDefault="009678B0" w:rsidP="00B77A30">
            <w:pPr>
              <w:pStyle w:val="TableText"/>
              <w:keepNext w:val="0"/>
            </w:pPr>
            <w:r w:rsidRPr="005C202F">
              <w:t>Outcomes</w:t>
            </w:r>
          </w:p>
        </w:tc>
        <w:tc>
          <w:tcPr>
            <w:tcW w:w="4060" w:type="pct"/>
          </w:tcPr>
          <w:p w:rsidR="009678B0" w:rsidRPr="005C202F" w:rsidRDefault="009678B0" w:rsidP="00B77A30">
            <w:pPr>
              <w:pStyle w:val="TableText"/>
              <w:keepNext w:val="0"/>
            </w:pPr>
            <w:r w:rsidRPr="005C202F">
              <w:t>Quality-adjusted life-years</w:t>
            </w:r>
          </w:p>
          <w:p w:rsidR="009678B0" w:rsidRPr="005C202F" w:rsidRDefault="009678B0" w:rsidP="00B77A30">
            <w:pPr>
              <w:pStyle w:val="TableText"/>
              <w:keepNext w:val="0"/>
            </w:pPr>
            <w:r w:rsidRPr="005C202F">
              <w:t>MDE-free life years</w:t>
            </w:r>
          </w:p>
          <w:p w:rsidR="009678B0" w:rsidRPr="005C202F" w:rsidRDefault="009678B0" w:rsidP="00B77A30">
            <w:pPr>
              <w:pStyle w:val="TableText"/>
              <w:keepNext w:val="0"/>
            </w:pPr>
            <w:r w:rsidRPr="005C202F">
              <w:t>Proportions of patients with remission and response</w:t>
            </w:r>
          </w:p>
        </w:tc>
      </w:tr>
      <w:tr w:rsidR="009678B0" w:rsidRPr="005C202F" w:rsidTr="00B77A30">
        <w:tc>
          <w:tcPr>
            <w:tcW w:w="940" w:type="pct"/>
          </w:tcPr>
          <w:p w:rsidR="009678B0" w:rsidRPr="005C202F" w:rsidRDefault="009678B0" w:rsidP="00B77A30">
            <w:pPr>
              <w:pStyle w:val="TableText"/>
              <w:keepNext w:val="0"/>
            </w:pPr>
            <w:r w:rsidRPr="005C202F">
              <w:t>Time horizon</w:t>
            </w:r>
          </w:p>
        </w:tc>
        <w:tc>
          <w:tcPr>
            <w:tcW w:w="4060" w:type="pct"/>
          </w:tcPr>
          <w:p w:rsidR="009678B0" w:rsidRPr="005C202F" w:rsidRDefault="009678B0" w:rsidP="00DB649E">
            <w:pPr>
              <w:pStyle w:val="TableText"/>
              <w:keepNext w:val="0"/>
            </w:pPr>
            <w:r w:rsidRPr="005C202F">
              <w:t xml:space="preserve">5 years (compared with 4 weeks double-blind induction phase in TRANSFORM-2, and a median duration of maintenance treatment of 17.7 weeks in stable remitters, and 19.4 weeks in stable responders, in the esketamine + </w:t>
            </w:r>
            <w:r w:rsidR="00DB649E" w:rsidRPr="005C202F">
              <w:t>OAD</w:t>
            </w:r>
            <w:r w:rsidRPr="005C202F">
              <w:t xml:space="preserve"> treatment arms of the SUSTAIN-1 trial)</w:t>
            </w:r>
          </w:p>
        </w:tc>
      </w:tr>
      <w:tr w:rsidR="009678B0" w:rsidRPr="005C202F" w:rsidTr="00B77A30">
        <w:tc>
          <w:tcPr>
            <w:tcW w:w="940" w:type="pct"/>
          </w:tcPr>
          <w:p w:rsidR="009678B0" w:rsidRPr="005C202F" w:rsidRDefault="009678B0" w:rsidP="00B77A30">
            <w:pPr>
              <w:pStyle w:val="TableText"/>
              <w:keepNext w:val="0"/>
            </w:pPr>
            <w:r w:rsidRPr="005C202F">
              <w:t>Method used to generate results</w:t>
            </w:r>
          </w:p>
        </w:tc>
        <w:tc>
          <w:tcPr>
            <w:tcW w:w="4060" w:type="pct"/>
          </w:tcPr>
          <w:p w:rsidR="009678B0" w:rsidRPr="005C202F" w:rsidRDefault="009678B0" w:rsidP="00B77A30">
            <w:pPr>
              <w:pStyle w:val="TableText"/>
              <w:keepNext w:val="0"/>
            </w:pPr>
            <w:r w:rsidRPr="005C202F">
              <w:t>Markov cohort analysis with multiple lines of treatment</w:t>
            </w:r>
          </w:p>
        </w:tc>
      </w:tr>
      <w:tr w:rsidR="009678B0" w:rsidRPr="005C202F" w:rsidTr="00B77A30">
        <w:tc>
          <w:tcPr>
            <w:tcW w:w="940" w:type="pct"/>
          </w:tcPr>
          <w:p w:rsidR="009678B0" w:rsidRPr="005C202F" w:rsidRDefault="009678B0" w:rsidP="00B77A30">
            <w:pPr>
              <w:pStyle w:val="TableText"/>
              <w:keepNext w:val="0"/>
            </w:pPr>
            <w:r w:rsidRPr="005C202F">
              <w:t>Health states</w:t>
            </w:r>
          </w:p>
        </w:tc>
        <w:tc>
          <w:tcPr>
            <w:tcW w:w="4060" w:type="pct"/>
          </w:tcPr>
          <w:p w:rsidR="009678B0" w:rsidRPr="005C202F" w:rsidRDefault="009678B0" w:rsidP="00B77A30">
            <w:pPr>
              <w:pStyle w:val="TableText"/>
              <w:keepNext w:val="0"/>
            </w:pPr>
            <w:r w:rsidRPr="005C202F">
              <w:t>Major Depressive Episode (MDE)</w:t>
            </w:r>
          </w:p>
          <w:p w:rsidR="009678B0" w:rsidRPr="005C202F" w:rsidRDefault="009678B0" w:rsidP="00B77A30">
            <w:pPr>
              <w:pStyle w:val="TableText"/>
              <w:keepNext w:val="0"/>
            </w:pPr>
            <w:r w:rsidRPr="005C202F">
              <w:t>Response</w:t>
            </w:r>
          </w:p>
          <w:p w:rsidR="009678B0" w:rsidRPr="005C202F" w:rsidRDefault="009678B0" w:rsidP="00B77A30">
            <w:pPr>
              <w:pStyle w:val="TableText"/>
              <w:keepNext w:val="0"/>
            </w:pPr>
            <w:r w:rsidRPr="005C202F">
              <w:t>Remission</w:t>
            </w:r>
          </w:p>
          <w:p w:rsidR="009678B0" w:rsidRPr="005C202F" w:rsidRDefault="009678B0" w:rsidP="00B77A30">
            <w:pPr>
              <w:pStyle w:val="TableText"/>
              <w:keepNext w:val="0"/>
            </w:pPr>
            <w:r w:rsidRPr="005C202F">
              <w:t>Recovery</w:t>
            </w:r>
          </w:p>
          <w:p w:rsidR="009678B0" w:rsidRPr="005C202F" w:rsidRDefault="009678B0" w:rsidP="00B77A30">
            <w:pPr>
              <w:pStyle w:val="TableText"/>
              <w:keepNext w:val="0"/>
            </w:pPr>
            <w:r w:rsidRPr="005C202F">
              <w:t>Death</w:t>
            </w:r>
          </w:p>
        </w:tc>
      </w:tr>
      <w:tr w:rsidR="009678B0" w:rsidRPr="005C202F" w:rsidTr="00B77A30">
        <w:tc>
          <w:tcPr>
            <w:tcW w:w="940" w:type="pct"/>
          </w:tcPr>
          <w:p w:rsidR="009678B0" w:rsidRPr="005C202F" w:rsidRDefault="009678B0" w:rsidP="00B77A30">
            <w:pPr>
              <w:pStyle w:val="TableText"/>
              <w:keepNext w:val="0"/>
            </w:pPr>
            <w:r w:rsidRPr="005C202F">
              <w:t>Cycle length</w:t>
            </w:r>
          </w:p>
        </w:tc>
        <w:tc>
          <w:tcPr>
            <w:tcW w:w="4060" w:type="pct"/>
          </w:tcPr>
          <w:p w:rsidR="009678B0" w:rsidRPr="005C202F" w:rsidRDefault="009678B0" w:rsidP="00B77A30">
            <w:pPr>
              <w:pStyle w:val="TableText"/>
              <w:keepNext w:val="0"/>
            </w:pPr>
            <w:r w:rsidRPr="005C202F">
              <w:t>Four weeks</w:t>
            </w:r>
          </w:p>
        </w:tc>
      </w:tr>
      <w:tr w:rsidR="009678B0" w:rsidRPr="005C202F" w:rsidTr="00B77A30">
        <w:tc>
          <w:tcPr>
            <w:tcW w:w="940" w:type="pct"/>
          </w:tcPr>
          <w:p w:rsidR="009678B0" w:rsidRPr="005C202F" w:rsidRDefault="009678B0" w:rsidP="00B77A30">
            <w:pPr>
              <w:pStyle w:val="TableText"/>
              <w:keepNext w:val="0"/>
            </w:pPr>
            <w:r w:rsidRPr="005C202F">
              <w:t>Transition probabilities</w:t>
            </w:r>
          </w:p>
        </w:tc>
        <w:tc>
          <w:tcPr>
            <w:tcW w:w="4060" w:type="pct"/>
          </w:tcPr>
          <w:p w:rsidR="009678B0" w:rsidRPr="005C202F" w:rsidRDefault="009678B0" w:rsidP="00B77A30">
            <w:pPr>
              <w:pStyle w:val="TableText"/>
              <w:keepNext w:val="0"/>
            </w:pPr>
            <w:r w:rsidRPr="005C202F">
              <w:t>Initial Treatment: Probabilities of response and remission in the induction phase based on data from TRANSFORM-2.</w:t>
            </w:r>
          </w:p>
          <w:p w:rsidR="009678B0" w:rsidRPr="005C202F" w:rsidRDefault="009678B0" w:rsidP="00B77A30">
            <w:pPr>
              <w:pStyle w:val="TableText"/>
              <w:keepNext w:val="0"/>
            </w:pPr>
            <w:r w:rsidRPr="005C202F">
              <w:t xml:space="preserve">Maintenance setting: Probabilities of transitions from response to remission, loss of response, relapse from remission, and recurrence from recovery to the MDE health state were based on data from SUSTAIN-1. </w:t>
            </w:r>
            <w:r w:rsidR="00512D3D" w:rsidRPr="005C202F">
              <w:rPr>
                <w:color w:val="000000" w:themeColor="text1"/>
              </w:rPr>
              <w:t>Patients transition to the recovery health state after 36 weeks (9 cycles) in remission.</w:t>
            </w:r>
          </w:p>
          <w:p w:rsidR="009678B0" w:rsidRPr="005C202F" w:rsidRDefault="009678B0" w:rsidP="00B77A30">
            <w:pPr>
              <w:pStyle w:val="TableText"/>
              <w:keepNext w:val="0"/>
            </w:pPr>
            <w:r w:rsidRPr="005C202F">
              <w:t xml:space="preserve">Subsequent Treatment: Response, remission, loss of response and relapse rates were based on the fourth-line treatment outcomes from the Sequenced Treatment Alternatives to Relieve Depression (STAR*D) study. </w:t>
            </w:r>
          </w:p>
          <w:p w:rsidR="00B96392" w:rsidRPr="005C202F" w:rsidRDefault="00B96392" w:rsidP="00B77A30">
            <w:pPr>
              <w:pStyle w:val="TableText"/>
              <w:keepNext w:val="0"/>
            </w:pPr>
            <w:r w:rsidRPr="005C202F">
              <w:t xml:space="preserve">Treatment discontinuations: Based on the mean value of an exponential curve fitted to treatment discontinuations </w:t>
            </w:r>
            <w:r w:rsidR="0098061F" w:rsidRPr="005C202F">
              <w:t>due to any cause from the SUSTAIN-1 trial</w:t>
            </w:r>
          </w:p>
        </w:tc>
      </w:tr>
      <w:tr w:rsidR="00191105" w:rsidRPr="005C202F" w:rsidTr="00B77A30">
        <w:tc>
          <w:tcPr>
            <w:tcW w:w="940" w:type="pct"/>
          </w:tcPr>
          <w:p w:rsidR="00191105" w:rsidRPr="005C202F" w:rsidRDefault="00191105" w:rsidP="00B77A30">
            <w:pPr>
              <w:pStyle w:val="TableText"/>
              <w:keepNext w:val="0"/>
            </w:pPr>
            <w:r w:rsidRPr="005C202F">
              <w:t>Health related quality of life</w:t>
            </w:r>
          </w:p>
        </w:tc>
        <w:tc>
          <w:tcPr>
            <w:tcW w:w="4060" w:type="pct"/>
          </w:tcPr>
          <w:p w:rsidR="00191105" w:rsidRPr="005C202F" w:rsidRDefault="00C87C8D" w:rsidP="00AC1757">
            <w:pPr>
              <w:pStyle w:val="CommentText"/>
              <w:rPr>
                <w:rFonts w:ascii="Arial Narrow" w:eastAsiaTheme="majorEastAsia" w:hAnsi="Arial Narrow" w:cstheme="majorBidi"/>
                <w:bCs/>
                <w:szCs w:val="24"/>
              </w:rPr>
            </w:pPr>
            <w:r w:rsidRPr="005C202F">
              <w:rPr>
                <w:rFonts w:ascii="Arial Narrow" w:eastAsiaTheme="majorEastAsia" w:hAnsi="Arial Narrow" w:cstheme="majorBidi"/>
                <w:bCs/>
                <w:szCs w:val="24"/>
              </w:rPr>
              <w:t>Patient-level EQ-5D-5L data from day 28 of the TRANSFORM-2 trial was retrospectively transformed into health state utilities using a Canadian value set</w:t>
            </w:r>
            <w:r w:rsidR="00AC1757" w:rsidRPr="005C202F">
              <w:rPr>
                <w:rFonts w:ascii="Arial Narrow" w:eastAsiaTheme="majorEastAsia" w:hAnsi="Arial Narrow" w:cstheme="majorBidi"/>
                <w:bCs/>
                <w:szCs w:val="24"/>
              </w:rPr>
              <w:t xml:space="preserve">. The ESC noted Australian utility values are available </w:t>
            </w:r>
            <w:r w:rsidR="00270BDB" w:rsidRPr="005C202F">
              <w:rPr>
                <w:rFonts w:ascii="Arial Narrow" w:eastAsiaTheme="majorEastAsia" w:hAnsi="Arial Narrow" w:cstheme="majorBidi"/>
                <w:bCs/>
                <w:szCs w:val="24"/>
              </w:rPr>
              <w:t>and should have been used.</w:t>
            </w:r>
            <w:r w:rsidR="00270BDB" w:rsidRPr="005C202F">
              <w:rPr>
                <w:rFonts w:ascii="Arial Narrow" w:eastAsiaTheme="majorEastAsia" w:hAnsi="Arial Narrow" w:cstheme="majorBidi"/>
                <w:bCs/>
                <w:i/>
                <w:szCs w:val="24"/>
              </w:rPr>
              <w:t xml:space="preserve"> </w:t>
            </w:r>
          </w:p>
        </w:tc>
      </w:tr>
      <w:tr w:rsidR="001634F7" w:rsidRPr="005C202F" w:rsidTr="00B77A30">
        <w:tc>
          <w:tcPr>
            <w:tcW w:w="940" w:type="pct"/>
            <w:vAlign w:val="center"/>
          </w:tcPr>
          <w:p w:rsidR="001634F7" w:rsidRPr="005C202F" w:rsidRDefault="001634F7" w:rsidP="00B77A30">
            <w:pPr>
              <w:pStyle w:val="TableText"/>
              <w:keepNext w:val="0"/>
            </w:pPr>
            <w:r w:rsidRPr="005C202F">
              <w:t>Costs</w:t>
            </w:r>
          </w:p>
        </w:tc>
        <w:tc>
          <w:tcPr>
            <w:tcW w:w="4060" w:type="pct"/>
            <w:shd w:val="clear" w:color="auto" w:fill="FFFFFF" w:themeFill="background1"/>
            <w:vAlign w:val="center"/>
          </w:tcPr>
          <w:p w:rsidR="001634F7" w:rsidRPr="005C202F" w:rsidRDefault="001634F7" w:rsidP="00B77A30">
            <w:pPr>
              <w:pStyle w:val="TableText"/>
              <w:keepNext w:val="0"/>
            </w:pPr>
            <w:r w:rsidRPr="005C202F">
              <w:t>Mean dose and frequency of administration during induction and maintenance periods were based on data from the TRANSFORM-2 and SUSTAIN-1 trials. Esketamine drug costs based on the proposed effective DPMQ, with a weighted public/private split (20/80)</w:t>
            </w:r>
          </w:p>
          <w:p w:rsidR="001634F7" w:rsidRPr="005C202F" w:rsidRDefault="001634F7" w:rsidP="00B77A30">
            <w:pPr>
              <w:pStyle w:val="TableText"/>
              <w:keepNext w:val="0"/>
            </w:pPr>
          </w:p>
          <w:p w:rsidR="001634F7" w:rsidRPr="005C202F" w:rsidRDefault="001634F7" w:rsidP="00B77A30">
            <w:pPr>
              <w:pStyle w:val="TableText"/>
              <w:keepNext w:val="0"/>
            </w:pPr>
            <w:r w:rsidRPr="005C202F">
              <w:t xml:space="preserve">Oral antidepressant drug costs based on weighted average of antidepressant agents prescribed in a 10% </w:t>
            </w:r>
            <w:r w:rsidR="00FB2359" w:rsidRPr="005C202F">
              <w:t xml:space="preserve">PBS </w:t>
            </w:r>
            <w:r w:rsidRPr="005C202F">
              <w:t>sample analysis, with costs applied based on costs of agents on the PBS website</w:t>
            </w:r>
          </w:p>
          <w:p w:rsidR="001634F7" w:rsidRPr="005C202F" w:rsidRDefault="001634F7" w:rsidP="00B77A30">
            <w:pPr>
              <w:pStyle w:val="TableText"/>
              <w:keepNext w:val="0"/>
            </w:pPr>
          </w:p>
          <w:p w:rsidR="001634F7" w:rsidRPr="005C202F" w:rsidRDefault="001634F7" w:rsidP="00B77A30">
            <w:pPr>
              <w:pStyle w:val="TableText"/>
              <w:keepNext w:val="0"/>
            </w:pPr>
            <w:r w:rsidRPr="005C202F">
              <w:t>Disease management costs (GP visits, specialist visits, community health centre visits, hospitalisations, emergency department visits) by health state based on a UK study by Denee et al. (2021)</w:t>
            </w:r>
            <w:r w:rsidR="005C202F">
              <w:t xml:space="preserve">. </w:t>
            </w:r>
            <w:r w:rsidRPr="005C202F">
              <w:t>Hospitalisation costs were estimated based on AR-DRG items. Emergency department costs were based on URG items. GP and specialist visit costs were based on MBS items</w:t>
            </w:r>
          </w:p>
          <w:p w:rsidR="001634F7" w:rsidRPr="005C202F" w:rsidRDefault="001634F7" w:rsidP="00B77A30">
            <w:pPr>
              <w:pStyle w:val="TableText"/>
              <w:keepNext w:val="0"/>
            </w:pPr>
          </w:p>
          <w:p w:rsidR="001634F7" w:rsidRPr="005C202F" w:rsidRDefault="001634F7" w:rsidP="00B77A30">
            <w:pPr>
              <w:pStyle w:val="TableText"/>
              <w:keepNext w:val="0"/>
            </w:pPr>
            <w:r w:rsidRPr="005C202F">
              <w:t>A scenario analysis was conducted using a societal perspective including indirect costs to patients due to loss in productivity because of TRD, based on a study of both absenteeism and presenteeism data for varying levels of MDD by Stewart et al. (2003)</w:t>
            </w:r>
          </w:p>
        </w:tc>
      </w:tr>
    </w:tbl>
    <w:p w:rsidR="003270E4" w:rsidRPr="005C202F" w:rsidRDefault="003270E4" w:rsidP="00BB00B3">
      <w:pPr>
        <w:pStyle w:val="TableFigureFooter"/>
      </w:pPr>
      <w:r w:rsidRPr="005C202F">
        <w:t>Source: T</w:t>
      </w:r>
      <w:r w:rsidR="00191105" w:rsidRPr="005C202F">
        <w:t>able 3.1, p.200 of the submission</w:t>
      </w:r>
    </w:p>
    <w:p w:rsidR="008215B1" w:rsidRPr="005C202F" w:rsidRDefault="008215B1" w:rsidP="00BB00B3">
      <w:pPr>
        <w:pStyle w:val="TableFigureFooter"/>
      </w:pPr>
      <w:r w:rsidRPr="005C202F">
        <w:t xml:space="preserve">Abbreviations: </w:t>
      </w:r>
      <w:r w:rsidR="00057517" w:rsidRPr="005C202F">
        <w:t>AR-DRG</w:t>
      </w:r>
      <w:r w:rsidR="00413911" w:rsidRPr="005C202F">
        <w:t xml:space="preserve">, Australian Refined Diagnosis Related Groups; </w:t>
      </w:r>
      <w:r w:rsidR="008D0B5E" w:rsidRPr="005C202F">
        <w:t xml:space="preserve">GP, general practitioner; </w:t>
      </w:r>
      <w:r w:rsidR="00EF2B83" w:rsidRPr="005C202F">
        <w:t xml:space="preserve">MBS, Medicare Benefits Schedule; </w:t>
      </w:r>
      <w:r w:rsidR="008D0B5E" w:rsidRPr="005C202F">
        <w:t>MDD, major depressive disorder;</w:t>
      </w:r>
      <w:r w:rsidR="00EF2B83" w:rsidRPr="005C202F">
        <w:t xml:space="preserve"> </w:t>
      </w:r>
      <w:r w:rsidR="00413911" w:rsidRPr="005C202F">
        <w:t xml:space="preserve">MDE, major depressive episode; </w:t>
      </w:r>
      <w:r w:rsidR="00DB649E" w:rsidRPr="005C202F">
        <w:t xml:space="preserve">OAD, oral antidepressant; </w:t>
      </w:r>
      <w:r w:rsidR="00EF2B83" w:rsidRPr="005C202F">
        <w:t>PBS, Pharmaceutical Benefits Scheme;</w:t>
      </w:r>
      <w:r w:rsidR="008D0B5E" w:rsidRPr="005C202F">
        <w:t xml:space="preserve"> </w:t>
      </w:r>
      <w:r w:rsidR="0079557C" w:rsidRPr="005C202F">
        <w:t xml:space="preserve">TRD, treatment resistant depression; </w:t>
      </w:r>
      <w:r w:rsidR="00EF2B83" w:rsidRPr="005C202F">
        <w:t xml:space="preserve">UK, United Kingdom; </w:t>
      </w:r>
      <w:r w:rsidR="00827A07" w:rsidRPr="005C202F">
        <w:t xml:space="preserve">URG, </w:t>
      </w:r>
      <w:r w:rsidR="00057517" w:rsidRPr="005C202F">
        <w:t>urgency related groups</w:t>
      </w:r>
    </w:p>
    <w:p w:rsidR="0079557C" w:rsidRPr="005C202F" w:rsidRDefault="0079557C" w:rsidP="00586BF9">
      <w:pPr>
        <w:pStyle w:val="ExecSumBodyText"/>
      </w:pPr>
      <w:r w:rsidRPr="005C202F">
        <w:t>The STAR*D study, used to inform transition probabilities for subsequent treatment, was conducted between 2001 and 2006 and some of the included treatments are not commonly used in Australia for the treatment of depression (e.g. bupropion; triiodothyronine augmentation). Additionally, some patients were treated with non-pharmacological therapy (cognitive therapy alone or as a second-line add-on to citalopram therapy).</w:t>
      </w:r>
      <w:r w:rsidR="00586BF9" w:rsidRPr="005C202F">
        <w:t xml:space="preserve"> </w:t>
      </w:r>
      <w:r w:rsidR="00586BF9" w:rsidRPr="005C202F">
        <w:rPr>
          <w:iCs/>
        </w:rPr>
        <w:t>The ESC considered the STAR*D study may not reflect contemporary treatment practises for TRD</w:t>
      </w:r>
      <w:r w:rsidR="00B73D4E" w:rsidRPr="005C202F">
        <w:rPr>
          <w:iCs/>
        </w:rPr>
        <w:t xml:space="preserve"> and the appropriateness of using it to inform transition probabilities was uncertain</w:t>
      </w:r>
      <w:r w:rsidR="005C202F">
        <w:rPr>
          <w:iCs/>
        </w:rPr>
        <w:t xml:space="preserve">. </w:t>
      </w:r>
    </w:p>
    <w:p w:rsidR="00622131" w:rsidRPr="005C202F" w:rsidRDefault="00622131" w:rsidP="00830D5F">
      <w:pPr>
        <w:pStyle w:val="ExecSumBodyText"/>
      </w:pPr>
      <w:r w:rsidRPr="005C202F">
        <w:t>Patients who receive subsequent trea</w:t>
      </w:r>
      <w:r w:rsidR="007B5540" w:rsidRPr="005C202F">
        <w:t>tment may</w:t>
      </w:r>
      <w:r w:rsidR="003D33A1" w:rsidRPr="005C202F">
        <w:t>: remain in the MDE state,</w:t>
      </w:r>
      <w:r w:rsidR="007B5540" w:rsidRPr="005C202F">
        <w:t xml:space="preserve"> experience remission or response</w:t>
      </w:r>
      <w:r w:rsidR="003D33A1" w:rsidRPr="005C202F">
        <w:t xml:space="preserve">, experience relapse, or die. </w:t>
      </w:r>
      <w:r w:rsidR="00A53882" w:rsidRPr="005C202F">
        <w:t>Patients who experience a relapse transition back to the MDE state, where they again have a chance to achieve remission or response.</w:t>
      </w:r>
      <w:r w:rsidR="00513BBA" w:rsidRPr="005C202F">
        <w:t xml:space="preserve"> </w:t>
      </w:r>
      <w:r w:rsidR="00830D5F" w:rsidRPr="005C202F">
        <w:t>The model did not allow recovery to be achieved in the subsequent treatment mix.</w:t>
      </w:r>
    </w:p>
    <w:p w:rsidR="0079557C" w:rsidRPr="005C202F" w:rsidRDefault="0079557C" w:rsidP="0079557C">
      <w:pPr>
        <w:pStyle w:val="TableNote-H58"/>
        <w:rPr>
          <w:lang w:val="en-AU"/>
        </w:rPr>
      </w:pPr>
    </w:p>
    <w:p w:rsidR="00275C5A" w:rsidRPr="005C202F" w:rsidRDefault="000E35F9" w:rsidP="00BB00B3">
      <w:pPr>
        <w:pStyle w:val="ExecSumBodyText"/>
      </w:pPr>
      <w:r w:rsidRPr="005C202F">
        <w:t>Key drivers of the model are summarised in Table 1</w:t>
      </w:r>
      <w:r w:rsidR="00A60886">
        <w:t>1</w:t>
      </w:r>
      <w:r w:rsidRPr="005C202F">
        <w:t xml:space="preserve">. </w:t>
      </w:r>
    </w:p>
    <w:p w:rsidR="00AD1029" w:rsidRPr="005C202F" w:rsidRDefault="00AD1029">
      <w:pPr>
        <w:jc w:val="left"/>
        <w:rPr>
          <w:rFonts w:ascii="Arial Narrow" w:eastAsiaTheme="majorEastAsia" w:hAnsi="Arial Narrow" w:cstheme="majorBidi"/>
          <w:b/>
          <w:bCs/>
          <w:sz w:val="20"/>
        </w:rPr>
      </w:pPr>
      <w:r w:rsidRPr="005C202F">
        <w:br w:type="page"/>
      </w:r>
    </w:p>
    <w:p w:rsidR="00D110BD" w:rsidRPr="005C202F" w:rsidRDefault="00D110BD" w:rsidP="00230DB1">
      <w:pPr>
        <w:pStyle w:val="TableFigureCaption"/>
      </w:pPr>
      <w:r w:rsidRPr="005C202F">
        <w:t xml:space="preserve">Table </w:t>
      </w:r>
      <w:r w:rsidR="00FC0EFD" w:rsidRPr="005C202F">
        <w:t>1</w:t>
      </w:r>
      <w:r w:rsidR="00A60886">
        <w:t>1</w:t>
      </w:r>
      <w:r w:rsidRPr="005C202F">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25"/>
        <w:gridCol w:w="6272"/>
        <w:gridCol w:w="1120"/>
      </w:tblGrid>
      <w:tr w:rsidR="00B77A30" w:rsidRPr="005C202F" w:rsidTr="00B77A30">
        <w:trPr>
          <w:tblHeader/>
        </w:trPr>
        <w:tc>
          <w:tcPr>
            <w:tcW w:w="0" w:type="auto"/>
            <w:shd w:val="clear" w:color="auto" w:fill="auto"/>
            <w:vAlign w:val="center"/>
          </w:tcPr>
          <w:p w:rsidR="00D110BD" w:rsidRPr="005C202F" w:rsidRDefault="00D110BD" w:rsidP="00B77A30">
            <w:pPr>
              <w:pStyle w:val="Tableheadingrow"/>
              <w:keepNext w:val="0"/>
              <w:rPr>
                <w:lang w:val="en-AU"/>
              </w:rPr>
            </w:pPr>
            <w:r w:rsidRPr="005C202F">
              <w:rPr>
                <w:lang w:val="en-AU"/>
              </w:rPr>
              <w:t>Description</w:t>
            </w:r>
          </w:p>
        </w:tc>
        <w:tc>
          <w:tcPr>
            <w:tcW w:w="0" w:type="auto"/>
            <w:shd w:val="clear" w:color="auto" w:fill="auto"/>
            <w:vAlign w:val="center"/>
          </w:tcPr>
          <w:p w:rsidR="00D110BD" w:rsidRPr="005C202F" w:rsidRDefault="00D110BD" w:rsidP="00B77A30">
            <w:pPr>
              <w:pStyle w:val="Tableheadingrow"/>
              <w:keepNext w:val="0"/>
              <w:jc w:val="center"/>
              <w:rPr>
                <w:lang w:val="en-AU"/>
              </w:rPr>
            </w:pPr>
            <w:r w:rsidRPr="005C202F">
              <w:rPr>
                <w:lang w:val="en-AU"/>
              </w:rPr>
              <w:t>Method/Value</w:t>
            </w:r>
          </w:p>
        </w:tc>
        <w:tc>
          <w:tcPr>
            <w:tcW w:w="0" w:type="auto"/>
            <w:shd w:val="clear" w:color="auto" w:fill="auto"/>
            <w:vAlign w:val="center"/>
          </w:tcPr>
          <w:p w:rsidR="00490B17" w:rsidRPr="005C202F" w:rsidRDefault="00D110BD" w:rsidP="00B77A30">
            <w:pPr>
              <w:pStyle w:val="Tableheadingrow"/>
              <w:keepNext w:val="0"/>
              <w:jc w:val="center"/>
              <w:rPr>
                <w:lang w:val="en-AU"/>
              </w:rPr>
            </w:pPr>
            <w:r w:rsidRPr="005C202F">
              <w:rPr>
                <w:lang w:val="en-AU"/>
              </w:rPr>
              <w:t>Impact</w:t>
            </w:r>
          </w:p>
        </w:tc>
      </w:tr>
      <w:tr w:rsidR="00B77A30" w:rsidRPr="005C202F" w:rsidTr="00B77A30">
        <w:tc>
          <w:tcPr>
            <w:tcW w:w="0" w:type="auto"/>
            <w:shd w:val="clear" w:color="auto" w:fill="auto"/>
            <w:vAlign w:val="center"/>
          </w:tcPr>
          <w:p w:rsidR="00D110BD" w:rsidRPr="005C202F" w:rsidRDefault="00604FFE" w:rsidP="00B77A30">
            <w:pPr>
              <w:pStyle w:val="TableText"/>
              <w:keepNext w:val="0"/>
            </w:pPr>
            <w:r w:rsidRPr="005C202F">
              <w:t>Transition probabilities in the maintenance phase</w:t>
            </w:r>
          </w:p>
        </w:tc>
        <w:tc>
          <w:tcPr>
            <w:tcW w:w="0" w:type="auto"/>
            <w:shd w:val="clear" w:color="auto" w:fill="auto"/>
            <w:vAlign w:val="center"/>
          </w:tcPr>
          <w:p w:rsidR="00604FFE" w:rsidRPr="005C202F" w:rsidRDefault="00604FFE" w:rsidP="00B77A30">
            <w:pPr>
              <w:pStyle w:val="TableText"/>
              <w:keepNext w:val="0"/>
              <w:rPr>
                <w:iCs/>
              </w:rPr>
            </w:pPr>
            <w:r w:rsidRPr="005C202F">
              <w:t xml:space="preserve">The application of transition probabilities derived from the SUSTAIN-1 trial in the model assumes that these outcomes will continue to occur at a constant rate and beyond the duration of the trial. </w:t>
            </w:r>
            <w:r w:rsidRPr="005C202F">
              <w:rPr>
                <w:iCs/>
              </w:rPr>
              <w:t>This may not be appropriate, based on the relatively short duration of the trial (10-17 weeks in the maintenance period). There is only limited data to inform the long-term use and outcomes associated with esketamine nasal spray treatment.</w:t>
            </w:r>
          </w:p>
          <w:p w:rsidR="00106B80" w:rsidRPr="005C202F" w:rsidRDefault="00604FFE" w:rsidP="00B77A30">
            <w:pPr>
              <w:pStyle w:val="TableText"/>
              <w:keepNext w:val="0"/>
              <w:rPr>
                <w:iCs/>
              </w:rPr>
            </w:pPr>
            <w:r w:rsidRPr="005C202F">
              <w:rPr>
                <w:iCs/>
              </w:rPr>
              <w:t>Further, the SUSTAIN-1 trial was not an accurate reflection of clinical practice in the placebo treatment arm.</w:t>
            </w:r>
            <w:r w:rsidR="00587725" w:rsidRPr="005C202F">
              <w:rPr>
                <w:iCs/>
              </w:rPr>
              <w:t xml:space="preserve"> The</w:t>
            </w:r>
            <w:r w:rsidR="006C21EA" w:rsidRPr="005C202F">
              <w:rPr>
                <w:iCs/>
              </w:rPr>
              <w:t xml:space="preserve"> withdrawal</w:t>
            </w:r>
            <w:r w:rsidR="00587725" w:rsidRPr="005C202F">
              <w:rPr>
                <w:iCs/>
              </w:rPr>
              <w:t xml:space="preserve"> trial design increased the risk of relapse in responders and remitters randomised to placebo, and likely overstates the </w:t>
            </w:r>
            <w:r w:rsidR="006C21EA" w:rsidRPr="005C202F">
              <w:rPr>
                <w:iCs/>
              </w:rPr>
              <w:t xml:space="preserve">comparative </w:t>
            </w:r>
            <w:r w:rsidR="00587725" w:rsidRPr="005C202F">
              <w:rPr>
                <w:iCs/>
              </w:rPr>
              <w:t>effectiveness of esketamine nasal spray in preventing relapse.</w:t>
            </w:r>
          </w:p>
        </w:tc>
        <w:tc>
          <w:tcPr>
            <w:tcW w:w="0" w:type="auto"/>
            <w:shd w:val="clear" w:color="auto" w:fill="auto"/>
            <w:vAlign w:val="center"/>
          </w:tcPr>
          <w:p w:rsidR="00490B17" w:rsidRPr="005C202F" w:rsidRDefault="00587725" w:rsidP="00B77A30">
            <w:pPr>
              <w:pStyle w:val="TableText"/>
              <w:keepNext w:val="0"/>
            </w:pPr>
            <w:r w:rsidRPr="005C202F">
              <w:t>High, favours esketamine</w:t>
            </w:r>
          </w:p>
        </w:tc>
      </w:tr>
      <w:tr w:rsidR="00D82E9E" w:rsidRPr="005C202F" w:rsidTr="00B77A30">
        <w:tc>
          <w:tcPr>
            <w:tcW w:w="0" w:type="auto"/>
            <w:shd w:val="clear" w:color="auto" w:fill="auto"/>
            <w:vAlign w:val="center"/>
          </w:tcPr>
          <w:p w:rsidR="00D82E9E" w:rsidRPr="005C202F" w:rsidRDefault="00DF523C" w:rsidP="00B77A30">
            <w:pPr>
              <w:pStyle w:val="TableText"/>
              <w:keepNext w:val="0"/>
            </w:pPr>
            <w:r w:rsidRPr="005C202F">
              <w:t>Application of the recovery health state</w:t>
            </w:r>
          </w:p>
        </w:tc>
        <w:tc>
          <w:tcPr>
            <w:tcW w:w="0" w:type="auto"/>
            <w:shd w:val="clear" w:color="auto" w:fill="auto"/>
            <w:vAlign w:val="center"/>
          </w:tcPr>
          <w:p w:rsidR="00D82E9E" w:rsidRPr="005C202F" w:rsidRDefault="00224DA4" w:rsidP="008D67DF">
            <w:pPr>
              <w:pStyle w:val="TableText"/>
              <w:rPr>
                <w:iCs/>
              </w:rPr>
            </w:pPr>
            <w:r w:rsidRPr="005C202F">
              <w:rPr>
                <w:iCs/>
              </w:rPr>
              <w:t xml:space="preserve">In the model, patients who remain in the remission state for nine consecutive cycles following initial treatment </w:t>
            </w:r>
            <w:r w:rsidR="001179C9" w:rsidRPr="005C202F">
              <w:rPr>
                <w:iCs/>
              </w:rPr>
              <w:t xml:space="preserve">(esketamine plus OAD, OAD alone) </w:t>
            </w:r>
            <w:r w:rsidRPr="005C202F">
              <w:rPr>
                <w:iCs/>
              </w:rPr>
              <w:t xml:space="preserve">achieve </w:t>
            </w:r>
            <w:r w:rsidR="001179C9" w:rsidRPr="005C202F">
              <w:rPr>
                <w:iCs/>
              </w:rPr>
              <w:t>recovery.</w:t>
            </w:r>
            <w:r w:rsidR="00FA2645" w:rsidRPr="005C202F">
              <w:rPr>
                <w:iCs/>
              </w:rPr>
              <w:t xml:space="preserve"> </w:t>
            </w:r>
            <w:r w:rsidR="001818F2" w:rsidRPr="005C202F">
              <w:rPr>
                <w:iCs/>
              </w:rPr>
              <w:t>Only a small pr</w:t>
            </w:r>
            <w:r w:rsidR="00FA2645" w:rsidRPr="005C202F">
              <w:rPr>
                <w:iCs/>
              </w:rPr>
              <w:t>oportion of patients</w:t>
            </w:r>
            <w:r w:rsidR="001818F2" w:rsidRPr="005C202F">
              <w:rPr>
                <w:iCs/>
              </w:rPr>
              <w:t xml:space="preserve"> </w:t>
            </w:r>
            <w:r w:rsidR="00FA2645" w:rsidRPr="005C202F">
              <w:rPr>
                <w:iCs/>
              </w:rPr>
              <w:t xml:space="preserve">in the OAD alone arm </w:t>
            </w:r>
            <w:r w:rsidR="001818F2" w:rsidRPr="005C202F">
              <w:rPr>
                <w:iCs/>
              </w:rPr>
              <w:t xml:space="preserve">achieve recovery in the model, which is </w:t>
            </w:r>
            <w:r w:rsidR="00FA2645" w:rsidRPr="005C202F">
              <w:rPr>
                <w:iCs/>
              </w:rPr>
              <w:t xml:space="preserve">likely to be underestimated due to the high </w:t>
            </w:r>
            <w:r w:rsidR="001D0693" w:rsidRPr="005C202F">
              <w:rPr>
                <w:iCs/>
              </w:rPr>
              <w:t xml:space="preserve">placebo </w:t>
            </w:r>
            <w:r w:rsidR="00FA2645" w:rsidRPr="005C202F">
              <w:rPr>
                <w:iCs/>
              </w:rPr>
              <w:t xml:space="preserve">relapse </w:t>
            </w:r>
            <w:r w:rsidR="001818F2" w:rsidRPr="005C202F">
              <w:rPr>
                <w:iCs/>
              </w:rPr>
              <w:t>rate</w:t>
            </w:r>
            <w:r w:rsidR="004058C6" w:rsidRPr="005C202F">
              <w:rPr>
                <w:iCs/>
              </w:rPr>
              <w:t xml:space="preserve"> resulting from the abrupt withdrawal </w:t>
            </w:r>
            <w:r w:rsidR="001D0693" w:rsidRPr="005C202F">
              <w:rPr>
                <w:iCs/>
              </w:rPr>
              <w:t xml:space="preserve">design </w:t>
            </w:r>
            <w:r w:rsidR="00D25DB6" w:rsidRPr="005C202F">
              <w:rPr>
                <w:iCs/>
              </w:rPr>
              <w:t xml:space="preserve">of </w:t>
            </w:r>
            <w:r w:rsidR="004058C6" w:rsidRPr="005C202F">
              <w:rPr>
                <w:iCs/>
              </w:rPr>
              <w:t>SUSTAIN-1 trial, which informs estimates</w:t>
            </w:r>
            <w:r w:rsidR="001D0693" w:rsidRPr="005C202F">
              <w:rPr>
                <w:iCs/>
              </w:rPr>
              <w:t>.</w:t>
            </w:r>
            <w:r w:rsidR="003E3E93" w:rsidRPr="005C202F">
              <w:rPr>
                <w:iCs/>
              </w:rPr>
              <w:t xml:space="preserve"> Further, the model does not allow </w:t>
            </w:r>
            <w:r w:rsidR="002F639C" w:rsidRPr="005C202F">
              <w:rPr>
                <w:iCs/>
              </w:rPr>
              <w:t>patients using subsequent therapy to achieve recovery, which does not reflect real-world outcomes of antidepressant treatment.</w:t>
            </w:r>
            <w:r w:rsidR="00BB4536" w:rsidRPr="005C202F">
              <w:rPr>
                <w:iCs/>
              </w:rPr>
              <w:t xml:space="preserve"> Prospective observational studies have shown that the median time to recovery from a major depressive episode is approximately 20 weeks (Corvell et al., 1994; Solomon et al., 1997), a finding which was consistent in treated patients with multiple recurrent episodes (up to five), and for individuals in the community who have not sought treatment</w:t>
            </w:r>
            <w:r w:rsidR="005C202F">
              <w:rPr>
                <w:iCs/>
              </w:rPr>
              <w:t xml:space="preserve">. </w:t>
            </w:r>
            <w:r w:rsidR="00F817BB" w:rsidRPr="005C202F">
              <w:rPr>
                <w:iCs/>
              </w:rPr>
              <w:t xml:space="preserve">This approach strongly favours esketamine as more patients in the OAD alone arm </w:t>
            </w:r>
            <w:r w:rsidR="00BB4536" w:rsidRPr="005C202F">
              <w:rPr>
                <w:iCs/>
              </w:rPr>
              <w:t>transition to subsequent therapy.</w:t>
            </w:r>
          </w:p>
        </w:tc>
        <w:tc>
          <w:tcPr>
            <w:tcW w:w="0" w:type="auto"/>
            <w:shd w:val="clear" w:color="auto" w:fill="auto"/>
            <w:vAlign w:val="center"/>
          </w:tcPr>
          <w:p w:rsidR="00D82E9E" w:rsidRPr="005C202F" w:rsidRDefault="000F46C2" w:rsidP="00B77A30">
            <w:pPr>
              <w:pStyle w:val="TableText"/>
              <w:keepNext w:val="0"/>
            </w:pPr>
            <w:r w:rsidRPr="005C202F">
              <w:t>High, favours esketamine</w:t>
            </w:r>
          </w:p>
        </w:tc>
      </w:tr>
      <w:tr w:rsidR="00B77A30" w:rsidRPr="005C202F" w:rsidTr="00B77A30">
        <w:tc>
          <w:tcPr>
            <w:tcW w:w="0" w:type="auto"/>
            <w:shd w:val="clear" w:color="auto" w:fill="auto"/>
            <w:vAlign w:val="center"/>
          </w:tcPr>
          <w:p w:rsidR="00D110BD" w:rsidRPr="005C202F" w:rsidRDefault="0061181F" w:rsidP="00B77A30">
            <w:pPr>
              <w:pStyle w:val="TableText"/>
              <w:keepNext w:val="0"/>
            </w:pPr>
            <w:r w:rsidRPr="005C202F">
              <w:t xml:space="preserve">Healthcare resource </w:t>
            </w:r>
            <w:r w:rsidR="009A02A2" w:rsidRPr="005C202F">
              <w:t xml:space="preserve">use and </w:t>
            </w:r>
            <w:r w:rsidRPr="005C202F">
              <w:t>costs</w:t>
            </w:r>
          </w:p>
        </w:tc>
        <w:tc>
          <w:tcPr>
            <w:tcW w:w="0" w:type="auto"/>
            <w:shd w:val="clear" w:color="auto" w:fill="auto"/>
            <w:vAlign w:val="center"/>
          </w:tcPr>
          <w:p w:rsidR="00D110BD" w:rsidRPr="005C202F" w:rsidRDefault="00B37C0C" w:rsidP="00B77A30">
            <w:pPr>
              <w:pStyle w:val="TableText"/>
              <w:keepNext w:val="0"/>
            </w:pPr>
            <w:r w:rsidRPr="005C202F">
              <w:t xml:space="preserve">The model generates </w:t>
            </w:r>
            <w:r w:rsidR="00AB0A35" w:rsidRPr="005C202F">
              <w:t>a large number of hospitalisations</w:t>
            </w:r>
            <w:r w:rsidR="005507DB" w:rsidRPr="005C202F">
              <w:t xml:space="preserve"> over the time horizon</w:t>
            </w:r>
            <w:r w:rsidR="00C36491" w:rsidRPr="005C202F">
              <w:t>, based on resource use estimates</w:t>
            </w:r>
            <w:r w:rsidR="00AB31D4" w:rsidRPr="005C202F">
              <w:t xml:space="preserve"> from a UK </w:t>
            </w:r>
            <w:r w:rsidR="007C72B8" w:rsidRPr="005C202F">
              <w:t>retrospective chart review</w:t>
            </w:r>
            <w:r w:rsidR="00AB31D4" w:rsidRPr="005C202F">
              <w:t xml:space="preserve"> (Denee 2021)</w:t>
            </w:r>
            <w:r w:rsidR="005507DB" w:rsidRPr="005C202F">
              <w:t>.</w:t>
            </w:r>
            <w:r w:rsidR="00FC4F12" w:rsidRPr="005C202F">
              <w:t xml:space="preserve"> </w:t>
            </w:r>
            <w:r w:rsidR="00FC4F12" w:rsidRPr="005C202F">
              <w:rPr>
                <w:iCs/>
              </w:rPr>
              <w:t xml:space="preserve">The data were based on a </w:t>
            </w:r>
            <w:r w:rsidR="007640CF" w:rsidRPr="005C202F">
              <w:rPr>
                <w:iCs/>
              </w:rPr>
              <w:t>relatively small and heterogeneous sample</w:t>
            </w:r>
            <w:r w:rsidR="004F65BC" w:rsidRPr="005C202F">
              <w:rPr>
                <w:iCs/>
              </w:rPr>
              <w:t>.</w:t>
            </w:r>
            <w:r w:rsidR="005507DB" w:rsidRPr="005C202F">
              <w:t xml:space="preserve"> </w:t>
            </w:r>
            <w:r w:rsidR="00BD4239" w:rsidRPr="005C202F">
              <w:rPr>
                <w:iCs/>
              </w:rPr>
              <w:t xml:space="preserve">The </w:t>
            </w:r>
            <w:r w:rsidR="002861B2" w:rsidRPr="005C202F">
              <w:rPr>
                <w:iCs/>
              </w:rPr>
              <w:t xml:space="preserve">applicability of this study to the Australian setting is </w:t>
            </w:r>
            <w:r w:rsidR="005507DB" w:rsidRPr="005C202F">
              <w:rPr>
                <w:iCs/>
              </w:rPr>
              <w:t xml:space="preserve">unclear </w:t>
            </w:r>
            <w:r w:rsidR="002861B2" w:rsidRPr="005C202F">
              <w:rPr>
                <w:iCs/>
              </w:rPr>
              <w:t>a</w:t>
            </w:r>
            <w:r w:rsidR="00BD4239" w:rsidRPr="005C202F">
              <w:rPr>
                <w:iCs/>
              </w:rPr>
              <w:t>nd the reductions in hospitalisations generated in the model may not</w:t>
            </w:r>
            <w:r w:rsidR="005507DB" w:rsidRPr="005C202F">
              <w:rPr>
                <w:iCs/>
              </w:rPr>
              <w:t xml:space="preserve"> be realised in practice.</w:t>
            </w:r>
          </w:p>
        </w:tc>
        <w:tc>
          <w:tcPr>
            <w:tcW w:w="0" w:type="auto"/>
            <w:shd w:val="clear" w:color="auto" w:fill="auto"/>
            <w:vAlign w:val="center"/>
          </w:tcPr>
          <w:p w:rsidR="00D110BD" w:rsidRPr="005C202F" w:rsidRDefault="009A02A2" w:rsidP="00B77A30">
            <w:pPr>
              <w:pStyle w:val="TableText"/>
              <w:keepNext w:val="0"/>
            </w:pPr>
            <w:r w:rsidRPr="005C202F">
              <w:t>Moderate, favours esketamine</w:t>
            </w:r>
          </w:p>
        </w:tc>
      </w:tr>
      <w:tr w:rsidR="00B77A30" w:rsidRPr="005C202F" w:rsidTr="00B77A30">
        <w:tc>
          <w:tcPr>
            <w:tcW w:w="0" w:type="auto"/>
            <w:shd w:val="clear" w:color="auto" w:fill="auto"/>
            <w:vAlign w:val="center"/>
          </w:tcPr>
          <w:p w:rsidR="008B1766" w:rsidRPr="005C202F" w:rsidRDefault="008B1766" w:rsidP="00B77A30">
            <w:pPr>
              <w:pStyle w:val="TableText"/>
              <w:keepNext w:val="0"/>
            </w:pPr>
            <w:r w:rsidRPr="005C202F">
              <w:t>Costs of administration and monitoring</w:t>
            </w:r>
          </w:p>
        </w:tc>
        <w:tc>
          <w:tcPr>
            <w:tcW w:w="0" w:type="auto"/>
            <w:shd w:val="clear" w:color="auto" w:fill="auto"/>
            <w:vAlign w:val="center"/>
          </w:tcPr>
          <w:p w:rsidR="008B1766" w:rsidRPr="005C202F" w:rsidRDefault="003505BF" w:rsidP="00B77A30">
            <w:pPr>
              <w:pStyle w:val="TableText"/>
              <w:keepNext w:val="0"/>
            </w:pPr>
            <w:r w:rsidRPr="005C202F">
              <w:t>The mechanism for delivering, supervising, and monitoring esketamine nasal spray in Australia was not well defined in the submission. Esketamine nasal spray represents a novel treatment paradigm, and the mechanism for administration needs to be clarified. The administration cost in the model</w:t>
            </w:r>
            <w:r w:rsidR="00BD4239" w:rsidRPr="005C202F">
              <w:t xml:space="preserve"> (based on a 15 minute psychiatrist consultation)</w:t>
            </w:r>
            <w:r w:rsidRPr="005C202F">
              <w:t>, which was inappropriately applied to both treatment arms, is likely to greatly underestimate the costs of administration and monitoring.</w:t>
            </w:r>
          </w:p>
        </w:tc>
        <w:tc>
          <w:tcPr>
            <w:tcW w:w="0" w:type="auto"/>
            <w:shd w:val="clear" w:color="auto" w:fill="auto"/>
            <w:vAlign w:val="center"/>
          </w:tcPr>
          <w:p w:rsidR="008B1766" w:rsidRPr="005C202F" w:rsidRDefault="003505BF" w:rsidP="00B77A30">
            <w:pPr>
              <w:pStyle w:val="TableText"/>
              <w:keepNext w:val="0"/>
            </w:pPr>
            <w:r w:rsidRPr="005C202F">
              <w:t>High, favours esketamine</w:t>
            </w:r>
          </w:p>
        </w:tc>
      </w:tr>
      <w:tr w:rsidR="00B77A30" w:rsidRPr="005C202F" w:rsidTr="00B77A30">
        <w:tc>
          <w:tcPr>
            <w:tcW w:w="0" w:type="auto"/>
            <w:shd w:val="clear" w:color="auto" w:fill="auto"/>
            <w:vAlign w:val="center"/>
          </w:tcPr>
          <w:p w:rsidR="00E03C5C" w:rsidRPr="005C202F" w:rsidRDefault="00E03C5C" w:rsidP="00B77A30">
            <w:pPr>
              <w:pStyle w:val="TableText"/>
              <w:keepNext w:val="0"/>
            </w:pPr>
            <w:r w:rsidRPr="005C202F">
              <w:t>Treatment discontinuations</w:t>
            </w:r>
          </w:p>
        </w:tc>
        <w:tc>
          <w:tcPr>
            <w:tcW w:w="0" w:type="auto"/>
            <w:shd w:val="clear" w:color="auto" w:fill="auto"/>
            <w:vAlign w:val="center"/>
          </w:tcPr>
          <w:p w:rsidR="00E03C5C" w:rsidRPr="005C202F" w:rsidRDefault="008A00C9" w:rsidP="00B77A30">
            <w:pPr>
              <w:pStyle w:val="TableText"/>
              <w:keepNext w:val="0"/>
            </w:pPr>
            <w:r w:rsidRPr="005C202F">
              <w:t>An exponential parametric curve was fitted to pooled data from stable responders and stable remitters with</w:t>
            </w:r>
            <w:r w:rsidR="00577DEF" w:rsidRPr="005C202F">
              <w:t xml:space="preserve"> esketamine</w:t>
            </w:r>
            <w:r w:rsidRPr="005C202F">
              <w:t xml:space="preserve"> discontinuation for any reason in the SUSTAIN-1 trial</w:t>
            </w:r>
            <w:r w:rsidR="008A194E" w:rsidRPr="005C202F">
              <w:t xml:space="preserve"> to model treatment discontinuations. Treatment discontinuations</w:t>
            </w:r>
            <w:r w:rsidR="00544E2A" w:rsidRPr="005C202F">
              <w:t xml:space="preserve"> </w:t>
            </w:r>
            <w:r w:rsidR="008A194E" w:rsidRPr="005C202F">
              <w:t>are</w:t>
            </w:r>
            <w:r w:rsidR="00544E2A" w:rsidRPr="005C202F">
              <w:t xml:space="preserve"> only applied as a reduction in drug costs</w:t>
            </w:r>
            <w:r w:rsidR="002F124D" w:rsidRPr="005C202F">
              <w:t xml:space="preserve"> in all hea</w:t>
            </w:r>
            <w:r w:rsidR="00816D85" w:rsidRPr="005C202F">
              <w:t>l</w:t>
            </w:r>
            <w:r w:rsidR="002F124D" w:rsidRPr="005C202F">
              <w:t>th states from week 5 onwards</w:t>
            </w:r>
            <w:r w:rsidR="00544E2A" w:rsidRPr="005C202F">
              <w:t xml:space="preserve">. </w:t>
            </w:r>
            <w:r w:rsidR="00544E2A" w:rsidRPr="005C202F">
              <w:rPr>
                <w:iCs/>
              </w:rPr>
              <w:t>The application of treatment persistence as a reduction to drug costs only beyond the observed trial period is inappropriate, as treatment persistence would also impact the effectiveness and safety of the treatment (i.e. non-persistent patients will reduce drug costs but also receive reduced benefits/harms of treatment).</w:t>
            </w:r>
          </w:p>
        </w:tc>
        <w:tc>
          <w:tcPr>
            <w:tcW w:w="0" w:type="auto"/>
            <w:shd w:val="clear" w:color="auto" w:fill="auto"/>
            <w:vAlign w:val="center"/>
          </w:tcPr>
          <w:p w:rsidR="00E03C5C" w:rsidRPr="005C202F" w:rsidRDefault="002F124D" w:rsidP="00B77A30">
            <w:pPr>
              <w:pStyle w:val="TableText"/>
              <w:keepNext w:val="0"/>
            </w:pPr>
            <w:r w:rsidRPr="005C202F">
              <w:t>High, favours esketamine</w:t>
            </w:r>
          </w:p>
        </w:tc>
      </w:tr>
    </w:tbl>
    <w:p w:rsidR="00D110BD" w:rsidRPr="005C202F" w:rsidRDefault="009D792E" w:rsidP="00BB00B3">
      <w:pPr>
        <w:pStyle w:val="TableFigureFooter"/>
      </w:pPr>
      <w:r w:rsidRPr="005C202F">
        <w:t xml:space="preserve">Source: </w:t>
      </w:r>
      <w:r w:rsidR="009A02A2" w:rsidRPr="005C202F">
        <w:t>Constructed during the evaluation</w:t>
      </w:r>
      <w:r w:rsidRPr="005C202F">
        <w:t>.</w:t>
      </w:r>
    </w:p>
    <w:p w:rsidR="00F04101" w:rsidRPr="005C202F" w:rsidRDefault="00F04101" w:rsidP="00F04101">
      <w:pPr>
        <w:pStyle w:val="ExecSumBodyText"/>
      </w:pPr>
      <w:r w:rsidRPr="005C202F">
        <w:t xml:space="preserve">The model </w:t>
      </w:r>
      <w:r w:rsidR="001E1485" w:rsidRPr="005C202F">
        <w:t>trace</w:t>
      </w:r>
      <w:r w:rsidRPr="005C202F">
        <w:t xml:space="preserve"> is summarised in Figure </w:t>
      </w:r>
      <w:r w:rsidR="001E1485" w:rsidRPr="005C202F">
        <w:t>2</w:t>
      </w:r>
      <w:r w:rsidRPr="005C202F">
        <w:t>.</w:t>
      </w:r>
    </w:p>
    <w:p w:rsidR="00F04101" w:rsidRPr="005C202F" w:rsidRDefault="00F04101" w:rsidP="00F04101">
      <w:pPr>
        <w:pStyle w:val="Tableheadingrow"/>
        <w:rPr>
          <w:lang w:val="en-AU"/>
        </w:rPr>
      </w:pPr>
      <w:r w:rsidRPr="005C202F">
        <w:rPr>
          <w:lang w:val="en-AU"/>
        </w:rPr>
        <w:t>Figure 2: Markov trace</w:t>
      </w:r>
    </w:p>
    <w:p w:rsidR="00CD0241" w:rsidRPr="005C202F" w:rsidRDefault="00CD0241" w:rsidP="00F04101">
      <w:pPr>
        <w:pStyle w:val="Tableheadingrow"/>
        <w:rPr>
          <w:lang w:val="en-AU"/>
        </w:rPr>
      </w:pPr>
      <w:r w:rsidRPr="005C202F">
        <w:rPr>
          <w:noProof/>
          <w:lang w:val="en-AU"/>
        </w:rPr>
        <w:drawing>
          <wp:inline distT="0" distB="0" distL="0" distR="0" wp14:anchorId="79E8CD6F" wp14:editId="731E1DFF">
            <wp:extent cx="5688000" cy="3708000"/>
            <wp:effectExtent l="0" t="0" r="8255" b="6985"/>
            <wp:docPr id="4" name="Picture 4" title="Figure 2: Markov 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8000" cy="3708000"/>
                    </a:xfrm>
                    <a:prstGeom prst="rect">
                      <a:avLst/>
                    </a:prstGeom>
                    <a:noFill/>
                  </pic:spPr>
                </pic:pic>
              </a:graphicData>
            </a:graphic>
          </wp:inline>
        </w:drawing>
      </w:r>
    </w:p>
    <w:p w:rsidR="00F04101" w:rsidRPr="005C202F" w:rsidRDefault="00F04101" w:rsidP="00F04101"/>
    <w:p w:rsidR="00F04101" w:rsidRPr="005C202F" w:rsidRDefault="00F04101" w:rsidP="00F04101">
      <w:pPr>
        <w:pStyle w:val="TableFigureFooter"/>
      </w:pPr>
      <w:r w:rsidRPr="005C202F">
        <w:t>Source: constructed during the evaluation using Attachment 19- Esketamine TRD CE model spreadsheet</w:t>
      </w:r>
    </w:p>
    <w:p w:rsidR="00F04101" w:rsidRPr="005C202F" w:rsidRDefault="00F04101" w:rsidP="00F04101">
      <w:pPr>
        <w:pStyle w:val="TableFigureFooter"/>
      </w:pPr>
      <w:r w:rsidRPr="005C202F">
        <w:t xml:space="preserve">Abbreviations: Esk, esketamine; </w:t>
      </w:r>
      <w:r w:rsidR="00235C78" w:rsidRPr="005C202F">
        <w:t xml:space="preserve">MDE, major depressive episode; </w:t>
      </w:r>
      <w:r w:rsidRPr="005C202F">
        <w:t>OAD, oral antidepressant; Pbo, placebo</w:t>
      </w:r>
    </w:p>
    <w:p w:rsidR="00844212" w:rsidRPr="005C202F" w:rsidRDefault="00F04101" w:rsidP="00844212">
      <w:pPr>
        <w:pStyle w:val="ExecSumBodyText"/>
        <w:rPr>
          <w:i/>
          <w:iCs/>
        </w:rPr>
      </w:pPr>
      <w:bookmarkStart w:id="27" w:name="_Ref78965174"/>
      <w:r w:rsidRPr="005C202F">
        <w:t xml:space="preserve">The model is driven by a greater proportion of patients in the placebo arm in the MDE health state, and a smaller proportion of patients in the placebo arm in the recovery health state. </w:t>
      </w:r>
      <w:r w:rsidRPr="005C202F">
        <w:rPr>
          <w:iCs/>
        </w:rPr>
        <w:t>Although this is consistent with the higher remission rate and lower relapse rate observed in the esketamine nasal spray arm of the TRANSFO</w:t>
      </w:r>
      <w:r w:rsidR="00F22195" w:rsidRPr="005C202F">
        <w:rPr>
          <w:iCs/>
        </w:rPr>
        <w:t>R</w:t>
      </w:r>
      <w:r w:rsidRPr="005C202F">
        <w:rPr>
          <w:iCs/>
        </w:rPr>
        <w:t xml:space="preserve">M-2 and SUSTAIN-1 trials, </w:t>
      </w:r>
      <w:r w:rsidR="002E12F0" w:rsidRPr="005C202F">
        <w:rPr>
          <w:iCs/>
        </w:rPr>
        <w:t xml:space="preserve">which leads to a higher proportion achieving recovery in the esketamine nasal spray with OAD </w:t>
      </w:r>
      <w:r w:rsidR="008E63A1" w:rsidRPr="005C202F">
        <w:rPr>
          <w:iCs/>
        </w:rPr>
        <w:t xml:space="preserve">treatment arm, </w:t>
      </w:r>
      <w:r w:rsidRPr="005C202F">
        <w:rPr>
          <w:iCs/>
        </w:rPr>
        <w:t xml:space="preserve">there is no evidence to suggest this would be maintained indefinitely. </w:t>
      </w:r>
      <w:r w:rsidR="00E939BB" w:rsidRPr="005C202F">
        <w:rPr>
          <w:iCs/>
        </w:rPr>
        <w:t>Only a</w:t>
      </w:r>
      <w:r w:rsidRPr="005C202F">
        <w:rPr>
          <w:iCs/>
        </w:rPr>
        <w:t xml:space="preserve"> small proportion of patients in the placebo arm achieve recovery. This does not meet face validity; larger proportions of patients achieve recovery in current clinical practice than are modelled in the placebo treatment arm</w:t>
      </w:r>
      <w:r w:rsidRPr="005C202F">
        <w:t>.</w:t>
      </w:r>
      <w:r w:rsidR="008E63A1" w:rsidRPr="005C202F">
        <w:t xml:space="preserve"> </w:t>
      </w:r>
      <w:r w:rsidR="008E63A1" w:rsidRPr="005C202F">
        <w:rPr>
          <w:iCs/>
        </w:rPr>
        <w:t xml:space="preserve">The low </w:t>
      </w:r>
      <w:r w:rsidR="000F6E3A" w:rsidRPr="005C202F">
        <w:rPr>
          <w:iCs/>
        </w:rPr>
        <w:t>recovery rates in the OAD only treatment arm are based on the higher relapse rates observed in the SUSTAIN-1 trial</w:t>
      </w:r>
      <w:r w:rsidR="0079557C" w:rsidRPr="005C202F">
        <w:rPr>
          <w:iCs/>
        </w:rPr>
        <w:t xml:space="preserve"> and the inability to achieve recovery with subsequent treatment</w:t>
      </w:r>
      <w:r w:rsidR="000F6E3A" w:rsidRPr="005C202F">
        <w:rPr>
          <w:iCs/>
        </w:rPr>
        <w:t>, which are unlikely to be realised in practice</w:t>
      </w:r>
      <w:r w:rsidR="00D92D05" w:rsidRPr="005C202F">
        <w:rPr>
          <w:i/>
          <w:iCs/>
        </w:rPr>
        <w:t>.</w:t>
      </w:r>
      <w:r w:rsidR="00B971B3" w:rsidRPr="005C202F">
        <w:rPr>
          <w:i/>
          <w:iCs/>
        </w:rPr>
        <w:t xml:space="preserve"> </w:t>
      </w:r>
      <w:r w:rsidR="00844212" w:rsidRPr="005C202F">
        <w:rPr>
          <w:iCs/>
        </w:rPr>
        <w:t>The PSCR argued that not including a recovery health state for subsequent therapy was justified by the low probability of recovery in TRD patient who received multiple therapies (based on the STAR-D study)</w:t>
      </w:r>
      <w:r w:rsidR="009E0656" w:rsidRPr="005C202F">
        <w:rPr>
          <w:iCs/>
        </w:rPr>
        <w:t>,</w:t>
      </w:r>
      <w:r w:rsidR="00844212" w:rsidRPr="005C202F">
        <w:rPr>
          <w:iCs/>
        </w:rPr>
        <w:t xml:space="preserve"> and further argued the </w:t>
      </w:r>
      <w:r w:rsidR="00EF0782" w:rsidRPr="005C202F">
        <w:rPr>
          <w:iCs/>
        </w:rPr>
        <w:t>model did</w:t>
      </w:r>
      <w:r w:rsidR="00844212" w:rsidRPr="005C202F">
        <w:rPr>
          <w:iCs/>
        </w:rPr>
        <w:t xml:space="preserve"> not attribute any QALY benefit to patients achieving recovery </w:t>
      </w:r>
      <w:r w:rsidR="00EF0782" w:rsidRPr="005C202F">
        <w:rPr>
          <w:iCs/>
        </w:rPr>
        <w:t>with the</w:t>
      </w:r>
      <w:r w:rsidR="00844212" w:rsidRPr="005C202F">
        <w:rPr>
          <w:iCs/>
        </w:rPr>
        <w:t xml:space="preserve"> subsequent treatment </w:t>
      </w:r>
      <w:r w:rsidR="009E0656" w:rsidRPr="005C202F">
        <w:rPr>
          <w:iCs/>
        </w:rPr>
        <w:t xml:space="preserve">in the </w:t>
      </w:r>
      <w:r w:rsidR="00844212" w:rsidRPr="005C202F">
        <w:rPr>
          <w:iCs/>
        </w:rPr>
        <w:t>esketamine arm of the model and was therefore conservative. The ESC considered the exclusion of a recovery state in subsequent treatment was inappropriate and did not reflect clinical practice, particularly with esketamine placed early in the treatment algorithm and the availability of later line treatment options</w:t>
      </w:r>
      <w:r w:rsidR="001969F8" w:rsidRPr="005C202F">
        <w:rPr>
          <w:iCs/>
        </w:rPr>
        <w:t xml:space="preserve">. The ESC considered </w:t>
      </w:r>
      <w:r w:rsidR="00844212" w:rsidRPr="005C202F">
        <w:rPr>
          <w:iCs/>
        </w:rPr>
        <w:t xml:space="preserve">a five year time horizon resulted in any difference between treatment arms in the proportion of patients in the recovery health state </w:t>
      </w:r>
      <w:r w:rsidR="001969F8" w:rsidRPr="005C202F">
        <w:rPr>
          <w:iCs/>
        </w:rPr>
        <w:t xml:space="preserve">early in the model </w:t>
      </w:r>
      <w:r w:rsidR="00844212" w:rsidRPr="005C202F">
        <w:rPr>
          <w:iCs/>
        </w:rPr>
        <w:t>being maintained for a long period of time.</w:t>
      </w:r>
      <w:bookmarkEnd w:id="27"/>
      <w:r w:rsidR="00844212" w:rsidRPr="005C202F">
        <w:rPr>
          <w:iCs/>
        </w:rPr>
        <w:t xml:space="preserve"> </w:t>
      </w:r>
    </w:p>
    <w:p w:rsidR="0079557C" w:rsidRPr="005C202F" w:rsidRDefault="0079557C" w:rsidP="0079557C">
      <w:pPr>
        <w:pStyle w:val="ExecSumBodyText"/>
      </w:pPr>
      <w:r w:rsidRPr="005C202F">
        <w:t xml:space="preserve">Figure 3 is a trace showing the proportion of patients in the initial versus subsequent </w:t>
      </w:r>
      <w:r w:rsidR="00CF3A59" w:rsidRPr="005C202F">
        <w:t xml:space="preserve">TRD </w:t>
      </w:r>
      <w:r w:rsidRPr="005C202F">
        <w:t xml:space="preserve">treatments, by treatment arm in the model. </w:t>
      </w:r>
    </w:p>
    <w:p w:rsidR="0079557C" w:rsidRPr="005C202F" w:rsidRDefault="0079557C" w:rsidP="0079557C">
      <w:pPr>
        <w:pStyle w:val="Tableheadingrow"/>
        <w:rPr>
          <w:lang w:val="en-AU"/>
        </w:rPr>
      </w:pPr>
      <w:r w:rsidRPr="005C202F">
        <w:rPr>
          <w:lang w:val="en-AU"/>
        </w:rPr>
        <w:t>Figure 3: Proportions of patients in TRD treatment (ESK+OAD or OAD alone) versus subsequent treatment</w:t>
      </w:r>
    </w:p>
    <w:p w:rsidR="0079557C" w:rsidRPr="005C202F" w:rsidRDefault="0079557C" w:rsidP="0064224A">
      <w:pPr>
        <w:pStyle w:val="ExecSumBodyText"/>
        <w:numPr>
          <w:ilvl w:val="0"/>
          <w:numId w:val="0"/>
        </w:numPr>
        <w:spacing w:after="0"/>
      </w:pPr>
      <w:r w:rsidRPr="005C202F">
        <w:rPr>
          <w:rFonts w:ascii="Arial Narrow" w:eastAsia="Calibri" w:hAnsi="Arial Narrow" w:cs="Times New Roman"/>
          <w:b/>
          <w:bCs/>
          <w:noProof/>
          <w:snapToGrid/>
          <w:sz w:val="20"/>
          <w:szCs w:val="20"/>
        </w:rPr>
        <w:drawing>
          <wp:inline distT="0" distB="0" distL="0" distR="0" wp14:anchorId="6762D5F7" wp14:editId="55B76143">
            <wp:extent cx="5688000" cy="3711600"/>
            <wp:effectExtent l="0" t="0" r="8255" b="3175"/>
            <wp:docPr id="10" name="Picture 10" title="Figure 3: Proportions of patients in TRD treatment (ESK+OAD or OAD alone) versus subsequent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8000" cy="3711600"/>
                    </a:xfrm>
                    <a:prstGeom prst="rect">
                      <a:avLst/>
                    </a:prstGeom>
                    <a:noFill/>
                  </pic:spPr>
                </pic:pic>
              </a:graphicData>
            </a:graphic>
          </wp:inline>
        </w:drawing>
      </w:r>
    </w:p>
    <w:p w:rsidR="0079557C" w:rsidRPr="005C202F" w:rsidRDefault="0079557C" w:rsidP="0064224A">
      <w:pPr>
        <w:pStyle w:val="TableFooter"/>
        <w:spacing w:after="60"/>
        <w:contextualSpacing/>
      </w:pPr>
      <w:r w:rsidRPr="005C202F">
        <w:t>Source: constructed during the evaluation using Attachment 19- Esketamine TRD CE model spreadsheet</w:t>
      </w:r>
    </w:p>
    <w:p w:rsidR="0079557C" w:rsidRPr="005C202F" w:rsidRDefault="0079557C" w:rsidP="0064224A">
      <w:pPr>
        <w:pStyle w:val="TableFooter"/>
        <w:spacing w:after="60"/>
        <w:contextualSpacing/>
      </w:pPr>
      <w:r w:rsidRPr="005C202F">
        <w:t>Abbreviations: Esk, esketamine; OAD, oral antidepressant; Pbo, placebo</w:t>
      </w:r>
    </w:p>
    <w:p w:rsidR="0079557C" w:rsidRPr="005C202F" w:rsidRDefault="0002025C" w:rsidP="006E7268">
      <w:pPr>
        <w:pStyle w:val="ExecSumBodyText"/>
      </w:pPr>
      <w:r w:rsidRPr="005C202F">
        <w:t>Table 1</w:t>
      </w:r>
      <w:r w:rsidR="00A60886">
        <w:t>2</w:t>
      </w:r>
      <w:r w:rsidRPr="005C202F">
        <w:t xml:space="preserve"> summarises the incremental costs for health care resource items used in the economic evaluation.</w:t>
      </w:r>
    </w:p>
    <w:p w:rsidR="0079557C" w:rsidRPr="005C202F" w:rsidRDefault="0079557C" w:rsidP="0077790C">
      <w:pPr>
        <w:pStyle w:val="TableHeading"/>
        <w:keepLines/>
        <w:spacing w:after="0"/>
      </w:pPr>
      <w:r w:rsidRPr="005C202F">
        <w:t>Table 1</w:t>
      </w:r>
      <w:r w:rsidR="00A60886">
        <w:t>2</w:t>
      </w:r>
      <w:r w:rsidRPr="005C202F">
        <w:t>: Disaggregated summary of cost impacts (discounted) in the economic evaluation</w:t>
      </w:r>
    </w:p>
    <w:tbl>
      <w:tblPr>
        <w:tblStyle w:val="TableGrid"/>
        <w:tblW w:w="5000" w:type="pct"/>
        <w:tblLook w:val="04A0" w:firstRow="1" w:lastRow="0" w:firstColumn="1" w:lastColumn="0" w:noHBand="0" w:noVBand="1"/>
        <w:tblCaption w:val="Table 12: Disaggregated summary of cost impacts (discounted) in the economic evaluation"/>
      </w:tblPr>
      <w:tblGrid>
        <w:gridCol w:w="2406"/>
        <w:gridCol w:w="2203"/>
        <w:gridCol w:w="2204"/>
        <w:gridCol w:w="2204"/>
      </w:tblGrid>
      <w:tr w:rsidR="0079557C" w:rsidRPr="005C202F" w:rsidTr="0079557C">
        <w:trPr>
          <w:tblHeader/>
        </w:trPr>
        <w:tc>
          <w:tcPr>
            <w:tcW w:w="2406" w:type="dxa"/>
            <w:vAlign w:val="center"/>
          </w:tcPr>
          <w:p w:rsidR="0079557C" w:rsidRPr="005C202F" w:rsidRDefault="0079557C" w:rsidP="0077790C">
            <w:pPr>
              <w:pStyle w:val="TableText"/>
              <w:keepLines/>
              <w:rPr>
                <w:b/>
                <w:bCs w:val="0"/>
                <w:szCs w:val="20"/>
              </w:rPr>
            </w:pPr>
            <w:r w:rsidRPr="005C202F">
              <w:rPr>
                <w:b/>
                <w:bCs w:val="0"/>
                <w:szCs w:val="20"/>
              </w:rPr>
              <w:t>Cost description</w:t>
            </w:r>
          </w:p>
        </w:tc>
        <w:tc>
          <w:tcPr>
            <w:tcW w:w="2203" w:type="dxa"/>
            <w:vAlign w:val="center"/>
          </w:tcPr>
          <w:p w:rsidR="0079557C" w:rsidRPr="005C202F" w:rsidRDefault="0079557C" w:rsidP="0077790C">
            <w:pPr>
              <w:pStyle w:val="TableText"/>
              <w:keepLines/>
              <w:jc w:val="center"/>
              <w:rPr>
                <w:b/>
                <w:bCs w:val="0"/>
                <w:szCs w:val="20"/>
              </w:rPr>
            </w:pPr>
            <w:r w:rsidRPr="005C202F">
              <w:rPr>
                <w:b/>
                <w:bCs w:val="0"/>
                <w:szCs w:val="20"/>
              </w:rPr>
              <w:t>Esketamine + oral antidepressant</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Oral antidepressant</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Increment</w:t>
            </w:r>
          </w:p>
        </w:tc>
      </w:tr>
      <w:tr w:rsidR="0079557C" w:rsidRPr="005C202F" w:rsidTr="0079557C">
        <w:tc>
          <w:tcPr>
            <w:tcW w:w="9017" w:type="dxa"/>
            <w:gridSpan w:val="4"/>
            <w:vAlign w:val="center"/>
          </w:tcPr>
          <w:p w:rsidR="0079557C" w:rsidRPr="005C202F" w:rsidRDefault="0079557C" w:rsidP="0077790C">
            <w:pPr>
              <w:pStyle w:val="TableText"/>
              <w:keepLines/>
              <w:rPr>
                <w:b/>
                <w:bCs w:val="0"/>
                <w:smallCaps/>
                <w:szCs w:val="20"/>
              </w:rPr>
            </w:pPr>
            <w:r w:rsidRPr="005C202F">
              <w:rPr>
                <w:b/>
                <w:bCs w:val="0"/>
                <w:smallCaps/>
                <w:szCs w:val="20"/>
              </w:rPr>
              <w:t>Costs by resource item</w:t>
            </w:r>
          </w:p>
        </w:tc>
      </w:tr>
      <w:tr w:rsidR="0079557C" w:rsidRPr="005C202F" w:rsidTr="0079557C">
        <w:tc>
          <w:tcPr>
            <w:tcW w:w="2406" w:type="dxa"/>
          </w:tcPr>
          <w:p w:rsidR="0079557C" w:rsidRPr="005C202F" w:rsidRDefault="0079557C" w:rsidP="0077790C">
            <w:pPr>
              <w:pStyle w:val="TableText"/>
              <w:keepLines/>
              <w:rPr>
                <w:b/>
                <w:bCs w:val="0"/>
                <w:szCs w:val="20"/>
              </w:rPr>
            </w:pPr>
            <w:r w:rsidRPr="005C202F">
              <w:rPr>
                <w:b/>
                <w:bCs w:val="0"/>
                <w:szCs w:val="20"/>
              </w:rPr>
              <w:t>Treatment costs</w:t>
            </w:r>
          </w:p>
        </w:tc>
        <w:tc>
          <w:tcPr>
            <w:tcW w:w="2203" w:type="dxa"/>
            <w:vAlign w:val="center"/>
          </w:tcPr>
          <w:p w:rsidR="0079557C" w:rsidRPr="005C202F" w:rsidRDefault="0079557C" w:rsidP="0077790C">
            <w:pPr>
              <w:pStyle w:val="TableText"/>
              <w:keepLines/>
              <w:jc w:val="center"/>
              <w:rPr>
                <w:b/>
                <w:bCs w:val="0"/>
                <w:szCs w:val="20"/>
              </w:rPr>
            </w:pPr>
            <w:r w:rsidRPr="005C202F">
              <w:rPr>
                <w:b/>
                <w:bCs w:val="0"/>
                <w:szCs w:val="20"/>
              </w:rPr>
              <w:t>$</w:t>
            </w:r>
            <w:r w:rsidR="002704A1">
              <w:rPr>
                <w:b/>
                <w:bCs w:val="0"/>
                <w:noProof/>
                <w:color w:val="000000"/>
                <w:szCs w:val="20"/>
                <w:highlight w:val="black"/>
              </w:rPr>
              <w:t>''''''''''''</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$986</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w:t>
            </w:r>
            <w:r w:rsidR="002704A1">
              <w:rPr>
                <w:b/>
                <w:bCs w:val="0"/>
                <w:noProof/>
                <w:color w:val="000000"/>
                <w:szCs w:val="20"/>
                <w:highlight w:val="black"/>
              </w:rPr>
              <w:t>''''''''''''</w:t>
            </w:r>
          </w:p>
        </w:tc>
      </w:tr>
      <w:tr w:rsidR="0079557C" w:rsidRPr="005C202F" w:rsidTr="0079557C">
        <w:tc>
          <w:tcPr>
            <w:tcW w:w="2406" w:type="dxa"/>
          </w:tcPr>
          <w:p w:rsidR="0079557C" w:rsidRPr="005C202F" w:rsidRDefault="0079557C" w:rsidP="0077790C">
            <w:pPr>
              <w:pStyle w:val="TableText"/>
              <w:keepLines/>
              <w:rPr>
                <w:szCs w:val="20"/>
              </w:rPr>
            </w:pPr>
            <w:r w:rsidRPr="005C202F">
              <w:rPr>
                <w:szCs w:val="20"/>
              </w:rPr>
              <w:t>- esketamine</w:t>
            </w:r>
          </w:p>
        </w:tc>
        <w:tc>
          <w:tcPr>
            <w:tcW w:w="2203" w:type="dxa"/>
            <w:vAlign w:val="center"/>
          </w:tcPr>
          <w:p w:rsidR="0079557C" w:rsidRPr="005C202F" w:rsidRDefault="0079557C" w:rsidP="0077790C">
            <w:pPr>
              <w:pStyle w:val="TableText"/>
              <w:keepLines/>
              <w:jc w:val="center"/>
              <w:rPr>
                <w:szCs w:val="20"/>
              </w:rPr>
            </w:pPr>
            <w:r w:rsidRPr="005C202F">
              <w:rPr>
                <w:szCs w:val="20"/>
              </w:rPr>
              <w:t>$</w:t>
            </w:r>
            <w:r w:rsidR="002704A1">
              <w:rPr>
                <w:noProof/>
                <w:color w:val="000000"/>
                <w:szCs w:val="20"/>
                <w:highlight w:val="black"/>
              </w:rPr>
              <w:t>'''''''''''''''</w:t>
            </w:r>
          </w:p>
        </w:tc>
        <w:tc>
          <w:tcPr>
            <w:tcW w:w="2204" w:type="dxa"/>
            <w:vAlign w:val="center"/>
          </w:tcPr>
          <w:p w:rsidR="0079557C" w:rsidRPr="005C202F" w:rsidRDefault="0079557C" w:rsidP="0077790C">
            <w:pPr>
              <w:pStyle w:val="TableText"/>
              <w:keepLines/>
              <w:jc w:val="center"/>
              <w:rPr>
                <w:szCs w:val="20"/>
              </w:rPr>
            </w:pPr>
            <w:r w:rsidRPr="005C202F">
              <w:rPr>
                <w:szCs w:val="20"/>
              </w:rPr>
              <w:t>$0</w:t>
            </w:r>
          </w:p>
        </w:tc>
        <w:tc>
          <w:tcPr>
            <w:tcW w:w="2204" w:type="dxa"/>
            <w:vAlign w:val="center"/>
          </w:tcPr>
          <w:p w:rsidR="0079557C" w:rsidRPr="005C202F" w:rsidRDefault="0079557C" w:rsidP="0077790C">
            <w:pPr>
              <w:pStyle w:val="TableText"/>
              <w:keepLines/>
              <w:jc w:val="center"/>
              <w:rPr>
                <w:szCs w:val="20"/>
              </w:rPr>
            </w:pPr>
            <w:r w:rsidRPr="005C202F">
              <w:rPr>
                <w:szCs w:val="20"/>
              </w:rPr>
              <w:t>$</w:t>
            </w:r>
            <w:r w:rsidR="002704A1">
              <w:rPr>
                <w:noProof/>
                <w:color w:val="000000"/>
                <w:szCs w:val="20"/>
                <w:highlight w:val="black"/>
              </w:rPr>
              <w:t>''''''''''''''''</w:t>
            </w:r>
          </w:p>
        </w:tc>
      </w:tr>
      <w:tr w:rsidR="0079557C" w:rsidRPr="005C202F" w:rsidTr="0079557C">
        <w:tc>
          <w:tcPr>
            <w:tcW w:w="2406" w:type="dxa"/>
          </w:tcPr>
          <w:p w:rsidR="0079557C" w:rsidRPr="005C202F" w:rsidRDefault="0079557C" w:rsidP="0077790C">
            <w:pPr>
              <w:pStyle w:val="TableText"/>
              <w:keepLines/>
              <w:rPr>
                <w:szCs w:val="20"/>
              </w:rPr>
            </w:pPr>
            <w:r w:rsidRPr="005C202F">
              <w:rPr>
                <w:szCs w:val="20"/>
              </w:rPr>
              <w:t>- oral antidepressant</w:t>
            </w:r>
          </w:p>
        </w:tc>
        <w:tc>
          <w:tcPr>
            <w:tcW w:w="2203" w:type="dxa"/>
            <w:vAlign w:val="center"/>
          </w:tcPr>
          <w:p w:rsidR="0079557C" w:rsidRPr="005C202F" w:rsidRDefault="0079557C" w:rsidP="0077790C">
            <w:pPr>
              <w:pStyle w:val="TableText"/>
              <w:keepLines/>
              <w:jc w:val="center"/>
              <w:rPr>
                <w:szCs w:val="20"/>
              </w:rPr>
            </w:pPr>
            <w:r w:rsidRPr="005C202F">
              <w:rPr>
                <w:szCs w:val="20"/>
              </w:rPr>
              <w:t>$287</w:t>
            </w:r>
          </w:p>
        </w:tc>
        <w:tc>
          <w:tcPr>
            <w:tcW w:w="2204" w:type="dxa"/>
            <w:vAlign w:val="center"/>
          </w:tcPr>
          <w:p w:rsidR="0079557C" w:rsidRPr="005C202F" w:rsidRDefault="0079557C" w:rsidP="0077790C">
            <w:pPr>
              <w:pStyle w:val="TableText"/>
              <w:keepLines/>
              <w:jc w:val="center"/>
              <w:rPr>
                <w:szCs w:val="20"/>
              </w:rPr>
            </w:pPr>
            <w:r w:rsidRPr="005C202F">
              <w:rPr>
                <w:szCs w:val="20"/>
              </w:rPr>
              <w:t>$110</w:t>
            </w:r>
          </w:p>
        </w:tc>
        <w:tc>
          <w:tcPr>
            <w:tcW w:w="2204" w:type="dxa"/>
            <w:vAlign w:val="center"/>
          </w:tcPr>
          <w:p w:rsidR="0079557C" w:rsidRPr="005C202F" w:rsidRDefault="0079557C" w:rsidP="0077790C">
            <w:pPr>
              <w:pStyle w:val="TableText"/>
              <w:keepLines/>
              <w:jc w:val="center"/>
              <w:rPr>
                <w:szCs w:val="20"/>
              </w:rPr>
            </w:pPr>
            <w:r w:rsidRPr="005C202F">
              <w:rPr>
                <w:szCs w:val="20"/>
              </w:rPr>
              <w:t>$177</w:t>
            </w:r>
          </w:p>
        </w:tc>
      </w:tr>
      <w:tr w:rsidR="0079557C" w:rsidRPr="005C202F" w:rsidTr="0079557C">
        <w:tc>
          <w:tcPr>
            <w:tcW w:w="2406" w:type="dxa"/>
          </w:tcPr>
          <w:p w:rsidR="0079557C" w:rsidRPr="005C202F" w:rsidRDefault="0079557C" w:rsidP="0077790C">
            <w:pPr>
              <w:pStyle w:val="TableText"/>
              <w:keepLines/>
              <w:rPr>
                <w:szCs w:val="20"/>
              </w:rPr>
            </w:pPr>
            <w:r w:rsidRPr="005C202F">
              <w:rPr>
                <w:szCs w:val="20"/>
              </w:rPr>
              <w:t>- subsequent therapies</w:t>
            </w:r>
          </w:p>
        </w:tc>
        <w:tc>
          <w:tcPr>
            <w:tcW w:w="2203" w:type="dxa"/>
            <w:vAlign w:val="center"/>
          </w:tcPr>
          <w:p w:rsidR="0079557C" w:rsidRPr="005C202F" w:rsidRDefault="0079557C" w:rsidP="0077790C">
            <w:pPr>
              <w:pStyle w:val="TableText"/>
              <w:keepLines/>
              <w:jc w:val="center"/>
              <w:rPr>
                <w:szCs w:val="20"/>
              </w:rPr>
            </w:pPr>
            <w:r w:rsidRPr="005C202F">
              <w:rPr>
                <w:szCs w:val="20"/>
              </w:rPr>
              <w:t>$699</w:t>
            </w:r>
          </w:p>
        </w:tc>
        <w:tc>
          <w:tcPr>
            <w:tcW w:w="2204" w:type="dxa"/>
            <w:vAlign w:val="center"/>
          </w:tcPr>
          <w:p w:rsidR="0079557C" w:rsidRPr="005C202F" w:rsidRDefault="0079557C" w:rsidP="0077790C">
            <w:pPr>
              <w:pStyle w:val="TableText"/>
              <w:keepLines/>
              <w:jc w:val="center"/>
              <w:rPr>
                <w:szCs w:val="20"/>
              </w:rPr>
            </w:pPr>
            <w:r w:rsidRPr="005C202F">
              <w:rPr>
                <w:szCs w:val="20"/>
              </w:rPr>
              <w:t>$876</w:t>
            </w:r>
          </w:p>
        </w:tc>
        <w:tc>
          <w:tcPr>
            <w:tcW w:w="2204" w:type="dxa"/>
            <w:vAlign w:val="center"/>
          </w:tcPr>
          <w:p w:rsidR="0079557C" w:rsidRPr="005C202F" w:rsidRDefault="0079557C" w:rsidP="0077790C">
            <w:pPr>
              <w:pStyle w:val="TableText"/>
              <w:keepLines/>
              <w:jc w:val="center"/>
              <w:rPr>
                <w:szCs w:val="20"/>
              </w:rPr>
            </w:pPr>
            <w:r w:rsidRPr="005C202F">
              <w:rPr>
                <w:szCs w:val="20"/>
              </w:rPr>
              <w:t>-$177</w:t>
            </w:r>
          </w:p>
        </w:tc>
      </w:tr>
      <w:tr w:rsidR="0079557C" w:rsidRPr="005C202F" w:rsidTr="0079557C">
        <w:tc>
          <w:tcPr>
            <w:tcW w:w="2406" w:type="dxa"/>
          </w:tcPr>
          <w:p w:rsidR="0079557C" w:rsidRPr="005C202F" w:rsidRDefault="0079557C" w:rsidP="0077790C">
            <w:pPr>
              <w:pStyle w:val="TableText"/>
              <w:keepLines/>
              <w:rPr>
                <w:b/>
                <w:bCs w:val="0"/>
                <w:szCs w:val="20"/>
              </w:rPr>
            </w:pPr>
            <w:r w:rsidRPr="005C202F">
              <w:rPr>
                <w:b/>
                <w:bCs w:val="0"/>
                <w:szCs w:val="20"/>
              </w:rPr>
              <w:t>Administration</w:t>
            </w:r>
          </w:p>
        </w:tc>
        <w:tc>
          <w:tcPr>
            <w:tcW w:w="2203" w:type="dxa"/>
            <w:vAlign w:val="center"/>
          </w:tcPr>
          <w:p w:rsidR="0079557C" w:rsidRPr="005C202F" w:rsidRDefault="0079557C" w:rsidP="0077790C">
            <w:pPr>
              <w:pStyle w:val="TableText"/>
              <w:keepLines/>
              <w:jc w:val="center"/>
              <w:rPr>
                <w:b/>
                <w:bCs w:val="0"/>
                <w:szCs w:val="20"/>
              </w:rPr>
            </w:pPr>
            <w:r w:rsidRPr="005C202F">
              <w:rPr>
                <w:b/>
                <w:bCs w:val="0"/>
                <w:szCs w:val="20"/>
              </w:rPr>
              <w:t>$1,524</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$770</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$754</w:t>
            </w:r>
          </w:p>
        </w:tc>
      </w:tr>
      <w:tr w:rsidR="0079557C" w:rsidRPr="005C202F" w:rsidTr="0079557C">
        <w:tc>
          <w:tcPr>
            <w:tcW w:w="2406" w:type="dxa"/>
          </w:tcPr>
          <w:p w:rsidR="0079557C" w:rsidRPr="005C202F" w:rsidRDefault="0079557C" w:rsidP="0077790C">
            <w:pPr>
              <w:pStyle w:val="TableText"/>
              <w:keepLines/>
              <w:rPr>
                <w:b/>
                <w:bCs w:val="0"/>
                <w:szCs w:val="20"/>
              </w:rPr>
            </w:pPr>
            <w:r w:rsidRPr="005C202F">
              <w:rPr>
                <w:b/>
                <w:bCs w:val="0"/>
                <w:szCs w:val="20"/>
              </w:rPr>
              <w:t>Monitoring</w:t>
            </w:r>
          </w:p>
        </w:tc>
        <w:tc>
          <w:tcPr>
            <w:tcW w:w="2203" w:type="dxa"/>
            <w:vAlign w:val="center"/>
          </w:tcPr>
          <w:p w:rsidR="0079557C" w:rsidRPr="005C202F" w:rsidRDefault="0079557C" w:rsidP="0077790C">
            <w:pPr>
              <w:pStyle w:val="TableText"/>
              <w:keepLines/>
              <w:jc w:val="center"/>
              <w:rPr>
                <w:b/>
                <w:bCs w:val="0"/>
                <w:szCs w:val="20"/>
              </w:rPr>
            </w:pPr>
            <w:r w:rsidRPr="005C202F">
              <w:rPr>
                <w:b/>
                <w:bCs w:val="0"/>
                <w:szCs w:val="20"/>
              </w:rPr>
              <w:t>$0</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$0</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$0</w:t>
            </w:r>
          </w:p>
        </w:tc>
      </w:tr>
      <w:tr w:rsidR="0079557C" w:rsidRPr="005C202F" w:rsidTr="0079557C">
        <w:tc>
          <w:tcPr>
            <w:tcW w:w="2406" w:type="dxa"/>
          </w:tcPr>
          <w:p w:rsidR="0079557C" w:rsidRPr="005C202F" w:rsidRDefault="0079557C" w:rsidP="0077790C">
            <w:pPr>
              <w:pStyle w:val="TableText"/>
              <w:keepLines/>
              <w:rPr>
                <w:b/>
                <w:bCs w:val="0"/>
                <w:szCs w:val="20"/>
              </w:rPr>
            </w:pPr>
            <w:r w:rsidRPr="005C202F">
              <w:rPr>
                <w:b/>
                <w:bCs w:val="0"/>
                <w:szCs w:val="20"/>
              </w:rPr>
              <w:t>Adverse events</w:t>
            </w:r>
          </w:p>
        </w:tc>
        <w:tc>
          <w:tcPr>
            <w:tcW w:w="2203" w:type="dxa"/>
            <w:vAlign w:val="center"/>
          </w:tcPr>
          <w:p w:rsidR="0079557C" w:rsidRPr="005C202F" w:rsidRDefault="0079557C" w:rsidP="0077790C">
            <w:pPr>
              <w:pStyle w:val="TableText"/>
              <w:keepLines/>
              <w:jc w:val="center"/>
              <w:rPr>
                <w:b/>
                <w:bCs w:val="0"/>
                <w:szCs w:val="20"/>
              </w:rPr>
            </w:pPr>
            <w:r w:rsidRPr="005C202F">
              <w:rPr>
                <w:b/>
                <w:bCs w:val="0"/>
                <w:szCs w:val="20"/>
              </w:rPr>
              <w:t>$0</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$0</w:t>
            </w:r>
          </w:p>
        </w:tc>
        <w:tc>
          <w:tcPr>
            <w:tcW w:w="2204" w:type="dxa"/>
            <w:vAlign w:val="center"/>
          </w:tcPr>
          <w:p w:rsidR="0079557C" w:rsidRPr="005C202F" w:rsidRDefault="0079557C" w:rsidP="0077790C">
            <w:pPr>
              <w:pStyle w:val="TableText"/>
              <w:keepLines/>
              <w:jc w:val="center"/>
              <w:rPr>
                <w:b/>
                <w:bCs w:val="0"/>
                <w:szCs w:val="20"/>
              </w:rPr>
            </w:pPr>
            <w:r w:rsidRPr="005C202F">
              <w:rPr>
                <w:b/>
                <w:bCs w:val="0"/>
                <w:szCs w:val="20"/>
              </w:rPr>
              <w:t>$0</w:t>
            </w:r>
          </w:p>
        </w:tc>
      </w:tr>
      <w:tr w:rsidR="0079557C" w:rsidRPr="005C202F" w:rsidTr="0079557C">
        <w:tc>
          <w:tcPr>
            <w:tcW w:w="2406" w:type="dxa"/>
            <w:tcBorders>
              <w:bottom w:val="single" w:sz="4" w:space="0" w:color="auto"/>
            </w:tcBorders>
          </w:tcPr>
          <w:p w:rsidR="0079557C" w:rsidRPr="005C202F" w:rsidRDefault="0079557C" w:rsidP="0077790C">
            <w:pPr>
              <w:pStyle w:val="TableText"/>
              <w:keepLines/>
              <w:rPr>
                <w:b/>
                <w:bCs w:val="0"/>
                <w:szCs w:val="20"/>
              </w:rPr>
            </w:pPr>
            <w:r w:rsidRPr="005C202F">
              <w:rPr>
                <w:b/>
                <w:bCs w:val="0"/>
                <w:szCs w:val="20"/>
              </w:rPr>
              <w:t>Disease management costs</w:t>
            </w:r>
          </w:p>
        </w:tc>
        <w:tc>
          <w:tcPr>
            <w:tcW w:w="2203" w:type="dxa"/>
            <w:tcBorders>
              <w:bottom w:val="single" w:sz="4" w:space="0" w:color="auto"/>
            </w:tcBorders>
            <w:vAlign w:val="center"/>
          </w:tcPr>
          <w:p w:rsidR="0079557C" w:rsidRPr="005C202F" w:rsidRDefault="0079557C" w:rsidP="0077790C">
            <w:pPr>
              <w:pStyle w:val="TableText"/>
              <w:keepLines/>
              <w:jc w:val="center"/>
              <w:rPr>
                <w:b/>
                <w:bCs w:val="0"/>
                <w:szCs w:val="20"/>
              </w:rPr>
            </w:pPr>
            <w:r w:rsidRPr="005C202F">
              <w:rPr>
                <w:b/>
                <w:bCs w:val="0"/>
                <w:szCs w:val="20"/>
              </w:rPr>
              <w:t>$76,820</w:t>
            </w:r>
          </w:p>
        </w:tc>
        <w:tc>
          <w:tcPr>
            <w:tcW w:w="2204" w:type="dxa"/>
            <w:tcBorders>
              <w:bottom w:val="single" w:sz="4" w:space="0" w:color="auto"/>
            </w:tcBorders>
            <w:vAlign w:val="center"/>
          </w:tcPr>
          <w:p w:rsidR="0079557C" w:rsidRPr="005C202F" w:rsidRDefault="0079557C" w:rsidP="0077790C">
            <w:pPr>
              <w:pStyle w:val="TableText"/>
              <w:keepLines/>
              <w:jc w:val="center"/>
              <w:rPr>
                <w:b/>
                <w:bCs w:val="0"/>
                <w:szCs w:val="20"/>
              </w:rPr>
            </w:pPr>
            <w:r w:rsidRPr="005C202F">
              <w:rPr>
                <w:b/>
                <w:bCs w:val="0"/>
                <w:szCs w:val="20"/>
              </w:rPr>
              <w:t>$93,937</w:t>
            </w:r>
          </w:p>
        </w:tc>
        <w:tc>
          <w:tcPr>
            <w:tcW w:w="2204" w:type="dxa"/>
            <w:tcBorders>
              <w:bottom w:val="single" w:sz="4" w:space="0" w:color="auto"/>
            </w:tcBorders>
            <w:vAlign w:val="center"/>
          </w:tcPr>
          <w:p w:rsidR="0079557C" w:rsidRPr="005C202F" w:rsidRDefault="0079557C" w:rsidP="0077790C">
            <w:pPr>
              <w:pStyle w:val="TableText"/>
              <w:keepLines/>
              <w:jc w:val="center"/>
              <w:rPr>
                <w:b/>
                <w:bCs w:val="0"/>
                <w:szCs w:val="20"/>
              </w:rPr>
            </w:pPr>
            <w:r w:rsidRPr="005C202F">
              <w:rPr>
                <w:b/>
                <w:bCs w:val="0"/>
                <w:szCs w:val="20"/>
              </w:rPr>
              <w:t>-$17,116</w:t>
            </w:r>
          </w:p>
        </w:tc>
      </w:tr>
      <w:tr w:rsidR="0079557C" w:rsidRPr="005C202F" w:rsidTr="0079557C">
        <w:tc>
          <w:tcPr>
            <w:tcW w:w="2406" w:type="dxa"/>
            <w:tcBorders>
              <w:bottom w:val="single" w:sz="4" w:space="0" w:color="auto"/>
            </w:tcBorders>
          </w:tcPr>
          <w:p w:rsidR="0079557C" w:rsidRPr="005C202F" w:rsidRDefault="0079557C" w:rsidP="0077790C">
            <w:pPr>
              <w:pStyle w:val="TableText"/>
              <w:keepLines/>
              <w:rPr>
                <w:szCs w:val="20"/>
              </w:rPr>
            </w:pPr>
            <w:r w:rsidRPr="005C202F">
              <w:rPr>
                <w:szCs w:val="20"/>
              </w:rPr>
              <w:t>- primary care visits</w:t>
            </w:r>
          </w:p>
        </w:tc>
        <w:tc>
          <w:tcPr>
            <w:tcW w:w="2203"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$229</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$257</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-$28</w:t>
            </w:r>
          </w:p>
        </w:tc>
      </w:tr>
      <w:tr w:rsidR="0079557C" w:rsidRPr="005C202F" w:rsidTr="0079557C">
        <w:tc>
          <w:tcPr>
            <w:tcW w:w="2406" w:type="dxa"/>
            <w:tcBorders>
              <w:bottom w:val="single" w:sz="4" w:space="0" w:color="auto"/>
            </w:tcBorders>
          </w:tcPr>
          <w:p w:rsidR="0079557C" w:rsidRPr="005C202F" w:rsidRDefault="0079557C" w:rsidP="0077790C">
            <w:pPr>
              <w:pStyle w:val="TableText"/>
              <w:keepLines/>
              <w:rPr>
                <w:szCs w:val="20"/>
              </w:rPr>
            </w:pPr>
            <w:r w:rsidRPr="005C202F">
              <w:rPr>
                <w:szCs w:val="20"/>
              </w:rPr>
              <w:t>- specialist visits</w:t>
            </w:r>
          </w:p>
        </w:tc>
        <w:tc>
          <w:tcPr>
            <w:tcW w:w="2203"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$643</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$686</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-$44</w:t>
            </w:r>
          </w:p>
        </w:tc>
      </w:tr>
      <w:tr w:rsidR="0079557C" w:rsidRPr="005C202F" w:rsidTr="0079557C">
        <w:tc>
          <w:tcPr>
            <w:tcW w:w="2406" w:type="dxa"/>
            <w:tcBorders>
              <w:bottom w:val="single" w:sz="4" w:space="0" w:color="auto"/>
            </w:tcBorders>
          </w:tcPr>
          <w:p w:rsidR="0079557C" w:rsidRPr="005C202F" w:rsidRDefault="0079557C" w:rsidP="0077790C">
            <w:pPr>
              <w:pStyle w:val="TableText"/>
              <w:keepLines/>
              <w:rPr>
                <w:szCs w:val="20"/>
              </w:rPr>
            </w:pPr>
            <w:r w:rsidRPr="005C202F">
              <w:rPr>
                <w:szCs w:val="20"/>
              </w:rPr>
              <w:t>- ED visits</w:t>
            </w:r>
          </w:p>
        </w:tc>
        <w:tc>
          <w:tcPr>
            <w:tcW w:w="2203"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$3,135</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$3,878</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-$742</w:t>
            </w:r>
          </w:p>
        </w:tc>
      </w:tr>
      <w:tr w:rsidR="0079557C" w:rsidRPr="005C202F" w:rsidTr="0079557C">
        <w:tc>
          <w:tcPr>
            <w:tcW w:w="2406" w:type="dxa"/>
            <w:tcBorders>
              <w:bottom w:val="single" w:sz="4" w:space="0" w:color="auto"/>
            </w:tcBorders>
          </w:tcPr>
          <w:p w:rsidR="0079557C" w:rsidRPr="005C202F" w:rsidRDefault="0079557C" w:rsidP="0077790C">
            <w:pPr>
              <w:pStyle w:val="TableText"/>
              <w:keepLines/>
              <w:rPr>
                <w:szCs w:val="20"/>
              </w:rPr>
            </w:pPr>
            <w:r w:rsidRPr="005C202F">
              <w:rPr>
                <w:szCs w:val="20"/>
              </w:rPr>
              <w:t>- hospitalisations</w:t>
            </w:r>
          </w:p>
        </w:tc>
        <w:tc>
          <w:tcPr>
            <w:tcW w:w="2203"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$72,813</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$89,116</w:t>
            </w:r>
          </w:p>
        </w:tc>
        <w:tc>
          <w:tcPr>
            <w:tcW w:w="2204" w:type="dxa"/>
            <w:tcBorders>
              <w:bottom w:val="single" w:sz="4" w:space="0" w:color="auto"/>
            </w:tcBorders>
            <w:vAlign w:val="center"/>
          </w:tcPr>
          <w:p w:rsidR="0079557C" w:rsidRPr="005C202F" w:rsidRDefault="0079557C" w:rsidP="0077790C">
            <w:pPr>
              <w:pStyle w:val="TableText"/>
              <w:keepLines/>
              <w:jc w:val="center"/>
              <w:rPr>
                <w:szCs w:val="20"/>
              </w:rPr>
            </w:pPr>
            <w:r w:rsidRPr="005C202F">
              <w:rPr>
                <w:szCs w:val="20"/>
              </w:rPr>
              <w:t>-$16,303</w:t>
            </w:r>
          </w:p>
        </w:tc>
      </w:tr>
    </w:tbl>
    <w:p w:rsidR="0079557C" w:rsidRPr="005C202F" w:rsidRDefault="0079557C" w:rsidP="0077790C">
      <w:pPr>
        <w:keepNext/>
        <w:keepLines/>
        <w:widowControl w:val="0"/>
        <w:rPr>
          <w:rFonts w:ascii="Arial Narrow" w:hAnsi="Arial Narrow"/>
          <w:snapToGrid w:val="0"/>
          <w:sz w:val="18"/>
          <w:szCs w:val="22"/>
          <w:lang w:eastAsia="en-US"/>
        </w:rPr>
      </w:pPr>
      <w:r w:rsidRPr="005C202F">
        <w:rPr>
          <w:rFonts w:ascii="Arial Narrow" w:hAnsi="Arial Narrow"/>
          <w:snapToGrid w:val="0"/>
          <w:sz w:val="18"/>
          <w:szCs w:val="22"/>
          <w:lang w:eastAsia="en-US"/>
        </w:rPr>
        <w:t>Source: Table 3.26</w:t>
      </w:r>
      <w:r w:rsidR="00783A28">
        <w:rPr>
          <w:rFonts w:ascii="Arial Narrow" w:hAnsi="Arial Narrow"/>
          <w:snapToGrid w:val="0"/>
          <w:sz w:val="18"/>
          <w:szCs w:val="22"/>
          <w:lang w:eastAsia="en-US"/>
        </w:rPr>
        <w:t xml:space="preserve"> </w:t>
      </w:r>
      <w:r w:rsidRPr="005C202F">
        <w:rPr>
          <w:rFonts w:ascii="Arial Narrow" w:hAnsi="Arial Narrow"/>
          <w:snapToGrid w:val="0"/>
          <w:sz w:val="18"/>
          <w:szCs w:val="22"/>
          <w:lang w:eastAsia="en-US"/>
        </w:rPr>
        <w:t>of the submission; and ‘Attachment 19 – Esketamine TRD CE model’ Excel spreadsheet provided with the submission</w:t>
      </w:r>
    </w:p>
    <w:p w:rsidR="0079557C" w:rsidRPr="005C202F" w:rsidRDefault="0079557C" w:rsidP="0079557C">
      <w:pPr>
        <w:widowControl w:val="0"/>
        <w:rPr>
          <w:rFonts w:ascii="Arial Narrow" w:hAnsi="Arial Narrow"/>
          <w:snapToGrid w:val="0"/>
          <w:sz w:val="18"/>
          <w:szCs w:val="22"/>
          <w:lang w:eastAsia="en-US"/>
        </w:rPr>
      </w:pPr>
    </w:p>
    <w:p w:rsidR="0064224A" w:rsidRPr="005C202F" w:rsidRDefault="0079557C" w:rsidP="006E7268">
      <w:pPr>
        <w:pStyle w:val="ExecSumBodyText"/>
      </w:pPr>
      <w:bookmarkStart w:id="28" w:name="_Ref78965338"/>
      <w:r w:rsidRPr="005C202F">
        <w:rPr>
          <w:iCs/>
        </w:rPr>
        <w:t>The difference in costs between treatment arms was driven by esketamine drug costs, which were offset by reduced disease management costs (primarily costs of hospitalisations). It is unclear whether such a significant reduction in hospitalisations</w:t>
      </w:r>
      <w:r w:rsidRPr="005C202F">
        <w:rPr>
          <w:i/>
          <w:iCs/>
        </w:rPr>
        <w:t xml:space="preserve"> </w:t>
      </w:r>
      <w:r w:rsidRPr="005C202F">
        <w:rPr>
          <w:iCs/>
        </w:rPr>
        <w:t>will occur in practice. The source data for resource use by health state was based on a retrospective chart review study (Denee et al., 2021), which was based on a relatively small and heterogeneous sample, who may have had severe disease courses and/or higher than average visits to clinicians. The heterogeneity was reflected in the wide distribution of results. It is likely that there is large variation in costs of TRD in practice, which makes it difficult to estimate an accurate cost in the model.</w:t>
      </w:r>
      <w:r w:rsidR="006E64BF" w:rsidRPr="005C202F">
        <w:rPr>
          <w:iCs/>
        </w:rPr>
        <w:t xml:space="preserve"> The ESC noted </w:t>
      </w:r>
      <w:r w:rsidR="001C409D" w:rsidRPr="005C202F">
        <w:rPr>
          <w:iCs/>
        </w:rPr>
        <w:t xml:space="preserve">Denee 2021 </w:t>
      </w:r>
      <w:r w:rsidR="006E64BF" w:rsidRPr="005C202F">
        <w:rPr>
          <w:iCs/>
        </w:rPr>
        <w:t>was a UK study which may have limited applicability to the Australian context.</w:t>
      </w:r>
      <w:bookmarkEnd w:id="28"/>
      <w:r w:rsidR="006E64BF" w:rsidRPr="005C202F">
        <w:rPr>
          <w:iCs/>
        </w:rPr>
        <w:t xml:space="preserve"> </w:t>
      </w:r>
    </w:p>
    <w:p w:rsidR="0079557C" w:rsidRPr="005C202F" w:rsidRDefault="0079557C" w:rsidP="006E7268">
      <w:pPr>
        <w:pStyle w:val="ExecSumBodyText"/>
      </w:pPr>
      <w:bookmarkStart w:id="29" w:name="_Ref78965316"/>
      <w:r w:rsidRPr="005C202F">
        <w:rPr>
          <w:iCs/>
        </w:rPr>
        <w:t xml:space="preserve">The costs of administration and monitoring associated with esketamine treatment had a limited effect on incremental costs given the small unit cost, and the application to the </w:t>
      </w:r>
      <w:r w:rsidR="006E64BF" w:rsidRPr="005C202F">
        <w:rPr>
          <w:iCs/>
        </w:rPr>
        <w:t>OAD</w:t>
      </w:r>
      <w:r w:rsidRPr="005C202F">
        <w:rPr>
          <w:iCs/>
        </w:rPr>
        <w:t xml:space="preserve"> treatment arm in the model. In practice, the costs of administration and monitoring will potentially be significantly greater than those included in the model, depending upon the final </w:t>
      </w:r>
      <w:r w:rsidR="00B06600" w:rsidRPr="005C202F">
        <w:rPr>
          <w:iCs/>
        </w:rPr>
        <w:t xml:space="preserve">practice </w:t>
      </w:r>
      <w:r w:rsidRPr="005C202F">
        <w:rPr>
          <w:iCs/>
        </w:rPr>
        <w:t>model used to deliver and administer esketamine nasal spray</w:t>
      </w:r>
      <w:bookmarkEnd w:id="29"/>
      <w:r w:rsidR="005C202F">
        <w:rPr>
          <w:iCs/>
        </w:rPr>
        <w:t xml:space="preserve">. </w:t>
      </w:r>
    </w:p>
    <w:p w:rsidR="008C5739" w:rsidRPr="005C202F" w:rsidRDefault="006E7268" w:rsidP="006E7268">
      <w:pPr>
        <w:pStyle w:val="ExecSumBodyText"/>
      </w:pPr>
      <w:r w:rsidRPr="005C202F">
        <w:t>The results of the stepped economic evaluation are summarised below.</w:t>
      </w:r>
    </w:p>
    <w:p w:rsidR="0079557C" w:rsidRPr="005C202F" w:rsidRDefault="0079557C" w:rsidP="008841D6">
      <w:pPr>
        <w:pStyle w:val="Tableheadingrow"/>
        <w:keepLines/>
        <w:rPr>
          <w:lang w:val="en-AU"/>
        </w:rPr>
      </w:pPr>
      <w:r w:rsidRPr="005C202F">
        <w:rPr>
          <w:lang w:val="en-AU"/>
        </w:rPr>
        <w:t xml:space="preserve">Table </w:t>
      </w:r>
      <w:r w:rsidR="003F1F52" w:rsidRPr="005C202F">
        <w:rPr>
          <w:lang w:val="en-AU"/>
        </w:rPr>
        <w:t>1</w:t>
      </w:r>
      <w:r w:rsidR="00A60886">
        <w:rPr>
          <w:lang w:val="en-AU"/>
        </w:rPr>
        <w:t>3</w:t>
      </w:r>
      <w:r w:rsidRPr="005C202F">
        <w:rPr>
          <w:lang w:val="en-AU"/>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986"/>
        <w:gridCol w:w="29"/>
        <w:gridCol w:w="2097"/>
        <w:gridCol w:w="1933"/>
      </w:tblGrid>
      <w:tr w:rsidR="0079557C" w:rsidRPr="005C202F" w:rsidTr="00EA444A">
        <w:trPr>
          <w:tblHeader/>
        </w:trPr>
        <w:tc>
          <w:tcPr>
            <w:tcW w:w="1648" w:type="pct"/>
            <w:vAlign w:val="center"/>
          </w:tcPr>
          <w:p w:rsidR="0079557C" w:rsidRPr="005C202F" w:rsidRDefault="0079557C" w:rsidP="008841D6">
            <w:pPr>
              <w:pStyle w:val="Tableheadingrow"/>
              <w:keepLines/>
              <w:rPr>
                <w:lang w:val="en-AU"/>
              </w:rPr>
            </w:pPr>
            <w:r w:rsidRPr="005C202F">
              <w:rPr>
                <w:lang w:val="en-AU"/>
              </w:rPr>
              <w:t>Step and component</w:t>
            </w:r>
          </w:p>
        </w:tc>
        <w:tc>
          <w:tcPr>
            <w:tcW w:w="1117" w:type="pct"/>
            <w:gridSpan w:val="2"/>
            <w:vAlign w:val="center"/>
          </w:tcPr>
          <w:p w:rsidR="0079557C" w:rsidRPr="005C202F" w:rsidRDefault="0079557C" w:rsidP="008841D6">
            <w:pPr>
              <w:pStyle w:val="Tableheadingrow"/>
              <w:keepLines/>
              <w:jc w:val="center"/>
              <w:rPr>
                <w:lang w:val="en-AU"/>
              </w:rPr>
            </w:pPr>
            <w:r w:rsidRPr="005C202F">
              <w:rPr>
                <w:lang w:val="en-AU"/>
              </w:rPr>
              <w:t>Esketamine+OAD</w:t>
            </w:r>
          </w:p>
        </w:tc>
        <w:tc>
          <w:tcPr>
            <w:tcW w:w="1163" w:type="pct"/>
            <w:vAlign w:val="center"/>
          </w:tcPr>
          <w:p w:rsidR="0079557C" w:rsidRPr="005C202F" w:rsidRDefault="0079557C" w:rsidP="008841D6">
            <w:pPr>
              <w:pStyle w:val="Tableheadingrow"/>
              <w:keepLines/>
              <w:jc w:val="center"/>
              <w:rPr>
                <w:lang w:val="en-AU"/>
              </w:rPr>
            </w:pPr>
            <w:r w:rsidRPr="005C202F">
              <w:rPr>
                <w:lang w:val="en-AU"/>
              </w:rPr>
              <w:t>OAD</w:t>
            </w:r>
          </w:p>
        </w:tc>
        <w:tc>
          <w:tcPr>
            <w:tcW w:w="1072" w:type="pct"/>
            <w:vAlign w:val="center"/>
          </w:tcPr>
          <w:p w:rsidR="0079557C" w:rsidRPr="005C202F" w:rsidRDefault="0079557C" w:rsidP="008841D6">
            <w:pPr>
              <w:pStyle w:val="Tableheadingrow"/>
              <w:keepLines/>
              <w:jc w:val="center"/>
              <w:rPr>
                <w:lang w:val="en-AU"/>
              </w:rPr>
            </w:pPr>
            <w:r w:rsidRPr="005C202F">
              <w:rPr>
                <w:lang w:val="en-AU"/>
              </w:rPr>
              <w:t>Increment</w:t>
            </w:r>
          </w:p>
        </w:tc>
      </w:tr>
      <w:tr w:rsidR="0079557C" w:rsidRPr="005C202F" w:rsidTr="00EA444A">
        <w:tc>
          <w:tcPr>
            <w:tcW w:w="5000" w:type="pct"/>
            <w:gridSpan w:val="5"/>
            <w:vAlign w:val="center"/>
          </w:tcPr>
          <w:p w:rsidR="0079557C" w:rsidRPr="005C202F" w:rsidRDefault="0079557C" w:rsidP="008841D6">
            <w:pPr>
              <w:pStyle w:val="TableText"/>
              <w:keepLines/>
              <w:rPr>
                <w:b/>
                <w:bCs w:val="0"/>
              </w:rPr>
            </w:pPr>
            <w:r w:rsidRPr="005C202F">
              <w:rPr>
                <w:b/>
                <w:bCs w:val="0"/>
              </w:rPr>
              <w:t xml:space="preserve">Step 1: </w:t>
            </w:r>
            <w:r w:rsidRPr="005C202F">
              <w:rPr>
                <w:bCs w:val="0"/>
              </w:rPr>
              <w:t>Trial-based four-week induction phase (proportions of patients with response and in remission from TRANSFORM-2 trial; esketamine and oral antidepressant drug costs; administration costs applied to both arms)</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Costs</w:t>
            </w:r>
          </w:p>
        </w:tc>
        <w:tc>
          <w:tcPr>
            <w:tcW w:w="1101" w:type="pct"/>
            <w:vAlign w:val="center"/>
          </w:tcPr>
          <w:p w:rsidR="0079557C" w:rsidRPr="005C202F" w:rsidRDefault="0079557C" w:rsidP="008841D6">
            <w:pPr>
              <w:pStyle w:val="TableText"/>
              <w:keepLines/>
              <w:jc w:val="center"/>
              <w:rPr>
                <w:rFonts w:ascii="Times" w:hAnsi="Times"/>
              </w:rPr>
            </w:pPr>
            <w:r w:rsidRPr="005C202F">
              <w:t>$</w:t>
            </w:r>
            <w:r w:rsidR="002704A1">
              <w:rPr>
                <w:noProof/>
                <w:color w:val="000000"/>
                <w:highlight w:val="black"/>
              </w:rPr>
              <w:t>'''''''''''''</w:t>
            </w:r>
          </w:p>
        </w:tc>
        <w:tc>
          <w:tcPr>
            <w:tcW w:w="1179" w:type="pct"/>
            <w:gridSpan w:val="2"/>
            <w:vAlign w:val="center"/>
          </w:tcPr>
          <w:p w:rsidR="0079557C" w:rsidRPr="005C202F" w:rsidRDefault="0079557C" w:rsidP="008841D6">
            <w:pPr>
              <w:pStyle w:val="TableText"/>
              <w:keepLines/>
              <w:jc w:val="center"/>
              <w:rPr>
                <w:rFonts w:ascii="Times" w:hAnsi="Times"/>
              </w:rPr>
            </w:pPr>
            <w:r w:rsidRPr="005C202F">
              <w:t>$303</w:t>
            </w:r>
          </w:p>
        </w:tc>
        <w:tc>
          <w:tcPr>
            <w:tcW w:w="1072" w:type="pct"/>
            <w:vAlign w:val="center"/>
          </w:tcPr>
          <w:p w:rsidR="0079557C" w:rsidRPr="005C202F" w:rsidRDefault="0079557C" w:rsidP="008841D6">
            <w:pPr>
              <w:pStyle w:val="TableText"/>
              <w:keepLines/>
              <w:jc w:val="center"/>
              <w:rPr>
                <w:rFonts w:ascii="Times" w:hAnsi="Times"/>
              </w:rPr>
            </w:pPr>
            <w:r w:rsidRPr="005C202F">
              <w:t>$</w:t>
            </w:r>
            <w:r w:rsidR="002704A1">
              <w:rPr>
                <w:noProof/>
                <w:color w:val="000000"/>
                <w:highlight w:val="black"/>
              </w:rPr>
              <w:t>'''''''''''''</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Proportion of responders (Day 28)</w:t>
            </w:r>
          </w:p>
        </w:tc>
        <w:tc>
          <w:tcPr>
            <w:tcW w:w="1101" w:type="pct"/>
            <w:vAlign w:val="center"/>
          </w:tcPr>
          <w:p w:rsidR="0079557C" w:rsidRPr="005C202F" w:rsidRDefault="0079557C" w:rsidP="008841D6">
            <w:pPr>
              <w:pStyle w:val="TableText"/>
              <w:keepLines/>
              <w:jc w:val="center"/>
            </w:pPr>
            <w:r w:rsidRPr="005C202F">
              <w:t>69.3%</w:t>
            </w:r>
          </w:p>
        </w:tc>
        <w:tc>
          <w:tcPr>
            <w:tcW w:w="1179" w:type="pct"/>
            <w:gridSpan w:val="2"/>
            <w:vAlign w:val="center"/>
          </w:tcPr>
          <w:p w:rsidR="0079557C" w:rsidRPr="005C202F" w:rsidRDefault="0079557C" w:rsidP="008841D6">
            <w:pPr>
              <w:pStyle w:val="TableText"/>
              <w:keepLines/>
              <w:jc w:val="center"/>
            </w:pPr>
            <w:r w:rsidRPr="005C202F">
              <w:t>52.0%</w:t>
            </w:r>
          </w:p>
        </w:tc>
        <w:tc>
          <w:tcPr>
            <w:tcW w:w="1072" w:type="pct"/>
            <w:vAlign w:val="center"/>
          </w:tcPr>
          <w:p w:rsidR="0079557C" w:rsidRPr="005C202F" w:rsidRDefault="0079557C" w:rsidP="008841D6">
            <w:pPr>
              <w:pStyle w:val="TableText"/>
              <w:keepLines/>
              <w:jc w:val="center"/>
            </w:pPr>
            <w:r w:rsidRPr="005C202F">
              <w:t>17.3%</w:t>
            </w:r>
          </w:p>
        </w:tc>
      </w:tr>
      <w:tr w:rsidR="0079557C" w:rsidRPr="005C202F" w:rsidTr="00EA444A">
        <w:tc>
          <w:tcPr>
            <w:tcW w:w="1648" w:type="pct"/>
            <w:vAlign w:val="center"/>
          </w:tcPr>
          <w:p w:rsidR="0079557C" w:rsidRPr="005C202F" w:rsidRDefault="0079557C" w:rsidP="008841D6">
            <w:pPr>
              <w:pStyle w:val="TableText"/>
              <w:keepLines/>
            </w:pPr>
            <w:r w:rsidRPr="005C202F">
              <w:t>Proportion in remission (Day 28)</w:t>
            </w:r>
          </w:p>
        </w:tc>
        <w:tc>
          <w:tcPr>
            <w:tcW w:w="1101" w:type="pct"/>
            <w:vAlign w:val="center"/>
          </w:tcPr>
          <w:p w:rsidR="0079557C" w:rsidRPr="005C202F" w:rsidRDefault="0079557C" w:rsidP="008841D6">
            <w:pPr>
              <w:pStyle w:val="TableText"/>
              <w:keepLines/>
              <w:jc w:val="center"/>
            </w:pPr>
            <w:r w:rsidRPr="005C202F">
              <w:t>52.5%</w:t>
            </w:r>
          </w:p>
        </w:tc>
        <w:tc>
          <w:tcPr>
            <w:tcW w:w="1179" w:type="pct"/>
            <w:gridSpan w:val="2"/>
            <w:vAlign w:val="center"/>
          </w:tcPr>
          <w:p w:rsidR="0079557C" w:rsidRPr="005C202F" w:rsidRDefault="0079557C" w:rsidP="008841D6">
            <w:pPr>
              <w:pStyle w:val="TableText"/>
              <w:keepLines/>
              <w:jc w:val="center"/>
            </w:pPr>
            <w:r w:rsidRPr="005C202F">
              <w:t>31.0%</w:t>
            </w:r>
          </w:p>
        </w:tc>
        <w:tc>
          <w:tcPr>
            <w:tcW w:w="1072" w:type="pct"/>
            <w:vAlign w:val="center"/>
          </w:tcPr>
          <w:p w:rsidR="0079557C" w:rsidRPr="005C202F" w:rsidRDefault="0079557C" w:rsidP="008841D6">
            <w:pPr>
              <w:pStyle w:val="TableText"/>
              <w:keepLines/>
              <w:jc w:val="center"/>
            </w:pPr>
            <w:r w:rsidRPr="005C202F">
              <w:t>21.5%</w:t>
            </w:r>
          </w:p>
        </w:tc>
      </w:tr>
      <w:tr w:rsidR="0079557C" w:rsidRPr="005C202F" w:rsidTr="00EA444A">
        <w:tc>
          <w:tcPr>
            <w:tcW w:w="3928" w:type="pct"/>
            <w:gridSpan w:val="4"/>
            <w:vAlign w:val="center"/>
          </w:tcPr>
          <w:p w:rsidR="0079557C" w:rsidRPr="005C202F" w:rsidRDefault="0079557C" w:rsidP="008841D6">
            <w:pPr>
              <w:pStyle w:val="TableText"/>
              <w:keepLines/>
              <w:rPr>
                <w:rFonts w:ascii="Times" w:hAnsi="Times"/>
                <w:b/>
                <w:bCs w:val="0"/>
              </w:rPr>
            </w:pPr>
            <w:r w:rsidRPr="005C202F">
              <w:rPr>
                <w:b/>
                <w:bCs w:val="0"/>
              </w:rPr>
              <w:t>Incremental cost/additional responder</w:t>
            </w:r>
          </w:p>
        </w:tc>
        <w:tc>
          <w:tcPr>
            <w:tcW w:w="1072" w:type="pct"/>
            <w:vAlign w:val="center"/>
          </w:tcPr>
          <w:p w:rsidR="0079557C" w:rsidRPr="00783A28" w:rsidRDefault="0079557C" w:rsidP="008841D6">
            <w:pPr>
              <w:pStyle w:val="TableText"/>
              <w:keepLines/>
              <w:jc w:val="center"/>
              <w:rPr>
                <w:rFonts w:ascii="Times" w:hAnsi="Times"/>
                <w:b/>
                <w:bCs w:val="0"/>
                <w:vertAlign w:val="superscript"/>
              </w:rPr>
            </w:pPr>
            <w:r w:rsidRPr="005C202F">
              <w:rPr>
                <w:b/>
                <w:bCs w:val="0"/>
              </w:rPr>
              <w:t>$</w:t>
            </w:r>
            <w:r w:rsidR="002704A1">
              <w:rPr>
                <w:b/>
                <w:bCs w:val="0"/>
                <w:noProof/>
                <w:color w:val="000000"/>
                <w:highlight w:val="black"/>
              </w:rPr>
              <w:t>''''''''''''''</w:t>
            </w:r>
            <w:r w:rsidR="00783A28">
              <w:rPr>
                <w:b/>
                <w:bCs w:val="0"/>
                <w:vertAlign w:val="superscript"/>
              </w:rPr>
              <w:t>3</w:t>
            </w:r>
          </w:p>
        </w:tc>
      </w:tr>
      <w:tr w:rsidR="0079557C" w:rsidRPr="005C202F" w:rsidTr="00EA444A">
        <w:trPr>
          <w:trHeight w:val="70"/>
        </w:trPr>
        <w:tc>
          <w:tcPr>
            <w:tcW w:w="3928" w:type="pct"/>
            <w:gridSpan w:val="4"/>
            <w:vAlign w:val="center"/>
          </w:tcPr>
          <w:p w:rsidR="0079557C" w:rsidRPr="005C202F" w:rsidRDefault="0079557C" w:rsidP="008841D6">
            <w:pPr>
              <w:pStyle w:val="TableText"/>
              <w:keepLines/>
              <w:rPr>
                <w:b/>
                <w:bCs w:val="0"/>
              </w:rPr>
            </w:pPr>
            <w:r w:rsidRPr="005C202F">
              <w:rPr>
                <w:b/>
                <w:bCs w:val="0"/>
              </w:rPr>
              <w:t>Incremental cost/additional patient in remission</w:t>
            </w:r>
          </w:p>
        </w:tc>
        <w:tc>
          <w:tcPr>
            <w:tcW w:w="1072" w:type="pct"/>
            <w:vAlign w:val="center"/>
          </w:tcPr>
          <w:p w:rsidR="0079557C" w:rsidRPr="00783A28" w:rsidRDefault="0079557C" w:rsidP="008841D6">
            <w:pPr>
              <w:pStyle w:val="TableText"/>
              <w:keepLines/>
              <w:jc w:val="center"/>
              <w:rPr>
                <w:b/>
                <w:bCs w:val="0"/>
              </w:rPr>
            </w:pPr>
            <w:r w:rsidRPr="005C202F">
              <w:rPr>
                <w:b/>
                <w:bCs w:val="0"/>
              </w:rPr>
              <w:t>$</w:t>
            </w:r>
            <w:r w:rsidR="002704A1">
              <w:rPr>
                <w:b/>
                <w:bCs w:val="0"/>
                <w:noProof/>
                <w:color w:val="000000"/>
                <w:highlight w:val="black"/>
              </w:rPr>
              <w:t>''''''''''''''</w:t>
            </w:r>
            <w:r w:rsidR="00783A28" w:rsidRPr="00783A28">
              <w:rPr>
                <w:b/>
                <w:bCs w:val="0"/>
                <w:vertAlign w:val="superscript"/>
              </w:rPr>
              <w:t>3</w:t>
            </w:r>
          </w:p>
        </w:tc>
      </w:tr>
      <w:tr w:rsidR="0079557C" w:rsidRPr="005C202F" w:rsidTr="00EA444A">
        <w:tc>
          <w:tcPr>
            <w:tcW w:w="5000" w:type="pct"/>
            <w:gridSpan w:val="5"/>
            <w:vAlign w:val="center"/>
          </w:tcPr>
          <w:p w:rsidR="0079557C" w:rsidRPr="005C202F" w:rsidRDefault="0079557C" w:rsidP="008841D6">
            <w:pPr>
              <w:pStyle w:val="Tableheadingrow"/>
              <w:keepLines/>
              <w:rPr>
                <w:lang w:val="en-AU"/>
              </w:rPr>
            </w:pPr>
            <w:r w:rsidRPr="005C202F">
              <w:rPr>
                <w:lang w:val="en-AU"/>
              </w:rPr>
              <w:t xml:space="preserve">Step 2: </w:t>
            </w:r>
            <w:r w:rsidR="00394F47" w:rsidRPr="005C202F">
              <w:rPr>
                <w:b w:val="0"/>
                <w:iCs/>
                <w:lang w:val="en-AU"/>
              </w:rPr>
              <w:t>Modelled induction and maintenance phases over 52 weeks (based on TRANSFORM-2 and SUSTAIN-1 data); esketamine and oral antidepressant drug costs; administration costs applied to both arms</w:t>
            </w:r>
            <w:r w:rsidR="00394F47" w:rsidRPr="005C202F">
              <w:rPr>
                <w:b w:val="0"/>
                <w:iCs/>
                <w:vertAlign w:val="superscript"/>
                <w:lang w:val="en-AU"/>
              </w:rPr>
              <w:t>2</w:t>
            </w:r>
            <w:r w:rsidR="00394F47" w:rsidRPr="005C202F">
              <w:rPr>
                <w:b w:val="0"/>
                <w:lang w:val="en-AU"/>
              </w:rPr>
              <w:t xml:space="preserve">,  treatment discontinuation, subsequent treatment costs and consequences included (based on STAR*D study), </w:t>
            </w:r>
            <w:r w:rsidRPr="005C202F">
              <w:rPr>
                <w:b w:val="0"/>
                <w:lang w:val="en-AU"/>
              </w:rPr>
              <w:t>health care resource use included (primary care, specialist and ED visits and hospitalisation days)</w:t>
            </w:r>
            <w:r w:rsidR="002A28B2" w:rsidRPr="005C202F">
              <w:rPr>
                <w:b w:val="0"/>
                <w:vertAlign w:val="superscript"/>
                <w:lang w:val="en-AU"/>
              </w:rPr>
              <w:t>1, 2</w:t>
            </w:r>
            <w:r w:rsidR="00394F47" w:rsidRPr="005C202F">
              <w:rPr>
                <w:b w:val="0"/>
                <w:lang w:val="en-AU"/>
              </w:rPr>
              <w:t>.</w:t>
            </w:r>
          </w:p>
        </w:tc>
      </w:tr>
      <w:tr w:rsidR="0079557C" w:rsidRPr="005C202F" w:rsidTr="00EA444A">
        <w:trPr>
          <w:trHeight w:val="145"/>
        </w:trPr>
        <w:tc>
          <w:tcPr>
            <w:tcW w:w="1648" w:type="pct"/>
            <w:vAlign w:val="center"/>
          </w:tcPr>
          <w:p w:rsidR="0079557C" w:rsidRPr="005C202F" w:rsidRDefault="0079557C" w:rsidP="008841D6">
            <w:pPr>
              <w:pStyle w:val="Tableheadingrow"/>
              <w:keepLines/>
              <w:rPr>
                <w:b w:val="0"/>
                <w:bCs/>
                <w:lang w:val="en-AU"/>
              </w:rPr>
            </w:pPr>
            <w:r w:rsidRPr="005C202F">
              <w:rPr>
                <w:b w:val="0"/>
                <w:bCs/>
                <w:lang w:val="en-AU"/>
              </w:rPr>
              <w:t>Costs</w:t>
            </w:r>
          </w:p>
        </w:tc>
        <w:tc>
          <w:tcPr>
            <w:tcW w:w="1101" w:type="pct"/>
            <w:vAlign w:val="center"/>
          </w:tcPr>
          <w:p w:rsidR="0079557C" w:rsidRPr="005C202F" w:rsidRDefault="0079557C" w:rsidP="008841D6">
            <w:pPr>
              <w:pStyle w:val="Tableheadingrow"/>
              <w:keepLines/>
              <w:jc w:val="center"/>
              <w:rPr>
                <w:b w:val="0"/>
                <w:bCs/>
                <w:iCs/>
                <w:lang w:val="en-AU"/>
              </w:rPr>
            </w:pPr>
            <w:r w:rsidRPr="005C202F">
              <w:rPr>
                <w:b w:val="0"/>
                <w:bCs/>
                <w:iCs/>
                <w:lang w:val="en-AU"/>
              </w:rPr>
              <w:t>$</w:t>
            </w:r>
            <w:r w:rsidR="002704A1">
              <w:rPr>
                <w:b w:val="0"/>
                <w:bCs/>
                <w:iCs/>
                <w:noProof/>
                <w:color w:val="000000"/>
                <w:highlight w:val="black"/>
                <w:lang w:val="en-AU"/>
              </w:rPr>
              <w:t>'''''''''''''''''</w:t>
            </w:r>
          </w:p>
        </w:tc>
        <w:tc>
          <w:tcPr>
            <w:tcW w:w="1179" w:type="pct"/>
            <w:gridSpan w:val="2"/>
            <w:vAlign w:val="center"/>
          </w:tcPr>
          <w:p w:rsidR="0079557C" w:rsidRPr="005C202F" w:rsidRDefault="0079557C" w:rsidP="008841D6">
            <w:pPr>
              <w:pStyle w:val="Tableheadingrow"/>
              <w:keepLines/>
              <w:jc w:val="center"/>
              <w:rPr>
                <w:b w:val="0"/>
                <w:bCs/>
                <w:iCs/>
                <w:lang w:val="en-AU"/>
              </w:rPr>
            </w:pPr>
            <w:r w:rsidRPr="005C202F">
              <w:rPr>
                <w:b w:val="0"/>
                <w:bCs/>
                <w:iCs/>
                <w:lang w:val="en-AU"/>
              </w:rPr>
              <w:t>$21,427</w:t>
            </w:r>
          </w:p>
        </w:tc>
        <w:tc>
          <w:tcPr>
            <w:tcW w:w="1072" w:type="pct"/>
            <w:vAlign w:val="center"/>
          </w:tcPr>
          <w:p w:rsidR="0079557C" w:rsidRPr="005C202F" w:rsidRDefault="0079557C" w:rsidP="008841D6">
            <w:pPr>
              <w:pStyle w:val="Tableheadingrow"/>
              <w:keepLines/>
              <w:jc w:val="center"/>
              <w:rPr>
                <w:b w:val="0"/>
                <w:bCs/>
                <w:iCs/>
                <w:lang w:val="en-AU"/>
              </w:rPr>
            </w:pPr>
            <w:r w:rsidRPr="005C202F">
              <w:rPr>
                <w:b w:val="0"/>
                <w:bCs/>
                <w:iCs/>
                <w:lang w:val="en-AU"/>
              </w:rPr>
              <w:t>$</w:t>
            </w:r>
            <w:r w:rsidR="002704A1">
              <w:rPr>
                <w:b w:val="0"/>
                <w:bCs/>
                <w:iCs/>
                <w:noProof/>
                <w:color w:val="000000"/>
                <w:highlight w:val="black"/>
                <w:lang w:val="en-AU"/>
              </w:rPr>
              <w:t>'''''''''''''</w:t>
            </w:r>
          </w:p>
        </w:tc>
      </w:tr>
      <w:tr w:rsidR="0079557C" w:rsidRPr="005C202F" w:rsidTr="00EA444A">
        <w:tc>
          <w:tcPr>
            <w:tcW w:w="1648" w:type="pct"/>
            <w:vAlign w:val="center"/>
          </w:tcPr>
          <w:p w:rsidR="0079557C" w:rsidRPr="005C202F" w:rsidRDefault="0079557C" w:rsidP="008841D6">
            <w:pPr>
              <w:pStyle w:val="Tableheadingrow"/>
              <w:keepLines/>
              <w:rPr>
                <w:lang w:val="en-AU"/>
              </w:rPr>
            </w:pPr>
            <w:r w:rsidRPr="005C202F">
              <w:rPr>
                <w:b w:val="0"/>
                <w:bCs/>
                <w:lang w:val="en-AU"/>
              </w:rPr>
              <w:t>Years in response, remission, recovery</w:t>
            </w:r>
          </w:p>
        </w:tc>
        <w:tc>
          <w:tcPr>
            <w:tcW w:w="1101" w:type="pct"/>
            <w:vAlign w:val="center"/>
          </w:tcPr>
          <w:p w:rsidR="0079557C" w:rsidRPr="005C202F" w:rsidRDefault="0079557C" w:rsidP="008841D6">
            <w:pPr>
              <w:pStyle w:val="Tableheadingrow"/>
              <w:keepLines/>
              <w:jc w:val="center"/>
              <w:rPr>
                <w:lang w:val="en-AU"/>
              </w:rPr>
            </w:pPr>
            <w:r w:rsidRPr="005C202F">
              <w:rPr>
                <w:b w:val="0"/>
                <w:bCs/>
                <w:lang w:val="en-AU"/>
              </w:rPr>
              <w:t>0.5521</w:t>
            </w:r>
          </w:p>
        </w:tc>
        <w:tc>
          <w:tcPr>
            <w:tcW w:w="1179" w:type="pct"/>
            <w:gridSpan w:val="2"/>
            <w:vAlign w:val="center"/>
          </w:tcPr>
          <w:p w:rsidR="0079557C" w:rsidRPr="005C202F" w:rsidRDefault="0079557C" w:rsidP="008841D6">
            <w:pPr>
              <w:pStyle w:val="Tableheadingrow"/>
              <w:keepLines/>
              <w:jc w:val="center"/>
              <w:rPr>
                <w:lang w:val="en-AU"/>
              </w:rPr>
            </w:pPr>
            <w:r w:rsidRPr="005C202F">
              <w:rPr>
                <w:b w:val="0"/>
                <w:bCs/>
                <w:lang w:val="en-AU"/>
              </w:rPr>
              <w:t>0.3595</w:t>
            </w:r>
          </w:p>
        </w:tc>
        <w:tc>
          <w:tcPr>
            <w:tcW w:w="1072" w:type="pct"/>
            <w:vAlign w:val="center"/>
          </w:tcPr>
          <w:p w:rsidR="0079557C" w:rsidRPr="005C202F" w:rsidRDefault="0079557C" w:rsidP="008841D6">
            <w:pPr>
              <w:pStyle w:val="Tableheadingrow"/>
              <w:keepLines/>
              <w:jc w:val="center"/>
              <w:rPr>
                <w:lang w:val="en-AU"/>
              </w:rPr>
            </w:pPr>
            <w:r w:rsidRPr="005C202F">
              <w:rPr>
                <w:b w:val="0"/>
                <w:bCs/>
                <w:lang w:val="en-AU"/>
              </w:rPr>
              <w:t>0.1926</w:t>
            </w:r>
          </w:p>
        </w:tc>
      </w:tr>
      <w:tr w:rsidR="0079557C" w:rsidRPr="005C202F" w:rsidTr="00EA444A">
        <w:tc>
          <w:tcPr>
            <w:tcW w:w="3928" w:type="pct"/>
            <w:gridSpan w:val="4"/>
            <w:vAlign w:val="center"/>
          </w:tcPr>
          <w:p w:rsidR="0079557C" w:rsidRPr="005C202F" w:rsidRDefault="0079557C" w:rsidP="008841D6">
            <w:pPr>
              <w:pStyle w:val="Tableheadingrow"/>
              <w:keepLines/>
              <w:rPr>
                <w:lang w:val="en-AU"/>
              </w:rPr>
            </w:pPr>
            <w:r w:rsidRPr="005C202F">
              <w:rPr>
                <w:lang w:val="en-AU"/>
              </w:rPr>
              <w:t>Incremental cost/MDE-free life year gained</w:t>
            </w:r>
          </w:p>
        </w:tc>
        <w:tc>
          <w:tcPr>
            <w:tcW w:w="1072" w:type="pct"/>
            <w:vAlign w:val="center"/>
          </w:tcPr>
          <w:p w:rsidR="0079557C" w:rsidRPr="00783A28" w:rsidRDefault="0079557C" w:rsidP="008841D6">
            <w:pPr>
              <w:pStyle w:val="Tableheadingrow"/>
              <w:keepLines/>
              <w:jc w:val="center"/>
              <w:rPr>
                <w:iCs/>
                <w:lang w:val="en-AU"/>
              </w:rPr>
            </w:pPr>
            <w:r w:rsidRPr="005C202F">
              <w:rPr>
                <w:iCs/>
                <w:lang w:val="en-AU"/>
              </w:rPr>
              <w:t>$</w:t>
            </w:r>
            <w:r w:rsidR="002704A1">
              <w:rPr>
                <w:iCs/>
                <w:noProof/>
                <w:color w:val="000000"/>
                <w:highlight w:val="black"/>
                <w:lang w:val="en-AU"/>
              </w:rPr>
              <w:t>''''''''''''''</w:t>
            </w:r>
            <w:r w:rsidR="00783A28">
              <w:rPr>
                <w:iCs/>
                <w:vertAlign w:val="superscript"/>
                <w:lang w:val="en-AU"/>
              </w:rPr>
              <w:t>4</w:t>
            </w:r>
          </w:p>
        </w:tc>
      </w:tr>
      <w:tr w:rsidR="0079557C" w:rsidRPr="005C202F" w:rsidTr="00EA444A">
        <w:tc>
          <w:tcPr>
            <w:tcW w:w="5000" w:type="pct"/>
            <w:gridSpan w:val="5"/>
            <w:vAlign w:val="center"/>
          </w:tcPr>
          <w:p w:rsidR="0079557C" w:rsidRPr="005C202F" w:rsidRDefault="0079557C" w:rsidP="008841D6">
            <w:pPr>
              <w:pStyle w:val="Tableheadingrow"/>
              <w:keepLines/>
              <w:rPr>
                <w:lang w:val="en-AU"/>
              </w:rPr>
            </w:pPr>
            <w:r w:rsidRPr="005C202F">
              <w:rPr>
                <w:lang w:val="en-AU"/>
              </w:rPr>
              <w:t>Step 3</w:t>
            </w:r>
            <w:r w:rsidR="00394F47" w:rsidRPr="005C202F">
              <w:rPr>
                <w:lang w:val="en-AU"/>
              </w:rPr>
              <w:t>:</w:t>
            </w:r>
            <w:r w:rsidR="00394F47" w:rsidRPr="005C202F">
              <w:rPr>
                <w:u w:val="single"/>
                <w:lang w:val="en-AU"/>
              </w:rPr>
              <w:t xml:space="preserve"> </w:t>
            </w:r>
            <w:r w:rsidR="00394F47" w:rsidRPr="005C202F">
              <w:rPr>
                <w:b w:val="0"/>
                <w:lang w:val="en-AU"/>
              </w:rPr>
              <w:t xml:space="preserve">utilities derived from TRANSFORM-2 applied to time in health states, disutilities associated with adverse events included, </w:t>
            </w:r>
            <w:r w:rsidRPr="005C202F">
              <w:rPr>
                <w:b w:val="0"/>
                <w:lang w:val="en-AU"/>
              </w:rPr>
              <w:t>half-cycle correction applied</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Costs</w:t>
            </w:r>
          </w:p>
        </w:tc>
        <w:tc>
          <w:tcPr>
            <w:tcW w:w="1101" w:type="pct"/>
            <w:vAlign w:val="center"/>
          </w:tcPr>
          <w:p w:rsidR="0079557C" w:rsidRPr="005C202F" w:rsidRDefault="0079557C" w:rsidP="008841D6">
            <w:pPr>
              <w:pStyle w:val="TableText"/>
              <w:keepLines/>
              <w:jc w:val="center"/>
              <w:rPr>
                <w:iCs/>
              </w:rPr>
            </w:pPr>
            <w:r w:rsidRPr="005C202F">
              <w:rPr>
                <w:iCs/>
              </w:rPr>
              <w:t>$</w:t>
            </w:r>
            <w:r w:rsidR="002704A1">
              <w:rPr>
                <w:iCs/>
                <w:noProof/>
                <w:color w:val="000000"/>
                <w:highlight w:val="black"/>
              </w:rPr>
              <w:t>''''''''''''''''''</w:t>
            </w:r>
          </w:p>
        </w:tc>
        <w:tc>
          <w:tcPr>
            <w:tcW w:w="1179" w:type="pct"/>
            <w:gridSpan w:val="2"/>
            <w:vAlign w:val="center"/>
          </w:tcPr>
          <w:p w:rsidR="0079557C" w:rsidRPr="005C202F" w:rsidRDefault="0079557C" w:rsidP="008841D6">
            <w:pPr>
              <w:pStyle w:val="TableText"/>
              <w:keepLines/>
              <w:jc w:val="center"/>
              <w:rPr>
                <w:iCs/>
              </w:rPr>
            </w:pPr>
            <w:r w:rsidRPr="005C202F">
              <w:rPr>
                <w:iCs/>
              </w:rPr>
              <w:t>$21,046</w:t>
            </w:r>
          </w:p>
        </w:tc>
        <w:tc>
          <w:tcPr>
            <w:tcW w:w="1072" w:type="pct"/>
            <w:vAlign w:val="center"/>
          </w:tcPr>
          <w:p w:rsidR="0079557C" w:rsidRPr="005C202F" w:rsidRDefault="0079557C" w:rsidP="008841D6">
            <w:pPr>
              <w:pStyle w:val="TableText"/>
              <w:keepLines/>
              <w:jc w:val="center"/>
              <w:rPr>
                <w:iCs/>
              </w:rPr>
            </w:pPr>
            <w:r w:rsidRPr="005C202F">
              <w:rPr>
                <w:iCs/>
              </w:rPr>
              <w:t>$</w:t>
            </w:r>
            <w:r w:rsidR="002704A1">
              <w:rPr>
                <w:iCs/>
                <w:noProof/>
                <w:color w:val="000000"/>
                <w:highlight w:val="black"/>
              </w:rPr>
              <w:t>''''''''''''''</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QALYs</w:t>
            </w:r>
          </w:p>
        </w:tc>
        <w:tc>
          <w:tcPr>
            <w:tcW w:w="1101" w:type="pct"/>
            <w:vAlign w:val="center"/>
          </w:tcPr>
          <w:p w:rsidR="0079557C" w:rsidRPr="005C202F" w:rsidRDefault="0079557C" w:rsidP="008841D6">
            <w:pPr>
              <w:pStyle w:val="TableText"/>
              <w:keepLines/>
              <w:jc w:val="center"/>
              <w:rPr>
                <w:iCs/>
              </w:rPr>
            </w:pPr>
            <w:r w:rsidRPr="005C202F">
              <w:rPr>
                <w:iCs/>
              </w:rPr>
              <w:t>0.7279</w:t>
            </w:r>
          </w:p>
        </w:tc>
        <w:tc>
          <w:tcPr>
            <w:tcW w:w="1179" w:type="pct"/>
            <w:gridSpan w:val="2"/>
            <w:vAlign w:val="center"/>
          </w:tcPr>
          <w:p w:rsidR="0079557C" w:rsidRPr="005C202F" w:rsidRDefault="0079557C" w:rsidP="008841D6">
            <w:pPr>
              <w:pStyle w:val="TableText"/>
              <w:keepLines/>
              <w:jc w:val="center"/>
              <w:rPr>
                <w:iCs/>
              </w:rPr>
            </w:pPr>
            <w:r w:rsidRPr="005C202F">
              <w:rPr>
                <w:iCs/>
              </w:rPr>
              <w:t>0.6509</w:t>
            </w:r>
          </w:p>
        </w:tc>
        <w:tc>
          <w:tcPr>
            <w:tcW w:w="1072" w:type="pct"/>
            <w:vAlign w:val="center"/>
          </w:tcPr>
          <w:p w:rsidR="0079557C" w:rsidRPr="005C202F" w:rsidRDefault="0079557C" w:rsidP="008841D6">
            <w:pPr>
              <w:pStyle w:val="TableText"/>
              <w:keepLines/>
              <w:jc w:val="center"/>
              <w:rPr>
                <w:iCs/>
              </w:rPr>
            </w:pPr>
            <w:r w:rsidRPr="005C202F">
              <w:rPr>
                <w:iCs/>
              </w:rPr>
              <w:t>0.0770</w:t>
            </w:r>
          </w:p>
        </w:tc>
      </w:tr>
      <w:tr w:rsidR="0079557C" w:rsidRPr="005C202F" w:rsidTr="00EA444A">
        <w:tc>
          <w:tcPr>
            <w:tcW w:w="3928" w:type="pct"/>
            <w:gridSpan w:val="4"/>
            <w:vAlign w:val="center"/>
          </w:tcPr>
          <w:p w:rsidR="0079557C" w:rsidRPr="005C202F" w:rsidRDefault="0079557C" w:rsidP="008841D6">
            <w:pPr>
              <w:pStyle w:val="TableText"/>
              <w:keepLines/>
            </w:pPr>
            <w:r w:rsidRPr="005C202F">
              <w:rPr>
                <w:b/>
              </w:rPr>
              <w:t>Incremental cost/extra QALY gained</w:t>
            </w:r>
          </w:p>
        </w:tc>
        <w:tc>
          <w:tcPr>
            <w:tcW w:w="1072" w:type="pct"/>
            <w:vAlign w:val="center"/>
          </w:tcPr>
          <w:p w:rsidR="0079557C" w:rsidRPr="00783A28" w:rsidRDefault="0079557C" w:rsidP="008841D6">
            <w:pPr>
              <w:pStyle w:val="TableText"/>
              <w:keepLines/>
              <w:jc w:val="center"/>
              <w:rPr>
                <w:b/>
                <w:bCs w:val="0"/>
                <w:iCs/>
              </w:rPr>
            </w:pPr>
            <w:r w:rsidRPr="005C202F">
              <w:rPr>
                <w:b/>
                <w:bCs w:val="0"/>
                <w:iCs/>
              </w:rPr>
              <w:t>$</w:t>
            </w:r>
            <w:r w:rsidR="002704A1">
              <w:rPr>
                <w:b/>
                <w:bCs w:val="0"/>
                <w:iCs/>
                <w:noProof/>
                <w:color w:val="000000"/>
                <w:highlight w:val="black"/>
              </w:rPr>
              <w:t>''''''''''''''</w:t>
            </w:r>
            <w:r w:rsidR="00783A28">
              <w:rPr>
                <w:b/>
                <w:bCs w:val="0"/>
                <w:iCs/>
                <w:vertAlign w:val="superscript"/>
              </w:rPr>
              <w:t>5</w:t>
            </w:r>
          </w:p>
        </w:tc>
      </w:tr>
      <w:tr w:rsidR="0079557C" w:rsidRPr="005C202F" w:rsidTr="00EA444A">
        <w:tc>
          <w:tcPr>
            <w:tcW w:w="5000" w:type="pct"/>
            <w:gridSpan w:val="5"/>
            <w:vAlign w:val="center"/>
          </w:tcPr>
          <w:p w:rsidR="0079557C" w:rsidRPr="005C202F" w:rsidRDefault="0079557C" w:rsidP="008841D6">
            <w:pPr>
              <w:pStyle w:val="Tableheadingrow"/>
              <w:keepLines/>
              <w:rPr>
                <w:lang w:val="en-AU"/>
              </w:rPr>
            </w:pPr>
            <w:r w:rsidRPr="005C202F">
              <w:rPr>
                <w:lang w:val="en-AU"/>
              </w:rPr>
              <w:t xml:space="preserve">Step 4: </w:t>
            </w:r>
            <w:r w:rsidR="00394F47" w:rsidRPr="005C202F">
              <w:rPr>
                <w:b w:val="0"/>
                <w:lang w:val="en-AU"/>
              </w:rPr>
              <w:t xml:space="preserve">extrapolated from 52 weeks to 5 years, </w:t>
            </w:r>
            <w:r w:rsidRPr="005C202F">
              <w:rPr>
                <w:b w:val="0"/>
                <w:lang w:val="en-AU"/>
              </w:rPr>
              <w:t>costs and outcomes discounted at 5%</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Costs</w:t>
            </w:r>
          </w:p>
        </w:tc>
        <w:tc>
          <w:tcPr>
            <w:tcW w:w="1101" w:type="pct"/>
            <w:vAlign w:val="center"/>
          </w:tcPr>
          <w:p w:rsidR="0079557C" w:rsidRPr="005C202F" w:rsidRDefault="0079557C" w:rsidP="008841D6">
            <w:pPr>
              <w:pStyle w:val="TableText"/>
              <w:keepLines/>
              <w:jc w:val="center"/>
            </w:pPr>
            <w:r w:rsidRPr="005C202F">
              <w:t>$</w:t>
            </w:r>
            <w:r w:rsidR="002704A1">
              <w:rPr>
                <w:noProof/>
                <w:color w:val="000000"/>
                <w:highlight w:val="black"/>
              </w:rPr>
              <w:t>''''''''''''''''''''</w:t>
            </w:r>
          </w:p>
        </w:tc>
        <w:tc>
          <w:tcPr>
            <w:tcW w:w="1179" w:type="pct"/>
            <w:gridSpan w:val="2"/>
            <w:vAlign w:val="center"/>
          </w:tcPr>
          <w:p w:rsidR="0079557C" w:rsidRPr="005C202F" w:rsidRDefault="0079557C" w:rsidP="008841D6">
            <w:pPr>
              <w:pStyle w:val="TableText"/>
              <w:keepLines/>
              <w:jc w:val="center"/>
            </w:pPr>
            <w:r w:rsidRPr="005C202F">
              <w:t>$96,693</w:t>
            </w:r>
          </w:p>
        </w:tc>
        <w:tc>
          <w:tcPr>
            <w:tcW w:w="1072" w:type="pct"/>
            <w:vAlign w:val="center"/>
          </w:tcPr>
          <w:p w:rsidR="0079557C" w:rsidRPr="005C202F" w:rsidRDefault="0079557C" w:rsidP="008841D6">
            <w:pPr>
              <w:pStyle w:val="TableText"/>
              <w:keepLines/>
              <w:jc w:val="center"/>
            </w:pPr>
            <w:r w:rsidRPr="005C202F">
              <w:t>$</w:t>
            </w:r>
            <w:r w:rsidR="002704A1">
              <w:rPr>
                <w:noProof/>
                <w:color w:val="000000"/>
                <w:highlight w:val="black"/>
              </w:rPr>
              <w:t>'''''''''''''</w:t>
            </w:r>
          </w:p>
        </w:tc>
      </w:tr>
      <w:tr w:rsidR="0079557C" w:rsidRPr="005C202F" w:rsidTr="00EA444A">
        <w:tc>
          <w:tcPr>
            <w:tcW w:w="1648" w:type="pct"/>
            <w:vAlign w:val="center"/>
          </w:tcPr>
          <w:p w:rsidR="0079557C" w:rsidRPr="005C202F" w:rsidRDefault="0079557C" w:rsidP="008841D6">
            <w:pPr>
              <w:pStyle w:val="TableText"/>
              <w:keepLines/>
              <w:rPr>
                <w:rFonts w:ascii="Times" w:hAnsi="Times"/>
              </w:rPr>
            </w:pPr>
            <w:r w:rsidRPr="005C202F">
              <w:t>QALYs</w:t>
            </w:r>
          </w:p>
        </w:tc>
        <w:tc>
          <w:tcPr>
            <w:tcW w:w="1101" w:type="pct"/>
            <w:vAlign w:val="center"/>
          </w:tcPr>
          <w:p w:rsidR="0079557C" w:rsidRPr="005C202F" w:rsidRDefault="0079557C" w:rsidP="008841D6">
            <w:pPr>
              <w:pStyle w:val="TableText"/>
              <w:keepLines/>
              <w:jc w:val="center"/>
            </w:pPr>
            <w:r w:rsidRPr="005C202F">
              <w:t>3,0372</w:t>
            </w:r>
          </w:p>
        </w:tc>
        <w:tc>
          <w:tcPr>
            <w:tcW w:w="1179" w:type="pct"/>
            <w:gridSpan w:val="2"/>
            <w:vAlign w:val="center"/>
          </w:tcPr>
          <w:p w:rsidR="0079557C" w:rsidRPr="005C202F" w:rsidRDefault="0079557C" w:rsidP="008841D6">
            <w:pPr>
              <w:pStyle w:val="TableText"/>
              <w:keepLines/>
              <w:jc w:val="center"/>
            </w:pPr>
            <w:r w:rsidRPr="005C202F">
              <w:t>2.8132</w:t>
            </w:r>
          </w:p>
        </w:tc>
        <w:tc>
          <w:tcPr>
            <w:tcW w:w="1072" w:type="pct"/>
            <w:vAlign w:val="center"/>
          </w:tcPr>
          <w:p w:rsidR="0079557C" w:rsidRPr="005C202F" w:rsidRDefault="0079557C" w:rsidP="008841D6">
            <w:pPr>
              <w:pStyle w:val="TableText"/>
              <w:keepLines/>
              <w:jc w:val="center"/>
            </w:pPr>
            <w:r w:rsidRPr="005C202F">
              <w:t>0.2240</w:t>
            </w:r>
          </w:p>
        </w:tc>
      </w:tr>
      <w:tr w:rsidR="0079557C" w:rsidRPr="005C202F" w:rsidTr="00EA444A">
        <w:tc>
          <w:tcPr>
            <w:tcW w:w="3928" w:type="pct"/>
            <w:gridSpan w:val="4"/>
            <w:vAlign w:val="center"/>
          </w:tcPr>
          <w:p w:rsidR="0079557C" w:rsidRPr="005C202F" w:rsidRDefault="0079557C" w:rsidP="008841D6">
            <w:pPr>
              <w:pStyle w:val="TableText"/>
              <w:keepLines/>
              <w:rPr>
                <w:rFonts w:ascii="Times" w:hAnsi="Times"/>
                <w:b/>
              </w:rPr>
            </w:pPr>
            <w:r w:rsidRPr="005C202F">
              <w:rPr>
                <w:b/>
              </w:rPr>
              <w:t>Incremental cost/extra QALY gained (base case)</w:t>
            </w:r>
          </w:p>
        </w:tc>
        <w:tc>
          <w:tcPr>
            <w:tcW w:w="1072" w:type="pct"/>
            <w:vAlign w:val="center"/>
          </w:tcPr>
          <w:p w:rsidR="0079557C" w:rsidRPr="00783A28" w:rsidRDefault="0079557C" w:rsidP="008841D6">
            <w:pPr>
              <w:pStyle w:val="TableText"/>
              <w:keepLines/>
              <w:jc w:val="center"/>
              <w:rPr>
                <w:b/>
                <w:vertAlign w:val="superscript"/>
              </w:rPr>
            </w:pPr>
            <w:r w:rsidRPr="005C202F">
              <w:rPr>
                <w:b/>
              </w:rPr>
              <w:t>$</w:t>
            </w:r>
            <w:r w:rsidR="002704A1">
              <w:rPr>
                <w:b/>
                <w:noProof/>
                <w:color w:val="000000"/>
                <w:highlight w:val="black"/>
              </w:rPr>
              <w:t>'''''''''''''''</w:t>
            </w:r>
            <w:r w:rsidR="00783A28">
              <w:rPr>
                <w:b/>
                <w:vertAlign w:val="superscript"/>
              </w:rPr>
              <w:t>6</w:t>
            </w:r>
          </w:p>
        </w:tc>
      </w:tr>
    </w:tbl>
    <w:p w:rsidR="0079557C" w:rsidRPr="005C202F" w:rsidRDefault="0079557C" w:rsidP="008841D6">
      <w:pPr>
        <w:pStyle w:val="TableFigureFooter"/>
        <w:keepNext/>
        <w:keepLines/>
      </w:pPr>
      <w:r w:rsidRPr="005C202F">
        <w:t>Source: Table 3.25 of the submission and ‘Attachment 19 - Esketamine TRD CE model’ spreadsheet provided with the submission.</w:t>
      </w:r>
    </w:p>
    <w:p w:rsidR="0079557C" w:rsidRPr="005C202F" w:rsidRDefault="0079557C" w:rsidP="008841D6">
      <w:pPr>
        <w:pStyle w:val="TableFigureFooter"/>
        <w:keepNext/>
        <w:keepLines/>
      </w:pPr>
      <w:r w:rsidRPr="005C202F">
        <w:t>Abbreviations: MDE, major depressive episode; OAD, oral antidepressant</w:t>
      </w:r>
    </w:p>
    <w:p w:rsidR="0079557C" w:rsidRPr="005C202F" w:rsidRDefault="0079557C" w:rsidP="008841D6">
      <w:pPr>
        <w:pStyle w:val="TableFigureFooter"/>
        <w:keepNext/>
        <w:keepLines/>
      </w:pPr>
      <w:r w:rsidRPr="005C202F">
        <w:rPr>
          <w:vertAlign w:val="superscript"/>
        </w:rPr>
        <w:t xml:space="preserve">1 </w:t>
      </w:r>
      <w:r w:rsidRPr="005C202F">
        <w:t>In Step 1, the proportion of responders and proportion in remission are not mutually exclusive, however in Step 2, the proportion of responders has been adjusted to remove the proportion in remission to make the model health states mutually exclusive.</w:t>
      </w:r>
    </w:p>
    <w:p w:rsidR="0079557C" w:rsidRDefault="0079557C" w:rsidP="008841D6">
      <w:pPr>
        <w:pStyle w:val="TableFigureFooter"/>
        <w:keepNext/>
        <w:keepLines/>
      </w:pPr>
      <w:r w:rsidRPr="005C202F">
        <w:rPr>
          <w:vertAlign w:val="superscript"/>
        </w:rPr>
        <w:t>2</w:t>
      </w:r>
      <w:r w:rsidRPr="005C202F">
        <w:t xml:space="preserve"> Modelled drug and administration costs assuming patients with non-response, relapse or remission receive OAD only. </w:t>
      </w:r>
    </w:p>
    <w:p w:rsidR="00783A28" w:rsidRPr="006B56DA" w:rsidRDefault="00783A28" w:rsidP="008841D6">
      <w:pPr>
        <w:pStyle w:val="TableFigureFooter"/>
        <w:keepNext/>
        <w:keepLines/>
        <w:rPr>
          <w:i/>
        </w:rPr>
      </w:pPr>
      <w:r w:rsidRPr="006B56DA">
        <w:rPr>
          <w:i/>
        </w:rPr>
        <w:t>The redacted values correspond to the following ranges:</w:t>
      </w:r>
    </w:p>
    <w:p w:rsidR="00783A28" w:rsidRPr="006B56DA" w:rsidRDefault="00783A28" w:rsidP="008841D6">
      <w:pPr>
        <w:pStyle w:val="TableFigureFooter"/>
        <w:keepNext/>
        <w:keepLines/>
        <w:rPr>
          <w:i/>
        </w:rPr>
      </w:pPr>
      <w:r w:rsidRPr="006B56DA">
        <w:rPr>
          <w:i/>
          <w:vertAlign w:val="superscript"/>
        </w:rPr>
        <w:t>3</w:t>
      </w:r>
      <w:r w:rsidRPr="006B56DA">
        <w:rPr>
          <w:i/>
        </w:rPr>
        <w:t xml:space="preserve"> $15,000 to &lt; $25,000/QALY gained</w:t>
      </w:r>
    </w:p>
    <w:p w:rsidR="00783A28" w:rsidRPr="006B56DA" w:rsidRDefault="00783A28" w:rsidP="008841D6">
      <w:pPr>
        <w:pStyle w:val="TableFigureFooter"/>
        <w:keepNext/>
        <w:keepLines/>
        <w:rPr>
          <w:i/>
        </w:rPr>
      </w:pPr>
      <w:r w:rsidRPr="006B56DA">
        <w:rPr>
          <w:i/>
          <w:vertAlign w:val="superscript"/>
        </w:rPr>
        <w:t>4</w:t>
      </w:r>
      <w:r w:rsidRPr="006B56DA">
        <w:rPr>
          <w:i/>
        </w:rPr>
        <w:t xml:space="preserve"> $45,000 to &lt; $55,000/QALY gained</w:t>
      </w:r>
    </w:p>
    <w:p w:rsidR="00783A28" w:rsidRPr="006B56DA" w:rsidRDefault="00783A28" w:rsidP="008841D6">
      <w:pPr>
        <w:pStyle w:val="TableFigureFooter"/>
        <w:keepNext/>
        <w:keepLines/>
        <w:rPr>
          <w:i/>
        </w:rPr>
      </w:pPr>
      <w:r w:rsidRPr="006B56DA">
        <w:rPr>
          <w:i/>
          <w:vertAlign w:val="superscript"/>
        </w:rPr>
        <w:t>5</w:t>
      </w:r>
      <w:r w:rsidRPr="006B56DA">
        <w:rPr>
          <w:i/>
        </w:rPr>
        <w:t xml:space="preserve"> $95,000 to &lt; $115,000/QALY gained</w:t>
      </w:r>
    </w:p>
    <w:p w:rsidR="00783A28" w:rsidRPr="006B56DA" w:rsidRDefault="00783A28" w:rsidP="008841D6">
      <w:pPr>
        <w:pStyle w:val="TableFigureFooter"/>
        <w:keepNext/>
        <w:keepLines/>
        <w:rPr>
          <w:i/>
        </w:rPr>
      </w:pPr>
      <w:r w:rsidRPr="006B56DA">
        <w:rPr>
          <w:i/>
          <w:vertAlign w:val="superscript"/>
        </w:rPr>
        <w:t>6</w:t>
      </w:r>
      <w:r w:rsidRPr="006B56DA">
        <w:rPr>
          <w:i/>
        </w:rPr>
        <w:t xml:space="preserve"> $25,000 to &lt; $35,000/QALY gained</w:t>
      </w:r>
    </w:p>
    <w:p w:rsidR="0079557C" w:rsidRPr="005C202F" w:rsidRDefault="0079557C" w:rsidP="0079557C"/>
    <w:p w:rsidR="006E7268" w:rsidRPr="005C202F" w:rsidRDefault="006E7268" w:rsidP="006E7268">
      <w:pPr>
        <w:pStyle w:val="ExecSumBodyText"/>
        <w:rPr>
          <w:iCs/>
        </w:rPr>
      </w:pPr>
      <w:r w:rsidRPr="005C202F">
        <w:rPr>
          <w:iCs/>
        </w:rPr>
        <w:t>Incorporating the costs and consequences of maintenance treatment, including health care resource use, applying health state utilities and extrapolation of the model to five years had the largest impacts on the stepped economic evaluation.</w:t>
      </w:r>
      <w:r w:rsidR="00B971B3" w:rsidRPr="005C202F">
        <w:rPr>
          <w:iCs/>
        </w:rPr>
        <w:t xml:space="preserve"> </w:t>
      </w:r>
      <w:r w:rsidR="00401FD7" w:rsidRPr="005C202F">
        <w:rPr>
          <w:iCs/>
        </w:rPr>
        <w:t xml:space="preserve">The ESC noted the </w:t>
      </w:r>
      <w:r w:rsidR="00E45DE1" w:rsidRPr="005C202F">
        <w:rPr>
          <w:iCs/>
        </w:rPr>
        <w:t xml:space="preserve">extrapolation </w:t>
      </w:r>
      <w:r w:rsidR="00401FD7" w:rsidRPr="005C202F">
        <w:rPr>
          <w:iCs/>
        </w:rPr>
        <w:t>from 52 weeks to 5 years</w:t>
      </w:r>
      <w:r w:rsidR="00E45DE1" w:rsidRPr="005C202F">
        <w:rPr>
          <w:iCs/>
        </w:rPr>
        <w:t xml:space="preserve"> </w:t>
      </w:r>
      <w:r w:rsidR="00401FD7" w:rsidRPr="005C202F">
        <w:rPr>
          <w:iCs/>
        </w:rPr>
        <w:t>had a significant impact on the ICER which suggest</w:t>
      </w:r>
      <w:r w:rsidR="00D111DA" w:rsidRPr="005C202F">
        <w:rPr>
          <w:iCs/>
        </w:rPr>
        <w:t>ed</w:t>
      </w:r>
      <w:r w:rsidR="00401FD7" w:rsidRPr="005C202F">
        <w:rPr>
          <w:iCs/>
        </w:rPr>
        <w:t xml:space="preserve"> short-term treatment </w:t>
      </w:r>
      <w:r w:rsidR="00E45DE1" w:rsidRPr="005C202F">
        <w:rPr>
          <w:iCs/>
        </w:rPr>
        <w:t>(average modelled duration of treatment with esketamine was 1 year) ha</w:t>
      </w:r>
      <w:r w:rsidR="00D111DA" w:rsidRPr="005C202F">
        <w:rPr>
          <w:iCs/>
        </w:rPr>
        <w:t>d</w:t>
      </w:r>
      <w:r w:rsidR="00401FD7" w:rsidRPr="005C202F">
        <w:rPr>
          <w:iCs/>
        </w:rPr>
        <w:t xml:space="preserve"> a long</w:t>
      </w:r>
      <w:r w:rsidR="00E45DE1" w:rsidRPr="005C202F">
        <w:rPr>
          <w:iCs/>
        </w:rPr>
        <w:t>-</w:t>
      </w:r>
      <w:r w:rsidR="00401FD7" w:rsidRPr="005C202F">
        <w:rPr>
          <w:iCs/>
        </w:rPr>
        <w:t xml:space="preserve">term impact. </w:t>
      </w:r>
      <w:r w:rsidR="00E45DE1" w:rsidRPr="005C202F">
        <w:rPr>
          <w:iCs/>
        </w:rPr>
        <w:t>The ESC considered there was limited clinical evidence available to justify this assumption.</w:t>
      </w:r>
      <w:r w:rsidR="00E45DE1" w:rsidRPr="005C202F">
        <w:rPr>
          <w:i/>
          <w:iCs/>
        </w:rPr>
        <w:t xml:space="preserve"> </w:t>
      </w:r>
    </w:p>
    <w:p w:rsidR="00FF678E" w:rsidRPr="005C202F" w:rsidRDefault="006714BC" w:rsidP="006E7268">
      <w:pPr>
        <w:pStyle w:val="ExecSumBodyText"/>
        <w:rPr>
          <w:i/>
          <w:iCs/>
        </w:rPr>
      </w:pPr>
      <w:r w:rsidRPr="005C202F">
        <w:t xml:space="preserve">Based on the economic model, treatment with esketamine nasal spray plus a newly initiated </w:t>
      </w:r>
      <w:r w:rsidR="006E64BF" w:rsidRPr="005C202F">
        <w:t>OAD</w:t>
      </w:r>
      <w:r w:rsidRPr="005C202F">
        <w:t xml:space="preserve"> versus treatment with a newly initiated </w:t>
      </w:r>
      <w:r w:rsidR="006E64BF" w:rsidRPr="005C202F">
        <w:t xml:space="preserve">OAD </w:t>
      </w:r>
      <w:r w:rsidRPr="005C202F">
        <w:t>in patients with TRD is associated with a cost per QALY gained of $</w:t>
      </w:r>
      <w:r w:rsidR="007D1FF7">
        <w:t>25,000 to &lt; $35,000</w:t>
      </w:r>
      <w:r w:rsidRPr="005C202F">
        <w:t>.</w:t>
      </w:r>
    </w:p>
    <w:p w:rsidR="006714BC" w:rsidRPr="005C202F" w:rsidRDefault="00D150F4" w:rsidP="006E7268">
      <w:pPr>
        <w:pStyle w:val="ExecSumBodyText"/>
        <w:rPr>
          <w:i/>
          <w:iCs/>
        </w:rPr>
      </w:pPr>
      <w:r w:rsidRPr="005C202F">
        <w:t xml:space="preserve">The submission presented an alternative base case scenario conducted using a societal perspective, which includes indirect costs to patients due to loss in productivity associated with TRD. </w:t>
      </w:r>
      <w:r w:rsidR="00A912F5" w:rsidRPr="005C202F">
        <w:t>Incorporating indirect costs resulted in a cost per QALY gained of $</w:t>
      </w:r>
      <w:r w:rsidR="000347AF">
        <w:t>5,000 to &lt; $15,000</w:t>
      </w:r>
      <w:r w:rsidR="00A912F5" w:rsidRPr="005C202F">
        <w:t xml:space="preserve"> for esketamine nasal spray plus OAD versus OAD alone.</w:t>
      </w:r>
    </w:p>
    <w:p w:rsidR="006E7268" w:rsidRPr="005C202F" w:rsidRDefault="00D23D11" w:rsidP="00BB732D">
      <w:pPr>
        <w:pStyle w:val="ExecSumBodyText"/>
      </w:pPr>
      <w:r w:rsidRPr="005C202F">
        <w:t>The results of key sensitivity analyses are summarised below.</w:t>
      </w:r>
      <w:r w:rsidR="006E7268" w:rsidRPr="005C202F">
        <w:t xml:space="preserve"> </w:t>
      </w:r>
    </w:p>
    <w:p w:rsidR="006E7268" w:rsidRPr="005C202F" w:rsidRDefault="006E7268" w:rsidP="00EF0782">
      <w:pPr>
        <w:pStyle w:val="Tableheadingrow"/>
        <w:rPr>
          <w:i/>
          <w:iCs/>
          <w:lang w:val="en-AU"/>
        </w:rPr>
      </w:pPr>
      <w:r w:rsidRPr="005C202F">
        <w:rPr>
          <w:lang w:val="en-AU"/>
        </w:rPr>
        <w:t>Table 1</w:t>
      </w:r>
      <w:r w:rsidR="00A60886">
        <w:rPr>
          <w:lang w:val="en-AU"/>
        </w:rPr>
        <w:t>4</w:t>
      </w:r>
      <w:r w:rsidRPr="005C202F">
        <w:rPr>
          <w:lang w:val="en-AU"/>
        </w:rPr>
        <w:t>: Results of sensitivity analyses</w:t>
      </w:r>
    </w:p>
    <w:tbl>
      <w:tblPr>
        <w:tblStyle w:val="TableGrid"/>
        <w:tblW w:w="0" w:type="auto"/>
        <w:tblLayout w:type="fixed"/>
        <w:tblLook w:val="04A0" w:firstRow="1" w:lastRow="0" w:firstColumn="1" w:lastColumn="0" w:noHBand="0" w:noVBand="1"/>
        <w:tblCaption w:val="Table 14: Results of sensitivity analyses"/>
      </w:tblPr>
      <w:tblGrid>
        <w:gridCol w:w="5108"/>
        <w:gridCol w:w="1303"/>
        <w:gridCol w:w="1303"/>
        <w:gridCol w:w="1303"/>
      </w:tblGrid>
      <w:tr w:rsidR="006E7268" w:rsidRPr="005C202F" w:rsidTr="00EB63AF">
        <w:trPr>
          <w:tblHeader/>
        </w:trPr>
        <w:tc>
          <w:tcPr>
            <w:tcW w:w="5108" w:type="dxa"/>
          </w:tcPr>
          <w:p w:rsidR="006E7268" w:rsidRPr="005C202F" w:rsidRDefault="006E7268" w:rsidP="00EF0782">
            <w:pPr>
              <w:pStyle w:val="TableText"/>
            </w:pPr>
          </w:p>
        </w:tc>
        <w:tc>
          <w:tcPr>
            <w:tcW w:w="1303" w:type="dxa"/>
          </w:tcPr>
          <w:p w:rsidR="006E7268" w:rsidRPr="005C202F" w:rsidRDefault="006E7268" w:rsidP="00EF0782">
            <w:pPr>
              <w:pStyle w:val="TableText"/>
              <w:jc w:val="center"/>
              <w:rPr>
                <w:b/>
                <w:bCs w:val="0"/>
              </w:rPr>
            </w:pPr>
            <w:r w:rsidRPr="005C202F">
              <w:rPr>
                <w:b/>
                <w:bCs w:val="0"/>
              </w:rPr>
              <w:t>Incremental cost</w:t>
            </w:r>
          </w:p>
        </w:tc>
        <w:tc>
          <w:tcPr>
            <w:tcW w:w="1303" w:type="dxa"/>
          </w:tcPr>
          <w:p w:rsidR="006E7268" w:rsidRPr="005C202F" w:rsidRDefault="006E7268" w:rsidP="00EF0782">
            <w:pPr>
              <w:pStyle w:val="TableText"/>
              <w:jc w:val="center"/>
              <w:rPr>
                <w:b/>
                <w:bCs w:val="0"/>
              </w:rPr>
            </w:pPr>
            <w:r w:rsidRPr="005C202F">
              <w:rPr>
                <w:b/>
                <w:bCs w:val="0"/>
              </w:rPr>
              <w:t>Incremental QALYs</w:t>
            </w:r>
          </w:p>
        </w:tc>
        <w:tc>
          <w:tcPr>
            <w:tcW w:w="1303" w:type="dxa"/>
            <w:vAlign w:val="center"/>
          </w:tcPr>
          <w:p w:rsidR="006E7268" w:rsidRPr="005C202F" w:rsidRDefault="006E7268" w:rsidP="00EF0782">
            <w:pPr>
              <w:pStyle w:val="TableText"/>
              <w:jc w:val="center"/>
              <w:rPr>
                <w:b/>
                <w:bCs w:val="0"/>
              </w:rPr>
            </w:pPr>
            <w:r w:rsidRPr="005C202F">
              <w:rPr>
                <w:b/>
                <w:bCs w:val="0"/>
              </w:rPr>
              <w:t>ICER</w:t>
            </w:r>
          </w:p>
        </w:tc>
      </w:tr>
      <w:tr w:rsidR="006E7268" w:rsidRPr="005C202F" w:rsidTr="00EB63AF">
        <w:tc>
          <w:tcPr>
            <w:tcW w:w="5108" w:type="dxa"/>
          </w:tcPr>
          <w:p w:rsidR="006E7268" w:rsidRPr="005C202F" w:rsidRDefault="006E7268" w:rsidP="00EF0782">
            <w:pPr>
              <w:pStyle w:val="TableText"/>
              <w:rPr>
                <w:b/>
                <w:bCs w:val="0"/>
              </w:rPr>
            </w:pPr>
            <w:r w:rsidRPr="005C202F">
              <w:rPr>
                <w:b/>
                <w:bCs w:val="0"/>
              </w:rPr>
              <w:t>Base case</w:t>
            </w:r>
          </w:p>
        </w:tc>
        <w:tc>
          <w:tcPr>
            <w:tcW w:w="1303" w:type="dxa"/>
          </w:tcPr>
          <w:p w:rsidR="006E7268" w:rsidRPr="005C202F" w:rsidRDefault="006E7268" w:rsidP="00EF0782">
            <w:pPr>
              <w:pStyle w:val="TableText"/>
              <w:jc w:val="center"/>
              <w:rPr>
                <w:b/>
                <w:bCs w:val="0"/>
              </w:rPr>
            </w:pPr>
            <w:r w:rsidRPr="005C202F">
              <w:rPr>
                <w:b/>
                <w:bCs w:val="0"/>
              </w:rPr>
              <w:t>$</w:t>
            </w:r>
            <w:r w:rsidR="002704A1">
              <w:rPr>
                <w:b/>
                <w:bCs w:val="0"/>
                <w:noProof/>
                <w:color w:val="000000"/>
                <w:highlight w:val="black"/>
              </w:rPr>
              <w:t>'''''''''''</w:t>
            </w:r>
          </w:p>
        </w:tc>
        <w:tc>
          <w:tcPr>
            <w:tcW w:w="1303" w:type="dxa"/>
          </w:tcPr>
          <w:p w:rsidR="006E7268" w:rsidRPr="005C202F" w:rsidRDefault="006E7268" w:rsidP="00EF0782">
            <w:pPr>
              <w:pStyle w:val="TableText"/>
              <w:jc w:val="center"/>
              <w:rPr>
                <w:b/>
                <w:bCs w:val="0"/>
              </w:rPr>
            </w:pPr>
            <w:r w:rsidRPr="005C202F">
              <w:rPr>
                <w:b/>
                <w:bCs w:val="0"/>
              </w:rPr>
              <w:t>0.2240</w:t>
            </w:r>
          </w:p>
        </w:tc>
        <w:tc>
          <w:tcPr>
            <w:tcW w:w="1303" w:type="dxa"/>
          </w:tcPr>
          <w:p w:rsidR="006E7268" w:rsidRPr="009E018B" w:rsidRDefault="006E7268" w:rsidP="00EF0782">
            <w:pPr>
              <w:pStyle w:val="TableText"/>
              <w:jc w:val="center"/>
              <w:rPr>
                <w:b/>
                <w:bCs w:val="0"/>
              </w:rPr>
            </w:pPr>
            <w:r w:rsidRPr="005C202F">
              <w:rPr>
                <w:b/>
                <w:bCs w:val="0"/>
              </w:rPr>
              <w:t>$</w:t>
            </w:r>
            <w:r w:rsidR="002704A1">
              <w:rPr>
                <w:b/>
                <w:bCs w:val="0"/>
                <w:noProof/>
                <w:color w:val="000000"/>
                <w:highlight w:val="black"/>
              </w:rPr>
              <w:t>'''''''''''''</w:t>
            </w:r>
            <w:r w:rsidR="009E018B" w:rsidRPr="009E018B">
              <w:rPr>
                <w:b/>
                <w:bCs w:val="0"/>
                <w:vertAlign w:val="superscript"/>
              </w:rPr>
              <w:t>1</w:t>
            </w:r>
          </w:p>
        </w:tc>
      </w:tr>
      <w:tr w:rsidR="006E7268" w:rsidRPr="005C202F" w:rsidTr="00EB63AF">
        <w:tc>
          <w:tcPr>
            <w:tcW w:w="9017" w:type="dxa"/>
            <w:gridSpan w:val="4"/>
          </w:tcPr>
          <w:p w:rsidR="006E7268" w:rsidRPr="005C202F" w:rsidRDefault="006E7268" w:rsidP="00EF0782">
            <w:pPr>
              <w:pStyle w:val="TableText"/>
              <w:rPr>
                <w:b/>
                <w:bCs w:val="0"/>
              </w:rPr>
            </w:pPr>
            <w:r w:rsidRPr="005C202F">
              <w:rPr>
                <w:b/>
                <w:bCs w:val="0"/>
              </w:rPr>
              <w:t>Time horizon (base case</w:t>
            </w:r>
            <w:r w:rsidR="00D7606D" w:rsidRPr="005C202F">
              <w:rPr>
                <w:b/>
                <w:bCs w:val="0"/>
              </w:rPr>
              <w:t xml:space="preserve"> 5 years</w:t>
            </w:r>
            <w:r w:rsidRPr="005C202F">
              <w:rPr>
                <w:b/>
                <w:bCs w:val="0"/>
              </w:rPr>
              <w:t>)</w:t>
            </w:r>
          </w:p>
        </w:tc>
      </w:tr>
      <w:tr w:rsidR="006E7268" w:rsidRPr="005C202F" w:rsidTr="00EB63AF">
        <w:tc>
          <w:tcPr>
            <w:tcW w:w="5108" w:type="dxa"/>
          </w:tcPr>
          <w:p w:rsidR="006E7268" w:rsidRPr="005C202F" w:rsidRDefault="006E7268" w:rsidP="00EF0782">
            <w:pPr>
              <w:pStyle w:val="TableText"/>
              <w:rPr>
                <w:iCs/>
              </w:rPr>
            </w:pPr>
            <w:r w:rsidRPr="005C202F">
              <w:rPr>
                <w:iCs/>
              </w:rPr>
              <w:t>1 year</w:t>
            </w:r>
          </w:p>
        </w:tc>
        <w:tc>
          <w:tcPr>
            <w:tcW w:w="1303" w:type="dxa"/>
            <w:vAlign w:val="center"/>
          </w:tcPr>
          <w:p w:rsidR="006E7268" w:rsidRPr="005C202F" w:rsidRDefault="006E7268" w:rsidP="00EF0782">
            <w:pPr>
              <w:pStyle w:val="TableText"/>
              <w:jc w:val="center"/>
              <w:rPr>
                <w:iCs/>
              </w:rPr>
            </w:pPr>
            <w:r w:rsidRPr="005C202F">
              <w:rPr>
                <w:iCs/>
              </w:rPr>
              <w:t>$</w:t>
            </w:r>
            <w:r w:rsidR="002704A1">
              <w:rPr>
                <w:iCs/>
                <w:noProof/>
                <w:color w:val="000000"/>
                <w:highlight w:val="black"/>
              </w:rPr>
              <w:t>''''''''''''''</w:t>
            </w:r>
          </w:p>
        </w:tc>
        <w:tc>
          <w:tcPr>
            <w:tcW w:w="1303" w:type="dxa"/>
            <w:vAlign w:val="center"/>
          </w:tcPr>
          <w:p w:rsidR="006E7268" w:rsidRPr="005C202F" w:rsidRDefault="006E7268" w:rsidP="00EF0782">
            <w:pPr>
              <w:pStyle w:val="TableText"/>
              <w:jc w:val="center"/>
              <w:rPr>
                <w:iCs/>
              </w:rPr>
            </w:pPr>
            <w:r w:rsidRPr="005C202F">
              <w:rPr>
                <w:iCs/>
              </w:rPr>
              <w:t>0.0750</w:t>
            </w:r>
          </w:p>
        </w:tc>
        <w:tc>
          <w:tcPr>
            <w:tcW w:w="1303" w:type="dxa"/>
            <w:vAlign w:val="center"/>
          </w:tcPr>
          <w:p w:rsidR="006E7268" w:rsidRPr="009E018B" w:rsidRDefault="006E7268" w:rsidP="00EF0782">
            <w:pPr>
              <w:pStyle w:val="TableText"/>
              <w:jc w:val="center"/>
              <w:rPr>
                <w:iCs/>
                <w:vertAlign w:val="superscript"/>
              </w:rPr>
            </w:pPr>
            <w:r w:rsidRPr="005C202F">
              <w:rPr>
                <w:iCs/>
              </w:rPr>
              <w:t>$</w:t>
            </w:r>
            <w:r w:rsidR="002704A1">
              <w:rPr>
                <w:iCs/>
                <w:noProof/>
                <w:color w:val="000000"/>
                <w:highlight w:val="black"/>
              </w:rPr>
              <w:t>'''''''''''''''''</w:t>
            </w:r>
            <w:r w:rsidR="009E018B" w:rsidRPr="009E018B">
              <w:rPr>
                <w:iCs/>
                <w:vertAlign w:val="superscript"/>
              </w:rPr>
              <w:t>2</w:t>
            </w:r>
          </w:p>
        </w:tc>
      </w:tr>
      <w:tr w:rsidR="006E7268" w:rsidRPr="005C202F" w:rsidTr="00EB63AF">
        <w:tc>
          <w:tcPr>
            <w:tcW w:w="5108" w:type="dxa"/>
          </w:tcPr>
          <w:p w:rsidR="006E7268" w:rsidRPr="005C202F" w:rsidRDefault="006E7268" w:rsidP="00EF0782">
            <w:pPr>
              <w:pStyle w:val="TableText"/>
            </w:pPr>
            <w:r w:rsidRPr="005C202F">
              <w:t>3 years</w:t>
            </w:r>
          </w:p>
        </w:tc>
        <w:tc>
          <w:tcPr>
            <w:tcW w:w="1303" w:type="dxa"/>
            <w:vAlign w:val="center"/>
          </w:tcPr>
          <w:p w:rsidR="006E7268" w:rsidRPr="005C202F" w:rsidRDefault="006E7268" w:rsidP="00EF0782">
            <w:pPr>
              <w:pStyle w:val="TableText"/>
              <w:jc w:val="center"/>
            </w:pPr>
            <w:r w:rsidRPr="005C202F">
              <w:t>$</w:t>
            </w:r>
            <w:r w:rsidR="002704A1">
              <w:rPr>
                <w:noProof/>
                <w:color w:val="000000"/>
                <w:highlight w:val="black"/>
              </w:rPr>
              <w:t>'''''''''''''</w:t>
            </w:r>
          </w:p>
        </w:tc>
        <w:tc>
          <w:tcPr>
            <w:tcW w:w="1303" w:type="dxa"/>
            <w:vAlign w:val="center"/>
          </w:tcPr>
          <w:p w:rsidR="006E7268" w:rsidRPr="005C202F" w:rsidRDefault="006E7268" w:rsidP="00EF0782">
            <w:pPr>
              <w:pStyle w:val="TableText"/>
              <w:jc w:val="center"/>
            </w:pPr>
            <w:r w:rsidRPr="005C202F">
              <w:t>0.1736</w:t>
            </w:r>
          </w:p>
        </w:tc>
        <w:tc>
          <w:tcPr>
            <w:tcW w:w="1303" w:type="dxa"/>
            <w:vAlign w:val="center"/>
          </w:tcPr>
          <w:p w:rsidR="006E7268" w:rsidRPr="005C202F" w:rsidRDefault="006E7268" w:rsidP="00EF0782">
            <w:pPr>
              <w:pStyle w:val="TableText"/>
              <w:jc w:val="center"/>
            </w:pPr>
            <w:r w:rsidRPr="005C202F">
              <w:t>$</w:t>
            </w:r>
            <w:r w:rsidR="002704A1">
              <w:rPr>
                <w:noProof/>
                <w:color w:val="000000"/>
                <w:highlight w:val="black"/>
              </w:rPr>
              <w:t>'''''''''''''''''</w:t>
            </w:r>
            <w:r w:rsidR="009E018B">
              <w:rPr>
                <w:iCs/>
                <w:vertAlign w:val="superscript"/>
              </w:rPr>
              <w:t>3</w:t>
            </w:r>
          </w:p>
        </w:tc>
      </w:tr>
      <w:tr w:rsidR="0079557C" w:rsidRPr="005C202F" w:rsidTr="0079557C">
        <w:tc>
          <w:tcPr>
            <w:tcW w:w="9017" w:type="dxa"/>
            <w:gridSpan w:val="4"/>
            <w:vAlign w:val="center"/>
          </w:tcPr>
          <w:p w:rsidR="0079557C" w:rsidRPr="005C202F" w:rsidRDefault="0079557C" w:rsidP="00EF0782">
            <w:pPr>
              <w:pStyle w:val="TableText"/>
              <w:rPr>
                <w:i/>
                <w:iCs/>
              </w:rPr>
            </w:pPr>
            <w:r w:rsidRPr="005C202F">
              <w:rPr>
                <w:b/>
                <w:bCs w:val="0"/>
              </w:rPr>
              <w:t>Probabilities of remission in induction phase (base case: remission 52.5% ESK+OAD vs 31.0% OAD; from TRANSFORM-2)</w:t>
            </w:r>
          </w:p>
        </w:tc>
      </w:tr>
      <w:tr w:rsidR="0079557C" w:rsidRPr="005C202F" w:rsidTr="00EB63AF">
        <w:tc>
          <w:tcPr>
            <w:tcW w:w="5108" w:type="dxa"/>
          </w:tcPr>
          <w:p w:rsidR="0079557C" w:rsidRPr="005C202F" w:rsidRDefault="0079557C" w:rsidP="00EF0782">
            <w:pPr>
              <w:pStyle w:val="TableText"/>
              <w:rPr>
                <w:iCs/>
              </w:rPr>
            </w:pPr>
            <w:r w:rsidRPr="005C202F">
              <w:rPr>
                <w:iCs/>
              </w:rPr>
              <w:t xml:space="preserve">Decrease ESK+OAD probability of remission by 20% </w:t>
            </w:r>
          </w:p>
        </w:tc>
        <w:tc>
          <w:tcPr>
            <w:tcW w:w="1303" w:type="dxa"/>
            <w:vAlign w:val="center"/>
          </w:tcPr>
          <w:p w:rsidR="0079557C" w:rsidRPr="005C202F" w:rsidRDefault="0079557C" w:rsidP="00EF0782">
            <w:pPr>
              <w:pStyle w:val="TableText"/>
              <w:jc w:val="center"/>
              <w:rPr>
                <w:iCs/>
              </w:rPr>
            </w:pPr>
            <w:r w:rsidRPr="005C202F">
              <w:rPr>
                <w:iCs/>
              </w:rPr>
              <w:t xml:space="preserve">$ </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0.1713</w:t>
            </w:r>
          </w:p>
        </w:tc>
        <w:tc>
          <w:tcPr>
            <w:tcW w:w="1303" w:type="dxa"/>
            <w:vAlign w:val="center"/>
          </w:tcPr>
          <w:p w:rsidR="0079557C" w:rsidRPr="005C202F" w:rsidRDefault="0079557C" w:rsidP="00EF0782">
            <w:pPr>
              <w:pStyle w:val="TableText"/>
              <w:jc w:val="center"/>
              <w:rPr>
                <w:iCs/>
              </w:rPr>
            </w:pPr>
            <w:r w:rsidRPr="005C202F">
              <w:rPr>
                <w:iCs/>
              </w:rPr>
              <w:t xml:space="preserve">$ </w:t>
            </w:r>
            <w:r w:rsidR="002704A1">
              <w:rPr>
                <w:iCs/>
                <w:noProof/>
                <w:color w:val="000000"/>
                <w:highlight w:val="black"/>
              </w:rPr>
              <w:t>'''''''''''''''</w:t>
            </w:r>
            <w:r w:rsidR="009E018B">
              <w:rPr>
                <w:iCs/>
                <w:vertAlign w:val="superscript"/>
              </w:rPr>
              <w:t>4</w:t>
            </w:r>
          </w:p>
        </w:tc>
      </w:tr>
      <w:tr w:rsidR="0079557C" w:rsidRPr="005C202F" w:rsidTr="0079557C">
        <w:tc>
          <w:tcPr>
            <w:tcW w:w="5108" w:type="dxa"/>
          </w:tcPr>
          <w:p w:rsidR="0079557C" w:rsidRPr="005C202F" w:rsidRDefault="0079557C" w:rsidP="00EF0782">
            <w:pPr>
              <w:pStyle w:val="TableText"/>
              <w:rPr>
                <w:iCs/>
              </w:rPr>
            </w:pPr>
            <w:r w:rsidRPr="005C202F">
              <w:rPr>
                <w:iCs/>
              </w:rPr>
              <w:t xml:space="preserve">Increase ESK+OAD probability of remission by 20% </w:t>
            </w:r>
          </w:p>
        </w:tc>
        <w:tc>
          <w:tcPr>
            <w:tcW w:w="1303" w:type="dxa"/>
            <w:vAlign w:val="center"/>
          </w:tcPr>
          <w:p w:rsidR="0079557C" w:rsidRPr="005C202F" w:rsidRDefault="0079557C" w:rsidP="00EF0782">
            <w:pPr>
              <w:pStyle w:val="TableText"/>
              <w:jc w:val="center"/>
              <w:rPr>
                <w:iCs/>
              </w:rPr>
            </w:pPr>
            <w:r w:rsidRPr="005C202F">
              <w:rPr>
                <w:iCs/>
              </w:rPr>
              <w:t xml:space="preserve">$ </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0.2766</w:t>
            </w:r>
          </w:p>
        </w:tc>
        <w:tc>
          <w:tcPr>
            <w:tcW w:w="1303" w:type="dxa"/>
            <w:vAlign w:val="center"/>
          </w:tcPr>
          <w:p w:rsidR="0079557C" w:rsidRPr="005C202F" w:rsidRDefault="0079557C" w:rsidP="00EF0782">
            <w:pPr>
              <w:pStyle w:val="TableText"/>
              <w:jc w:val="center"/>
              <w:rPr>
                <w:iCs/>
              </w:rPr>
            </w:pPr>
            <w:r w:rsidRPr="005C202F">
              <w:rPr>
                <w:iCs/>
              </w:rPr>
              <w:t xml:space="preserve">$ </w:t>
            </w:r>
            <w:r w:rsidR="002704A1">
              <w:rPr>
                <w:iCs/>
                <w:noProof/>
                <w:color w:val="000000"/>
                <w:highlight w:val="black"/>
              </w:rPr>
              <w:t>'''''''''''''''''</w:t>
            </w:r>
            <w:r w:rsidR="009E018B">
              <w:rPr>
                <w:iCs/>
                <w:vertAlign w:val="superscript"/>
              </w:rPr>
              <w:t>5</w:t>
            </w:r>
          </w:p>
        </w:tc>
      </w:tr>
      <w:tr w:rsidR="0079557C" w:rsidRPr="005C202F" w:rsidTr="00EB63AF">
        <w:tc>
          <w:tcPr>
            <w:tcW w:w="9017" w:type="dxa"/>
            <w:gridSpan w:val="4"/>
          </w:tcPr>
          <w:p w:rsidR="0079557C" w:rsidRPr="005C202F" w:rsidRDefault="0079557C" w:rsidP="003F1F52">
            <w:pPr>
              <w:pStyle w:val="TableText"/>
            </w:pPr>
            <w:r w:rsidRPr="005C202F">
              <w:rPr>
                <w:b/>
                <w:bCs w:val="0"/>
              </w:rPr>
              <w:t>Maintenance (base case values for ESK+OAD and OAD arms derived from SUSTAIN-1)</w:t>
            </w:r>
          </w:p>
        </w:tc>
      </w:tr>
      <w:tr w:rsidR="0079557C" w:rsidRPr="005C202F" w:rsidTr="00EB63AF">
        <w:tc>
          <w:tcPr>
            <w:tcW w:w="5108" w:type="dxa"/>
          </w:tcPr>
          <w:p w:rsidR="0079557C" w:rsidRPr="005C202F" w:rsidRDefault="0079557C" w:rsidP="00EF0782">
            <w:pPr>
              <w:pStyle w:val="TableText"/>
              <w:rPr>
                <w:iCs/>
              </w:rPr>
            </w:pPr>
            <w:r w:rsidRPr="005C202F">
              <w:rPr>
                <w:iCs/>
              </w:rPr>
              <w:t>Increase probabilities to MDE by 20%; decrease response to remission probability by 20%: ESK+OAD arm</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0.1735</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r w:rsidR="009E018B">
              <w:rPr>
                <w:iCs/>
                <w:vertAlign w:val="superscript"/>
              </w:rPr>
              <w:t>3</w:t>
            </w:r>
          </w:p>
        </w:tc>
      </w:tr>
      <w:tr w:rsidR="0079557C" w:rsidRPr="005C202F" w:rsidTr="00EB63AF">
        <w:tc>
          <w:tcPr>
            <w:tcW w:w="5108" w:type="dxa"/>
          </w:tcPr>
          <w:p w:rsidR="0079557C" w:rsidRPr="005C202F" w:rsidRDefault="0079557C" w:rsidP="00EF0782">
            <w:pPr>
              <w:pStyle w:val="TableText"/>
              <w:rPr>
                <w:iCs/>
              </w:rPr>
            </w:pPr>
            <w:r w:rsidRPr="005C202F">
              <w:rPr>
                <w:iCs/>
              </w:rPr>
              <w:t>Increase probabilities to MDE by 20%; decrease response to remission probability by 20%: OAD arm</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0.2507</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r w:rsidR="009E018B">
              <w:rPr>
                <w:iCs/>
                <w:vertAlign w:val="superscript"/>
              </w:rPr>
              <w:t>5</w:t>
            </w:r>
          </w:p>
        </w:tc>
      </w:tr>
      <w:tr w:rsidR="0079557C" w:rsidRPr="005C202F" w:rsidTr="00EB63AF">
        <w:tc>
          <w:tcPr>
            <w:tcW w:w="9017" w:type="dxa"/>
            <w:gridSpan w:val="4"/>
          </w:tcPr>
          <w:p w:rsidR="0079557C" w:rsidRPr="005C202F" w:rsidRDefault="0079557C" w:rsidP="00EF0782">
            <w:pPr>
              <w:pStyle w:val="TableText"/>
            </w:pPr>
            <w:r w:rsidRPr="005C202F">
              <w:rPr>
                <w:b/>
                <w:bCs w:val="0"/>
              </w:rPr>
              <w:t>Subsequent treatment remission and response (base case: remission 4.5%/cycle; response 1.1%/cycle; assuming response estimates in STAR*D study double-count remission estimates and are based on a 12-week duration)</w:t>
            </w:r>
          </w:p>
        </w:tc>
      </w:tr>
      <w:tr w:rsidR="0079557C" w:rsidRPr="005C202F" w:rsidTr="00EB63AF">
        <w:tc>
          <w:tcPr>
            <w:tcW w:w="5108" w:type="dxa"/>
          </w:tcPr>
          <w:p w:rsidR="0079557C" w:rsidRPr="005C202F" w:rsidRDefault="0079557C" w:rsidP="00EF0782">
            <w:pPr>
              <w:pStyle w:val="TableText"/>
              <w:rPr>
                <w:iCs/>
              </w:rPr>
            </w:pPr>
            <w:r w:rsidRPr="005C202F">
              <w:rPr>
                <w:iCs/>
              </w:rPr>
              <w:t>Response 5.8%/cycle (no double-counting assumed)</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0.2027</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r w:rsidR="009E018B">
              <w:rPr>
                <w:iCs/>
                <w:vertAlign w:val="superscript"/>
              </w:rPr>
              <w:t>4</w:t>
            </w:r>
          </w:p>
        </w:tc>
      </w:tr>
      <w:tr w:rsidR="0079557C" w:rsidRPr="005C202F" w:rsidTr="00EB63AF">
        <w:tc>
          <w:tcPr>
            <w:tcW w:w="5108" w:type="dxa"/>
          </w:tcPr>
          <w:p w:rsidR="0079557C" w:rsidRPr="005C202F" w:rsidRDefault="0079557C" w:rsidP="00EF0782">
            <w:pPr>
              <w:pStyle w:val="TableText"/>
              <w:rPr>
                <w:iCs/>
              </w:rPr>
            </w:pPr>
            <w:r w:rsidRPr="005C202F">
              <w:rPr>
                <w:iCs/>
              </w:rPr>
              <w:t>STAR*D probabilities adjusted to 4-weekly estimates based on time to response (8.3 weeks)/remission (7.4 weeks)</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EF0782">
            <w:pPr>
              <w:pStyle w:val="TableText"/>
              <w:jc w:val="center"/>
              <w:rPr>
                <w:iCs/>
              </w:rPr>
            </w:pPr>
            <w:r w:rsidRPr="005C202F">
              <w:rPr>
                <w:iCs/>
              </w:rPr>
              <w:t>0.1942</w:t>
            </w:r>
          </w:p>
        </w:tc>
        <w:tc>
          <w:tcPr>
            <w:tcW w:w="1303" w:type="dxa"/>
            <w:vAlign w:val="center"/>
          </w:tcPr>
          <w:p w:rsidR="0079557C" w:rsidRPr="005C202F" w:rsidRDefault="0079557C" w:rsidP="00EF0782">
            <w:pPr>
              <w:pStyle w:val="TableText"/>
              <w:jc w:val="center"/>
              <w:rPr>
                <w:iCs/>
              </w:rPr>
            </w:pPr>
            <w:r w:rsidRPr="005C202F">
              <w:rPr>
                <w:iCs/>
              </w:rPr>
              <w:t>$</w:t>
            </w:r>
            <w:r w:rsidR="002704A1">
              <w:rPr>
                <w:iCs/>
                <w:noProof/>
                <w:color w:val="000000"/>
                <w:highlight w:val="black"/>
              </w:rPr>
              <w:t>'''''''''''''''</w:t>
            </w:r>
            <w:r w:rsidR="009E018B">
              <w:rPr>
                <w:iCs/>
                <w:vertAlign w:val="superscript"/>
              </w:rPr>
              <w:t>4</w:t>
            </w:r>
          </w:p>
        </w:tc>
      </w:tr>
      <w:tr w:rsidR="0079557C" w:rsidRPr="005C202F" w:rsidTr="00EB63AF">
        <w:tc>
          <w:tcPr>
            <w:tcW w:w="9017" w:type="dxa"/>
            <w:gridSpan w:val="4"/>
          </w:tcPr>
          <w:p w:rsidR="0079557C" w:rsidRPr="005C202F" w:rsidRDefault="0079557C" w:rsidP="0079557C">
            <w:pPr>
              <w:pStyle w:val="TableText"/>
              <w:keepNext w:val="0"/>
            </w:pPr>
            <w:r w:rsidRPr="005C202F">
              <w:rPr>
                <w:b/>
                <w:bCs w:val="0"/>
              </w:rPr>
              <w:t>Subsequent treatment loss or response and relapse from remission (base case: remission to MDE 12.8%/cycle; response to MDE 22.8%/cycle)</w:t>
            </w:r>
          </w:p>
        </w:tc>
      </w:tr>
      <w:tr w:rsidR="0079557C" w:rsidRPr="005C202F" w:rsidTr="00EB63AF">
        <w:tc>
          <w:tcPr>
            <w:tcW w:w="5108" w:type="dxa"/>
          </w:tcPr>
          <w:p w:rsidR="0079557C" w:rsidRPr="005C202F" w:rsidRDefault="0079557C" w:rsidP="0079557C">
            <w:pPr>
              <w:pStyle w:val="TableText"/>
              <w:keepNext w:val="0"/>
              <w:rPr>
                <w:iCs/>
              </w:rPr>
            </w:pPr>
            <w:r w:rsidRPr="005C202F">
              <w:rPr>
                <w:iCs/>
              </w:rPr>
              <w:t xml:space="preserve">Increase probabilities by 20% </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0.2334</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9E018B">
              <w:rPr>
                <w:iCs/>
                <w:vertAlign w:val="superscript"/>
              </w:rPr>
              <w:t>1</w:t>
            </w:r>
          </w:p>
        </w:tc>
      </w:tr>
      <w:tr w:rsidR="0079557C" w:rsidRPr="005C202F" w:rsidTr="00EB63AF">
        <w:tc>
          <w:tcPr>
            <w:tcW w:w="5108" w:type="dxa"/>
          </w:tcPr>
          <w:p w:rsidR="0079557C" w:rsidRPr="005C202F" w:rsidRDefault="0079557C" w:rsidP="0079557C">
            <w:pPr>
              <w:pStyle w:val="TableText"/>
              <w:keepNext w:val="0"/>
              <w:rPr>
                <w:iCs/>
              </w:rPr>
            </w:pPr>
            <w:r w:rsidRPr="005C202F">
              <w:rPr>
                <w:iCs/>
              </w:rPr>
              <w:t>Decrease probabilities by 20%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0.2116</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9E018B">
              <w:rPr>
                <w:iCs/>
                <w:vertAlign w:val="superscript"/>
              </w:rPr>
              <w:t>4</w:t>
            </w:r>
          </w:p>
        </w:tc>
      </w:tr>
      <w:tr w:rsidR="0079557C" w:rsidRPr="005C202F" w:rsidTr="00EB63AF">
        <w:tc>
          <w:tcPr>
            <w:tcW w:w="9017" w:type="dxa"/>
            <w:gridSpan w:val="4"/>
          </w:tcPr>
          <w:p w:rsidR="0079557C" w:rsidRPr="005C202F" w:rsidRDefault="0079557C" w:rsidP="0079557C">
            <w:pPr>
              <w:pStyle w:val="TableText"/>
              <w:keepNext w:val="0"/>
            </w:pPr>
            <w:r w:rsidRPr="005C202F">
              <w:rPr>
                <w:b/>
                <w:bCs w:val="0"/>
              </w:rPr>
              <w:t>Recurrence of MDE from recovery (base case: 2.427% ESK+OAD; 3.558% OAD)</w:t>
            </w:r>
          </w:p>
        </w:tc>
      </w:tr>
      <w:tr w:rsidR="0079557C" w:rsidRPr="005C202F" w:rsidTr="00EB63AF">
        <w:tc>
          <w:tcPr>
            <w:tcW w:w="5108" w:type="dxa"/>
          </w:tcPr>
          <w:p w:rsidR="0079557C" w:rsidRPr="005C202F" w:rsidRDefault="0079557C" w:rsidP="0079557C">
            <w:pPr>
              <w:pStyle w:val="TableText"/>
              <w:keepNext w:val="0"/>
              <w:rPr>
                <w:iCs/>
              </w:rPr>
            </w:pPr>
            <w:r w:rsidRPr="005C202F">
              <w:rPr>
                <w:iCs/>
              </w:rPr>
              <w:t>Same probability of recovery to MDE in each arm, based on placebo: 0.03558</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0.1777</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9E018B">
              <w:rPr>
                <w:iCs/>
                <w:vertAlign w:val="superscript"/>
              </w:rPr>
              <w:t>3</w:t>
            </w:r>
          </w:p>
        </w:tc>
      </w:tr>
      <w:tr w:rsidR="0079557C" w:rsidRPr="005C202F" w:rsidTr="00EB63AF">
        <w:tc>
          <w:tcPr>
            <w:tcW w:w="5108" w:type="dxa"/>
          </w:tcPr>
          <w:p w:rsidR="0079557C" w:rsidRPr="005C202F" w:rsidRDefault="0079557C" w:rsidP="0079557C">
            <w:pPr>
              <w:pStyle w:val="TableText"/>
              <w:keepNext w:val="0"/>
              <w:rPr>
                <w:iCs/>
              </w:rPr>
            </w:pPr>
            <w:r w:rsidRPr="005C202F">
              <w:rPr>
                <w:iCs/>
              </w:rPr>
              <w:t>Same probability of recovery to MDE in each arm, based on esketamine: 0.02427</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0.2094</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4</w:t>
            </w:r>
          </w:p>
        </w:tc>
      </w:tr>
      <w:tr w:rsidR="0079557C" w:rsidRPr="005C202F" w:rsidTr="00EB63AF">
        <w:tc>
          <w:tcPr>
            <w:tcW w:w="5108" w:type="dxa"/>
          </w:tcPr>
          <w:p w:rsidR="0079557C" w:rsidRPr="005C202F" w:rsidRDefault="0079557C" w:rsidP="0079557C">
            <w:pPr>
              <w:pStyle w:val="TableText"/>
              <w:keepNext w:val="0"/>
              <w:rPr>
                <w:iCs/>
              </w:rPr>
            </w:pPr>
            <w:r w:rsidRPr="005C202F">
              <w:rPr>
                <w:iCs/>
              </w:rPr>
              <w:t>Use of 56 mg dose only</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6</w:t>
            </w:r>
          </w:p>
        </w:tc>
      </w:tr>
      <w:tr w:rsidR="0079557C" w:rsidRPr="005C202F" w:rsidTr="00EB63AF">
        <w:tc>
          <w:tcPr>
            <w:tcW w:w="5108" w:type="dxa"/>
          </w:tcPr>
          <w:p w:rsidR="0079557C" w:rsidRPr="005C202F" w:rsidRDefault="0079557C" w:rsidP="0079557C">
            <w:pPr>
              <w:pStyle w:val="TableText"/>
              <w:keepNext w:val="0"/>
              <w:rPr>
                <w:iCs/>
              </w:rPr>
            </w:pPr>
            <w:r w:rsidRPr="005C202F">
              <w:rPr>
                <w:iCs/>
              </w:rPr>
              <w:t>Use of 84 mg dose only</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4</w:t>
            </w:r>
          </w:p>
        </w:tc>
      </w:tr>
      <w:tr w:rsidR="0079557C" w:rsidRPr="005C202F" w:rsidTr="00EB63AF">
        <w:tc>
          <w:tcPr>
            <w:tcW w:w="5108" w:type="dxa"/>
          </w:tcPr>
          <w:p w:rsidR="0079557C" w:rsidRPr="005C202F" w:rsidRDefault="0079557C" w:rsidP="0079557C">
            <w:pPr>
              <w:pStyle w:val="TableText"/>
              <w:keepNext w:val="0"/>
              <w:rPr>
                <w:iCs/>
              </w:rPr>
            </w:pPr>
            <w:r w:rsidRPr="005C202F">
              <w:rPr>
                <w:iCs/>
              </w:rPr>
              <w:t>All patients receive once weekly dosing during maintenance weeks 9+</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7</w:t>
            </w:r>
          </w:p>
        </w:tc>
      </w:tr>
      <w:tr w:rsidR="0079557C" w:rsidRPr="005C202F" w:rsidTr="00D66D34">
        <w:trPr>
          <w:trHeight w:val="490"/>
        </w:trPr>
        <w:tc>
          <w:tcPr>
            <w:tcW w:w="5108" w:type="dxa"/>
          </w:tcPr>
          <w:p w:rsidR="0079557C" w:rsidRPr="005C202F" w:rsidRDefault="0079557C" w:rsidP="0079557C">
            <w:pPr>
              <w:pStyle w:val="TableText"/>
              <w:keepNext w:val="0"/>
              <w:rPr>
                <w:iCs/>
              </w:rPr>
            </w:pPr>
            <w:r w:rsidRPr="005C202F">
              <w:rPr>
                <w:iCs/>
              </w:rPr>
              <w:t>All patients receive once fortnightly dosing during maintenance weeks 9+</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6</w:t>
            </w:r>
          </w:p>
        </w:tc>
      </w:tr>
      <w:tr w:rsidR="0079557C" w:rsidRPr="005C202F" w:rsidTr="00EB63AF">
        <w:tc>
          <w:tcPr>
            <w:tcW w:w="9017" w:type="dxa"/>
            <w:gridSpan w:val="4"/>
          </w:tcPr>
          <w:p w:rsidR="0079557C" w:rsidRPr="005C202F" w:rsidRDefault="0079557C" w:rsidP="0079557C">
            <w:pPr>
              <w:pStyle w:val="TableText"/>
              <w:keepNext w:val="0"/>
              <w:rPr>
                <w:b/>
                <w:bCs w:val="0"/>
              </w:rPr>
            </w:pPr>
            <w:r w:rsidRPr="005C202F">
              <w:rPr>
                <w:b/>
                <w:bCs w:val="0"/>
              </w:rPr>
              <w:t>Cost of administration and monitoring (base case MBS item 300 (&lt;15 min), $45.35 (</w:t>
            </w:r>
            <w:r w:rsidRPr="005C202F">
              <w:rPr>
                <w:b/>
                <w:bCs w:val="0"/>
                <w:iCs/>
              </w:rPr>
              <w:t>benefit of $38.55 inappropriately applied</w:t>
            </w:r>
            <w:r w:rsidRPr="005C202F">
              <w:rPr>
                <w:b/>
                <w:bCs w:val="0"/>
              </w:rPr>
              <w:t>); applied to both treatment arms)</w:t>
            </w:r>
          </w:p>
        </w:tc>
      </w:tr>
      <w:tr w:rsidR="0079557C" w:rsidRPr="005C202F" w:rsidTr="00EB63AF">
        <w:tc>
          <w:tcPr>
            <w:tcW w:w="5108" w:type="dxa"/>
          </w:tcPr>
          <w:p w:rsidR="0079557C" w:rsidRPr="005C202F" w:rsidRDefault="0079557C" w:rsidP="0079557C">
            <w:pPr>
              <w:pStyle w:val="TableText"/>
              <w:keepNext w:val="0"/>
              <w:rPr>
                <w:iCs/>
              </w:rPr>
            </w:pPr>
            <w:r w:rsidRPr="005C202F">
              <w:rPr>
                <w:iCs/>
              </w:rPr>
              <w:t>MBS item 304 (30-45 min) $139.30 applied to esketamine arm only</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3</w:t>
            </w:r>
          </w:p>
        </w:tc>
      </w:tr>
      <w:tr w:rsidR="0079557C" w:rsidRPr="005C202F" w:rsidTr="00EB63AF">
        <w:tc>
          <w:tcPr>
            <w:tcW w:w="5108" w:type="dxa"/>
          </w:tcPr>
          <w:p w:rsidR="0079557C" w:rsidRPr="005C202F" w:rsidRDefault="0079557C" w:rsidP="0079557C">
            <w:pPr>
              <w:pStyle w:val="TableText"/>
              <w:keepNext w:val="0"/>
              <w:rPr>
                <w:iCs/>
              </w:rPr>
            </w:pPr>
            <w:r w:rsidRPr="005C202F">
              <w:rPr>
                <w:iCs/>
              </w:rPr>
              <w:t>MBS item 308 (&gt;75 min) $223.10 applied to esketamine arm only</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7</w:t>
            </w:r>
          </w:p>
        </w:tc>
      </w:tr>
      <w:tr w:rsidR="0079557C" w:rsidRPr="005C202F" w:rsidTr="00EB63AF">
        <w:tc>
          <w:tcPr>
            <w:tcW w:w="9017" w:type="dxa"/>
            <w:gridSpan w:val="4"/>
          </w:tcPr>
          <w:p w:rsidR="0079557C" w:rsidRPr="005C202F" w:rsidRDefault="0079557C" w:rsidP="0079557C">
            <w:pPr>
              <w:pStyle w:val="TableText"/>
              <w:keepNext w:val="0"/>
              <w:rPr>
                <w:b/>
                <w:bCs w:val="0"/>
              </w:rPr>
            </w:pPr>
            <w:r w:rsidRPr="005C202F">
              <w:rPr>
                <w:b/>
                <w:bCs w:val="0"/>
              </w:rPr>
              <w:t>Treatment discontinuation (probability of discontinuing esketamine 1.7% per cycle; affects drug and administration costs only)</w:t>
            </w:r>
          </w:p>
        </w:tc>
      </w:tr>
      <w:tr w:rsidR="0079557C" w:rsidRPr="005C202F" w:rsidTr="00EB63AF">
        <w:tc>
          <w:tcPr>
            <w:tcW w:w="5108" w:type="dxa"/>
          </w:tcPr>
          <w:p w:rsidR="0079557C" w:rsidRPr="005C202F" w:rsidRDefault="0079557C" w:rsidP="0079557C">
            <w:pPr>
              <w:pStyle w:val="TableText"/>
              <w:keepNext w:val="0"/>
              <w:rPr>
                <w:iCs/>
              </w:rPr>
            </w:pPr>
            <w:r w:rsidRPr="005C202F">
              <w:rPr>
                <w:iCs/>
              </w:rPr>
              <w:t>Treatment discontinuations only applied for the duration of the SUSTAIN-1 maintenance period (weeks 5-40)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3</w:t>
            </w:r>
          </w:p>
        </w:tc>
      </w:tr>
      <w:tr w:rsidR="0079557C" w:rsidRPr="005C202F" w:rsidTr="00EB63AF">
        <w:tc>
          <w:tcPr>
            <w:tcW w:w="9017" w:type="dxa"/>
            <w:gridSpan w:val="4"/>
          </w:tcPr>
          <w:p w:rsidR="0079557C" w:rsidRPr="005C202F" w:rsidRDefault="0079557C" w:rsidP="003F1F52">
            <w:pPr>
              <w:pStyle w:val="TableText"/>
              <w:keepNext w:val="0"/>
              <w:rPr>
                <w:b/>
                <w:bCs w:val="0"/>
              </w:rPr>
            </w:pPr>
            <w:r w:rsidRPr="005C202F">
              <w:rPr>
                <w:b/>
                <w:bCs w:val="0"/>
              </w:rPr>
              <w:t>Health care resource use (base case: estimates of primary care, specialist, and ED visits and hospitalisation days by health state based on Denee 2021)</w:t>
            </w:r>
          </w:p>
        </w:tc>
      </w:tr>
      <w:tr w:rsidR="0079557C" w:rsidRPr="005C202F" w:rsidTr="00EB63AF">
        <w:tc>
          <w:tcPr>
            <w:tcW w:w="5108" w:type="dxa"/>
          </w:tcPr>
          <w:p w:rsidR="0079557C" w:rsidRPr="005C202F" w:rsidRDefault="0079557C" w:rsidP="0079557C">
            <w:pPr>
              <w:pStyle w:val="TableText"/>
              <w:keepNext w:val="0"/>
              <w:rPr>
                <w:iCs/>
              </w:rPr>
            </w:pPr>
            <w:r w:rsidRPr="005C202F">
              <w:rPr>
                <w:iCs/>
              </w:rPr>
              <w:t>Hospitalisation days per 28 days increased by 20%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6</w:t>
            </w:r>
          </w:p>
        </w:tc>
      </w:tr>
      <w:tr w:rsidR="0079557C" w:rsidRPr="005C202F" w:rsidTr="00EB63AF">
        <w:tc>
          <w:tcPr>
            <w:tcW w:w="5108" w:type="dxa"/>
          </w:tcPr>
          <w:p w:rsidR="0079557C" w:rsidRPr="005C202F" w:rsidRDefault="0079557C" w:rsidP="0079557C">
            <w:pPr>
              <w:pStyle w:val="TableText"/>
              <w:keepNext w:val="0"/>
              <w:rPr>
                <w:iCs/>
              </w:rPr>
            </w:pPr>
            <w:r w:rsidRPr="005C202F">
              <w:rPr>
                <w:iCs/>
              </w:rPr>
              <w:t>Hospitalisation days per 28 days decreased by 20%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0.2240</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4</w:t>
            </w:r>
          </w:p>
        </w:tc>
      </w:tr>
      <w:tr w:rsidR="0079557C" w:rsidRPr="005C202F" w:rsidTr="00EB63AF">
        <w:tc>
          <w:tcPr>
            <w:tcW w:w="9017" w:type="dxa"/>
            <w:gridSpan w:val="4"/>
          </w:tcPr>
          <w:p w:rsidR="0079557C" w:rsidRPr="005C202F" w:rsidRDefault="0079557C" w:rsidP="0079557C">
            <w:pPr>
              <w:pStyle w:val="TableText"/>
              <w:keepNext w:val="0"/>
              <w:rPr>
                <w:b/>
                <w:bCs w:val="0"/>
              </w:rPr>
            </w:pPr>
            <w:r w:rsidRPr="005C202F">
              <w:rPr>
                <w:b/>
                <w:bCs w:val="0"/>
              </w:rPr>
              <w:t>Health state utility values (base case derived from TRANSFORM-2 trial data: MDE 0.516; response 0.833; remission 0.899; recovery 0.899)</w:t>
            </w:r>
          </w:p>
        </w:tc>
      </w:tr>
      <w:tr w:rsidR="0079557C" w:rsidRPr="005C202F" w:rsidTr="00EB63AF">
        <w:tc>
          <w:tcPr>
            <w:tcW w:w="5108" w:type="dxa"/>
          </w:tcPr>
          <w:p w:rsidR="0079557C" w:rsidRPr="005C202F" w:rsidRDefault="0079557C" w:rsidP="0079557C">
            <w:pPr>
              <w:pStyle w:val="TableText"/>
              <w:keepNext w:val="0"/>
            </w:pPr>
            <w:r w:rsidRPr="005C202F">
              <w:t>Utility values from Yrondi 2021 (0.41; 0.63; 0.80; 0.90)</w:t>
            </w:r>
          </w:p>
        </w:tc>
        <w:tc>
          <w:tcPr>
            <w:tcW w:w="1303" w:type="dxa"/>
            <w:vAlign w:val="center"/>
          </w:tcPr>
          <w:p w:rsidR="0079557C" w:rsidRPr="005C202F" w:rsidRDefault="0079557C" w:rsidP="0079557C">
            <w:pPr>
              <w:pStyle w:val="TableText"/>
              <w:keepNext w:val="0"/>
              <w:jc w:val="center"/>
            </w:pPr>
            <w:r w:rsidRPr="005C202F">
              <w:t>$</w:t>
            </w:r>
            <w:r w:rsidR="002704A1">
              <w:rPr>
                <w:noProof/>
                <w:color w:val="000000"/>
                <w:highlight w:val="black"/>
              </w:rPr>
              <w:t>'''''''''''''</w:t>
            </w:r>
          </w:p>
        </w:tc>
        <w:tc>
          <w:tcPr>
            <w:tcW w:w="1303" w:type="dxa"/>
            <w:vAlign w:val="center"/>
          </w:tcPr>
          <w:p w:rsidR="0079557C" w:rsidRPr="005C202F" w:rsidRDefault="0079557C" w:rsidP="0079557C">
            <w:pPr>
              <w:pStyle w:val="TableText"/>
              <w:keepNext w:val="0"/>
              <w:jc w:val="center"/>
            </w:pPr>
            <w:r w:rsidRPr="005C202F">
              <w:t>0.2926</w:t>
            </w:r>
          </w:p>
        </w:tc>
        <w:tc>
          <w:tcPr>
            <w:tcW w:w="1303" w:type="dxa"/>
            <w:vAlign w:val="center"/>
          </w:tcPr>
          <w:p w:rsidR="0079557C" w:rsidRPr="005C202F" w:rsidRDefault="0079557C" w:rsidP="0079557C">
            <w:pPr>
              <w:pStyle w:val="TableText"/>
              <w:keepNext w:val="0"/>
              <w:jc w:val="center"/>
            </w:pPr>
            <w:r w:rsidRPr="005C202F">
              <w:t>$</w:t>
            </w:r>
            <w:r w:rsidR="002704A1">
              <w:rPr>
                <w:noProof/>
                <w:color w:val="000000"/>
                <w:highlight w:val="black"/>
              </w:rPr>
              <w:t>''''''''''''''''</w:t>
            </w:r>
            <w:r w:rsidR="007051BB">
              <w:rPr>
                <w:iCs/>
                <w:vertAlign w:val="superscript"/>
              </w:rPr>
              <w:t>5</w:t>
            </w:r>
          </w:p>
        </w:tc>
      </w:tr>
      <w:tr w:rsidR="0079557C" w:rsidRPr="005C202F" w:rsidTr="00EB63AF">
        <w:tc>
          <w:tcPr>
            <w:tcW w:w="5108" w:type="dxa"/>
          </w:tcPr>
          <w:p w:rsidR="0079557C" w:rsidRPr="005C202F" w:rsidRDefault="0079557C" w:rsidP="0079557C">
            <w:pPr>
              <w:pStyle w:val="TableText"/>
              <w:keepNext w:val="0"/>
              <w:rPr>
                <w:iCs/>
              </w:rPr>
            </w:pPr>
            <w:r w:rsidRPr="005C202F">
              <w:rPr>
                <w:iCs/>
              </w:rPr>
              <w:t>Utility values from NICE committee papers (0.417; 0.764; 0.866; 0.866)</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0.2634</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1</w:t>
            </w:r>
          </w:p>
        </w:tc>
      </w:tr>
      <w:tr w:rsidR="0079557C" w:rsidRPr="005C202F" w:rsidTr="00EB63AF">
        <w:tc>
          <w:tcPr>
            <w:tcW w:w="5108" w:type="dxa"/>
          </w:tcPr>
          <w:p w:rsidR="0079557C" w:rsidRPr="005C202F" w:rsidRDefault="0079557C" w:rsidP="0079557C">
            <w:pPr>
              <w:pStyle w:val="TableText"/>
              <w:keepNext w:val="0"/>
              <w:rPr>
                <w:iCs/>
              </w:rPr>
            </w:pPr>
            <w:r w:rsidRPr="005C202F">
              <w:rPr>
                <w:iCs/>
              </w:rPr>
              <w:t>Utility values used in Ross (2019) based on Sapin (2004) (0.58; 0.72; 0.85; 0.85)</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p>
        </w:tc>
        <w:tc>
          <w:tcPr>
            <w:tcW w:w="1303" w:type="dxa"/>
            <w:vAlign w:val="center"/>
          </w:tcPr>
          <w:p w:rsidR="0079557C" w:rsidRPr="005C202F" w:rsidRDefault="0079557C" w:rsidP="0079557C">
            <w:pPr>
              <w:pStyle w:val="TableText"/>
              <w:keepNext w:val="0"/>
              <w:jc w:val="center"/>
              <w:rPr>
                <w:iCs/>
              </w:rPr>
            </w:pPr>
            <w:r w:rsidRPr="005C202F">
              <w:rPr>
                <w:iCs/>
              </w:rPr>
              <w:t>0.1606</w:t>
            </w:r>
          </w:p>
        </w:tc>
        <w:tc>
          <w:tcPr>
            <w:tcW w:w="1303" w:type="dxa"/>
            <w:vAlign w:val="center"/>
          </w:tcPr>
          <w:p w:rsidR="0079557C" w:rsidRPr="005C202F" w:rsidRDefault="0079557C" w:rsidP="0079557C">
            <w:pPr>
              <w:pStyle w:val="TableText"/>
              <w:keepNext w:val="0"/>
              <w:jc w:val="center"/>
              <w:rPr>
                <w:iCs/>
              </w:rPr>
            </w:pPr>
            <w:r w:rsidRPr="005C202F">
              <w:rPr>
                <w:iCs/>
              </w:rPr>
              <w:t>$</w:t>
            </w:r>
            <w:r w:rsidR="002704A1">
              <w:rPr>
                <w:iCs/>
                <w:noProof/>
                <w:color w:val="000000"/>
                <w:highlight w:val="black"/>
              </w:rPr>
              <w:t>'''''''''''''''''</w:t>
            </w:r>
            <w:r w:rsidR="007051BB">
              <w:rPr>
                <w:iCs/>
                <w:vertAlign w:val="superscript"/>
              </w:rPr>
              <w:t>4</w:t>
            </w:r>
          </w:p>
        </w:tc>
      </w:tr>
    </w:tbl>
    <w:p w:rsidR="006E7268" w:rsidRPr="005C202F" w:rsidRDefault="006E7268" w:rsidP="006E7268">
      <w:pPr>
        <w:pStyle w:val="TableFooter"/>
      </w:pPr>
      <w:r w:rsidRPr="005C202F">
        <w:t>Source: Table 3.31</w:t>
      </w:r>
      <w:r w:rsidR="00452F5C">
        <w:t xml:space="preserve"> </w:t>
      </w:r>
      <w:r w:rsidRPr="005C202F">
        <w:t>of the submission and ‘Attachment 19 - Esketamine TRD CE model’ spreadsheet provided with the submission.</w:t>
      </w:r>
    </w:p>
    <w:p w:rsidR="006E7268" w:rsidRDefault="006E7268" w:rsidP="000347AF">
      <w:pPr>
        <w:pStyle w:val="TableFooter"/>
      </w:pPr>
      <w:r w:rsidRPr="005C202F">
        <w:t>Abbreviations: ED, emergency department; ERG, Evidence Review Group; MBS, Medicare Benefits Schedule; MDE, major depressive episode; min, minutes; NICE, National Institute for Health and Care Excellence</w:t>
      </w:r>
    </w:p>
    <w:p w:rsidR="000347AF" w:rsidRPr="007051BB" w:rsidRDefault="000347AF" w:rsidP="000347AF">
      <w:pPr>
        <w:pStyle w:val="TableFooter"/>
        <w:rPr>
          <w:i/>
        </w:rPr>
      </w:pPr>
      <w:r w:rsidRPr="007051BB">
        <w:rPr>
          <w:i/>
        </w:rPr>
        <w:t xml:space="preserve">The redacted values correspond to the following ranges: </w:t>
      </w:r>
    </w:p>
    <w:p w:rsidR="000347AF" w:rsidRPr="007051BB" w:rsidRDefault="000347AF" w:rsidP="009E018B">
      <w:pPr>
        <w:pStyle w:val="TableFooter"/>
        <w:rPr>
          <w:i/>
        </w:rPr>
      </w:pPr>
      <w:r w:rsidRPr="007051BB">
        <w:rPr>
          <w:i/>
          <w:vertAlign w:val="superscript"/>
        </w:rPr>
        <w:t>1</w:t>
      </w:r>
      <w:r w:rsidRPr="007051BB">
        <w:rPr>
          <w:i/>
        </w:rPr>
        <w:t xml:space="preserve"> $25,000 to &lt; $35,000/QALY gained</w:t>
      </w:r>
    </w:p>
    <w:p w:rsidR="000347AF" w:rsidRPr="007051BB" w:rsidRDefault="000347AF" w:rsidP="009E018B">
      <w:pPr>
        <w:pStyle w:val="TableFooter"/>
        <w:rPr>
          <w:i/>
        </w:rPr>
      </w:pPr>
      <w:r w:rsidRPr="007051BB">
        <w:rPr>
          <w:i/>
          <w:vertAlign w:val="superscript"/>
        </w:rPr>
        <w:t>2</w:t>
      </w:r>
      <w:r w:rsidRPr="007051BB">
        <w:rPr>
          <w:i/>
        </w:rPr>
        <w:t xml:space="preserve"> $95,000 to &lt; $115,000/QALY gained</w:t>
      </w:r>
    </w:p>
    <w:p w:rsidR="009E018B" w:rsidRPr="007051BB" w:rsidRDefault="009E018B" w:rsidP="009E018B">
      <w:pPr>
        <w:pStyle w:val="TableFooter"/>
        <w:rPr>
          <w:i/>
        </w:rPr>
      </w:pPr>
      <w:r w:rsidRPr="007051BB">
        <w:rPr>
          <w:i/>
          <w:vertAlign w:val="superscript"/>
        </w:rPr>
        <w:t>3</w:t>
      </w:r>
      <w:r w:rsidRPr="007051BB">
        <w:rPr>
          <w:i/>
        </w:rPr>
        <w:t xml:space="preserve"> $45,000 to &lt; $55,000/QALY gained</w:t>
      </w:r>
    </w:p>
    <w:p w:rsidR="009E018B" w:rsidRPr="007051BB" w:rsidRDefault="009E018B" w:rsidP="009E018B">
      <w:pPr>
        <w:pStyle w:val="TableFooter"/>
        <w:rPr>
          <w:i/>
        </w:rPr>
      </w:pPr>
      <w:r w:rsidRPr="007051BB">
        <w:rPr>
          <w:i/>
          <w:vertAlign w:val="superscript"/>
        </w:rPr>
        <w:t>4</w:t>
      </w:r>
      <w:r w:rsidRPr="007051BB">
        <w:rPr>
          <w:i/>
        </w:rPr>
        <w:t xml:space="preserve"> $35,000 to &lt; $45,000/QALY gained</w:t>
      </w:r>
    </w:p>
    <w:p w:rsidR="009E018B" w:rsidRPr="007051BB" w:rsidRDefault="009E018B" w:rsidP="009E018B">
      <w:pPr>
        <w:pStyle w:val="TableFooter"/>
        <w:rPr>
          <w:i/>
        </w:rPr>
      </w:pPr>
      <w:r w:rsidRPr="007051BB">
        <w:rPr>
          <w:i/>
          <w:vertAlign w:val="superscript"/>
        </w:rPr>
        <w:t>5</w:t>
      </w:r>
      <w:r w:rsidRPr="007051BB">
        <w:rPr>
          <w:i/>
        </w:rPr>
        <w:t xml:space="preserve"> $15,000 to &lt; $25,000/QALY gained</w:t>
      </w:r>
    </w:p>
    <w:p w:rsidR="007051BB" w:rsidRPr="007051BB" w:rsidRDefault="007051BB" w:rsidP="009E018B">
      <w:pPr>
        <w:pStyle w:val="TableFooter"/>
        <w:rPr>
          <w:i/>
        </w:rPr>
      </w:pPr>
      <w:r w:rsidRPr="007051BB">
        <w:rPr>
          <w:i/>
          <w:vertAlign w:val="superscript"/>
        </w:rPr>
        <w:t>6</w:t>
      </w:r>
      <w:r w:rsidRPr="007051BB">
        <w:rPr>
          <w:i/>
        </w:rPr>
        <w:t xml:space="preserve"> $5,000 to &lt; $15,000/QALY gained</w:t>
      </w:r>
    </w:p>
    <w:p w:rsidR="007051BB" w:rsidRPr="007051BB" w:rsidRDefault="007051BB" w:rsidP="009E018B">
      <w:pPr>
        <w:pStyle w:val="TableFooter"/>
        <w:rPr>
          <w:i/>
        </w:rPr>
      </w:pPr>
      <w:r w:rsidRPr="007051BB">
        <w:rPr>
          <w:i/>
          <w:vertAlign w:val="superscript"/>
        </w:rPr>
        <w:t>7</w:t>
      </w:r>
      <w:r w:rsidRPr="007051BB">
        <w:rPr>
          <w:i/>
        </w:rPr>
        <w:t xml:space="preserve"> $55,000 to &lt; $75,000/QALY gained</w:t>
      </w:r>
    </w:p>
    <w:p w:rsidR="006F1E64" w:rsidRPr="005C202F" w:rsidRDefault="006E7268" w:rsidP="006F1E64">
      <w:pPr>
        <w:pStyle w:val="ExecSumBodyText"/>
        <w:rPr>
          <w:iCs/>
        </w:rPr>
      </w:pPr>
      <w:r w:rsidRPr="005C202F">
        <w:rPr>
          <w:iCs/>
        </w:rPr>
        <w:t xml:space="preserve">The results were sensitive to several inputs, particularly the </w:t>
      </w:r>
      <w:r w:rsidR="004247A0" w:rsidRPr="005C202F">
        <w:rPr>
          <w:iCs/>
        </w:rPr>
        <w:t xml:space="preserve">time horizon, </w:t>
      </w:r>
      <w:r w:rsidRPr="005C202F">
        <w:rPr>
          <w:iCs/>
        </w:rPr>
        <w:t>probability of achieving remission or response at treatment induction, transition probabilities in the maintenance period, the effectiveness of the subsequent treatment mix, the probability of the risk of recurrence from the recovery health state, the esketamine dosing schedule in the maintenance period (weekly/fortnightly), costs of administration and monitoring, treatment discontinuations, and utility values.</w:t>
      </w:r>
      <w:r w:rsidR="006F1E64" w:rsidRPr="005C202F">
        <w:rPr>
          <w:iCs/>
        </w:rPr>
        <w:t xml:space="preserve"> </w:t>
      </w:r>
    </w:p>
    <w:p w:rsidR="008B0CF0" w:rsidRPr="005C202F" w:rsidRDefault="004247A0" w:rsidP="004247A0">
      <w:pPr>
        <w:pStyle w:val="ExecSumBodyText"/>
        <w:rPr>
          <w:iCs/>
        </w:rPr>
      </w:pPr>
      <w:r w:rsidRPr="005C202F">
        <w:rPr>
          <w:iCs/>
        </w:rPr>
        <w:t>The ESC noted the base case ICER was highly dependent on the values chosen for a number of inputs and many of the input values are not robust and</w:t>
      </w:r>
      <w:r w:rsidR="00B06600" w:rsidRPr="005C202F">
        <w:rPr>
          <w:iCs/>
        </w:rPr>
        <w:t xml:space="preserve"> are</w:t>
      </w:r>
      <w:r w:rsidRPr="005C202F">
        <w:rPr>
          <w:iCs/>
        </w:rPr>
        <w:t xml:space="preserve"> likely to vary in practice. Therefore, the ESC considered that, overall, the base case ICER was not robust.</w:t>
      </w:r>
    </w:p>
    <w:p w:rsidR="0079557C" w:rsidRPr="00E0020F" w:rsidRDefault="0079557C" w:rsidP="008B0CF0">
      <w:pPr>
        <w:pStyle w:val="ExecSumBodyText"/>
        <w:rPr>
          <w:iCs/>
        </w:rPr>
      </w:pPr>
      <w:r w:rsidRPr="005C202F">
        <w:rPr>
          <w:iCs/>
        </w:rPr>
        <w:t>The model did not allow recovery to be achieved in the subsequent treatment mix</w:t>
      </w:r>
      <w:r w:rsidR="00E45DE1" w:rsidRPr="005C202F">
        <w:rPr>
          <w:iCs/>
        </w:rPr>
        <w:t xml:space="preserve"> and this</w:t>
      </w:r>
      <w:r w:rsidR="00D615A9" w:rsidRPr="005C202F">
        <w:rPr>
          <w:iCs/>
        </w:rPr>
        <w:t xml:space="preserve"> </w:t>
      </w:r>
      <w:r w:rsidRPr="005C202F">
        <w:rPr>
          <w:iCs/>
        </w:rPr>
        <w:t>could not be tested in sensitivity analyses due to the structure of the model</w:t>
      </w:r>
      <w:r w:rsidR="00E45DE1" w:rsidRPr="005C202F">
        <w:rPr>
          <w:iCs/>
        </w:rPr>
        <w:t xml:space="preserve">. The ESC considered this </w:t>
      </w:r>
      <w:r w:rsidRPr="005C202F">
        <w:rPr>
          <w:iCs/>
        </w:rPr>
        <w:t>may have a significant impact on the cost effectiveness of esketamine nasal spray</w:t>
      </w:r>
      <w:r w:rsidR="00844212" w:rsidRPr="005C202F">
        <w:rPr>
          <w:iCs/>
        </w:rPr>
        <w:t xml:space="preserve"> as discussed </w:t>
      </w:r>
      <w:r w:rsidR="00844212" w:rsidRPr="00E0020F">
        <w:rPr>
          <w:iCs/>
        </w:rPr>
        <w:t xml:space="preserve">in paragraph </w:t>
      </w:r>
      <w:r w:rsidR="001969F8" w:rsidRPr="00E0020F">
        <w:rPr>
          <w:iCs/>
        </w:rPr>
        <w:t>6.4</w:t>
      </w:r>
      <w:r w:rsidR="00E0020F" w:rsidRPr="00E0020F">
        <w:rPr>
          <w:iCs/>
        </w:rPr>
        <w:t>3</w:t>
      </w:r>
      <w:r w:rsidR="005C202F" w:rsidRPr="00E0020F">
        <w:rPr>
          <w:iCs/>
        </w:rPr>
        <w:t xml:space="preserve">. </w:t>
      </w:r>
    </w:p>
    <w:p w:rsidR="002725C6" w:rsidRPr="005C202F" w:rsidRDefault="00C470AB" w:rsidP="008B0CF0">
      <w:pPr>
        <w:pStyle w:val="ExecSumBodyText"/>
        <w:rPr>
          <w:iCs/>
        </w:rPr>
      </w:pPr>
      <w:r w:rsidRPr="005C202F">
        <w:rPr>
          <w:iCs/>
        </w:rPr>
        <w:t>The PSCR</w:t>
      </w:r>
      <w:r w:rsidR="00186F0C">
        <w:rPr>
          <w:iCs/>
        </w:rPr>
        <w:t xml:space="preserve"> </w:t>
      </w:r>
      <w:r w:rsidR="002725C6" w:rsidRPr="005C202F">
        <w:rPr>
          <w:iCs/>
        </w:rPr>
        <w:t xml:space="preserve">reiterated </w:t>
      </w:r>
      <w:r w:rsidR="00905A6C" w:rsidRPr="005C202F">
        <w:rPr>
          <w:iCs/>
        </w:rPr>
        <w:t xml:space="preserve">the inclusion of </w:t>
      </w:r>
      <w:r w:rsidRPr="005C202F">
        <w:rPr>
          <w:iCs/>
        </w:rPr>
        <w:t>MBS item</w:t>
      </w:r>
      <w:r w:rsidR="00905A6C" w:rsidRPr="005C202F">
        <w:rPr>
          <w:iCs/>
        </w:rPr>
        <w:t xml:space="preserve"> 300 </w:t>
      </w:r>
      <w:r w:rsidR="002725C6" w:rsidRPr="005C202F">
        <w:rPr>
          <w:iCs/>
        </w:rPr>
        <w:t>(&lt; 15 mins psychiatrist</w:t>
      </w:r>
      <w:r w:rsidR="00B73D4E" w:rsidRPr="005C202F">
        <w:rPr>
          <w:iCs/>
        </w:rPr>
        <w:t xml:space="preserve"> consultation</w:t>
      </w:r>
      <w:r w:rsidR="002725C6" w:rsidRPr="005C202F">
        <w:rPr>
          <w:iCs/>
        </w:rPr>
        <w:t xml:space="preserve">) </w:t>
      </w:r>
      <w:r w:rsidR="00905A6C" w:rsidRPr="005C202F">
        <w:rPr>
          <w:iCs/>
        </w:rPr>
        <w:t>to account for monitoring costs was reasonable, noting it was likely administration would be supervised by a nurse but there is no appropriate MBS item for account for nurse time</w:t>
      </w:r>
      <w:r w:rsidR="005C202F">
        <w:rPr>
          <w:iCs/>
        </w:rPr>
        <w:t xml:space="preserve">. </w:t>
      </w:r>
      <w:r w:rsidRPr="005C202F">
        <w:rPr>
          <w:iCs/>
        </w:rPr>
        <w:t xml:space="preserve">The ESC considered </w:t>
      </w:r>
      <w:r w:rsidR="00905A6C" w:rsidRPr="005C202F">
        <w:rPr>
          <w:iCs/>
        </w:rPr>
        <w:t xml:space="preserve">the costs of administering esketamine were highly uncertain but it was likely they were significantly underestimated in </w:t>
      </w:r>
      <w:r w:rsidRPr="005C202F">
        <w:rPr>
          <w:iCs/>
        </w:rPr>
        <w:t>the economic model</w:t>
      </w:r>
      <w:r w:rsidR="005C202F">
        <w:rPr>
          <w:iCs/>
        </w:rPr>
        <w:t xml:space="preserve">. </w:t>
      </w:r>
    </w:p>
    <w:p w:rsidR="00C470AB" w:rsidRPr="005C202F" w:rsidRDefault="002725C6" w:rsidP="002725C6">
      <w:pPr>
        <w:pStyle w:val="ExecSumBodyText"/>
        <w:rPr>
          <w:iCs/>
        </w:rPr>
      </w:pPr>
      <w:r w:rsidRPr="005C202F">
        <w:rPr>
          <w:iCs/>
        </w:rPr>
        <w:t>The PSCR  stated it was reasonable to apply a monitoring cost in the model comparator arm as patients in SUSTAIN-1 benefitted from the more frequent visits to the clinic as a result of</w:t>
      </w:r>
      <w:r w:rsidR="00B73D4E" w:rsidRPr="005C202F">
        <w:rPr>
          <w:iCs/>
        </w:rPr>
        <w:t xml:space="preserve"> the administration of placebo and w</w:t>
      </w:r>
      <w:r w:rsidRPr="005C202F">
        <w:rPr>
          <w:iCs/>
        </w:rPr>
        <w:t xml:space="preserve">hilst this may not fully reflect Australian practice, the clinical data informing the model inherently capture the benefit. The PSCR stated good modelling practice dictates that the cost for this benefit should be included. </w:t>
      </w:r>
      <w:r w:rsidR="00905A6C" w:rsidRPr="005C202F">
        <w:rPr>
          <w:iCs/>
        </w:rPr>
        <w:t xml:space="preserve">The ESC considered the economic model should capture resource use the way </w:t>
      </w:r>
      <w:r w:rsidR="00B06600" w:rsidRPr="005C202F">
        <w:rPr>
          <w:iCs/>
        </w:rPr>
        <w:t xml:space="preserve">treatment </w:t>
      </w:r>
      <w:r w:rsidR="00905A6C" w:rsidRPr="005C202F">
        <w:rPr>
          <w:iCs/>
        </w:rPr>
        <w:t>is delivered in clinical practice and administration and monitoring costs would</w:t>
      </w:r>
      <w:r w:rsidR="0012355A" w:rsidRPr="005C202F">
        <w:rPr>
          <w:iCs/>
        </w:rPr>
        <w:t xml:space="preserve"> not</w:t>
      </w:r>
      <w:r w:rsidR="00905A6C" w:rsidRPr="005C202F">
        <w:rPr>
          <w:iCs/>
        </w:rPr>
        <w:t xml:space="preserve"> be incurred for a patient</w:t>
      </w:r>
      <w:r w:rsidR="0012355A" w:rsidRPr="005C202F">
        <w:rPr>
          <w:iCs/>
        </w:rPr>
        <w:t xml:space="preserve"> being</w:t>
      </w:r>
      <w:r w:rsidR="00905A6C" w:rsidRPr="005C202F">
        <w:rPr>
          <w:iCs/>
        </w:rPr>
        <w:t xml:space="preserve"> treated with a newly initiated OAD. </w:t>
      </w:r>
      <w:r w:rsidR="0012355A" w:rsidRPr="005C202F">
        <w:rPr>
          <w:iCs/>
        </w:rPr>
        <w:t xml:space="preserve">The ESC </w:t>
      </w:r>
      <w:r w:rsidR="00B06600" w:rsidRPr="005C202F">
        <w:rPr>
          <w:iCs/>
        </w:rPr>
        <w:t xml:space="preserve">therefore </w:t>
      </w:r>
      <w:r w:rsidR="0012355A" w:rsidRPr="005C202F">
        <w:rPr>
          <w:iCs/>
        </w:rPr>
        <w:t>considered it was not appropriate to include administration and monitoring costs in the placebo + OAD treatment arm in the economic model</w:t>
      </w:r>
      <w:r w:rsidR="005C202F">
        <w:rPr>
          <w:iCs/>
        </w:rPr>
        <w:t xml:space="preserve">. </w:t>
      </w:r>
    </w:p>
    <w:p w:rsidR="00FB7997" w:rsidRPr="005C202F" w:rsidRDefault="00FB7997" w:rsidP="00FB7997">
      <w:pPr>
        <w:pStyle w:val="ExecSumBodyText"/>
        <w:rPr>
          <w:iCs/>
        </w:rPr>
      </w:pPr>
      <w:bookmarkStart w:id="30" w:name="_Ref78965269"/>
      <w:r w:rsidRPr="005C202F">
        <w:rPr>
          <w:iCs/>
        </w:rPr>
        <w:t>The ESC noted the ICER was sensitive to the dose and the dose interval in the maintenance phase (once or twice weekly)</w:t>
      </w:r>
      <w:r w:rsidRPr="005C202F">
        <w:t xml:space="preserve"> and </w:t>
      </w:r>
      <w:r w:rsidRPr="005C202F">
        <w:rPr>
          <w:iCs/>
        </w:rPr>
        <w:t>the submission did not provide adequate information to asses if the assumptions applied in the economic model were reasonable</w:t>
      </w:r>
      <w:bookmarkEnd w:id="30"/>
      <w:r w:rsidR="005C202F">
        <w:rPr>
          <w:iCs/>
        </w:rPr>
        <w:t xml:space="preserve">. </w:t>
      </w:r>
    </w:p>
    <w:p w:rsidR="00FB7997" w:rsidRPr="005C202F" w:rsidRDefault="00FB7997" w:rsidP="00FB7997">
      <w:pPr>
        <w:pStyle w:val="ExecSumBodyText"/>
        <w:rPr>
          <w:iCs/>
        </w:rPr>
      </w:pPr>
      <w:bookmarkStart w:id="31" w:name="_Ref78965280"/>
      <w:r w:rsidRPr="005C202F">
        <w:rPr>
          <w:iCs/>
        </w:rPr>
        <w:t>The ESC noted treatment discontinuations were applied in the model as a reduction in drug costs only in all heath states from week 5 onwards, with those who discontinue treatment continuing to accrue effectiveness in line with estimates from the clinical trials. The ESC considered this was inappropriate, as treatment persistence would also impact the effectiveness and safety of the treatment. The ESC noted the average modelled duration of treatment with esketamine was 1 year but the appropriate duration of treatment in clinical practice is uncertain.</w:t>
      </w:r>
      <w:bookmarkEnd w:id="31"/>
      <w:r w:rsidRPr="005C202F">
        <w:rPr>
          <w:iCs/>
        </w:rPr>
        <w:t xml:space="preserve"> </w:t>
      </w:r>
    </w:p>
    <w:p w:rsidR="00C470AB" w:rsidRPr="005C202F" w:rsidRDefault="00C470AB" w:rsidP="008B0CF0">
      <w:pPr>
        <w:pStyle w:val="ExecSumBodyText"/>
        <w:rPr>
          <w:iCs/>
        </w:rPr>
      </w:pPr>
      <w:bookmarkStart w:id="32" w:name="_Ref78965394"/>
      <w:r w:rsidRPr="005C202F">
        <w:rPr>
          <w:iCs/>
        </w:rPr>
        <w:t xml:space="preserve">The ESC considered </w:t>
      </w:r>
      <w:r w:rsidR="00586BF9" w:rsidRPr="005C202F">
        <w:rPr>
          <w:iCs/>
        </w:rPr>
        <w:t xml:space="preserve">it would be appropriate for </w:t>
      </w:r>
      <w:r w:rsidRPr="005C202F">
        <w:rPr>
          <w:iCs/>
        </w:rPr>
        <w:t>the</w:t>
      </w:r>
      <w:r w:rsidR="006B341F" w:rsidRPr="005C202F">
        <w:rPr>
          <w:iCs/>
        </w:rPr>
        <w:t xml:space="preserve"> </w:t>
      </w:r>
      <w:r w:rsidR="00586BF9" w:rsidRPr="005C202F">
        <w:rPr>
          <w:iCs/>
        </w:rPr>
        <w:t xml:space="preserve">economic </w:t>
      </w:r>
      <w:r w:rsidR="006B341F" w:rsidRPr="005C202F">
        <w:rPr>
          <w:iCs/>
        </w:rPr>
        <w:t xml:space="preserve">model </w:t>
      </w:r>
      <w:r w:rsidR="00586BF9" w:rsidRPr="005C202F">
        <w:rPr>
          <w:iCs/>
        </w:rPr>
        <w:t xml:space="preserve">to </w:t>
      </w:r>
      <w:r w:rsidR="006B341F" w:rsidRPr="005C202F">
        <w:rPr>
          <w:iCs/>
        </w:rPr>
        <w:t>capture the</w:t>
      </w:r>
      <w:r w:rsidRPr="005C202F">
        <w:rPr>
          <w:iCs/>
        </w:rPr>
        <w:t xml:space="preserve"> significant safety </w:t>
      </w:r>
      <w:r w:rsidR="0012355A" w:rsidRPr="005C202F">
        <w:rPr>
          <w:iCs/>
        </w:rPr>
        <w:t xml:space="preserve">concerns </w:t>
      </w:r>
      <w:r w:rsidR="006B341F" w:rsidRPr="005C202F">
        <w:rPr>
          <w:iCs/>
        </w:rPr>
        <w:t xml:space="preserve">associated with </w:t>
      </w:r>
      <w:r w:rsidR="0012355A" w:rsidRPr="005C202F">
        <w:rPr>
          <w:iCs/>
        </w:rPr>
        <w:t xml:space="preserve">the </w:t>
      </w:r>
      <w:r w:rsidR="006B341F" w:rsidRPr="005C202F">
        <w:rPr>
          <w:iCs/>
        </w:rPr>
        <w:t>use of esketamine.</w:t>
      </w:r>
      <w:bookmarkEnd w:id="32"/>
    </w:p>
    <w:p w:rsidR="00D34F67" w:rsidRPr="005C202F" w:rsidRDefault="00D34F67" w:rsidP="008B0CF0">
      <w:pPr>
        <w:pStyle w:val="ExecSumBodyText"/>
        <w:rPr>
          <w:iCs/>
        </w:rPr>
      </w:pPr>
      <w:bookmarkStart w:id="33" w:name="_Ref79312353"/>
      <w:r w:rsidRPr="005C202F">
        <w:rPr>
          <w:iCs/>
        </w:rPr>
        <w:t>The ESC advised a substantially revised economic model would be needed to assess the cost-effectiveness of esketamine</w:t>
      </w:r>
      <w:r w:rsidR="008A39AA" w:rsidRPr="005C202F">
        <w:rPr>
          <w:iCs/>
        </w:rPr>
        <w:t>. The ESC considered the following issues need to be addressed</w:t>
      </w:r>
      <w:r w:rsidR="00E2713B" w:rsidRPr="005C202F">
        <w:rPr>
          <w:iCs/>
        </w:rPr>
        <w:t>:</w:t>
      </w:r>
      <w:bookmarkEnd w:id="33"/>
    </w:p>
    <w:p w:rsidR="00B971B3" w:rsidRPr="005C202F" w:rsidRDefault="00E2713B" w:rsidP="00B971B3">
      <w:pPr>
        <w:pStyle w:val="ExecSumBodyText"/>
        <w:numPr>
          <w:ilvl w:val="0"/>
          <w:numId w:val="16"/>
        </w:numPr>
        <w:rPr>
          <w:iCs/>
        </w:rPr>
      </w:pPr>
      <w:r w:rsidRPr="005C202F">
        <w:rPr>
          <w:iCs/>
        </w:rPr>
        <w:t>m</w:t>
      </w:r>
      <w:r w:rsidR="008A39AA" w:rsidRPr="005C202F">
        <w:rPr>
          <w:iCs/>
        </w:rPr>
        <w:t xml:space="preserve">odel structure needs to account for </w:t>
      </w:r>
      <w:r w:rsidR="00983A2C" w:rsidRPr="005C202F">
        <w:rPr>
          <w:iCs/>
        </w:rPr>
        <w:t xml:space="preserve">the </w:t>
      </w:r>
      <w:r w:rsidR="008A39AA" w:rsidRPr="005C202F">
        <w:rPr>
          <w:iCs/>
        </w:rPr>
        <w:t xml:space="preserve">subsequent therapies </w:t>
      </w:r>
      <w:r w:rsidR="00983A2C" w:rsidRPr="005C202F">
        <w:rPr>
          <w:iCs/>
        </w:rPr>
        <w:t xml:space="preserve">(paragraph </w:t>
      </w:r>
      <w:r w:rsidR="00E0020F">
        <w:rPr>
          <w:iCs/>
        </w:rPr>
        <w:t>6.43</w:t>
      </w:r>
      <w:r w:rsidR="00983A2C" w:rsidRPr="005C202F">
        <w:rPr>
          <w:iCs/>
        </w:rPr>
        <w:t>)</w:t>
      </w:r>
      <w:r w:rsidR="00D07C13" w:rsidRPr="005C202F">
        <w:rPr>
          <w:iCs/>
        </w:rPr>
        <w:t>;</w:t>
      </w:r>
    </w:p>
    <w:p w:rsidR="00BD6B02" w:rsidRPr="005C202F" w:rsidRDefault="00456FAF" w:rsidP="00B971B3">
      <w:pPr>
        <w:pStyle w:val="ExecSumBodyText"/>
        <w:numPr>
          <w:ilvl w:val="0"/>
          <w:numId w:val="16"/>
        </w:numPr>
        <w:rPr>
          <w:iCs/>
        </w:rPr>
      </w:pPr>
      <w:r w:rsidRPr="005C202F">
        <w:rPr>
          <w:iCs/>
        </w:rPr>
        <w:t xml:space="preserve">inclusion of </w:t>
      </w:r>
      <w:r w:rsidR="00740158" w:rsidRPr="005C202F">
        <w:rPr>
          <w:iCs/>
        </w:rPr>
        <w:t xml:space="preserve">clinical data from only one </w:t>
      </w:r>
      <w:r w:rsidR="00BD6B02" w:rsidRPr="005C202F">
        <w:rPr>
          <w:iCs/>
        </w:rPr>
        <w:t xml:space="preserve">clinical </w:t>
      </w:r>
      <w:r w:rsidR="00740158" w:rsidRPr="005C202F">
        <w:rPr>
          <w:iCs/>
        </w:rPr>
        <w:t xml:space="preserve">trial </w:t>
      </w:r>
      <w:r w:rsidR="00BD6B02" w:rsidRPr="005C202F">
        <w:rPr>
          <w:iCs/>
        </w:rPr>
        <w:t>for esketamine</w:t>
      </w:r>
      <w:r w:rsidRPr="005C202F">
        <w:rPr>
          <w:iCs/>
        </w:rPr>
        <w:t xml:space="preserve"> in the economic model</w:t>
      </w:r>
      <w:r w:rsidR="00740158" w:rsidRPr="005C202F">
        <w:rPr>
          <w:iCs/>
        </w:rPr>
        <w:t>;</w:t>
      </w:r>
    </w:p>
    <w:p w:rsidR="00B971B3" w:rsidRPr="00E0020F" w:rsidRDefault="008A39AA" w:rsidP="00B971B3">
      <w:pPr>
        <w:pStyle w:val="ExecSumBodyText"/>
        <w:numPr>
          <w:ilvl w:val="0"/>
          <w:numId w:val="16"/>
        </w:numPr>
        <w:rPr>
          <w:iCs/>
        </w:rPr>
      </w:pPr>
      <w:r w:rsidRPr="005C202F">
        <w:rPr>
          <w:iCs/>
        </w:rPr>
        <w:t>more conservative</w:t>
      </w:r>
      <w:r w:rsidR="00D111DA" w:rsidRPr="005C202F">
        <w:rPr>
          <w:iCs/>
        </w:rPr>
        <w:t xml:space="preserve"> </w:t>
      </w:r>
      <w:r w:rsidR="00E2713B" w:rsidRPr="00E0020F">
        <w:rPr>
          <w:iCs/>
        </w:rPr>
        <w:t xml:space="preserve">maintenance of </w:t>
      </w:r>
      <w:r w:rsidR="00B06600" w:rsidRPr="00E0020F">
        <w:rPr>
          <w:iCs/>
        </w:rPr>
        <w:t xml:space="preserve">treatment </w:t>
      </w:r>
      <w:r w:rsidR="00E2713B" w:rsidRPr="00E0020F">
        <w:rPr>
          <w:iCs/>
        </w:rPr>
        <w:t xml:space="preserve">effect assumptions </w:t>
      </w:r>
      <w:r w:rsidR="00D111DA" w:rsidRPr="00E0020F">
        <w:rPr>
          <w:iCs/>
        </w:rPr>
        <w:t xml:space="preserve">(paragraph </w:t>
      </w:r>
      <w:r w:rsidR="00E0020F" w:rsidRPr="00E0020F">
        <w:rPr>
          <w:iCs/>
        </w:rPr>
        <w:t>6.43</w:t>
      </w:r>
      <w:r w:rsidR="00D111DA" w:rsidRPr="00E0020F">
        <w:rPr>
          <w:iCs/>
        </w:rPr>
        <w:t>)</w:t>
      </w:r>
      <w:r w:rsidR="00D07C13" w:rsidRPr="00E0020F">
        <w:rPr>
          <w:iCs/>
        </w:rPr>
        <w:t>;</w:t>
      </w:r>
    </w:p>
    <w:p w:rsidR="000F375E" w:rsidRPr="00E0020F" w:rsidRDefault="000F375E" w:rsidP="00B971B3">
      <w:pPr>
        <w:pStyle w:val="ExecSumBodyText"/>
        <w:numPr>
          <w:ilvl w:val="0"/>
          <w:numId w:val="16"/>
        </w:numPr>
        <w:rPr>
          <w:iCs/>
        </w:rPr>
      </w:pPr>
      <w:r w:rsidRPr="00E0020F">
        <w:rPr>
          <w:iCs/>
        </w:rPr>
        <w:t>duration of treatment, treatment discontinuations and dose likely to be used in clinical practice (paragraph</w:t>
      </w:r>
      <w:r w:rsidR="00FB7997" w:rsidRPr="00E0020F">
        <w:rPr>
          <w:iCs/>
        </w:rPr>
        <w:t>s</w:t>
      </w:r>
      <w:r w:rsidRPr="00E0020F">
        <w:rPr>
          <w:iCs/>
        </w:rPr>
        <w:t xml:space="preserve"> </w:t>
      </w:r>
      <w:r w:rsidR="00E0020F" w:rsidRPr="00E0020F">
        <w:rPr>
          <w:iCs/>
        </w:rPr>
        <w:t>6.58</w:t>
      </w:r>
      <w:r w:rsidR="00F735F7" w:rsidRPr="00E0020F">
        <w:rPr>
          <w:iCs/>
        </w:rPr>
        <w:t xml:space="preserve"> </w:t>
      </w:r>
      <w:r w:rsidR="006426FC" w:rsidRPr="00E0020F">
        <w:rPr>
          <w:iCs/>
        </w:rPr>
        <w:t xml:space="preserve">and </w:t>
      </w:r>
      <w:r w:rsidR="00E0020F" w:rsidRPr="00E0020F">
        <w:rPr>
          <w:iCs/>
        </w:rPr>
        <w:t>6.59</w:t>
      </w:r>
      <w:r w:rsidR="00CE1E31" w:rsidRPr="00E0020F">
        <w:rPr>
          <w:iCs/>
        </w:rPr>
        <w:t>);</w:t>
      </w:r>
    </w:p>
    <w:p w:rsidR="00B971B3" w:rsidRPr="00E0020F" w:rsidRDefault="00E2713B" w:rsidP="00B971B3">
      <w:pPr>
        <w:pStyle w:val="ExecSumBodyText"/>
        <w:numPr>
          <w:ilvl w:val="0"/>
          <w:numId w:val="16"/>
        </w:numPr>
        <w:rPr>
          <w:iCs/>
        </w:rPr>
      </w:pPr>
      <w:r w:rsidRPr="00E0020F">
        <w:rPr>
          <w:iCs/>
        </w:rPr>
        <w:t xml:space="preserve">appropriate </w:t>
      </w:r>
      <w:r w:rsidR="00983A2C" w:rsidRPr="00E0020F">
        <w:rPr>
          <w:iCs/>
        </w:rPr>
        <w:t>c</w:t>
      </w:r>
      <w:r w:rsidR="008A39AA" w:rsidRPr="00E0020F">
        <w:rPr>
          <w:iCs/>
        </w:rPr>
        <w:t>ost of administration</w:t>
      </w:r>
      <w:r w:rsidR="00983A2C" w:rsidRPr="00E0020F">
        <w:rPr>
          <w:iCs/>
        </w:rPr>
        <w:t xml:space="preserve"> (paragraph </w:t>
      </w:r>
      <w:r w:rsidR="00E0020F" w:rsidRPr="00E0020F">
        <w:rPr>
          <w:iCs/>
        </w:rPr>
        <w:t>6.47</w:t>
      </w:r>
      <w:r w:rsidR="00D111DA" w:rsidRPr="00E0020F">
        <w:rPr>
          <w:iCs/>
        </w:rPr>
        <w:t>)</w:t>
      </w:r>
      <w:r w:rsidR="00CE1E31" w:rsidRPr="00E0020F">
        <w:rPr>
          <w:iCs/>
        </w:rPr>
        <w:t>;</w:t>
      </w:r>
    </w:p>
    <w:p w:rsidR="008A39AA" w:rsidRPr="00E0020F" w:rsidRDefault="00983A2C" w:rsidP="00B971B3">
      <w:pPr>
        <w:pStyle w:val="ExecSumBodyText"/>
        <w:numPr>
          <w:ilvl w:val="0"/>
          <w:numId w:val="16"/>
        </w:numPr>
        <w:rPr>
          <w:iCs/>
        </w:rPr>
      </w:pPr>
      <w:r w:rsidRPr="00E0020F">
        <w:rPr>
          <w:iCs/>
        </w:rPr>
        <w:t xml:space="preserve">the applicability of the disease management costs (paragraph </w:t>
      </w:r>
      <w:r w:rsidR="00E0020F" w:rsidRPr="00E0020F">
        <w:rPr>
          <w:iCs/>
        </w:rPr>
        <w:t>6.46</w:t>
      </w:r>
      <w:r w:rsidRPr="00E0020F">
        <w:rPr>
          <w:iCs/>
        </w:rPr>
        <w:t>)</w:t>
      </w:r>
      <w:r w:rsidR="00CE1E31" w:rsidRPr="00E0020F">
        <w:rPr>
          <w:iCs/>
        </w:rPr>
        <w:t>;</w:t>
      </w:r>
    </w:p>
    <w:p w:rsidR="00B971B3" w:rsidRPr="00E0020F" w:rsidRDefault="00D111DA" w:rsidP="00B971B3">
      <w:pPr>
        <w:pStyle w:val="ExecSumBodyText"/>
        <w:numPr>
          <w:ilvl w:val="0"/>
          <w:numId w:val="16"/>
        </w:numPr>
        <w:rPr>
          <w:iCs/>
        </w:rPr>
      </w:pPr>
      <w:r w:rsidRPr="00E0020F">
        <w:rPr>
          <w:iCs/>
        </w:rPr>
        <w:t xml:space="preserve">account for safety concerns (paragraph </w:t>
      </w:r>
      <w:r w:rsidR="00E0020F" w:rsidRPr="00E0020F">
        <w:rPr>
          <w:iCs/>
        </w:rPr>
        <w:t>6.60</w:t>
      </w:r>
      <w:r w:rsidRPr="00E0020F">
        <w:rPr>
          <w:iCs/>
        </w:rPr>
        <w:t>)</w:t>
      </w:r>
      <w:r w:rsidR="00CE1E31" w:rsidRPr="00E0020F">
        <w:rPr>
          <w:iCs/>
        </w:rPr>
        <w:t>.</w:t>
      </w:r>
    </w:p>
    <w:p w:rsidR="00BD6B02" w:rsidRPr="005C202F" w:rsidRDefault="00BD6B02" w:rsidP="00BD6B02">
      <w:pPr>
        <w:pStyle w:val="ExecSumBodyText"/>
        <w:rPr>
          <w:iCs/>
        </w:rPr>
      </w:pPr>
      <w:r w:rsidRPr="005C202F">
        <w:rPr>
          <w:iCs/>
        </w:rPr>
        <w:t xml:space="preserve">The PBAC noted a number of additional ICERs were provided in the pre-PBAC response but did not consider them to be informative given the underlying issues with economic model. </w:t>
      </w:r>
    </w:p>
    <w:p w:rsidR="00C25D9C" w:rsidRPr="005C202F" w:rsidRDefault="00C25D9C" w:rsidP="00122786">
      <w:pPr>
        <w:pStyle w:val="3-SubsectionHeading"/>
      </w:pPr>
      <w:bookmarkStart w:id="34" w:name="_Toc22897646"/>
      <w:bookmarkStart w:id="35" w:name="_Toc72325765"/>
      <w:r w:rsidRPr="005C202F">
        <w:t>Dru</w:t>
      </w:r>
      <w:r w:rsidR="00CC2954" w:rsidRPr="005C202F">
        <w:t>g</w:t>
      </w:r>
      <w:r w:rsidRPr="005C202F">
        <w:t xml:space="preserve"> cost/patient</w:t>
      </w:r>
      <w:bookmarkEnd w:id="34"/>
      <w:r w:rsidR="00763037" w:rsidRPr="005C202F">
        <w:t>/treatment phase</w:t>
      </w:r>
      <w:bookmarkEnd w:id="35"/>
    </w:p>
    <w:p w:rsidR="00CC2954" w:rsidRPr="005C202F" w:rsidRDefault="00CC2954" w:rsidP="00122786">
      <w:pPr>
        <w:keepNext/>
        <w:keepLines/>
        <w:jc w:val="left"/>
        <w:rPr>
          <w:rFonts w:ascii="Arial Narrow" w:eastAsia="Calibri" w:hAnsi="Arial Narrow" w:cs="Calibri"/>
          <w:b/>
          <w:bCs/>
          <w:sz w:val="20"/>
          <w:szCs w:val="20"/>
          <w:lang w:eastAsia="en-US"/>
        </w:rPr>
      </w:pPr>
      <w:bookmarkStart w:id="36" w:name="_Hlk71212614"/>
      <w:r w:rsidRPr="005C202F">
        <w:rPr>
          <w:rFonts w:ascii="Arial Narrow" w:eastAsia="Calibri" w:hAnsi="Arial Narrow" w:cs="Calibri"/>
          <w:b/>
          <w:bCs/>
          <w:sz w:val="20"/>
          <w:szCs w:val="20"/>
          <w:lang w:eastAsia="en-US"/>
        </w:rPr>
        <w:t>Table 1</w:t>
      </w:r>
      <w:r w:rsidR="00A60886">
        <w:rPr>
          <w:rFonts w:ascii="Arial Narrow" w:eastAsia="Calibri" w:hAnsi="Arial Narrow" w:cs="Calibri"/>
          <w:b/>
          <w:bCs/>
          <w:sz w:val="20"/>
          <w:szCs w:val="20"/>
          <w:lang w:eastAsia="en-US"/>
        </w:rPr>
        <w:t>5</w:t>
      </w:r>
      <w:r w:rsidRPr="005C202F">
        <w:rPr>
          <w:rFonts w:ascii="Arial Narrow" w:eastAsia="Calibri" w:hAnsi="Arial Narrow" w:cs="Calibri"/>
          <w:b/>
          <w:bCs/>
          <w:sz w:val="20"/>
          <w:szCs w:val="20"/>
          <w:lang w:eastAsia="en-US"/>
        </w:rPr>
        <w:t>: Drug costs per patient for esketamine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2347"/>
        <w:gridCol w:w="2205"/>
        <w:gridCol w:w="2205"/>
      </w:tblGrid>
      <w:tr w:rsidR="00CC2954" w:rsidRPr="005C202F" w:rsidTr="00EF0782">
        <w:trPr>
          <w:tblHeader/>
        </w:trPr>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b/>
                <w:bCs/>
                <w:sz w:val="20"/>
                <w:szCs w:val="20"/>
                <w:lang w:eastAsia="en-US"/>
              </w:rPr>
            </w:pPr>
            <w:r w:rsidRPr="005C202F">
              <w:rPr>
                <w:rFonts w:ascii="Arial Narrow" w:eastAsia="Calibri" w:hAnsi="Arial Narrow" w:cs="Calibri"/>
                <w:b/>
                <w:bCs/>
                <w:sz w:val="20"/>
                <w:szCs w:val="20"/>
                <w:lang w:eastAsia="en-US"/>
              </w:rPr>
              <w:t>Value</w:t>
            </w:r>
          </w:p>
        </w:tc>
        <w:tc>
          <w:tcPr>
            <w:tcW w:w="2344" w:type="dxa"/>
            <w:tcMar>
              <w:top w:w="0" w:type="dxa"/>
              <w:left w:w="108" w:type="dxa"/>
              <w:bottom w:w="0" w:type="dxa"/>
              <w:right w:w="108" w:type="dxa"/>
            </w:tcMar>
          </w:tcPr>
          <w:p w:rsidR="00CC2954" w:rsidRPr="005C202F" w:rsidRDefault="00CC2954" w:rsidP="00E0020F">
            <w:pPr>
              <w:keepNext/>
              <w:keepLines/>
              <w:jc w:val="center"/>
              <w:rPr>
                <w:rFonts w:ascii="Arial Narrow" w:eastAsia="Calibri" w:hAnsi="Arial Narrow" w:cs="Calibri"/>
                <w:b/>
                <w:bCs/>
                <w:sz w:val="20"/>
                <w:szCs w:val="20"/>
                <w:vertAlign w:val="superscript"/>
                <w:lang w:eastAsia="en-US"/>
              </w:rPr>
            </w:pPr>
            <w:r w:rsidRPr="005C202F">
              <w:rPr>
                <w:rFonts w:ascii="Arial Narrow" w:eastAsia="Calibri" w:hAnsi="Arial Narrow" w:cs="Calibri"/>
                <w:b/>
                <w:bCs/>
                <w:sz w:val="20"/>
                <w:szCs w:val="20"/>
                <w:lang w:eastAsia="en-US"/>
              </w:rPr>
              <w:t>Esketamine trials</w:t>
            </w:r>
            <w:r w:rsidRPr="005C202F">
              <w:rPr>
                <w:rFonts w:ascii="Arial Narrow" w:eastAsia="Calibri" w:hAnsi="Arial Narrow" w:cs="Calibri"/>
                <w:b/>
                <w:bCs/>
                <w:sz w:val="20"/>
                <w:szCs w:val="20"/>
                <w:vertAlign w:val="superscript"/>
                <w:lang w:eastAsia="en-US"/>
              </w:rPr>
              <w:t>1</w:t>
            </w:r>
          </w:p>
        </w:tc>
        <w:tc>
          <w:tcPr>
            <w:tcW w:w="2202" w:type="dxa"/>
            <w:vAlign w:val="center"/>
          </w:tcPr>
          <w:p w:rsidR="00CC2954" w:rsidRPr="005C202F" w:rsidRDefault="00CC2954" w:rsidP="00E0020F">
            <w:pPr>
              <w:keepNext/>
              <w:keepLines/>
              <w:jc w:val="center"/>
              <w:rPr>
                <w:rFonts w:ascii="Arial Narrow" w:eastAsia="Calibri" w:hAnsi="Arial Narrow" w:cs="Calibri"/>
                <w:b/>
                <w:bCs/>
                <w:sz w:val="20"/>
                <w:szCs w:val="20"/>
                <w:lang w:eastAsia="en-US"/>
              </w:rPr>
            </w:pPr>
            <w:r w:rsidRPr="005C202F">
              <w:rPr>
                <w:rFonts w:ascii="Arial Narrow" w:eastAsia="Calibri" w:hAnsi="Arial Narrow" w:cs="Calibri"/>
                <w:b/>
                <w:bCs/>
                <w:sz w:val="20"/>
                <w:szCs w:val="20"/>
                <w:lang w:eastAsia="en-US"/>
              </w:rPr>
              <w:t>Economic model</w:t>
            </w:r>
          </w:p>
        </w:tc>
        <w:tc>
          <w:tcPr>
            <w:tcW w:w="2202" w:type="dxa"/>
            <w:vAlign w:val="center"/>
          </w:tcPr>
          <w:p w:rsidR="00CC2954" w:rsidRPr="005C202F" w:rsidRDefault="00CC2954" w:rsidP="00E0020F">
            <w:pPr>
              <w:keepNext/>
              <w:keepLines/>
              <w:jc w:val="center"/>
              <w:rPr>
                <w:rFonts w:ascii="Arial Narrow" w:eastAsia="Calibri" w:hAnsi="Arial Narrow" w:cs="Calibri"/>
                <w:b/>
                <w:bCs/>
                <w:sz w:val="20"/>
                <w:szCs w:val="20"/>
                <w:lang w:eastAsia="en-US"/>
              </w:rPr>
            </w:pPr>
            <w:r w:rsidRPr="005C202F">
              <w:rPr>
                <w:rFonts w:ascii="Arial Narrow" w:eastAsia="Calibri" w:hAnsi="Arial Narrow" w:cs="Calibri"/>
                <w:b/>
                <w:bCs/>
                <w:sz w:val="20"/>
                <w:szCs w:val="20"/>
                <w:lang w:eastAsia="en-US"/>
              </w:rPr>
              <w:t>Financial estimates</w:t>
            </w:r>
          </w:p>
        </w:tc>
      </w:tr>
      <w:tr w:rsidR="00CC2954" w:rsidRPr="005C202F" w:rsidTr="00EF0782">
        <w:tc>
          <w:tcPr>
            <w:tcW w:w="9006" w:type="dxa"/>
            <w:gridSpan w:val="4"/>
            <w:tcMar>
              <w:top w:w="0" w:type="dxa"/>
              <w:left w:w="108" w:type="dxa"/>
              <w:bottom w:w="0" w:type="dxa"/>
              <w:right w:w="108" w:type="dxa"/>
            </w:tcMar>
            <w:hideMark/>
          </w:tcPr>
          <w:p w:rsidR="00CC2954" w:rsidRPr="005C202F" w:rsidRDefault="00CC2954" w:rsidP="00E0020F">
            <w:pPr>
              <w:keepNext/>
              <w:keepLines/>
              <w:rPr>
                <w:rFonts w:ascii="Arial Narrow" w:eastAsia="Calibri" w:hAnsi="Arial Narrow" w:cs="Calibri"/>
                <w:b/>
                <w:bCs/>
                <w:smallCaps/>
                <w:sz w:val="20"/>
                <w:szCs w:val="20"/>
                <w:lang w:eastAsia="en-US"/>
              </w:rPr>
            </w:pPr>
            <w:r w:rsidRPr="005C202F">
              <w:rPr>
                <w:rFonts w:ascii="Arial Narrow" w:eastAsia="Calibri" w:hAnsi="Arial Narrow" w:cs="Calibri"/>
                <w:b/>
                <w:bCs/>
                <w:smallCaps/>
                <w:sz w:val="20"/>
                <w:szCs w:val="20"/>
                <w:lang w:eastAsia="en-US"/>
              </w:rPr>
              <w:t>Esketamine drug costs</w:t>
            </w:r>
          </w:p>
        </w:tc>
      </w:tr>
      <w:tr w:rsidR="00CC2954" w:rsidRPr="005C202F" w:rsidTr="00EF0782">
        <w:tc>
          <w:tcPr>
            <w:tcW w:w="9006" w:type="dxa"/>
            <w:gridSpan w:val="4"/>
            <w:tcMar>
              <w:top w:w="0" w:type="dxa"/>
              <w:left w:w="108" w:type="dxa"/>
              <w:bottom w:w="0" w:type="dxa"/>
              <w:right w:w="108" w:type="dxa"/>
            </w:tcMar>
            <w:hideMark/>
          </w:tcPr>
          <w:p w:rsidR="00CC2954" w:rsidRPr="005C202F" w:rsidRDefault="00CC2954" w:rsidP="00E0020F">
            <w:pPr>
              <w:keepNext/>
              <w:keepLines/>
              <w:jc w:val="left"/>
              <w:rPr>
                <w:rFonts w:ascii="Arial Narrow" w:eastAsia="Calibri" w:hAnsi="Arial Narrow" w:cs="Calibri"/>
                <w:b/>
                <w:bCs/>
                <w:sz w:val="20"/>
                <w:szCs w:val="20"/>
                <w:lang w:eastAsia="en-US"/>
              </w:rPr>
            </w:pPr>
            <w:r w:rsidRPr="005C202F">
              <w:rPr>
                <w:rFonts w:ascii="Arial Narrow" w:eastAsia="Calibri" w:hAnsi="Arial Narrow" w:cs="Calibri"/>
                <w:b/>
                <w:bCs/>
                <w:sz w:val="20"/>
                <w:szCs w:val="20"/>
                <w:lang w:eastAsia="en-US"/>
              </w:rPr>
              <w:t>Acute treatment phase (Weeks 1-4)</w:t>
            </w:r>
          </w:p>
        </w:tc>
      </w:tr>
      <w:tr w:rsidR="00CC2954" w:rsidRPr="005C202F" w:rsidTr="00EF0782">
        <w:tc>
          <w:tcPr>
            <w:tcW w:w="2258" w:type="dxa"/>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Mean dose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70.8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(2.530×28 mg devices)</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70.8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(2.530×28 mg devices)</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70.8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(2.530×28 mg devices)</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Unit cost per 28 mg device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r w:rsidRPr="005C202F">
              <w:rPr>
                <w:rFonts w:ascii="Arial Narrow" w:eastAsia="Calibri" w:hAnsi="Arial Narrow" w:cs="Calibri"/>
                <w:sz w:val="20"/>
                <w:szCs w:val="20"/>
                <w:vertAlign w:val="superscript"/>
                <w:lang w:eastAsia="en-US"/>
              </w:rPr>
              <w:t>2</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r w:rsidRPr="005C202F">
              <w:rPr>
                <w:rFonts w:ascii="Arial Narrow" w:eastAsia="Calibri" w:hAnsi="Arial Narrow" w:cs="Calibri"/>
                <w:sz w:val="20"/>
                <w:szCs w:val="20"/>
                <w:vertAlign w:val="superscript"/>
                <w:lang w:eastAsia="en-US"/>
              </w:rPr>
              <w:t>3</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Average doses per week</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1.851</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1.851</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r>
      <w:tr w:rsidR="00CC2954" w:rsidRPr="005C202F" w:rsidTr="00EF0782">
        <w:tc>
          <w:tcPr>
            <w:tcW w:w="2258" w:type="dxa"/>
            <w:tcMar>
              <w:top w:w="0" w:type="dxa"/>
              <w:left w:w="108" w:type="dxa"/>
              <w:bottom w:w="0" w:type="dxa"/>
              <w:right w:w="108" w:type="dxa"/>
            </w:tcMar>
            <w:vAlign w:val="center"/>
          </w:tcPr>
          <w:p w:rsidR="00CC2954" w:rsidRPr="005C202F" w:rsidRDefault="0079557C"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Adherence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highlight w:val="yellow"/>
                <w:lang w:eastAsia="en-US"/>
              </w:rPr>
            </w:pPr>
            <w:r w:rsidRPr="005C202F">
              <w:rPr>
                <w:rFonts w:ascii="Arial Narrow" w:eastAsia="Calibri" w:hAnsi="Arial Narrow" w:cs="Calibri"/>
                <w:sz w:val="20"/>
                <w:szCs w:val="20"/>
                <w:lang w:eastAsia="en-US"/>
              </w:rPr>
              <w:t>Not reported</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explicitly modelled</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92.5%</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Cost/patient/4-week period</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Persistence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84.5%</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100%</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100%</w:t>
            </w:r>
          </w:p>
        </w:tc>
      </w:tr>
      <w:tr w:rsidR="00CC2954" w:rsidRPr="005C202F" w:rsidTr="00EF0782">
        <w:tc>
          <w:tcPr>
            <w:tcW w:w="9006" w:type="dxa"/>
            <w:gridSpan w:val="4"/>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b/>
                <w:bCs/>
                <w:sz w:val="20"/>
                <w:szCs w:val="20"/>
                <w:lang w:eastAsia="en-US"/>
              </w:rPr>
            </w:pPr>
            <w:r w:rsidRPr="005C202F">
              <w:rPr>
                <w:rFonts w:ascii="Arial Narrow" w:eastAsia="Calibri" w:hAnsi="Arial Narrow" w:cs="Calibri"/>
                <w:b/>
                <w:bCs/>
                <w:sz w:val="20"/>
                <w:szCs w:val="20"/>
                <w:lang w:eastAsia="en-US"/>
              </w:rPr>
              <w:t>Maintenance phase (Week 5+)</w:t>
            </w:r>
          </w:p>
        </w:tc>
      </w:tr>
      <w:tr w:rsidR="00CC2954" w:rsidRPr="005C202F" w:rsidTr="00EF0782">
        <w:tc>
          <w:tcPr>
            <w:tcW w:w="2258" w:type="dxa"/>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Mean dose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5 - 40: 72.9 mg</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(2.605×28 mg devices)</w:t>
            </w:r>
            <w:r w:rsidRPr="005C202F">
              <w:rPr>
                <w:rFonts w:ascii="Arial Narrow" w:eastAsia="Calibri" w:hAnsi="Arial Narrow" w:cs="Calibri"/>
                <w:sz w:val="20"/>
                <w:szCs w:val="20"/>
                <w:vertAlign w:val="superscript"/>
                <w:lang w:eastAsia="en-US"/>
              </w:rPr>
              <w:t>4</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 41+: 72.0 mg</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(2.571×28 mg devices)</w:t>
            </w:r>
            <w:r w:rsidRPr="005C202F">
              <w:rPr>
                <w:rFonts w:ascii="Arial Narrow" w:eastAsia="Calibri" w:hAnsi="Arial Narrow" w:cs="Calibri"/>
                <w:sz w:val="20"/>
                <w:szCs w:val="20"/>
                <w:vertAlign w:val="superscript"/>
                <w:lang w:eastAsia="en-US"/>
              </w:rPr>
              <w:t>4</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5 - 40: 72.9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(2.605×28 mg devices)</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 41+: 72.0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(2.571×28 mg devices)</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 5+: 72.9 mg</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(2.605×28 mg devices)</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Unit cost per 28 mg device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r w:rsidRPr="005C202F">
              <w:rPr>
                <w:rFonts w:ascii="Arial Narrow" w:eastAsia="Calibri" w:hAnsi="Arial Narrow" w:cs="Calibri"/>
                <w:sz w:val="20"/>
                <w:szCs w:val="20"/>
                <w:vertAlign w:val="superscript"/>
                <w:lang w:eastAsia="en-US"/>
              </w:rPr>
              <w:t>5</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t>
            </w:r>
            <w:r w:rsidR="002704A1">
              <w:rPr>
                <w:rFonts w:ascii="Arial Narrow" w:eastAsia="Calibri" w:hAnsi="Arial Narrow" w:cs="Calibri"/>
                <w:noProof/>
                <w:color w:val="000000"/>
                <w:sz w:val="20"/>
                <w:szCs w:val="20"/>
                <w:highlight w:val="black"/>
                <w:lang w:eastAsia="en-US"/>
              </w:rPr>
              <w:t>''''''''''''''''</w:t>
            </w:r>
            <w:r w:rsidRPr="005C202F">
              <w:rPr>
                <w:rFonts w:ascii="Arial Narrow" w:eastAsia="Calibri" w:hAnsi="Arial Narrow" w:cs="Calibri"/>
                <w:sz w:val="20"/>
                <w:szCs w:val="20"/>
                <w:vertAlign w:val="superscript"/>
                <w:lang w:eastAsia="en-US"/>
              </w:rPr>
              <w:t>6</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Average doses per week</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Weeks 5 - 8: 0.992</w:t>
            </w:r>
            <w:r w:rsidRPr="005C202F">
              <w:rPr>
                <w:rFonts w:ascii="Arial Narrow" w:eastAsia="Calibri" w:hAnsi="Arial Narrow" w:cs="Calibri"/>
                <w:sz w:val="20"/>
                <w:szCs w:val="20"/>
                <w:vertAlign w:val="superscript"/>
                <w:lang w:eastAsia="en-US"/>
              </w:rPr>
              <w:t>4</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Weeks 9 - 40: 0.711</w:t>
            </w:r>
            <w:r w:rsidRPr="005C202F">
              <w:rPr>
                <w:rFonts w:ascii="Arial Narrow" w:eastAsia="Calibri" w:hAnsi="Arial Narrow" w:cs="Calibri"/>
                <w:sz w:val="20"/>
                <w:szCs w:val="20"/>
                <w:vertAlign w:val="superscript"/>
                <w:lang w:eastAsia="en-US"/>
              </w:rPr>
              <w:t>4</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Week 41+: 0.675</w:t>
            </w:r>
            <w:r w:rsidRPr="005C202F">
              <w:rPr>
                <w:rFonts w:ascii="Arial Narrow" w:eastAsia="Calibri" w:hAnsi="Arial Narrow" w:cs="Calibri"/>
                <w:sz w:val="20"/>
                <w:szCs w:val="20"/>
                <w:vertAlign w:val="superscript"/>
                <w:lang w:eastAsia="en-US"/>
              </w:rPr>
              <w:t>4</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5 - 8: 0.992</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9 - 40: 0.711</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 41+: 0.675</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r>
      <w:tr w:rsidR="00CC2954" w:rsidRPr="005C202F" w:rsidTr="00EF0782">
        <w:tc>
          <w:tcPr>
            <w:tcW w:w="2258" w:type="dxa"/>
            <w:tcMar>
              <w:top w:w="0" w:type="dxa"/>
              <w:left w:w="108" w:type="dxa"/>
              <w:bottom w:w="0" w:type="dxa"/>
              <w:right w:w="108" w:type="dxa"/>
            </w:tcMar>
            <w:vAlign w:val="center"/>
          </w:tcPr>
          <w:p w:rsidR="00CC2954" w:rsidRPr="005C202F" w:rsidRDefault="0079557C"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Adherence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reported</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explicitly modelled</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5 - 52: 73.83%</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53+: 67.46%</w:t>
            </w:r>
          </w:p>
        </w:tc>
      </w:tr>
      <w:tr w:rsidR="00CC2954" w:rsidRPr="005C202F" w:rsidTr="00EF0782">
        <w:tc>
          <w:tcPr>
            <w:tcW w:w="2258" w:type="dxa"/>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Cost/patient/4-week period</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5 - 8: $</w:t>
            </w:r>
            <w:r w:rsidR="002704A1">
              <w:rPr>
                <w:rFonts w:ascii="Arial Narrow" w:eastAsia="Calibri" w:hAnsi="Arial Narrow" w:cs="Calibri"/>
                <w:noProof/>
                <w:color w:val="000000"/>
                <w:sz w:val="20"/>
                <w:szCs w:val="20"/>
                <w:highlight w:val="black"/>
                <w:lang w:eastAsia="en-US"/>
              </w:rPr>
              <w:t>'''''''''''''''''''''</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9 - 40: $</w:t>
            </w:r>
            <w:r w:rsidR="002704A1">
              <w:rPr>
                <w:rFonts w:ascii="Arial Narrow" w:eastAsia="Calibri" w:hAnsi="Arial Narrow" w:cs="Calibri"/>
                <w:noProof/>
                <w:color w:val="000000"/>
                <w:sz w:val="20"/>
                <w:szCs w:val="20"/>
                <w:highlight w:val="black"/>
                <w:lang w:eastAsia="en-US"/>
              </w:rPr>
              <w:t>'''''''''''''''''''''</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 41+: $</w:t>
            </w:r>
            <w:r w:rsidR="002704A1">
              <w:rPr>
                <w:rFonts w:ascii="Arial Narrow" w:eastAsia="Calibri" w:hAnsi="Arial Narrow" w:cs="Calibri"/>
                <w:noProof/>
                <w:color w:val="000000"/>
                <w:sz w:val="20"/>
                <w:szCs w:val="20"/>
                <w:highlight w:val="black"/>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5 - 52: $</w:t>
            </w:r>
            <w:r w:rsidR="002704A1">
              <w:rPr>
                <w:rFonts w:ascii="Arial Narrow" w:eastAsia="Calibri" w:hAnsi="Arial Narrow" w:cs="Calibri"/>
                <w:noProof/>
                <w:color w:val="000000"/>
                <w:sz w:val="20"/>
                <w:szCs w:val="20"/>
                <w:highlight w:val="black"/>
                <w:lang w:eastAsia="en-US"/>
              </w:rPr>
              <w:t>''''''''''''''''''''</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Weeks 53+: $</w:t>
            </w:r>
            <w:r w:rsidR="002704A1">
              <w:rPr>
                <w:rFonts w:ascii="Arial Narrow" w:eastAsia="Calibri" w:hAnsi="Arial Narrow" w:cs="Calibri"/>
                <w:noProof/>
                <w:color w:val="000000"/>
                <w:sz w:val="20"/>
                <w:szCs w:val="20"/>
                <w:highlight w:val="black"/>
                <w:lang w:eastAsia="en-US"/>
              </w:rPr>
              <w:t>''''''''''''''''''''</w:t>
            </w:r>
          </w:p>
        </w:tc>
      </w:tr>
      <w:tr w:rsidR="00CC2954" w:rsidRPr="005C202F" w:rsidTr="00EF0782">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Persistence</w:t>
            </w:r>
            <w:r w:rsidRPr="005C202F">
              <w:rPr>
                <w:rFonts w:ascii="Arial Narrow" w:eastAsia="Calibri" w:hAnsi="Arial Narrow" w:cs="Calibri"/>
                <w:sz w:val="20"/>
                <w:szCs w:val="20"/>
                <w:vertAlign w:val="superscript"/>
                <w:lang w:eastAsia="en-US"/>
              </w:rPr>
              <w:t>7</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highlight w:val="yellow"/>
                <w:lang w:eastAsia="en-US"/>
              </w:rPr>
            </w:pPr>
            <w:r w:rsidRPr="005C202F">
              <w:rPr>
                <w:rFonts w:ascii="Arial Narrow" w:eastAsia="Calibri" w:hAnsi="Arial Narrow" w:cs="Calibri"/>
                <w:sz w:val="20"/>
                <w:szCs w:val="20"/>
                <w:lang w:eastAsia="en-US"/>
              </w:rPr>
              <w:t>91.4%</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Y1: 33.04%</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Y2: 18.85%</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Y3: 10.94%</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Y4: 6.35%</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Y5: 3.69%</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Y1: 48.40%</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Y2: 22.67%</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Y3: 13.09%</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Y4: 7.60%</w:t>
            </w:r>
          </w:p>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Y5: 4.41%</w:t>
            </w:r>
          </w:p>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Y6: 2.56%</w:t>
            </w:r>
          </w:p>
        </w:tc>
      </w:tr>
      <w:tr w:rsidR="00CC2954" w:rsidRPr="005C202F" w:rsidTr="00EF0782">
        <w:trPr>
          <w:trHeight w:val="54"/>
        </w:trPr>
        <w:tc>
          <w:tcPr>
            <w:tcW w:w="9006" w:type="dxa"/>
            <w:gridSpan w:val="4"/>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b/>
                <w:bCs/>
                <w:smallCaps/>
                <w:sz w:val="20"/>
                <w:szCs w:val="20"/>
                <w:lang w:eastAsia="en-US"/>
              </w:rPr>
            </w:pPr>
            <w:r w:rsidRPr="005C202F">
              <w:rPr>
                <w:rFonts w:ascii="Arial Narrow" w:eastAsia="Calibri" w:hAnsi="Arial Narrow" w:cs="Calibri"/>
                <w:b/>
                <w:bCs/>
                <w:smallCaps/>
                <w:sz w:val="20"/>
                <w:szCs w:val="20"/>
                <w:lang w:eastAsia="en-US"/>
              </w:rPr>
              <w:t>Oral antidepressant costs</w:t>
            </w:r>
          </w:p>
        </w:tc>
      </w:tr>
      <w:tr w:rsidR="00CC2954" w:rsidRPr="005C202F" w:rsidTr="00EF0782">
        <w:tc>
          <w:tcPr>
            <w:tcW w:w="2258" w:type="dxa"/>
            <w:tcMar>
              <w:top w:w="0" w:type="dxa"/>
              <w:left w:w="108" w:type="dxa"/>
              <w:bottom w:w="0" w:type="dxa"/>
              <w:right w:w="108" w:type="dxa"/>
            </w:tcMar>
            <w:vAlign w:val="center"/>
            <w:hideMark/>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Cost/patient/4-week period</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vertAlign w:val="superscript"/>
                <w:lang w:eastAsia="en-US"/>
              </w:rPr>
            </w:pPr>
            <w:r w:rsidRPr="005C202F">
              <w:rPr>
                <w:rFonts w:ascii="Arial Narrow" w:eastAsia="Calibri" w:hAnsi="Arial Narrow" w:cs="Calibri"/>
                <w:sz w:val="20"/>
                <w:szCs w:val="20"/>
                <w:lang w:eastAsia="en-US"/>
              </w:rPr>
              <w:t>$17.20</w:t>
            </w:r>
            <w:r w:rsidRPr="005C202F">
              <w:rPr>
                <w:rFonts w:ascii="Arial Narrow" w:eastAsia="Calibri" w:hAnsi="Arial Narrow" w:cs="Calibri"/>
                <w:sz w:val="20"/>
                <w:szCs w:val="20"/>
                <w:vertAlign w:val="superscript"/>
                <w:lang w:eastAsia="en-US"/>
              </w:rPr>
              <w:t>8</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included</w:t>
            </w:r>
          </w:p>
        </w:tc>
      </w:tr>
      <w:tr w:rsidR="00CC2954" w:rsidRPr="005C202F" w:rsidTr="00EF0782">
        <w:tc>
          <w:tcPr>
            <w:tcW w:w="2258" w:type="dxa"/>
            <w:tcMar>
              <w:top w:w="0" w:type="dxa"/>
              <w:left w:w="108" w:type="dxa"/>
              <w:bottom w:w="0" w:type="dxa"/>
              <w:right w:w="108" w:type="dxa"/>
            </w:tcMar>
            <w:vAlign w:val="center"/>
          </w:tcPr>
          <w:p w:rsidR="00CC2954" w:rsidRPr="005C202F" w:rsidRDefault="0079557C"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Adherence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Varies by treatment (≥91.7% in TRANSFORM-2)</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100%</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included</w:t>
            </w:r>
          </w:p>
        </w:tc>
      </w:tr>
      <w:tr w:rsidR="00CC2954" w:rsidRPr="005C202F" w:rsidTr="00EF0782">
        <w:trPr>
          <w:trHeight w:val="64"/>
        </w:trPr>
        <w:tc>
          <w:tcPr>
            <w:tcW w:w="2258" w:type="dxa"/>
            <w:tcMar>
              <w:top w:w="0" w:type="dxa"/>
              <w:left w:w="108" w:type="dxa"/>
              <w:bottom w:w="0" w:type="dxa"/>
              <w:right w:w="108" w:type="dxa"/>
            </w:tcMar>
            <w:vAlign w:val="center"/>
          </w:tcPr>
          <w:p w:rsidR="00CC2954" w:rsidRPr="005C202F" w:rsidRDefault="00CC2954" w:rsidP="00E0020F">
            <w:pPr>
              <w:keepNext/>
              <w:keepLines/>
              <w:jc w:val="left"/>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Persistence</w:t>
            </w:r>
          </w:p>
        </w:tc>
        <w:tc>
          <w:tcPr>
            <w:tcW w:w="2344" w:type="dxa"/>
            <w:tcMar>
              <w:top w:w="0" w:type="dxa"/>
              <w:left w:w="108" w:type="dxa"/>
              <w:bottom w:w="0" w:type="dxa"/>
              <w:right w:w="108" w:type="dxa"/>
            </w:tcMar>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89.2%</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100%</w:t>
            </w:r>
          </w:p>
        </w:tc>
        <w:tc>
          <w:tcPr>
            <w:tcW w:w="2202" w:type="dxa"/>
            <w:vAlign w:val="center"/>
          </w:tcPr>
          <w:p w:rsidR="00CC2954" w:rsidRPr="005C202F" w:rsidRDefault="00CC2954" w:rsidP="00E0020F">
            <w:pPr>
              <w:keepNext/>
              <w:keepLines/>
              <w:jc w:val="center"/>
              <w:rPr>
                <w:rFonts w:ascii="Arial Narrow" w:eastAsia="Calibri" w:hAnsi="Arial Narrow" w:cs="Calibri"/>
                <w:sz w:val="20"/>
                <w:szCs w:val="20"/>
                <w:lang w:eastAsia="en-US"/>
              </w:rPr>
            </w:pPr>
            <w:r w:rsidRPr="005C202F">
              <w:rPr>
                <w:rFonts w:ascii="Arial Narrow" w:eastAsia="Calibri" w:hAnsi="Arial Narrow" w:cs="Calibri"/>
                <w:sz w:val="20"/>
                <w:szCs w:val="20"/>
                <w:lang w:eastAsia="en-US"/>
              </w:rPr>
              <w:t>Not included</w:t>
            </w:r>
          </w:p>
        </w:tc>
      </w:tr>
    </w:tbl>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lang w:eastAsia="en-US"/>
        </w:rPr>
        <w:t>Source: Table 3.12 Table 2.4-15; Section 4.2.1.5.2 of the submission. ‘Drug costs’ and ‘Drug cost – details’ worksheets of the ‘Esketamine TRD CE model’, Attachment 19 of the submission; ‘Compliance and persistence’, ‘Scripts – proposed’ and ‘Impact – proposed (eff)’ worksheets of the ‘Utilisation cost model – esketamine TRD’ Excel workbook, Attachment 25 of the submission.</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lang w:eastAsia="en-US"/>
        </w:rPr>
        <w:t>Abbreviations: DPMQ, dispenses price for maximum quantity.</w:t>
      </w:r>
    </w:p>
    <w:bookmarkEnd w:id="36"/>
    <w:p w:rsidR="00CC2954" w:rsidRPr="005C202F" w:rsidRDefault="00CC2954" w:rsidP="00E0020F">
      <w:pPr>
        <w:keepNext/>
        <w:keepLines/>
        <w:rPr>
          <w:rFonts w:ascii="Arial Narrow" w:eastAsia="Calibri" w:hAnsi="Arial Narrow" w:cs="Times New Roman"/>
          <w:sz w:val="18"/>
          <w:szCs w:val="18"/>
          <w:lang w:eastAsia="en-US"/>
        </w:rPr>
      </w:pPr>
      <w:r w:rsidRPr="005C202F">
        <w:rPr>
          <w:rFonts w:ascii="Arial Narrow" w:eastAsia="Calibri" w:hAnsi="Arial Narrow" w:cs="Calibri"/>
          <w:sz w:val="18"/>
          <w:szCs w:val="18"/>
          <w:vertAlign w:val="superscript"/>
          <w:lang w:eastAsia="en-US"/>
        </w:rPr>
        <w:t>1</w:t>
      </w:r>
      <w:r w:rsidRPr="005C202F">
        <w:rPr>
          <w:rFonts w:ascii="Arial Narrow" w:eastAsia="Calibri" w:hAnsi="Arial Narrow" w:cs="Calibri"/>
          <w:sz w:val="18"/>
          <w:szCs w:val="18"/>
          <w:lang w:eastAsia="en-US"/>
        </w:rPr>
        <w:t xml:space="preserve"> TRANSFORM-2 for acute treatment phase and SUSTAIN-1 for maintenance phase.</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2</w:t>
      </w:r>
      <w:r w:rsidRPr="005C202F">
        <w:rPr>
          <w:rFonts w:ascii="Arial Narrow" w:eastAsia="Calibri" w:hAnsi="Arial Narrow" w:cs="Calibri"/>
          <w:sz w:val="18"/>
          <w:szCs w:val="18"/>
          <w:lang w:eastAsia="en-US"/>
        </w:rPr>
        <w:t xml:space="preserve"> Based on a weighted Public/Private (20%/80%) hospital DPMQ of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28 mg dose (8 x 28 mg units).</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3</w:t>
      </w:r>
      <w:r w:rsidRPr="005C202F">
        <w:rPr>
          <w:rFonts w:ascii="Arial Narrow" w:eastAsia="Calibri" w:hAnsi="Arial Narrow" w:cs="Calibri"/>
          <w:sz w:val="18"/>
          <w:szCs w:val="18"/>
          <w:lang w:eastAsia="en-US"/>
        </w:rPr>
        <w:t xml:space="preserve"> Based on a weighted Public/Private (20%/80%) hospital DPMQ of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56 mg dose (16 x 28 mg units) and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84 mg dose (24 x 28 mg units), assuming a 47%/53% split between 56 mg and 84 mg doses.</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4</w:t>
      </w:r>
      <w:r w:rsidRPr="005C202F">
        <w:rPr>
          <w:rFonts w:ascii="Arial Narrow" w:eastAsia="Calibri" w:hAnsi="Arial Narrow" w:cs="Calibri"/>
          <w:sz w:val="18"/>
          <w:szCs w:val="18"/>
          <w:lang w:eastAsia="en-US"/>
        </w:rPr>
        <w:t xml:space="preserve"> The source data could not be verified during the evaluation.</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5</w:t>
      </w:r>
      <w:r w:rsidRPr="005C202F">
        <w:rPr>
          <w:rFonts w:ascii="Arial Narrow" w:eastAsia="Calibri" w:hAnsi="Arial Narrow" w:cs="Calibri"/>
          <w:sz w:val="18"/>
          <w:szCs w:val="18"/>
          <w:lang w:eastAsia="en-US"/>
        </w:rPr>
        <w:t xml:space="preserve"> Based on a weighted Public/Private (20%/80%) hospital DPMQ of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28 mg dose (4 x 28 mg units).</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6</w:t>
      </w:r>
      <w:r w:rsidRPr="005C202F">
        <w:rPr>
          <w:rFonts w:ascii="Arial Narrow" w:eastAsia="Calibri" w:hAnsi="Arial Narrow" w:cs="Calibri"/>
          <w:sz w:val="18"/>
          <w:szCs w:val="18"/>
          <w:lang w:eastAsia="en-US"/>
        </w:rPr>
        <w:t xml:space="preserve"> Based on a weighted Public/Private (20%/80%) hospital DPMQ of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56 mg dose (8 x 28 mg units) and $</w:t>
      </w:r>
      <w:r w:rsidR="002704A1">
        <w:rPr>
          <w:rFonts w:ascii="Arial Narrow" w:eastAsia="Calibri" w:hAnsi="Arial Narrow" w:cs="Calibri"/>
          <w:noProof/>
          <w:color w:val="000000"/>
          <w:sz w:val="18"/>
          <w:szCs w:val="18"/>
          <w:highlight w:val="black"/>
          <w:lang w:eastAsia="en-US"/>
        </w:rPr>
        <w:t>'''''''''''''''''''</w:t>
      </w:r>
      <w:r w:rsidRPr="005C202F">
        <w:rPr>
          <w:rFonts w:ascii="Arial Narrow" w:eastAsia="Calibri" w:hAnsi="Arial Narrow" w:cs="Calibri"/>
          <w:sz w:val="18"/>
          <w:szCs w:val="18"/>
          <w:lang w:eastAsia="en-US"/>
        </w:rPr>
        <w:t xml:space="preserve"> for 84 mg dose (12 x 28 mg units), assuming a 39%/61% split between 56 mg and 84 mg doses.</w:t>
      </w:r>
    </w:p>
    <w:p w:rsidR="00CC2954"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7</w:t>
      </w:r>
      <w:r w:rsidRPr="005C202F">
        <w:rPr>
          <w:rFonts w:ascii="Arial Narrow" w:eastAsia="Calibri" w:hAnsi="Arial Narrow" w:cs="Calibri"/>
          <w:sz w:val="18"/>
          <w:szCs w:val="18"/>
          <w:lang w:eastAsia="en-US"/>
        </w:rPr>
        <w:t xml:space="preserve"> Economic model persistence based on the proportion of patients remaining on esketamine at the end of each treatment year; financial estimates persistence based on average annual persistence. </w:t>
      </w:r>
    </w:p>
    <w:p w:rsidR="00177CC1" w:rsidRPr="005C202F" w:rsidRDefault="00CC2954" w:rsidP="00E0020F">
      <w:pPr>
        <w:keepNext/>
        <w:keepLines/>
        <w:rPr>
          <w:rFonts w:ascii="Arial Narrow" w:eastAsia="Calibri" w:hAnsi="Arial Narrow" w:cs="Calibri"/>
          <w:sz w:val="18"/>
          <w:szCs w:val="18"/>
          <w:lang w:eastAsia="en-US"/>
        </w:rPr>
      </w:pPr>
      <w:r w:rsidRPr="005C202F">
        <w:rPr>
          <w:rFonts w:ascii="Arial Narrow" w:eastAsia="Calibri" w:hAnsi="Arial Narrow" w:cs="Calibri"/>
          <w:sz w:val="18"/>
          <w:szCs w:val="18"/>
          <w:vertAlign w:val="superscript"/>
          <w:lang w:eastAsia="en-US"/>
        </w:rPr>
        <w:t>8</w:t>
      </w:r>
      <w:r w:rsidRPr="005C202F">
        <w:rPr>
          <w:rFonts w:ascii="Arial Narrow" w:eastAsia="Calibri" w:hAnsi="Arial Narrow" w:cs="Calibri"/>
          <w:sz w:val="18"/>
          <w:szCs w:val="18"/>
          <w:lang w:eastAsia="en-US"/>
        </w:rPr>
        <w:t xml:space="preserve"> Average cost of PBS-listed antidepressants weighted by market share according to PBS data from February 2020 to January 2021.</w:t>
      </w:r>
    </w:p>
    <w:p w:rsidR="00E0020F" w:rsidRDefault="00E0020F">
      <w:pPr>
        <w:jc w:val="left"/>
        <w:rPr>
          <w:rFonts w:asciiTheme="minorHAnsi" w:eastAsiaTheme="majorEastAsia" w:hAnsiTheme="minorHAnsi" w:cstheme="majorBidi"/>
          <w:b/>
          <w:i/>
          <w:spacing w:val="5"/>
          <w:kern w:val="28"/>
          <w:sz w:val="28"/>
          <w:szCs w:val="36"/>
        </w:rPr>
      </w:pPr>
      <w:bookmarkStart w:id="37" w:name="_Toc22897647"/>
      <w:bookmarkStart w:id="38" w:name="_Toc72325766"/>
      <w:r>
        <w:br w:type="page"/>
      </w:r>
    </w:p>
    <w:p w:rsidR="00B60939" w:rsidRPr="005C202F" w:rsidRDefault="00B60939" w:rsidP="002B05A1">
      <w:pPr>
        <w:pStyle w:val="3-SubsectionHeading"/>
      </w:pPr>
      <w:r w:rsidRPr="005C202F">
        <w:t>Estimated PBS usage &amp; financial implications</w:t>
      </w:r>
      <w:bookmarkEnd w:id="37"/>
      <w:bookmarkEnd w:id="38"/>
    </w:p>
    <w:p w:rsidR="00A85DBB" w:rsidRPr="005C202F" w:rsidRDefault="00A85DBB" w:rsidP="00A85DBB">
      <w:pPr>
        <w:pStyle w:val="ExecSumBodyText"/>
        <w:numPr>
          <w:ilvl w:val="1"/>
          <w:numId w:val="1"/>
        </w:numPr>
      </w:pPr>
      <w:bookmarkStart w:id="39" w:name="_Toc22897648"/>
      <w:bookmarkStart w:id="40" w:name="_Toc72325767"/>
      <w:r w:rsidRPr="005C202F">
        <w:t>The submission was considered by DUSC. The submission used an epidemiological approach to estimate the utilisation and financial impacts associated with the PBS listing of esketamine for TRD.</w:t>
      </w:r>
    </w:p>
    <w:p w:rsidR="00A85DBB" w:rsidRPr="005C202F" w:rsidRDefault="00A85DBB" w:rsidP="00A85DBB">
      <w:pPr>
        <w:pStyle w:val="TableFigureCaption"/>
      </w:pPr>
      <w:r w:rsidRPr="005C202F">
        <w:t>Table 16: Key inputs for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3969"/>
        <w:gridCol w:w="3634"/>
      </w:tblGrid>
      <w:tr w:rsidR="00A85DBB" w:rsidRPr="005C202F" w:rsidTr="00A30CAF">
        <w:trPr>
          <w:tblHeader/>
        </w:trPr>
        <w:tc>
          <w:tcPr>
            <w:tcW w:w="784" w:type="pct"/>
            <w:shd w:val="clear" w:color="auto" w:fill="auto"/>
            <w:vAlign w:val="center"/>
          </w:tcPr>
          <w:p w:rsidR="00A85DBB" w:rsidRPr="005C202F" w:rsidRDefault="00A85DBB" w:rsidP="00A30CAF">
            <w:pPr>
              <w:pStyle w:val="Tableheadingrow"/>
              <w:keepNext w:val="0"/>
              <w:rPr>
                <w:lang w:val="en-AU"/>
              </w:rPr>
            </w:pPr>
            <w:r w:rsidRPr="005C202F">
              <w:rPr>
                <w:lang w:val="en-AU"/>
              </w:rPr>
              <w:t>Parameter</w:t>
            </w:r>
          </w:p>
        </w:tc>
        <w:tc>
          <w:tcPr>
            <w:tcW w:w="2201"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Value applied and source</w:t>
            </w:r>
          </w:p>
        </w:tc>
        <w:tc>
          <w:tcPr>
            <w:tcW w:w="2016"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Comment</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Prevalence of MDD (2007)</w:t>
            </w:r>
          </w:p>
        </w:tc>
        <w:tc>
          <w:tcPr>
            <w:tcW w:w="2201" w:type="pct"/>
            <w:shd w:val="clear" w:color="auto" w:fill="auto"/>
            <w:vAlign w:val="center"/>
          </w:tcPr>
          <w:p w:rsidR="00A85DBB" w:rsidRPr="005C202F" w:rsidRDefault="00A85DBB" w:rsidP="00A30CAF">
            <w:pPr>
              <w:pStyle w:val="TableText"/>
              <w:keepNext w:val="0"/>
            </w:pPr>
            <w:r w:rsidRPr="005C202F">
              <w:t xml:space="preserve">4.1%. Based on the 2007 National Survey of Mental Health and Wellbeing, 4.1% of Australians aged 16 to 85 years had previously been diagnosed with MDD in their lifetime, and reported symptoms of depression in the past 12 months. </w:t>
            </w:r>
          </w:p>
        </w:tc>
        <w:tc>
          <w:tcPr>
            <w:tcW w:w="2016" w:type="pct"/>
            <w:shd w:val="clear" w:color="auto" w:fill="auto"/>
            <w:vAlign w:val="center"/>
          </w:tcPr>
          <w:p w:rsidR="00A85DBB" w:rsidRPr="005C202F" w:rsidRDefault="00A85DBB" w:rsidP="00A30CAF">
            <w:pPr>
              <w:pStyle w:val="TableText"/>
              <w:keepNext w:val="0"/>
              <w:rPr>
                <w:iCs/>
              </w:rPr>
            </w:pPr>
            <w:r w:rsidRPr="005C202F">
              <w:rPr>
                <w:iCs/>
              </w:rPr>
              <w:t>While patients reported symptoms of depression in the prior 12 months, this may not have represented a major depressive episode. Additionally, patients may have been receiving treatment for MDD but not experienced symptoms in the prior 12 months.</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Prevalence of MDD (2022-2027)</w:t>
            </w:r>
          </w:p>
        </w:tc>
        <w:tc>
          <w:tcPr>
            <w:tcW w:w="2201" w:type="pct"/>
            <w:shd w:val="clear" w:color="auto" w:fill="auto"/>
            <w:vAlign w:val="center"/>
          </w:tcPr>
          <w:p w:rsidR="00A85DBB" w:rsidRPr="005C202F" w:rsidRDefault="00A85DBB" w:rsidP="00A30CAF">
            <w:pPr>
              <w:pStyle w:val="TableText"/>
            </w:pPr>
            <w:r w:rsidRPr="005C202F">
              <w:t>6.08% in year 1 to 6.94% in year 6. Based on the results of the 2017/18 National Health Survey, 10.4% of Australians had depression or feelings of depression, an increase from 8.9% in the 2014/15 National Health Survey. The submission estimated an average annual growth of 5.3% for 2014/2015 to 2017/18 and assumed that the growth in 12-month MDD prevalence was half this rate (2.66%).</w:t>
            </w:r>
          </w:p>
        </w:tc>
        <w:tc>
          <w:tcPr>
            <w:tcW w:w="2016" w:type="pct"/>
            <w:shd w:val="clear" w:color="auto" w:fill="auto"/>
            <w:vAlign w:val="center"/>
          </w:tcPr>
          <w:p w:rsidR="00A85DBB" w:rsidRPr="005C202F" w:rsidRDefault="00A85DBB" w:rsidP="00A30CAF">
            <w:pPr>
              <w:pStyle w:val="TableText"/>
              <w:keepNext w:val="0"/>
            </w:pPr>
            <w:r w:rsidRPr="005C202F">
              <w:t>The applicability of the Australian National Health Survey results (which were based on self-reported depression or feelings of depression rather than a clinical diagnosis of depression) to the prevalence of MDD was unclear. The growth assumption used to inflate the 2007 estimate did not appear to be well supported.</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Proportion of adult MDD patients who have TRD</w:t>
            </w:r>
          </w:p>
        </w:tc>
        <w:tc>
          <w:tcPr>
            <w:tcW w:w="2201" w:type="pct"/>
            <w:shd w:val="clear" w:color="auto" w:fill="auto"/>
            <w:vAlign w:val="center"/>
          </w:tcPr>
          <w:p w:rsidR="00A85DBB" w:rsidRPr="005C202F" w:rsidRDefault="00A85DBB" w:rsidP="00A30CAF">
            <w:pPr>
              <w:pStyle w:val="TableText"/>
              <w:keepNext w:val="0"/>
            </w:pPr>
            <w:r w:rsidRPr="005C202F">
              <w:t>33%. Based on the results of the STAR*D study, which reported a cumulative remission rate of 67% following four treatments. The study recruited outpatients with nonpsychotic MDD (N=3,671).</w:t>
            </w:r>
          </w:p>
        </w:tc>
        <w:tc>
          <w:tcPr>
            <w:tcW w:w="2016" w:type="pct"/>
            <w:shd w:val="clear" w:color="auto" w:fill="auto"/>
            <w:vAlign w:val="center"/>
          </w:tcPr>
          <w:p w:rsidR="00A85DBB" w:rsidRPr="005C202F" w:rsidRDefault="00A85DBB" w:rsidP="00A30CAF">
            <w:pPr>
              <w:pStyle w:val="TableText"/>
              <w:keepNext w:val="0"/>
            </w:pPr>
            <w:r w:rsidRPr="005C202F">
              <w:t xml:space="preserve">The study was conducted between 2001 and 2006 and included treatments not commonly used in Australia (e.g., bupropion; </w:t>
            </w:r>
            <w:bookmarkStart w:id="41" w:name="_Hlk71491184"/>
            <w:r w:rsidRPr="005C202F">
              <w:t xml:space="preserve">triiodothyronine </w:t>
            </w:r>
            <w:bookmarkEnd w:id="41"/>
            <w:r w:rsidRPr="005C202F">
              <w:t>augmentation). Additionally, treatments were protocol-specified, and some patients were treated with non-pharmacological therapy (cognitive therapy alone or as a second-line add-on to citalopram therapy). A large number of patients discontinued the study, and only a small number of patients received a fourth line of treatment (N=123).</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Proportion of patients who are eligible and becoming available for treatment in the year</w:t>
            </w:r>
          </w:p>
        </w:tc>
        <w:tc>
          <w:tcPr>
            <w:tcW w:w="2201" w:type="pct"/>
            <w:shd w:val="clear" w:color="auto" w:fill="auto"/>
            <w:vAlign w:val="center"/>
          </w:tcPr>
          <w:p w:rsidR="00A85DBB" w:rsidRPr="005C202F" w:rsidRDefault="00A85DBB" w:rsidP="00A30CAF">
            <w:pPr>
              <w:pStyle w:val="TableText"/>
            </w:pPr>
            <w:r w:rsidRPr="005C202F">
              <w:t>9% in year 1 to 11% in year 6. TRD patients with inadequate responses to two or more antidepressants in the current MDD episode and started a new treatment regimen in one year derived from a 10% PBS sample analysis conducted between November 2019 and October 2020 (28,820 / 386,669 = 7.5%). Assumed to increase each</w:t>
            </w:r>
            <w:r w:rsidR="00157716">
              <w:t xml:space="preserve"> </w:t>
            </w:r>
            <w:r w:rsidRPr="005C202F">
              <w:t>year due to PBS listing of esketamine.</w:t>
            </w:r>
          </w:p>
        </w:tc>
        <w:tc>
          <w:tcPr>
            <w:tcW w:w="2016" w:type="pct"/>
            <w:shd w:val="clear" w:color="auto" w:fill="auto"/>
            <w:vAlign w:val="center"/>
          </w:tcPr>
          <w:p w:rsidR="00A85DBB" w:rsidRPr="005C202F" w:rsidRDefault="00A85DBB" w:rsidP="00A30CAF">
            <w:pPr>
              <w:pStyle w:val="TableText"/>
              <w:keepNext w:val="0"/>
            </w:pPr>
            <w:r w:rsidRPr="005C202F">
              <w:t>It is unclear whether the method used to conduct the 10% PBS sample analysis captured all relevant patients with TRD and those with TRD initiating a new treatment. The availability of a new treatment may result in an increase in patients initiating a new therapy.</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Proportion of patients starting treatment at the psychiatry setting</w:t>
            </w:r>
          </w:p>
        </w:tc>
        <w:tc>
          <w:tcPr>
            <w:tcW w:w="2201" w:type="pct"/>
            <w:shd w:val="clear" w:color="auto" w:fill="auto"/>
            <w:vAlign w:val="center"/>
          </w:tcPr>
          <w:p w:rsidR="00A85DBB" w:rsidRPr="005C202F" w:rsidRDefault="00A85DBB" w:rsidP="00A30CAF">
            <w:pPr>
              <w:pStyle w:val="TableText"/>
            </w:pPr>
            <w:r w:rsidRPr="005C202F">
              <w:t>22.66% in year 1 to 26.27% in year 6. Proportion of TRD patients who have had inadequate responses to two or more antidepressants in the current MDD episode and started a new treatment regimen in the psychiatry setting based on a 10% PBS sample analysis. Out of 28,820 patients who initiated a new treatment from November 2019 to October 2020, 6,340 patients started the new treatment in the psychiatry setting (22.0%). The submission assumed a 3% increase per year due to increased GP referrals to psychiatrists.</w:t>
            </w:r>
          </w:p>
        </w:tc>
        <w:tc>
          <w:tcPr>
            <w:tcW w:w="2016" w:type="pct"/>
            <w:shd w:val="clear" w:color="auto" w:fill="auto"/>
            <w:vAlign w:val="center"/>
          </w:tcPr>
          <w:p w:rsidR="00A85DBB" w:rsidRPr="005C202F" w:rsidRDefault="00A85DBB" w:rsidP="00A30CAF">
            <w:pPr>
              <w:pStyle w:val="TableText"/>
              <w:keepNext w:val="0"/>
            </w:pPr>
            <w:r w:rsidRPr="005C202F">
              <w:t>The rate of new referrals may be substantially higher given that esketamine is a novel treatment for a disorder that is resistant to standard therapies. However, the number of treated patients is likely to be constrained by the availability of psychiatrists to provide treatment, given the logistical issues associated with delivery of esketamine, the need for post-administration monitoring, and the ability to comply with Schedule 8 medicine handling requirements.</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Uptake rate</w:t>
            </w:r>
          </w:p>
        </w:tc>
        <w:tc>
          <w:tcPr>
            <w:tcW w:w="2201" w:type="pct"/>
            <w:shd w:val="clear" w:color="auto" w:fill="auto"/>
            <w:vAlign w:val="center"/>
          </w:tcPr>
          <w:p w:rsidR="00A85DBB" w:rsidRPr="005C202F" w:rsidRDefault="00A85DBB" w:rsidP="00A30CAF">
            <w:pPr>
              <w:pStyle w:val="TableText"/>
            </w:pPr>
            <w:r w:rsidRPr="005C202F">
              <w:t>30% in year 1 to 50% in year 6. Sponsor assumption based on expert opinion.</w:t>
            </w:r>
          </w:p>
        </w:tc>
        <w:tc>
          <w:tcPr>
            <w:tcW w:w="2016" w:type="pct"/>
            <w:shd w:val="clear" w:color="auto" w:fill="auto"/>
            <w:vAlign w:val="center"/>
          </w:tcPr>
          <w:p w:rsidR="00A85DBB" w:rsidRPr="005C202F" w:rsidRDefault="00A85DBB" w:rsidP="00A30CAF">
            <w:pPr>
              <w:pStyle w:val="TableText"/>
              <w:keepNext w:val="0"/>
            </w:pPr>
            <w:r w:rsidRPr="005C202F">
              <w:t>The uptake of esketamine is considered highly uncertain. Esketamine represents a novel treatment for a disorder that is resistant to standard therapies. However, uptake is likely to be constrained by the ability of treatment sites to comply with esketamine delivery, handling and monitoring requirements. It is unclear how many treatment sites will possess the required capacity to offer esketamine treatment.</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Dose distribution between 56 mg and 84 mg dose</w:t>
            </w:r>
          </w:p>
        </w:tc>
        <w:tc>
          <w:tcPr>
            <w:tcW w:w="2201" w:type="pct"/>
            <w:shd w:val="clear" w:color="auto" w:fill="auto"/>
          </w:tcPr>
          <w:p w:rsidR="00A85DBB" w:rsidRPr="005C202F" w:rsidRDefault="00A85DBB" w:rsidP="00A30CAF">
            <w:pPr>
              <w:pStyle w:val="TableText"/>
            </w:pPr>
            <w:r w:rsidRPr="005C202F">
              <w:t xml:space="preserve">Initial: 56 mg - 47.0%; 84 mg - 53.0%. Continuing: 56 mg - 39.5%; 84 mg - 60.5%. Distribution derived from the mean daily dose of esketamine in the TRANSFORM-2 trial four-week initial treatment period (70.7 mg, equating to 2.5298 esketamine devices), and the average number of esketamine devices used per session in the SUSTAIN-1 maintenance phase (2.6053). Assumed that patients received either 2 x 28 mg devices for a 56 mg dose or 3 x 28 mg devices for an 84 mg dose. </w:t>
            </w:r>
          </w:p>
        </w:tc>
        <w:tc>
          <w:tcPr>
            <w:tcW w:w="2016" w:type="pct"/>
            <w:shd w:val="clear" w:color="auto" w:fill="auto"/>
          </w:tcPr>
          <w:p w:rsidR="00A85DBB" w:rsidRPr="005C202F" w:rsidRDefault="00A85DBB" w:rsidP="00A30CAF">
            <w:pPr>
              <w:pStyle w:val="TableText"/>
              <w:keepNext w:val="0"/>
            </w:pPr>
            <w:r w:rsidRPr="005C202F">
              <w:t xml:space="preserve">The submission did not account for patients receiving a 28 mg dose. The recommended dose for patients aged ≥65 years is 28 mg, however, patients ≥65 years were excluded from the trials that informed dose distribution. The dose distribution among the PBS population may differ from the distribution in the clinical trial setting. </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Persistence</w:t>
            </w:r>
          </w:p>
        </w:tc>
        <w:tc>
          <w:tcPr>
            <w:tcW w:w="2201" w:type="pct"/>
            <w:shd w:val="clear" w:color="auto" w:fill="auto"/>
            <w:vAlign w:val="center"/>
          </w:tcPr>
          <w:p w:rsidR="00A85DBB" w:rsidRPr="005C202F" w:rsidRDefault="00A85DBB" w:rsidP="00A30CAF">
            <w:pPr>
              <w:pStyle w:val="TableText"/>
            </w:pPr>
            <w:r w:rsidRPr="005C202F">
              <w:t>48.4% in year 1 to 58.05% in year 6. Derived from the proportion of patients remaining on treatment each year in the economic model.</w:t>
            </w:r>
          </w:p>
        </w:tc>
        <w:tc>
          <w:tcPr>
            <w:tcW w:w="2016" w:type="pct"/>
            <w:shd w:val="clear" w:color="auto" w:fill="auto"/>
            <w:vAlign w:val="center"/>
          </w:tcPr>
          <w:p w:rsidR="00A85DBB" w:rsidRPr="005C202F" w:rsidRDefault="00A85DBB" w:rsidP="00A30CAF">
            <w:pPr>
              <w:pStyle w:val="TableText"/>
              <w:keepNext w:val="0"/>
            </w:pPr>
            <w:r w:rsidRPr="005C202F">
              <w:t>Differences between the clinical trial setting and Australian clinical practice may result in differences in persistence. The proposed restriction does not preclude repeat courses of esketamine, which were not accounted for in the financial estimates.</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Compliance</w:t>
            </w:r>
          </w:p>
        </w:tc>
        <w:tc>
          <w:tcPr>
            <w:tcW w:w="2201" w:type="pct"/>
            <w:shd w:val="clear" w:color="auto" w:fill="auto"/>
            <w:vAlign w:val="center"/>
          </w:tcPr>
          <w:p w:rsidR="00A85DBB" w:rsidRPr="005C202F" w:rsidRDefault="00A85DBB" w:rsidP="00A30CAF">
            <w:pPr>
              <w:pStyle w:val="TableText"/>
              <w:keepNext w:val="0"/>
            </w:pPr>
            <w:r w:rsidRPr="005C202F">
              <w:t>92.5% for initial treatment, 73.8% for continuing treatment in the initiation year, and 67.5% in subsequent years. Derived from TRANSFORM-2 (initial treatment) and SUSTAIN-1 (maintenance) trial data.</w:t>
            </w:r>
          </w:p>
        </w:tc>
        <w:tc>
          <w:tcPr>
            <w:tcW w:w="2016" w:type="pct"/>
            <w:shd w:val="clear" w:color="auto" w:fill="auto"/>
            <w:vAlign w:val="center"/>
          </w:tcPr>
          <w:p w:rsidR="00A85DBB" w:rsidRPr="005C202F" w:rsidRDefault="00A85DBB" w:rsidP="00A30CAF">
            <w:pPr>
              <w:pStyle w:val="TableText"/>
              <w:keepNext w:val="0"/>
              <w:rPr>
                <w:iCs/>
              </w:rPr>
            </w:pPr>
            <w:r w:rsidRPr="005C202F">
              <w:rPr>
                <w:iCs/>
              </w:rPr>
              <w:t>Differences between the clinical trial setting and Australian clinical practice may result in differences in compliance. Difficulty in accessing supervised administration, the burden of twice weekly, weekly, or fortnightly appointments for administration, and the inability to drive for the rest of the day following treatment, may impact compliance.</w:t>
            </w: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Esketamine price</w:t>
            </w:r>
          </w:p>
        </w:tc>
        <w:tc>
          <w:tcPr>
            <w:tcW w:w="2201" w:type="pct"/>
            <w:shd w:val="clear" w:color="auto" w:fill="auto"/>
            <w:vAlign w:val="center"/>
          </w:tcPr>
          <w:p w:rsidR="00A85DBB" w:rsidRPr="005C202F" w:rsidRDefault="00A85DBB" w:rsidP="00A30CAF">
            <w:pPr>
              <w:pStyle w:val="TableText"/>
            </w:pPr>
            <w:r w:rsidRPr="005C202F">
              <w:t>$</w:t>
            </w:r>
            <w:r w:rsidR="002704A1">
              <w:rPr>
                <w:noProof/>
                <w:color w:val="000000"/>
                <w:highlight w:val="black"/>
              </w:rPr>
              <w:t>''''''''''''''''</w:t>
            </w:r>
            <w:r w:rsidRPr="005C202F">
              <w:t xml:space="preserve"> (28 mg pack); $</w:t>
            </w:r>
            <w:r w:rsidR="002704A1">
              <w:rPr>
                <w:noProof/>
                <w:color w:val="000000"/>
                <w:highlight w:val="black"/>
              </w:rPr>
              <w:t>'''''''''''''''''</w:t>
            </w:r>
            <w:r w:rsidRPr="005C202F">
              <w:t xml:space="preserve"> (56 mg pack); $</w:t>
            </w:r>
            <w:r w:rsidR="002704A1">
              <w:rPr>
                <w:noProof/>
                <w:color w:val="000000"/>
                <w:highlight w:val="black"/>
              </w:rPr>
              <w:t>''''''''''''''''</w:t>
            </w:r>
            <w:r w:rsidRPr="005C202F">
              <w:t xml:space="preserve"> (84 mg pack). Proposed effective AEMP.</w:t>
            </w:r>
          </w:p>
        </w:tc>
        <w:tc>
          <w:tcPr>
            <w:tcW w:w="2016" w:type="pct"/>
            <w:shd w:val="clear" w:color="auto" w:fill="auto"/>
            <w:vAlign w:val="center"/>
          </w:tcPr>
          <w:p w:rsidR="00A85DBB" w:rsidRPr="005C202F" w:rsidRDefault="00A85DBB" w:rsidP="00A30CAF">
            <w:pPr>
              <w:pStyle w:val="TableText"/>
              <w:keepNext w:val="0"/>
            </w:pPr>
          </w:p>
        </w:tc>
      </w:tr>
      <w:tr w:rsidR="00A85DBB" w:rsidRPr="005C202F" w:rsidTr="00A30CAF">
        <w:tc>
          <w:tcPr>
            <w:tcW w:w="784" w:type="pct"/>
            <w:shd w:val="clear" w:color="auto" w:fill="auto"/>
            <w:vAlign w:val="center"/>
          </w:tcPr>
          <w:p w:rsidR="00A85DBB" w:rsidRPr="005C202F" w:rsidRDefault="00A85DBB" w:rsidP="00A30CAF">
            <w:pPr>
              <w:pStyle w:val="TableText"/>
              <w:keepNext w:val="0"/>
            </w:pPr>
            <w:r w:rsidRPr="005C202F">
              <w:t>Private/Public hospital use</w:t>
            </w:r>
          </w:p>
        </w:tc>
        <w:tc>
          <w:tcPr>
            <w:tcW w:w="2201" w:type="pct"/>
            <w:shd w:val="clear" w:color="auto" w:fill="auto"/>
            <w:vAlign w:val="center"/>
          </w:tcPr>
          <w:p w:rsidR="00A85DBB" w:rsidRPr="005C202F" w:rsidRDefault="00A85DBB" w:rsidP="00A30CAF">
            <w:pPr>
              <w:pStyle w:val="TableText"/>
            </w:pPr>
            <w:r w:rsidRPr="005C202F">
              <w:t>Private: 80%; Public: 20%. Based on sponsor assumption.</w:t>
            </w:r>
          </w:p>
        </w:tc>
        <w:tc>
          <w:tcPr>
            <w:tcW w:w="2016" w:type="pct"/>
            <w:shd w:val="clear" w:color="auto" w:fill="auto"/>
            <w:vAlign w:val="center"/>
          </w:tcPr>
          <w:p w:rsidR="00A85DBB" w:rsidRPr="005C202F" w:rsidRDefault="00A85DBB" w:rsidP="00A30CAF">
            <w:pPr>
              <w:pStyle w:val="TableText"/>
              <w:keepNext w:val="0"/>
            </w:pPr>
            <w:r w:rsidRPr="005C202F">
              <w:t>The relative proportion between the public and private setting will be dependent on the participation of treatment centres, which is currently uncertain.</w:t>
            </w:r>
          </w:p>
        </w:tc>
      </w:tr>
      <w:tr w:rsidR="00A85DBB" w:rsidRPr="005C202F" w:rsidTr="00A30CAF">
        <w:tc>
          <w:tcPr>
            <w:tcW w:w="784" w:type="pct"/>
            <w:shd w:val="clear" w:color="auto" w:fill="auto"/>
            <w:vAlign w:val="center"/>
          </w:tcPr>
          <w:p w:rsidR="00A85DBB" w:rsidRPr="005C202F" w:rsidRDefault="00A85DBB" w:rsidP="00A30CAF">
            <w:pPr>
              <w:pStyle w:val="TableText"/>
            </w:pPr>
            <w:r w:rsidRPr="005C202F">
              <w:t>Psychiatrist consultations</w:t>
            </w:r>
          </w:p>
        </w:tc>
        <w:tc>
          <w:tcPr>
            <w:tcW w:w="2201" w:type="pct"/>
            <w:shd w:val="clear" w:color="auto" w:fill="auto"/>
            <w:vAlign w:val="center"/>
          </w:tcPr>
          <w:p w:rsidR="00A85DBB" w:rsidRPr="005C202F" w:rsidRDefault="00A85DBB" w:rsidP="00A30CAF">
            <w:pPr>
              <w:pStyle w:val="TableText"/>
              <w:keepNext w:val="0"/>
            </w:pPr>
            <w:r w:rsidRPr="005C202F">
              <w:t>$36.28. Based on MBS Item 300 (&lt; 15 mins); 80% of the schedule fee.</w:t>
            </w:r>
          </w:p>
        </w:tc>
        <w:tc>
          <w:tcPr>
            <w:tcW w:w="2016" w:type="pct"/>
            <w:shd w:val="clear" w:color="auto" w:fill="auto"/>
            <w:vAlign w:val="center"/>
          </w:tcPr>
          <w:p w:rsidR="00A85DBB" w:rsidRPr="005C202F" w:rsidRDefault="00A85DBB" w:rsidP="00A30CAF">
            <w:pPr>
              <w:pStyle w:val="TableText"/>
              <w:keepNext w:val="0"/>
            </w:pPr>
            <w:r w:rsidRPr="005C202F">
              <w:t>Costs associated with esketamine administration and monitoring are likely to be substantially higher than estimated. The included MBS cost was inappropriately based on 80% of the schedule fee rather than 85%.</w:t>
            </w:r>
          </w:p>
        </w:tc>
      </w:tr>
    </w:tbl>
    <w:p w:rsidR="00A85DBB" w:rsidRPr="005C202F" w:rsidRDefault="00A85DBB" w:rsidP="00A85DBB">
      <w:pPr>
        <w:pStyle w:val="TableFooter"/>
        <w:spacing w:after="120"/>
        <w:contextualSpacing/>
      </w:pPr>
      <w:r w:rsidRPr="005C202F">
        <w:t>Source: Source: Section 4.1; Section 4.2; Section 4.5.2 of the submission.</w:t>
      </w:r>
    </w:p>
    <w:p w:rsidR="00A85DBB" w:rsidRPr="005C202F" w:rsidRDefault="00A85DBB" w:rsidP="00A85DBB">
      <w:pPr>
        <w:pStyle w:val="TableFooter"/>
        <w:spacing w:after="120"/>
        <w:contextualSpacing/>
      </w:pPr>
      <w:r w:rsidRPr="005C202F">
        <w:t>Abbreviations: AEMP, approved ex-manufacturer price; COVID-19, coronavirus disease 2019; GP, general practitioner; MBS, Medicare Benefits Scheme; MDD, major depressive disorder; TRD, treatment-resistant depression; Yr, Year.</w:t>
      </w:r>
    </w:p>
    <w:p w:rsidR="00A85DBB" w:rsidRPr="005C202F" w:rsidRDefault="00A85DBB" w:rsidP="00A85DBB">
      <w:pPr>
        <w:pStyle w:val="ExecSumBodyText"/>
        <w:numPr>
          <w:ilvl w:val="1"/>
          <w:numId w:val="1"/>
        </w:numPr>
      </w:pPr>
      <w:r w:rsidRPr="005C202F">
        <w:t>Table 17 presents the estimated net cost listing of esketamine on the PBS/RPBS for TRD.</w:t>
      </w:r>
    </w:p>
    <w:p w:rsidR="00A85DBB" w:rsidRPr="005C202F" w:rsidRDefault="00A85DBB" w:rsidP="00A85DBB">
      <w:pPr>
        <w:pStyle w:val="TableFigureCaption"/>
      </w:pPr>
      <w:r w:rsidRPr="005C202F">
        <w:t>Table 17: Estimated net cost of listing esketamine on the PBS/RPBS for TRD</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145"/>
        <w:gridCol w:w="1122"/>
        <w:gridCol w:w="1122"/>
        <w:gridCol w:w="1210"/>
        <w:gridCol w:w="1156"/>
        <w:gridCol w:w="1317"/>
        <w:gridCol w:w="1279"/>
      </w:tblGrid>
      <w:tr w:rsidR="00A85DBB" w:rsidRPr="005C202F" w:rsidTr="00335CE6">
        <w:trPr>
          <w:tblHeader/>
        </w:trPr>
        <w:tc>
          <w:tcPr>
            <w:tcW w:w="1147" w:type="pct"/>
            <w:shd w:val="clear" w:color="auto" w:fill="auto"/>
            <w:vAlign w:val="center"/>
          </w:tcPr>
          <w:p w:rsidR="00A85DBB" w:rsidRPr="005C202F" w:rsidRDefault="00A85DBB" w:rsidP="00A30CAF">
            <w:pPr>
              <w:pStyle w:val="Tableheadingrow"/>
              <w:keepNext w:val="0"/>
              <w:rPr>
                <w:lang w:val="en-AU"/>
              </w:rPr>
            </w:pPr>
          </w:p>
        </w:tc>
        <w:tc>
          <w:tcPr>
            <w:tcW w:w="600"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1 </w:t>
            </w:r>
          </w:p>
          <w:p w:rsidR="00A85DBB" w:rsidRPr="005C202F" w:rsidRDefault="00A85DBB" w:rsidP="00A30CAF">
            <w:pPr>
              <w:pStyle w:val="Tableheadingrow"/>
              <w:keepNext w:val="0"/>
              <w:jc w:val="center"/>
              <w:rPr>
                <w:lang w:val="en-AU"/>
              </w:rPr>
            </w:pPr>
            <w:r w:rsidRPr="005C202F">
              <w:rPr>
                <w:lang w:val="en-AU"/>
              </w:rPr>
              <w:t>(2022)</w:t>
            </w:r>
          </w:p>
        </w:tc>
        <w:tc>
          <w:tcPr>
            <w:tcW w:w="600"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2 </w:t>
            </w:r>
          </w:p>
          <w:p w:rsidR="00A85DBB" w:rsidRPr="005C202F" w:rsidRDefault="00A85DBB" w:rsidP="00A30CAF">
            <w:pPr>
              <w:pStyle w:val="Tableheadingrow"/>
              <w:keepNext w:val="0"/>
              <w:jc w:val="center"/>
              <w:rPr>
                <w:lang w:val="en-AU"/>
              </w:rPr>
            </w:pPr>
            <w:r w:rsidRPr="005C202F">
              <w:rPr>
                <w:lang w:val="en-AU"/>
              </w:rPr>
              <w:t>(2023)</w:t>
            </w:r>
          </w:p>
        </w:tc>
        <w:tc>
          <w:tcPr>
            <w:tcW w:w="647"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3 </w:t>
            </w:r>
          </w:p>
          <w:p w:rsidR="00A85DBB" w:rsidRPr="005C202F" w:rsidRDefault="00A85DBB" w:rsidP="00A30CAF">
            <w:pPr>
              <w:pStyle w:val="Tableheadingrow"/>
              <w:keepNext w:val="0"/>
              <w:jc w:val="center"/>
              <w:rPr>
                <w:lang w:val="en-AU"/>
              </w:rPr>
            </w:pPr>
            <w:r w:rsidRPr="005C202F">
              <w:rPr>
                <w:lang w:val="en-AU"/>
              </w:rPr>
              <w:t>(2024)</w:t>
            </w:r>
          </w:p>
        </w:tc>
        <w:tc>
          <w:tcPr>
            <w:tcW w:w="618"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4 </w:t>
            </w:r>
          </w:p>
          <w:p w:rsidR="00A85DBB" w:rsidRPr="005C202F" w:rsidRDefault="00A85DBB" w:rsidP="00A30CAF">
            <w:pPr>
              <w:pStyle w:val="Tableheadingrow"/>
              <w:keepNext w:val="0"/>
              <w:jc w:val="center"/>
              <w:rPr>
                <w:lang w:val="en-AU"/>
              </w:rPr>
            </w:pPr>
            <w:r w:rsidRPr="005C202F">
              <w:rPr>
                <w:lang w:val="en-AU"/>
              </w:rPr>
              <w:t>(2025)</w:t>
            </w:r>
          </w:p>
        </w:tc>
        <w:tc>
          <w:tcPr>
            <w:tcW w:w="704"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5 </w:t>
            </w:r>
          </w:p>
          <w:p w:rsidR="00A85DBB" w:rsidRPr="005C202F" w:rsidRDefault="00A85DBB" w:rsidP="00A30CAF">
            <w:pPr>
              <w:pStyle w:val="Tableheadingrow"/>
              <w:keepNext w:val="0"/>
              <w:jc w:val="center"/>
              <w:rPr>
                <w:lang w:val="en-AU"/>
              </w:rPr>
            </w:pPr>
            <w:r w:rsidRPr="005C202F">
              <w:rPr>
                <w:lang w:val="en-AU"/>
              </w:rPr>
              <w:t>(2026)</w:t>
            </w:r>
          </w:p>
        </w:tc>
        <w:tc>
          <w:tcPr>
            <w:tcW w:w="682" w:type="pct"/>
            <w:shd w:val="clear" w:color="auto" w:fill="auto"/>
            <w:vAlign w:val="center"/>
          </w:tcPr>
          <w:p w:rsidR="00A85DBB" w:rsidRPr="005C202F" w:rsidRDefault="00A85DBB" w:rsidP="00A30CAF">
            <w:pPr>
              <w:pStyle w:val="Tableheadingrow"/>
              <w:keepNext w:val="0"/>
              <w:jc w:val="center"/>
              <w:rPr>
                <w:lang w:val="en-AU"/>
              </w:rPr>
            </w:pPr>
            <w:r w:rsidRPr="005C202F">
              <w:rPr>
                <w:lang w:val="en-AU"/>
              </w:rPr>
              <w:t xml:space="preserve">Year 6 </w:t>
            </w:r>
          </w:p>
          <w:p w:rsidR="00A85DBB" w:rsidRPr="005C202F" w:rsidRDefault="00A85DBB" w:rsidP="00A30CAF">
            <w:pPr>
              <w:pStyle w:val="Tableheadingrow"/>
              <w:keepNext w:val="0"/>
              <w:jc w:val="center"/>
              <w:rPr>
                <w:lang w:val="en-AU"/>
              </w:rPr>
            </w:pPr>
            <w:r w:rsidRPr="005C202F">
              <w:rPr>
                <w:lang w:val="en-AU"/>
              </w:rPr>
              <w:t>(2027)</w:t>
            </w:r>
          </w:p>
        </w:tc>
      </w:tr>
      <w:tr w:rsidR="00A85DBB" w:rsidRPr="005C202F" w:rsidTr="00335CE6">
        <w:tc>
          <w:tcPr>
            <w:tcW w:w="5000" w:type="pct"/>
            <w:gridSpan w:val="7"/>
            <w:shd w:val="clear" w:color="auto" w:fill="auto"/>
            <w:vAlign w:val="center"/>
          </w:tcPr>
          <w:p w:rsidR="00A85DBB" w:rsidRPr="005C202F" w:rsidRDefault="00A85DBB" w:rsidP="00A30CAF">
            <w:pPr>
              <w:pStyle w:val="TableText"/>
              <w:keepNext w:val="0"/>
              <w:rPr>
                <w:b/>
                <w:bCs w:val="0"/>
              </w:rPr>
            </w:pPr>
            <w:r w:rsidRPr="005C202F">
              <w:rPr>
                <w:b/>
                <w:bCs w:val="0"/>
              </w:rPr>
              <w:t>Eligible patients</w:t>
            </w:r>
          </w:p>
        </w:tc>
      </w:tr>
      <w:tr w:rsidR="00BA1B62" w:rsidRPr="005C202F" w:rsidTr="00335CE6">
        <w:tc>
          <w:tcPr>
            <w:tcW w:w="1147" w:type="pct"/>
            <w:shd w:val="clear" w:color="auto" w:fill="auto"/>
            <w:vAlign w:val="center"/>
          </w:tcPr>
          <w:p w:rsidR="00BA1B62" w:rsidRPr="005C202F" w:rsidRDefault="00BA1B62" w:rsidP="00A97768">
            <w:pPr>
              <w:pStyle w:val="TableText"/>
              <w:keepNext w:val="0"/>
            </w:pPr>
            <w:r w:rsidRPr="005C202F">
              <w:t>Australian population ≥18 years</w:t>
            </w:r>
          </w:p>
        </w:tc>
        <w:tc>
          <w:tcPr>
            <w:tcW w:w="600"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c>
          <w:tcPr>
            <w:tcW w:w="600"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c>
          <w:tcPr>
            <w:tcW w:w="647"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c>
          <w:tcPr>
            <w:tcW w:w="618"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c>
          <w:tcPr>
            <w:tcW w:w="704"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c>
          <w:tcPr>
            <w:tcW w:w="682" w:type="pct"/>
            <w:shd w:val="clear" w:color="auto" w:fill="auto"/>
            <w:vAlign w:val="center"/>
          </w:tcPr>
          <w:p w:rsidR="00BA1B62" w:rsidRPr="002704A1" w:rsidRDefault="002704A1" w:rsidP="00A97768">
            <w:pPr>
              <w:pStyle w:val="TableText"/>
              <w:keepNext w:val="0"/>
              <w:jc w:val="center"/>
            </w:pPr>
            <w:r>
              <w:rPr>
                <w:noProof/>
                <w:color w:val="000000"/>
                <w:highlight w:val="black"/>
              </w:rPr>
              <w:t>''''''''''''''''''''''''''''</w:t>
            </w:r>
            <w:r w:rsidR="00FE2CBE">
              <w:rPr>
                <w:vertAlign w:val="superscript"/>
              </w:rPr>
              <w:t>a</w:t>
            </w:r>
          </w:p>
        </w:tc>
      </w:tr>
      <w:tr w:rsidR="00BA1B62" w:rsidRPr="005C202F" w:rsidTr="00335CE6">
        <w:tc>
          <w:tcPr>
            <w:tcW w:w="1147" w:type="pct"/>
            <w:shd w:val="clear" w:color="auto" w:fill="auto"/>
            <w:vAlign w:val="center"/>
          </w:tcPr>
          <w:p w:rsidR="00BA1B62" w:rsidRPr="005C202F" w:rsidRDefault="00BA1B62" w:rsidP="00A97768">
            <w:pPr>
              <w:pStyle w:val="TableText"/>
              <w:keepNext w:val="0"/>
            </w:pPr>
            <w:r w:rsidRPr="005C202F">
              <w:t>Prevalence of MDD</w:t>
            </w:r>
          </w:p>
        </w:tc>
        <w:tc>
          <w:tcPr>
            <w:tcW w:w="600" w:type="pct"/>
            <w:shd w:val="clear" w:color="auto" w:fill="auto"/>
            <w:vAlign w:val="center"/>
          </w:tcPr>
          <w:p w:rsidR="00BA1B62" w:rsidRPr="005C202F" w:rsidRDefault="00BA1B62" w:rsidP="00A97768">
            <w:pPr>
              <w:pStyle w:val="TableText"/>
              <w:keepNext w:val="0"/>
              <w:jc w:val="center"/>
            </w:pPr>
            <w:r w:rsidRPr="005C202F">
              <w:t>6.08%</w:t>
            </w:r>
          </w:p>
        </w:tc>
        <w:tc>
          <w:tcPr>
            <w:tcW w:w="600" w:type="pct"/>
            <w:shd w:val="clear" w:color="auto" w:fill="auto"/>
            <w:vAlign w:val="center"/>
          </w:tcPr>
          <w:p w:rsidR="00BA1B62" w:rsidRPr="005C202F" w:rsidRDefault="00BA1B62" w:rsidP="00A97768">
            <w:pPr>
              <w:pStyle w:val="TableText"/>
              <w:keepNext w:val="0"/>
              <w:jc w:val="center"/>
            </w:pPr>
            <w:r w:rsidRPr="005C202F">
              <w:t>6.24%</w:t>
            </w:r>
          </w:p>
        </w:tc>
        <w:tc>
          <w:tcPr>
            <w:tcW w:w="647" w:type="pct"/>
            <w:shd w:val="clear" w:color="auto" w:fill="auto"/>
            <w:vAlign w:val="center"/>
          </w:tcPr>
          <w:p w:rsidR="00BA1B62" w:rsidRPr="005C202F" w:rsidRDefault="00BA1B62" w:rsidP="00A97768">
            <w:pPr>
              <w:pStyle w:val="TableText"/>
              <w:keepNext w:val="0"/>
              <w:jc w:val="center"/>
            </w:pPr>
            <w:r w:rsidRPr="005C202F">
              <w:t>6.41%</w:t>
            </w:r>
          </w:p>
        </w:tc>
        <w:tc>
          <w:tcPr>
            <w:tcW w:w="618" w:type="pct"/>
            <w:shd w:val="clear" w:color="auto" w:fill="auto"/>
            <w:vAlign w:val="center"/>
          </w:tcPr>
          <w:p w:rsidR="00BA1B62" w:rsidRPr="005C202F" w:rsidRDefault="00BA1B62" w:rsidP="00A97768">
            <w:pPr>
              <w:pStyle w:val="TableText"/>
              <w:keepNext w:val="0"/>
              <w:jc w:val="center"/>
            </w:pPr>
            <w:r w:rsidRPr="005C202F">
              <w:t>6.58%</w:t>
            </w:r>
          </w:p>
        </w:tc>
        <w:tc>
          <w:tcPr>
            <w:tcW w:w="704" w:type="pct"/>
            <w:shd w:val="clear" w:color="auto" w:fill="auto"/>
            <w:vAlign w:val="center"/>
          </w:tcPr>
          <w:p w:rsidR="00BA1B62" w:rsidRPr="005C202F" w:rsidRDefault="00BA1B62" w:rsidP="00A97768">
            <w:pPr>
              <w:pStyle w:val="TableText"/>
              <w:keepNext w:val="0"/>
              <w:jc w:val="center"/>
            </w:pPr>
            <w:r w:rsidRPr="005C202F">
              <w:t>6.76%</w:t>
            </w:r>
          </w:p>
        </w:tc>
        <w:tc>
          <w:tcPr>
            <w:tcW w:w="682" w:type="pct"/>
            <w:shd w:val="clear" w:color="auto" w:fill="auto"/>
            <w:vAlign w:val="center"/>
          </w:tcPr>
          <w:p w:rsidR="00BA1B62" w:rsidRPr="005C202F" w:rsidRDefault="00BA1B62" w:rsidP="00A97768">
            <w:pPr>
              <w:pStyle w:val="TableText"/>
              <w:keepNext w:val="0"/>
              <w:jc w:val="center"/>
            </w:pPr>
            <w:r w:rsidRPr="005C202F">
              <w:t>6.94%</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 xml:space="preserve">Prevalent </w:t>
            </w:r>
            <w:r w:rsidR="00BA1B62" w:rsidRPr="005C202F">
              <w:t xml:space="preserve">MDD </w:t>
            </w:r>
            <w:r w:rsidRPr="005C202F">
              <w:t>patients</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p>
        </w:tc>
        <w:tc>
          <w:tcPr>
            <w:tcW w:w="647"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r>
              <w:rPr>
                <w:noProof/>
                <w:color w:val="000000"/>
                <w:highlight w:val="black"/>
              </w:rPr>
              <w:t xml:space="preserve"> </w:t>
            </w:r>
          </w:p>
        </w:tc>
        <w:tc>
          <w:tcPr>
            <w:tcW w:w="618"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r>
              <w:rPr>
                <w:noProof/>
                <w:color w:val="000000"/>
                <w:highlight w:val="black"/>
              </w:rPr>
              <w:t xml:space="preserve"> </w:t>
            </w:r>
          </w:p>
        </w:tc>
        <w:tc>
          <w:tcPr>
            <w:tcW w:w="704"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p>
        </w:tc>
        <w:tc>
          <w:tcPr>
            <w:tcW w:w="682"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b</w:t>
            </w:r>
            <w:r>
              <w:rPr>
                <w:noProof/>
                <w:color w:val="000000"/>
                <w:highlight w:val="black"/>
              </w:rPr>
              <w:t xml:space="preserve"> </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Proportion with treatment-resistant depression (33.3%)</w:t>
            </w:r>
          </w:p>
        </w:tc>
        <w:tc>
          <w:tcPr>
            <w:tcW w:w="600" w:type="pct"/>
            <w:shd w:val="clear" w:color="auto" w:fill="auto"/>
            <w:vAlign w:val="center"/>
          </w:tcPr>
          <w:p w:rsidR="00A85DBB" w:rsidRPr="002704A1" w:rsidRDefault="002704A1" w:rsidP="00A30CAF">
            <w:pPr>
              <w:pStyle w:val="TableText"/>
              <w:keepNext w:val="0"/>
              <w:jc w:val="center"/>
              <w:rPr>
                <w:vertAlign w:val="superscript"/>
              </w:rPr>
            </w:pPr>
            <w:r>
              <w:rPr>
                <w:noProof/>
                <w:color w:val="000000"/>
                <w:highlight w:val="black"/>
              </w:rPr>
              <w:t>''''''''''''''''''</w:t>
            </w:r>
            <w:r w:rsidR="00FE2CBE">
              <w:rPr>
                <w:vertAlign w:val="superscript"/>
              </w:rPr>
              <w:t>c</w:t>
            </w:r>
          </w:p>
        </w:tc>
        <w:tc>
          <w:tcPr>
            <w:tcW w:w="600"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c</w:t>
            </w:r>
          </w:p>
        </w:tc>
        <w:tc>
          <w:tcPr>
            <w:tcW w:w="647"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c</w:t>
            </w:r>
          </w:p>
        </w:tc>
        <w:tc>
          <w:tcPr>
            <w:tcW w:w="618"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c</w:t>
            </w:r>
          </w:p>
        </w:tc>
        <w:tc>
          <w:tcPr>
            <w:tcW w:w="704"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c</w:t>
            </w:r>
          </w:p>
        </w:tc>
        <w:tc>
          <w:tcPr>
            <w:tcW w:w="682"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d</w:t>
            </w:r>
          </w:p>
        </w:tc>
      </w:tr>
      <w:tr w:rsidR="00A85DBB" w:rsidRPr="005C202F" w:rsidTr="00335CE6">
        <w:trPr>
          <w:trHeight w:val="469"/>
        </w:trPr>
        <w:tc>
          <w:tcPr>
            <w:tcW w:w="1147" w:type="pct"/>
            <w:shd w:val="clear" w:color="auto" w:fill="auto"/>
            <w:vAlign w:val="center"/>
          </w:tcPr>
          <w:p w:rsidR="00A85DBB" w:rsidRPr="005C202F" w:rsidRDefault="00A85DBB" w:rsidP="00A30CAF">
            <w:pPr>
              <w:pStyle w:val="TableText"/>
              <w:keepNext w:val="0"/>
            </w:pPr>
            <w:r w:rsidRPr="005C202F">
              <w:t>Proportion initiating new treatment</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e</w:t>
            </w:r>
          </w:p>
          <w:p w:rsidR="00A85DBB" w:rsidRPr="005C202F" w:rsidRDefault="00A85DBB" w:rsidP="00A30CAF">
            <w:pPr>
              <w:pStyle w:val="TableText"/>
              <w:keepNext w:val="0"/>
              <w:jc w:val="center"/>
            </w:pPr>
            <w:r w:rsidRPr="005C202F">
              <w:t>(9.0%)</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f</w:t>
            </w:r>
          </w:p>
          <w:p w:rsidR="00A85DBB" w:rsidRPr="005C202F" w:rsidRDefault="00A85DBB" w:rsidP="00A30CAF">
            <w:pPr>
              <w:pStyle w:val="TableText"/>
              <w:keepNext w:val="0"/>
              <w:jc w:val="center"/>
            </w:pPr>
            <w:r w:rsidRPr="005C202F">
              <w:t>(10.0%)</w:t>
            </w:r>
          </w:p>
        </w:tc>
        <w:tc>
          <w:tcPr>
            <w:tcW w:w="647"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f</w:t>
            </w:r>
          </w:p>
          <w:p w:rsidR="00A85DBB" w:rsidRPr="005C202F" w:rsidRDefault="00A85DBB" w:rsidP="00A30CAF">
            <w:pPr>
              <w:pStyle w:val="TableText"/>
              <w:keepNext w:val="0"/>
              <w:jc w:val="center"/>
            </w:pPr>
            <w:r w:rsidRPr="005C202F">
              <w:t>(10.7%)</w:t>
            </w:r>
          </w:p>
        </w:tc>
        <w:tc>
          <w:tcPr>
            <w:tcW w:w="618"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g</w:t>
            </w:r>
          </w:p>
          <w:p w:rsidR="00A85DBB" w:rsidRPr="005C202F" w:rsidRDefault="00A85DBB" w:rsidP="00A30CAF">
            <w:pPr>
              <w:pStyle w:val="TableText"/>
              <w:keepNext w:val="0"/>
              <w:jc w:val="center"/>
            </w:pPr>
            <w:r w:rsidRPr="005C202F">
              <w:t>(10.9%)</w:t>
            </w:r>
          </w:p>
        </w:tc>
        <w:tc>
          <w:tcPr>
            <w:tcW w:w="704"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g</w:t>
            </w:r>
          </w:p>
          <w:p w:rsidR="00A85DBB" w:rsidRPr="005C202F" w:rsidRDefault="00A85DBB" w:rsidP="00A30CAF">
            <w:pPr>
              <w:pStyle w:val="TableText"/>
              <w:keepNext w:val="0"/>
              <w:jc w:val="center"/>
            </w:pPr>
            <w:r w:rsidRPr="005C202F">
              <w:t>(11.0%)</w:t>
            </w:r>
          </w:p>
        </w:tc>
        <w:tc>
          <w:tcPr>
            <w:tcW w:w="682"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g</w:t>
            </w:r>
          </w:p>
          <w:p w:rsidR="00A85DBB" w:rsidRPr="005C202F" w:rsidRDefault="00A85DBB" w:rsidP="00A30CAF">
            <w:pPr>
              <w:pStyle w:val="TableText"/>
              <w:keepNext w:val="0"/>
              <w:jc w:val="center"/>
            </w:pPr>
            <w:r w:rsidRPr="005C202F">
              <w:t>(11.0%)</w:t>
            </w:r>
          </w:p>
        </w:tc>
      </w:tr>
      <w:tr w:rsidR="00A85DBB" w:rsidRPr="005C202F" w:rsidTr="00335CE6">
        <w:trPr>
          <w:trHeight w:val="469"/>
        </w:trPr>
        <w:tc>
          <w:tcPr>
            <w:tcW w:w="1147" w:type="pct"/>
            <w:shd w:val="clear" w:color="auto" w:fill="auto"/>
            <w:vAlign w:val="center"/>
          </w:tcPr>
          <w:p w:rsidR="00A85DBB" w:rsidRPr="005C202F" w:rsidRDefault="00A85DBB" w:rsidP="00A30CAF">
            <w:pPr>
              <w:pStyle w:val="TableText"/>
              <w:keepNext w:val="0"/>
            </w:pPr>
            <w:r w:rsidRPr="005C202F">
              <w:t>Patients treated by a psychiatrist</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h</w:t>
            </w:r>
          </w:p>
          <w:p w:rsidR="00A85DBB" w:rsidRPr="005C202F" w:rsidRDefault="00A85DBB" w:rsidP="00A30CAF">
            <w:pPr>
              <w:pStyle w:val="TableText"/>
              <w:keepNext w:val="0"/>
              <w:jc w:val="center"/>
            </w:pPr>
            <w:r w:rsidRPr="005C202F">
              <w:t>(22.7%)</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5B697C">
              <w:rPr>
                <w:vertAlign w:val="superscript"/>
              </w:rPr>
              <w:t>9</w:t>
            </w:r>
          </w:p>
          <w:p w:rsidR="00A85DBB" w:rsidRPr="005C202F" w:rsidRDefault="00A85DBB" w:rsidP="00A30CAF">
            <w:pPr>
              <w:pStyle w:val="TableText"/>
              <w:keepNext w:val="0"/>
              <w:jc w:val="center"/>
            </w:pPr>
            <w:r w:rsidRPr="005C202F">
              <w:t>(23.3%)</w:t>
            </w:r>
          </w:p>
        </w:tc>
        <w:tc>
          <w:tcPr>
            <w:tcW w:w="647" w:type="pct"/>
            <w:shd w:val="clear" w:color="auto" w:fill="auto"/>
          </w:tcPr>
          <w:p w:rsidR="00A85DBB" w:rsidRPr="002704A1" w:rsidRDefault="002704A1" w:rsidP="00A30CAF">
            <w:pPr>
              <w:pStyle w:val="TableText"/>
              <w:keepNext w:val="0"/>
              <w:jc w:val="center"/>
            </w:pPr>
            <w:r>
              <w:rPr>
                <w:noProof/>
                <w:color w:val="000000"/>
                <w:highlight w:val="black"/>
              </w:rPr>
              <w:t>''''''''''''''''</w:t>
            </w:r>
            <w:r w:rsidR="005B697C">
              <w:rPr>
                <w:vertAlign w:val="superscript"/>
              </w:rPr>
              <w:t>9</w:t>
            </w:r>
            <w:r>
              <w:rPr>
                <w:noProof/>
                <w:color w:val="000000"/>
                <w:highlight w:val="black"/>
              </w:rPr>
              <w:t xml:space="preserve"> </w:t>
            </w:r>
          </w:p>
          <w:p w:rsidR="00A85DBB" w:rsidRPr="005C202F" w:rsidRDefault="00A85DBB" w:rsidP="00A30CAF">
            <w:pPr>
              <w:pStyle w:val="TableText"/>
              <w:keepNext w:val="0"/>
              <w:jc w:val="center"/>
            </w:pPr>
            <w:r w:rsidRPr="005C202F">
              <w:t>(24.0%)</w:t>
            </w:r>
          </w:p>
        </w:tc>
        <w:tc>
          <w:tcPr>
            <w:tcW w:w="618" w:type="pct"/>
            <w:shd w:val="clear" w:color="auto" w:fill="auto"/>
          </w:tcPr>
          <w:p w:rsidR="00A85DBB" w:rsidRPr="002704A1" w:rsidRDefault="002704A1" w:rsidP="00A30CAF">
            <w:pPr>
              <w:pStyle w:val="TableText"/>
              <w:keepNext w:val="0"/>
              <w:jc w:val="center"/>
            </w:pPr>
            <w:r>
              <w:rPr>
                <w:noProof/>
                <w:color w:val="000000"/>
                <w:highlight w:val="black"/>
              </w:rPr>
              <w:t>'''''''''''''''</w:t>
            </w:r>
            <w:r w:rsidR="005B697C">
              <w:rPr>
                <w:vertAlign w:val="superscript"/>
              </w:rPr>
              <w:t>9</w:t>
            </w:r>
          </w:p>
          <w:p w:rsidR="00A85DBB" w:rsidRPr="005C202F" w:rsidRDefault="00A85DBB" w:rsidP="00A30CAF">
            <w:pPr>
              <w:pStyle w:val="TableText"/>
              <w:keepNext w:val="0"/>
              <w:jc w:val="center"/>
            </w:pPr>
            <w:r w:rsidRPr="005C202F">
              <w:t>(24.8%)</w:t>
            </w:r>
          </w:p>
        </w:tc>
        <w:tc>
          <w:tcPr>
            <w:tcW w:w="704" w:type="pct"/>
            <w:shd w:val="clear" w:color="auto" w:fill="auto"/>
          </w:tcPr>
          <w:p w:rsidR="00A85DBB" w:rsidRPr="002704A1" w:rsidRDefault="002704A1" w:rsidP="00A30CAF">
            <w:pPr>
              <w:pStyle w:val="TableText"/>
              <w:keepNext w:val="0"/>
              <w:jc w:val="center"/>
            </w:pPr>
            <w:r>
              <w:rPr>
                <w:noProof/>
                <w:color w:val="000000"/>
                <w:highlight w:val="black"/>
              </w:rPr>
              <w:t>'''''''''''''''''</w:t>
            </w:r>
            <w:r w:rsidR="005B697C">
              <w:rPr>
                <w:vertAlign w:val="superscript"/>
              </w:rPr>
              <w:t>9</w:t>
            </w:r>
            <w:r>
              <w:rPr>
                <w:noProof/>
                <w:color w:val="000000"/>
                <w:highlight w:val="black"/>
              </w:rPr>
              <w:t xml:space="preserve"> </w:t>
            </w:r>
          </w:p>
          <w:p w:rsidR="00A85DBB" w:rsidRPr="005C202F" w:rsidRDefault="00A85DBB" w:rsidP="00A30CAF">
            <w:pPr>
              <w:pStyle w:val="TableText"/>
              <w:keepNext w:val="0"/>
              <w:jc w:val="center"/>
            </w:pPr>
            <w:r w:rsidRPr="005C202F">
              <w:t>(25.5%)</w:t>
            </w:r>
          </w:p>
        </w:tc>
        <w:tc>
          <w:tcPr>
            <w:tcW w:w="682" w:type="pct"/>
            <w:shd w:val="clear" w:color="auto" w:fill="auto"/>
          </w:tcPr>
          <w:p w:rsidR="00A85DBB" w:rsidRPr="002704A1" w:rsidRDefault="002704A1" w:rsidP="00A30CAF">
            <w:pPr>
              <w:pStyle w:val="TableText"/>
              <w:keepNext w:val="0"/>
              <w:jc w:val="center"/>
            </w:pPr>
            <w:r>
              <w:rPr>
                <w:noProof/>
                <w:color w:val="000000"/>
                <w:highlight w:val="black"/>
              </w:rPr>
              <w:t>'''''''''''''''''</w:t>
            </w:r>
            <w:r w:rsidR="005B697C">
              <w:rPr>
                <w:vertAlign w:val="superscript"/>
              </w:rPr>
              <w:t>9</w:t>
            </w:r>
            <w:r>
              <w:rPr>
                <w:noProof/>
                <w:color w:val="000000"/>
                <w:highlight w:val="black"/>
              </w:rPr>
              <w:t xml:space="preserve"> </w:t>
            </w:r>
          </w:p>
          <w:p w:rsidR="00A85DBB" w:rsidRPr="005C202F" w:rsidRDefault="00A85DBB" w:rsidP="00A30CAF">
            <w:pPr>
              <w:pStyle w:val="TableText"/>
              <w:keepNext w:val="0"/>
              <w:jc w:val="center"/>
            </w:pPr>
            <w:r w:rsidRPr="005C202F">
              <w:t>(26.3%)</w:t>
            </w:r>
          </w:p>
        </w:tc>
      </w:tr>
      <w:tr w:rsidR="00A85DBB" w:rsidRPr="005C202F" w:rsidTr="00335CE6">
        <w:tc>
          <w:tcPr>
            <w:tcW w:w="5000" w:type="pct"/>
            <w:gridSpan w:val="7"/>
            <w:shd w:val="clear" w:color="auto" w:fill="auto"/>
            <w:vAlign w:val="center"/>
          </w:tcPr>
          <w:p w:rsidR="00A85DBB" w:rsidRPr="005C202F" w:rsidRDefault="00A85DBB" w:rsidP="00A30CAF">
            <w:pPr>
              <w:pStyle w:val="TableText"/>
              <w:keepNext w:val="0"/>
              <w:rPr>
                <w:b/>
                <w:bCs w:val="0"/>
              </w:rPr>
            </w:pPr>
            <w:r w:rsidRPr="005C202F">
              <w:rPr>
                <w:b/>
                <w:bCs w:val="0"/>
              </w:rPr>
              <w:t>Initial treatment scripts</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Esketamine uptake</w:t>
            </w:r>
          </w:p>
        </w:tc>
        <w:tc>
          <w:tcPr>
            <w:tcW w:w="600" w:type="pct"/>
            <w:shd w:val="clear" w:color="auto" w:fill="auto"/>
          </w:tcPr>
          <w:p w:rsidR="00A85DBB" w:rsidRPr="005C202F" w:rsidRDefault="00A85DBB" w:rsidP="00A30CAF">
            <w:pPr>
              <w:pStyle w:val="TableText"/>
              <w:keepNext w:val="0"/>
              <w:jc w:val="center"/>
            </w:pPr>
            <w:r w:rsidRPr="005C202F">
              <w:t>30%</w:t>
            </w:r>
          </w:p>
        </w:tc>
        <w:tc>
          <w:tcPr>
            <w:tcW w:w="600" w:type="pct"/>
            <w:shd w:val="clear" w:color="auto" w:fill="auto"/>
          </w:tcPr>
          <w:p w:rsidR="00A85DBB" w:rsidRPr="005C202F" w:rsidRDefault="00A85DBB" w:rsidP="00A30CAF">
            <w:pPr>
              <w:pStyle w:val="TableText"/>
              <w:keepNext w:val="0"/>
              <w:jc w:val="center"/>
            </w:pPr>
            <w:r w:rsidRPr="005C202F">
              <w:t>40%</w:t>
            </w:r>
          </w:p>
        </w:tc>
        <w:tc>
          <w:tcPr>
            <w:tcW w:w="647" w:type="pct"/>
            <w:shd w:val="clear" w:color="auto" w:fill="auto"/>
          </w:tcPr>
          <w:p w:rsidR="00A85DBB" w:rsidRPr="005C202F" w:rsidRDefault="00A85DBB" w:rsidP="00A30CAF">
            <w:pPr>
              <w:pStyle w:val="TableText"/>
              <w:keepNext w:val="0"/>
              <w:jc w:val="center"/>
            </w:pPr>
            <w:r w:rsidRPr="005C202F">
              <w:t>48%</w:t>
            </w:r>
          </w:p>
        </w:tc>
        <w:tc>
          <w:tcPr>
            <w:tcW w:w="618" w:type="pct"/>
            <w:shd w:val="clear" w:color="auto" w:fill="auto"/>
          </w:tcPr>
          <w:p w:rsidR="00A85DBB" w:rsidRPr="005C202F" w:rsidRDefault="00A85DBB" w:rsidP="00A30CAF">
            <w:pPr>
              <w:pStyle w:val="TableText"/>
              <w:keepNext w:val="0"/>
              <w:jc w:val="center"/>
            </w:pPr>
            <w:r w:rsidRPr="005C202F">
              <w:t>49%</w:t>
            </w:r>
          </w:p>
        </w:tc>
        <w:tc>
          <w:tcPr>
            <w:tcW w:w="704" w:type="pct"/>
            <w:shd w:val="clear" w:color="auto" w:fill="auto"/>
          </w:tcPr>
          <w:p w:rsidR="00A85DBB" w:rsidRPr="005C202F" w:rsidRDefault="00A85DBB" w:rsidP="00A30CAF">
            <w:pPr>
              <w:pStyle w:val="TableText"/>
              <w:keepNext w:val="0"/>
              <w:jc w:val="center"/>
            </w:pPr>
            <w:r w:rsidRPr="005C202F">
              <w:t>50%</w:t>
            </w:r>
          </w:p>
        </w:tc>
        <w:tc>
          <w:tcPr>
            <w:tcW w:w="682" w:type="pct"/>
            <w:shd w:val="clear" w:color="auto" w:fill="auto"/>
          </w:tcPr>
          <w:p w:rsidR="00A85DBB" w:rsidRPr="005C202F" w:rsidRDefault="00A85DBB" w:rsidP="00A30CAF">
            <w:pPr>
              <w:pStyle w:val="TableText"/>
              <w:keepNext w:val="0"/>
              <w:jc w:val="center"/>
            </w:pPr>
            <w:r w:rsidRPr="005C202F">
              <w:t>50%</w:t>
            </w:r>
          </w:p>
        </w:tc>
      </w:tr>
      <w:tr w:rsidR="00A85DBB" w:rsidRPr="005C202F" w:rsidTr="00335CE6">
        <w:tc>
          <w:tcPr>
            <w:tcW w:w="1147" w:type="pct"/>
            <w:shd w:val="clear" w:color="auto" w:fill="auto"/>
            <w:vAlign w:val="center"/>
          </w:tcPr>
          <w:p w:rsidR="00A85DBB" w:rsidRPr="005C202F" w:rsidRDefault="00A85DBB" w:rsidP="00A30CAF">
            <w:pPr>
              <w:pStyle w:val="TableText"/>
              <w:keepNext w:val="0"/>
              <w:rPr>
                <w:vertAlign w:val="superscript"/>
              </w:rPr>
            </w:pPr>
            <w:r w:rsidRPr="005C202F">
              <w:t>Initiating patients</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47"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h</w:t>
            </w:r>
          </w:p>
        </w:tc>
        <w:tc>
          <w:tcPr>
            <w:tcW w:w="618"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h</w:t>
            </w:r>
          </w:p>
        </w:tc>
        <w:tc>
          <w:tcPr>
            <w:tcW w:w="704"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h</w:t>
            </w:r>
          </w:p>
        </w:tc>
        <w:tc>
          <w:tcPr>
            <w:tcW w:w="682" w:type="pct"/>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h</w:t>
            </w:r>
          </w:p>
        </w:tc>
      </w:tr>
      <w:tr w:rsidR="00A85DBB" w:rsidRPr="005C202F" w:rsidTr="00335CE6">
        <w:trPr>
          <w:trHeight w:val="411"/>
        </w:trPr>
        <w:tc>
          <w:tcPr>
            <w:tcW w:w="1147" w:type="pct"/>
            <w:shd w:val="clear" w:color="auto" w:fill="auto"/>
            <w:vAlign w:val="center"/>
          </w:tcPr>
          <w:p w:rsidR="00A85DBB" w:rsidRPr="005C202F" w:rsidRDefault="00A85DBB" w:rsidP="00A30CAF">
            <w:pPr>
              <w:pStyle w:val="TableText"/>
              <w:keepNext w:val="0"/>
              <w:rPr>
                <w:vertAlign w:val="superscript"/>
              </w:rPr>
            </w:pPr>
            <w:r w:rsidRPr="005C202F">
              <w:t>Initial treatment scripts</w:t>
            </w:r>
            <w:r w:rsidRPr="005C202F">
              <w:rPr>
                <w:vertAlign w:val="superscript"/>
              </w:rPr>
              <w:t>1</w:t>
            </w:r>
          </w:p>
          <w:p w:rsidR="00A85DBB" w:rsidRPr="005C202F" w:rsidRDefault="00A85DBB" w:rsidP="00A85DBB">
            <w:pPr>
              <w:pStyle w:val="TableText"/>
              <w:keepNext w:val="0"/>
              <w:numPr>
                <w:ilvl w:val="0"/>
                <w:numId w:val="25"/>
              </w:numPr>
              <w:ind w:left="255" w:hanging="176"/>
            </w:pPr>
            <w:r w:rsidRPr="005C202F">
              <w:t>56 mg scripts (47.0%)</w:t>
            </w:r>
          </w:p>
          <w:p w:rsidR="00A85DBB" w:rsidRPr="005C202F" w:rsidRDefault="00A85DBB" w:rsidP="00A85DBB">
            <w:pPr>
              <w:pStyle w:val="TableText"/>
              <w:keepNext w:val="0"/>
              <w:numPr>
                <w:ilvl w:val="0"/>
                <w:numId w:val="25"/>
              </w:numPr>
              <w:ind w:left="255" w:hanging="176"/>
            </w:pPr>
            <w:r w:rsidRPr="005C202F">
              <w:t>84 mg scripts (53.0%)</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j</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sidRPr="00FE2CBE">
              <w:rPr>
                <w:vertAlign w:val="superscript"/>
              </w:rPr>
              <w:t>j</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c>
          <w:tcPr>
            <w:tcW w:w="647"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sidRPr="00FE2CBE">
              <w:rPr>
                <w:vertAlign w:val="superscript"/>
              </w:rPr>
              <w:t>j</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c>
          <w:tcPr>
            <w:tcW w:w="618"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c>
          <w:tcPr>
            <w:tcW w:w="704"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c>
          <w:tcPr>
            <w:tcW w:w="682"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tc>
      </w:tr>
      <w:tr w:rsidR="00A85DBB" w:rsidRPr="005C202F" w:rsidTr="00335CE6">
        <w:tc>
          <w:tcPr>
            <w:tcW w:w="5000" w:type="pct"/>
            <w:gridSpan w:val="7"/>
            <w:shd w:val="clear" w:color="auto" w:fill="auto"/>
            <w:vAlign w:val="center"/>
          </w:tcPr>
          <w:p w:rsidR="00A85DBB" w:rsidRPr="005C202F" w:rsidRDefault="00A85DBB" w:rsidP="00A30CAF">
            <w:pPr>
              <w:pStyle w:val="TableText"/>
              <w:keepNext w:val="0"/>
              <w:rPr>
                <w:b/>
                <w:bCs w:val="0"/>
                <w:vertAlign w:val="superscript"/>
              </w:rPr>
            </w:pPr>
            <w:r w:rsidRPr="005C202F">
              <w:rPr>
                <w:b/>
                <w:bCs w:val="0"/>
              </w:rPr>
              <w:t>Continuing scripts - initiation year</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Continuing patients (48.4%)</w:t>
            </w:r>
            <w:r w:rsidRPr="005C202F">
              <w:rPr>
                <w:vertAlign w:val="superscript"/>
              </w:rPr>
              <w:t>2</w:t>
            </w:r>
          </w:p>
        </w:tc>
        <w:tc>
          <w:tcPr>
            <w:tcW w:w="600"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00"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47"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18"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704"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c>
          <w:tcPr>
            <w:tcW w:w="682" w:type="pct"/>
            <w:shd w:val="clear" w:color="auto" w:fill="auto"/>
            <w:vAlign w:val="center"/>
          </w:tcPr>
          <w:p w:rsidR="00A85DBB" w:rsidRPr="002704A1" w:rsidRDefault="002704A1" w:rsidP="00A30CAF">
            <w:pPr>
              <w:pStyle w:val="TableText"/>
              <w:keepNext w:val="0"/>
              <w:jc w:val="center"/>
            </w:pPr>
            <w:r>
              <w:rPr>
                <w:noProof/>
                <w:color w:val="000000"/>
                <w:highlight w:val="black"/>
              </w:rPr>
              <w:t>'''''''''''''</w:t>
            </w:r>
            <w:r w:rsidR="00FE2CBE">
              <w:rPr>
                <w:vertAlign w:val="superscript"/>
              </w:rPr>
              <w:t>j</w:t>
            </w:r>
          </w:p>
        </w:tc>
      </w:tr>
      <w:tr w:rsidR="00A85DBB" w:rsidRPr="005C202F" w:rsidTr="00335CE6">
        <w:trPr>
          <w:trHeight w:val="463"/>
        </w:trPr>
        <w:tc>
          <w:tcPr>
            <w:tcW w:w="1147" w:type="pct"/>
            <w:shd w:val="clear" w:color="auto" w:fill="auto"/>
            <w:vAlign w:val="center"/>
          </w:tcPr>
          <w:p w:rsidR="00A85DBB" w:rsidRPr="005C202F" w:rsidRDefault="00A85DBB" w:rsidP="00A30CAF">
            <w:pPr>
              <w:pStyle w:val="TableText"/>
              <w:keepNext w:val="0"/>
              <w:rPr>
                <w:vertAlign w:val="superscript"/>
              </w:rPr>
            </w:pPr>
            <w:r w:rsidRPr="005C202F">
              <w:t>Continuing scripts</w:t>
            </w:r>
            <w:r w:rsidRPr="005C202F">
              <w:rPr>
                <w:vertAlign w:val="superscript"/>
              </w:rPr>
              <w:t>1</w:t>
            </w:r>
          </w:p>
          <w:p w:rsidR="00A85DBB" w:rsidRPr="005C202F" w:rsidRDefault="00A85DBB" w:rsidP="00A85DBB">
            <w:pPr>
              <w:pStyle w:val="TableText"/>
              <w:keepNext w:val="0"/>
              <w:numPr>
                <w:ilvl w:val="0"/>
                <w:numId w:val="26"/>
              </w:numPr>
              <w:ind w:left="255" w:hanging="176"/>
            </w:pPr>
            <w:r w:rsidRPr="005C202F">
              <w:t>56 mg scripts (39.5%)</w:t>
            </w:r>
          </w:p>
          <w:p w:rsidR="00A85DBB" w:rsidRPr="005C202F" w:rsidRDefault="00A85DBB" w:rsidP="00A85DBB">
            <w:pPr>
              <w:pStyle w:val="TableText"/>
              <w:keepNext w:val="0"/>
              <w:numPr>
                <w:ilvl w:val="0"/>
                <w:numId w:val="26"/>
              </w:numPr>
              <w:ind w:left="255" w:hanging="176"/>
            </w:pPr>
            <w:r w:rsidRPr="005C202F">
              <w:t>84 mg scrips (60.5%)</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h</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h</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c>
          <w:tcPr>
            <w:tcW w:w="647"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h</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c>
          <w:tcPr>
            <w:tcW w:w="618"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c>
          <w:tcPr>
            <w:tcW w:w="704"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c>
          <w:tcPr>
            <w:tcW w:w="682"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r>
      <w:tr w:rsidR="00A85DBB" w:rsidRPr="005C202F" w:rsidTr="00335CE6">
        <w:tc>
          <w:tcPr>
            <w:tcW w:w="5000" w:type="pct"/>
            <w:gridSpan w:val="7"/>
            <w:shd w:val="clear" w:color="auto" w:fill="auto"/>
            <w:vAlign w:val="center"/>
          </w:tcPr>
          <w:p w:rsidR="00A85DBB" w:rsidRPr="005C202F" w:rsidRDefault="00A85DBB" w:rsidP="00A30CAF">
            <w:pPr>
              <w:pStyle w:val="TableText"/>
              <w:keepNext w:val="0"/>
              <w:rPr>
                <w:b/>
                <w:bCs w:val="0"/>
              </w:rPr>
            </w:pPr>
            <w:r w:rsidRPr="005C202F">
              <w:rPr>
                <w:b/>
                <w:bCs w:val="0"/>
              </w:rPr>
              <w:t>Continuing scripts - subsequent years</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Total continuing patients</w:t>
            </w:r>
          </w:p>
        </w:tc>
        <w:tc>
          <w:tcPr>
            <w:tcW w:w="600"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Pr>
                <w:vertAlign w:val="superscript"/>
              </w:rPr>
              <w:t>k</w:t>
            </w:r>
            <w:r>
              <w:rPr>
                <w:noProof/>
                <w:color w:val="000000"/>
                <w:highlight w:val="black"/>
              </w:rPr>
              <w:t xml:space="preserve"> </w:t>
            </w:r>
          </w:p>
        </w:tc>
        <w:tc>
          <w:tcPr>
            <w:tcW w:w="600"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Pr>
                <w:vertAlign w:val="superscript"/>
              </w:rPr>
              <w:t>j</w:t>
            </w:r>
          </w:p>
        </w:tc>
        <w:tc>
          <w:tcPr>
            <w:tcW w:w="647"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Pr>
                <w:vertAlign w:val="superscript"/>
              </w:rPr>
              <w:t>j</w:t>
            </w:r>
            <w:r w:rsidR="00A85DBB" w:rsidRPr="005B697C">
              <w:t xml:space="preserve"> </w:t>
            </w:r>
          </w:p>
        </w:tc>
        <w:tc>
          <w:tcPr>
            <w:tcW w:w="618"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sidRPr="004E44D8">
              <w:rPr>
                <w:vertAlign w:val="superscript"/>
              </w:rPr>
              <w:t>j</w:t>
            </w:r>
          </w:p>
        </w:tc>
        <w:tc>
          <w:tcPr>
            <w:tcW w:w="704"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Pr>
                <w:vertAlign w:val="superscript"/>
              </w:rPr>
              <w:t>j</w:t>
            </w:r>
            <w:r>
              <w:rPr>
                <w:noProof/>
                <w:color w:val="000000"/>
                <w:highlight w:val="black"/>
              </w:rPr>
              <w:t xml:space="preserve"> </w:t>
            </w:r>
          </w:p>
        </w:tc>
        <w:tc>
          <w:tcPr>
            <w:tcW w:w="682" w:type="pct"/>
            <w:shd w:val="clear" w:color="auto" w:fill="auto"/>
          </w:tcPr>
          <w:p w:rsidR="00A85DBB" w:rsidRPr="002704A1" w:rsidRDefault="002704A1" w:rsidP="00A30CAF">
            <w:pPr>
              <w:pStyle w:val="TableText"/>
              <w:keepNext w:val="0"/>
              <w:jc w:val="center"/>
              <w:rPr>
                <w:rFonts w:cs="Arial"/>
                <w:color w:val="000000"/>
              </w:rPr>
            </w:pPr>
            <w:r>
              <w:rPr>
                <w:noProof/>
                <w:color w:val="000000"/>
                <w:highlight w:val="black"/>
              </w:rPr>
              <w:t>''''''''''''''</w:t>
            </w:r>
            <w:r w:rsidR="004E44D8">
              <w:rPr>
                <w:vertAlign w:val="superscript"/>
              </w:rPr>
              <w:t>j</w:t>
            </w:r>
            <w:r>
              <w:rPr>
                <w:noProof/>
                <w:color w:val="000000"/>
                <w:highlight w:val="black"/>
              </w:rPr>
              <w:t xml:space="preserve"> </w:t>
            </w:r>
          </w:p>
        </w:tc>
      </w:tr>
      <w:tr w:rsidR="00A85DBB" w:rsidRPr="005C202F" w:rsidTr="00335CE6">
        <w:trPr>
          <w:trHeight w:val="708"/>
        </w:trPr>
        <w:tc>
          <w:tcPr>
            <w:tcW w:w="1147" w:type="pct"/>
            <w:shd w:val="clear" w:color="auto" w:fill="auto"/>
            <w:vAlign w:val="center"/>
          </w:tcPr>
          <w:p w:rsidR="00A85DBB" w:rsidRPr="005C202F" w:rsidRDefault="00A85DBB" w:rsidP="00A30CAF">
            <w:pPr>
              <w:pStyle w:val="TableText"/>
              <w:keepNext w:val="0"/>
              <w:rPr>
                <w:vertAlign w:val="superscript"/>
              </w:rPr>
            </w:pPr>
            <w:r w:rsidRPr="005C202F">
              <w:t>Continuing scripts</w:t>
            </w:r>
            <w:r w:rsidRPr="005C202F">
              <w:rPr>
                <w:vertAlign w:val="superscript"/>
              </w:rPr>
              <w:t>1</w:t>
            </w:r>
          </w:p>
          <w:p w:rsidR="00A85DBB" w:rsidRPr="005C202F" w:rsidRDefault="00A85DBB" w:rsidP="00A85DBB">
            <w:pPr>
              <w:pStyle w:val="TableText"/>
              <w:keepNext w:val="0"/>
              <w:numPr>
                <w:ilvl w:val="0"/>
                <w:numId w:val="27"/>
              </w:numPr>
              <w:ind w:left="255" w:hanging="176"/>
            </w:pPr>
            <w:r w:rsidRPr="005C202F">
              <w:t>56 mg dose (39.5%)</w:t>
            </w:r>
          </w:p>
          <w:p w:rsidR="00A85DBB" w:rsidRPr="005C202F" w:rsidRDefault="00A85DBB" w:rsidP="00A85DBB">
            <w:pPr>
              <w:pStyle w:val="TableText"/>
              <w:keepNext w:val="0"/>
              <w:numPr>
                <w:ilvl w:val="0"/>
                <w:numId w:val="27"/>
              </w:numPr>
              <w:ind w:left="255" w:hanging="176"/>
              <w:rPr>
                <w:vertAlign w:val="superscript"/>
              </w:rPr>
            </w:pPr>
            <w:r w:rsidRPr="005C202F">
              <w:t>84 mg dose (60.5%)</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k</w:t>
            </w:r>
          </w:p>
          <w:p w:rsidR="00A85DBB" w:rsidRPr="002704A1" w:rsidRDefault="002704A1" w:rsidP="005B697C">
            <w:pPr>
              <w:pStyle w:val="TableText"/>
              <w:keepNext w:val="0"/>
              <w:jc w:val="center"/>
            </w:pPr>
            <w:r>
              <w:rPr>
                <w:noProof/>
                <w:color w:val="000000"/>
                <w:highlight w:val="black"/>
              </w:rPr>
              <w:t>''''</w:t>
            </w:r>
            <w:r w:rsidR="004E44D8">
              <w:rPr>
                <w:vertAlign w:val="superscript"/>
              </w:rPr>
              <w:t>k</w:t>
            </w:r>
            <w:r>
              <w:rPr>
                <w:noProof/>
                <w:color w:val="000000"/>
                <w:highlight w:val="black"/>
              </w:rPr>
              <w:t xml:space="preserve"> </w:t>
            </w:r>
          </w:p>
        </w:tc>
        <w:tc>
          <w:tcPr>
            <w:tcW w:w="600"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j</w:t>
            </w:r>
            <w:r>
              <w:rPr>
                <w:noProof/>
                <w:color w:val="000000"/>
                <w:highlight w:val="black"/>
              </w:rPr>
              <w:t xml:space="preserve"> </w:t>
            </w:r>
          </w:p>
        </w:tc>
        <w:tc>
          <w:tcPr>
            <w:tcW w:w="647"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j</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h</w:t>
            </w:r>
            <w:r>
              <w:rPr>
                <w:noProof/>
                <w:color w:val="000000"/>
                <w:highlight w:val="black"/>
              </w:rPr>
              <w:t xml:space="preserve"> </w:t>
            </w:r>
          </w:p>
        </w:tc>
        <w:tc>
          <w:tcPr>
            <w:tcW w:w="618"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h</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i</w:t>
            </w:r>
            <w:r>
              <w:rPr>
                <w:noProof/>
                <w:color w:val="000000"/>
                <w:highlight w:val="black"/>
              </w:rPr>
              <w:t xml:space="preserve"> </w:t>
            </w:r>
          </w:p>
        </w:tc>
        <w:tc>
          <w:tcPr>
            <w:tcW w:w="704"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h</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i</w:t>
            </w:r>
            <w:r>
              <w:rPr>
                <w:noProof/>
                <w:color w:val="000000"/>
                <w:highlight w:val="black"/>
              </w:rPr>
              <w:t xml:space="preserve">  </w:t>
            </w:r>
          </w:p>
        </w:tc>
        <w:tc>
          <w:tcPr>
            <w:tcW w:w="682" w:type="pct"/>
            <w:shd w:val="clear" w:color="auto" w:fill="auto"/>
          </w:tcPr>
          <w:p w:rsidR="00A85DBB" w:rsidRPr="002704A1" w:rsidRDefault="00A85DBB" w:rsidP="00A30CAF">
            <w:pPr>
              <w:pStyle w:val="TableText"/>
              <w:keepNext w:val="0"/>
              <w:jc w:val="center"/>
            </w:pPr>
          </w:p>
          <w:p w:rsidR="00A85DBB" w:rsidRPr="002704A1" w:rsidRDefault="002704A1" w:rsidP="00A30CAF">
            <w:pPr>
              <w:pStyle w:val="TableText"/>
              <w:keepNext w:val="0"/>
              <w:jc w:val="center"/>
            </w:pPr>
            <w:r>
              <w:rPr>
                <w:noProof/>
                <w:color w:val="000000"/>
                <w:highlight w:val="black"/>
              </w:rPr>
              <w:t>''''''''''''''''''</w:t>
            </w:r>
            <w:r w:rsidR="004E44D8">
              <w:rPr>
                <w:vertAlign w:val="superscript"/>
              </w:rPr>
              <w:t>i</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i</w:t>
            </w:r>
            <w:r>
              <w:rPr>
                <w:noProof/>
                <w:color w:val="000000"/>
                <w:highlight w:val="black"/>
              </w:rPr>
              <w:t xml:space="preserve">  </w:t>
            </w:r>
          </w:p>
        </w:tc>
      </w:tr>
      <w:tr w:rsidR="00A85DBB" w:rsidRPr="005C202F" w:rsidTr="00335CE6">
        <w:tc>
          <w:tcPr>
            <w:tcW w:w="5000" w:type="pct"/>
            <w:gridSpan w:val="7"/>
            <w:shd w:val="clear" w:color="auto" w:fill="auto"/>
            <w:vAlign w:val="center"/>
          </w:tcPr>
          <w:p w:rsidR="00A85DBB" w:rsidRPr="005C202F" w:rsidRDefault="00A85DBB" w:rsidP="00A30CAF">
            <w:pPr>
              <w:pStyle w:val="TableText"/>
              <w:keepNext w:val="0"/>
              <w:rPr>
                <w:b/>
                <w:bCs w:val="0"/>
              </w:rPr>
            </w:pPr>
            <w:r w:rsidRPr="005C202F">
              <w:rPr>
                <w:b/>
                <w:bCs w:val="0"/>
              </w:rPr>
              <w:t>Net cost to the PBS/RPBS</w:t>
            </w:r>
          </w:p>
        </w:tc>
      </w:tr>
      <w:tr w:rsidR="00A85DBB" w:rsidRPr="005C202F" w:rsidTr="00335CE6">
        <w:trPr>
          <w:trHeight w:val="337"/>
        </w:trPr>
        <w:tc>
          <w:tcPr>
            <w:tcW w:w="1147" w:type="pct"/>
            <w:shd w:val="clear" w:color="auto" w:fill="auto"/>
            <w:vAlign w:val="center"/>
          </w:tcPr>
          <w:p w:rsidR="00A85DBB" w:rsidRPr="005C202F" w:rsidRDefault="00A85DBB" w:rsidP="00A30CAF">
            <w:pPr>
              <w:pStyle w:val="TableText"/>
              <w:keepNext w:val="0"/>
            </w:pPr>
            <w:r w:rsidRPr="005C202F">
              <w:t>Total scripts</w:t>
            </w:r>
          </w:p>
          <w:p w:rsidR="00A85DBB" w:rsidRPr="005C202F" w:rsidRDefault="00A85DBB" w:rsidP="00A85DBB">
            <w:pPr>
              <w:pStyle w:val="TableText"/>
              <w:keepNext w:val="0"/>
              <w:numPr>
                <w:ilvl w:val="0"/>
                <w:numId w:val="26"/>
              </w:numPr>
              <w:ind w:left="255" w:hanging="176"/>
            </w:pPr>
            <w:r w:rsidRPr="005C202F">
              <w:t>56 mg scripts</w:t>
            </w:r>
          </w:p>
          <w:p w:rsidR="00A85DBB" w:rsidRPr="005C202F" w:rsidRDefault="00A85DBB" w:rsidP="00A85DBB">
            <w:pPr>
              <w:pStyle w:val="TableText"/>
              <w:keepNext w:val="0"/>
              <w:numPr>
                <w:ilvl w:val="0"/>
                <w:numId w:val="26"/>
              </w:numPr>
              <w:ind w:left="255" w:hanging="176"/>
            </w:pPr>
            <w:r w:rsidRPr="005C202F">
              <w:t>84 mg scripts</w:t>
            </w:r>
          </w:p>
        </w:tc>
        <w:tc>
          <w:tcPr>
            <w:tcW w:w="600"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FE2CBE">
              <w:rPr>
                <w:vertAlign w:val="superscript"/>
              </w:rPr>
              <w:t>i</w:t>
            </w:r>
          </w:p>
          <w:p w:rsidR="00A85DBB" w:rsidRPr="002704A1" w:rsidRDefault="002704A1" w:rsidP="00A30CAF">
            <w:pPr>
              <w:pStyle w:val="TableText"/>
              <w:keepNext w:val="0"/>
              <w:jc w:val="center"/>
            </w:pPr>
            <w:r>
              <w:rPr>
                <w:noProof/>
                <w:color w:val="000000"/>
                <w:highlight w:val="black"/>
              </w:rPr>
              <w:t>''''''''''''</w:t>
            </w:r>
            <w:r w:rsidR="004E44D8">
              <w:rPr>
                <w:vertAlign w:val="superscript"/>
              </w:rPr>
              <w:t>h</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h</w:t>
            </w:r>
            <w:r>
              <w:rPr>
                <w:noProof/>
                <w:color w:val="000000"/>
                <w:highlight w:val="black"/>
              </w:rPr>
              <w:t xml:space="preserve"> </w:t>
            </w:r>
          </w:p>
        </w:tc>
        <w:tc>
          <w:tcPr>
            <w:tcW w:w="600"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5C074D">
              <w:rPr>
                <w:vertAlign w:val="superscript"/>
              </w:rPr>
              <w:t>l</w:t>
            </w:r>
          </w:p>
          <w:p w:rsidR="00A85DBB" w:rsidRPr="002704A1" w:rsidRDefault="002704A1" w:rsidP="00A30CAF">
            <w:pPr>
              <w:pStyle w:val="TableText"/>
              <w:keepNext w:val="0"/>
              <w:jc w:val="center"/>
            </w:pPr>
            <w:r>
              <w:rPr>
                <w:noProof/>
                <w:color w:val="000000"/>
                <w:highlight w:val="black"/>
              </w:rPr>
              <w:t>''''''''''''''''</w:t>
            </w:r>
            <w:r w:rsidR="00FE2CBE">
              <w:rPr>
                <w:vertAlign w:val="superscript"/>
              </w:rPr>
              <w:t>i</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tc>
        <w:tc>
          <w:tcPr>
            <w:tcW w:w="647"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4E44D8">
              <w:rPr>
                <w:vertAlign w:val="superscript"/>
              </w:rPr>
              <w:t>f</w:t>
            </w:r>
          </w:p>
          <w:p w:rsidR="00A85DBB" w:rsidRPr="002704A1" w:rsidRDefault="002704A1" w:rsidP="00A30CAF">
            <w:pPr>
              <w:pStyle w:val="TableText"/>
              <w:keepNext w:val="0"/>
              <w:jc w:val="center"/>
            </w:pPr>
            <w:r>
              <w:rPr>
                <w:noProof/>
                <w:color w:val="000000"/>
                <w:highlight w:val="black"/>
              </w:rPr>
              <w:t>'''''''''''''''''</w:t>
            </w:r>
            <w:r w:rsidR="00FE2CBE">
              <w:rPr>
                <w:vertAlign w:val="superscript"/>
              </w:rPr>
              <w:t>i</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5C074D">
              <w:rPr>
                <w:vertAlign w:val="superscript"/>
              </w:rPr>
              <w:t>l</w:t>
            </w:r>
          </w:p>
        </w:tc>
        <w:tc>
          <w:tcPr>
            <w:tcW w:w="618"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4E44D8">
              <w:rPr>
                <w:vertAlign w:val="superscript"/>
              </w:rPr>
              <w:t>g</w:t>
            </w:r>
          </w:p>
          <w:p w:rsidR="00A85DBB" w:rsidRPr="002704A1" w:rsidRDefault="002704A1" w:rsidP="00A30CAF">
            <w:pPr>
              <w:pStyle w:val="TableText"/>
              <w:keepNext w:val="0"/>
              <w:jc w:val="center"/>
            </w:pPr>
            <w:r>
              <w:rPr>
                <w:noProof/>
                <w:color w:val="000000"/>
                <w:highlight w:val="black"/>
              </w:rPr>
              <w:t>'''''''''''''''''</w:t>
            </w:r>
            <w:r w:rsidR="005C074D">
              <w:rPr>
                <w:vertAlign w:val="superscript"/>
              </w:rPr>
              <w:t>l</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e</w:t>
            </w:r>
            <w:r>
              <w:rPr>
                <w:noProof/>
                <w:color w:val="000000"/>
                <w:highlight w:val="black"/>
              </w:rPr>
              <w:t xml:space="preserve"> </w:t>
            </w:r>
          </w:p>
        </w:tc>
        <w:tc>
          <w:tcPr>
            <w:tcW w:w="704"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5C074D">
              <w:rPr>
                <w:vertAlign w:val="superscript"/>
              </w:rPr>
              <w:t>m</w:t>
            </w:r>
          </w:p>
          <w:p w:rsidR="00A85DBB" w:rsidRPr="002704A1" w:rsidRDefault="002704A1" w:rsidP="00A30CAF">
            <w:pPr>
              <w:pStyle w:val="TableText"/>
              <w:keepNext w:val="0"/>
              <w:jc w:val="center"/>
            </w:pPr>
            <w:r>
              <w:rPr>
                <w:noProof/>
                <w:color w:val="000000"/>
                <w:highlight w:val="black"/>
              </w:rPr>
              <w:t>''''''''''''''''</w:t>
            </w:r>
            <w:r w:rsidR="005C074D">
              <w:rPr>
                <w:vertAlign w:val="superscript"/>
              </w:rPr>
              <w:t>l</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e</w:t>
            </w:r>
            <w:r>
              <w:rPr>
                <w:noProof/>
                <w:color w:val="000000"/>
                <w:highlight w:val="black"/>
              </w:rPr>
              <w:t xml:space="preserve"> </w:t>
            </w:r>
          </w:p>
        </w:tc>
        <w:tc>
          <w:tcPr>
            <w:tcW w:w="682" w:type="pct"/>
            <w:tcBorders>
              <w:bottom w:val="single" w:sz="4" w:space="0" w:color="auto"/>
            </w:tcBorders>
            <w:shd w:val="clear" w:color="auto" w:fill="auto"/>
          </w:tcPr>
          <w:p w:rsidR="00A85DBB" w:rsidRPr="002704A1" w:rsidRDefault="002704A1" w:rsidP="00A30CAF">
            <w:pPr>
              <w:pStyle w:val="TableText"/>
              <w:keepNext w:val="0"/>
              <w:jc w:val="center"/>
            </w:pPr>
            <w:r>
              <w:rPr>
                <w:noProof/>
                <w:color w:val="000000"/>
                <w:highlight w:val="black"/>
              </w:rPr>
              <w:t>''''''''''''''''''</w:t>
            </w:r>
            <w:r w:rsidR="005C074D">
              <w:rPr>
                <w:vertAlign w:val="superscript"/>
              </w:rPr>
              <w:t>m</w:t>
            </w:r>
          </w:p>
          <w:p w:rsidR="00A85DBB" w:rsidRPr="002704A1" w:rsidRDefault="002704A1" w:rsidP="00A30CAF">
            <w:pPr>
              <w:pStyle w:val="TableText"/>
              <w:keepNext w:val="0"/>
              <w:jc w:val="center"/>
            </w:pPr>
            <w:r>
              <w:rPr>
                <w:noProof/>
                <w:color w:val="000000"/>
                <w:highlight w:val="black"/>
              </w:rPr>
              <w:t>''''''''''''''''''</w:t>
            </w:r>
            <w:r w:rsidR="005C074D">
              <w:rPr>
                <w:vertAlign w:val="superscript"/>
              </w:rPr>
              <w:t>l</w:t>
            </w:r>
            <w:r>
              <w:rPr>
                <w:noProof/>
                <w:color w:val="000000"/>
                <w:highlight w:val="black"/>
              </w:rPr>
              <w:t xml:space="preserve"> </w:t>
            </w:r>
          </w:p>
          <w:p w:rsidR="00A85DBB" w:rsidRPr="002704A1" w:rsidRDefault="002704A1" w:rsidP="00A30CAF">
            <w:pPr>
              <w:pStyle w:val="TableText"/>
              <w:keepNext w:val="0"/>
              <w:jc w:val="center"/>
            </w:pPr>
            <w:r>
              <w:rPr>
                <w:noProof/>
                <w:color w:val="000000"/>
                <w:highlight w:val="black"/>
              </w:rPr>
              <w:t>'''''''''''''''</w:t>
            </w:r>
            <w:r w:rsidR="004E44D8">
              <w:rPr>
                <w:vertAlign w:val="superscript"/>
              </w:rPr>
              <w:t>f</w:t>
            </w:r>
            <w:r>
              <w:rPr>
                <w:noProof/>
                <w:color w:val="000000"/>
                <w:highlight w:val="black"/>
              </w:rPr>
              <w:t xml:space="preserve"> </w:t>
            </w:r>
          </w:p>
        </w:tc>
      </w:tr>
      <w:tr w:rsidR="00A85DBB" w:rsidRPr="005C202F" w:rsidTr="00335CE6">
        <w:trPr>
          <w:trHeight w:val="461"/>
        </w:trPr>
        <w:tc>
          <w:tcPr>
            <w:tcW w:w="1147" w:type="pct"/>
            <w:tcBorders>
              <w:right w:val="single" w:sz="4" w:space="0" w:color="auto"/>
            </w:tcBorders>
            <w:shd w:val="clear" w:color="auto" w:fill="auto"/>
            <w:vAlign w:val="center"/>
          </w:tcPr>
          <w:p w:rsidR="00A85DBB" w:rsidRPr="005C202F" w:rsidRDefault="00A85DBB" w:rsidP="00A30CAF">
            <w:pPr>
              <w:pStyle w:val="TableText"/>
              <w:keepNext w:val="0"/>
            </w:pPr>
            <w:r w:rsidRPr="005C202F">
              <w:t xml:space="preserve">Total PBS/RPBS cost </w:t>
            </w:r>
          </w:p>
          <w:p w:rsidR="00A85DBB" w:rsidRPr="005C202F" w:rsidRDefault="00A85DBB" w:rsidP="00A85DBB">
            <w:pPr>
              <w:pStyle w:val="TableText"/>
              <w:keepNext w:val="0"/>
              <w:numPr>
                <w:ilvl w:val="0"/>
                <w:numId w:val="26"/>
              </w:numPr>
              <w:ind w:left="255" w:hanging="176"/>
            </w:pPr>
            <w:r w:rsidRPr="005C202F">
              <w:t>56 mg scripts</w:t>
            </w:r>
            <w:r w:rsidRPr="005C202F">
              <w:rPr>
                <w:vertAlign w:val="superscript"/>
              </w:rPr>
              <w:t>3</w:t>
            </w:r>
          </w:p>
          <w:p w:rsidR="00A85DBB" w:rsidRPr="005C202F" w:rsidRDefault="00A85DBB" w:rsidP="00A85DBB">
            <w:pPr>
              <w:pStyle w:val="TableText"/>
              <w:keepNext w:val="0"/>
              <w:numPr>
                <w:ilvl w:val="0"/>
                <w:numId w:val="26"/>
              </w:numPr>
              <w:ind w:left="255" w:hanging="176"/>
            </w:pPr>
            <w:r w:rsidRPr="005C202F">
              <w:t>84 mg scripts</w:t>
            </w:r>
            <w:r w:rsidRPr="005C202F">
              <w:rPr>
                <w:vertAlign w:val="superscript"/>
              </w:rPr>
              <w:t>4</w:t>
            </w:r>
          </w:p>
        </w:tc>
        <w:tc>
          <w:tcPr>
            <w:tcW w:w="600"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rFonts w:cs="Times New Roman"/>
                <w:szCs w:val="20"/>
                <w:lang w:eastAsia="en-US"/>
              </w:rPr>
            </w:pPr>
            <w:r w:rsidRPr="005C202F">
              <w:rPr>
                <w:lang w:eastAsia="en-US"/>
              </w:rPr>
              <w:t>$</w:t>
            </w:r>
            <w:r w:rsidR="002704A1">
              <w:rPr>
                <w:noProof/>
                <w:color w:val="000000"/>
                <w:highlight w:val="black"/>
                <w:lang w:eastAsia="en-US"/>
              </w:rPr>
              <w:t>'''''''''''''''''''''''''''</w:t>
            </w:r>
            <w:r w:rsidR="005C074D">
              <w:rPr>
                <w:vertAlign w:val="superscript"/>
              </w:rPr>
              <w:t>n</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o</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8E7B8C">
              <w:rPr>
                <w:vertAlign w:val="superscript"/>
              </w:rPr>
              <w:t>p</w:t>
            </w:r>
          </w:p>
        </w:tc>
        <w:tc>
          <w:tcPr>
            <w:tcW w:w="600"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s</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p</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8E7B8C">
              <w:rPr>
                <w:vertAlign w:val="superscript"/>
              </w:rPr>
              <w:t>q</w:t>
            </w:r>
          </w:p>
        </w:tc>
        <w:tc>
          <w:tcPr>
            <w:tcW w:w="647"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u</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5C074D">
              <w:rPr>
                <w:vertAlign w:val="superscript"/>
              </w:rPr>
              <w:t>n</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8E7B8C">
              <w:rPr>
                <w:vertAlign w:val="superscript"/>
              </w:rPr>
              <w:t>t</w:t>
            </w:r>
          </w:p>
        </w:tc>
        <w:tc>
          <w:tcPr>
            <w:tcW w:w="618"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u</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q</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D55DCE">
              <w:rPr>
                <w:vertAlign w:val="superscript"/>
              </w:rPr>
              <w:t>v</w:t>
            </w:r>
          </w:p>
        </w:tc>
        <w:tc>
          <w:tcPr>
            <w:tcW w:w="704"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u</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q</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8E7B8C">
              <w:rPr>
                <w:vertAlign w:val="superscript"/>
              </w:rPr>
              <w:t>u</w:t>
            </w:r>
          </w:p>
        </w:tc>
        <w:tc>
          <w:tcPr>
            <w:tcW w:w="682" w:type="pct"/>
            <w:tcBorders>
              <w:top w:val="single" w:sz="4" w:space="0" w:color="auto"/>
              <w:left w:val="single" w:sz="4" w:space="0" w:color="auto"/>
              <w:bottom w:val="single" w:sz="4" w:space="0" w:color="auto"/>
              <w:right w:val="single" w:sz="4" w:space="0" w:color="auto"/>
            </w:tcBorders>
          </w:tcPr>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u</w:t>
            </w:r>
          </w:p>
          <w:p w:rsidR="00A85DBB" w:rsidRPr="005C202F" w:rsidRDefault="00A85DBB" w:rsidP="00A30CAF">
            <w:pPr>
              <w:pStyle w:val="TableText"/>
              <w:keepNext w:val="0"/>
              <w:spacing w:line="252" w:lineRule="auto"/>
              <w:jc w:val="center"/>
              <w:rPr>
                <w:lang w:eastAsia="en-US"/>
              </w:rPr>
            </w:pPr>
            <w:r w:rsidRPr="005C202F">
              <w:rPr>
                <w:lang w:eastAsia="en-US"/>
              </w:rPr>
              <w:t>$</w:t>
            </w:r>
            <w:r w:rsidR="002704A1">
              <w:rPr>
                <w:noProof/>
                <w:color w:val="000000"/>
                <w:highlight w:val="black"/>
                <w:lang w:eastAsia="en-US"/>
              </w:rPr>
              <w:t>'''''''''''''''''''''''''''''</w:t>
            </w:r>
            <w:r w:rsidR="008E7B8C">
              <w:rPr>
                <w:vertAlign w:val="superscript"/>
              </w:rPr>
              <w:t>r</w:t>
            </w:r>
          </w:p>
          <w:p w:rsidR="00A85DBB" w:rsidRPr="005C202F" w:rsidRDefault="00A85DBB" w:rsidP="00A30CAF">
            <w:pPr>
              <w:pStyle w:val="TableText"/>
              <w:keepNext w:val="0"/>
              <w:jc w:val="center"/>
            </w:pPr>
            <w:r w:rsidRPr="005C202F">
              <w:rPr>
                <w:lang w:eastAsia="en-US"/>
              </w:rPr>
              <w:t>$</w:t>
            </w:r>
            <w:r w:rsidR="002704A1">
              <w:rPr>
                <w:noProof/>
                <w:color w:val="000000"/>
                <w:highlight w:val="black"/>
                <w:lang w:eastAsia="en-US"/>
              </w:rPr>
              <w:t>''''''''''''''''''''''''''''''''</w:t>
            </w:r>
            <w:r w:rsidR="008E7B8C">
              <w:rPr>
                <w:vertAlign w:val="superscript"/>
              </w:rPr>
              <w:t>u</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Patient copayments</w:t>
            </w:r>
          </w:p>
        </w:tc>
        <w:tc>
          <w:tcPr>
            <w:tcW w:w="600"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c>
          <w:tcPr>
            <w:tcW w:w="600"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c>
          <w:tcPr>
            <w:tcW w:w="647"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c>
          <w:tcPr>
            <w:tcW w:w="618"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c>
          <w:tcPr>
            <w:tcW w:w="704"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c>
          <w:tcPr>
            <w:tcW w:w="682" w:type="pct"/>
            <w:shd w:val="clear" w:color="auto" w:fill="auto"/>
          </w:tcPr>
          <w:p w:rsidR="00A85DBB" w:rsidRPr="005C202F" w:rsidRDefault="00A85DBB" w:rsidP="00A30CAF">
            <w:pPr>
              <w:pStyle w:val="TableText"/>
              <w:keepNext w:val="0"/>
              <w:jc w:val="center"/>
              <w:rPr>
                <w:rFonts w:cs="Arial"/>
              </w:rPr>
            </w:pPr>
            <w:r w:rsidRPr="005C202F">
              <w:t>$</w:t>
            </w:r>
            <w:r w:rsidR="002704A1">
              <w:rPr>
                <w:noProof/>
                <w:color w:val="000000"/>
                <w:highlight w:val="black"/>
              </w:rPr>
              <w:t>''''''''''''''''''''</w:t>
            </w:r>
            <w:r w:rsidR="00D55DCE">
              <w:rPr>
                <w:vertAlign w:val="superscript"/>
              </w:rPr>
              <w:t>w</w:t>
            </w:r>
          </w:p>
        </w:tc>
      </w:tr>
      <w:tr w:rsidR="00A85DBB" w:rsidRPr="005C202F" w:rsidTr="00335CE6">
        <w:tc>
          <w:tcPr>
            <w:tcW w:w="1147" w:type="pct"/>
            <w:shd w:val="clear" w:color="auto" w:fill="auto"/>
            <w:vAlign w:val="center"/>
          </w:tcPr>
          <w:p w:rsidR="00A85DBB" w:rsidRPr="005C202F" w:rsidRDefault="00A85DBB" w:rsidP="00A30CAF">
            <w:pPr>
              <w:pStyle w:val="TableText"/>
              <w:keepNext w:val="0"/>
              <w:rPr>
                <w:b/>
                <w:bCs w:val="0"/>
              </w:rPr>
            </w:pPr>
            <w:r w:rsidRPr="005C202F">
              <w:rPr>
                <w:b/>
                <w:bCs w:val="0"/>
              </w:rPr>
              <w:t xml:space="preserve">Net PBS/RPBS cost </w:t>
            </w:r>
          </w:p>
        </w:tc>
        <w:tc>
          <w:tcPr>
            <w:tcW w:w="600"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5C074D">
              <w:rPr>
                <w:vertAlign w:val="superscript"/>
              </w:rPr>
              <w:t>n</w:t>
            </w:r>
          </w:p>
        </w:tc>
        <w:tc>
          <w:tcPr>
            <w:tcW w:w="600"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8E7B8C">
              <w:rPr>
                <w:vertAlign w:val="superscript"/>
              </w:rPr>
              <w:t>s</w:t>
            </w:r>
          </w:p>
        </w:tc>
        <w:tc>
          <w:tcPr>
            <w:tcW w:w="647"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8E7B8C">
              <w:rPr>
                <w:vertAlign w:val="superscript"/>
              </w:rPr>
              <w:t>u</w:t>
            </w:r>
          </w:p>
        </w:tc>
        <w:tc>
          <w:tcPr>
            <w:tcW w:w="618"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8E7B8C">
              <w:rPr>
                <w:vertAlign w:val="superscript"/>
              </w:rPr>
              <w:t>u</w:t>
            </w:r>
          </w:p>
        </w:tc>
        <w:tc>
          <w:tcPr>
            <w:tcW w:w="704"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D55DCE">
              <w:rPr>
                <w:vertAlign w:val="superscript"/>
              </w:rPr>
              <w:t>u</w:t>
            </w:r>
          </w:p>
        </w:tc>
        <w:tc>
          <w:tcPr>
            <w:tcW w:w="682" w:type="pct"/>
            <w:shd w:val="clear" w:color="auto" w:fill="auto"/>
          </w:tcPr>
          <w:p w:rsidR="00A85DBB" w:rsidRPr="005C202F" w:rsidRDefault="00A85DBB" w:rsidP="00A30CAF">
            <w:pPr>
              <w:pStyle w:val="TableText"/>
              <w:keepNext w:val="0"/>
              <w:jc w:val="center"/>
              <w:rPr>
                <w:rFonts w:cs="Arial"/>
                <w:b/>
                <w:bCs w:val="0"/>
              </w:rPr>
            </w:pPr>
            <w:r w:rsidRPr="005C202F">
              <w:rPr>
                <w:b/>
                <w:bCs w:val="0"/>
              </w:rPr>
              <w:t>$</w:t>
            </w:r>
            <w:r w:rsidR="002704A1">
              <w:rPr>
                <w:b/>
                <w:bCs w:val="0"/>
                <w:noProof/>
                <w:color w:val="000000"/>
                <w:highlight w:val="black"/>
              </w:rPr>
              <w:t>''''''''''''''''''''''''''</w:t>
            </w:r>
            <w:r w:rsidR="008E7B8C">
              <w:rPr>
                <w:vertAlign w:val="superscript"/>
              </w:rPr>
              <w:t>u</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Change in MBS Item 300 services</w:t>
            </w:r>
          </w:p>
        </w:tc>
        <w:tc>
          <w:tcPr>
            <w:tcW w:w="600" w:type="pct"/>
            <w:shd w:val="clear" w:color="auto" w:fill="auto"/>
          </w:tcPr>
          <w:p w:rsidR="00A85DBB" w:rsidRPr="005C202F" w:rsidRDefault="002704A1" w:rsidP="00A30CAF">
            <w:pPr>
              <w:pStyle w:val="TableText"/>
              <w:keepNext w:val="0"/>
              <w:jc w:val="center"/>
            </w:pPr>
            <w:r>
              <w:rPr>
                <w:noProof/>
                <w:color w:val="000000"/>
                <w:highlight w:val="black"/>
              </w:rPr>
              <w:t>'''''''''''''''''</w:t>
            </w:r>
            <w:r w:rsidR="008E7B8C">
              <w:rPr>
                <w:vertAlign w:val="superscript"/>
              </w:rPr>
              <w:t>m</w:t>
            </w:r>
          </w:p>
        </w:tc>
        <w:tc>
          <w:tcPr>
            <w:tcW w:w="600" w:type="pct"/>
            <w:shd w:val="clear" w:color="auto" w:fill="auto"/>
          </w:tcPr>
          <w:p w:rsidR="00A85DBB" w:rsidRPr="002704A1" w:rsidRDefault="002704A1" w:rsidP="00A30CAF">
            <w:pPr>
              <w:pStyle w:val="TableText"/>
              <w:keepNext w:val="0"/>
              <w:jc w:val="center"/>
            </w:pPr>
            <w:r>
              <w:rPr>
                <w:noProof/>
                <w:color w:val="000000"/>
                <w:highlight w:val="black"/>
              </w:rPr>
              <w:t>''''''''''''''''''''</w:t>
            </w:r>
            <w:r w:rsidR="00D55DCE">
              <w:rPr>
                <w:vertAlign w:val="superscript"/>
              </w:rPr>
              <w:t>x</w:t>
            </w:r>
          </w:p>
        </w:tc>
        <w:tc>
          <w:tcPr>
            <w:tcW w:w="647" w:type="pct"/>
            <w:shd w:val="clear" w:color="auto" w:fill="auto"/>
          </w:tcPr>
          <w:p w:rsidR="00A85DBB" w:rsidRPr="002704A1" w:rsidRDefault="002704A1" w:rsidP="00A30CAF">
            <w:pPr>
              <w:pStyle w:val="TableText"/>
              <w:keepNext w:val="0"/>
              <w:jc w:val="center"/>
            </w:pPr>
            <w:r>
              <w:rPr>
                <w:noProof/>
                <w:color w:val="000000"/>
                <w:highlight w:val="black"/>
              </w:rPr>
              <w:t>'''''''''''''''''''</w:t>
            </w:r>
            <w:r w:rsidR="00D55DCE">
              <w:rPr>
                <w:vertAlign w:val="superscript"/>
              </w:rPr>
              <w:t>x</w:t>
            </w:r>
          </w:p>
        </w:tc>
        <w:tc>
          <w:tcPr>
            <w:tcW w:w="618" w:type="pct"/>
            <w:shd w:val="clear" w:color="auto" w:fill="auto"/>
          </w:tcPr>
          <w:p w:rsidR="00A85DBB" w:rsidRPr="002704A1" w:rsidRDefault="002704A1" w:rsidP="00A30CAF">
            <w:pPr>
              <w:pStyle w:val="TableText"/>
              <w:keepNext w:val="0"/>
              <w:jc w:val="center"/>
            </w:pPr>
            <w:r>
              <w:rPr>
                <w:noProof/>
                <w:color w:val="000000"/>
                <w:highlight w:val="black"/>
              </w:rPr>
              <w:t>''''''''''''''''''</w:t>
            </w:r>
            <w:r w:rsidR="00D55DCE">
              <w:rPr>
                <w:vertAlign w:val="superscript"/>
              </w:rPr>
              <w:t>y</w:t>
            </w:r>
          </w:p>
        </w:tc>
        <w:tc>
          <w:tcPr>
            <w:tcW w:w="704" w:type="pct"/>
            <w:shd w:val="clear" w:color="auto" w:fill="auto"/>
          </w:tcPr>
          <w:p w:rsidR="00A85DBB" w:rsidRPr="002704A1" w:rsidRDefault="002704A1" w:rsidP="00A30CAF">
            <w:pPr>
              <w:pStyle w:val="TableText"/>
              <w:keepNext w:val="0"/>
              <w:jc w:val="center"/>
            </w:pPr>
            <w:r>
              <w:rPr>
                <w:noProof/>
                <w:color w:val="000000"/>
                <w:highlight w:val="black"/>
              </w:rPr>
              <w:t>''''''''''''''''''''</w:t>
            </w:r>
            <w:r w:rsidR="00D55DCE">
              <w:rPr>
                <w:vertAlign w:val="superscript"/>
              </w:rPr>
              <w:t>y</w:t>
            </w:r>
          </w:p>
        </w:tc>
        <w:tc>
          <w:tcPr>
            <w:tcW w:w="682" w:type="pct"/>
            <w:shd w:val="clear" w:color="auto" w:fill="auto"/>
          </w:tcPr>
          <w:p w:rsidR="00A85DBB" w:rsidRPr="002704A1" w:rsidRDefault="002704A1" w:rsidP="00A30CAF">
            <w:pPr>
              <w:pStyle w:val="TableText"/>
              <w:keepNext w:val="0"/>
              <w:jc w:val="center"/>
            </w:pPr>
            <w:r>
              <w:rPr>
                <w:noProof/>
                <w:color w:val="000000"/>
                <w:highlight w:val="black"/>
              </w:rPr>
              <w:t>'''''''''''''''''''''</w:t>
            </w:r>
            <w:r w:rsidR="00D55DCE">
              <w:rPr>
                <w:vertAlign w:val="superscript"/>
              </w:rPr>
              <w:t>z</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Change in MBS Item 300 cost</w:t>
            </w:r>
          </w:p>
        </w:tc>
        <w:tc>
          <w:tcPr>
            <w:tcW w:w="600"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w</w:t>
            </w:r>
          </w:p>
        </w:tc>
        <w:tc>
          <w:tcPr>
            <w:tcW w:w="600"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w</w:t>
            </w:r>
          </w:p>
        </w:tc>
        <w:tc>
          <w:tcPr>
            <w:tcW w:w="647"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w</w:t>
            </w:r>
          </w:p>
        </w:tc>
        <w:tc>
          <w:tcPr>
            <w:tcW w:w="618"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w</w:t>
            </w:r>
          </w:p>
        </w:tc>
        <w:tc>
          <w:tcPr>
            <w:tcW w:w="704"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w</w:t>
            </w:r>
          </w:p>
        </w:tc>
        <w:tc>
          <w:tcPr>
            <w:tcW w:w="682"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D55DCE">
              <w:rPr>
                <w:vertAlign w:val="superscript"/>
              </w:rPr>
              <w:t>o</w:t>
            </w:r>
          </w:p>
        </w:tc>
      </w:tr>
      <w:tr w:rsidR="00A85DBB" w:rsidRPr="005C202F" w:rsidTr="00335CE6">
        <w:tc>
          <w:tcPr>
            <w:tcW w:w="1147" w:type="pct"/>
            <w:shd w:val="clear" w:color="auto" w:fill="auto"/>
            <w:vAlign w:val="center"/>
          </w:tcPr>
          <w:p w:rsidR="00A85DBB" w:rsidRPr="005C202F" w:rsidRDefault="00A85DBB" w:rsidP="00A30CAF">
            <w:pPr>
              <w:pStyle w:val="TableText"/>
              <w:keepNext w:val="0"/>
            </w:pPr>
            <w:r w:rsidRPr="005C202F">
              <w:t>Net cost to Government</w:t>
            </w:r>
          </w:p>
        </w:tc>
        <w:tc>
          <w:tcPr>
            <w:tcW w:w="600"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n</w:t>
            </w:r>
          </w:p>
        </w:tc>
        <w:tc>
          <w:tcPr>
            <w:tcW w:w="600"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t</w:t>
            </w:r>
          </w:p>
        </w:tc>
        <w:tc>
          <w:tcPr>
            <w:tcW w:w="647"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u</w:t>
            </w:r>
          </w:p>
        </w:tc>
        <w:tc>
          <w:tcPr>
            <w:tcW w:w="618"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u</w:t>
            </w:r>
          </w:p>
        </w:tc>
        <w:tc>
          <w:tcPr>
            <w:tcW w:w="704"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u</w:t>
            </w:r>
          </w:p>
        </w:tc>
        <w:tc>
          <w:tcPr>
            <w:tcW w:w="682" w:type="pct"/>
            <w:shd w:val="clear" w:color="auto" w:fill="auto"/>
          </w:tcPr>
          <w:p w:rsidR="00A85DBB" w:rsidRPr="005C202F" w:rsidRDefault="00A85DBB" w:rsidP="00A30CAF">
            <w:pPr>
              <w:pStyle w:val="TableText"/>
              <w:keepNext w:val="0"/>
              <w:jc w:val="center"/>
            </w:pPr>
            <w:r w:rsidRPr="005C202F">
              <w:t>$</w:t>
            </w:r>
            <w:r w:rsidR="002704A1">
              <w:rPr>
                <w:noProof/>
                <w:color w:val="000000"/>
                <w:highlight w:val="black"/>
              </w:rPr>
              <w:t>'''''''''''''''''''''''''''''''</w:t>
            </w:r>
            <w:r w:rsidR="008E7B8C">
              <w:rPr>
                <w:vertAlign w:val="superscript"/>
              </w:rPr>
              <w:t>u</w:t>
            </w:r>
          </w:p>
        </w:tc>
      </w:tr>
    </w:tbl>
    <w:p w:rsidR="00A85DBB" w:rsidRPr="005C202F" w:rsidRDefault="00A85DBB" w:rsidP="00A85DBB">
      <w:pPr>
        <w:pStyle w:val="TableFigureFooter"/>
      </w:pPr>
      <w:r w:rsidRPr="005C202F">
        <w:t>Source: Table 4-2; Table 4-5; Table 4-8; Table 4-9 of the submission; ‘Utilisation cost model – esketamine TRD’ Excel workbook, Attachment 25 of the submission</w:t>
      </w:r>
    </w:p>
    <w:p w:rsidR="00A85DBB" w:rsidRPr="005C202F" w:rsidRDefault="00A85DBB" w:rsidP="00A85DBB">
      <w:pPr>
        <w:pStyle w:val="TableFigureFooter"/>
      </w:pPr>
      <w:r w:rsidRPr="005C202F">
        <w:t>Abbreviations: MBS, Medicare Benefits Scheme.</w:t>
      </w:r>
    </w:p>
    <w:p w:rsidR="00A85DBB" w:rsidRPr="005C202F" w:rsidRDefault="00A85DBB" w:rsidP="00A85DBB">
      <w:pPr>
        <w:pStyle w:val="TableFigureFooter"/>
      </w:pPr>
      <w:r w:rsidRPr="005C202F">
        <w:rPr>
          <w:vertAlign w:val="superscript"/>
        </w:rPr>
        <w:t>1</w:t>
      </w:r>
      <w:r w:rsidRPr="005C202F">
        <w:t xml:space="preserve"> Includes compliance of 92.5% for initiating patients, 73.8% for patients continuing in initiation year, and 67.5% in subsequent years.</w:t>
      </w:r>
    </w:p>
    <w:p w:rsidR="00A85DBB" w:rsidRPr="005C202F" w:rsidRDefault="00A85DBB" w:rsidP="00A85DBB">
      <w:pPr>
        <w:pStyle w:val="TableFigureFooter"/>
      </w:pPr>
      <w:r w:rsidRPr="005C202F">
        <w:rPr>
          <w:vertAlign w:val="superscript"/>
        </w:rPr>
        <w:t>2</w:t>
      </w:r>
      <w:r w:rsidRPr="005C202F">
        <w:t xml:space="preserve"> Average proportion of initiated patients receiving the continuing treatment in the initiation year, derived based on the treatment persistence in the economic model.</w:t>
      </w:r>
    </w:p>
    <w:p w:rsidR="00A85DBB" w:rsidRPr="005C202F" w:rsidRDefault="00A85DBB" w:rsidP="00A85DBB">
      <w:pPr>
        <w:pStyle w:val="TableFigureFooter"/>
      </w:pPr>
      <w:r w:rsidRPr="005C202F">
        <w:rPr>
          <w:vertAlign w:val="superscript"/>
        </w:rPr>
        <w:t>3</w:t>
      </w:r>
      <w:r w:rsidRPr="005C202F">
        <w:t xml:space="preserve"> Based on a weighted effective DPMQ (Public/Private 20%/80%) of $</w:t>
      </w:r>
      <w:r w:rsidR="002704A1">
        <w:rPr>
          <w:noProof/>
          <w:color w:val="000000"/>
          <w:highlight w:val="black"/>
        </w:rPr>
        <w:t>'''''''''''''''''''''</w:t>
      </w:r>
      <w:r w:rsidRPr="005C202F">
        <w:t xml:space="preserve"> for initial scripts and $</w:t>
      </w:r>
      <w:r w:rsidR="002704A1">
        <w:rPr>
          <w:noProof/>
          <w:color w:val="000000"/>
          <w:highlight w:val="black"/>
        </w:rPr>
        <w:t>'''''''''''''''''''''</w:t>
      </w:r>
      <w:r w:rsidRPr="005C202F">
        <w:t xml:space="preserve"> for continuing scripts.</w:t>
      </w:r>
    </w:p>
    <w:p w:rsidR="00A85DBB" w:rsidRDefault="00A85DBB" w:rsidP="00A85DBB">
      <w:pPr>
        <w:pStyle w:val="TableFigureFooter"/>
      </w:pPr>
      <w:r w:rsidRPr="005C202F">
        <w:rPr>
          <w:vertAlign w:val="superscript"/>
        </w:rPr>
        <w:t>4</w:t>
      </w:r>
      <w:r w:rsidRPr="005C202F">
        <w:t xml:space="preserve"> Based on a weighted effective DPMQ (Public/Private 20%/80%) of $</w:t>
      </w:r>
      <w:r w:rsidR="002704A1">
        <w:rPr>
          <w:noProof/>
          <w:color w:val="000000"/>
          <w:highlight w:val="black"/>
        </w:rPr>
        <w:t>'''''''''''''''''''</w:t>
      </w:r>
      <w:r w:rsidRPr="005C202F">
        <w:t xml:space="preserve"> for initial scripts and $</w:t>
      </w:r>
      <w:r w:rsidR="002704A1">
        <w:rPr>
          <w:noProof/>
          <w:color w:val="000000"/>
          <w:highlight w:val="black"/>
        </w:rPr>
        <w:t>''''''''''''''''''''''</w:t>
      </w:r>
      <w:r w:rsidRPr="005C202F">
        <w:t xml:space="preserve"> for continuing scripts.</w:t>
      </w:r>
    </w:p>
    <w:p w:rsidR="00BD378C" w:rsidRPr="00A06709" w:rsidRDefault="00BD378C" w:rsidP="00A85DBB">
      <w:pPr>
        <w:pStyle w:val="TableFigureFooter"/>
        <w:rPr>
          <w:i/>
        </w:rPr>
      </w:pPr>
      <w:r w:rsidRPr="00A06709">
        <w:rPr>
          <w:i/>
        </w:rPr>
        <w:t>The redacted values correspond to the following ranges:</w:t>
      </w:r>
    </w:p>
    <w:p w:rsidR="00BD378C" w:rsidRPr="00A06709" w:rsidRDefault="00FE2CBE" w:rsidP="00A85DBB">
      <w:pPr>
        <w:pStyle w:val="TableFigureFooter"/>
        <w:rPr>
          <w:i/>
        </w:rPr>
      </w:pPr>
      <w:r>
        <w:rPr>
          <w:i/>
          <w:vertAlign w:val="superscript"/>
        </w:rPr>
        <w:t>a</w:t>
      </w:r>
      <w:r w:rsidR="00BD378C" w:rsidRPr="00A06709">
        <w:rPr>
          <w:i/>
        </w:rPr>
        <w:t xml:space="preserve"> &gt; 10,000,000</w:t>
      </w:r>
    </w:p>
    <w:p w:rsidR="005B697C" w:rsidRPr="00A06709" w:rsidRDefault="00FE2CBE" w:rsidP="00A85DBB">
      <w:pPr>
        <w:pStyle w:val="TableFigureFooter"/>
        <w:rPr>
          <w:i/>
        </w:rPr>
      </w:pPr>
      <w:r>
        <w:rPr>
          <w:i/>
          <w:vertAlign w:val="superscript"/>
        </w:rPr>
        <w:t>b</w:t>
      </w:r>
      <w:r w:rsidR="005B697C" w:rsidRPr="00A06709">
        <w:rPr>
          <w:i/>
        </w:rPr>
        <w:t xml:space="preserve"> 1,000,000 to &lt; 2,000,000</w:t>
      </w:r>
    </w:p>
    <w:p w:rsidR="005B697C" w:rsidRPr="00A06709" w:rsidRDefault="00FE2CBE" w:rsidP="00A85DBB">
      <w:pPr>
        <w:pStyle w:val="TableFigureFooter"/>
        <w:rPr>
          <w:i/>
        </w:rPr>
      </w:pPr>
      <w:r>
        <w:rPr>
          <w:i/>
          <w:vertAlign w:val="superscript"/>
        </w:rPr>
        <w:t>c</w:t>
      </w:r>
      <w:r w:rsidR="005B697C" w:rsidRPr="00A06709">
        <w:rPr>
          <w:i/>
        </w:rPr>
        <w:t xml:space="preserve"> 400,000 to &lt; 500,000</w:t>
      </w:r>
    </w:p>
    <w:p w:rsidR="005B697C" w:rsidRPr="00A06709" w:rsidRDefault="00FE2CBE" w:rsidP="00A85DBB">
      <w:pPr>
        <w:pStyle w:val="TableFigureFooter"/>
        <w:rPr>
          <w:i/>
        </w:rPr>
      </w:pPr>
      <w:r>
        <w:rPr>
          <w:i/>
          <w:vertAlign w:val="superscript"/>
        </w:rPr>
        <w:t>d</w:t>
      </w:r>
      <w:r w:rsidR="005B697C" w:rsidRPr="00A06709">
        <w:rPr>
          <w:i/>
        </w:rPr>
        <w:t xml:space="preserve"> 500,000 to &lt; 600,000</w:t>
      </w:r>
    </w:p>
    <w:p w:rsidR="005B697C" w:rsidRPr="00A06709" w:rsidRDefault="00FE2CBE" w:rsidP="00A85DBB">
      <w:pPr>
        <w:pStyle w:val="TableFigureFooter"/>
        <w:rPr>
          <w:i/>
        </w:rPr>
      </w:pPr>
      <w:r>
        <w:rPr>
          <w:i/>
          <w:vertAlign w:val="superscript"/>
        </w:rPr>
        <w:t>e</w:t>
      </w:r>
      <w:r w:rsidR="005B697C" w:rsidRPr="00A06709">
        <w:rPr>
          <w:i/>
        </w:rPr>
        <w:t xml:space="preserve"> 30,000 to &lt; 40,000</w:t>
      </w:r>
    </w:p>
    <w:p w:rsidR="005B697C" w:rsidRPr="00A06709" w:rsidRDefault="00FE2CBE" w:rsidP="00A85DBB">
      <w:pPr>
        <w:pStyle w:val="TableFigureFooter"/>
        <w:rPr>
          <w:i/>
        </w:rPr>
      </w:pPr>
      <w:r>
        <w:rPr>
          <w:i/>
          <w:vertAlign w:val="superscript"/>
        </w:rPr>
        <w:t>f</w:t>
      </w:r>
      <w:r w:rsidR="005B697C" w:rsidRPr="00A06709">
        <w:rPr>
          <w:i/>
        </w:rPr>
        <w:t xml:space="preserve"> 40,000 to &lt; 50,000</w:t>
      </w:r>
    </w:p>
    <w:p w:rsidR="005B697C" w:rsidRPr="00A06709" w:rsidRDefault="00FE2CBE" w:rsidP="00A85DBB">
      <w:pPr>
        <w:pStyle w:val="TableFigureFooter"/>
        <w:rPr>
          <w:i/>
        </w:rPr>
      </w:pPr>
      <w:r>
        <w:rPr>
          <w:i/>
          <w:vertAlign w:val="superscript"/>
        </w:rPr>
        <w:t>g</w:t>
      </w:r>
      <w:r w:rsidR="005B697C" w:rsidRPr="00A06709">
        <w:rPr>
          <w:i/>
        </w:rPr>
        <w:t xml:space="preserve"> 50,000 to &lt; 60,000</w:t>
      </w:r>
    </w:p>
    <w:p w:rsidR="005B697C" w:rsidRPr="00A06709" w:rsidRDefault="00FE2CBE" w:rsidP="00A85DBB">
      <w:pPr>
        <w:pStyle w:val="TableFigureFooter"/>
        <w:rPr>
          <w:i/>
        </w:rPr>
      </w:pPr>
      <w:r>
        <w:rPr>
          <w:i/>
          <w:vertAlign w:val="superscript"/>
        </w:rPr>
        <w:t>h</w:t>
      </w:r>
      <w:r w:rsidR="005B697C" w:rsidRPr="00A06709">
        <w:rPr>
          <w:i/>
        </w:rPr>
        <w:t xml:space="preserve"> 5,000 to &lt; 10,000</w:t>
      </w:r>
    </w:p>
    <w:p w:rsidR="005B697C" w:rsidRPr="00A06709" w:rsidRDefault="00FE2CBE" w:rsidP="00A85DBB">
      <w:pPr>
        <w:pStyle w:val="TableFigureFooter"/>
        <w:rPr>
          <w:i/>
        </w:rPr>
      </w:pPr>
      <w:r>
        <w:rPr>
          <w:i/>
          <w:vertAlign w:val="superscript"/>
        </w:rPr>
        <w:t>i</w:t>
      </w:r>
      <w:r w:rsidR="005B697C" w:rsidRPr="00A06709">
        <w:rPr>
          <w:i/>
          <w:vertAlign w:val="superscript"/>
        </w:rPr>
        <w:t xml:space="preserve"> </w:t>
      </w:r>
      <w:r w:rsidR="005B697C" w:rsidRPr="00A06709">
        <w:rPr>
          <w:i/>
        </w:rPr>
        <w:t>10,000 to &lt; 20,000</w:t>
      </w:r>
    </w:p>
    <w:p w:rsidR="005B697C" w:rsidRPr="00A06709" w:rsidRDefault="00FE2CBE" w:rsidP="00A85DBB">
      <w:pPr>
        <w:pStyle w:val="TableFigureFooter"/>
        <w:rPr>
          <w:i/>
        </w:rPr>
      </w:pPr>
      <w:r>
        <w:rPr>
          <w:i/>
          <w:vertAlign w:val="superscript"/>
        </w:rPr>
        <w:t>j</w:t>
      </w:r>
      <w:r w:rsidR="005B697C" w:rsidRPr="00A06709">
        <w:rPr>
          <w:i/>
        </w:rPr>
        <w:t xml:space="preserve"> 500 to &lt; 5,000</w:t>
      </w:r>
    </w:p>
    <w:p w:rsidR="005B697C" w:rsidRPr="00A06709" w:rsidRDefault="004E44D8" w:rsidP="00A85DBB">
      <w:pPr>
        <w:pStyle w:val="TableFigureFooter"/>
        <w:rPr>
          <w:i/>
        </w:rPr>
      </w:pPr>
      <w:r>
        <w:rPr>
          <w:i/>
          <w:vertAlign w:val="superscript"/>
        </w:rPr>
        <w:t>k</w:t>
      </w:r>
      <w:r w:rsidR="005B697C" w:rsidRPr="00A06709">
        <w:rPr>
          <w:i/>
        </w:rPr>
        <w:t xml:space="preserve"> &lt;500</w:t>
      </w:r>
    </w:p>
    <w:p w:rsidR="005F1C81" w:rsidRPr="00A06709" w:rsidRDefault="005C074D" w:rsidP="00A85DBB">
      <w:pPr>
        <w:pStyle w:val="TableFigureFooter"/>
        <w:rPr>
          <w:i/>
        </w:rPr>
      </w:pPr>
      <w:r>
        <w:rPr>
          <w:i/>
          <w:vertAlign w:val="superscript"/>
        </w:rPr>
        <w:t>l</w:t>
      </w:r>
      <w:r w:rsidR="005F1C81" w:rsidRPr="00A06709">
        <w:rPr>
          <w:i/>
        </w:rPr>
        <w:t xml:space="preserve"> 20,000 to &lt; 30,000</w:t>
      </w:r>
    </w:p>
    <w:p w:rsidR="005F1C81" w:rsidRPr="00A06709" w:rsidRDefault="005C074D" w:rsidP="00A85DBB">
      <w:pPr>
        <w:pStyle w:val="TableFigureFooter"/>
        <w:rPr>
          <w:i/>
        </w:rPr>
      </w:pPr>
      <w:r>
        <w:rPr>
          <w:i/>
          <w:vertAlign w:val="superscript"/>
        </w:rPr>
        <w:t>m</w:t>
      </w:r>
      <w:r w:rsidR="005F1C81" w:rsidRPr="00A06709">
        <w:rPr>
          <w:i/>
        </w:rPr>
        <w:t xml:space="preserve"> 60,000 to &lt; 70,000</w:t>
      </w:r>
    </w:p>
    <w:p w:rsidR="00384958" w:rsidRPr="00A06709" w:rsidRDefault="005C074D" w:rsidP="00A85DBB">
      <w:pPr>
        <w:pStyle w:val="TableFigureFooter"/>
        <w:rPr>
          <w:i/>
        </w:rPr>
      </w:pPr>
      <w:r>
        <w:rPr>
          <w:i/>
          <w:vertAlign w:val="superscript"/>
        </w:rPr>
        <w:t>n</w:t>
      </w:r>
      <w:r w:rsidR="00384958" w:rsidRPr="00A06709">
        <w:rPr>
          <w:i/>
        </w:rPr>
        <w:t xml:space="preserve"> $30 million to &lt; $40 million</w:t>
      </w:r>
    </w:p>
    <w:p w:rsidR="00384958" w:rsidRPr="00A06709" w:rsidRDefault="008E7B8C" w:rsidP="00A85DBB">
      <w:pPr>
        <w:pStyle w:val="TableFigureFooter"/>
        <w:rPr>
          <w:i/>
        </w:rPr>
      </w:pPr>
      <w:r>
        <w:rPr>
          <w:i/>
          <w:vertAlign w:val="superscript"/>
        </w:rPr>
        <w:t>o</w:t>
      </w:r>
      <w:r w:rsidR="00384958" w:rsidRPr="00A06709">
        <w:rPr>
          <w:i/>
        </w:rPr>
        <w:t xml:space="preserve"> $10 million to &lt; $20 million</w:t>
      </w:r>
    </w:p>
    <w:p w:rsidR="00384958" w:rsidRPr="00A06709" w:rsidRDefault="008E7B8C" w:rsidP="00A85DBB">
      <w:pPr>
        <w:pStyle w:val="TableFigureFooter"/>
        <w:rPr>
          <w:i/>
        </w:rPr>
      </w:pPr>
      <w:r>
        <w:rPr>
          <w:i/>
          <w:vertAlign w:val="superscript"/>
        </w:rPr>
        <w:t>p</w:t>
      </w:r>
      <w:r w:rsidR="00384958" w:rsidRPr="00A06709">
        <w:rPr>
          <w:i/>
        </w:rPr>
        <w:t xml:space="preserve"> $20 million to &lt; $30 million </w:t>
      </w:r>
    </w:p>
    <w:p w:rsidR="00384958" w:rsidRPr="00A06709" w:rsidRDefault="008E7B8C" w:rsidP="00A85DBB">
      <w:pPr>
        <w:pStyle w:val="TableFigureFooter"/>
        <w:rPr>
          <w:i/>
        </w:rPr>
      </w:pPr>
      <w:r>
        <w:rPr>
          <w:i/>
          <w:vertAlign w:val="superscript"/>
        </w:rPr>
        <w:t>q</w:t>
      </w:r>
      <w:r w:rsidR="00384958" w:rsidRPr="00A06709">
        <w:rPr>
          <w:i/>
        </w:rPr>
        <w:t xml:space="preserve"> $40 million to &lt; $50 million</w:t>
      </w:r>
    </w:p>
    <w:p w:rsidR="00384958" w:rsidRPr="00A06709" w:rsidRDefault="008E7B8C" w:rsidP="00A85DBB">
      <w:pPr>
        <w:pStyle w:val="TableFigureFooter"/>
        <w:rPr>
          <w:i/>
        </w:rPr>
      </w:pPr>
      <w:r>
        <w:rPr>
          <w:i/>
          <w:vertAlign w:val="superscript"/>
        </w:rPr>
        <w:t>r</w:t>
      </w:r>
      <w:r w:rsidR="00384958" w:rsidRPr="00A06709">
        <w:rPr>
          <w:i/>
        </w:rPr>
        <w:t xml:space="preserve"> $50 million to &lt; $60 million</w:t>
      </w:r>
    </w:p>
    <w:p w:rsidR="00384958" w:rsidRPr="00A06709" w:rsidRDefault="008E7B8C" w:rsidP="00A85DBB">
      <w:pPr>
        <w:pStyle w:val="TableFigureFooter"/>
        <w:rPr>
          <w:i/>
        </w:rPr>
      </w:pPr>
      <w:r>
        <w:rPr>
          <w:i/>
          <w:vertAlign w:val="superscript"/>
        </w:rPr>
        <w:t>s</w:t>
      </w:r>
      <w:r w:rsidR="00384958" w:rsidRPr="00A06709">
        <w:rPr>
          <w:i/>
        </w:rPr>
        <w:t xml:space="preserve"> $60 million to &lt; $70 million </w:t>
      </w:r>
    </w:p>
    <w:p w:rsidR="00384958" w:rsidRPr="00A06709" w:rsidRDefault="008E7B8C" w:rsidP="00A85DBB">
      <w:pPr>
        <w:pStyle w:val="TableFigureFooter"/>
        <w:rPr>
          <w:i/>
        </w:rPr>
      </w:pPr>
      <w:r>
        <w:rPr>
          <w:i/>
          <w:vertAlign w:val="superscript"/>
        </w:rPr>
        <w:t>t</w:t>
      </w:r>
      <w:r w:rsidR="00384958" w:rsidRPr="00A06709">
        <w:rPr>
          <w:i/>
        </w:rPr>
        <w:t xml:space="preserve"> $70 million to &lt; $80 million</w:t>
      </w:r>
    </w:p>
    <w:p w:rsidR="00384958" w:rsidRPr="00A06709" w:rsidRDefault="008E7B8C" w:rsidP="00A85DBB">
      <w:pPr>
        <w:pStyle w:val="TableFigureFooter"/>
        <w:rPr>
          <w:i/>
        </w:rPr>
      </w:pPr>
      <w:r>
        <w:rPr>
          <w:i/>
          <w:vertAlign w:val="superscript"/>
        </w:rPr>
        <w:t>u</w:t>
      </w:r>
      <w:r w:rsidR="00384958" w:rsidRPr="00A06709">
        <w:rPr>
          <w:i/>
        </w:rPr>
        <w:t xml:space="preserve"> $100 million to &lt; $200 million</w:t>
      </w:r>
    </w:p>
    <w:p w:rsidR="00D64AE1" w:rsidRPr="00A06709" w:rsidRDefault="00D55DCE" w:rsidP="00A85DBB">
      <w:pPr>
        <w:pStyle w:val="TableFigureFooter"/>
        <w:rPr>
          <w:i/>
        </w:rPr>
      </w:pPr>
      <w:r>
        <w:rPr>
          <w:i/>
          <w:vertAlign w:val="superscript"/>
        </w:rPr>
        <w:t>v</w:t>
      </w:r>
      <w:r w:rsidR="00D64AE1" w:rsidRPr="00A06709">
        <w:rPr>
          <w:i/>
        </w:rPr>
        <w:t xml:space="preserve"> $90 million to &lt; $100 million</w:t>
      </w:r>
    </w:p>
    <w:p w:rsidR="00D64AE1" w:rsidRPr="00A06709" w:rsidRDefault="00D55DCE" w:rsidP="00A85DBB">
      <w:pPr>
        <w:pStyle w:val="TableFigureFooter"/>
        <w:rPr>
          <w:i/>
        </w:rPr>
      </w:pPr>
      <w:r>
        <w:rPr>
          <w:i/>
          <w:vertAlign w:val="superscript"/>
        </w:rPr>
        <w:t>w</w:t>
      </w:r>
      <w:r w:rsidR="00D64AE1" w:rsidRPr="00A06709">
        <w:rPr>
          <w:i/>
        </w:rPr>
        <w:t xml:space="preserve"> $0 to &lt; $10 million</w:t>
      </w:r>
    </w:p>
    <w:p w:rsidR="00D64AE1" w:rsidRPr="00A06709" w:rsidRDefault="00D55DCE" w:rsidP="00A85DBB">
      <w:pPr>
        <w:pStyle w:val="TableFigureFooter"/>
        <w:rPr>
          <w:i/>
        </w:rPr>
      </w:pPr>
      <w:r>
        <w:rPr>
          <w:i/>
          <w:vertAlign w:val="superscript"/>
        </w:rPr>
        <w:t>x</w:t>
      </w:r>
      <w:r w:rsidR="00D64AE1" w:rsidRPr="00A06709">
        <w:rPr>
          <w:i/>
        </w:rPr>
        <w:t xml:space="preserve"> 100,000 to &lt; 200,000</w:t>
      </w:r>
    </w:p>
    <w:p w:rsidR="00D64AE1" w:rsidRPr="00A06709" w:rsidRDefault="00D55DCE" w:rsidP="00A85DBB">
      <w:pPr>
        <w:pStyle w:val="TableFigureFooter"/>
        <w:rPr>
          <w:i/>
        </w:rPr>
      </w:pPr>
      <w:r>
        <w:rPr>
          <w:i/>
          <w:vertAlign w:val="superscript"/>
        </w:rPr>
        <w:t>y</w:t>
      </w:r>
      <w:r w:rsidR="00D64AE1" w:rsidRPr="00A06709">
        <w:rPr>
          <w:i/>
        </w:rPr>
        <w:t xml:space="preserve"> 200,000 to &lt; 300,000</w:t>
      </w:r>
    </w:p>
    <w:p w:rsidR="00D64AE1" w:rsidRPr="00A06709" w:rsidRDefault="00D55DCE" w:rsidP="00A85DBB">
      <w:pPr>
        <w:pStyle w:val="TableFigureFooter"/>
        <w:rPr>
          <w:i/>
        </w:rPr>
      </w:pPr>
      <w:r>
        <w:rPr>
          <w:i/>
          <w:vertAlign w:val="superscript"/>
        </w:rPr>
        <w:t>z</w:t>
      </w:r>
      <w:r w:rsidR="00D64AE1" w:rsidRPr="00A06709">
        <w:rPr>
          <w:i/>
        </w:rPr>
        <w:t xml:space="preserve"> 300,000 to &lt; 400,000</w:t>
      </w:r>
    </w:p>
    <w:p w:rsidR="00A85DBB" w:rsidRPr="005C202F" w:rsidRDefault="00A85DBB" w:rsidP="00A85DBB">
      <w:pPr>
        <w:pStyle w:val="ExecSumBodyText"/>
        <w:numPr>
          <w:ilvl w:val="1"/>
          <w:numId w:val="1"/>
        </w:numPr>
      </w:pPr>
      <w:r w:rsidRPr="005C202F">
        <w:t>The estimated net cost to the PBS/RPBS based on the proposed effective price was $</w:t>
      </w:r>
      <w:r w:rsidR="00A06709">
        <w:t>30 million to &lt; $40</w:t>
      </w:r>
      <w:r w:rsidRPr="005C202F">
        <w:t xml:space="preserve"> million in Year 1 of listing, increasing to $</w:t>
      </w:r>
      <w:r w:rsidR="00A06709">
        <w:t>100 million to &lt; $200</w:t>
      </w:r>
      <w:r w:rsidRPr="005C202F">
        <w:t xml:space="preserve"> million in Year 6</w:t>
      </w:r>
      <w:r w:rsidR="00A13921">
        <w:t xml:space="preserve"> with </w:t>
      </w:r>
      <w:r w:rsidRPr="005C202F">
        <w:t>an estimated net cost of $</w:t>
      </w:r>
      <w:r w:rsidR="00A06709">
        <w:t>600 million to &lt; $700</w:t>
      </w:r>
      <w:r w:rsidRPr="005C202F">
        <w:t xml:space="preserve"> million over the first six years of listing. The estimated net cost to Government over the first six years of listing was $</w:t>
      </w:r>
      <w:r w:rsidR="00A06709">
        <w:t>700 million to &lt; $800</w:t>
      </w:r>
      <w:r w:rsidRPr="005C202F">
        <w:t xml:space="preserve"> million.</w:t>
      </w:r>
    </w:p>
    <w:p w:rsidR="00341977" w:rsidRPr="005C202F" w:rsidRDefault="00341977" w:rsidP="00341977">
      <w:pPr>
        <w:pStyle w:val="ExecSumBodyText"/>
      </w:pPr>
      <w:bookmarkStart w:id="42" w:name="_Ref79312898"/>
      <w:r w:rsidRPr="005C202F">
        <w:t>The DUSC considered the estimates presented in the submission were un</w:t>
      </w:r>
      <w:r w:rsidR="007333B3" w:rsidRPr="005C202F">
        <w:t xml:space="preserve">derestimated </w:t>
      </w:r>
      <w:r w:rsidRPr="005C202F">
        <w:t>and noted the following:</w:t>
      </w:r>
      <w:bookmarkEnd w:id="42"/>
    </w:p>
    <w:p w:rsidR="00341977" w:rsidRPr="005C202F" w:rsidRDefault="00814DEA" w:rsidP="00341977">
      <w:pPr>
        <w:pStyle w:val="ExecSumBodyText"/>
        <w:numPr>
          <w:ilvl w:val="0"/>
          <w:numId w:val="40"/>
        </w:numPr>
        <w:ind w:left="1134"/>
      </w:pPr>
      <w:r w:rsidRPr="005C202F">
        <w:t>The</w:t>
      </w:r>
      <w:r w:rsidR="003849E1" w:rsidRPr="005C202F">
        <w:t xml:space="preserve"> estimated eligible population is uncertain due to a lack of recent Australian prevalence studies and assumptions relating to prevalence growth, the estimated </w:t>
      </w:r>
      <w:r w:rsidR="00341977" w:rsidRPr="005C202F">
        <w:t>proportion of patients with TRD</w:t>
      </w:r>
      <w:r w:rsidR="003849E1" w:rsidRPr="005C202F">
        <w:t xml:space="preserve"> and assumptions relating to the proportion of patients who fail at least two treatments for a major depressive episode each year. </w:t>
      </w:r>
    </w:p>
    <w:p w:rsidR="00341977" w:rsidRPr="005C202F" w:rsidRDefault="00814DEA" w:rsidP="00814DEA">
      <w:pPr>
        <w:pStyle w:val="ExecSumBodyText"/>
        <w:numPr>
          <w:ilvl w:val="0"/>
          <w:numId w:val="40"/>
        </w:numPr>
        <w:ind w:left="1134"/>
      </w:pPr>
      <w:r w:rsidRPr="005C202F">
        <w:rPr>
          <w:iCs/>
        </w:rPr>
        <w:t>The</w:t>
      </w:r>
      <w:r w:rsidR="00E967B6" w:rsidRPr="005C202F">
        <w:rPr>
          <w:iCs/>
        </w:rPr>
        <w:t xml:space="preserve"> financial impacts incorporated compliance, persistence and dose distribution estimates derived from the TRANSFORM-2 and SUSTAIN-1 clinical trials and </w:t>
      </w:r>
      <w:r w:rsidR="00F735F7" w:rsidRPr="005C202F">
        <w:rPr>
          <w:iCs/>
        </w:rPr>
        <w:t xml:space="preserve">the DUSC </w:t>
      </w:r>
      <w:r w:rsidR="00E967B6" w:rsidRPr="005C202F">
        <w:rPr>
          <w:iCs/>
        </w:rPr>
        <w:t>considered</w:t>
      </w:r>
      <w:r w:rsidR="00E967B6" w:rsidRPr="005C202F">
        <w:rPr>
          <w:i/>
          <w:iCs/>
        </w:rPr>
        <w:t xml:space="preserve"> </w:t>
      </w:r>
      <w:r w:rsidR="00E967B6" w:rsidRPr="005C202F">
        <w:rPr>
          <w:iCs/>
        </w:rPr>
        <w:t>the applicability of the trial-based estimates to Australian clinical practice is unclear.</w:t>
      </w:r>
      <w:r w:rsidRPr="005C202F">
        <w:rPr>
          <w:iCs/>
        </w:rPr>
        <w:t xml:space="preserve"> The DUSC noted the submission did not account for patients receiving the </w:t>
      </w:r>
      <w:r w:rsidR="00F735F7" w:rsidRPr="005C202F">
        <w:rPr>
          <w:iCs/>
        </w:rPr>
        <w:t xml:space="preserve">28 mg </w:t>
      </w:r>
      <w:r w:rsidRPr="005C202F">
        <w:rPr>
          <w:iCs/>
        </w:rPr>
        <w:t>dose of esketamine</w:t>
      </w:r>
      <w:r w:rsidR="005C202F">
        <w:rPr>
          <w:iCs/>
        </w:rPr>
        <w:t xml:space="preserve">. </w:t>
      </w:r>
    </w:p>
    <w:p w:rsidR="00341977" w:rsidRPr="005C202F" w:rsidRDefault="00814DEA" w:rsidP="00341977">
      <w:pPr>
        <w:pStyle w:val="ExecSumBodyText"/>
        <w:numPr>
          <w:ilvl w:val="0"/>
          <w:numId w:val="40"/>
        </w:numPr>
        <w:ind w:left="1134"/>
      </w:pPr>
      <w:r w:rsidRPr="005C202F">
        <w:t>The</w:t>
      </w:r>
      <w:r w:rsidR="00341977" w:rsidRPr="005C202F">
        <w:t xml:space="preserve"> costs associated with esketamine administration and monitoring appeared to be significantly underestimated.</w:t>
      </w:r>
    </w:p>
    <w:p w:rsidR="00E967B6" w:rsidRPr="005C202F" w:rsidRDefault="00814DEA" w:rsidP="00341977">
      <w:pPr>
        <w:pStyle w:val="ExecSumBodyText"/>
        <w:numPr>
          <w:ilvl w:val="0"/>
          <w:numId w:val="40"/>
        </w:numPr>
        <w:ind w:left="1134"/>
      </w:pPr>
      <w:r w:rsidRPr="005C202F">
        <w:t>The</w:t>
      </w:r>
      <w:r w:rsidR="00341977" w:rsidRPr="005C202F">
        <w:t xml:space="preserve"> optimum duration of treatment with esketamine is unclear and </w:t>
      </w:r>
      <w:r w:rsidR="00BA1B62" w:rsidRPr="005C202F">
        <w:t xml:space="preserve">the DUSC </w:t>
      </w:r>
      <w:r w:rsidR="00341977" w:rsidRPr="005C202F">
        <w:t>noted the financial estimates did not account for repeat courses of esketamine.</w:t>
      </w:r>
    </w:p>
    <w:p w:rsidR="00341977" w:rsidRPr="005C202F" w:rsidRDefault="00814DEA" w:rsidP="00341977">
      <w:pPr>
        <w:pStyle w:val="ExecSumBodyText"/>
        <w:numPr>
          <w:ilvl w:val="0"/>
          <w:numId w:val="40"/>
        </w:numPr>
        <w:ind w:left="1134"/>
      </w:pPr>
      <w:r w:rsidRPr="005C202F">
        <w:t>Difficulty</w:t>
      </w:r>
      <w:r w:rsidR="00341977" w:rsidRPr="005C202F">
        <w:t xml:space="preserve"> in accessing supervised administration, the burden of twice weekly, weekly, or fortnightly appointments for administration, and the inability to drive for the rest of the day following treatment, may impact compliance.</w:t>
      </w:r>
    </w:p>
    <w:p w:rsidR="00814DEA" w:rsidRPr="005C202F" w:rsidRDefault="00814DEA" w:rsidP="00341977">
      <w:pPr>
        <w:pStyle w:val="ExecSumBodyText"/>
        <w:numPr>
          <w:ilvl w:val="0"/>
          <w:numId w:val="40"/>
        </w:numPr>
        <w:ind w:left="1134"/>
      </w:pPr>
      <w:r w:rsidRPr="005C202F">
        <w:t>There</w:t>
      </w:r>
      <w:r w:rsidR="00341977" w:rsidRPr="005C202F">
        <w:t xml:space="preserve"> is a significant risk of use outside the proposed restriction in patients with: depression that is not treatment resistant, post-traumatic stress disorder (PTSD), anxiety, chronic pain, insomnia, fibromyalgia, suicidality and other conditions with ketamine currently used in many of these additional indications.</w:t>
      </w:r>
      <w:r w:rsidRPr="005C202F">
        <w:t xml:space="preserve"> The DUSC considered there is the potential for a large cohort of patients currently being treated with ketamine infusions to move to esketamine nasal spray. </w:t>
      </w:r>
    </w:p>
    <w:p w:rsidR="00B64E52" w:rsidRPr="005C202F" w:rsidRDefault="00B64E52" w:rsidP="00B64E52">
      <w:pPr>
        <w:pStyle w:val="3-SubsectionHeading"/>
      </w:pPr>
      <w:r w:rsidRPr="005C202F">
        <w:t>Quality Use of Medicines</w:t>
      </w:r>
      <w:bookmarkEnd w:id="39"/>
      <w:bookmarkEnd w:id="40"/>
    </w:p>
    <w:p w:rsidR="00B64E52" w:rsidRPr="005C202F" w:rsidRDefault="00B64E52" w:rsidP="00B64E52">
      <w:pPr>
        <w:pStyle w:val="ExecSumBodyText"/>
        <w:numPr>
          <w:ilvl w:val="1"/>
          <w:numId w:val="1"/>
        </w:numPr>
      </w:pPr>
      <w:r w:rsidRPr="005C202F">
        <w:t>The sponsor noted that the dispensing and storage of esketamine nasal spray will present a number of challenges including:</w:t>
      </w:r>
    </w:p>
    <w:p w:rsidR="00B64E52" w:rsidRPr="005C202F" w:rsidRDefault="00B64E52" w:rsidP="00515AFF">
      <w:pPr>
        <w:pStyle w:val="ExecSumBodyText"/>
        <w:numPr>
          <w:ilvl w:val="0"/>
          <w:numId w:val="9"/>
        </w:numPr>
        <w:spacing w:after="0"/>
        <w:ind w:left="1077" w:hanging="357"/>
        <w:rPr>
          <w:iCs/>
        </w:rPr>
      </w:pPr>
      <w:r w:rsidRPr="005C202F">
        <w:rPr>
          <w:iCs/>
        </w:rPr>
        <w:t>Patients will not be permitted to handle the drug until ready for administration in the clinic.</w:t>
      </w:r>
    </w:p>
    <w:p w:rsidR="00B64E52" w:rsidRPr="005C202F" w:rsidRDefault="00B64E52" w:rsidP="00515AFF">
      <w:pPr>
        <w:pStyle w:val="ExecSumBodyText"/>
        <w:numPr>
          <w:ilvl w:val="0"/>
          <w:numId w:val="9"/>
        </w:numPr>
        <w:spacing w:after="0"/>
        <w:ind w:left="1077" w:hanging="357"/>
        <w:rPr>
          <w:iCs/>
        </w:rPr>
      </w:pPr>
      <w:r w:rsidRPr="005C202F">
        <w:rPr>
          <w:iCs/>
        </w:rPr>
        <w:t>Administration of esketamine nasal spray must be under the supervision of a healthcare professional on a twice weekly</w:t>
      </w:r>
      <w:r w:rsidR="00BC48A6" w:rsidRPr="005C202F">
        <w:rPr>
          <w:iCs/>
        </w:rPr>
        <w:t>, weekly, or fortnightly</w:t>
      </w:r>
      <w:r w:rsidRPr="005C202F">
        <w:rPr>
          <w:iCs/>
        </w:rPr>
        <w:t xml:space="preserve"> basis.</w:t>
      </w:r>
    </w:p>
    <w:p w:rsidR="00B64E52" w:rsidRPr="005C202F" w:rsidRDefault="00B64E52" w:rsidP="00515AFF">
      <w:pPr>
        <w:pStyle w:val="ExecSumBodyText"/>
        <w:numPr>
          <w:ilvl w:val="0"/>
          <w:numId w:val="9"/>
        </w:numPr>
        <w:spacing w:after="0"/>
        <w:ind w:left="1077" w:hanging="357"/>
        <w:rPr>
          <w:iCs/>
        </w:rPr>
      </w:pPr>
      <w:r w:rsidRPr="005C202F">
        <w:rPr>
          <w:iCs/>
        </w:rPr>
        <w:t>The need for timely esketamine delivery.</w:t>
      </w:r>
    </w:p>
    <w:p w:rsidR="00B64E52" w:rsidRPr="005C202F" w:rsidRDefault="00B64E52" w:rsidP="00515AFF">
      <w:pPr>
        <w:pStyle w:val="ExecSumBodyText"/>
        <w:numPr>
          <w:ilvl w:val="0"/>
          <w:numId w:val="9"/>
        </w:numPr>
        <w:spacing w:after="0"/>
        <w:ind w:left="1077" w:hanging="357"/>
        <w:rPr>
          <w:iCs/>
        </w:rPr>
      </w:pPr>
      <w:r w:rsidRPr="005C202F">
        <w:rPr>
          <w:iCs/>
        </w:rPr>
        <w:t>Compliance with State Government requirements relating to Schedule 8 drugs.</w:t>
      </w:r>
    </w:p>
    <w:p w:rsidR="00B64E52" w:rsidRPr="005C202F" w:rsidRDefault="00B64E52" w:rsidP="00B64E52"/>
    <w:p w:rsidR="00B64E52" w:rsidRPr="005C202F" w:rsidRDefault="00B64E52" w:rsidP="00B64E52">
      <w:pPr>
        <w:pStyle w:val="ExecSumBodyText"/>
        <w:numPr>
          <w:ilvl w:val="1"/>
          <w:numId w:val="1"/>
        </w:numPr>
      </w:pPr>
      <w:r w:rsidRPr="005C202F">
        <w:t xml:space="preserve">The submission stated that a controlled access program has been created in which the supply of esketamine will be restricted to sponsor-initiated treatment sites where a health care professional is trained to administer esketamine and monitor patients in accordance with the product information. The submission stated that the program has been developed to mitigate the potential risk of drug abuse, misuse and diversion. </w:t>
      </w:r>
    </w:p>
    <w:p w:rsidR="00B64E52" w:rsidRPr="005C202F" w:rsidRDefault="00B64E52" w:rsidP="00B64E52">
      <w:pPr>
        <w:pStyle w:val="ExecSumBodyText"/>
        <w:numPr>
          <w:ilvl w:val="1"/>
          <w:numId w:val="1"/>
        </w:numPr>
        <w:rPr>
          <w:iCs/>
        </w:rPr>
      </w:pPr>
      <w:r w:rsidRPr="005C202F">
        <w:rPr>
          <w:iCs/>
        </w:rPr>
        <w:t>Additional quality use of medicines issues noted during the evaluation include:</w:t>
      </w:r>
    </w:p>
    <w:p w:rsidR="00B64E52" w:rsidRPr="005C202F" w:rsidRDefault="00B64E52" w:rsidP="00515AFF">
      <w:pPr>
        <w:pStyle w:val="ExecSumBodyText"/>
        <w:numPr>
          <w:ilvl w:val="0"/>
          <w:numId w:val="10"/>
        </w:numPr>
        <w:spacing w:after="0"/>
        <w:ind w:left="1077" w:hanging="357"/>
        <w:rPr>
          <w:iCs/>
        </w:rPr>
      </w:pPr>
      <w:r w:rsidRPr="005C202F">
        <w:rPr>
          <w:iCs/>
        </w:rPr>
        <w:t>Esketamine can cause transient increases in blood pressure. Patients with cardiovascular and cerebrovascular conditions should be carefully assessed before prescribing esketamine and treatment initiated only if the benefit outweighs the risk. The product information notes that esketamine should be used with caution in the presence or a history of psychosis; the presence or history of mania or bipolar disorder; hyperthyroidism that has not been sufficiently treated; significant pulmonary insufficiency; known uncontrolled bradyarrhythmias or tachyarrhythmias that lead to haemodynamic instability; or a history of brain injury, hypertensive encephalopathy, intrathecal therapy with ventricular shunts, or any other condition associated with increased intracranial pressure.</w:t>
      </w:r>
    </w:p>
    <w:p w:rsidR="00B64E52" w:rsidRPr="005C202F" w:rsidRDefault="00B64E52" w:rsidP="00515AFF">
      <w:pPr>
        <w:pStyle w:val="ExecSumBodyText"/>
        <w:numPr>
          <w:ilvl w:val="0"/>
          <w:numId w:val="10"/>
        </w:numPr>
        <w:spacing w:after="0"/>
        <w:ind w:left="1077" w:hanging="357"/>
        <w:rPr>
          <w:iCs/>
        </w:rPr>
      </w:pPr>
      <w:r w:rsidRPr="005C202F">
        <w:rPr>
          <w:iCs/>
        </w:rPr>
        <w:t>The potential for tolerance and dependence to develop during esketamine treatment, and the potential for withdrawal symptoms to occur following esketamine treatment cessation.</w:t>
      </w:r>
    </w:p>
    <w:p w:rsidR="00B64E52" w:rsidRPr="005C202F" w:rsidRDefault="00B64E52" w:rsidP="00515AFF">
      <w:pPr>
        <w:pStyle w:val="ExecSumBodyText"/>
        <w:numPr>
          <w:ilvl w:val="0"/>
          <w:numId w:val="10"/>
        </w:numPr>
        <w:spacing w:after="0"/>
        <w:ind w:left="1077" w:hanging="357"/>
        <w:rPr>
          <w:iCs/>
        </w:rPr>
      </w:pPr>
      <w:r w:rsidRPr="005C202F">
        <w:rPr>
          <w:iCs/>
        </w:rPr>
        <w:t xml:space="preserve">There are potential risks to the patient and the general public if advice not to drive following esketamine dosing is disregarded. </w:t>
      </w:r>
    </w:p>
    <w:p w:rsidR="00B64E52" w:rsidRPr="005C202F" w:rsidRDefault="00B64E52" w:rsidP="00515AFF">
      <w:pPr>
        <w:pStyle w:val="ExecSumBodyText"/>
        <w:numPr>
          <w:ilvl w:val="0"/>
          <w:numId w:val="10"/>
        </w:numPr>
        <w:spacing w:after="0"/>
        <w:ind w:left="1077" w:hanging="357"/>
        <w:rPr>
          <w:iCs/>
        </w:rPr>
      </w:pPr>
      <w:r w:rsidRPr="005C202F">
        <w:rPr>
          <w:iCs/>
        </w:rPr>
        <w:t>There is potential for use outside of the recommended age range. The efficacy and safety of esketamine have not been established in patients aged ≤17 years.</w:t>
      </w:r>
    </w:p>
    <w:p w:rsidR="00B64E52" w:rsidRPr="005C202F" w:rsidRDefault="00B64E52" w:rsidP="00515AFF">
      <w:pPr>
        <w:pStyle w:val="ExecSumBodyText"/>
        <w:numPr>
          <w:ilvl w:val="0"/>
          <w:numId w:val="10"/>
        </w:numPr>
        <w:spacing w:after="0"/>
        <w:ind w:left="1077" w:hanging="357"/>
        <w:rPr>
          <w:iCs/>
        </w:rPr>
      </w:pPr>
      <w:r w:rsidRPr="005C202F">
        <w:rPr>
          <w:iCs/>
        </w:rPr>
        <w:t>There may be residual medicine contained in the delivery device following use, which will require disposal as per Schedule 8 medicine requirements.</w:t>
      </w:r>
    </w:p>
    <w:p w:rsidR="00B64E52" w:rsidRPr="005C202F" w:rsidRDefault="00B64E52" w:rsidP="00515AFF">
      <w:pPr>
        <w:pStyle w:val="ExecSumBodyText"/>
        <w:numPr>
          <w:ilvl w:val="0"/>
          <w:numId w:val="10"/>
        </w:numPr>
        <w:spacing w:after="0"/>
        <w:ind w:left="1077" w:hanging="357"/>
        <w:rPr>
          <w:iCs/>
        </w:rPr>
      </w:pPr>
      <w:r w:rsidRPr="005C202F">
        <w:rPr>
          <w:iCs/>
        </w:rPr>
        <w:t xml:space="preserve">The esketamine devices are relatively bulky and may be difficult to store in treatment facility Schedule 8 drug safes. </w:t>
      </w:r>
    </w:p>
    <w:p w:rsidR="00B64E52" w:rsidRPr="005C202F" w:rsidRDefault="00B64E52" w:rsidP="00515AFF">
      <w:pPr>
        <w:pStyle w:val="ExecSumBodyText"/>
        <w:numPr>
          <w:ilvl w:val="0"/>
          <w:numId w:val="10"/>
        </w:numPr>
        <w:spacing w:after="0"/>
        <w:ind w:left="1077" w:hanging="357"/>
        <w:rPr>
          <w:iCs/>
        </w:rPr>
      </w:pPr>
      <w:r w:rsidRPr="005C202F">
        <w:rPr>
          <w:iCs/>
        </w:rPr>
        <w:t>Treatment centres will require adequate facilities for the management of adverse events.</w:t>
      </w:r>
    </w:p>
    <w:p w:rsidR="0086240F" w:rsidRPr="005C202F" w:rsidRDefault="0086240F" w:rsidP="0086240F">
      <w:pPr>
        <w:pStyle w:val="ExecSumBodyText"/>
        <w:numPr>
          <w:ilvl w:val="0"/>
          <w:numId w:val="0"/>
        </w:numPr>
        <w:spacing w:after="0"/>
        <w:ind w:left="720" w:hanging="720"/>
        <w:rPr>
          <w:iCs/>
        </w:rPr>
      </w:pPr>
    </w:p>
    <w:p w:rsidR="0086240F" w:rsidRPr="005C202F" w:rsidRDefault="00264B96" w:rsidP="00264B96">
      <w:pPr>
        <w:pStyle w:val="ExecSumBodyText"/>
        <w:numPr>
          <w:ilvl w:val="1"/>
          <w:numId w:val="1"/>
        </w:numPr>
      </w:pPr>
      <w:r w:rsidRPr="005C202F">
        <w:rPr>
          <w:iCs/>
        </w:rPr>
        <w:t xml:space="preserve">The </w:t>
      </w:r>
      <w:r w:rsidR="0086240F" w:rsidRPr="005C202F">
        <w:rPr>
          <w:iCs/>
        </w:rPr>
        <w:t xml:space="preserve">DUSC </w:t>
      </w:r>
      <w:r w:rsidRPr="005C202F">
        <w:rPr>
          <w:iCs/>
        </w:rPr>
        <w:t xml:space="preserve">noted the following additional </w:t>
      </w:r>
      <w:r w:rsidR="0086240F" w:rsidRPr="005C202F">
        <w:rPr>
          <w:iCs/>
        </w:rPr>
        <w:t xml:space="preserve">Quality </w:t>
      </w:r>
      <w:r w:rsidRPr="005C202F">
        <w:rPr>
          <w:iCs/>
        </w:rPr>
        <w:t>U</w:t>
      </w:r>
      <w:r w:rsidR="0086240F" w:rsidRPr="005C202F">
        <w:rPr>
          <w:iCs/>
        </w:rPr>
        <w:t>se of Medicines issues:</w:t>
      </w:r>
    </w:p>
    <w:p w:rsidR="0086240F" w:rsidRPr="005C202F" w:rsidRDefault="00264B96" w:rsidP="0086240F">
      <w:pPr>
        <w:pStyle w:val="ExecSumBodyText"/>
        <w:numPr>
          <w:ilvl w:val="0"/>
          <w:numId w:val="10"/>
        </w:numPr>
        <w:spacing w:after="0"/>
        <w:ind w:left="1077" w:hanging="357"/>
        <w:rPr>
          <w:iCs/>
        </w:rPr>
      </w:pPr>
      <w:r w:rsidRPr="005C202F">
        <w:rPr>
          <w:iCs/>
        </w:rPr>
        <w:t>Th</w:t>
      </w:r>
      <w:r w:rsidR="0086240F" w:rsidRPr="005C202F">
        <w:rPr>
          <w:iCs/>
        </w:rPr>
        <w:t>e restriction requiring treatment to be used in combination with a newly initiated oral antidepressant was problematic noting that clinical practice guidelines would never start two new treatments at the same time.</w:t>
      </w:r>
    </w:p>
    <w:p w:rsidR="0086240F" w:rsidRPr="005C202F" w:rsidRDefault="0086240F" w:rsidP="0086240F">
      <w:pPr>
        <w:pStyle w:val="ExecSumBodyText"/>
        <w:numPr>
          <w:ilvl w:val="0"/>
          <w:numId w:val="10"/>
        </w:numPr>
        <w:spacing w:after="0"/>
        <w:ind w:left="1077" w:hanging="357"/>
        <w:rPr>
          <w:iCs/>
        </w:rPr>
      </w:pPr>
      <w:r w:rsidRPr="005C202F">
        <w:rPr>
          <w:iCs/>
        </w:rPr>
        <w:t xml:space="preserve">There are significant access to treatment issues, as the availability and location of psychiatrists is limited in some areas of Australia. </w:t>
      </w:r>
    </w:p>
    <w:p w:rsidR="0086240F" w:rsidRPr="005C202F" w:rsidRDefault="0086240F" w:rsidP="0086240F">
      <w:pPr>
        <w:pStyle w:val="ExecSumBodyText"/>
        <w:numPr>
          <w:ilvl w:val="0"/>
          <w:numId w:val="10"/>
        </w:numPr>
        <w:spacing w:after="0"/>
        <w:ind w:left="1077" w:hanging="357"/>
        <w:rPr>
          <w:iCs/>
        </w:rPr>
      </w:pPr>
      <w:r w:rsidRPr="005C202F">
        <w:rPr>
          <w:iCs/>
        </w:rPr>
        <w:t>Esketamine can cause adverse side effects, which could have been underestimated in the submission due to limited longer term follow up and real-world utilisation data.</w:t>
      </w:r>
    </w:p>
    <w:p w:rsidR="0086240F" w:rsidRPr="005C202F" w:rsidRDefault="0086240F" w:rsidP="0086240F">
      <w:pPr>
        <w:pStyle w:val="ExecSumBodyText"/>
        <w:numPr>
          <w:ilvl w:val="0"/>
          <w:numId w:val="0"/>
        </w:numPr>
        <w:spacing w:after="0"/>
        <w:ind w:left="720" w:hanging="720"/>
        <w:rPr>
          <w:iCs/>
        </w:rPr>
      </w:pPr>
    </w:p>
    <w:p w:rsidR="00B64E52" w:rsidRPr="005C202F" w:rsidRDefault="00B64E52" w:rsidP="00B64E52">
      <w:pPr>
        <w:pStyle w:val="3-SubsectionHeading"/>
      </w:pPr>
      <w:bookmarkStart w:id="43" w:name="_Toc22897649"/>
      <w:bookmarkStart w:id="44" w:name="_Toc72325768"/>
      <w:r w:rsidRPr="005C202F">
        <w:t>Financial Management – Risk Sharing Arrangements</w:t>
      </w:r>
      <w:bookmarkEnd w:id="43"/>
      <w:bookmarkEnd w:id="44"/>
    </w:p>
    <w:p w:rsidR="00B64E52" w:rsidRPr="005C202F" w:rsidRDefault="00B64E52" w:rsidP="00B64E52">
      <w:pPr>
        <w:pStyle w:val="ExecSumBodyText"/>
        <w:numPr>
          <w:ilvl w:val="1"/>
          <w:numId w:val="1"/>
        </w:numPr>
      </w:pPr>
      <w:r w:rsidRPr="005C202F">
        <w:t xml:space="preserve">The submission noted potential uncertainty in the utilisation of esketamine, including the number of patients eligible for treatment, and the number of treated patients. The submission proposed a </w:t>
      </w:r>
      <w:r w:rsidR="00A13921">
        <w:t>R</w:t>
      </w:r>
      <w:r w:rsidR="00A13921" w:rsidRPr="005C202F">
        <w:t xml:space="preserve">isk </w:t>
      </w:r>
      <w:r w:rsidR="00A13921">
        <w:t>S</w:t>
      </w:r>
      <w:r w:rsidR="00A13921" w:rsidRPr="005C202F">
        <w:t xml:space="preserve">haring </w:t>
      </w:r>
      <w:r w:rsidR="00A13921">
        <w:t>A</w:t>
      </w:r>
      <w:r w:rsidR="00A13921" w:rsidRPr="005C202F">
        <w:t xml:space="preserve">rrangement </w:t>
      </w:r>
      <w:r w:rsidRPr="005C202F">
        <w:t xml:space="preserve">consisting of a rebate of </w:t>
      </w:r>
      <w:r w:rsidR="002704A1">
        <w:rPr>
          <w:noProof/>
          <w:color w:val="000000"/>
          <w:highlight w:val="black"/>
        </w:rPr>
        <w:t>'''''</w:t>
      </w:r>
      <w:r w:rsidRPr="005C202F">
        <w:t>% for use above specified subsidisation caps. The proposed subsidisation caps were set according to the estimated financial impacts over the first five years of listing.</w:t>
      </w:r>
    </w:p>
    <w:p w:rsidR="00B64E52" w:rsidRPr="005C202F" w:rsidRDefault="00B64E52" w:rsidP="00B64E52">
      <w:pPr>
        <w:pStyle w:val="ExecSumBodyText"/>
        <w:numPr>
          <w:ilvl w:val="1"/>
          <w:numId w:val="1"/>
        </w:numPr>
      </w:pPr>
      <w:r w:rsidRPr="005C202F">
        <w:t xml:space="preserve">Table </w:t>
      </w:r>
      <w:r w:rsidR="00A60886" w:rsidRPr="005C202F">
        <w:t>1</w:t>
      </w:r>
      <w:r w:rsidR="00A60886">
        <w:t>8</w:t>
      </w:r>
      <w:r w:rsidR="00A60886" w:rsidRPr="005C202F">
        <w:t xml:space="preserve"> </w:t>
      </w:r>
      <w:r w:rsidRPr="005C202F">
        <w:t>presents the subsidisation caps proposed in the submission.</w:t>
      </w:r>
    </w:p>
    <w:p w:rsidR="00B64E52" w:rsidRPr="005C202F" w:rsidRDefault="00B64E52" w:rsidP="00B64E52">
      <w:pPr>
        <w:pStyle w:val="Tableheadingrow"/>
        <w:rPr>
          <w:lang w:val="en-AU"/>
        </w:rPr>
      </w:pPr>
      <w:r w:rsidRPr="005C202F">
        <w:rPr>
          <w:lang w:val="en-AU"/>
        </w:rPr>
        <w:t xml:space="preserve">Table </w:t>
      </w:r>
      <w:r w:rsidR="00177CC1" w:rsidRPr="005C202F">
        <w:rPr>
          <w:lang w:val="en-AU"/>
        </w:rPr>
        <w:t>1</w:t>
      </w:r>
      <w:r w:rsidR="00A60886">
        <w:rPr>
          <w:lang w:val="en-AU"/>
        </w:rPr>
        <w:t>8</w:t>
      </w:r>
      <w:r w:rsidRPr="005C202F">
        <w:rPr>
          <w:lang w:val="en-AU"/>
        </w:rPr>
        <w:t>: Proposed risk-sharing arrangement subsidisation caps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2886"/>
        <w:gridCol w:w="1227"/>
        <w:gridCol w:w="1226"/>
        <w:gridCol w:w="1226"/>
        <w:gridCol w:w="1226"/>
        <w:gridCol w:w="1226"/>
      </w:tblGrid>
      <w:tr w:rsidR="00B64E52" w:rsidRPr="005C202F" w:rsidTr="00EB63AF">
        <w:trPr>
          <w:tblHeader/>
        </w:trPr>
        <w:tc>
          <w:tcPr>
            <w:tcW w:w="1600" w:type="pct"/>
            <w:shd w:val="clear" w:color="auto" w:fill="auto"/>
            <w:vAlign w:val="center"/>
          </w:tcPr>
          <w:p w:rsidR="00B64E52" w:rsidRPr="005C202F" w:rsidRDefault="00B64E52" w:rsidP="00EB63AF">
            <w:pPr>
              <w:pStyle w:val="Tableheadingrow"/>
              <w:rPr>
                <w:lang w:val="en-AU"/>
              </w:rPr>
            </w:pPr>
          </w:p>
        </w:tc>
        <w:tc>
          <w:tcPr>
            <w:tcW w:w="680" w:type="pct"/>
            <w:shd w:val="clear" w:color="auto" w:fill="auto"/>
            <w:vAlign w:val="center"/>
          </w:tcPr>
          <w:p w:rsidR="00B64E52" w:rsidRPr="005C202F" w:rsidRDefault="00B64E52" w:rsidP="00EB63AF">
            <w:pPr>
              <w:pStyle w:val="Tableheadingrow"/>
              <w:jc w:val="center"/>
              <w:rPr>
                <w:lang w:val="en-AU"/>
              </w:rPr>
            </w:pPr>
            <w:r w:rsidRPr="005C202F">
              <w:rPr>
                <w:lang w:val="en-AU"/>
              </w:rPr>
              <w:t xml:space="preserve">Year 1 </w:t>
            </w:r>
          </w:p>
        </w:tc>
        <w:tc>
          <w:tcPr>
            <w:tcW w:w="680" w:type="pct"/>
            <w:shd w:val="clear" w:color="auto" w:fill="auto"/>
            <w:vAlign w:val="center"/>
          </w:tcPr>
          <w:p w:rsidR="00B64E52" w:rsidRPr="005C202F" w:rsidRDefault="00B64E52" w:rsidP="00EB63AF">
            <w:pPr>
              <w:pStyle w:val="Tableheadingrow"/>
              <w:jc w:val="center"/>
              <w:rPr>
                <w:lang w:val="en-AU"/>
              </w:rPr>
            </w:pPr>
            <w:r w:rsidRPr="005C202F">
              <w:rPr>
                <w:lang w:val="en-AU"/>
              </w:rPr>
              <w:t xml:space="preserve">Year 2 </w:t>
            </w:r>
          </w:p>
        </w:tc>
        <w:tc>
          <w:tcPr>
            <w:tcW w:w="680" w:type="pct"/>
            <w:shd w:val="clear" w:color="auto" w:fill="auto"/>
            <w:vAlign w:val="center"/>
          </w:tcPr>
          <w:p w:rsidR="00B64E52" w:rsidRPr="005C202F" w:rsidRDefault="00B64E52" w:rsidP="00EB63AF">
            <w:pPr>
              <w:pStyle w:val="Tableheadingrow"/>
              <w:jc w:val="center"/>
              <w:rPr>
                <w:lang w:val="en-AU"/>
              </w:rPr>
            </w:pPr>
            <w:r w:rsidRPr="005C202F">
              <w:rPr>
                <w:lang w:val="en-AU"/>
              </w:rPr>
              <w:t xml:space="preserve">Year 3 </w:t>
            </w:r>
          </w:p>
        </w:tc>
        <w:tc>
          <w:tcPr>
            <w:tcW w:w="680" w:type="pct"/>
            <w:shd w:val="clear" w:color="auto" w:fill="auto"/>
            <w:vAlign w:val="center"/>
          </w:tcPr>
          <w:p w:rsidR="00B64E52" w:rsidRPr="005C202F" w:rsidRDefault="00B64E52" w:rsidP="00EB63AF">
            <w:pPr>
              <w:pStyle w:val="Tableheadingrow"/>
              <w:jc w:val="center"/>
              <w:rPr>
                <w:lang w:val="en-AU"/>
              </w:rPr>
            </w:pPr>
            <w:r w:rsidRPr="005C202F">
              <w:rPr>
                <w:lang w:val="en-AU"/>
              </w:rPr>
              <w:t xml:space="preserve">Year 4 </w:t>
            </w:r>
          </w:p>
        </w:tc>
        <w:tc>
          <w:tcPr>
            <w:tcW w:w="680" w:type="pct"/>
            <w:shd w:val="clear" w:color="auto" w:fill="auto"/>
            <w:vAlign w:val="center"/>
          </w:tcPr>
          <w:p w:rsidR="00B64E52" w:rsidRPr="005C202F" w:rsidRDefault="00B64E52" w:rsidP="00EB63AF">
            <w:pPr>
              <w:pStyle w:val="Tableheadingrow"/>
              <w:jc w:val="center"/>
              <w:rPr>
                <w:lang w:val="en-AU"/>
              </w:rPr>
            </w:pPr>
            <w:r w:rsidRPr="005C202F">
              <w:rPr>
                <w:lang w:val="en-AU"/>
              </w:rPr>
              <w:t xml:space="preserve">Year 5 </w:t>
            </w:r>
          </w:p>
        </w:tc>
      </w:tr>
      <w:tr w:rsidR="00B64E52" w:rsidRPr="005C202F" w:rsidTr="00EB63AF">
        <w:tc>
          <w:tcPr>
            <w:tcW w:w="1600" w:type="pct"/>
            <w:shd w:val="clear" w:color="auto" w:fill="auto"/>
            <w:vAlign w:val="center"/>
          </w:tcPr>
          <w:p w:rsidR="00B64E52" w:rsidRPr="005C202F" w:rsidRDefault="00B64E52" w:rsidP="00EB63AF">
            <w:pPr>
              <w:pStyle w:val="TableText"/>
            </w:pPr>
            <w:r w:rsidRPr="005C202F">
              <w:t>Value of subsidisation caps</w:t>
            </w:r>
          </w:p>
        </w:tc>
        <w:tc>
          <w:tcPr>
            <w:tcW w:w="680" w:type="pct"/>
            <w:shd w:val="clear" w:color="auto" w:fill="auto"/>
          </w:tcPr>
          <w:p w:rsidR="00B64E52" w:rsidRPr="005C202F" w:rsidRDefault="00B64E52" w:rsidP="00EB63AF">
            <w:pPr>
              <w:pStyle w:val="TableText"/>
              <w:jc w:val="center"/>
            </w:pPr>
            <w:r w:rsidRPr="005C202F">
              <w:t>$</w:t>
            </w:r>
            <w:r w:rsidR="002704A1">
              <w:rPr>
                <w:noProof/>
                <w:color w:val="000000"/>
                <w:highlight w:val="black"/>
              </w:rPr>
              <w:t>'''''''''''''''''''''''''''</w:t>
            </w:r>
            <w:r w:rsidR="00A06709">
              <w:rPr>
                <w:vertAlign w:val="superscript"/>
              </w:rPr>
              <w:t>1</w:t>
            </w:r>
          </w:p>
        </w:tc>
        <w:tc>
          <w:tcPr>
            <w:tcW w:w="680" w:type="pct"/>
            <w:shd w:val="clear" w:color="auto" w:fill="auto"/>
          </w:tcPr>
          <w:p w:rsidR="00B64E52" w:rsidRPr="005C202F" w:rsidRDefault="00B64E52" w:rsidP="00EB63AF">
            <w:pPr>
              <w:pStyle w:val="TableText"/>
              <w:jc w:val="center"/>
            </w:pPr>
            <w:r w:rsidRPr="005C202F">
              <w:t>$</w:t>
            </w:r>
            <w:r w:rsidR="002704A1">
              <w:rPr>
                <w:noProof/>
                <w:color w:val="000000"/>
                <w:highlight w:val="black"/>
              </w:rPr>
              <w:t>''''''''''''''''''''''''''''</w:t>
            </w:r>
            <w:r w:rsidR="00A06709">
              <w:rPr>
                <w:vertAlign w:val="superscript"/>
              </w:rPr>
              <w:t>2</w:t>
            </w:r>
          </w:p>
        </w:tc>
        <w:tc>
          <w:tcPr>
            <w:tcW w:w="680" w:type="pct"/>
            <w:shd w:val="clear" w:color="auto" w:fill="auto"/>
          </w:tcPr>
          <w:p w:rsidR="00B64E52" w:rsidRPr="005C202F" w:rsidRDefault="00B64E52" w:rsidP="00EB63AF">
            <w:pPr>
              <w:pStyle w:val="TableText"/>
              <w:jc w:val="center"/>
            </w:pPr>
            <w:r w:rsidRPr="005C202F">
              <w:t>$</w:t>
            </w:r>
            <w:r w:rsidR="002704A1">
              <w:rPr>
                <w:noProof/>
                <w:color w:val="000000"/>
                <w:highlight w:val="black"/>
              </w:rPr>
              <w:t>'''''''''''''''''''''''''''''''</w:t>
            </w:r>
            <w:r w:rsidR="00A06709">
              <w:rPr>
                <w:vertAlign w:val="superscript"/>
              </w:rPr>
              <w:t>3</w:t>
            </w:r>
          </w:p>
        </w:tc>
        <w:tc>
          <w:tcPr>
            <w:tcW w:w="680" w:type="pct"/>
            <w:shd w:val="clear" w:color="auto" w:fill="auto"/>
          </w:tcPr>
          <w:p w:rsidR="00B64E52" w:rsidRPr="005C202F" w:rsidRDefault="00B64E52" w:rsidP="00EB63AF">
            <w:pPr>
              <w:pStyle w:val="TableText"/>
              <w:jc w:val="center"/>
            </w:pPr>
            <w:r w:rsidRPr="005C202F">
              <w:t>$</w:t>
            </w:r>
            <w:r w:rsidR="002704A1">
              <w:rPr>
                <w:noProof/>
                <w:color w:val="000000"/>
                <w:highlight w:val="black"/>
              </w:rPr>
              <w:t>''''''''''''''''''''''''''''''''</w:t>
            </w:r>
            <w:r w:rsidR="00A06709">
              <w:rPr>
                <w:vertAlign w:val="superscript"/>
              </w:rPr>
              <w:t>3</w:t>
            </w:r>
          </w:p>
        </w:tc>
        <w:tc>
          <w:tcPr>
            <w:tcW w:w="680" w:type="pct"/>
            <w:shd w:val="clear" w:color="auto" w:fill="auto"/>
          </w:tcPr>
          <w:p w:rsidR="00B64E52" w:rsidRPr="005C202F" w:rsidRDefault="00B64E52" w:rsidP="00EB63AF">
            <w:pPr>
              <w:pStyle w:val="TableText"/>
              <w:jc w:val="center"/>
            </w:pPr>
            <w:r w:rsidRPr="005C202F">
              <w:t>$</w:t>
            </w:r>
            <w:r w:rsidR="002704A1">
              <w:rPr>
                <w:noProof/>
                <w:color w:val="000000"/>
                <w:highlight w:val="black"/>
              </w:rPr>
              <w:t>'''''''''''''''''''''''''''''</w:t>
            </w:r>
            <w:r w:rsidR="00A06709">
              <w:rPr>
                <w:vertAlign w:val="superscript"/>
              </w:rPr>
              <w:t>3</w:t>
            </w:r>
          </w:p>
        </w:tc>
      </w:tr>
      <w:tr w:rsidR="00B64E52" w:rsidRPr="005C202F" w:rsidTr="00EB63AF">
        <w:trPr>
          <w:trHeight w:val="197"/>
        </w:trPr>
        <w:tc>
          <w:tcPr>
            <w:tcW w:w="1600" w:type="pct"/>
            <w:shd w:val="clear" w:color="auto" w:fill="auto"/>
            <w:vAlign w:val="center"/>
          </w:tcPr>
          <w:p w:rsidR="00B64E52" w:rsidRPr="005C202F" w:rsidRDefault="00B64E52" w:rsidP="00EB63AF">
            <w:pPr>
              <w:pStyle w:val="TableText"/>
            </w:pPr>
            <w:r w:rsidRPr="005C202F">
              <w:t>Proposed rebate for spend above cap</w:t>
            </w:r>
          </w:p>
        </w:tc>
        <w:tc>
          <w:tcPr>
            <w:tcW w:w="680" w:type="pct"/>
            <w:shd w:val="clear" w:color="auto" w:fill="auto"/>
            <w:vAlign w:val="center"/>
          </w:tcPr>
          <w:p w:rsidR="00B64E52" w:rsidRPr="005C202F" w:rsidRDefault="002704A1" w:rsidP="00EB63AF">
            <w:pPr>
              <w:pStyle w:val="TableText"/>
              <w:jc w:val="center"/>
            </w:pPr>
            <w:r>
              <w:rPr>
                <w:noProof/>
                <w:color w:val="000000"/>
                <w:highlight w:val="black"/>
              </w:rPr>
              <w:t>''''''</w:t>
            </w:r>
            <w:r w:rsidR="00B64E52" w:rsidRPr="005C202F">
              <w:t>%</w:t>
            </w:r>
          </w:p>
        </w:tc>
        <w:tc>
          <w:tcPr>
            <w:tcW w:w="680" w:type="pct"/>
            <w:shd w:val="clear" w:color="auto" w:fill="auto"/>
            <w:vAlign w:val="center"/>
          </w:tcPr>
          <w:p w:rsidR="00B64E52" w:rsidRPr="005C202F" w:rsidRDefault="002704A1" w:rsidP="00EB63AF">
            <w:pPr>
              <w:pStyle w:val="TableText"/>
              <w:jc w:val="center"/>
            </w:pPr>
            <w:r>
              <w:rPr>
                <w:noProof/>
                <w:color w:val="000000"/>
                <w:highlight w:val="black"/>
              </w:rPr>
              <w:t>''''''</w:t>
            </w:r>
            <w:r w:rsidR="00B64E52" w:rsidRPr="005C202F">
              <w:t>%</w:t>
            </w:r>
          </w:p>
        </w:tc>
        <w:tc>
          <w:tcPr>
            <w:tcW w:w="680" w:type="pct"/>
            <w:shd w:val="clear" w:color="auto" w:fill="auto"/>
            <w:vAlign w:val="center"/>
          </w:tcPr>
          <w:p w:rsidR="00B64E52" w:rsidRPr="005C202F" w:rsidRDefault="002704A1" w:rsidP="00EB63AF">
            <w:pPr>
              <w:pStyle w:val="TableText"/>
              <w:jc w:val="center"/>
            </w:pPr>
            <w:r>
              <w:rPr>
                <w:noProof/>
                <w:color w:val="000000"/>
                <w:highlight w:val="black"/>
              </w:rPr>
              <w:t>''''''</w:t>
            </w:r>
            <w:r w:rsidR="00B64E52" w:rsidRPr="005C202F">
              <w:t>%</w:t>
            </w:r>
          </w:p>
        </w:tc>
        <w:tc>
          <w:tcPr>
            <w:tcW w:w="680" w:type="pct"/>
            <w:shd w:val="clear" w:color="auto" w:fill="auto"/>
            <w:vAlign w:val="center"/>
          </w:tcPr>
          <w:p w:rsidR="00B64E52" w:rsidRPr="005C202F" w:rsidRDefault="002704A1" w:rsidP="00EB63AF">
            <w:pPr>
              <w:pStyle w:val="TableText"/>
              <w:jc w:val="center"/>
            </w:pPr>
            <w:r>
              <w:rPr>
                <w:noProof/>
                <w:color w:val="000000"/>
                <w:highlight w:val="black"/>
              </w:rPr>
              <w:t>''''''</w:t>
            </w:r>
            <w:r w:rsidR="00B64E52" w:rsidRPr="005C202F">
              <w:t>%</w:t>
            </w:r>
          </w:p>
        </w:tc>
        <w:tc>
          <w:tcPr>
            <w:tcW w:w="680" w:type="pct"/>
            <w:shd w:val="clear" w:color="auto" w:fill="auto"/>
            <w:vAlign w:val="center"/>
          </w:tcPr>
          <w:p w:rsidR="00B64E52" w:rsidRPr="005C202F" w:rsidRDefault="002704A1" w:rsidP="00EB63AF">
            <w:pPr>
              <w:pStyle w:val="TableText"/>
              <w:jc w:val="center"/>
            </w:pPr>
            <w:r>
              <w:rPr>
                <w:noProof/>
                <w:color w:val="000000"/>
                <w:highlight w:val="black"/>
              </w:rPr>
              <w:t>''''''</w:t>
            </w:r>
            <w:r w:rsidR="00B64E52" w:rsidRPr="005C202F">
              <w:t>%</w:t>
            </w:r>
          </w:p>
        </w:tc>
      </w:tr>
    </w:tbl>
    <w:p w:rsidR="00B64E52" w:rsidRDefault="00B64E52" w:rsidP="00B64E52">
      <w:pPr>
        <w:pStyle w:val="TableFigureFooter"/>
      </w:pPr>
      <w:r w:rsidRPr="005C202F">
        <w:t>Source: Table 4-14</w:t>
      </w:r>
      <w:r w:rsidR="00A06709">
        <w:t xml:space="preserve"> </w:t>
      </w:r>
      <w:r w:rsidRPr="005C202F">
        <w:t>of the submission.</w:t>
      </w:r>
    </w:p>
    <w:p w:rsidR="00A06709" w:rsidRPr="00A06709" w:rsidRDefault="00A06709" w:rsidP="00A06709">
      <w:pPr>
        <w:pStyle w:val="TableFigureFooter"/>
        <w:jc w:val="left"/>
        <w:rPr>
          <w:i/>
        </w:rPr>
      </w:pPr>
      <w:r w:rsidRPr="00A06709">
        <w:rPr>
          <w:i/>
        </w:rPr>
        <w:t>The redacted values correspond to the following ranges:</w:t>
      </w:r>
    </w:p>
    <w:p w:rsidR="00A06709" w:rsidRPr="00A06709" w:rsidRDefault="00A06709" w:rsidP="00A06709">
      <w:pPr>
        <w:pStyle w:val="TableFigureFooter"/>
        <w:jc w:val="left"/>
        <w:rPr>
          <w:i/>
        </w:rPr>
      </w:pPr>
      <w:r w:rsidRPr="00A06709">
        <w:rPr>
          <w:i/>
          <w:vertAlign w:val="superscript"/>
        </w:rPr>
        <w:t>1</w:t>
      </w:r>
      <w:r w:rsidRPr="00A06709">
        <w:rPr>
          <w:i/>
        </w:rPr>
        <w:t xml:space="preserve"> $30 million to &lt; $40 million</w:t>
      </w:r>
    </w:p>
    <w:p w:rsidR="00A06709" w:rsidRPr="00A06709" w:rsidRDefault="00A06709" w:rsidP="00A06709">
      <w:pPr>
        <w:pStyle w:val="TableFigureFooter"/>
        <w:jc w:val="left"/>
        <w:rPr>
          <w:i/>
        </w:rPr>
      </w:pPr>
      <w:r w:rsidRPr="00A06709">
        <w:rPr>
          <w:i/>
          <w:vertAlign w:val="superscript"/>
        </w:rPr>
        <w:t>2</w:t>
      </w:r>
      <w:r w:rsidRPr="00A06709">
        <w:rPr>
          <w:i/>
        </w:rPr>
        <w:t xml:space="preserve"> $60 million to &lt; $70 million</w:t>
      </w:r>
      <w:r w:rsidRPr="00A06709">
        <w:rPr>
          <w:i/>
        </w:rPr>
        <w:br/>
      </w:r>
      <w:r w:rsidRPr="00A06709">
        <w:rPr>
          <w:i/>
          <w:vertAlign w:val="superscript"/>
        </w:rPr>
        <w:t>3</w:t>
      </w:r>
      <w:r w:rsidRPr="00A06709">
        <w:rPr>
          <w:i/>
        </w:rPr>
        <w:t xml:space="preserve"> $100 million to &lt; $200 million</w:t>
      </w:r>
    </w:p>
    <w:p w:rsidR="005D32F9" w:rsidRPr="005C202F" w:rsidRDefault="005D32F9" w:rsidP="005D32F9">
      <w:pPr>
        <w:ind w:firstLine="709"/>
        <w:rPr>
          <w:rFonts w:asciiTheme="minorHAnsi" w:hAnsiTheme="minorHAnsi"/>
          <w:i/>
        </w:rPr>
      </w:pPr>
      <w:r w:rsidRPr="005C202F">
        <w:rPr>
          <w:rFonts w:asciiTheme="minorHAnsi" w:hAnsiTheme="minorHAnsi"/>
          <w:i/>
        </w:rPr>
        <w:t>For more detail on PBAC’s view, see section 7 PBAC outcome.</w:t>
      </w:r>
    </w:p>
    <w:p w:rsidR="00EF201B" w:rsidRPr="005C202F" w:rsidRDefault="00EF201B" w:rsidP="00A30CAF">
      <w:pPr>
        <w:keepNext/>
        <w:widowControl w:val="0"/>
        <w:numPr>
          <w:ilvl w:val="0"/>
          <w:numId w:val="1"/>
        </w:numPr>
        <w:spacing w:before="240" w:after="120"/>
        <w:outlineLvl w:val="0"/>
        <w:rPr>
          <w:rFonts w:asciiTheme="minorHAnsi" w:hAnsiTheme="minorHAnsi"/>
          <w:b/>
          <w:bCs/>
          <w:snapToGrid w:val="0"/>
          <w:sz w:val="32"/>
        </w:rPr>
      </w:pPr>
      <w:r w:rsidRPr="005C202F">
        <w:rPr>
          <w:rFonts w:asciiTheme="minorHAnsi" w:hAnsiTheme="minorHAnsi"/>
          <w:b/>
          <w:bCs/>
          <w:snapToGrid w:val="0"/>
          <w:sz w:val="32"/>
        </w:rPr>
        <w:t>PBAC Outcome</w:t>
      </w:r>
    </w:p>
    <w:p w:rsidR="00EF201B" w:rsidRPr="005C202F" w:rsidRDefault="00EF201B" w:rsidP="004F413E">
      <w:pPr>
        <w:pStyle w:val="ExecSumBodyText"/>
        <w:rPr>
          <w:bCs/>
        </w:rPr>
      </w:pPr>
      <w:r w:rsidRPr="005C202F">
        <w:rPr>
          <w:bCs/>
        </w:rPr>
        <w:t>The PBAC did not recom</w:t>
      </w:r>
      <w:r w:rsidR="00262CBF" w:rsidRPr="005C202F">
        <w:rPr>
          <w:bCs/>
        </w:rPr>
        <w:t>mend the Section 100 listing of esketamine for the treatment of treat</w:t>
      </w:r>
      <w:r w:rsidR="00F56510" w:rsidRPr="005C202F">
        <w:rPr>
          <w:bCs/>
        </w:rPr>
        <w:t xml:space="preserve">ment-resistant depression (TRD), </w:t>
      </w:r>
      <w:r w:rsidR="004F413E" w:rsidRPr="005C202F">
        <w:t>defined as patients who have not responded adequately to at least two different antidepressants of adequate dose and duration to treat the current moderate to severe depressive episode</w:t>
      </w:r>
      <w:r w:rsidR="000548A2" w:rsidRPr="005C202F">
        <w:t>, as the role of esketamine nasal spray in clinical practice was unclear</w:t>
      </w:r>
      <w:r w:rsidR="004F413E" w:rsidRPr="005C202F">
        <w:t>.</w:t>
      </w:r>
      <w:r w:rsidR="000548A2" w:rsidRPr="005C202F">
        <w:t xml:space="preserve"> The PBAC considered this reflected (i) the uncertainty regarding the clinical significance of observed benefit in the clinical trials, (ii) the optimal dose and duration of treatment for each individual patient being unclear, (iii) the lack of long-term safety together with the potential for tolerance and dependence, and (iv) it being unclear how esketamine would be appropriately integrated into clinical practice given the </w:t>
      </w:r>
      <w:r w:rsidR="004F413E" w:rsidRPr="005C202F">
        <w:rPr>
          <w:rFonts w:cstheme="minorHAnsi"/>
          <w:snapToGrid/>
        </w:rPr>
        <w:t>administration and monitoring requirements</w:t>
      </w:r>
      <w:r w:rsidR="005C202F">
        <w:rPr>
          <w:rFonts w:cstheme="minorHAnsi"/>
          <w:snapToGrid/>
        </w:rPr>
        <w:t xml:space="preserve">. </w:t>
      </w:r>
      <w:r w:rsidR="000548A2" w:rsidRPr="005C202F">
        <w:rPr>
          <w:rFonts w:cstheme="minorHAnsi"/>
          <w:snapToGrid/>
        </w:rPr>
        <w:t xml:space="preserve">Based on these concerns the PBAC considered esketamine should be reserved for patients in whom alternative therapies beyond </w:t>
      </w:r>
      <w:r w:rsidR="00A13921">
        <w:rPr>
          <w:rFonts w:cstheme="minorHAnsi"/>
          <w:snapToGrid/>
        </w:rPr>
        <w:t>two</w:t>
      </w:r>
      <w:r w:rsidR="000548A2" w:rsidRPr="005C202F">
        <w:rPr>
          <w:rFonts w:cstheme="minorHAnsi"/>
          <w:snapToGrid/>
        </w:rPr>
        <w:t xml:space="preserve"> </w:t>
      </w:r>
      <w:r w:rsidR="002A2501" w:rsidRPr="005C202F">
        <w:rPr>
          <w:rFonts w:cstheme="minorHAnsi"/>
          <w:snapToGrid/>
        </w:rPr>
        <w:t xml:space="preserve">different </w:t>
      </w:r>
      <w:r w:rsidR="000548A2" w:rsidRPr="005C202F">
        <w:rPr>
          <w:rFonts w:cstheme="minorHAnsi"/>
          <w:snapToGrid/>
        </w:rPr>
        <w:t>antidepressants have been considered.</w:t>
      </w:r>
    </w:p>
    <w:p w:rsidR="00F56510" w:rsidRPr="005C202F" w:rsidRDefault="00A213B8" w:rsidP="00A16EFC">
      <w:pPr>
        <w:pStyle w:val="ExecSumBodyText"/>
      </w:pPr>
      <w:r w:rsidRPr="005C202F">
        <w:rPr>
          <w:bCs/>
        </w:rPr>
        <w:t>The PBAC acknowledged there is a moderate to high clinical need for alternative treatment options for TRD and this was supported by the consumer comments received</w:t>
      </w:r>
      <w:r w:rsidR="005C202F">
        <w:rPr>
          <w:bCs/>
        </w:rPr>
        <w:t xml:space="preserve">. </w:t>
      </w:r>
      <w:r w:rsidRPr="005C202F">
        <w:rPr>
          <w:bCs/>
        </w:rPr>
        <w:t xml:space="preserve">However, </w:t>
      </w:r>
      <w:r w:rsidRPr="005C202F">
        <w:t>t</w:t>
      </w:r>
      <w:r w:rsidR="00F56510" w:rsidRPr="005C202F">
        <w:t xml:space="preserve">he PBAC considered the proposed placement of esketamine </w:t>
      </w:r>
      <w:r w:rsidR="00A16EFC" w:rsidRPr="005C202F">
        <w:t xml:space="preserve">after failure of two antidepressants </w:t>
      </w:r>
      <w:r w:rsidR="00F56510" w:rsidRPr="005C202F">
        <w:t xml:space="preserve">was too early in the treatment algorithm, given </w:t>
      </w:r>
      <w:r w:rsidR="009B39F6" w:rsidRPr="005C202F">
        <w:t xml:space="preserve">the availability of established </w:t>
      </w:r>
      <w:r w:rsidR="00F56510" w:rsidRPr="005C202F">
        <w:t>alternatives such as combination OAD therapy, augmentation therapy, psychotherapy</w:t>
      </w:r>
      <w:r w:rsidR="00A524BD" w:rsidRPr="005C202F">
        <w:t>, ECT</w:t>
      </w:r>
      <w:r w:rsidR="00F56510" w:rsidRPr="005C202F">
        <w:t xml:space="preserve"> and other physical interventions. </w:t>
      </w:r>
      <w:r w:rsidR="00A16EFC" w:rsidRPr="005C202F">
        <w:t>The PBAC noted that the management of depressive disorders such as TRD are complex and considered that</w:t>
      </w:r>
      <w:r w:rsidR="00A16EFC" w:rsidRPr="005C202F">
        <w:rPr>
          <w:bCs/>
        </w:rPr>
        <w:t xml:space="preserve"> </w:t>
      </w:r>
      <w:r w:rsidR="00D12486" w:rsidRPr="005C202F">
        <w:rPr>
          <w:bCs/>
        </w:rPr>
        <w:t xml:space="preserve">as </w:t>
      </w:r>
      <w:r w:rsidR="00A16EFC" w:rsidRPr="005C202F">
        <w:rPr>
          <w:bCs/>
        </w:rPr>
        <w:t xml:space="preserve">the place in therapy of esketamine nasal spray is unclear and emerging, the integration of esketamine alongside non-pharmacological treatment options in practice, such as </w:t>
      </w:r>
      <w:r w:rsidR="00A13921">
        <w:rPr>
          <w:bCs/>
        </w:rPr>
        <w:t>ECT</w:t>
      </w:r>
      <w:r w:rsidR="00A16EFC" w:rsidRPr="005C202F">
        <w:rPr>
          <w:bCs/>
        </w:rPr>
        <w:t>, is unclear</w:t>
      </w:r>
      <w:r w:rsidR="005C202F">
        <w:rPr>
          <w:bCs/>
        </w:rPr>
        <w:t xml:space="preserve">. </w:t>
      </w:r>
      <w:r w:rsidRPr="005C202F">
        <w:rPr>
          <w:bCs/>
        </w:rPr>
        <w:t xml:space="preserve"> </w:t>
      </w:r>
    </w:p>
    <w:p w:rsidR="005871BD" w:rsidRPr="005C202F" w:rsidRDefault="00A97768" w:rsidP="00112A22">
      <w:pPr>
        <w:pStyle w:val="ExecSumBodyText"/>
        <w:rPr>
          <w:bCs/>
        </w:rPr>
      </w:pPr>
      <w:r w:rsidRPr="005C202F">
        <w:rPr>
          <w:bCs/>
        </w:rPr>
        <w:t>The PBAC noted</w:t>
      </w:r>
      <w:r w:rsidR="00112A22" w:rsidRPr="005C202F">
        <w:rPr>
          <w:bCs/>
        </w:rPr>
        <w:t xml:space="preserve"> the submission</w:t>
      </w:r>
      <w:r w:rsidRPr="005C202F">
        <w:rPr>
          <w:bCs/>
        </w:rPr>
        <w:t xml:space="preserve"> </w:t>
      </w:r>
      <w:r w:rsidR="00112A22" w:rsidRPr="005C202F">
        <w:rPr>
          <w:bCs/>
        </w:rPr>
        <w:t>requested the formation of a new</w:t>
      </w:r>
      <w:r w:rsidR="008661C6">
        <w:rPr>
          <w:bCs/>
        </w:rPr>
        <w:t xml:space="preserve"> stand-alone</w:t>
      </w:r>
      <w:r w:rsidR="00112A22" w:rsidRPr="005C202F">
        <w:rPr>
          <w:bCs/>
        </w:rPr>
        <w:t xml:space="preserve"> Section 100</w:t>
      </w:r>
      <w:r w:rsidR="008661C6">
        <w:rPr>
          <w:bCs/>
        </w:rPr>
        <w:t xml:space="preserve"> </w:t>
      </w:r>
      <w:r w:rsidR="00112A22" w:rsidRPr="005C202F">
        <w:rPr>
          <w:bCs/>
        </w:rPr>
        <w:t>program for esketamine, on the basis that esketamine has unique administration requirements (</w:t>
      </w:r>
      <w:r w:rsidR="002A2501" w:rsidRPr="005C202F">
        <w:rPr>
          <w:bCs/>
        </w:rPr>
        <w:t xml:space="preserve">i.e., it needed to be </w:t>
      </w:r>
      <w:r w:rsidR="00112A22" w:rsidRPr="005C202F">
        <w:rPr>
          <w:bCs/>
        </w:rPr>
        <w:t>taken in the presence of a healthcare practitioner)</w:t>
      </w:r>
      <w:r w:rsidRPr="005C202F">
        <w:rPr>
          <w:bCs/>
        </w:rPr>
        <w:t>.</w:t>
      </w:r>
      <w:r w:rsidR="00227FAF" w:rsidRPr="005C202F">
        <w:rPr>
          <w:bCs/>
        </w:rPr>
        <w:t xml:space="preserve"> </w:t>
      </w:r>
      <w:r w:rsidRPr="005C202F">
        <w:rPr>
          <w:bCs/>
        </w:rPr>
        <w:t xml:space="preserve">The PBAC considered it was unclear why </w:t>
      </w:r>
      <w:r w:rsidR="005871BD" w:rsidRPr="005C202F">
        <w:rPr>
          <w:bCs/>
        </w:rPr>
        <w:t xml:space="preserve">the administration requirements could not be managed under current PBS programs </w:t>
      </w:r>
      <w:r w:rsidR="00D914AE">
        <w:rPr>
          <w:bCs/>
        </w:rPr>
        <w:t xml:space="preserve">(such as the Section 100 Highly Specialised Drugs program) </w:t>
      </w:r>
      <w:r w:rsidR="005871BD" w:rsidRPr="005C202F">
        <w:rPr>
          <w:bCs/>
        </w:rPr>
        <w:t xml:space="preserve">and why </w:t>
      </w:r>
      <w:r w:rsidRPr="005C202F">
        <w:rPr>
          <w:bCs/>
        </w:rPr>
        <w:t>a separate Section 100 program for</w:t>
      </w:r>
      <w:r w:rsidR="005871BD" w:rsidRPr="005C202F">
        <w:rPr>
          <w:bCs/>
        </w:rPr>
        <w:t xml:space="preserve"> esketami</w:t>
      </w:r>
      <w:r w:rsidRPr="005C202F">
        <w:rPr>
          <w:bCs/>
        </w:rPr>
        <w:t xml:space="preserve">ne was </w:t>
      </w:r>
      <w:r w:rsidR="005871BD" w:rsidRPr="005C202F">
        <w:rPr>
          <w:bCs/>
        </w:rPr>
        <w:t xml:space="preserve">required. The PBAC noted some </w:t>
      </w:r>
      <w:r w:rsidR="00227FAF" w:rsidRPr="005C202F">
        <w:rPr>
          <w:bCs/>
        </w:rPr>
        <w:t xml:space="preserve">information </w:t>
      </w:r>
      <w:r w:rsidR="005871BD" w:rsidRPr="005C202F">
        <w:rPr>
          <w:bCs/>
        </w:rPr>
        <w:t>regarding how patients would access esketamine was provided in the PSCR but the sponsor should provide further detail in any resubmission</w:t>
      </w:r>
      <w:r w:rsidR="001717FB" w:rsidRPr="005C202F">
        <w:rPr>
          <w:bCs/>
        </w:rPr>
        <w:t xml:space="preserve"> </w:t>
      </w:r>
      <w:r w:rsidR="005871BD" w:rsidRPr="005C202F">
        <w:rPr>
          <w:bCs/>
        </w:rPr>
        <w:t>to ensure the appropriate PBS program could be identified</w:t>
      </w:r>
      <w:r w:rsidR="005C202F">
        <w:rPr>
          <w:bCs/>
        </w:rPr>
        <w:t xml:space="preserve">. </w:t>
      </w:r>
    </w:p>
    <w:p w:rsidR="00BA406C" w:rsidRPr="005C202F" w:rsidRDefault="00BD0DF0" w:rsidP="00EF201B">
      <w:pPr>
        <w:widowControl w:val="0"/>
        <w:numPr>
          <w:ilvl w:val="1"/>
          <w:numId w:val="1"/>
        </w:numPr>
        <w:spacing w:after="120"/>
        <w:rPr>
          <w:rFonts w:asciiTheme="minorHAnsi" w:hAnsiTheme="minorHAnsi"/>
          <w:bCs/>
          <w:snapToGrid w:val="0"/>
        </w:rPr>
      </w:pPr>
      <w:r w:rsidRPr="005C202F">
        <w:rPr>
          <w:rFonts w:asciiTheme="minorHAnsi" w:hAnsiTheme="minorHAnsi"/>
          <w:bCs/>
          <w:snapToGrid w:val="0"/>
        </w:rPr>
        <w:t>The PBAC considered substantial changes would be required to the proposed restriction for esketamine to reflect a more appropriate place in the treatment algorithm for TRD.</w:t>
      </w:r>
      <w:r w:rsidR="00D12486" w:rsidRPr="005C202F">
        <w:rPr>
          <w:rFonts w:asciiTheme="minorHAnsi" w:hAnsiTheme="minorHAnsi"/>
          <w:bCs/>
          <w:snapToGrid w:val="0"/>
        </w:rPr>
        <w:t xml:space="preserve"> </w:t>
      </w:r>
      <w:r w:rsidR="00112A22" w:rsidRPr="005C202F">
        <w:rPr>
          <w:rFonts w:asciiTheme="minorHAnsi" w:hAnsiTheme="minorHAnsi"/>
          <w:bCs/>
          <w:snapToGrid w:val="0"/>
        </w:rPr>
        <w:t xml:space="preserve">The PBAC noted any proposed restriction criteria </w:t>
      </w:r>
      <w:r w:rsidR="00B75DD0" w:rsidRPr="005C202F">
        <w:rPr>
          <w:rFonts w:asciiTheme="minorHAnsi" w:hAnsiTheme="minorHAnsi"/>
          <w:bCs/>
          <w:snapToGrid w:val="0"/>
        </w:rPr>
        <w:t xml:space="preserve">in a resubmission </w:t>
      </w:r>
      <w:r w:rsidR="00112A22" w:rsidRPr="005C202F">
        <w:rPr>
          <w:rFonts w:asciiTheme="minorHAnsi" w:hAnsiTheme="minorHAnsi"/>
          <w:bCs/>
          <w:snapToGrid w:val="0"/>
        </w:rPr>
        <w:t xml:space="preserve">should address the issues raised in </w:t>
      </w:r>
      <w:r w:rsidR="00664E0C" w:rsidRPr="005C202F">
        <w:rPr>
          <w:rFonts w:asciiTheme="minorHAnsi" w:hAnsiTheme="minorHAnsi"/>
          <w:bCs/>
          <w:snapToGrid w:val="0"/>
        </w:rPr>
        <w:t>Section 3</w:t>
      </w:r>
      <w:r w:rsidR="0067179C" w:rsidRPr="005C202F">
        <w:rPr>
          <w:rFonts w:asciiTheme="minorHAnsi" w:hAnsiTheme="minorHAnsi"/>
          <w:bCs/>
          <w:snapToGrid w:val="0"/>
        </w:rPr>
        <w:t xml:space="preserve"> where relevant</w:t>
      </w:r>
      <w:r w:rsidR="001717FB" w:rsidRPr="005C202F">
        <w:rPr>
          <w:rFonts w:asciiTheme="minorHAnsi" w:hAnsiTheme="minorHAnsi"/>
          <w:bCs/>
          <w:snapToGrid w:val="0"/>
        </w:rPr>
        <w:t>.</w:t>
      </w:r>
      <w:r w:rsidR="0067179C" w:rsidRPr="005C202F">
        <w:rPr>
          <w:rFonts w:asciiTheme="minorHAnsi" w:hAnsiTheme="minorHAnsi"/>
          <w:bCs/>
          <w:snapToGrid w:val="0"/>
        </w:rPr>
        <w:t xml:space="preserve"> </w:t>
      </w:r>
    </w:p>
    <w:p w:rsidR="0089366E" w:rsidRPr="00E0020F" w:rsidRDefault="00D12486" w:rsidP="00EF201B">
      <w:pPr>
        <w:widowControl w:val="0"/>
        <w:numPr>
          <w:ilvl w:val="1"/>
          <w:numId w:val="1"/>
        </w:numPr>
        <w:spacing w:after="120"/>
        <w:rPr>
          <w:rFonts w:asciiTheme="minorHAnsi" w:hAnsiTheme="minorHAnsi"/>
          <w:bCs/>
          <w:snapToGrid w:val="0"/>
        </w:rPr>
      </w:pPr>
      <w:r w:rsidRPr="005C202F">
        <w:rPr>
          <w:rFonts w:asciiTheme="minorHAnsi" w:hAnsiTheme="minorHAnsi"/>
          <w:bCs/>
          <w:snapToGrid w:val="0"/>
        </w:rPr>
        <w:t xml:space="preserve">The PBAC noted the use of esketamine </w:t>
      </w:r>
      <w:r w:rsidR="00BF314B" w:rsidRPr="005C202F">
        <w:rPr>
          <w:rFonts w:asciiTheme="minorHAnsi" w:hAnsiTheme="minorHAnsi"/>
          <w:bCs/>
          <w:snapToGrid w:val="0"/>
        </w:rPr>
        <w:t xml:space="preserve">in combination </w:t>
      </w:r>
      <w:r w:rsidRPr="005C202F">
        <w:rPr>
          <w:rFonts w:asciiTheme="minorHAnsi" w:hAnsiTheme="minorHAnsi"/>
          <w:bCs/>
          <w:snapToGrid w:val="0"/>
        </w:rPr>
        <w:t xml:space="preserve">with a newly initiated OAD was consistent with the </w:t>
      </w:r>
      <w:r w:rsidRPr="00E0020F">
        <w:rPr>
          <w:rFonts w:asciiTheme="minorHAnsi" w:hAnsiTheme="minorHAnsi"/>
          <w:bCs/>
          <w:snapToGrid w:val="0"/>
        </w:rPr>
        <w:t xml:space="preserve">clinical evidence and the TGA indication but considered </w:t>
      </w:r>
      <w:r w:rsidR="00220217" w:rsidRPr="00E0020F">
        <w:rPr>
          <w:rFonts w:asciiTheme="minorHAnsi" w:hAnsiTheme="minorHAnsi"/>
          <w:bCs/>
          <w:snapToGrid w:val="0"/>
        </w:rPr>
        <w:t>the PBS restrictions should allow flexibility to enable the treatment needs of individual patients to be considered</w:t>
      </w:r>
      <w:r w:rsidRPr="00E0020F">
        <w:rPr>
          <w:rFonts w:asciiTheme="minorHAnsi" w:hAnsiTheme="minorHAnsi"/>
          <w:bCs/>
          <w:snapToGrid w:val="0"/>
        </w:rPr>
        <w:t xml:space="preserve">. </w:t>
      </w:r>
    </w:p>
    <w:p w:rsidR="002A2501" w:rsidRPr="005C202F" w:rsidRDefault="0058250E" w:rsidP="00A21E7B">
      <w:pPr>
        <w:pStyle w:val="ExecSumBodyText"/>
        <w:rPr>
          <w:bCs/>
        </w:rPr>
      </w:pPr>
      <w:r w:rsidRPr="00E0020F">
        <w:rPr>
          <w:bCs/>
        </w:rPr>
        <w:t>The PBAC noted the nominated comparator was a newly initiated OAD and considered that, while this may be an appropriate comparator for esketamine in the proposed clinical positioning, it was too</w:t>
      </w:r>
      <w:r w:rsidRPr="005C202F">
        <w:rPr>
          <w:bCs/>
        </w:rPr>
        <w:t xml:space="preserve"> early in the treatment algorithm. The PBAC noted there are a number of PBS and non-PBS alternative treatment options that may be appropriate comparators if esketamine was positioned later in the treatment algorithm</w:t>
      </w:r>
      <w:r w:rsidR="005C202F">
        <w:rPr>
          <w:bCs/>
        </w:rPr>
        <w:t xml:space="preserve">. </w:t>
      </w:r>
    </w:p>
    <w:p w:rsidR="00EF201B" w:rsidRPr="005C202F" w:rsidRDefault="00FE4597" w:rsidP="002A2501">
      <w:pPr>
        <w:pStyle w:val="ExecSumBodyText"/>
      </w:pPr>
      <w:r w:rsidRPr="005C202F">
        <w:t>The PBAC noted</w:t>
      </w:r>
      <w:r w:rsidR="008D1A01" w:rsidRPr="005C202F">
        <w:t xml:space="preserve"> the clinical evidence for esketamine consisted of </w:t>
      </w:r>
      <w:r w:rsidRPr="005C202F">
        <w:t xml:space="preserve">three short-term, double blind, randomised controlled trials (RCTs) (TRANSFORM-1, TRANSFORM-2 and TRANSFORM-3) </w:t>
      </w:r>
      <w:r w:rsidR="008D1A01" w:rsidRPr="005C202F">
        <w:t xml:space="preserve">comparing esketamine plus a newly initiated OAD to a newly initiated OAD alone </w:t>
      </w:r>
      <w:r w:rsidRPr="005C202F">
        <w:t>and three long-term studies (SUSTAIN-1</w:t>
      </w:r>
      <w:r w:rsidR="009523FA" w:rsidRPr="005C202F">
        <w:t>,</w:t>
      </w:r>
      <w:r w:rsidRPr="005C202F">
        <w:t xml:space="preserve"> SUSTAIN-2 and SUSTAIN-3)</w:t>
      </w:r>
      <w:r w:rsidR="005C202F">
        <w:t xml:space="preserve">. </w:t>
      </w:r>
      <w:r w:rsidR="0066505F" w:rsidRPr="005C202F">
        <w:t xml:space="preserve">The PBAC noted the clinical and economic comparisons in the submission were based on the TRANSFORM-2 and SUSTAIN-1 studies. </w:t>
      </w:r>
      <w:r w:rsidR="002A2501" w:rsidRPr="005C202F">
        <w:t>The PBAC considered the results from TRANSFORM-1 and TRANSFORM-</w:t>
      </w:r>
      <w:r w:rsidR="00711AC3" w:rsidRPr="005C202F">
        <w:t>3</w:t>
      </w:r>
      <w:r w:rsidR="002A2501" w:rsidRPr="005C202F">
        <w:t xml:space="preserve"> to be relevant, although acknowledged the use of a fixed dose of esketamine rather than the recommended flexible regimen</w:t>
      </w:r>
      <w:r w:rsidR="005C202F">
        <w:t xml:space="preserve">. </w:t>
      </w:r>
      <w:r w:rsidR="0058250E" w:rsidRPr="005C202F">
        <w:t>The PBAC noted TRANSFORM-</w:t>
      </w:r>
      <w:r w:rsidR="00711AC3" w:rsidRPr="005C202F">
        <w:t>3</w:t>
      </w:r>
      <w:r w:rsidR="0058250E" w:rsidRPr="005C202F">
        <w:t xml:space="preserve"> </w:t>
      </w:r>
      <w:r w:rsidR="00711AC3" w:rsidRPr="005C202F">
        <w:t xml:space="preserve">was the only trial that </w:t>
      </w:r>
      <w:r w:rsidR="0058250E" w:rsidRPr="005C202F">
        <w:t xml:space="preserve">included </w:t>
      </w:r>
      <w:r w:rsidR="00711AC3" w:rsidRPr="005C202F">
        <w:t>patients over 6</w:t>
      </w:r>
      <w:r w:rsidR="0077529D" w:rsidRPr="005C202F">
        <w:t>5</w:t>
      </w:r>
      <w:r w:rsidR="00711AC3" w:rsidRPr="005C202F">
        <w:t xml:space="preserve"> years of age and that esketamine is indicated in this patient population</w:t>
      </w:r>
      <w:r w:rsidR="005C202F">
        <w:t xml:space="preserve">. </w:t>
      </w:r>
      <w:r w:rsidR="002A2501" w:rsidRPr="005C202F">
        <w:t>The PBAC noted a statistically significant treatment effect of esketamine nasal spray was not demonstrated</w:t>
      </w:r>
      <w:r w:rsidR="00711AC3" w:rsidRPr="005C202F">
        <w:t xml:space="preserve"> in TRANSFORM-1 and TRANSFORM-3</w:t>
      </w:r>
      <w:r w:rsidR="002A2501" w:rsidRPr="005C202F">
        <w:t>.</w:t>
      </w:r>
      <w:r w:rsidR="002A2501" w:rsidRPr="005C202F" w:rsidDel="002A2501">
        <w:t xml:space="preserve"> </w:t>
      </w:r>
    </w:p>
    <w:p w:rsidR="00D007DA" w:rsidRPr="00E0020F" w:rsidRDefault="004E3A35" w:rsidP="002A2501">
      <w:pPr>
        <w:pStyle w:val="ExecSumBodyText"/>
        <w:rPr>
          <w:bCs/>
        </w:rPr>
      </w:pPr>
      <w:r w:rsidRPr="005C202F">
        <w:rPr>
          <w:bCs/>
        </w:rPr>
        <w:t xml:space="preserve">The PBAC noted the TRANSFORM-2 trial reported a statistically significant </w:t>
      </w:r>
      <w:r w:rsidR="007F4AC7" w:rsidRPr="005C202F">
        <w:rPr>
          <w:bCs/>
        </w:rPr>
        <w:t>improvement in MADRS score</w:t>
      </w:r>
      <w:r w:rsidR="002A2501" w:rsidRPr="005C202F">
        <w:rPr>
          <w:bCs/>
        </w:rPr>
        <w:t xml:space="preserve"> </w:t>
      </w:r>
      <w:r w:rsidR="00761E57" w:rsidRPr="005C202F">
        <w:rPr>
          <w:bCs/>
        </w:rPr>
        <w:t xml:space="preserve">for patients treated with esketamine plus a newly initiated OAD </w:t>
      </w:r>
      <w:r w:rsidR="007F4AC7" w:rsidRPr="005C202F">
        <w:rPr>
          <w:bCs/>
        </w:rPr>
        <w:t xml:space="preserve">compared to a new OAD alone </w:t>
      </w:r>
      <w:r w:rsidR="00761E57" w:rsidRPr="005C202F">
        <w:rPr>
          <w:bCs/>
        </w:rPr>
        <w:t xml:space="preserve">with a mean improvement of 4.0 points (95%CI: -7.3, </w:t>
      </w:r>
      <w:r w:rsidR="003853BC">
        <w:rPr>
          <w:bCs/>
        </w:rPr>
        <w:t>-</w:t>
      </w:r>
      <w:r w:rsidR="00761E57" w:rsidRPr="005C202F">
        <w:rPr>
          <w:bCs/>
        </w:rPr>
        <w:t>0.6)</w:t>
      </w:r>
      <w:r w:rsidR="0077529D" w:rsidRPr="005C202F">
        <w:rPr>
          <w:bCs/>
        </w:rPr>
        <w:t xml:space="preserve"> (in an instrument where the total score ranges from 0 to 60)</w:t>
      </w:r>
      <w:r w:rsidR="00761E57" w:rsidRPr="005C202F">
        <w:rPr>
          <w:bCs/>
        </w:rPr>
        <w:t xml:space="preserve"> at 4 weeks. </w:t>
      </w:r>
      <w:r w:rsidR="00181D38" w:rsidRPr="005C202F">
        <w:rPr>
          <w:bCs/>
        </w:rPr>
        <w:t xml:space="preserve">The PBAC noted </w:t>
      </w:r>
      <w:r w:rsidR="0077582C" w:rsidRPr="005C202F">
        <w:rPr>
          <w:bCs/>
        </w:rPr>
        <w:t xml:space="preserve">a higher proportion of people </w:t>
      </w:r>
      <w:r w:rsidR="00181D38" w:rsidRPr="005C202F">
        <w:rPr>
          <w:bCs/>
        </w:rPr>
        <w:t>treat</w:t>
      </w:r>
      <w:r w:rsidR="0077582C" w:rsidRPr="005C202F">
        <w:rPr>
          <w:bCs/>
        </w:rPr>
        <w:t>e</w:t>
      </w:r>
      <w:r w:rsidR="00181D38" w:rsidRPr="005C202F">
        <w:rPr>
          <w:bCs/>
        </w:rPr>
        <w:t>d with esketamine plus a newly initiated OAD achieved a 50% reduction in MADRS score at 4 weeks (</w:t>
      </w:r>
      <w:r w:rsidR="0077582C" w:rsidRPr="005C202F">
        <w:rPr>
          <w:bCs/>
        </w:rPr>
        <w:t>69% vs 52%) and a higher proportion achieved remission (defined as a MADRS score ≤ 12) (53% vs 31%)</w:t>
      </w:r>
      <w:r w:rsidR="005C202F">
        <w:rPr>
          <w:bCs/>
        </w:rPr>
        <w:t xml:space="preserve">. </w:t>
      </w:r>
      <w:r w:rsidR="00397013" w:rsidRPr="005C202F">
        <w:rPr>
          <w:bCs/>
        </w:rPr>
        <w:t xml:space="preserve">The PBAC noted there were a number of issues that </w:t>
      </w:r>
      <w:r w:rsidR="004B159E" w:rsidRPr="005C202F">
        <w:rPr>
          <w:bCs/>
        </w:rPr>
        <w:t>complicated the</w:t>
      </w:r>
      <w:r w:rsidR="00397013" w:rsidRPr="005C202F">
        <w:rPr>
          <w:bCs/>
        </w:rPr>
        <w:t xml:space="preserve"> interpretation of these results (</w:t>
      </w:r>
      <w:r w:rsidR="00397013" w:rsidRPr="00E0020F">
        <w:rPr>
          <w:bCs/>
        </w:rPr>
        <w:t>paragraph</w:t>
      </w:r>
      <w:r w:rsidR="001717FB" w:rsidRPr="00E0020F">
        <w:rPr>
          <w:bCs/>
        </w:rPr>
        <w:t xml:space="preserve"> </w:t>
      </w:r>
      <w:r w:rsidR="00E0020F" w:rsidRPr="00E0020F">
        <w:rPr>
          <w:bCs/>
        </w:rPr>
        <w:t>6.31</w:t>
      </w:r>
      <w:r w:rsidR="00397013" w:rsidRPr="00E0020F">
        <w:rPr>
          <w:bCs/>
        </w:rPr>
        <w:t xml:space="preserve">); however, considered that, on balance, esketamine was likely to be effective in some patients but the magnitude </w:t>
      </w:r>
      <w:r w:rsidR="000F5A36" w:rsidRPr="00E0020F">
        <w:rPr>
          <w:bCs/>
        </w:rPr>
        <w:t xml:space="preserve">and clinical relevance </w:t>
      </w:r>
      <w:r w:rsidR="00397013" w:rsidRPr="00E0020F">
        <w:rPr>
          <w:bCs/>
        </w:rPr>
        <w:t>of the benefit remained uncertain</w:t>
      </w:r>
      <w:r w:rsidR="005C202F" w:rsidRPr="00E0020F">
        <w:rPr>
          <w:bCs/>
        </w:rPr>
        <w:t xml:space="preserve">. </w:t>
      </w:r>
    </w:p>
    <w:p w:rsidR="00C87CFB" w:rsidRPr="005C202F" w:rsidRDefault="00DF1791" w:rsidP="00EF201B">
      <w:pPr>
        <w:widowControl w:val="0"/>
        <w:numPr>
          <w:ilvl w:val="1"/>
          <w:numId w:val="1"/>
        </w:numPr>
        <w:spacing w:after="120"/>
        <w:rPr>
          <w:rFonts w:asciiTheme="minorHAnsi" w:hAnsiTheme="minorHAnsi"/>
          <w:bCs/>
          <w:snapToGrid w:val="0"/>
        </w:rPr>
      </w:pPr>
      <w:r w:rsidRPr="00E0020F">
        <w:rPr>
          <w:rFonts w:asciiTheme="minorHAnsi" w:hAnsiTheme="minorHAnsi"/>
          <w:bCs/>
          <w:snapToGrid w:val="0"/>
        </w:rPr>
        <w:t xml:space="preserve">The PBAC noted </w:t>
      </w:r>
      <w:r w:rsidR="00C87CFB" w:rsidRPr="00E0020F">
        <w:rPr>
          <w:rFonts w:asciiTheme="minorHAnsi" w:hAnsiTheme="minorHAnsi"/>
          <w:bCs/>
          <w:snapToGrid w:val="0"/>
        </w:rPr>
        <w:t xml:space="preserve">the SUSTAIN-1 trial indicated a statistically significant reduction in median time to relapse compared to placebo in patients who </w:t>
      </w:r>
      <w:r w:rsidR="00EE0287" w:rsidRPr="00E0020F">
        <w:rPr>
          <w:rFonts w:asciiTheme="minorHAnsi" w:hAnsiTheme="minorHAnsi"/>
          <w:bCs/>
          <w:snapToGrid w:val="0"/>
        </w:rPr>
        <w:t xml:space="preserve">responded </w:t>
      </w:r>
      <w:r w:rsidR="00A13921" w:rsidRPr="00E0020F">
        <w:rPr>
          <w:rFonts w:asciiTheme="minorHAnsi" w:hAnsiTheme="minorHAnsi"/>
          <w:bCs/>
          <w:snapToGrid w:val="0"/>
        </w:rPr>
        <w:t>to esketamine</w:t>
      </w:r>
      <w:r w:rsidR="00C87CFB" w:rsidRPr="00E0020F">
        <w:rPr>
          <w:rFonts w:asciiTheme="minorHAnsi" w:hAnsiTheme="minorHAnsi"/>
          <w:bCs/>
          <w:snapToGrid w:val="0"/>
        </w:rPr>
        <w:t xml:space="preserve"> + an OAD </w:t>
      </w:r>
      <w:r w:rsidR="004B159E" w:rsidRPr="00E0020F">
        <w:rPr>
          <w:rFonts w:asciiTheme="minorHAnsi" w:hAnsiTheme="minorHAnsi"/>
          <w:bCs/>
          <w:snapToGrid w:val="0"/>
        </w:rPr>
        <w:t xml:space="preserve">and </w:t>
      </w:r>
      <w:r w:rsidR="00C87CFB" w:rsidRPr="00E0020F">
        <w:rPr>
          <w:rFonts w:asciiTheme="minorHAnsi" w:hAnsiTheme="minorHAnsi"/>
          <w:bCs/>
          <w:snapToGrid w:val="0"/>
        </w:rPr>
        <w:t xml:space="preserve">were later re-randomised to receive either esketamine or placebo (+ ongoing OAD). The PBAC agreed with the </w:t>
      </w:r>
      <w:r w:rsidR="00824F95" w:rsidRPr="00E0020F">
        <w:rPr>
          <w:rFonts w:asciiTheme="minorHAnsi" w:hAnsiTheme="minorHAnsi"/>
          <w:bCs/>
          <w:snapToGrid w:val="0"/>
        </w:rPr>
        <w:t>ESC and was concerned that given the adverse event profile of esketamine, the design of the trial (where every participant received esketamine initially) may lead to unblinding of some patients who were randomised</w:t>
      </w:r>
      <w:r w:rsidR="003B1E08" w:rsidRPr="00E0020F">
        <w:rPr>
          <w:rFonts w:asciiTheme="minorHAnsi" w:hAnsiTheme="minorHAnsi"/>
          <w:bCs/>
          <w:snapToGrid w:val="0"/>
        </w:rPr>
        <w:t xml:space="preserve"> to placebo </w:t>
      </w:r>
      <w:r w:rsidR="0022206D" w:rsidRPr="00E0020F">
        <w:rPr>
          <w:rFonts w:asciiTheme="minorHAnsi" w:hAnsiTheme="minorHAnsi"/>
          <w:bCs/>
          <w:snapToGrid w:val="0"/>
        </w:rPr>
        <w:t xml:space="preserve">(paragraph </w:t>
      </w:r>
      <w:r w:rsidR="00E0020F" w:rsidRPr="00E0020F">
        <w:rPr>
          <w:rFonts w:asciiTheme="minorHAnsi" w:hAnsiTheme="minorHAnsi"/>
          <w:bCs/>
          <w:snapToGrid w:val="0"/>
        </w:rPr>
        <w:t>6.20</w:t>
      </w:r>
      <w:r w:rsidR="0022206D" w:rsidRPr="00E0020F">
        <w:rPr>
          <w:rFonts w:asciiTheme="minorHAnsi" w:hAnsiTheme="minorHAnsi"/>
          <w:bCs/>
          <w:snapToGrid w:val="0"/>
        </w:rPr>
        <w:t>)</w:t>
      </w:r>
      <w:r w:rsidR="0022206D" w:rsidRPr="005C202F">
        <w:rPr>
          <w:rFonts w:asciiTheme="minorHAnsi" w:hAnsiTheme="minorHAnsi"/>
          <w:bCs/>
          <w:snapToGrid w:val="0"/>
        </w:rPr>
        <w:t xml:space="preserve"> and the PBAC considered this may overestimate the efficacy of esketamine. </w:t>
      </w:r>
    </w:p>
    <w:p w:rsidR="00EF201B" w:rsidRPr="005C202F" w:rsidRDefault="009062C0" w:rsidP="00EF201B">
      <w:pPr>
        <w:widowControl w:val="0"/>
        <w:numPr>
          <w:ilvl w:val="1"/>
          <w:numId w:val="1"/>
        </w:numPr>
        <w:spacing w:after="120"/>
        <w:rPr>
          <w:rFonts w:asciiTheme="minorHAnsi" w:hAnsiTheme="minorHAnsi"/>
          <w:bCs/>
          <w:snapToGrid w:val="0"/>
        </w:rPr>
      </w:pPr>
      <w:r w:rsidRPr="005C202F">
        <w:rPr>
          <w:rFonts w:asciiTheme="minorHAnsi" w:hAnsiTheme="minorHAnsi"/>
          <w:bCs/>
          <w:snapToGrid w:val="0"/>
        </w:rPr>
        <w:t xml:space="preserve">The PBAC noted that patients in the esketamine arm of the clinical trials were more likely to experience </w:t>
      </w:r>
      <w:r w:rsidR="00FB5D5D" w:rsidRPr="005C202F">
        <w:rPr>
          <w:rFonts w:asciiTheme="minorHAnsi" w:hAnsiTheme="minorHAnsi"/>
          <w:bCs/>
          <w:snapToGrid w:val="0"/>
        </w:rPr>
        <w:t xml:space="preserve">adverse events such as dizziness, dissociation and vertigo and considered the submission reasonably described esketamine </w:t>
      </w:r>
      <w:r w:rsidR="000F5A36" w:rsidRPr="005C202F">
        <w:rPr>
          <w:rFonts w:asciiTheme="minorHAnsi" w:hAnsiTheme="minorHAnsi"/>
          <w:bCs/>
          <w:snapToGrid w:val="0"/>
        </w:rPr>
        <w:t xml:space="preserve">as </w:t>
      </w:r>
      <w:r w:rsidR="00FB5D5D" w:rsidRPr="005C202F">
        <w:rPr>
          <w:rFonts w:asciiTheme="minorHAnsi" w:hAnsiTheme="minorHAnsi"/>
          <w:bCs/>
          <w:snapToGrid w:val="0"/>
        </w:rPr>
        <w:t>having inferior comparative safety to placebo/new OAD alone.</w:t>
      </w:r>
      <w:r w:rsidR="0077529D" w:rsidRPr="005C202F">
        <w:rPr>
          <w:rFonts w:asciiTheme="minorHAnsi" w:hAnsiTheme="minorHAnsi"/>
          <w:bCs/>
          <w:snapToGrid w:val="0"/>
        </w:rPr>
        <w:t xml:space="preserve"> The PBAC noted there was limited data available regarding the long-</w:t>
      </w:r>
      <w:r w:rsidR="001D745B" w:rsidRPr="005C202F">
        <w:rPr>
          <w:rFonts w:asciiTheme="minorHAnsi" w:hAnsiTheme="minorHAnsi"/>
          <w:bCs/>
          <w:snapToGrid w:val="0"/>
        </w:rPr>
        <w:t xml:space="preserve">term </w:t>
      </w:r>
      <w:r w:rsidR="0077529D" w:rsidRPr="005C202F">
        <w:rPr>
          <w:rFonts w:asciiTheme="minorHAnsi" w:hAnsiTheme="minorHAnsi"/>
          <w:bCs/>
          <w:snapToGrid w:val="0"/>
        </w:rPr>
        <w:t>safet</w:t>
      </w:r>
      <w:r w:rsidR="001D745B" w:rsidRPr="005C202F">
        <w:rPr>
          <w:rFonts w:asciiTheme="minorHAnsi" w:hAnsiTheme="minorHAnsi"/>
          <w:bCs/>
          <w:snapToGrid w:val="0"/>
        </w:rPr>
        <w:t xml:space="preserve">y or potential for tolerance and dependence </w:t>
      </w:r>
      <w:r w:rsidR="0077529D" w:rsidRPr="005C202F">
        <w:rPr>
          <w:rFonts w:asciiTheme="minorHAnsi" w:hAnsiTheme="minorHAnsi"/>
          <w:bCs/>
          <w:snapToGrid w:val="0"/>
        </w:rPr>
        <w:t>of esketamine</w:t>
      </w:r>
      <w:r w:rsidR="005C202F">
        <w:rPr>
          <w:rFonts w:asciiTheme="minorHAnsi" w:hAnsiTheme="minorHAnsi"/>
          <w:bCs/>
          <w:snapToGrid w:val="0"/>
        </w:rPr>
        <w:t xml:space="preserve">. </w:t>
      </w:r>
    </w:p>
    <w:p w:rsidR="00721EA5" w:rsidRPr="005C202F" w:rsidRDefault="00EE0287" w:rsidP="00EE0287">
      <w:pPr>
        <w:pStyle w:val="ExecSumBodyText"/>
        <w:rPr>
          <w:bCs/>
        </w:rPr>
      </w:pPr>
      <w:r w:rsidRPr="005C202F">
        <w:rPr>
          <w:bCs/>
        </w:rPr>
        <w:t xml:space="preserve">Overall the PBAC considered the benefit of esketamine treatment had been overestimated in the economic model due to modelling a substantially higher proportion of patients as recovered over a relatively long period of time. The PBAC considered the modelled benefit was inconsistent with the totality of the clinical evidence. The PBAC considered the modelled costs to be uncertain noting the optimal dose and duration of esketamine treatment is unknown, and the issues relating to the costs associated with the administration of esketamine and the disease management costs, including those for subsequent therapies. The PBAC also considered the applicability of the model results if esketamine use was restricted to later in the treatment algorithm was unknown. </w:t>
      </w:r>
    </w:p>
    <w:p w:rsidR="00EF201B" w:rsidRPr="005C202F" w:rsidRDefault="00903611" w:rsidP="00EF201B">
      <w:pPr>
        <w:widowControl w:val="0"/>
        <w:numPr>
          <w:ilvl w:val="1"/>
          <w:numId w:val="1"/>
        </w:numPr>
        <w:spacing w:after="120"/>
      </w:pPr>
      <w:r w:rsidRPr="005C202F">
        <w:rPr>
          <w:rFonts w:asciiTheme="minorHAnsi" w:hAnsiTheme="minorHAnsi"/>
          <w:bCs/>
          <w:snapToGrid w:val="0"/>
        </w:rPr>
        <w:t xml:space="preserve">The PBAC </w:t>
      </w:r>
      <w:r w:rsidR="001D745B" w:rsidRPr="005C202F">
        <w:rPr>
          <w:rFonts w:asciiTheme="minorHAnsi" w:hAnsiTheme="minorHAnsi"/>
          <w:bCs/>
          <w:snapToGrid w:val="0"/>
        </w:rPr>
        <w:t>considered the financial estimates provided in the submission are based on esketamine being positioned too early in the treatment algorithm</w:t>
      </w:r>
      <w:r w:rsidR="00F95F32" w:rsidRPr="005C202F">
        <w:rPr>
          <w:rFonts w:asciiTheme="minorHAnsi" w:hAnsiTheme="minorHAnsi"/>
          <w:bCs/>
          <w:snapToGrid w:val="0"/>
        </w:rPr>
        <w:t xml:space="preserve"> and any resubmission would require substantial revision to reflect use later in the treatment algorithm</w:t>
      </w:r>
      <w:r w:rsidR="005C202F">
        <w:rPr>
          <w:rFonts w:asciiTheme="minorHAnsi" w:hAnsiTheme="minorHAnsi"/>
          <w:bCs/>
          <w:snapToGrid w:val="0"/>
        </w:rPr>
        <w:t xml:space="preserve">. </w:t>
      </w:r>
    </w:p>
    <w:p w:rsidR="00EF201B" w:rsidRPr="005C202F" w:rsidRDefault="00522438" w:rsidP="0059051A">
      <w:pPr>
        <w:widowControl w:val="0"/>
        <w:numPr>
          <w:ilvl w:val="1"/>
          <w:numId w:val="1"/>
        </w:numPr>
        <w:spacing w:after="120"/>
        <w:rPr>
          <w:rFonts w:asciiTheme="minorHAnsi" w:hAnsiTheme="minorHAnsi"/>
          <w:bCs/>
          <w:snapToGrid w:val="0"/>
        </w:rPr>
      </w:pPr>
      <w:r w:rsidRPr="005C202F">
        <w:rPr>
          <w:rFonts w:asciiTheme="minorHAnsi" w:hAnsiTheme="minorHAnsi"/>
          <w:bCs/>
          <w:snapToGrid w:val="0"/>
        </w:rPr>
        <w:t>The PBAC advised the submission was eligible for an Independent Review.</w:t>
      </w:r>
    </w:p>
    <w:p w:rsidR="00122786" w:rsidRDefault="00122786" w:rsidP="00122786">
      <w:pPr>
        <w:rPr>
          <w:b/>
          <w:snapToGrid w:val="0"/>
        </w:rPr>
      </w:pPr>
    </w:p>
    <w:p w:rsidR="00EF201B" w:rsidRPr="005C202F" w:rsidRDefault="00EF201B" w:rsidP="00122786">
      <w:pPr>
        <w:rPr>
          <w:snapToGrid w:val="0"/>
        </w:rPr>
      </w:pPr>
      <w:r w:rsidRPr="005C202F">
        <w:rPr>
          <w:b/>
          <w:snapToGrid w:val="0"/>
        </w:rPr>
        <w:t>Outcome</w:t>
      </w:r>
      <w:r w:rsidR="00522438" w:rsidRPr="005C202F">
        <w:rPr>
          <w:b/>
          <w:snapToGrid w:val="0"/>
        </w:rPr>
        <w:t xml:space="preserve">: </w:t>
      </w:r>
      <w:r w:rsidR="00522438" w:rsidRPr="005C202F">
        <w:rPr>
          <w:b/>
          <w:snapToGrid w:val="0"/>
        </w:rPr>
        <w:br/>
      </w:r>
      <w:r w:rsidR="00522438" w:rsidRPr="005C202F">
        <w:rPr>
          <w:snapToGrid w:val="0"/>
        </w:rPr>
        <w:t>Not recommended</w:t>
      </w:r>
    </w:p>
    <w:p w:rsidR="0007795D" w:rsidRPr="0007795D" w:rsidRDefault="0007795D" w:rsidP="0007795D">
      <w:pPr>
        <w:keepNext/>
        <w:widowControl w:val="0"/>
        <w:numPr>
          <w:ilvl w:val="0"/>
          <w:numId w:val="1"/>
        </w:numPr>
        <w:spacing w:before="240" w:after="120"/>
        <w:outlineLvl w:val="0"/>
        <w:rPr>
          <w:rFonts w:asciiTheme="minorHAnsi" w:hAnsiTheme="minorHAnsi"/>
          <w:b/>
          <w:bCs/>
          <w:snapToGrid w:val="0"/>
          <w:sz w:val="32"/>
        </w:rPr>
      </w:pPr>
      <w:r w:rsidRPr="0007795D">
        <w:rPr>
          <w:rFonts w:asciiTheme="minorHAnsi" w:hAnsiTheme="minorHAnsi"/>
          <w:b/>
          <w:bCs/>
          <w:snapToGrid w:val="0"/>
          <w:sz w:val="32"/>
        </w:rPr>
        <w:t>Context for Decision</w:t>
      </w:r>
    </w:p>
    <w:p w:rsidR="0007795D" w:rsidRPr="007129F2" w:rsidRDefault="0007795D" w:rsidP="0007795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7795D" w:rsidRPr="0007795D" w:rsidRDefault="0007795D" w:rsidP="0007795D">
      <w:pPr>
        <w:keepNext/>
        <w:widowControl w:val="0"/>
        <w:numPr>
          <w:ilvl w:val="0"/>
          <w:numId w:val="1"/>
        </w:numPr>
        <w:spacing w:before="240" w:after="120"/>
        <w:outlineLvl w:val="0"/>
        <w:rPr>
          <w:rFonts w:asciiTheme="minorHAnsi" w:hAnsiTheme="minorHAnsi"/>
          <w:b/>
          <w:bCs/>
          <w:snapToGrid w:val="0"/>
          <w:sz w:val="32"/>
        </w:rPr>
      </w:pPr>
      <w:r w:rsidRPr="0007795D">
        <w:rPr>
          <w:rFonts w:asciiTheme="minorHAnsi" w:hAnsiTheme="minorHAnsi"/>
          <w:b/>
          <w:bCs/>
          <w:snapToGrid w:val="0"/>
          <w:sz w:val="32"/>
        </w:rPr>
        <w:t>Sponsor’s Comment</w:t>
      </w:r>
    </w:p>
    <w:p w:rsidR="0007795D" w:rsidRPr="001179AC" w:rsidRDefault="0007795D" w:rsidP="0007795D">
      <w:pPr>
        <w:spacing w:after="120"/>
        <w:ind w:firstLine="720"/>
        <w:rPr>
          <w:rFonts w:asciiTheme="minorHAnsi" w:hAnsiTheme="minorHAnsi"/>
          <w:bCs/>
        </w:rPr>
      </w:pPr>
      <w:r>
        <w:rPr>
          <w:rFonts w:asciiTheme="minorHAnsi" w:hAnsiTheme="minorHAnsi"/>
          <w:bCs/>
        </w:rPr>
        <w:t>T</w:t>
      </w:r>
      <w:r w:rsidRPr="00C07617">
        <w:rPr>
          <w:rFonts w:asciiTheme="minorHAnsi" w:hAnsiTheme="minorHAnsi"/>
          <w:bCs/>
        </w:rPr>
        <w:t>he sponsor had no comment.</w:t>
      </w:r>
    </w:p>
    <w:p w:rsidR="007655F3" w:rsidRPr="005C202F" w:rsidRDefault="007655F3" w:rsidP="00A40A56">
      <w:pPr>
        <w:pStyle w:val="2-SectionHeading"/>
        <w:numPr>
          <w:ilvl w:val="0"/>
          <w:numId w:val="0"/>
        </w:numPr>
      </w:pPr>
    </w:p>
    <w:sectPr w:rsidR="007655F3" w:rsidRPr="005C202F" w:rsidSect="00A40A5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A1" w:rsidRDefault="002704A1" w:rsidP="00124A51">
      <w:r>
        <w:separator/>
      </w:r>
    </w:p>
    <w:p w:rsidR="002704A1" w:rsidRDefault="002704A1"/>
  </w:endnote>
  <w:endnote w:type="continuationSeparator" w:id="0">
    <w:p w:rsidR="002704A1" w:rsidRDefault="002704A1" w:rsidP="00124A51">
      <w:r>
        <w:continuationSeparator/>
      </w:r>
    </w:p>
    <w:p w:rsidR="002704A1" w:rsidRDefault="002704A1"/>
  </w:endnote>
  <w:endnote w:type="continuationNotice" w:id="1">
    <w:p w:rsidR="002704A1" w:rsidRDefault="00270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1" w:rsidRDefault="0027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BE" w:rsidRPr="00D13A3E" w:rsidRDefault="00FE2CBE" w:rsidP="00015886">
    <w:pPr>
      <w:ind w:right="360"/>
      <w:jc w:val="center"/>
      <w:rPr>
        <w:b/>
        <w:sz w:val="20"/>
      </w:rPr>
    </w:pPr>
  </w:p>
  <w:p w:rsidR="00FE2CBE" w:rsidRPr="005D32F9" w:rsidRDefault="00FE2CBE" w:rsidP="005D32F9">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2A1438">
      <w:rPr>
        <w:b/>
        <w:noProof/>
      </w:rPr>
      <w:t>20</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1" w:rsidRDefault="0027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A1" w:rsidRDefault="002704A1" w:rsidP="00124A51">
      <w:r>
        <w:separator/>
      </w:r>
    </w:p>
    <w:p w:rsidR="002704A1" w:rsidRDefault="002704A1"/>
  </w:footnote>
  <w:footnote w:type="continuationSeparator" w:id="0">
    <w:p w:rsidR="002704A1" w:rsidRDefault="002704A1" w:rsidP="00124A51">
      <w:r>
        <w:continuationSeparator/>
      </w:r>
    </w:p>
    <w:p w:rsidR="002704A1" w:rsidRDefault="002704A1"/>
  </w:footnote>
  <w:footnote w:type="continuationNotice" w:id="1">
    <w:p w:rsidR="002704A1" w:rsidRDefault="002704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1" w:rsidRDefault="0027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BE" w:rsidRPr="00056684" w:rsidRDefault="00FE2CBE" w:rsidP="005D32F9">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2021</w:t>
    </w:r>
    <w:r w:rsidRPr="00056684">
      <w:rPr>
        <w:rFonts w:asciiTheme="minorHAnsi" w:hAnsiTheme="minorHAnsi"/>
        <w:i/>
        <w:color w:val="808080"/>
      </w:rPr>
      <w:t xml:space="preserve"> PBAC Meeting</w:t>
    </w:r>
  </w:p>
  <w:p w:rsidR="00FE2CBE" w:rsidRPr="00EE07D3" w:rsidRDefault="00FE2CBE">
    <w:pPr>
      <w:rPr>
        <w:color w:val="D9D9D9" w:themeColor="background1" w:themeShade="D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4A1" w:rsidRDefault="0027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F9117E"/>
    <w:multiLevelType w:val="hybridMultilevel"/>
    <w:tmpl w:val="951857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BE4B7F"/>
    <w:multiLevelType w:val="hybridMultilevel"/>
    <w:tmpl w:val="071AEA8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78453B"/>
    <w:multiLevelType w:val="hybridMultilevel"/>
    <w:tmpl w:val="37064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40835"/>
    <w:multiLevelType w:val="hybridMultilevel"/>
    <w:tmpl w:val="369A0088"/>
    <w:lvl w:ilvl="0" w:tplc="1E5AB41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E45A5"/>
    <w:multiLevelType w:val="multilevel"/>
    <w:tmpl w:val="C9240EFE"/>
    <w:lvl w:ilvl="0">
      <w:start w:val="1"/>
      <w:numFmt w:val="decimal"/>
      <w:lvlText w:val="%1"/>
      <w:lvlJc w:val="left"/>
      <w:pPr>
        <w:ind w:left="720" w:hanging="720"/>
      </w:pPr>
      <w:rPr>
        <w:rFonts w:hint="default"/>
        <w:b/>
      </w:rPr>
    </w:lvl>
    <w:lvl w:ilvl="1">
      <w:start w:val="1"/>
      <w:numFmt w:val="bullet"/>
      <w:lvlText w:val=""/>
      <w:lvlJc w:val="left"/>
      <w:pPr>
        <w:ind w:left="1021" w:hanging="341"/>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A5006"/>
    <w:multiLevelType w:val="hybridMultilevel"/>
    <w:tmpl w:val="80A0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E26F3"/>
    <w:multiLevelType w:val="hybridMultilevel"/>
    <w:tmpl w:val="CA828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116B08"/>
    <w:multiLevelType w:val="hybridMultilevel"/>
    <w:tmpl w:val="D2B2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0F2C8BB8"/>
    <w:lvl w:ilvl="0" w:tplc="9C6410AC">
      <w:start w:val="1"/>
      <w:numFmt w:val="decimal"/>
      <w:lvlText w:val="%1."/>
      <w:lvlJc w:val="left"/>
      <w:pPr>
        <w:ind w:left="1778" w:hanging="360"/>
      </w:pPr>
      <w:rPr>
        <w:rFonts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986D14"/>
    <w:multiLevelType w:val="hybridMultilevel"/>
    <w:tmpl w:val="D968E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9F1E71"/>
    <w:multiLevelType w:val="hybridMultilevel"/>
    <w:tmpl w:val="B896C5A4"/>
    <w:lvl w:ilvl="0" w:tplc="1E5AB41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887258"/>
    <w:multiLevelType w:val="hybridMultilevel"/>
    <w:tmpl w:val="E65C18CE"/>
    <w:lvl w:ilvl="0" w:tplc="FA48490E">
      <w:start w:val="1"/>
      <w:numFmt w:val="bullet"/>
      <w:lvlText w:val="◦"/>
      <w:lvlJc w:val="left"/>
      <w:pPr>
        <w:tabs>
          <w:tab w:val="num" w:pos="720"/>
        </w:tabs>
        <w:ind w:left="720" w:hanging="360"/>
      </w:pPr>
      <w:rPr>
        <w:rFonts w:ascii="Calibri" w:hAnsi="Calibri" w:hint="default"/>
      </w:rPr>
    </w:lvl>
    <w:lvl w:ilvl="1" w:tplc="0EC4F318">
      <w:start w:val="1"/>
      <w:numFmt w:val="bullet"/>
      <w:lvlText w:val="◦"/>
      <w:lvlJc w:val="left"/>
      <w:pPr>
        <w:tabs>
          <w:tab w:val="num" w:pos="1440"/>
        </w:tabs>
        <w:ind w:left="1440" w:hanging="360"/>
      </w:pPr>
      <w:rPr>
        <w:rFonts w:ascii="Calibri" w:hAnsi="Calibri" w:hint="default"/>
      </w:rPr>
    </w:lvl>
    <w:lvl w:ilvl="2" w:tplc="87BCE0CC" w:tentative="1">
      <w:start w:val="1"/>
      <w:numFmt w:val="bullet"/>
      <w:lvlText w:val="◦"/>
      <w:lvlJc w:val="left"/>
      <w:pPr>
        <w:tabs>
          <w:tab w:val="num" w:pos="2160"/>
        </w:tabs>
        <w:ind w:left="2160" w:hanging="360"/>
      </w:pPr>
      <w:rPr>
        <w:rFonts w:ascii="Calibri" w:hAnsi="Calibri" w:hint="default"/>
      </w:rPr>
    </w:lvl>
    <w:lvl w:ilvl="3" w:tplc="772EC1F0" w:tentative="1">
      <w:start w:val="1"/>
      <w:numFmt w:val="bullet"/>
      <w:lvlText w:val="◦"/>
      <w:lvlJc w:val="left"/>
      <w:pPr>
        <w:tabs>
          <w:tab w:val="num" w:pos="2880"/>
        </w:tabs>
        <w:ind w:left="2880" w:hanging="360"/>
      </w:pPr>
      <w:rPr>
        <w:rFonts w:ascii="Calibri" w:hAnsi="Calibri" w:hint="default"/>
      </w:rPr>
    </w:lvl>
    <w:lvl w:ilvl="4" w:tplc="CC4E4878" w:tentative="1">
      <w:start w:val="1"/>
      <w:numFmt w:val="bullet"/>
      <w:lvlText w:val="◦"/>
      <w:lvlJc w:val="left"/>
      <w:pPr>
        <w:tabs>
          <w:tab w:val="num" w:pos="3600"/>
        </w:tabs>
        <w:ind w:left="3600" w:hanging="360"/>
      </w:pPr>
      <w:rPr>
        <w:rFonts w:ascii="Calibri" w:hAnsi="Calibri" w:hint="default"/>
      </w:rPr>
    </w:lvl>
    <w:lvl w:ilvl="5" w:tplc="8B6E9E26" w:tentative="1">
      <w:start w:val="1"/>
      <w:numFmt w:val="bullet"/>
      <w:lvlText w:val="◦"/>
      <w:lvlJc w:val="left"/>
      <w:pPr>
        <w:tabs>
          <w:tab w:val="num" w:pos="4320"/>
        </w:tabs>
        <w:ind w:left="4320" w:hanging="360"/>
      </w:pPr>
      <w:rPr>
        <w:rFonts w:ascii="Calibri" w:hAnsi="Calibri" w:hint="default"/>
      </w:rPr>
    </w:lvl>
    <w:lvl w:ilvl="6" w:tplc="8EF0EF92" w:tentative="1">
      <w:start w:val="1"/>
      <w:numFmt w:val="bullet"/>
      <w:lvlText w:val="◦"/>
      <w:lvlJc w:val="left"/>
      <w:pPr>
        <w:tabs>
          <w:tab w:val="num" w:pos="5040"/>
        </w:tabs>
        <w:ind w:left="5040" w:hanging="360"/>
      </w:pPr>
      <w:rPr>
        <w:rFonts w:ascii="Calibri" w:hAnsi="Calibri" w:hint="default"/>
      </w:rPr>
    </w:lvl>
    <w:lvl w:ilvl="7" w:tplc="618E1970" w:tentative="1">
      <w:start w:val="1"/>
      <w:numFmt w:val="bullet"/>
      <w:lvlText w:val="◦"/>
      <w:lvlJc w:val="left"/>
      <w:pPr>
        <w:tabs>
          <w:tab w:val="num" w:pos="5760"/>
        </w:tabs>
        <w:ind w:left="5760" w:hanging="360"/>
      </w:pPr>
      <w:rPr>
        <w:rFonts w:ascii="Calibri" w:hAnsi="Calibri" w:hint="default"/>
      </w:rPr>
    </w:lvl>
    <w:lvl w:ilvl="8" w:tplc="3B86FAD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9BA5D39"/>
    <w:multiLevelType w:val="hybridMultilevel"/>
    <w:tmpl w:val="D6783D4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9" w15:restartNumberingAfterBreak="0">
    <w:nsid w:val="43280A35"/>
    <w:multiLevelType w:val="hybridMultilevel"/>
    <w:tmpl w:val="8ECED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42297"/>
    <w:multiLevelType w:val="hybridMultilevel"/>
    <w:tmpl w:val="1B1E9D78"/>
    <w:lvl w:ilvl="0" w:tplc="3FF88F56">
      <w:start w:val="1"/>
      <w:numFmt w:val="bullet"/>
      <w:pStyle w:val="Bulletpoints"/>
      <w:lvlText w:val=""/>
      <w:lvlJc w:val="left"/>
      <w:pPr>
        <w:ind w:left="720" w:hanging="360"/>
      </w:pPr>
      <w:rPr>
        <w:rFonts w:ascii="Symbol" w:hAnsi="Symbol" w:hint="default"/>
        <w:color w:val="auto"/>
      </w:rPr>
    </w:lvl>
    <w:lvl w:ilvl="1" w:tplc="9E521F94">
      <w:numFmt w:val="bullet"/>
      <w:lvlText w:val="–"/>
      <w:lvlJc w:val="left"/>
      <w:pPr>
        <w:ind w:left="1440" w:hanging="360"/>
      </w:pPr>
      <w:rPr>
        <w:rFonts w:ascii="Calibri" w:eastAsia="Times New Roman" w:hAnsi="Calibri" w:cs="Calibri"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76518"/>
    <w:multiLevelType w:val="hybridMultilevel"/>
    <w:tmpl w:val="2F2AC60E"/>
    <w:lvl w:ilvl="0" w:tplc="1E5AB4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5109E"/>
    <w:multiLevelType w:val="hybridMultilevel"/>
    <w:tmpl w:val="639AA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41F5076"/>
    <w:multiLevelType w:val="hybridMultilevel"/>
    <w:tmpl w:val="7C00A34A"/>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23D51"/>
    <w:multiLevelType w:val="hybridMultilevel"/>
    <w:tmpl w:val="33C4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A3C06"/>
    <w:multiLevelType w:val="hybridMultilevel"/>
    <w:tmpl w:val="DEBA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51C7D"/>
    <w:multiLevelType w:val="multilevel"/>
    <w:tmpl w:val="EB162C38"/>
    <w:lvl w:ilvl="0">
      <w:start w:val="1"/>
      <w:numFmt w:val="lowerLetter"/>
      <w:pStyle w:val="AlphaList"/>
      <w:lvlText w:val="%1."/>
      <w:lvlJc w:val="left"/>
      <w:pPr>
        <w:ind w:left="680" w:hanging="255"/>
      </w:pPr>
      <w:rPr>
        <w:rFonts w:asciiTheme="minorHAnsi" w:hAnsiTheme="minorHAnsi" w:hint="default"/>
        <w:color w:val="4F81BD" w:themeColor="accent1"/>
      </w:rPr>
    </w:lvl>
    <w:lvl w:ilvl="1">
      <w:start w:val="1"/>
      <w:numFmt w:val="lowerLetter"/>
      <w:lvlText w:val="%2)"/>
      <w:lvlJc w:val="left"/>
      <w:pPr>
        <w:ind w:left="425" w:hanging="425"/>
      </w:pPr>
      <w:rPr>
        <w:rFonts w:hint="default"/>
      </w:rPr>
    </w:lvl>
    <w:lvl w:ilvl="2">
      <w:start w:val="1"/>
      <w:numFmt w:val="lowerRoman"/>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0" w15:restartNumberingAfterBreak="0">
    <w:nsid w:val="6EFE47FB"/>
    <w:multiLevelType w:val="hybridMultilevel"/>
    <w:tmpl w:val="6DFAAC54"/>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1" w15:restartNumberingAfterBreak="0">
    <w:nsid w:val="75A87168"/>
    <w:multiLevelType w:val="hybridMultilevel"/>
    <w:tmpl w:val="DF1A6F3C"/>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32" w15:restartNumberingAfterBreak="0">
    <w:nsid w:val="784D033C"/>
    <w:multiLevelType w:val="multilevel"/>
    <w:tmpl w:val="79369216"/>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104D30"/>
    <w:multiLevelType w:val="hybridMultilevel"/>
    <w:tmpl w:val="F9AA7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70942"/>
    <w:multiLevelType w:val="hybridMultilevel"/>
    <w:tmpl w:val="AC76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2"/>
  </w:num>
  <w:num w:numId="2">
    <w:abstractNumId w:val="20"/>
  </w:num>
  <w:num w:numId="3">
    <w:abstractNumId w:val="0"/>
  </w:num>
  <w:num w:numId="4">
    <w:abstractNumId w:val="32"/>
  </w:num>
  <w:num w:numId="5">
    <w:abstractNumId w:val="19"/>
  </w:num>
  <w:num w:numId="6">
    <w:abstractNumId w:val="14"/>
  </w:num>
  <w:num w:numId="7">
    <w:abstractNumId w:val="29"/>
  </w:num>
  <w:num w:numId="8">
    <w:abstractNumId w:val="7"/>
  </w:num>
  <w:num w:numId="9">
    <w:abstractNumId w:val="5"/>
  </w:num>
  <w:num w:numId="10">
    <w:abstractNumId w:val="8"/>
  </w:num>
  <w:num w:numId="11">
    <w:abstractNumId w:val="12"/>
  </w:num>
  <w:num w:numId="12">
    <w:abstractNumId w:val="35"/>
  </w:num>
  <w:num w:numId="13">
    <w:abstractNumId w:val="18"/>
  </w:num>
  <w:num w:numId="14">
    <w:abstractNumId w:val="30"/>
  </w:num>
  <w:num w:numId="15">
    <w:abstractNumId w:val="3"/>
  </w:num>
  <w:num w:numId="16">
    <w:abstractNumId w:val="2"/>
  </w:num>
  <w:num w:numId="17">
    <w:abstractNumId w:val="23"/>
  </w:num>
  <w:num w:numId="18">
    <w:abstractNumId w:val="24"/>
  </w:num>
  <w:num w:numId="19">
    <w:abstractNumId w:val="4"/>
  </w:num>
  <w:num w:numId="20">
    <w:abstractNumId w:val="1"/>
  </w:num>
  <w:num w:numId="21">
    <w:abstractNumId w:val="13"/>
  </w:num>
  <w:num w:numId="22">
    <w:abstractNumId w:val="16"/>
  </w:num>
  <w:num w:numId="23">
    <w:abstractNumId w:val="11"/>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21"/>
  </w:num>
  <w:num w:numId="28">
    <w:abstractNumId w:val="33"/>
  </w:num>
  <w:num w:numId="29">
    <w:abstractNumId w:val="28"/>
  </w:num>
  <w:num w:numId="30">
    <w:abstractNumId w:val="32"/>
  </w:num>
  <w:num w:numId="31">
    <w:abstractNumId w:val="32"/>
  </w:num>
  <w:num w:numId="32">
    <w:abstractNumId w:val="22"/>
  </w:num>
  <w:num w:numId="33">
    <w:abstractNumId w:val="9"/>
  </w:num>
  <w:num w:numId="34">
    <w:abstractNumId w:val="32"/>
  </w:num>
  <w:num w:numId="35">
    <w:abstractNumId w:val="32"/>
  </w:num>
  <w:num w:numId="36">
    <w:abstractNumId w:val="31"/>
  </w:num>
  <w:num w:numId="37">
    <w:abstractNumId w:val="32"/>
  </w:num>
  <w:num w:numId="38">
    <w:abstractNumId w:val="32"/>
  </w:num>
  <w:num w:numId="39">
    <w:abstractNumId w:val="32"/>
  </w:num>
  <w:num w:numId="40">
    <w:abstractNumId w:val="27"/>
  </w:num>
  <w:num w:numId="41">
    <w:abstractNumId w:val="26"/>
  </w:num>
  <w:num w:numId="42">
    <w:abstractNumId w:val="34"/>
  </w:num>
  <w:num w:numId="43">
    <w:abstractNumId w:val="17"/>
  </w:num>
  <w:num w:numId="44">
    <w:abstractNumId w:val="32"/>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1A"/>
    <w:rsid w:val="0000110B"/>
    <w:rsid w:val="00001216"/>
    <w:rsid w:val="00001ECB"/>
    <w:rsid w:val="00002BD9"/>
    <w:rsid w:val="00002D3C"/>
    <w:rsid w:val="000030B4"/>
    <w:rsid w:val="00003304"/>
    <w:rsid w:val="00003499"/>
    <w:rsid w:val="000036AB"/>
    <w:rsid w:val="000039B7"/>
    <w:rsid w:val="000048FB"/>
    <w:rsid w:val="00005469"/>
    <w:rsid w:val="00006070"/>
    <w:rsid w:val="0000639A"/>
    <w:rsid w:val="00006C33"/>
    <w:rsid w:val="0000750E"/>
    <w:rsid w:val="000076D4"/>
    <w:rsid w:val="00010841"/>
    <w:rsid w:val="0001257D"/>
    <w:rsid w:val="000127C5"/>
    <w:rsid w:val="00012C45"/>
    <w:rsid w:val="00012CCC"/>
    <w:rsid w:val="00012D77"/>
    <w:rsid w:val="00013154"/>
    <w:rsid w:val="00013247"/>
    <w:rsid w:val="00013E41"/>
    <w:rsid w:val="000149DE"/>
    <w:rsid w:val="00014FEA"/>
    <w:rsid w:val="00014FFD"/>
    <w:rsid w:val="00015016"/>
    <w:rsid w:val="000154CB"/>
    <w:rsid w:val="000157E1"/>
    <w:rsid w:val="00015886"/>
    <w:rsid w:val="0001594D"/>
    <w:rsid w:val="00015D2C"/>
    <w:rsid w:val="00016117"/>
    <w:rsid w:val="000162EF"/>
    <w:rsid w:val="000164EE"/>
    <w:rsid w:val="00016CCD"/>
    <w:rsid w:val="00016D18"/>
    <w:rsid w:val="000172BF"/>
    <w:rsid w:val="0001748F"/>
    <w:rsid w:val="0001776D"/>
    <w:rsid w:val="00017A18"/>
    <w:rsid w:val="0002025C"/>
    <w:rsid w:val="00020685"/>
    <w:rsid w:val="000207C9"/>
    <w:rsid w:val="000212EE"/>
    <w:rsid w:val="00021F32"/>
    <w:rsid w:val="0002225F"/>
    <w:rsid w:val="00022D0C"/>
    <w:rsid w:val="00022EBA"/>
    <w:rsid w:val="00023763"/>
    <w:rsid w:val="000259D0"/>
    <w:rsid w:val="00025A2B"/>
    <w:rsid w:val="00025B10"/>
    <w:rsid w:val="000263A0"/>
    <w:rsid w:val="0002660E"/>
    <w:rsid w:val="00026B5E"/>
    <w:rsid w:val="000271F7"/>
    <w:rsid w:val="000274B8"/>
    <w:rsid w:val="0002786C"/>
    <w:rsid w:val="00027B33"/>
    <w:rsid w:val="00027BC2"/>
    <w:rsid w:val="00030BC2"/>
    <w:rsid w:val="00030EAF"/>
    <w:rsid w:val="000310F2"/>
    <w:rsid w:val="00031349"/>
    <w:rsid w:val="00031642"/>
    <w:rsid w:val="00031F0A"/>
    <w:rsid w:val="000326EB"/>
    <w:rsid w:val="0003372B"/>
    <w:rsid w:val="00033863"/>
    <w:rsid w:val="000340EE"/>
    <w:rsid w:val="000347AF"/>
    <w:rsid w:val="0003486C"/>
    <w:rsid w:val="000348A1"/>
    <w:rsid w:val="00034C7F"/>
    <w:rsid w:val="0003500A"/>
    <w:rsid w:val="00035124"/>
    <w:rsid w:val="00035511"/>
    <w:rsid w:val="00035DC0"/>
    <w:rsid w:val="0003625A"/>
    <w:rsid w:val="0003634B"/>
    <w:rsid w:val="00036829"/>
    <w:rsid w:val="000370F5"/>
    <w:rsid w:val="0003730F"/>
    <w:rsid w:val="000379CA"/>
    <w:rsid w:val="00037A3C"/>
    <w:rsid w:val="00040895"/>
    <w:rsid w:val="00041F33"/>
    <w:rsid w:val="00041FAA"/>
    <w:rsid w:val="000420EC"/>
    <w:rsid w:val="00042718"/>
    <w:rsid w:val="000427D3"/>
    <w:rsid w:val="0004297C"/>
    <w:rsid w:val="0004359A"/>
    <w:rsid w:val="000435EE"/>
    <w:rsid w:val="00043C37"/>
    <w:rsid w:val="00044D32"/>
    <w:rsid w:val="00044F32"/>
    <w:rsid w:val="00045017"/>
    <w:rsid w:val="000450DA"/>
    <w:rsid w:val="000450E1"/>
    <w:rsid w:val="000453E9"/>
    <w:rsid w:val="000457ED"/>
    <w:rsid w:val="00045A2B"/>
    <w:rsid w:val="00045AB5"/>
    <w:rsid w:val="0004698F"/>
    <w:rsid w:val="0004734F"/>
    <w:rsid w:val="00047AF5"/>
    <w:rsid w:val="00050003"/>
    <w:rsid w:val="00050824"/>
    <w:rsid w:val="00050A31"/>
    <w:rsid w:val="0005158E"/>
    <w:rsid w:val="00052212"/>
    <w:rsid w:val="00053029"/>
    <w:rsid w:val="0005332A"/>
    <w:rsid w:val="000539D0"/>
    <w:rsid w:val="000541E0"/>
    <w:rsid w:val="00054621"/>
    <w:rsid w:val="000546D7"/>
    <w:rsid w:val="000548A2"/>
    <w:rsid w:val="00054F44"/>
    <w:rsid w:val="0005550E"/>
    <w:rsid w:val="0005587C"/>
    <w:rsid w:val="00056C06"/>
    <w:rsid w:val="00056ECF"/>
    <w:rsid w:val="000573DD"/>
    <w:rsid w:val="00057467"/>
    <w:rsid w:val="00057517"/>
    <w:rsid w:val="000576A7"/>
    <w:rsid w:val="00057EBD"/>
    <w:rsid w:val="00057F80"/>
    <w:rsid w:val="00060433"/>
    <w:rsid w:val="000604DF"/>
    <w:rsid w:val="00060E59"/>
    <w:rsid w:val="00061AA6"/>
    <w:rsid w:val="00062218"/>
    <w:rsid w:val="00062FDC"/>
    <w:rsid w:val="00063847"/>
    <w:rsid w:val="00063EAA"/>
    <w:rsid w:val="00064A23"/>
    <w:rsid w:val="000653B5"/>
    <w:rsid w:val="00065CCD"/>
    <w:rsid w:val="00066360"/>
    <w:rsid w:val="00066618"/>
    <w:rsid w:val="00066872"/>
    <w:rsid w:val="00066AF8"/>
    <w:rsid w:val="00067156"/>
    <w:rsid w:val="000700F5"/>
    <w:rsid w:val="00070AC7"/>
    <w:rsid w:val="00071248"/>
    <w:rsid w:val="000712B8"/>
    <w:rsid w:val="00071320"/>
    <w:rsid w:val="000715B1"/>
    <w:rsid w:val="00071C95"/>
    <w:rsid w:val="00072004"/>
    <w:rsid w:val="000720B9"/>
    <w:rsid w:val="00072B0F"/>
    <w:rsid w:val="00072E1F"/>
    <w:rsid w:val="00072F9A"/>
    <w:rsid w:val="000731F0"/>
    <w:rsid w:val="000734A8"/>
    <w:rsid w:val="000737F7"/>
    <w:rsid w:val="00073930"/>
    <w:rsid w:val="0007468A"/>
    <w:rsid w:val="0007471E"/>
    <w:rsid w:val="00074D1A"/>
    <w:rsid w:val="000754CC"/>
    <w:rsid w:val="00075956"/>
    <w:rsid w:val="000759FD"/>
    <w:rsid w:val="00075DF3"/>
    <w:rsid w:val="000764A8"/>
    <w:rsid w:val="0007672F"/>
    <w:rsid w:val="00076B24"/>
    <w:rsid w:val="00076B54"/>
    <w:rsid w:val="00076F80"/>
    <w:rsid w:val="00077011"/>
    <w:rsid w:val="0007702D"/>
    <w:rsid w:val="000774F0"/>
    <w:rsid w:val="00077773"/>
    <w:rsid w:val="0007795D"/>
    <w:rsid w:val="00080909"/>
    <w:rsid w:val="00080B3B"/>
    <w:rsid w:val="000812CA"/>
    <w:rsid w:val="00081713"/>
    <w:rsid w:val="00081CE8"/>
    <w:rsid w:val="00081E63"/>
    <w:rsid w:val="00082015"/>
    <w:rsid w:val="000820C2"/>
    <w:rsid w:val="0008258D"/>
    <w:rsid w:val="0008269C"/>
    <w:rsid w:val="00082B86"/>
    <w:rsid w:val="00082CAF"/>
    <w:rsid w:val="00083389"/>
    <w:rsid w:val="000833C5"/>
    <w:rsid w:val="00083E99"/>
    <w:rsid w:val="0008495C"/>
    <w:rsid w:val="00084A42"/>
    <w:rsid w:val="00084E49"/>
    <w:rsid w:val="00084FA8"/>
    <w:rsid w:val="000856C5"/>
    <w:rsid w:val="00085C31"/>
    <w:rsid w:val="00086AFE"/>
    <w:rsid w:val="00086B0C"/>
    <w:rsid w:val="00086C67"/>
    <w:rsid w:val="000872B1"/>
    <w:rsid w:val="00087317"/>
    <w:rsid w:val="00087DA1"/>
    <w:rsid w:val="000902D9"/>
    <w:rsid w:val="00090C7E"/>
    <w:rsid w:val="00091EA6"/>
    <w:rsid w:val="00091F3D"/>
    <w:rsid w:val="00092294"/>
    <w:rsid w:val="00092600"/>
    <w:rsid w:val="0009262B"/>
    <w:rsid w:val="00092FB7"/>
    <w:rsid w:val="00093310"/>
    <w:rsid w:val="0009445C"/>
    <w:rsid w:val="000944EB"/>
    <w:rsid w:val="00094D08"/>
    <w:rsid w:val="00094E8A"/>
    <w:rsid w:val="00095200"/>
    <w:rsid w:val="00095441"/>
    <w:rsid w:val="00095873"/>
    <w:rsid w:val="00095942"/>
    <w:rsid w:val="0009597A"/>
    <w:rsid w:val="00095FE5"/>
    <w:rsid w:val="00096284"/>
    <w:rsid w:val="00096AEE"/>
    <w:rsid w:val="00097046"/>
    <w:rsid w:val="00097990"/>
    <w:rsid w:val="000A1BC0"/>
    <w:rsid w:val="000A3218"/>
    <w:rsid w:val="000A341C"/>
    <w:rsid w:val="000A5B1A"/>
    <w:rsid w:val="000A6039"/>
    <w:rsid w:val="000A61F7"/>
    <w:rsid w:val="000A668B"/>
    <w:rsid w:val="000A7453"/>
    <w:rsid w:val="000A7D08"/>
    <w:rsid w:val="000A7ED4"/>
    <w:rsid w:val="000B0121"/>
    <w:rsid w:val="000B0670"/>
    <w:rsid w:val="000B08BF"/>
    <w:rsid w:val="000B0ABB"/>
    <w:rsid w:val="000B0E75"/>
    <w:rsid w:val="000B1334"/>
    <w:rsid w:val="000B1734"/>
    <w:rsid w:val="000B1867"/>
    <w:rsid w:val="000B1917"/>
    <w:rsid w:val="000B2DCB"/>
    <w:rsid w:val="000B2F0A"/>
    <w:rsid w:val="000B3629"/>
    <w:rsid w:val="000B362B"/>
    <w:rsid w:val="000B4C19"/>
    <w:rsid w:val="000B5CE0"/>
    <w:rsid w:val="000B6CAC"/>
    <w:rsid w:val="000B7612"/>
    <w:rsid w:val="000B788D"/>
    <w:rsid w:val="000B78AE"/>
    <w:rsid w:val="000C0269"/>
    <w:rsid w:val="000C04D8"/>
    <w:rsid w:val="000C2891"/>
    <w:rsid w:val="000C289E"/>
    <w:rsid w:val="000C3DF9"/>
    <w:rsid w:val="000C4058"/>
    <w:rsid w:val="000C6713"/>
    <w:rsid w:val="000C6976"/>
    <w:rsid w:val="000C6EFD"/>
    <w:rsid w:val="000C7865"/>
    <w:rsid w:val="000D0985"/>
    <w:rsid w:val="000D0EA5"/>
    <w:rsid w:val="000D1BFC"/>
    <w:rsid w:val="000D1D5D"/>
    <w:rsid w:val="000D281A"/>
    <w:rsid w:val="000D2848"/>
    <w:rsid w:val="000D2923"/>
    <w:rsid w:val="000D2E05"/>
    <w:rsid w:val="000D326A"/>
    <w:rsid w:val="000D384E"/>
    <w:rsid w:val="000D455D"/>
    <w:rsid w:val="000D4D65"/>
    <w:rsid w:val="000D51FB"/>
    <w:rsid w:val="000D54FA"/>
    <w:rsid w:val="000D5D93"/>
    <w:rsid w:val="000D5F11"/>
    <w:rsid w:val="000D62C9"/>
    <w:rsid w:val="000D6553"/>
    <w:rsid w:val="000D6786"/>
    <w:rsid w:val="000D6830"/>
    <w:rsid w:val="000D6F15"/>
    <w:rsid w:val="000D7035"/>
    <w:rsid w:val="000E0223"/>
    <w:rsid w:val="000E0257"/>
    <w:rsid w:val="000E0640"/>
    <w:rsid w:val="000E135D"/>
    <w:rsid w:val="000E1936"/>
    <w:rsid w:val="000E1C9B"/>
    <w:rsid w:val="000E2C78"/>
    <w:rsid w:val="000E35F9"/>
    <w:rsid w:val="000E3936"/>
    <w:rsid w:val="000E3DAC"/>
    <w:rsid w:val="000E429B"/>
    <w:rsid w:val="000E42DB"/>
    <w:rsid w:val="000E5725"/>
    <w:rsid w:val="000E587A"/>
    <w:rsid w:val="000E5B74"/>
    <w:rsid w:val="000E5D9F"/>
    <w:rsid w:val="000E5E60"/>
    <w:rsid w:val="000E63F5"/>
    <w:rsid w:val="000E6676"/>
    <w:rsid w:val="000E6EEA"/>
    <w:rsid w:val="000F00BA"/>
    <w:rsid w:val="000F00C9"/>
    <w:rsid w:val="000F0F17"/>
    <w:rsid w:val="000F19F2"/>
    <w:rsid w:val="000F1B93"/>
    <w:rsid w:val="000F1C07"/>
    <w:rsid w:val="000F22AC"/>
    <w:rsid w:val="000F27FF"/>
    <w:rsid w:val="000F2A40"/>
    <w:rsid w:val="000F2DA7"/>
    <w:rsid w:val="000F2DCD"/>
    <w:rsid w:val="000F316A"/>
    <w:rsid w:val="000F375E"/>
    <w:rsid w:val="000F3C74"/>
    <w:rsid w:val="000F41D9"/>
    <w:rsid w:val="000F448F"/>
    <w:rsid w:val="000F46BE"/>
    <w:rsid w:val="000F46C2"/>
    <w:rsid w:val="000F4BB8"/>
    <w:rsid w:val="000F4EAE"/>
    <w:rsid w:val="000F4FA9"/>
    <w:rsid w:val="000F535A"/>
    <w:rsid w:val="000F53FB"/>
    <w:rsid w:val="000F5A36"/>
    <w:rsid w:val="000F5FD1"/>
    <w:rsid w:val="000F61BD"/>
    <w:rsid w:val="000F6CA3"/>
    <w:rsid w:val="000F6CC7"/>
    <w:rsid w:val="000F6E3A"/>
    <w:rsid w:val="000F7127"/>
    <w:rsid w:val="000F7B54"/>
    <w:rsid w:val="00100AF5"/>
    <w:rsid w:val="00100F20"/>
    <w:rsid w:val="00100F8A"/>
    <w:rsid w:val="00101146"/>
    <w:rsid w:val="00102279"/>
    <w:rsid w:val="00102288"/>
    <w:rsid w:val="00102456"/>
    <w:rsid w:val="0010288C"/>
    <w:rsid w:val="00104440"/>
    <w:rsid w:val="0010452E"/>
    <w:rsid w:val="001049B4"/>
    <w:rsid w:val="00104BF9"/>
    <w:rsid w:val="001050F4"/>
    <w:rsid w:val="001054B9"/>
    <w:rsid w:val="0010561A"/>
    <w:rsid w:val="00105793"/>
    <w:rsid w:val="001059E3"/>
    <w:rsid w:val="00105AE2"/>
    <w:rsid w:val="00105F6D"/>
    <w:rsid w:val="001060C6"/>
    <w:rsid w:val="0010616F"/>
    <w:rsid w:val="00106B80"/>
    <w:rsid w:val="00106F3C"/>
    <w:rsid w:val="001072A2"/>
    <w:rsid w:val="00107421"/>
    <w:rsid w:val="00107A6D"/>
    <w:rsid w:val="00107B02"/>
    <w:rsid w:val="001100C3"/>
    <w:rsid w:val="00110256"/>
    <w:rsid w:val="00110283"/>
    <w:rsid w:val="0011032E"/>
    <w:rsid w:val="0011067C"/>
    <w:rsid w:val="001114C2"/>
    <w:rsid w:val="00111B0E"/>
    <w:rsid w:val="00112A22"/>
    <w:rsid w:val="00112A6E"/>
    <w:rsid w:val="00112E9F"/>
    <w:rsid w:val="0011348B"/>
    <w:rsid w:val="0011407C"/>
    <w:rsid w:val="00114703"/>
    <w:rsid w:val="001154DB"/>
    <w:rsid w:val="00115982"/>
    <w:rsid w:val="001159CB"/>
    <w:rsid w:val="00115C95"/>
    <w:rsid w:val="00115EF4"/>
    <w:rsid w:val="00116BAE"/>
    <w:rsid w:val="00116C53"/>
    <w:rsid w:val="0011753C"/>
    <w:rsid w:val="00117682"/>
    <w:rsid w:val="001179C9"/>
    <w:rsid w:val="001201B3"/>
    <w:rsid w:val="0012059A"/>
    <w:rsid w:val="0012077A"/>
    <w:rsid w:val="00121799"/>
    <w:rsid w:val="001219DE"/>
    <w:rsid w:val="00121C9E"/>
    <w:rsid w:val="00121F56"/>
    <w:rsid w:val="00122048"/>
    <w:rsid w:val="001222FC"/>
    <w:rsid w:val="00122786"/>
    <w:rsid w:val="00122927"/>
    <w:rsid w:val="0012355A"/>
    <w:rsid w:val="00123902"/>
    <w:rsid w:val="00124202"/>
    <w:rsid w:val="00124301"/>
    <w:rsid w:val="001244CF"/>
    <w:rsid w:val="001246C7"/>
    <w:rsid w:val="00124A51"/>
    <w:rsid w:val="00125240"/>
    <w:rsid w:val="001263E3"/>
    <w:rsid w:val="00126621"/>
    <w:rsid w:val="00126AD7"/>
    <w:rsid w:val="00126B1D"/>
    <w:rsid w:val="00126E6C"/>
    <w:rsid w:val="00127852"/>
    <w:rsid w:val="00127C6F"/>
    <w:rsid w:val="00127CD4"/>
    <w:rsid w:val="001301E9"/>
    <w:rsid w:val="001311D5"/>
    <w:rsid w:val="0013121A"/>
    <w:rsid w:val="00131373"/>
    <w:rsid w:val="001313CB"/>
    <w:rsid w:val="001315AD"/>
    <w:rsid w:val="00131783"/>
    <w:rsid w:val="0013193A"/>
    <w:rsid w:val="00131C26"/>
    <w:rsid w:val="00131D82"/>
    <w:rsid w:val="0013279B"/>
    <w:rsid w:val="00132874"/>
    <w:rsid w:val="001328B8"/>
    <w:rsid w:val="00132A79"/>
    <w:rsid w:val="00132B22"/>
    <w:rsid w:val="00133087"/>
    <w:rsid w:val="00133D36"/>
    <w:rsid w:val="00134702"/>
    <w:rsid w:val="00134C72"/>
    <w:rsid w:val="00136610"/>
    <w:rsid w:val="001366BF"/>
    <w:rsid w:val="00136D46"/>
    <w:rsid w:val="00137645"/>
    <w:rsid w:val="001376D0"/>
    <w:rsid w:val="00137E27"/>
    <w:rsid w:val="00137F42"/>
    <w:rsid w:val="0014015A"/>
    <w:rsid w:val="00140E99"/>
    <w:rsid w:val="001415CD"/>
    <w:rsid w:val="00143F41"/>
    <w:rsid w:val="00143F67"/>
    <w:rsid w:val="00144592"/>
    <w:rsid w:val="00145540"/>
    <w:rsid w:val="001456B0"/>
    <w:rsid w:val="001459BB"/>
    <w:rsid w:val="001461A1"/>
    <w:rsid w:val="00146212"/>
    <w:rsid w:val="00146BA3"/>
    <w:rsid w:val="0014720A"/>
    <w:rsid w:val="00150C36"/>
    <w:rsid w:val="00151157"/>
    <w:rsid w:val="0015154C"/>
    <w:rsid w:val="00152041"/>
    <w:rsid w:val="001529E7"/>
    <w:rsid w:val="001537C1"/>
    <w:rsid w:val="00153C05"/>
    <w:rsid w:val="001541AA"/>
    <w:rsid w:val="001544AF"/>
    <w:rsid w:val="0015518E"/>
    <w:rsid w:val="00155500"/>
    <w:rsid w:val="00155A9E"/>
    <w:rsid w:val="00155C16"/>
    <w:rsid w:val="00155E74"/>
    <w:rsid w:val="00156271"/>
    <w:rsid w:val="00156541"/>
    <w:rsid w:val="00156AFE"/>
    <w:rsid w:val="00156F8F"/>
    <w:rsid w:val="00157130"/>
    <w:rsid w:val="001571D6"/>
    <w:rsid w:val="001576B1"/>
    <w:rsid w:val="00157716"/>
    <w:rsid w:val="001603EA"/>
    <w:rsid w:val="0016047B"/>
    <w:rsid w:val="001606E4"/>
    <w:rsid w:val="00160A4C"/>
    <w:rsid w:val="00160B51"/>
    <w:rsid w:val="00160DDA"/>
    <w:rsid w:val="00161B59"/>
    <w:rsid w:val="0016228E"/>
    <w:rsid w:val="00162913"/>
    <w:rsid w:val="001629A7"/>
    <w:rsid w:val="00162E63"/>
    <w:rsid w:val="001634F7"/>
    <w:rsid w:val="00163594"/>
    <w:rsid w:val="00163677"/>
    <w:rsid w:val="00163EFF"/>
    <w:rsid w:val="00163F66"/>
    <w:rsid w:val="0016450E"/>
    <w:rsid w:val="00164AF4"/>
    <w:rsid w:val="0016573C"/>
    <w:rsid w:val="0016607C"/>
    <w:rsid w:val="001661FB"/>
    <w:rsid w:val="00166ACF"/>
    <w:rsid w:val="001670CA"/>
    <w:rsid w:val="001671A0"/>
    <w:rsid w:val="0016741D"/>
    <w:rsid w:val="0016767F"/>
    <w:rsid w:val="00167A52"/>
    <w:rsid w:val="00167A64"/>
    <w:rsid w:val="00170389"/>
    <w:rsid w:val="00170B8A"/>
    <w:rsid w:val="00170C20"/>
    <w:rsid w:val="00170E40"/>
    <w:rsid w:val="001715A2"/>
    <w:rsid w:val="00171722"/>
    <w:rsid w:val="001717FB"/>
    <w:rsid w:val="00171DF6"/>
    <w:rsid w:val="00172139"/>
    <w:rsid w:val="001721EA"/>
    <w:rsid w:val="0017227C"/>
    <w:rsid w:val="00172B68"/>
    <w:rsid w:val="00172CF7"/>
    <w:rsid w:val="00172FB8"/>
    <w:rsid w:val="001731DC"/>
    <w:rsid w:val="00173565"/>
    <w:rsid w:val="00173B07"/>
    <w:rsid w:val="00174439"/>
    <w:rsid w:val="001751FA"/>
    <w:rsid w:val="00175299"/>
    <w:rsid w:val="00175959"/>
    <w:rsid w:val="00177242"/>
    <w:rsid w:val="0017731B"/>
    <w:rsid w:val="0017764B"/>
    <w:rsid w:val="00177750"/>
    <w:rsid w:val="00177CC1"/>
    <w:rsid w:val="001818F2"/>
    <w:rsid w:val="00181D38"/>
    <w:rsid w:val="00181D9C"/>
    <w:rsid w:val="001821F6"/>
    <w:rsid w:val="00182FC1"/>
    <w:rsid w:val="00183A78"/>
    <w:rsid w:val="001845AB"/>
    <w:rsid w:val="001845CF"/>
    <w:rsid w:val="00184B0E"/>
    <w:rsid w:val="00184E9D"/>
    <w:rsid w:val="00184F4D"/>
    <w:rsid w:val="00184FBC"/>
    <w:rsid w:val="00185034"/>
    <w:rsid w:val="001852B3"/>
    <w:rsid w:val="00185F15"/>
    <w:rsid w:val="00185FC7"/>
    <w:rsid w:val="0018617F"/>
    <w:rsid w:val="001863B1"/>
    <w:rsid w:val="00186F0C"/>
    <w:rsid w:val="0018749F"/>
    <w:rsid w:val="0018752F"/>
    <w:rsid w:val="0018784D"/>
    <w:rsid w:val="00187BB7"/>
    <w:rsid w:val="00191105"/>
    <w:rsid w:val="00191DFF"/>
    <w:rsid w:val="00192AD8"/>
    <w:rsid w:val="00192F81"/>
    <w:rsid w:val="00193292"/>
    <w:rsid w:val="00193638"/>
    <w:rsid w:val="00193838"/>
    <w:rsid w:val="00193C97"/>
    <w:rsid w:val="00194411"/>
    <w:rsid w:val="00194AD8"/>
    <w:rsid w:val="00195222"/>
    <w:rsid w:val="00195662"/>
    <w:rsid w:val="00195DB4"/>
    <w:rsid w:val="00196205"/>
    <w:rsid w:val="001962DE"/>
    <w:rsid w:val="001969F8"/>
    <w:rsid w:val="001971FF"/>
    <w:rsid w:val="001975D8"/>
    <w:rsid w:val="0019767E"/>
    <w:rsid w:val="0019796F"/>
    <w:rsid w:val="00197A7C"/>
    <w:rsid w:val="00197E51"/>
    <w:rsid w:val="001A0A14"/>
    <w:rsid w:val="001A0A66"/>
    <w:rsid w:val="001A0C1F"/>
    <w:rsid w:val="001A14A0"/>
    <w:rsid w:val="001A178E"/>
    <w:rsid w:val="001A1D78"/>
    <w:rsid w:val="001A1F44"/>
    <w:rsid w:val="001A343E"/>
    <w:rsid w:val="001A3CA4"/>
    <w:rsid w:val="001A43FA"/>
    <w:rsid w:val="001A47C5"/>
    <w:rsid w:val="001A48EC"/>
    <w:rsid w:val="001A54E9"/>
    <w:rsid w:val="001A5534"/>
    <w:rsid w:val="001A58CA"/>
    <w:rsid w:val="001A59FB"/>
    <w:rsid w:val="001A5E9E"/>
    <w:rsid w:val="001A6354"/>
    <w:rsid w:val="001A6366"/>
    <w:rsid w:val="001A65C5"/>
    <w:rsid w:val="001A6DBB"/>
    <w:rsid w:val="001A7104"/>
    <w:rsid w:val="001A7AE8"/>
    <w:rsid w:val="001A7FFC"/>
    <w:rsid w:val="001B06AB"/>
    <w:rsid w:val="001B06ED"/>
    <w:rsid w:val="001B0720"/>
    <w:rsid w:val="001B07E2"/>
    <w:rsid w:val="001B0B24"/>
    <w:rsid w:val="001B0E6D"/>
    <w:rsid w:val="001B0EEB"/>
    <w:rsid w:val="001B12E8"/>
    <w:rsid w:val="001B13D5"/>
    <w:rsid w:val="001B1AB3"/>
    <w:rsid w:val="001B204E"/>
    <w:rsid w:val="001B233C"/>
    <w:rsid w:val="001B2372"/>
    <w:rsid w:val="001B2B7E"/>
    <w:rsid w:val="001B3443"/>
    <w:rsid w:val="001B3661"/>
    <w:rsid w:val="001B3EEB"/>
    <w:rsid w:val="001B46B5"/>
    <w:rsid w:val="001B4D20"/>
    <w:rsid w:val="001B4D22"/>
    <w:rsid w:val="001B5323"/>
    <w:rsid w:val="001B560D"/>
    <w:rsid w:val="001B5CEE"/>
    <w:rsid w:val="001B64D1"/>
    <w:rsid w:val="001B69A8"/>
    <w:rsid w:val="001B6E14"/>
    <w:rsid w:val="001B7782"/>
    <w:rsid w:val="001B7BB8"/>
    <w:rsid w:val="001B7FBD"/>
    <w:rsid w:val="001C0929"/>
    <w:rsid w:val="001C0AD9"/>
    <w:rsid w:val="001C1116"/>
    <w:rsid w:val="001C1338"/>
    <w:rsid w:val="001C2A9B"/>
    <w:rsid w:val="001C2C39"/>
    <w:rsid w:val="001C34C8"/>
    <w:rsid w:val="001C3966"/>
    <w:rsid w:val="001C409D"/>
    <w:rsid w:val="001C40B7"/>
    <w:rsid w:val="001C412A"/>
    <w:rsid w:val="001C4153"/>
    <w:rsid w:val="001C4299"/>
    <w:rsid w:val="001C4720"/>
    <w:rsid w:val="001C4874"/>
    <w:rsid w:val="001C5415"/>
    <w:rsid w:val="001C555F"/>
    <w:rsid w:val="001C592C"/>
    <w:rsid w:val="001C5F94"/>
    <w:rsid w:val="001C5FC5"/>
    <w:rsid w:val="001C5FF1"/>
    <w:rsid w:val="001C617D"/>
    <w:rsid w:val="001C6DF5"/>
    <w:rsid w:val="001C6E66"/>
    <w:rsid w:val="001C71C3"/>
    <w:rsid w:val="001C7A2B"/>
    <w:rsid w:val="001C7C3D"/>
    <w:rsid w:val="001D0068"/>
    <w:rsid w:val="001D0693"/>
    <w:rsid w:val="001D0C26"/>
    <w:rsid w:val="001D0E22"/>
    <w:rsid w:val="001D1100"/>
    <w:rsid w:val="001D1391"/>
    <w:rsid w:val="001D1B26"/>
    <w:rsid w:val="001D1F38"/>
    <w:rsid w:val="001D25D7"/>
    <w:rsid w:val="001D2B5A"/>
    <w:rsid w:val="001D2E27"/>
    <w:rsid w:val="001D42A6"/>
    <w:rsid w:val="001D49EA"/>
    <w:rsid w:val="001D50B2"/>
    <w:rsid w:val="001D745B"/>
    <w:rsid w:val="001D7645"/>
    <w:rsid w:val="001D7A73"/>
    <w:rsid w:val="001E08EA"/>
    <w:rsid w:val="001E0BF7"/>
    <w:rsid w:val="001E0F34"/>
    <w:rsid w:val="001E1201"/>
    <w:rsid w:val="001E13F8"/>
    <w:rsid w:val="001E1419"/>
    <w:rsid w:val="001E1485"/>
    <w:rsid w:val="001E1A06"/>
    <w:rsid w:val="001E1E86"/>
    <w:rsid w:val="001E238E"/>
    <w:rsid w:val="001E2483"/>
    <w:rsid w:val="001E2B1E"/>
    <w:rsid w:val="001E2BF7"/>
    <w:rsid w:val="001E2CFF"/>
    <w:rsid w:val="001E2F24"/>
    <w:rsid w:val="001E30D4"/>
    <w:rsid w:val="001E3166"/>
    <w:rsid w:val="001E34DF"/>
    <w:rsid w:val="001E40DE"/>
    <w:rsid w:val="001E455A"/>
    <w:rsid w:val="001E4582"/>
    <w:rsid w:val="001E5075"/>
    <w:rsid w:val="001E510A"/>
    <w:rsid w:val="001E52EB"/>
    <w:rsid w:val="001E5CD6"/>
    <w:rsid w:val="001E5F56"/>
    <w:rsid w:val="001E61D2"/>
    <w:rsid w:val="001E62EF"/>
    <w:rsid w:val="001E67B8"/>
    <w:rsid w:val="001E740C"/>
    <w:rsid w:val="001E7439"/>
    <w:rsid w:val="001E760D"/>
    <w:rsid w:val="001F086B"/>
    <w:rsid w:val="001F0BF9"/>
    <w:rsid w:val="001F1235"/>
    <w:rsid w:val="001F1BF3"/>
    <w:rsid w:val="001F1CB3"/>
    <w:rsid w:val="001F1EB7"/>
    <w:rsid w:val="001F2731"/>
    <w:rsid w:val="001F2B48"/>
    <w:rsid w:val="001F2EFE"/>
    <w:rsid w:val="001F345B"/>
    <w:rsid w:val="001F3516"/>
    <w:rsid w:val="001F3691"/>
    <w:rsid w:val="001F38B5"/>
    <w:rsid w:val="001F4081"/>
    <w:rsid w:val="001F6E57"/>
    <w:rsid w:val="001F6F55"/>
    <w:rsid w:val="001F7033"/>
    <w:rsid w:val="001F7361"/>
    <w:rsid w:val="001F780B"/>
    <w:rsid w:val="00200376"/>
    <w:rsid w:val="002004BC"/>
    <w:rsid w:val="00200871"/>
    <w:rsid w:val="00200BC3"/>
    <w:rsid w:val="00200EF8"/>
    <w:rsid w:val="002011B0"/>
    <w:rsid w:val="002017C9"/>
    <w:rsid w:val="0020230B"/>
    <w:rsid w:val="00202730"/>
    <w:rsid w:val="002028B8"/>
    <w:rsid w:val="00202D98"/>
    <w:rsid w:val="002030D6"/>
    <w:rsid w:val="00203181"/>
    <w:rsid w:val="0020341B"/>
    <w:rsid w:val="002036FA"/>
    <w:rsid w:val="00203783"/>
    <w:rsid w:val="0020385F"/>
    <w:rsid w:val="00203D3B"/>
    <w:rsid w:val="00204DA0"/>
    <w:rsid w:val="00204EAB"/>
    <w:rsid w:val="00204FBD"/>
    <w:rsid w:val="0020662A"/>
    <w:rsid w:val="002068A0"/>
    <w:rsid w:val="00206E03"/>
    <w:rsid w:val="00206EFF"/>
    <w:rsid w:val="00207021"/>
    <w:rsid w:val="0020732F"/>
    <w:rsid w:val="00207A70"/>
    <w:rsid w:val="00207BBF"/>
    <w:rsid w:val="00207D00"/>
    <w:rsid w:val="00210041"/>
    <w:rsid w:val="00210105"/>
    <w:rsid w:val="002104D2"/>
    <w:rsid w:val="002105C1"/>
    <w:rsid w:val="002108FF"/>
    <w:rsid w:val="002119C5"/>
    <w:rsid w:val="00211FC2"/>
    <w:rsid w:val="00213B0D"/>
    <w:rsid w:val="00213EF5"/>
    <w:rsid w:val="00214A12"/>
    <w:rsid w:val="00214D4C"/>
    <w:rsid w:val="002152F9"/>
    <w:rsid w:val="00216AB0"/>
    <w:rsid w:val="00216BF5"/>
    <w:rsid w:val="00216F75"/>
    <w:rsid w:val="002173A3"/>
    <w:rsid w:val="0021792A"/>
    <w:rsid w:val="00220217"/>
    <w:rsid w:val="00220431"/>
    <w:rsid w:val="00220680"/>
    <w:rsid w:val="0022074C"/>
    <w:rsid w:val="00220B33"/>
    <w:rsid w:val="00221160"/>
    <w:rsid w:val="00221745"/>
    <w:rsid w:val="00221AAE"/>
    <w:rsid w:val="0022206D"/>
    <w:rsid w:val="00222303"/>
    <w:rsid w:val="002223EF"/>
    <w:rsid w:val="002226E3"/>
    <w:rsid w:val="0022384B"/>
    <w:rsid w:val="00223B49"/>
    <w:rsid w:val="00223D5A"/>
    <w:rsid w:val="00223D6E"/>
    <w:rsid w:val="002249C9"/>
    <w:rsid w:val="00224B3B"/>
    <w:rsid w:val="00224DA4"/>
    <w:rsid w:val="00224DD4"/>
    <w:rsid w:val="00225B59"/>
    <w:rsid w:val="0022621B"/>
    <w:rsid w:val="0022638F"/>
    <w:rsid w:val="00226939"/>
    <w:rsid w:val="00226D97"/>
    <w:rsid w:val="00226ECD"/>
    <w:rsid w:val="002278A0"/>
    <w:rsid w:val="002279FD"/>
    <w:rsid w:val="00227F5D"/>
    <w:rsid w:val="00227FAF"/>
    <w:rsid w:val="002304BE"/>
    <w:rsid w:val="00230501"/>
    <w:rsid w:val="002309CC"/>
    <w:rsid w:val="00230ACD"/>
    <w:rsid w:val="00230DB1"/>
    <w:rsid w:val="0023209F"/>
    <w:rsid w:val="002321CF"/>
    <w:rsid w:val="00232C18"/>
    <w:rsid w:val="00233552"/>
    <w:rsid w:val="00233685"/>
    <w:rsid w:val="0023390E"/>
    <w:rsid w:val="00233B75"/>
    <w:rsid w:val="00233C01"/>
    <w:rsid w:val="002340DA"/>
    <w:rsid w:val="0023413C"/>
    <w:rsid w:val="002346F0"/>
    <w:rsid w:val="00234D00"/>
    <w:rsid w:val="00234DB0"/>
    <w:rsid w:val="00235744"/>
    <w:rsid w:val="00235932"/>
    <w:rsid w:val="00235C78"/>
    <w:rsid w:val="00235D8D"/>
    <w:rsid w:val="00235E3D"/>
    <w:rsid w:val="002361AC"/>
    <w:rsid w:val="0023629D"/>
    <w:rsid w:val="002366E4"/>
    <w:rsid w:val="002367FB"/>
    <w:rsid w:val="00236A3B"/>
    <w:rsid w:val="00237255"/>
    <w:rsid w:val="002403C0"/>
    <w:rsid w:val="00240ECA"/>
    <w:rsid w:val="0024183F"/>
    <w:rsid w:val="00242390"/>
    <w:rsid w:val="002424AF"/>
    <w:rsid w:val="00243641"/>
    <w:rsid w:val="002439DC"/>
    <w:rsid w:val="002441D2"/>
    <w:rsid w:val="00244259"/>
    <w:rsid w:val="00244934"/>
    <w:rsid w:val="00244D92"/>
    <w:rsid w:val="00244DC8"/>
    <w:rsid w:val="00244E01"/>
    <w:rsid w:val="0024524D"/>
    <w:rsid w:val="0024584C"/>
    <w:rsid w:val="002458BA"/>
    <w:rsid w:val="00245B20"/>
    <w:rsid w:val="00245CE9"/>
    <w:rsid w:val="0024636C"/>
    <w:rsid w:val="00247925"/>
    <w:rsid w:val="00247EC1"/>
    <w:rsid w:val="002504FB"/>
    <w:rsid w:val="00251006"/>
    <w:rsid w:val="00251297"/>
    <w:rsid w:val="002524D5"/>
    <w:rsid w:val="00252BA4"/>
    <w:rsid w:val="002530A2"/>
    <w:rsid w:val="0025358D"/>
    <w:rsid w:val="00253B1D"/>
    <w:rsid w:val="002542BA"/>
    <w:rsid w:val="00254A4F"/>
    <w:rsid w:val="00254DCF"/>
    <w:rsid w:val="00255251"/>
    <w:rsid w:val="0025534B"/>
    <w:rsid w:val="0025597F"/>
    <w:rsid w:val="00255BB7"/>
    <w:rsid w:val="0025718B"/>
    <w:rsid w:val="00257541"/>
    <w:rsid w:val="00257A39"/>
    <w:rsid w:val="00257AC4"/>
    <w:rsid w:val="00257D25"/>
    <w:rsid w:val="00257D71"/>
    <w:rsid w:val="002608AA"/>
    <w:rsid w:val="0026098E"/>
    <w:rsid w:val="00260DA8"/>
    <w:rsid w:val="00260F7A"/>
    <w:rsid w:val="002610C2"/>
    <w:rsid w:val="002611AD"/>
    <w:rsid w:val="00261526"/>
    <w:rsid w:val="0026185E"/>
    <w:rsid w:val="002619FD"/>
    <w:rsid w:val="00261CC8"/>
    <w:rsid w:val="00261EEF"/>
    <w:rsid w:val="00261F2E"/>
    <w:rsid w:val="00262A1A"/>
    <w:rsid w:val="00262A87"/>
    <w:rsid w:val="00262A98"/>
    <w:rsid w:val="00262CBF"/>
    <w:rsid w:val="00262DF7"/>
    <w:rsid w:val="002634FE"/>
    <w:rsid w:val="00264786"/>
    <w:rsid w:val="00264A88"/>
    <w:rsid w:val="00264B96"/>
    <w:rsid w:val="00264D26"/>
    <w:rsid w:val="0026506C"/>
    <w:rsid w:val="00265FD5"/>
    <w:rsid w:val="00266CF5"/>
    <w:rsid w:val="00267209"/>
    <w:rsid w:val="00267642"/>
    <w:rsid w:val="00267AEA"/>
    <w:rsid w:val="00267D2E"/>
    <w:rsid w:val="002700E6"/>
    <w:rsid w:val="002704A1"/>
    <w:rsid w:val="0027050D"/>
    <w:rsid w:val="00270569"/>
    <w:rsid w:val="00270987"/>
    <w:rsid w:val="00270BDB"/>
    <w:rsid w:val="00270BE4"/>
    <w:rsid w:val="00271526"/>
    <w:rsid w:val="00271A29"/>
    <w:rsid w:val="00271F7C"/>
    <w:rsid w:val="002725C6"/>
    <w:rsid w:val="0027294B"/>
    <w:rsid w:val="00273570"/>
    <w:rsid w:val="00273AE9"/>
    <w:rsid w:val="00273EB4"/>
    <w:rsid w:val="00273F7D"/>
    <w:rsid w:val="00274682"/>
    <w:rsid w:val="00274CB0"/>
    <w:rsid w:val="00274E6F"/>
    <w:rsid w:val="0027506D"/>
    <w:rsid w:val="00275958"/>
    <w:rsid w:val="00275BFC"/>
    <w:rsid w:val="00275C5A"/>
    <w:rsid w:val="0027650B"/>
    <w:rsid w:val="00276A24"/>
    <w:rsid w:val="00277D57"/>
    <w:rsid w:val="00277F70"/>
    <w:rsid w:val="00280434"/>
    <w:rsid w:val="002804CF"/>
    <w:rsid w:val="0028057A"/>
    <w:rsid w:val="0028082A"/>
    <w:rsid w:val="00281014"/>
    <w:rsid w:val="00282A58"/>
    <w:rsid w:val="00282D32"/>
    <w:rsid w:val="002839F7"/>
    <w:rsid w:val="00284586"/>
    <w:rsid w:val="00284AC1"/>
    <w:rsid w:val="00284CD1"/>
    <w:rsid w:val="002861B2"/>
    <w:rsid w:val="0028665D"/>
    <w:rsid w:val="0028669F"/>
    <w:rsid w:val="00287199"/>
    <w:rsid w:val="00287357"/>
    <w:rsid w:val="002874ED"/>
    <w:rsid w:val="0028788C"/>
    <w:rsid w:val="0029048A"/>
    <w:rsid w:val="00290D8D"/>
    <w:rsid w:val="00291714"/>
    <w:rsid w:val="0029192C"/>
    <w:rsid w:val="00291BDB"/>
    <w:rsid w:val="00291EE5"/>
    <w:rsid w:val="00292166"/>
    <w:rsid w:val="0029286A"/>
    <w:rsid w:val="0029296F"/>
    <w:rsid w:val="00294606"/>
    <w:rsid w:val="002947BB"/>
    <w:rsid w:val="00294D3F"/>
    <w:rsid w:val="00295021"/>
    <w:rsid w:val="00295288"/>
    <w:rsid w:val="0029624B"/>
    <w:rsid w:val="002965BE"/>
    <w:rsid w:val="0029685D"/>
    <w:rsid w:val="00296E11"/>
    <w:rsid w:val="0029721E"/>
    <w:rsid w:val="00297EDB"/>
    <w:rsid w:val="002A0489"/>
    <w:rsid w:val="002A0593"/>
    <w:rsid w:val="002A1438"/>
    <w:rsid w:val="002A14AB"/>
    <w:rsid w:val="002A2501"/>
    <w:rsid w:val="002A28B2"/>
    <w:rsid w:val="002A2ADE"/>
    <w:rsid w:val="002A2F50"/>
    <w:rsid w:val="002A30CA"/>
    <w:rsid w:val="002A3A5B"/>
    <w:rsid w:val="002A446C"/>
    <w:rsid w:val="002A4866"/>
    <w:rsid w:val="002A4A6C"/>
    <w:rsid w:val="002A4B8B"/>
    <w:rsid w:val="002A4F9F"/>
    <w:rsid w:val="002A4FE5"/>
    <w:rsid w:val="002A55A5"/>
    <w:rsid w:val="002A5CF4"/>
    <w:rsid w:val="002A7108"/>
    <w:rsid w:val="002A7196"/>
    <w:rsid w:val="002A7E79"/>
    <w:rsid w:val="002B05A1"/>
    <w:rsid w:val="002B09A4"/>
    <w:rsid w:val="002B0C2A"/>
    <w:rsid w:val="002B1665"/>
    <w:rsid w:val="002B1B69"/>
    <w:rsid w:val="002B1C1F"/>
    <w:rsid w:val="002B1F92"/>
    <w:rsid w:val="002B242E"/>
    <w:rsid w:val="002B2D51"/>
    <w:rsid w:val="002B30BD"/>
    <w:rsid w:val="002B3315"/>
    <w:rsid w:val="002B35CA"/>
    <w:rsid w:val="002B432F"/>
    <w:rsid w:val="002B45F7"/>
    <w:rsid w:val="002B5F2A"/>
    <w:rsid w:val="002B60A3"/>
    <w:rsid w:val="002B6123"/>
    <w:rsid w:val="002B6257"/>
    <w:rsid w:val="002B62B3"/>
    <w:rsid w:val="002B6754"/>
    <w:rsid w:val="002B6CCE"/>
    <w:rsid w:val="002B777B"/>
    <w:rsid w:val="002B7E8E"/>
    <w:rsid w:val="002B7F4D"/>
    <w:rsid w:val="002C0475"/>
    <w:rsid w:val="002C0EC4"/>
    <w:rsid w:val="002C129B"/>
    <w:rsid w:val="002C1687"/>
    <w:rsid w:val="002C1D2C"/>
    <w:rsid w:val="002C23A2"/>
    <w:rsid w:val="002C2510"/>
    <w:rsid w:val="002C2775"/>
    <w:rsid w:val="002C27C1"/>
    <w:rsid w:val="002C28DF"/>
    <w:rsid w:val="002C3EF1"/>
    <w:rsid w:val="002C40C1"/>
    <w:rsid w:val="002C4919"/>
    <w:rsid w:val="002C5099"/>
    <w:rsid w:val="002C51FA"/>
    <w:rsid w:val="002C54DA"/>
    <w:rsid w:val="002C55F5"/>
    <w:rsid w:val="002C5889"/>
    <w:rsid w:val="002C5D18"/>
    <w:rsid w:val="002C71CE"/>
    <w:rsid w:val="002C7A81"/>
    <w:rsid w:val="002D08F8"/>
    <w:rsid w:val="002D0E81"/>
    <w:rsid w:val="002D0FA5"/>
    <w:rsid w:val="002D1145"/>
    <w:rsid w:val="002D19A2"/>
    <w:rsid w:val="002D28B5"/>
    <w:rsid w:val="002D37FD"/>
    <w:rsid w:val="002D3AF2"/>
    <w:rsid w:val="002D43B5"/>
    <w:rsid w:val="002D45A3"/>
    <w:rsid w:val="002D48F6"/>
    <w:rsid w:val="002D4BDE"/>
    <w:rsid w:val="002D4C0A"/>
    <w:rsid w:val="002D5606"/>
    <w:rsid w:val="002D56D5"/>
    <w:rsid w:val="002D577C"/>
    <w:rsid w:val="002D5CE7"/>
    <w:rsid w:val="002D60B8"/>
    <w:rsid w:val="002D6CFD"/>
    <w:rsid w:val="002D7558"/>
    <w:rsid w:val="002D7EE4"/>
    <w:rsid w:val="002E008D"/>
    <w:rsid w:val="002E053B"/>
    <w:rsid w:val="002E0603"/>
    <w:rsid w:val="002E0D72"/>
    <w:rsid w:val="002E1071"/>
    <w:rsid w:val="002E12F0"/>
    <w:rsid w:val="002E15B9"/>
    <w:rsid w:val="002E17BB"/>
    <w:rsid w:val="002E1C66"/>
    <w:rsid w:val="002E2158"/>
    <w:rsid w:val="002E2C82"/>
    <w:rsid w:val="002E317B"/>
    <w:rsid w:val="002E3344"/>
    <w:rsid w:val="002E37EF"/>
    <w:rsid w:val="002E3A4D"/>
    <w:rsid w:val="002E4F02"/>
    <w:rsid w:val="002E59FC"/>
    <w:rsid w:val="002E64BA"/>
    <w:rsid w:val="002E7722"/>
    <w:rsid w:val="002E7A56"/>
    <w:rsid w:val="002F07BA"/>
    <w:rsid w:val="002F0DA9"/>
    <w:rsid w:val="002F0F4E"/>
    <w:rsid w:val="002F1014"/>
    <w:rsid w:val="002F10AE"/>
    <w:rsid w:val="002F124D"/>
    <w:rsid w:val="002F13F1"/>
    <w:rsid w:val="002F1B05"/>
    <w:rsid w:val="002F1B25"/>
    <w:rsid w:val="002F24C0"/>
    <w:rsid w:val="002F2D1D"/>
    <w:rsid w:val="002F3277"/>
    <w:rsid w:val="002F4426"/>
    <w:rsid w:val="002F447C"/>
    <w:rsid w:val="002F53BF"/>
    <w:rsid w:val="002F54F4"/>
    <w:rsid w:val="002F639C"/>
    <w:rsid w:val="002F643C"/>
    <w:rsid w:val="002F6615"/>
    <w:rsid w:val="002F6A0F"/>
    <w:rsid w:val="002F6D40"/>
    <w:rsid w:val="002F71C0"/>
    <w:rsid w:val="002F74F1"/>
    <w:rsid w:val="002F7766"/>
    <w:rsid w:val="002F7F89"/>
    <w:rsid w:val="0030017F"/>
    <w:rsid w:val="00300BFD"/>
    <w:rsid w:val="00301017"/>
    <w:rsid w:val="00301124"/>
    <w:rsid w:val="0030155F"/>
    <w:rsid w:val="00301B5D"/>
    <w:rsid w:val="0030290C"/>
    <w:rsid w:val="003031C5"/>
    <w:rsid w:val="0030331B"/>
    <w:rsid w:val="003039FD"/>
    <w:rsid w:val="0030433E"/>
    <w:rsid w:val="003053F6"/>
    <w:rsid w:val="0030587B"/>
    <w:rsid w:val="003060CE"/>
    <w:rsid w:val="00306D98"/>
    <w:rsid w:val="003070BF"/>
    <w:rsid w:val="0030772F"/>
    <w:rsid w:val="003077BE"/>
    <w:rsid w:val="0030786C"/>
    <w:rsid w:val="00307A87"/>
    <w:rsid w:val="0031031A"/>
    <w:rsid w:val="00310981"/>
    <w:rsid w:val="00310E5F"/>
    <w:rsid w:val="003119CB"/>
    <w:rsid w:val="003123C1"/>
    <w:rsid w:val="003124D9"/>
    <w:rsid w:val="00312594"/>
    <w:rsid w:val="00312D77"/>
    <w:rsid w:val="00312D8A"/>
    <w:rsid w:val="0031317C"/>
    <w:rsid w:val="003132C2"/>
    <w:rsid w:val="00315498"/>
    <w:rsid w:val="00315FD7"/>
    <w:rsid w:val="00316474"/>
    <w:rsid w:val="00320552"/>
    <w:rsid w:val="00320675"/>
    <w:rsid w:val="0032124F"/>
    <w:rsid w:val="00321387"/>
    <w:rsid w:val="003213E0"/>
    <w:rsid w:val="00321DFB"/>
    <w:rsid w:val="00322107"/>
    <w:rsid w:val="0032231E"/>
    <w:rsid w:val="00322355"/>
    <w:rsid w:val="00322846"/>
    <w:rsid w:val="00322C1E"/>
    <w:rsid w:val="00323577"/>
    <w:rsid w:val="00323FB9"/>
    <w:rsid w:val="00324879"/>
    <w:rsid w:val="00324DF7"/>
    <w:rsid w:val="00324E4A"/>
    <w:rsid w:val="003251E2"/>
    <w:rsid w:val="003264E9"/>
    <w:rsid w:val="00326DA7"/>
    <w:rsid w:val="00326F8E"/>
    <w:rsid w:val="003270E4"/>
    <w:rsid w:val="00327123"/>
    <w:rsid w:val="003305BC"/>
    <w:rsid w:val="00330DAA"/>
    <w:rsid w:val="00330F5C"/>
    <w:rsid w:val="00331D39"/>
    <w:rsid w:val="00332BCB"/>
    <w:rsid w:val="00332EF2"/>
    <w:rsid w:val="003330A9"/>
    <w:rsid w:val="00333711"/>
    <w:rsid w:val="00335CE6"/>
    <w:rsid w:val="00335E78"/>
    <w:rsid w:val="003366C9"/>
    <w:rsid w:val="00336CD1"/>
    <w:rsid w:val="00337184"/>
    <w:rsid w:val="003371B0"/>
    <w:rsid w:val="00337A8B"/>
    <w:rsid w:val="00337ECE"/>
    <w:rsid w:val="003405C9"/>
    <w:rsid w:val="00340DF1"/>
    <w:rsid w:val="00341874"/>
    <w:rsid w:val="00341977"/>
    <w:rsid w:val="00342569"/>
    <w:rsid w:val="00342A82"/>
    <w:rsid w:val="00343108"/>
    <w:rsid w:val="003434EA"/>
    <w:rsid w:val="00343F59"/>
    <w:rsid w:val="0034439B"/>
    <w:rsid w:val="00345790"/>
    <w:rsid w:val="00347760"/>
    <w:rsid w:val="00347B7D"/>
    <w:rsid w:val="00347D9E"/>
    <w:rsid w:val="003505BF"/>
    <w:rsid w:val="003505C3"/>
    <w:rsid w:val="003505EA"/>
    <w:rsid w:val="003517F9"/>
    <w:rsid w:val="00351BA9"/>
    <w:rsid w:val="00353180"/>
    <w:rsid w:val="00353348"/>
    <w:rsid w:val="0035350C"/>
    <w:rsid w:val="003536BF"/>
    <w:rsid w:val="00353A7A"/>
    <w:rsid w:val="00353B82"/>
    <w:rsid w:val="00354687"/>
    <w:rsid w:val="00354F64"/>
    <w:rsid w:val="00354F93"/>
    <w:rsid w:val="00355485"/>
    <w:rsid w:val="00355D0D"/>
    <w:rsid w:val="0035620E"/>
    <w:rsid w:val="0035662D"/>
    <w:rsid w:val="00356994"/>
    <w:rsid w:val="0035713E"/>
    <w:rsid w:val="003573EE"/>
    <w:rsid w:val="00360345"/>
    <w:rsid w:val="003606F5"/>
    <w:rsid w:val="00360D65"/>
    <w:rsid w:val="00361146"/>
    <w:rsid w:val="00361605"/>
    <w:rsid w:val="00361A05"/>
    <w:rsid w:val="00361F52"/>
    <w:rsid w:val="00362251"/>
    <w:rsid w:val="003624C4"/>
    <w:rsid w:val="003626F1"/>
    <w:rsid w:val="00362EC4"/>
    <w:rsid w:val="003631F9"/>
    <w:rsid w:val="00363B00"/>
    <w:rsid w:val="0036403E"/>
    <w:rsid w:val="00364184"/>
    <w:rsid w:val="003645A4"/>
    <w:rsid w:val="00364A73"/>
    <w:rsid w:val="003654AC"/>
    <w:rsid w:val="00365970"/>
    <w:rsid w:val="00366681"/>
    <w:rsid w:val="00366857"/>
    <w:rsid w:val="00367094"/>
    <w:rsid w:val="003674DA"/>
    <w:rsid w:val="003676F6"/>
    <w:rsid w:val="00370B75"/>
    <w:rsid w:val="00370F2A"/>
    <w:rsid w:val="003710CF"/>
    <w:rsid w:val="00371147"/>
    <w:rsid w:val="00371634"/>
    <w:rsid w:val="00371BC6"/>
    <w:rsid w:val="003720C1"/>
    <w:rsid w:val="0037358A"/>
    <w:rsid w:val="003738C8"/>
    <w:rsid w:val="00373A72"/>
    <w:rsid w:val="00373E5C"/>
    <w:rsid w:val="00374307"/>
    <w:rsid w:val="003747D0"/>
    <w:rsid w:val="003750F6"/>
    <w:rsid w:val="0037561E"/>
    <w:rsid w:val="0037568A"/>
    <w:rsid w:val="00375AF2"/>
    <w:rsid w:val="00375F55"/>
    <w:rsid w:val="003760FC"/>
    <w:rsid w:val="00376BE3"/>
    <w:rsid w:val="003772F8"/>
    <w:rsid w:val="0037750D"/>
    <w:rsid w:val="003778B2"/>
    <w:rsid w:val="0038036E"/>
    <w:rsid w:val="003804B4"/>
    <w:rsid w:val="00380653"/>
    <w:rsid w:val="00381167"/>
    <w:rsid w:val="0038137D"/>
    <w:rsid w:val="0038199D"/>
    <w:rsid w:val="0038358A"/>
    <w:rsid w:val="0038365C"/>
    <w:rsid w:val="0038369B"/>
    <w:rsid w:val="00383ACF"/>
    <w:rsid w:val="00383B78"/>
    <w:rsid w:val="00383BC0"/>
    <w:rsid w:val="00383BFB"/>
    <w:rsid w:val="0038469B"/>
    <w:rsid w:val="0038469D"/>
    <w:rsid w:val="00384958"/>
    <w:rsid w:val="003849E1"/>
    <w:rsid w:val="003853BC"/>
    <w:rsid w:val="00385912"/>
    <w:rsid w:val="00385947"/>
    <w:rsid w:val="00385A9D"/>
    <w:rsid w:val="00386606"/>
    <w:rsid w:val="00387158"/>
    <w:rsid w:val="0038744C"/>
    <w:rsid w:val="00387A01"/>
    <w:rsid w:val="003902B1"/>
    <w:rsid w:val="0039064D"/>
    <w:rsid w:val="00390D6B"/>
    <w:rsid w:val="00391065"/>
    <w:rsid w:val="0039179C"/>
    <w:rsid w:val="00391867"/>
    <w:rsid w:val="00392A50"/>
    <w:rsid w:val="00392C4A"/>
    <w:rsid w:val="00392E1D"/>
    <w:rsid w:val="00392E3C"/>
    <w:rsid w:val="00393033"/>
    <w:rsid w:val="0039309C"/>
    <w:rsid w:val="003942FD"/>
    <w:rsid w:val="00394F47"/>
    <w:rsid w:val="003954A5"/>
    <w:rsid w:val="00395520"/>
    <w:rsid w:val="00395830"/>
    <w:rsid w:val="00395EF5"/>
    <w:rsid w:val="003962D3"/>
    <w:rsid w:val="003964B0"/>
    <w:rsid w:val="003965CB"/>
    <w:rsid w:val="003966FC"/>
    <w:rsid w:val="00396896"/>
    <w:rsid w:val="00396FD0"/>
    <w:rsid w:val="00397013"/>
    <w:rsid w:val="003A04D7"/>
    <w:rsid w:val="003A071A"/>
    <w:rsid w:val="003A0A15"/>
    <w:rsid w:val="003A0CE0"/>
    <w:rsid w:val="003A0DB1"/>
    <w:rsid w:val="003A1225"/>
    <w:rsid w:val="003A1361"/>
    <w:rsid w:val="003A192F"/>
    <w:rsid w:val="003A1A7A"/>
    <w:rsid w:val="003A1B43"/>
    <w:rsid w:val="003A1C0A"/>
    <w:rsid w:val="003A2392"/>
    <w:rsid w:val="003A2831"/>
    <w:rsid w:val="003A2980"/>
    <w:rsid w:val="003A2FF3"/>
    <w:rsid w:val="003A3B4F"/>
    <w:rsid w:val="003A3CB6"/>
    <w:rsid w:val="003A3DB6"/>
    <w:rsid w:val="003A3ED1"/>
    <w:rsid w:val="003A44DB"/>
    <w:rsid w:val="003A5140"/>
    <w:rsid w:val="003A532D"/>
    <w:rsid w:val="003A548A"/>
    <w:rsid w:val="003A573B"/>
    <w:rsid w:val="003A6352"/>
    <w:rsid w:val="003A69BB"/>
    <w:rsid w:val="003A7035"/>
    <w:rsid w:val="003B0D9D"/>
    <w:rsid w:val="003B1474"/>
    <w:rsid w:val="003B1E08"/>
    <w:rsid w:val="003B1EBB"/>
    <w:rsid w:val="003B3540"/>
    <w:rsid w:val="003B3727"/>
    <w:rsid w:val="003B3971"/>
    <w:rsid w:val="003B41D5"/>
    <w:rsid w:val="003B4A20"/>
    <w:rsid w:val="003B4D24"/>
    <w:rsid w:val="003B4FC7"/>
    <w:rsid w:val="003B55D1"/>
    <w:rsid w:val="003B592A"/>
    <w:rsid w:val="003B5B61"/>
    <w:rsid w:val="003B63C6"/>
    <w:rsid w:val="003B6603"/>
    <w:rsid w:val="003B763C"/>
    <w:rsid w:val="003C056C"/>
    <w:rsid w:val="003C0746"/>
    <w:rsid w:val="003C09FD"/>
    <w:rsid w:val="003C0A46"/>
    <w:rsid w:val="003C0AAB"/>
    <w:rsid w:val="003C0E22"/>
    <w:rsid w:val="003C1654"/>
    <w:rsid w:val="003C2036"/>
    <w:rsid w:val="003C348B"/>
    <w:rsid w:val="003C4159"/>
    <w:rsid w:val="003C4650"/>
    <w:rsid w:val="003C497D"/>
    <w:rsid w:val="003C4FD3"/>
    <w:rsid w:val="003C5542"/>
    <w:rsid w:val="003C753A"/>
    <w:rsid w:val="003C7A4A"/>
    <w:rsid w:val="003C7D19"/>
    <w:rsid w:val="003C7D2F"/>
    <w:rsid w:val="003C7EAB"/>
    <w:rsid w:val="003D01A3"/>
    <w:rsid w:val="003D0399"/>
    <w:rsid w:val="003D16C6"/>
    <w:rsid w:val="003D1828"/>
    <w:rsid w:val="003D1DE4"/>
    <w:rsid w:val="003D1E9A"/>
    <w:rsid w:val="003D2422"/>
    <w:rsid w:val="003D33A1"/>
    <w:rsid w:val="003D34E4"/>
    <w:rsid w:val="003D39A1"/>
    <w:rsid w:val="003D3DA4"/>
    <w:rsid w:val="003D3FBF"/>
    <w:rsid w:val="003D44EF"/>
    <w:rsid w:val="003D499A"/>
    <w:rsid w:val="003D4A30"/>
    <w:rsid w:val="003D4D39"/>
    <w:rsid w:val="003D59CE"/>
    <w:rsid w:val="003D5D49"/>
    <w:rsid w:val="003D605F"/>
    <w:rsid w:val="003D66C7"/>
    <w:rsid w:val="003D67B2"/>
    <w:rsid w:val="003D6926"/>
    <w:rsid w:val="003D6C49"/>
    <w:rsid w:val="003D6F18"/>
    <w:rsid w:val="003D6F3B"/>
    <w:rsid w:val="003D7452"/>
    <w:rsid w:val="003D74A6"/>
    <w:rsid w:val="003D79BB"/>
    <w:rsid w:val="003D7AC8"/>
    <w:rsid w:val="003D7C98"/>
    <w:rsid w:val="003D7D6B"/>
    <w:rsid w:val="003D7D9D"/>
    <w:rsid w:val="003E0543"/>
    <w:rsid w:val="003E1235"/>
    <w:rsid w:val="003E1700"/>
    <w:rsid w:val="003E19DF"/>
    <w:rsid w:val="003E1C92"/>
    <w:rsid w:val="003E2BE1"/>
    <w:rsid w:val="003E3026"/>
    <w:rsid w:val="003E3926"/>
    <w:rsid w:val="003E3E93"/>
    <w:rsid w:val="003E49D2"/>
    <w:rsid w:val="003E4D5F"/>
    <w:rsid w:val="003E4E6A"/>
    <w:rsid w:val="003E553E"/>
    <w:rsid w:val="003E5F88"/>
    <w:rsid w:val="003E619C"/>
    <w:rsid w:val="003E6866"/>
    <w:rsid w:val="003E6E96"/>
    <w:rsid w:val="003E70ED"/>
    <w:rsid w:val="003E710E"/>
    <w:rsid w:val="003E749E"/>
    <w:rsid w:val="003E7987"/>
    <w:rsid w:val="003E7D94"/>
    <w:rsid w:val="003F04A4"/>
    <w:rsid w:val="003F0782"/>
    <w:rsid w:val="003F0952"/>
    <w:rsid w:val="003F0C65"/>
    <w:rsid w:val="003F18BB"/>
    <w:rsid w:val="003F1A7A"/>
    <w:rsid w:val="003F1F52"/>
    <w:rsid w:val="003F25C1"/>
    <w:rsid w:val="003F29F2"/>
    <w:rsid w:val="003F3162"/>
    <w:rsid w:val="003F3B4A"/>
    <w:rsid w:val="003F4156"/>
    <w:rsid w:val="003F47A8"/>
    <w:rsid w:val="003F47E0"/>
    <w:rsid w:val="003F4831"/>
    <w:rsid w:val="003F499C"/>
    <w:rsid w:val="003F5ADF"/>
    <w:rsid w:val="003F757B"/>
    <w:rsid w:val="003F7948"/>
    <w:rsid w:val="00400482"/>
    <w:rsid w:val="004009FC"/>
    <w:rsid w:val="00400B29"/>
    <w:rsid w:val="00401FD7"/>
    <w:rsid w:val="00402CDC"/>
    <w:rsid w:val="00402DF6"/>
    <w:rsid w:val="00403D2E"/>
    <w:rsid w:val="00403E5A"/>
    <w:rsid w:val="004042D1"/>
    <w:rsid w:val="00404C07"/>
    <w:rsid w:val="0040504B"/>
    <w:rsid w:val="00405475"/>
    <w:rsid w:val="00405581"/>
    <w:rsid w:val="004058C6"/>
    <w:rsid w:val="0040593D"/>
    <w:rsid w:val="004059F4"/>
    <w:rsid w:val="0040650D"/>
    <w:rsid w:val="004068E0"/>
    <w:rsid w:val="0040698D"/>
    <w:rsid w:val="00406C2B"/>
    <w:rsid w:val="00407FE5"/>
    <w:rsid w:val="004101B0"/>
    <w:rsid w:val="00410326"/>
    <w:rsid w:val="00410708"/>
    <w:rsid w:val="00410EC7"/>
    <w:rsid w:val="00411B39"/>
    <w:rsid w:val="00411B98"/>
    <w:rsid w:val="004120F0"/>
    <w:rsid w:val="0041254E"/>
    <w:rsid w:val="00412710"/>
    <w:rsid w:val="004127A7"/>
    <w:rsid w:val="00412AF1"/>
    <w:rsid w:val="00412B4F"/>
    <w:rsid w:val="0041360B"/>
    <w:rsid w:val="00413911"/>
    <w:rsid w:val="00413A1E"/>
    <w:rsid w:val="00413EE3"/>
    <w:rsid w:val="00414476"/>
    <w:rsid w:val="00414C2E"/>
    <w:rsid w:val="00414C81"/>
    <w:rsid w:val="004151CF"/>
    <w:rsid w:val="004152A2"/>
    <w:rsid w:val="00416102"/>
    <w:rsid w:val="00416364"/>
    <w:rsid w:val="004165B3"/>
    <w:rsid w:val="0042047F"/>
    <w:rsid w:val="00420AA6"/>
    <w:rsid w:val="00420B9F"/>
    <w:rsid w:val="00420EBC"/>
    <w:rsid w:val="00420FA5"/>
    <w:rsid w:val="0042192C"/>
    <w:rsid w:val="00421B03"/>
    <w:rsid w:val="00422260"/>
    <w:rsid w:val="0042245D"/>
    <w:rsid w:val="00422FBA"/>
    <w:rsid w:val="00423A62"/>
    <w:rsid w:val="00423DAC"/>
    <w:rsid w:val="00423E3B"/>
    <w:rsid w:val="00423E5D"/>
    <w:rsid w:val="0042413F"/>
    <w:rsid w:val="00424571"/>
    <w:rsid w:val="004247A0"/>
    <w:rsid w:val="00424EB3"/>
    <w:rsid w:val="00425DAC"/>
    <w:rsid w:val="00426140"/>
    <w:rsid w:val="00426442"/>
    <w:rsid w:val="004268CA"/>
    <w:rsid w:val="00426B47"/>
    <w:rsid w:val="00426D2F"/>
    <w:rsid w:val="0042742F"/>
    <w:rsid w:val="004275CA"/>
    <w:rsid w:val="00427AC6"/>
    <w:rsid w:val="00427D52"/>
    <w:rsid w:val="00427E39"/>
    <w:rsid w:val="00427EA5"/>
    <w:rsid w:val="00430812"/>
    <w:rsid w:val="00430AC3"/>
    <w:rsid w:val="004310D5"/>
    <w:rsid w:val="0043110A"/>
    <w:rsid w:val="0043163F"/>
    <w:rsid w:val="00431998"/>
    <w:rsid w:val="004319F8"/>
    <w:rsid w:val="00431E55"/>
    <w:rsid w:val="00432186"/>
    <w:rsid w:val="004321F6"/>
    <w:rsid w:val="00432D27"/>
    <w:rsid w:val="00433044"/>
    <w:rsid w:val="004331A9"/>
    <w:rsid w:val="0043325F"/>
    <w:rsid w:val="00434088"/>
    <w:rsid w:val="0043451C"/>
    <w:rsid w:val="0043504A"/>
    <w:rsid w:val="0043514A"/>
    <w:rsid w:val="0043575D"/>
    <w:rsid w:val="00435866"/>
    <w:rsid w:val="00435AB3"/>
    <w:rsid w:val="00435AF4"/>
    <w:rsid w:val="00435E91"/>
    <w:rsid w:val="00435EF1"/>
    <w:rsid w:val="004365EB"/>
    <w:rsid w:val="00436859"/>
    <w:rsid w:val="00436BCA"/>
    <w:rsid w:val="00436D8D"/>
    <w:rsid w:val="00436FA6"/>
    <w:rsid w:val="004375B9"/>
    <w:rsid w:val="00440186"/>
    <w:rsid w:val="004402B1"/>
    <w:rsid w:val="004410A3"/>
    <w:rsid w:val="0044157C"/>
    <w:rsid w:val="00441F3E"/>
    <w:rsid w:val="004428D0"/>
    <w:rsid w:val="0044410C"/>
    <w:rsid w:val="00444185"/>
    <w:rsid w:val="004443A3"/>
    <w:rsid w:val="004443A7"/>
    <w:rsid w:val="0044442C"/>
    <w:rsid w:val="0044468F"/>
    <w:rsid w:val="00444A4E"/>
    <w:rsid w:val="00444C5B"/>
    <w:rsid w:val="004456A8"/>
    <w:rsid w:val="00445941"/>
    <w:rsid w:val="00445B37"/>
    <w:rsid w:val="00445D6C"/>
    <w:rsid w:val="00445F02"/>
    <w:rsid w:val="004464EB"/>
    <w:rsid w:val="004469CF"/>
    <w:rsid w:val="004469D1"/>
    <w:rsid w:val="00446D0E"/>
    <w:rsid w:val="00446F57"/>
    <w:rsid w:val="004471EB"/>
    <w:rsid w:val="00447D26"/>
    <w:rsid w:val="00447DFC"/>
    <w:rsid w:val="00450831"/>
    <w:rsid w:val="00450DFF"/>
    <w:rsid w:val="0045234D"/>
    <w:rsid w:val="00452DAC"/>
    <w:rsid w:val="00452F5C"/>
    <w:rsid w:val="00453969"/>
    <w:rsid w:val="00453D9C"/>
    <w:rsid w:val="00454075"/>
    <w:rsid w:val="004542F6"/>
    <w:rsid w:val="00454627"/>
    <w:rsid w:val="004555C4"/>
    <w:rsid w:val="004558D3"/>
    <w:rsid w:val="00455D45"/>
    <w:rsid w:val="004565B1"/>
    <w:rsid w:val="00456B58"/>
    <w:rsid w:val="00456FAF"/>
    <w:rsid w:val="00457545"/>
    <w:rsid w:val="00457693"/>
    <w:rsid w:val="00457901"/>
    <w:rsid w:val="00457AC6"/>
    <w:rsid w:val="004604AC"/>
    <w:rsid w:val="0046086C"/>
    <w:rsid w:val="00460CA5"/>
    <w:rsid w:val="00460F79"/>
    <w:rsid w:val="004611A8"/>
    <w:rsid w:val="00461370"/>
    <w:rsid w:val="00461485"/>
    <w:rsid w:val="00462058"/>
    <w:rsid w:val="004623D5"/>
    <w:rsid w:val="004623E6"/>
    <w:rsid w:val="00462508"/>
    <w:rsid w:val="00462636"/>
    <w:rsid w:val="00462A0D"/>
    <w:rsid w:val="00462C0B"/>
    <w:rsid w:val="00462F89"/>
    <w:rsid w:val="004639FC"/>
    <w:rsid w:val="00463FC8"/>
    <w:rsid w:val="004644B5"/>
    <w:rsid w:val="0046453D"/>
    <w:rsid w:val="00464595"/>
    <w:rsid w:val="00465000"/>
    <w:rsid w:val="00465784"/>
    <w:rsid w:val="00465811"/>
    <w:rsid w:val="004658B5"/>
    <w:rsid w:val="00465D89"/>
    <w:rsid w:val="00466064"/>
    <w:rsid w:val="00467049"/>
    <w:rsid w:val="004671AD"/>
    <w:rsid w:val="0046765B"/>
    <w:rsid w:val="0046796A"/>
    <w:rsid w:val="00467FA4"/>
    <w:rsid w:val="00471207"/>
    <w:rsid w:val="00471C7A"/>
    <w:rsid w:val="00471EA5"/>
    <w:rsid w:val="0047202B"/>
    <w:rsid w:val="004725D8"/>
    <w:rsid w:val="00472A79"/>
    <w:rsid w:val="0047340A"/>
    <w:rsid w:val="00473F19"/>
    <w:rsid w:val="00474260"/>
    <w:rsid w:val="00474797"/>
    <w:rsid w:val="004751BC"/>
    <w:rsid w:val="00475830"/>
    <w:rsid w:val="00475C2B"/>
    <w:rsid w:val="00475E22"/>
    <w:rsid w:val="004761AA"/>
    <w:rsid w:val="00476BAC"/>
    <w:rsid w:val="004771B0"/>
    <w:rsid w:val="004800AA"/>
    <w:rsid w:val="004802C8"/>
    <w:rsid w:val="0048088E"/>
    <w:rsid w:val="004808AF"/>
    <w:rsid w:val="00480F2B"/>
    <w:rsid w:val="00481182"/>
    <w:rsid w:val="004823A5"/>
    <w:rsid w:val="0048254F"/>
    <w:rsid w:val="00482703"/>
    <w:rsid w:val="00482720"/>
    <w:rsid w:val="004828C4"/>
    <w:rsid w:val="00482E29"/>
    <w:rsid w:val="004835E7"/>
    <w:rsid w:val="00484011"/>
    <w:rsid w:val="004843D6"/>
    <w:rsid w:val="00484901"/>
    <w:rsid w:val="0048557F"/>
    <w:rsid w:val="00485734"/>
    <w:rsid w:val="00485E6C"/>
    <w:rsid w:val="004867E2"/>
    <w:rsid w:val="00487907"/>
    <w:rsid w:val="00487E02"/>
    <w:rsid w:val="00487F0E"/>
    <w:rsid w:val="00490B17"/>
    <w:rsid w:val="0049157E"/>
    <w:rsid w:val="0049188C"/>
    <w:rsid w:val="00491B3A"/>
    <w:rsid w:val="00491ED8"/>
    <w:rsid w:val="00492CFD"/>
    <w:rsid w:val="00493822"/>
    <w:rsid w:val="00494207"/>
    <w:rsid w:val="00494DD5"/>
    <w:rsid w:val="00495D62"/>
    <w:rsid w:val="00495FEC"/>
    <w:rsid w:val="004962D2"/>
    <w:rsid w:val="004963E3"/>
    <w:rsid w:val="00496B3F"/>
    <w:rsid w:val="00497F57"/>
    <w:rsid w:val="004A0577"/>
    <w:rsid w:val="004A0DA1"/>
    <w:rsid w:val="004A0EE2"/>
    <w:rsid w:val="004A13D6"/>
    <w:rsid w:val="004A253B"/>
    <w:rsid w:val="004A2960"/>
    <w:rsid w:val="004A32EC"/>
    <w:rsid w:val="004A42A5"/>
    <w:rsid w:val="004A45B1"/>
    <w:rsid w:val="004A4998"/>
    <w:rsid w:val="004A52E9"/>
    <w:rsid w:val="004A6040"/>
    <w:rsid w:val="004A629C"/>
    <w:rsid w:val="004A6597"/>
    <w:rsid w:val="004A66D4"/>
    <w:rsid w:val="004A6C00"/>
    <w:rsid w:val="004A6D31"/>
    <w:rsid w:val="004A7848"/>
    <w:rsid w:val="004B005D"/>
    <w:rsid w:val="004B0289"/>
    <w:rsid w:val="004B0429"/>
    <w:rsid w:val="004B058D"/>
    <w:rsid w:val="004B159E"/>
    <w:rsid w:val="004B1CB4"/>
    <w:rsid w:val="004B1FAB"/>
    <w:rsid w:val="004B2485"/>
    <w:rsid w:val="004B2F18"/>
    <w:rsid w:val="004B34A5"/>
    <w:rsid w:val="004B366E"/>
    <w:rsid w:val="004B3DDB"/>
    <w:rsid w:val="004B44FD"/>
    <w:rsid w:val="004B4880"/>
    <w:rsid w:val="004B5CFC"/>
    <w:rsid w:val="004B6B73"/>
    <w:rsid w:val="004B6F79"/>
    <w:rsid w:val="004B72B0"/>
    <w:rsid w:val="004B73B8"/>
    <w:rsid w:val="004B774D"/>
    <w:rsid w:val="004C0816"/>
    <w:rsid w:val="004C0960"/>
    <w:rsid w:val="004C2405"/>
    <w:rsid w:val="004C39F7"/>
    <w:rsid w:val="004C3E61"/>
    <w:rsid w:val="004C410A"/>
    <w:rsid w:val="004C4551"/>
    <w:rsid w:val="004C4AED"/>
    <w:rsid w:val="004C4E5C"/>
    <w:rsid w:val="004C5323"/>
    <w:rsid w:val="004C5756"/>
    <w:rsid w:val="004C6303"/>
    <w:rsid w:val="004C6582"/>
    <w:rsid w:val="004C70D5"/>
    <w:rsid w:val="004C7664"/>
    <w:rsid w:val="004D00A8"/>
    <w:rsid w:val="004D0608"/>
    <w:rsid w:val="004D0BE2"/>
    <w:rsid w:val="004D2577"/>
    <w:rsid w:val="004D2A5A"/>
    <w:rsid w:val="004D2C2D"/>
    <w:rsid w:val="004D38FC"/>
    <w:rsid w:val="004D4DA9"/>
    <w:rsid w:val="004D5340"/>
    <w:rsid w:val="004D5CE3"/>
    <w:rsid w:val="004D69B5"/>
    <w:rsid w:val="004D6C42"/>
    <w:rsid w:val="004D7227"/>
    <w:rsid w:val="004D75B8"/>
    <w:rsid w:val="004D7CE1"/>
    <w:rsid w:val="004E01A9"/>
    <w:rsid w:val="004E0453"/>
    <w:rsid w:val="004E0C08"/>
    <w:rsid w:val="004E0E7F"/>
    <w:rsid w:val="004E0EB8"/>
    <w:rsid w:val="004E0FA8"/>
    <w:rsid w:val="004E1080"/>
    <w:rsid w:val="004E16AD"/>
    <w:rsid w:val="004E18E9"/>
    <w:rsid w:val="004E1E8C"/>
    <w:rsid w:val="004E2130"/>
    <w:rsid w:val="004E2894"/>
    <w:rsid w:val="004E2ADC"/>
    <w:rsid w:val="004E2C45"/>
    <w:rsid w:val="004E321A"/>
    <w:rsid w:val="004E3A35"/>
    <w:rsid w:val="004E420D"/>
    <w:rsid w:val="004E4241"/>
    <w:rsid w:val="004E4377"/>
    <w:rsid w:val="004E43B2"/>
    <w:rsid w:val="004E44D8"/>
    <w:rsid w:val="004E4949"/>
    <w:rsid w:val="004E4BB1"/>
    <w:rsid w:val="004E5B8B"/>
    <w:rsid w:val="004E5C1B"/>
    <w:rsid w:val="004E5C95"/>
    <w:rsid w:val="004E6256"/>
    <w:rsid w:val="004E6AD2"/>
    <w:rsid w:val="004E706E"/>
    <w:rsid w:val="004E70B5"/>
    <w:rsid w:val="004E72BD"/>
    <w:rsid w:val="004E7989"/>
    <w:rsid w:val="004F106A"/>
    <w:rsid w:val="004F19C7"/>
    <w:rsid w:val="004F1ACD"/>
    <w:rsid w:val="004F1D02"/>
    <w:rsid w:val="004F1D44"/>
    <w:rsid w:val="004F207A"/>
    <w:rsid w:val="004F2396"/>
    <w:rsid w:val="004F2679"/>
    <w:rsid w:val="004F26CC"/>
    <w:rsid w:val="004F2A71"/>
    <w:rsid w:val="004F2BC7"/>
    <w:rsid w:val="004F2F21"/>
    <w:rsid w:val="004F3574"/>
    <w:rsid w:val="004F3C65"/>
    <w:rsid w:val="004F3D2C"/>
    <w:rsid w:val="004F3DE5"/>
    <w:rsid w:val="004F413E"/>
    <w:rsid w:val="004F56A2"/>
    <w:rsid w:val="004F5B26"/>
    <w:rsid w:val="004F6472"/>
    <w:rsid w:val="004F65BC"/>
    <w:rsid w:val="004F6841"/>
    <w:rsid w:val="004F6874"/>
    <w:rsid w:val="004F6913"/>
    <w:rsid w:val="004F7145"/>
    <w:rsid w:val="004F7865"/>
    <w:rsid w:val="004F7F67"/>
    <w:rsid w:val="0050010D"/>
    <w:rsid w:val="0050174E"/>
    <w:rsid w:val="00501854"/>
    <w:rsid w:val="00501A10"/>
    <w:rsid w:val="00501A58"/>
    <w:rsid w:val="00501F99"/>
    <w:rsid w:val="00502044"/>
    <w:rsid w:val="0050219B"/>
    <w:rsid w:val="0050262C"/>
    <w:rsid w:val="00502F62"/>
    <w:rsid w:val="00503622"/>
    <w:rsid w:val="00503F17"/>
    <w:rsid w:val="0050485E"/>
    <w:rsid w:val="00504F87"/>
    <w:rsid w:val="00505556"/>
    <w:rsid w:val="00505BA0"/>
    <w:rsid w:val="00505D5E"/>
    <w:rsid w:val="00506089"/>
    <w:rsid w:val="00506704"/>
    <w:rsid w:val="00506928"/>
    <w:rsid w:val="00506970"/>
    <w:rsid w:val="00506F4A"/>
    <w:rsid w:val="005077EF"/>
    <w:rsid w:val="005079CE"/>
    <w:rsid w:val="00507DA1"/>
    <w:rsid w:val="005100B9"/>
    <w:rsid w:val="00511342"/>
    <w:rsid w:val="005117CC"/>
    <w:rsid w:val="005117F7"/>
    <w:rsid w:val="00511AD5"/>
    <w:rsid w:val="00511DC7"/>
    <w:rsid w:val="00512786"/>
    <w:rsid w:val="00512C5B"/>
    <w:rsid w:val="00512D3D"/>
    <w:rsid w:val="00512F81"/>
    <w:rsid w:val="00513BBA"/>
    <w:rsid w:val="00513C83"/>
    <w:rsid w:val="005142C5"/>
    <w:rsid w:val="005143E2"/>
    <w:rsid w:val="00514EF9"/>
    <w:rsid w:val="0051501B"/>
    <w:rsid w:val="005152B5"/>
    <w:rsid w:val="00515AFF"/>
    <w:rsid w:val="00515D48"/>
    <w:rsid w:val="00516662"/>
    <w:rsid w:val="005173A7"/>
    <w:rsid w:val="0051761C"/>
    <w:rsid w:val="005178CA"/>
    <w:rsid w:val="00520EA0"/>
    <w:rsid w:val="00521132"/>
    <w:rsid w:val="0052123C"/>
    <w:rsid w:val="00521319"/>
    <w:rsid w:val="00521B7D"/>
    <w:rsid w:val="00521DCA"/>
    <w:rsid w:val="00522438"/>
    <w:rsid w:val="00522BC8"/>
    <w:rsid w:val="00522D8D"/>
    <w:rsid w:val="0052350E"/>
    <w:rsid w:val="0052378D"/>
    <w:rsid w:val="00523BE0"/>
    <w:rsid w:val="00523C28"/>
    <w:rsid w:val="00524711"/>
    <w:rsid w:val="00524936"/>
    <w:rsid w:val="00525224"/>
    <w:rsid w:val="00525353"/>
    <w:rsid w:val="00525481"/>
    <w:rsid w:val="00526A29"/>
    <w:rsid w:val="00527781"/>
    <w:rsid w:val="00527F77"/>
    <w:rsid w:val="0053004E"/>
    <w:rsid w:val="005309CF"/>
    <w:rsid w:val="00530A7C"/>
    <w:rsid w:val="00530ABF"/>
    <w:rsid w:val="00530D1E"/>
    <w:rsid w:val="00530F67"/>
    <w:rsid w:val="00531037"/>
    <w:rsid w:val="005313A9"/>
    <w:rsid w:val="0053176B"/>
    <w:rsid w:val="00531A5B"/>
    <w:rsid w:val="00531C83"/>
    <w:rsid w:val="005323F6"/>
    <w:rsid w:val="00532F39"/>
    <w:rsid w:val="005331A3"/>
    <w:rsid w:val="005331E6"/>
    <w:rsid w:val="005335C6"/>
    <w:rsid w:val="00533E7F"/>
    <w:rsid w:val="005346F1"/>
    <w:rsid w:val="00534A36"/>
    <w:rsid w:val="005350A7"/>
    <w:rsid w:val="005363A6"/>
    <w:rsid w:val="00536777"/>
    <w:rsid w:val="00536E45"/>
    <w:rsid w:val="00536F42"/>
    <w:rsid w:val="005370FC"/>
    <w:rsid w:val="00537182"/>
    <w:rsid w:val="00537290"/>
    <w:rsid w:val="005400FC"/>
    <w:rsid w:val="00540305"/>
    <w:rsid w:val="00540F6E"/>
    <w:rsid w:val="00541061"/>
    <w:rsid w:val="00541A8D"/>
    <w:rsid w:val="00541EDD"/>
    <w:rsid w:val="00541EFE"/>
    <w:rsid w:val="00542743"/>
    <w:rsid w:val="00542C2D"/>
    <w:rsid w:val="00543B7D"/>
    <w:rsid w:val="0054414F"/>
    <w:rsid w:val="0054480D"/>
    <w:rsid w:val="00544CAC"/>
    <w:rsid w:val="00544E2A"/>
    <w:rsid w:val="00545047"/>
    <w:rsid w:val="0054592B"/>
    <w:rsid w:val="00546648"/>
    <w:rsid w:val="005467B6"/>
    <w:rsid w:val="00546D00"/>
    <w:rsid w:val="00547156"/>
    <w:rsid w:val="005472EA"/>
    <w:rsid w:val="005478BD"/>
    <w:rsid w:val="005479E3"/>
    <w:rsid w:val="00550069"/>
    <w:rsid w:val="005507DB"/>
    <w:rsid w:val="0055126B"/>
    <w:rsid w:val="00551985"/>
    <w:rsid w:val="00551BF7"/>
    <w:rsid w:val="00551F1B"/>
    <w:rsid w:val="00552416"/>
    <w:rsid w:val="00552B46"/>
    <w:rsid w:val="00552BD3"/>
    <w:rsid w:val="005532A0"/>
    <w:rsid w:val="005537A5"/>
    <w:rsid w:val="005538BA"/>
    <w:rsid w:val="0055463D"/>
    <w:rsid w:val="00555109"/>
    <w:rsid w:val="00555F16"/>
    <w:rsid w:val="0055661B"/>
    <w:rsid w:val="0055668B"/>
    <w:rsid w:val="00556B35"/>
    <w:rsid w:val="0055741A"/>
    <w:rsid w:val="00557B75"/>
    <w:rsid w:val="00560199"/>
    <w:rsid w:val="005611B7"/>
    <w:rsid w:val="005615A6"/>
    <w:rsid w:val="00561750"/>
    <w:rsid w:val="005618D4"/>
    <w:rsid w:val="00561B3F"/>
    <w:rsid w:val="005638C0"/>
    <w:rsid w:val="00564043"/>
    <w:rsid w:val="00565007"/>
    <w:rsid w:val="005658CE"/>
    <w:rsid w:val="00565DF0"/>
    <w:rsid w:val="00566561"/>
    <w:rsid w:val="0056696F"/>
    <w:rsid w:val="005669B9"/>
    <w:rsid w:val="005671E0"/>
    <w:rsid w:val="0056762E"/>
    <w:rsid w:val="00567A8B"/>
    <w:rsid w:val="00567F37"/>
    <w:rsid w:val="005700CD"/>
    <w:rsid w:val="00570C11"/>
    <w:rsid w:val="00571208"/>
    <w:rsid w:val="00571490"/>
    <w:rsid w:val="00571833"/>
    <w:rsid w:val="00571B08"/>
    <w:rsid w:val="00571E0A"/>
    <w:rsid w:val="00572269"/>
    <w:rsid w:val="005722EF"/>
    <w:rsid w:val="0057244A"/>
    <w:rsid w:val="005725F1"/>
    <w:rsid w:val="00572F26"/>
    <w:rsid w:val="00573082"/>
    <w:rsid w:val="00573358"/>
    <w:rsid w:val="00573C65"/>
    <w:rsid w:val="00574419"/>
    <w:rsid w:val="0057485E"/>
    <w:rsid w:val="00574DC6"/>
    <w:rsid w:val="005750C5"/>
    <w:rsid w:val="005752DE"/>
    <w:rsid w:val="00575379"/>
    <w:rsid w:val="005759F6"/>
    <w:rsid w:val="00575D2A"/>
    <w:rsid w:val="00575D8D"/>
    <w:rsid w:val="00576972"/>
    <w:rsid w:val="00576EFC"/>
    <w:rsid w:val="005770C5"/>
    <w:rsid w:val="00577DEF"/>
    <w:rsid w:val="00577E44"/>
    <w:rsid w:val="005803D8"/>
    <w:rsid w:val="00580E9C"/>
    <w:rsid w:val="005817AC"/>
    <w:rsid w:val="0058250E"/>
    <w:rsid w:val="005825A8"/>
    <w:rsid w:val="00582631"/>
    <w:rsid w:val="00583330"/>
    <w:rsid w:val="005835E5"/>
    <w:rsid w:val="00583699"/>
    <w:rsid w:val="00583B52"/>
    <w:rsid w:val="00583E16"/>
    <w:rsid w:val="0058457E"/>
    <w:rsid w:val="005854ED"/>
    <w:rsid w:val="0058569B"/>
    <w:rsid w:val="00585CDD"/>
    <w:rsid w:val="005860C5"/>
    <w:rsid w:val="00586196"/>
    <w:rsid w:val="00586BF9"/>
    <w:rsid w:val="00586D0F"/>
    <w:rsid w:val="00587058"/>
    <w:rsid w:val="005871BD"/>
    <w:rsid w:val="005874AC"/>
    <w:rsid w:val="005875D9"/>
    <w:rsid w:val="00587725"/>
    <w:rsid w:val="0059051A"/>
    <w:rsid w:val="005914CA"/>
    <w:rsid w:val="00591957"/>
    <w:rsid w:val="00591C08"/>
    <w:rsid w:val="00592E3E"/>
    <w:rsid w:val="00592E5C"/>
    <w:rsid w:val="005939D9"/>
    <w:rsid w:val="00593FA4"/>
    <w:rsid w:val="005945E6"/>
    <w:rsid w:val="00594D75"/>
    <w:rsid w:val="0059535E"/>
    <w:rsid w:val="00595557"/>
    <w:rsid w:val="0059605A"/>
    <w:rsid w:val="00596651"/>
    <w:rsid w:val="00596708"/>
    <w:rsid w:val="005968BE"/>
    <w:rsid w:val="005968C1"/>
    <w:rsid w:val="00597BF9"/>
    <w:rsid w:val="005A007A"/>
    <w:rsid w:val="005A05C5"/>
    <w:rsid w:val="005A0607"/>
    <w:rsid w:val="005A0CD8"/>
    <w:rsid w:val="005A1CFB"/>
    <w:rsid w:val="005A309A"/>
    <w:rsid w:val="005A373D"/>
    <w:rsid w:val="005A3AFE"/>
    <w:rsid w:val="005A432D"/>
    <w:rsid w:val="005A450A"/>
    <w:rsid w:val="005A7E24"/>
    <w:rsid w:val="005B0B58"/>
    <w:rsid w:val="005B2A9E"/>
    <w:rsid w:val="005B2B08"/>
    <w:rsid w:val="005B2C0B"/>
    <w:rsid w:val="005B44AD"/>
    <w:rsid w:val="005B48AC"/>
    <w:rsid w:val="005B4E53"/>
    <w:rsid w:val="005B5543"/>
    <w:rsid w:val="005B5857"/>
    <w:rsid w:val="005B5C04"/>
    <w:rsid w:val="005B5CBB"/>
    <w:rsid w:val="005B697C"/>
    <w:rsid w:val="005B6A8C"/>
    <w:rsid w:val="005B6C54"/>
    <w:rsid w:val="005B6C67"/>
    <w:rsid w:val="005B7224"/>
    <w:rsid w:val="005B7589"/>
    <w:rsid w:val="005B7E6C"/>
    <w:rsid w:val="005C0049"/>
    <w:rsid w:val="005C0607"/>
    <w:rsid w:val="005C06F7"/>
    <w:rsid w:val="005C074D"/>
    <w:rsid w:val="005C1179"/>
    <w:rsid w:val="005C146C"/>
    <w:rsid w:val="005C14CD"/>
    <w:rsid w:val="005C1B83"/>
    <w:rsid w:val="005C202F"/>
    <w:rsid w:val="005C20AA"/>
    <w:rsid w:val="005C2454"/>
    <w:rsid w:val="005C25FF"/>
    <w:rsid w:val="005C270F"/>
    <w:rsid w:val="005C2D55"/>
    <w:rsid w:val="005C303E"/>
    <w:rsid w:val="005C346B"/>
    <w:rsid w:val="005C34B9"/>
    <w:rsid w:val="005C395C"/>
    <w:rsid w:val="005C45FA"/>
    <w:rsid w:val="005C5A29"/>
    <w:rsid w:val="005C6193"/>
    <w:rsid w:val="005C61D1"/>
    <w:rsid w:val="005C644C"/>
    <w:rsid w:val="005C6A23"/>
    <w:rsid w:val="005C6F41"/>
    <w:rsid w:val="005D044D"/>
    <w:rsid w:val="005D0ABD"/>
    <w:rsid w:val="005D0AFB"/>
    <w:rsid w:val="005D0B7A"/>
    <w:rsid w:val="005D0DC6"/>
    <w:rsid w:val="005D15B9"/>
    <w:rsid w:val="005D18AD"/>
    <w:rsid w:val="005D1B61"/>
    <w:rsid w:val="005D1C4D"/>
    <w:rsid w:val="005D1CAD"/>
    <w:rsid w:val="005D21B0"/>
    <w:rsid w:val="005D21D0"/>
    <w:rsid w:val="005D26B4"/>
    <w:rsid w:val="005D27C9"/>
    <w:rsid w:val="005D2BE2"/>
    <w:rsid w:val="005D2D09"/>
    <w:rsid w:val="005D2FDA"/>
    <w:rsid w:val="005D2FE6"/>
    <w:rsid w:val="005D32F9"/>
    <w:rsid w:val="005D3639"/>
    <w:rsid w:val="005D3B7C"/>
    <w:rsid w:val="005D5742"/>
    <w:rsid w:val="005D5F79"/>
    <w:rsid w:val="005D63BB"/>
    <w:rsid w:val="005D6618"/>
    <w:rsid w:val="005D6907"/>
    <w:rsid w:val="005D6AC9"/>
    <w:rsid w:val="005D6C1C"/>
    <w:rsid w:val="005D6D0A"/>
    <w:rsid w:val="005D712A"/>
    <w:rsid w:val="005E0BC6"/>
    <w:rsid w:val="005E1853"/>
    <w:rsid w:val="005E1BE6"/>
    <w:rsid w:val="005E21C2"/>
    <w:rsid w:val="005E2442"/>
    <w:rsid w:val="005E2FBD"/>
    <w:rsid w:val="005E31C9"/>
    <w:rsid w:val="005E32BF"/>
    <w:rsid w:val="005E3534"/>
    <w:rsid w:val="005E3A2C"/>
    <w:rsid w:val="005E4BDB"/>
    <w:rsid w:val="005E5144"/>
    <w:rsid w:val="005E5448"/>
    <w:rsid w:val="005E5543"/>
    <w:rsid w:val="005E5638"/>
    <w:rsid w:val="005E5E3F"/>
    <w:rsid w:val="005E5FBB"/>
    <w:rsid w:val="005E6CBC"/>
    <w:rsid w:val="005E72FF"/>
    <w:rsid w:val="005E73C0"/>
    <w:rsid w:val="005E7E25"/>
    <w:rsid w:val="005F06D7"/>
    <w:rsid w:val="005F17F9"/>
    <w:rsid w:val="005F1C81"/>
    <w:rsid w:val="005F2706"/>
    <w:rsid w:val="005F2B69"/>
    <w:rsid w:val="005F2F18"/>
    <w:rsid w:val="005F3030"/>
    <w:rsid w:val="005F473D"/>
    <w:rsid w:val="005F4AA9"/>
    <w:rsid w:val="005F552D"/>
    <w:rsid w:val="005F5B0F"/>
    <w:rsid w:val="005F5CAF"/>
    <w:rsid w:val="005F69A7"/>
    <w:rsid w:val="005F6A8F"/>
    <w:rsid w:val="005F6A90"/>
    <w:rsid w:val="005F6BB7"/>
    <w:rsid w:val="005F7588"/>
    <w:rsid w:val="00601F19"/>
    <w:rsid w:val="0060278F"/>
    <w:rsid w:val="00602A7D"/>
    <w:rsid w:val="00603C51"/>
    <w:rsid w:val="00603DB9"/>
    <w:rsid w:val="00604B16"/>
    <w:rsid w:val="00604BC1"/>
    <w:rsid w:val="00604FFE"/>
    <w:rsid w:val="006050F3"/>
    <w:rsid w:val="006062AD"/>
    <w:rsid w:val="0060661F"/>
    <w:rsid w:val="00606FBA"/>
    <w:rsid w:val="00607669"/>
    <w:rsid w:val="006076F4"/>
    <w:rsid w:val="00607959"/>
    <w:rsid w:val="00607AFD"/>
    <w:rsid w:val="0061081D"/>
    <w:rsid w:val="00610891"/>
    <w:rsid w:val="00610B2A"/>
    <w:rsid w:val="0061181F"/>
    <w:rsid w:val="0061225D"/>
    <w:rsid w:val="00612B2F"/>
    <w:rsid w:val="00612F97"/>
    <w:rsid w:val="0061345D"/>
    <w:rsid w:val="00613AF9"/>
    <w:rsid w:val="00614043"/>
    <w:rsid w:val="006145E9"/>
    <w:rsid w:val="006147B6"/>
    <w:rsid w:val="0061482A"/>
    <w:rsid w:val="00614FCE"/>
    <w:rsid w:val="0061549B"/>
    <w:rsid w:val="006159D1"/>
    <w:rsid w:val="00616802"/>
    <w:rsid w:val="00616977"/>
    <w:rsid w:val="006177D1"/>
    <w:rsid w:val="00617C5D"/>
    <w:rsid w:val="00617E12"/>
    <w:rsid w:val="00620038"/>
    <w:rsid w:val="006205A1"/>
    <w:rsid w:val="00620C25"/>
    <w:rsid w:val="00621477"/>
    <w:rsid w:val="006216D7"/>
    <w:rsid w:val="00621A48"/>
    <w:rsid w:val="00621A89"/>
    <w:rsid w:val="00621ADA"/>
    <w:rsid w:val="006220A8"/>
    <w:rsid w:val="00622131"/>
    <w:rsid w:val="00622BF3"/>
    <w:rsid w:val="00622FD6"/>
    <w:rsid w:val="00623282"/>
    <w:rsid w:val="0062368F"/>
    <w:rsid w:val="00623F7B"/>
    <w:rsid w:val="0062488A"/>
    <w:rsid w:val="00624BB7"/>
    <w:rsid w:val="0062591B"/>
    <w:rsid w:val="00626ADB"/>
    <w:rsid w:val="00626C44"/>
    <w:rsid w:val="00626D6D"/>
    <w:rsid w:val="006278E0"/>
    <w:rsid w:val="00630E3A"/>
    <w:rsid w:val="00630ED4"/>
    <w:rsid w:val="00631532"/>
    <w:rsid w:val="0063158F"/>
    <w:rsid w:val="00631D6B"/>
    <w:rsid w:val="00631E49"/>
    <w:rsid w:val="00632183"/>
    <w:rsid w:val="006329D4"/>
    <w:rsid w:val="00632F8C"/>
    <w:rsid w:val="006330A1"/>
    <w:rsid w:val="0063354D"/>
    <w:rsid w:val="0063385A"/>
    <w:rsid w:val="00634003"/>
    <w:rsid w:val="00634138"/>
    <w:rsid w:val="0063479F"/>
    <w:rsid w:val="0063499D"/>
    <w:rsid w:val="006349BC"/>
    <w:rsid w:val="006353F0"/>
    <w:rsid w:val="006357B5"/>
    <w:rsid w:val="00635949"/>
    <w:rsid w:val="00635B0D"/>
    <w:rsid w:val="00635C12"/>
    <w:rsid w:val="00635C7A"/>
    <w:rsid w:val="00636250"/>
    <w:rsid w:val="006364A1"/>
    <w:rsid w:val="0063678E"/>
    <w:rsid w:val="00637BFD"/>
    <w:rsid w:val="00640028"/>
    <w:rsid w:val="00640633"/>
    <w:rsid w:val="00640923"/>
    <w:rsid w:val="00640E48"/>
    <w:rsid w:val="006414CD"/>
    <w:rsid w:val="00641C4E"/>
    <w:rsid w:val="00641FB3"/>
    <w:rsid w:val="0064224A"/>
    <w:rsid w:val="006426FC"/>
    <w:rsid w:val="006427B8"/>
    <w:rsid w:val="0064434C"/>
    <w:rsid w:val="006451A8"/>
    <w:rsid w:val="00645687"/>
    <w:rsid w:val="00646467"/>
    <w:rsid w:val="00646854"/>
    <w:rsid w:val="00646C5C"/>
    <w:rsid w:val="006471CC"/>
    <w:rsid w:val="00647A29"/>
    <w:rsid w:val="00647AEB"/>
    <w:rsid w:val="006500EB"/>
    <w:rsid w:val="0065079F"/>
    <w:rsid w:val="00650926"/>
    <w:rsid w:val="0065128C"/>
    <w:rsid w:val="00651855"/>
    <w:rsid w:val="00652A28"/>
    <w:rsid w:val="006532F4"/>
    <w:rsid w:val="006536A0"/>
    <w:rsid w:val="0065379F"/>
    <w:rsid w:val="00654247"/>
    <w:rsid w:val="0065434D"/>
    <w:rsid w:val="00654B02"/>
    <w:rsid w:val="0065573D"/>
    <w:rsid w:val="00656052"/>
    <w:rsid w:val="00656188"/>
    <w:rsid w:val="00656972"/>
    <w:rsid w:val="0065715A"/>
    <w:rsid w:val="006578EC"/>
    <w:rsid w:val="00657FFE"/>
    <w:rsid w:val="0066013D"/>
    <w:rsid w:val="00660EAE"/>
    <w:rsid w:val="006610F1"/>
    <w:rsid w:val="00661C6B"/>
    <w:rsid w:val="006620EF"/>
    <w:rsid w:val="006622BB"/>
    <w:rsid w:val="00662E2E"/>
    <w:rsid w:val="00663325"/>
    <w:rsid w:val="00663D2F"/>
    <w:rsid w:val="00664E0C"/>
    <w:rsid w:val="0066505F"/>
    <w:rsid w:val="006652B8"/>
    <w:rsid w:val="00665ECB"/>
    <w:rsid w:val="00665FAD"/>
    <w:rsid w:val="006663DC"/>
    <w:rsid w:val="006667EA"/>
    <w:rsid w:val="0066721C"/>
    <w:rsid w:val="006673AC"/>
    <w:rsid w:val="00667898"/>
    <w:rsid w:val="006700A3"/>
    <w:rsid w:val="006700BA"/>
    <w:rsid w:val="00671004"/>
    <w:rsid w:val="006714BC"/>
    <w:rsid w:val="006716DC"/>
    <w:rsid w:val="0067179C"/>
    <w:rsid w:val="006719EF"/>
    <w:rsid w:val="00671EE3"/>
    <w:rsid w:val="00671FD1"/>
    <w:rsid w:val="00671FD3"/>
    <w:rsid w:val="00672646"/>
    <w:rsid w:val="00672B0A"/>
    <w:rsid w:val="00673BEF"/>
    <w:rsid w:val="006746C8"/>
    <w:rsid w:val="00674C09"/>
    <w:rsid w:val="00674E42"/>
    <w:rsid w:val="006759C6"/>
    <w:rsid w:val="006761E3"/>
    <w:rsid w:val="00676AA5"/>
    <w:rsid w:val="006800B3"/>
    <w:rsid w:val="006808FD"/>
    <w:rsid w:val="006813F8"/>
    <w:rsid w:val="00682112"/>
    <w:rsid w:val="0068250A"/>
    <w:rsid w:val="00682BA6"/>
    <w:rsid w:val="00682F48"/>
    <w:rsid w:val="0068341F"/>
    <w:rsid w:val="00683517"/>
    <w:rsid w:val="00683558"/>
    <w:rsid w:val="00683824"/>
    <w:rsid w:val="00683A54"/>
    <w:rsid w:val="00684387"/>
    <w:rsid w:val="00685616"/>
    <w:rsid w:val="0068580E"/>
    <w:rsid w:val="00685B91"/>
    <w:rsid w:val="0068605A"/>
    <w:rsid w:val="0068690D"/>
    <w:rsid w:val="00686957"/>
    <w:rsid w:val="00686E31"/>
    <w:rsid w:val="006872BA"/>
    <w:rsid w:val="006872FC"/>
    <w:rsid w:val="00687664"/>
    <w:rsid w:val="006878B6"/>
    <w:rsid w:val="00687FAA"/>
    <w:rsid w:val="00690284"/>
    <w:rsid w:val="00690795"/>
    <w:rsid w:val="00690B2C"/>
    <w:rsid w:val="00691252"/>
    <w:rsid w:val="00691319"/>
    <w:rsid w:val="00691422"/>
    <w:rsid w:val="00691482"/>
    <w:rsid w:val="00691648"/>
    <w:rsid w:val="006917D7"/>
    <w:rsid w:val="006919EE"/>
    <w:rsid w:val="006921F1"/>
    <w:rsid w:val="006923DF"/>
    <w:rsid w:val="00692AE6"/>
    <w:rsid w:val="00693BD0"/>
    <w:rsid w:val="00693EB0"/>
    <w:rsid w:val="0069434C"/>
    <w:rsid w:val="0069434E"/>
    <w:rsid w:val="006948A5"/>
    <w:rsid w:val="00694A88"/>
    <w:rsid w:val="00694F44"/>
    <w:rsid w:val="006952EA"/>
    <w:rsid w:val="0069535E"/>
    <w:rsid w:val="006955E9"/>
    <w:rsid w:val="00695C6D"/>
    <w:rsid w:val="00695E8D"/>
    <w:rsid w:val="00696078"/>
    <w:rsid w:val="00696791"/>
    <w:rsid w:val="00696841"/>
    <w:rsid w:val="00696F51"/>
    <w:rsid w:val="006976B6"/>
    <w:rsid w:val="00697797"/>
    <w:rsid w:val="006979A5"/>
    <w:rsid w:val="00697B10"/>
    <w:rsid w:val="006A00A3"/>
    <w:rsid w:val="006A03B8"/>
    <w:rsid w:val="006A06C6"/>
    <w:rsid w:val="006A076B"/>
    <w:rsid w:val="006A0AB7"/>
    <w:rsid w:val="006A0C86"/>
    <w:rsid w:val="006A1113"/>
    <w:rsid w:val="006A176C"/>
    <w:rsid w:val="006A1D4B"/>
    <w:rsid w:val="006A2B6B"/>
    <w:rsid w:val="006A2B6C"/>
    <w:rsid w:val="006A30A0"/>
    <w:rsid w:val="006A30E6"/>
    <w:rsid w:val="006A3E11"/>
    <w:rsid w:val="006A3E27"/>
    <w:rsid w:val="006A4639"/>
    <w:rsid w:val="006A4769"/>
    <w:rsid w:val="006A56B8"/>
    <w:rsid w:val="006A633E"/>
    <w:rsid w:val="006A67CF"/>
    <w:rsid w:val="006A6B99"/>
    <w:rsid w:val="006A6DF5"/>
    <w:rsid w:val="006A7A98"/>
    <w:rsid w:val="006A7E5F"/>
    <w:rsid w:val="006B00B0"/>
    <w:rsid w:val="006B0AF9"/>
    <w:rsid w:val="006B0FCA"/>
    <w:rsid w:val="006B261B"/>
    <w:rsid w:val="006B27FA"/>
    <w:rsid w:val="006B2C90"/>
    <w:rsid w:val="006B2D9E"/>
    <w:rsid w:val="006B3322"/>
    <w:rsid w:val="006B341F"/>
    <w:rsid w:val="006B35E6"/>
    <w:rsid w:val="006B3652"/>
    <w:rsid w:val="006B3BCD"/>
    <w:rsid w:val="006B3EE6"/>
    <w:rsid w:val="006B45F3"/>
    <w:rsid w:val="006B465A"/>
    <w:rsid w:val="006B4800"/>
    <w:rsid w:val="006B4DF4"/>
    <w:rsid w:val="006B56DA"/>
    <w:rsid w:val="006B58AC"/>
    <w:rsid w:val="006B58AF"/>
    <w:rsid w:val="006B5B91"/>
    <w:rsid w:val="006B5D2F"/>
    <w:rsid w:val="006B6251"/>
    <w:rsid w:val="006B679A"/>
    <w:rsid w:val="006B6D19"/>
    <w:rsid w:val="006B6D1E"/>
    <w:rsid w:val="006B6DD0"/>
    <w:rsid w:val="006B6F85"/>
    <w:rsid w:val="006B7EC6"/>
    <w:rsid w:val="006C0399"/>
    <w:rsid w:val="006C0E3D"/>
    <w:rsid w:val="006C17B5"/>
    <w:rsid w:val="006C201B"/>
    <w:rsid w:val="006C2074"/>
    <w:rsid w:val="006C20B3"/>
    <w:rsid w:val="006C21EA"/>
    <w:rsid w:val="006C2714"/>
    <w:rsid w:val="006C2A8E"/>
    <w:rsid w:val="006C2BEF"/>
    <w:rsid w:val="006C30E8"/>
    <w:rsid w:val="006C3255"/>
    <w:rsid w:val="006C3825"/>
    <w:rsid w:val="006C3D48"/>
    <w:rsid w:val="006C3F26"/>
    <w:rsid w:val="006C490D"/>
    <w:rsid w:val="006C4A4C"/>
    <w:rsid w:val="006C601B"/>
    <w:rsid w:val="006C6255"/>
    <w:rsid w:val="006C6A33"/>
    <w:rsid w:val="006C71DD"/>
    <w:rsid w:val="006C7859"/>
    <w:rsid w:val="006D00D5"/>
    <w:rsid w:val="006D0779"/>
    <w:rsid w:val="006D0D17"/>
    <w:rsid w:val="006D0E73"/>
    <w:rsid w:val="006D100A"/>
    <w:rsid w:val="006D1650"/>
    <w:rsid w:val="006D39F2"/>
    <w:rsid w:val="006D3C7D"/>
    <w:rsid w:val="006D4529"/>
    <w:rsid w:val="006D4623"/>
    <w:rsid w:val="006D4659"/>
    <w:rsid w:val="006D4FD7"/>
    <w:rsid w:val="006D5D5F"/>
    <w:rsid w:val="006D620C"/>
    <w:rsid w:val="006D68FB"/>
    <w:rsid w:val="006D7083"/>
    <w:rsid w:val="006D7868"/>
    <w:rsid w:val="006E055A"/>
    <w:rsid w:val="006E138D"/>
    <w:rsid w:val="006E1685"/>
    <w:rsid w:val="006E1AAB"/>
    <w:rsid w:val="006E1D9E"/>
    <w:rsid w:val="006E2299"/>
    <w:rsid w:val="006E24E1"/>
    <w:rsid w:val="006E2868"/>
    <w:rsid w:val="006E30CF"/>
    <w:rsid w:val="006E491A"/>
    <w:rsid w:val="006E5A74"/>
    <w:rsid w:val="006E5B2D"/>
    <w:rsid w:val="006E5C0A"/>
    <w:rsid w:val="006E5C80"/>
    <w:rsid w:val="006E5F1A"/>
    <w:rsid w:val="006E6220"/>
    <w:rsid w:val="006E64BF"/>
    <w:rsid w:val="006E66D4"/>
    <w:rsid w:val="006E67FD"/>
    <w:rsid w:val="006E6B5F"/>
    <w:rsid w:val="006E7268"/>
    <w:rsid w:val="006E7F01"/>
    <w:rsid w:val="006F04ED"/>
    <w:rsid w:val="006F06D3"/>
    <w:rsid w:val="006F1219"/>
    <w:rsid w:val="006F129E"/>
    <w:rsid w:val="006F1D97"/>
    <w:rsid w:val="006F1E64"/>
    <w:rsid w:val="006F1F4D"/>
    <w:rsid w:val="006F3033"/>
    <w:rsid w:val="006F306C"/>
    <w:rsid w:val="006F3CA6"/>
    <w:rsid w:val="006F4326"/>
    <w:rsid w:val="006F4D22"/>
    <w:rsid w:val="006F5854"/>
    <w:rsid w:val="006F5E95"/>
    <w:rsid w:val="006F63A5"/>
    <w:rsid w:val="006F63DD"/>
    <w:rsid w:val="006F6B93"/>
    <w:rsid w:val="006F74A5"/>
    <w:rsid w:val="006F79E9"/>
    <w:rsid w:val="006F7BF9"/>
    <w:rsid w:val="006F7DA3"/>
    <w:rsid w:val="006F7E31"/>
    <w:rsid w:val="006F7FD0"/>
    <w:rsid w:val="007005A4"/>
    <w:rsid w:val="00700814"/>
    <w:rsid w:val="00700CA5"/>
    <w:rsid w:val="00700E0C"/>
    <w:rsid w:val="0070142B"/>
    <w:rsid w:val="007017DC"/>
    <w:rsid w:val="0070268A"/>
    <w:rsid w:val="0070276E"/>
    <w:rsid w:val="00702E82"/>
    <w:rsid w:val="00702F8F"/>
    <w:rsid w:val="007035B6"/>
    <w:rsid w:val="007038F4"/>
    <w:rsid w:val="00704166"/>
    <w:rsid w:val="00704C29"/>
    <w:rsid w:val="00704E31"/>
    <w:rsid w:val="007051BB"/>
    <w:rsid w:val="007055A3"/>
    <w:rsid w:val="00705645"/>
    <w:rsid w:val="007057DB"/>
    <w:rsid w:val="00705AC2"/>
    <w:rsid w:val="00706401"/>
    <w:rsid w:val="007068F3"/>
    <w:rsid w:val="00706996"/>
    <w:rsid w:val="00706F22"/>
    <w:rsid w:val="007071A0"/>
    <w:rsid w:val="0070720A"/>
    <w:rsid w:val="007079FC"/>
    <w:rsid w:val="00707CBF"/>
    <w:rsid w:val="00707F53"/>
    <w:rsid w:val="00710168"/>
    <w:rsid w:val="007101A0"/>
    <w:rsid w:val="00710E5F"/>
    <w:rsid w:val="007113DE"/>
    <w:rsid w:val="00711A36"/>
    <w:rsid w:val="00711AC3"/>
    <w:rsid w:val="007122FE"/>
    <w:rsid w:val="007134E6"/>
    <w:rsid w:val="00713CBA"/>
    <w:rsid w:val="00713EEB"/>
    <w:rsid w:val="0071435D"/>
    <w:rsid w:val="00714384"/>
    <w:rsid w:val="007145B5"/>
    <w:rsid w:val="00714C26"/>
    <w:rsid w:val="0071529C"/>
    <w:rsid w:val="007155ED"/>
    <w:rsid w:val="00716A41"/>
    <w:rsid w:val="00716E4A"/>
    <w:rsid w:val="00716ED2"/>
    <w:rsid w:val="007170DA"/>
    <w:rsid w:val="007172AD"/>
    <w:rsid w:val="00717EAB"/>
    <w:rsid w:val="00720801"/>
    <w:rsid w:val="00720B65"/>
    <w:rsid w:val="007210E6"/>
    <w:rsid w:val="00721EA5"/>
    <w:rsid w:val="00721EEC"/>
    <w:rsid w:val="00722461"/>
    <w:rsid w:val="00722B1B"/>
    <w:rsid w:val="00722C5D"/>
    <w:rsid w:val="007233BF"/>
    <w:rsid w:val="00723C84"/>
    <w:rsid w:val="00723DF6"/>
    <w:rsid w:val="0072416F"/>
    <w:rsid w:val="00724513"/>
    <w:rsid w:val="00724AFF"/>
    <w:rsid w:val="00724CFD"/>
    <w:rsid w:val="007263BE"/>
    <w:rsid w:val="007263E9"/>
    <w:rsid w:val="00726672"/>
    <w:rsid w:val="00727C94"/>
    <w:rsid w:val="0073051F"/>
    <w:rsid w:val="0073075E"/>
    <w:rsid w:val="00730C2C"/>
    <w:rsid w:val="00730E36"/>
    <w:rsid w:val="00731945"/>
    <w:rsid w:val="00731B0A"/>
    <w:rsid w:val="00731EAE"/>
    <w:rsid w:val="00732184"/>
    <w:rsid w:val="007321A2"/>
    <w:rsid w:val="00732E33"/>
    <w:rsid w:val="00733073"/>
    <w:rsid w:val="007333B3"/>
    <w:rsid w:val="00733608"/>
    <w:rsid w:val="00733C69"/>
    <w:rsid w:val="007340AC"/>
    <w:rsid w:val="007341E9"/>
    <w:rsid w:val="007343DB"/>
    <w:rsid w:val="00734590"/>
    <w:rsid w:val="00734728"/>
    <w:rsid w:val="00735033"/>
    <w:rsid w:val="00735328"/>
    <w:rsid w:val="00735A75"/>
    <w:rsid w:val="007362BD"/>
    <w:rsid w:val="0073685B"/>
    <w:rsid w:val="00736D5F"/>
    <w:rsid w:val="00737447"/>
    <w:rsid w:val="00737AC9"/>
    <w:rsid w:val="007400A0"/>
    <w:rsid w:val="00740158"/>
    <w:rsid w:val="007409B5"/>
    <w:rsid w:val="00741471"/>
    <w:rsid w:val="00741E92"/>
    <w:rsid w:val="0074202C"/>
    <w:rsid w:val="007422F1"/>
    <w:rsid w:val="0074266F"/>
    <w:rsid w:val="00742B16"/>
    <w:rsid w:val="007437C0"/>
    <w:rsid w:val="0074391B"/>
    <w:rsid w:val="007439C2"/>
    <w:rsid w:val="007449BF"/>
    <w:rsid w:val="007453EF"/>
    <w:rsid w:val="00745440"/>
    <w:rsid w:val="007458E9"/>
    <w:rsid w:val="007461F7"/>
    <w:rsid w:val="007464A3"/>
    <w:rsid w:val="00746BC0"/>
    <w:rsid w:val="007472AC"/>
    <w:rsid w:val="007472AD"/>
    <w:rsid w:val="00747628"/>
    <w:rsid w:val="007478A6"/>
    <w:rsid w:val="00747FEC"/>
    <w:rsid w:val="00750388"/>
    <w:rsid w:val="00750782"/>
    <w:rsid w:val="00750B67"/>
    <w:rsid w:val="00750D63"/>
    <w:rsid w:val="00750DC7"/>
    <w:rsid w:val="007510B4"/>
    <w:rsid w:val="00751834"/>
    <w:rsid w:val="007518AD"/>
    <w:rsid w:val="00751BED"/>
    <w:rsid w:val="00752142"/>
    <w:rsid w:val="007523F9"/>
    <w:rsid w:val="007531C9"/>
    <w:rsid w:val="00753463"/>
    <w:rsid w:val="0075357E"/>
    <w:rsid w:val="00753E85"/>
    <w:rsid w:val="00753F01"/>
    <w:rsid w:val="00754315"/>
    <w:rsid w:val="00754678"/>
    <w:rsid w:val="00754FC0"/>
    <w:rsid w:val="00755024"/>
    <w:rsid w:val="00755055"/>
    <w:rsid w:val="007551E2"/>
    <w:rsid w:val="00755AF7"/>
    <w:rsid w:val="007566E2"/>
    <w:rsid w:val="00756BA9"/>
    <w:rsid w:val="007573E8"/>
    <w:rsid w:val="00757F4B"/>
    <w:rsid w:val="00760C4E"/>
    <w:rsid w:val="00760DB7"/>
    <w:rsid w:val="00760F9E"/>
    <w:rsid w:val="007614C8"/>
    <w:rsid w:val="00761773"/>
    <w:rsid w:val="00761E57"/>
    <w:rsid w:val="007627BE"/>
    <w:rsid w:val="00762917"/>
    <w:rsid w:val="00762944"/>
    <w:rsid w:val="00762F21"/>
    <w:rsid w:val="00763037"/>
    <w:rsid w:val="007639CC"/>
    <w:rsid w:val="00763A02"/>
    <w:rsid w:val="007640CF"/>
    <w:rsid w:val="00764F03"/>
    <w:rsid w:val="00764F19"/>
    <w:rsid w:val="007650D8"/>
    <w:rsid w:val="007655F3"/>
    <w:rsid w:val="00765B1A"/>
    <w:rsid w:val="0076676A"/>
    <w:rsid w:val="00766B72"/>
    <w:rsid w:val="00766CB9"/>
    <w:rsid w:val="007673F1"/>
    <w:rsid w:val="00767779"/>
    <w:rsid w:val="007708BC"/>
    <w:rsid w:val="00771561"/>
    <w:rsid w:val="00771A36"/>
    <w:rsid w:val="00772040"/>
    <w:rsid w:val="00773158"/>
    <w:rsid w:val="00773247"/>
    <w:rsid w:val="00773C37"/>
    <w:rsid w:val="007743F0"/>
    <w:rsid w:val="00774522"/>
    <w:rsid w:val="0077529D"/>
    <w:rsid w:val="00775434"/>
    <w:rsid w:val="0077582C"/>
    <w:rsid w:val="007758D4"/>
    <w:rsid w:val="00775D72"/>
    <w:rsid w:val="00775FDA"/>
    <w:rsid w:val="007768BD"/>
    <w:rsid w:val="00776C44"/>
    <w:rsid w:val="00777335"/>
    <w:rsid w:val="007773FC"/>
    <w:rsid w:val="00777454"/>
    <w:rsid w:val="00777834"/>
    <w:rsid w:val="0077790C"/>
    <w:rsid w:val="00780046"/>
    <w:rsid w:val="00780318"/>
    <w:rsid w:val="0078036B"/>
    <w:rsid w:val="0078073D"/>
    <w:rsid w:val="0078089A"/>
    <w:rsid w:val="007808DF"/>
    <w:rsid w:val="00780D6F"/>
    <w:rsid w:val="00781EA3"/>
    <w:rsid w:val="00782196"/>
    <w:rsid w:val="0078260B"/>
    <w:rsid w:val="00782EEC"/>
    <w:rsid w:val="007831E5"/>
    <w:rsid w:val="00783A28"/>
    <w:rsid w:val="0078423B"/>
    <w:rsid w:val="007843F2"/>
    <w:rsid w:val="007848F1"/>
    <w:rsid w:val="00784AA7"/>
    <w:rsid w:val="00785A76"/>
    <w:rsid w:val="00785A9F"/>
    <w:rsid w:val="00785E15"/>
    <w:rsid w:val="00786036"/>
    <w:rsid w:val="00787153"/>
    <w:rsid w:val="00787301"/>
    <w:rsid w:val="007879A4"/>
    <w:rsid w:val="007903E3"/>
    <w:rsid w:val="00790C0A"/>
    <w:rsid w:val="007914D8"/>
    <w:rsid w:val="007918FE"/>
    <w:rsid w:val="00792197"/>
    <w:rsid w:val="007922A5"/>
    <w:rsid w:val="007925C4"/>
    <w:rsid w:val="007925DF"/>
    <w:rsid w:val="00792AB3"/>
    <w:rsid w:val="0079300C"/>
    <w:rsid w:val="00793B03"/>
    <w:rsid w:val="00793E36"/>
    <w:rsid w:val="007941AC"/>
    <w:rsid w:val="0079492B"/>
    <w:rsid w:val="00795005"/>
    <w:rsid w:val="0079557C"/>
    <w:rsid w:val="00795902"/>
    <w:rsid w:val="00796181"/>
    <w:rsid w:val="007963EA"/>
    <w:rsid w:val="00796532"/>
    <w:rsid w:val="007969B4"/>
    <w:rsid w:val="00797280"/>
    <w:rsid w:val="00797299"/>
    <w:rsid w:val="00797CFF"/>
    <w:rsid w:val="00797E1D"/>
    <w:rsid w:val="007A019A"/>
    <w:rsid w:val="007A08AA"/>
    <w:rsid w:val="007A08BA"/>
    <w:rsid w:val="007A0A12"/>
    <w:rsid w:val="007A0E00"/>
    <w:rsid w:val="007A132D"/>
    <w:rsid w:val="007A1345"/>
    <w:rsid w:val="007A13B2"/>
    <w:rsid w:val="007A231A"/>
    <w:rsid w:val="007A26A1"/>
    <w:rsid w:val="007A2B31"/>
    <w:rsid w:val="007A2DDB"/>
    <w:rsid w:val="007A3402"/>
    <w:rsid w:val="007A380B"/>
    <w:rsid w:val="007A5299"/>
    <w:rsid w:val="007A574F"/>
    <w:rsid w:val="007A6B1C"/>
    <w:rsid w:val="007A70BA"/>
    <w:rsid w:val="007B01DA"/>
    <w:rsid w:val="007B07FD"/>
    <w:rsid w:val="007B0D68"/>
    <w:rsid w:val="007B1566"/>
    <w:rsid w:val="007B251D"/>
    <w:rsid w:val="007B279F"/>
    <w:rsid w:val="007B29CB"/>
    <w:rsid w:val="007B3212"/>
    <w:rsid w:val="007B33A4"/>
    <w:rsid w:val="007B449B"/>
    <w:rsid w:val="007B4F58"/>
    <w:rsid w:val="007B528D"/>
    <w:rsid w:val="007B5540"/>
    <w:rsid w:val="007B567E"/>
    <w:rsid w:val="007B56C9"/>
    <w:rsid w:val="007B6256"/>
    <w:rsid w:val="007B63CA"/>
    <w:rsid w:val="007B6845"/>
    <w:rsid w:val="007B7253"/>
    <w:rsid w:val="007B77D1"/>
    <w:rsid w:val="007B7CE9"/>
    <w:rsid w:val="007B7DD6"/>
    <w:rsid w:val="007C07C7"/>
    <w:rsid w:val="007C0BAA"/>
    <w:rsid w:val="007C1163"/>
    <w:rsid w:val="007C1C8A"/>
    <w:rsid w:val="007C1CD9"/>
    <w:rsid w:val="007C2615"/>
    <w:rsid w:val="007C2F60"/>
    <w:rsid w:val="007C32EF"/>
    <w:rsid w:val="007C361D"/>
    <w:rsid w:val="007C3BD6"/>
    <w:rsid w:val="007C3E38"/>
    <w:rsid w:val="007C42C2"/>
    <w:rsid w:val="007C4B84"/>
    <w:rsid w:val="007C4FB9"/>
    <w:rsid w:val="007C5242"/>
    <w:rsid w:val="007C5A9F"/>
    <w:rsid w:val="007C5DD9"/>
    <w:rsid w:val="007C5E40"/>
    <w:rsid w:val="007C61ED"/>
    <w:rsid w:val="007C650C"/>
    <w:rsid w:val="007C6846"/>
    <w:rsid w:val="007C70FF"/>
    <w:rsid w:val="007C71CD"/>
    <w:rsid w:val="007C72B8"/>
    <w:rsid w:val="007C73F5"/>
    <w:rsid w:val="007C7982"/>
    <w:rsid w:val="007C7A40"/>
    <w:rsid w:val="007C7A52"/>
    <w:rsid w:val="007C7C25"/>
    <w:rsid w:val="007C7D1B"/>
    <w:rsid w:val="007C7F03"/>
    <w:rsid w:val="007D004F"/>
    <w:rsid w:val="007D073D"/>
    <w:rsid w:val="007D0B38"/>
    <w:rsid w:val="007D12E8"/>
    <w:rsid w:val="007D1B31"/>
    <w:rsid w:val="007D1FF7"/>
    <w:rsid w:val="007D2958"/>
    <w:rsid w:val="007D361E"/>
    <w:rsid w:val="007D3A80"/>
    <w:rsid w:val="007D42F9"/>
    <w:rsid w:val="007D4BB1"/>
    <w:rsid w:val="007D4F4D"/>
    <w:rsid w:val="007D4FAF"/>
    <w:rsid w:val="007D50AF"/>
    <w:rsid w:val="007D5440"/>
    <w:rsid w:val="007D5462"/>
    <w:rsid w:val="007D5955"/>
    <w:rsid w:val="007D5B40"/>
    <w:rsid w:val="007D6061"/>
    <w:rsid w:val="007D69EB"/>
    <w:rsid w:val="007D71DB"/>
    <w:rsid w:val="007D7778"/>
    <w:rsid w:val="007E07CC"/>
    <w:rsid w:val="007E094A"/>
    <w:rsid w:val="007E0E84"/>
    <w:rsid w:val="007E1074"/>
    <w:rsid w:val="007E128F"/>
    <w:rsid w:val="007E1C87"/>
    <w:rsid w:val="007E2469"/>
    <w:rsid w:val="007E2593"/>
    <w:rsid w:val="007E26AE"/>
    <w:rsid w:val="007E2B28"/>
    <w:rsid w:val="007E3A5F"/>
    <w:rsid w:val="007E40E8"/>
    <w:rsid w:val="007E4127"/>
    <w:rsid w:val="007E432E"/>
    <w:rsid w:val="007E4F8F"/>
    <w:rsid w:val="007E5E09"/>
    <w:rsid w:val="007E6445"/>
    <w:rsid w:val="007E6634"/>
    <w:rsid w:val="007E6B4F"/>
    <w:rsid w:val="007E72BA"/>
    <w:rsid w:val="007E74AD"/>
    <w:rsid w:val="007E79C9"/>
    <w:rsid w:val="007F0BA2"/>
    <w:rsid w:val="007F1017"/>
    <w:rsid w:val="007F1333"/>
    <w:rsid w:val="007F17A9"/>
    <w:rsid w:val="007F1935"/>
    <w:rsid w:val="007F1D80"/>
    <w:rsid w:val="007F2FA1"/>
    <w:rsid w:val="007F3524"/>
    <w:rsid w:val="007F3872"/>
    <w:rsid w:val="007F4A3F"/>
    <w:rsid w:val="007F4A61"/>
    <w:rsid w:val="007F4AC7"/>
    <w:rsid w:val="007F5123"/>
    <w:rsid w:val="007F5255"/>
    <w:rsid w:val="007F56CC"/>
    <w:rsid w:val="007F61B9"/>
    <w:rsid w:val="007F61C2"/>
    <w:rsid w:val="007F7F3D"/>
    <w:rsid w:val="00800133"/>
    <w:rsid w:val="00800957"/>
    <w:rsid w:val="00801BCE"/>
    <w:rsid w:val="00803ABC"/>
    <w:rsid w:val="00803B3D"/>
    <w:rsid w:val="00804431"/>
    <w:rsid w:val="008044EB"/>
    <w:rsid w:val="00805142"/>
    <w:rsid w:val="00805788"/>
    <w:rsid w:val="008059C6"/>
    <w:rsid w:val="00805FCE"/>
    <w:rsid w:val="008062E8"/>
    <w:rsid w:val="008065BA"/>
    <w:rsid w:val="00806777"/>
    <w:rsid w:val="00806A56"/>
    <w:rsid w:val="00806CA7"/>
    <w:rsid w:val="0080734A"/>
    <w:rsid w:val="008077C4"/>
    <w:rsid w:val="0080782F"/>
    <w:rsid w:val="00807A8B"/>
    <w:rsid w:val="00807F29"/>
    <w:rsid w:val="00810343"/>
    <w:rsid w:val="008106E5"/>
    <w:rsid w:val="0081077F"/>
    <w:rsid w:val="00810AA0"/>
    <w:rsid w:val="00811321"/>
    <w:rsid w:val="00811383"/>
    <w:rsid w:val="00811760"/>
    <w:rsid w:val="00812149"/>
    <w:rsid w:val="0081292E"/>
    <w:rsid w:val="00812C15"/>
    <w:rsid w:val="00812CAC"/>
    <w:rsid w:val="008133D0"/>
    <w:rsid w:val="00813987"/>
    <w:rsid w:val="00813A21"/>
    <w:rsid w:val="00813FBF"/>
    <w:rsid w:val="00814632"/>
    <w:rsid w:val="0081477E"/>
    <w:rsid w:val="00814B5E"/>
    <w:rsid w:val="00814D02"/>
    <w:rsid w:val="00814D1A"/>
    <w:rsid w:val="00814DEA"/>
    <w:rsid w:val="008152FE"/>
    <w:rsid w:val="0081537A"/>
    <w:rsid w:val="00815680"/>
    <w:rsid w:val="00816361"/>
    <w:rsid w:val="008166EF"/>
    <w:rsid w:val="00816D85"/>
    <w:rsid w:val="00816FEF"/>
    <w:rsid w:val="008175C9"/>
    <w:rsid w:val="0081790D"/>
    <w:rsid w:val="008207B3"/>
    <w:rsid w:val="00820A4C"/>
    <w:rsid w:val="00820A8C"/>
    <w:rsid w:val="0082116B"/>
    <w:rsid w:val="008215B1"/>
    <w:rsid w:val="008215FB"/>
    <w:rsid w:val="0082172A"/>
    <w:rsid w:val="00821959"/>
    <w:rsid w:val="00821E98"/>
    <w:rsid w:val="00822579"/>
    <w:rsid w:val="00822BF3"/>
    <w:rsid w:val="00822D1E"/>
    <w:rsid w:val="00823174"/>
    <w:rsid w:val="00823464"/>
    <w:rsid w:val="008235A6"/>
    <w:rsid w:val="00823C9F"/>
    <w:rsid w:val="00823F49"/>
    <w:rsid w:val="00824263"/>
    <w:rsid w:val="008248AE"/>
    <w:rsid w:val="0082493B"/>
    <w:rsid w:val="00824F95"/>
    <w:rsid w:val="008251D6"/>
    <w:rsid w:val="00825751"/>
    <w:rsid w:val="00825EDA"/>
    <w:rsid w:val="008262CB"/>
    <w:rsid w:val="008264EB"/>
    <w:rsid w:val="00827A07"/>
    <w:rsid w:val="00830071"/>
    <w:rsid w:val="00830553"/>
    <w:rsid w:val="00830AC8"/>
    <w:rsid w:val="00830D5F"/>
    <w:rsid w:val="008318B6"/>
    <w:rsid w:val="0083198F"/>
    <w:rsid w:val="008329F2"/>
    <w:rsid w:val="00832C71"/>
    <w:rsid w:val="008331B9"/>
    <w:rsid w:val="00833B05"/>
    <w:rsid w:val="00833C7E"/>
    <w:rsid w:val="0083491B"/>
    <w:rsid w:val="00834BD3"/>
    <w:rsid w:val="008354F2"/>
    <w:rsid w:val="00836113"/>
    <w:rsid w:val="008362B4"/>
    <w:rsid w:val="00837FB8"/>
    <w:rsid w:val="0084079E"/>
    <w:rsid w:val="00840CA2"/>
    <w:rsid w:val="00840E6F"/>
    <w:rsid w:val="00841AA2"/>
    <w:rsid w:val="00841B5D"/>
    <w:rsid w:val="00842457"/>
    <w:rsid w:val="00843050"/>
    <w:rsid w:val="00843598"/>
    <w:rsid w:val="0084374F"/>
    <w:rsid w:val="00843E57"/>
    <w:rsid w:val="00844212"/>
    <w:rsid w:val="0084473E"/>
    <w:rsid w:val="00844A22"/>
    <w:rsid w:val="00844F80"/>
    <w:rsid w:val="0084516F"/>
    <w:rsid w:val="008451A9"/>
    <w:rsid w:val="008452F6"/>
    <w:rsid w:val="008456F1"/>
    <w:rsid w:val="00845A31"/>
    <w:rsid w:val="00845D19"/>
    <w:rsid w:val="0084633C"/>
    <w:rsid w:val="0084660C"/>
    <w:rsid w:val="00847703"/>
    <w:rsid w:val="00847DF5"/>
    <w:rsid w:val="00850082"/>
    <w:rsid w:val="008501F7"/>
    <w:rsid w:val="00850DB5"/>
    <w:rsid w:val="00851390"/>
    <w:rsid w:val="00851CC2"/>
    <w:rsid w:val="00851E4B"/>
    <w:rsid w:val="00852302"/>
    <w:rsid w:val="00852910"/>
    <w:rsid w:val="00852CDE"/>
    <w:rsid w:val="0085309D"/>
    <w:rsid w:val="00853730"/>
    <w:rsid w:val="00853CBF"/>
    <w:rsid w:val="00855136"/>
    <w:rsid w:val="00855249"/>
    <w:rsid w:val="00855C3B"/>
    <w:rsid w:val="00856247"/>
    <w:rsid w:val="00856264"/>
    <w:rsid w:val="00856897"/>
    <w:rsid w:val="00856BDB"/>
    <w:rsid w:val="00856E45"/>
    <w:rsid w:val="00856E9A"/>
    <w:rsid w:val="0085716C"/>
    <w:rsid w:val="008571BD"/>
    <w:rsid w:val="0086075D"/>
    <w:rsid w:val="00860890"/>
    <w:rsid w:val="00860B68"/>
    <w:rsid w:val="00861CC9"/>
    <w:rsid w:val="00861DE4"/>
    <w:rsid w:val="00861EAF"/>
    <w:rsid w:val="0086201E"/>
    <w:rsid w:val="008621F4"/>
    <w:rsid w:val="0086240F"/>
    <w:rsid w:val="00862502"/>
    <w:rsid w:val="00862C27"/>
    <w:rsid w:val="00862CC1"/>
    <w:rsid w:val="008634CC"/>
    <w:rsid w:val="008635A9"/>
    <w:rsid w:val="00863C81"/>
    <w:rsid w:val="008640CB"/>
    <w:rsid w:val="00864DA2"/>
    <w:rsid w:val="00864E95"/>
    <w:rsid w:val="00864F8A"/>
    <w:rsid w:val="008651B2"/>
    <w:rsid w:val="008651BB"/>
    <w:rsid w:val="00865DD5"/>
    <w:rsid w:val="008660D4"/>
    <w:rsid w:val="00866125"/>
    <w:rsid w:val="00866162"/>
    <w:rsid w:val="008661C6"/>
    <w:rsid w:val="00866469"/>
    <w:rsid w:val="00866481"/>
    <w:rsid w:val="008667E0"/>
    <w:rsid w:val="00866BAC"/>
    <w:rsid w:val="00867299"/>
    <w:rsid w:val="0086746D"/>
    <w:rsid w:val="0087074C"/>
    <w:rsid w:val="008709A6"/>
    <w:rsid w:val="00870EE5"/>
    <w:rsid w:val="00871651"/>
    <w:rsid w:val="008716B2"/>
    <w:rsid w:val="00871930"/>
    <w:rsid w:val="00871FA9"/>
    <w:rsid w:val="0087250D"/>
    <w:rsid w:val="0087262F"/>
    <w:rsid w:val="008728E9"/>
    <w:rsid w:val="00872DFF"/>
    <w:rsid w:val="00872E2F"/>
    <w:rsid w:val="00872FDA"/>
    <w:rsid w:val="00874017"/>
    <w:rsid w:val="008751B8"/>
    <w:rsid w:val="00875787"/>
    <w:rsid w:val="00875D99"/>
    <w:rsid w:val="008767AB"/>
    <w:rsid w:val="008767D0"/>
    <w:rsid w:val="00876BBD"/>
    <w:rsid w:val="00877164"/>
    <w:rsid w:val="008775B0"/>
    <w:rsid w:val="0088165B"/>
    <w:rsid w:val="008817C3"/>
    <w:rsid w:val="0088258F"/>
    <w:rsid w:val="00882874"/>
    <w:rsid w:val="00882D7F"/>
    <w:rsid w:val="00882E3C"/>
    <w:rsid w:val="00883023"/>
    <w:rsid w:val="00883787"/>
    <w:rsid w:val="008838A5"/>
    <w:rsid w:val="00884151"/>
    <w:rsid w:val="008841D6"/>
    <w:rsid w:val="008844DC"/>
    <w:rsid w:val="00884704"/>
    <w:rsid w:val="0088476D"/>
    <w:rsid w:val="00884780"/>
    <w:rsid w:val="00885314"/>
    <w:rsid w:val="008855E4"/>
    <w:rsid w:val="008861D1"/>
    <w:rsid w:val="00886CD2"/>
    <w:rsid w:val="0088707C"/>
    <w:rsid w:val="008870E9"/>
    <w:rsid w:val="00887217"/>
    <w:rsid w:val="0088787F"/>
    <w:rsid w:val="008879BF"/>
    <w:rsid w:val="00890410"/>
    <w:rsid w:val="00891549"/>
    <w:rsid w:val="00891C70"/>
    <w:rsid w:val="00891E6F"/>
    <w:rsid w:val="0089275D"/>
    <w:rsid w:val="00892A36"/>
    <w:rsid w:val="00893174"/>
    <w:rsid w:val="00893239"/>
    <w:rsid w:val="008934AF"/>
    <w:rsid w:val="0089366E"/>
    <w:rsid w:val="00894489"/>
    <w:rsid w:val="008959A5"/>
    <w:rsid w:val="008963A5"/>
    <w:rsid w:val="0089640A"/>
    <w:rsid w:val="00896414"/>
    <w:rsid w:val="00896D5D"/>
    <w:rsid w:val="00897049"/>
    <w:rsid w:val="008974CA"/>
    <w:rsid w:val="008A00C9"/>
    <w:rsid w:val="008A07A0"/>
    <w:rsid w:val="008A08CE"/>
    <w:rsid w:val="008A1285"/>
    <w:rsid w:val="008A194E"/>
    <w:rsid w:val="008A1DEA"/>
    <w:rsid w:val="008A1F53"/>
    <w:rsid w:val="008A29DD"/>
    <w:rsid w:val="008A3363"/>
    <w:rsid w:val="008A3371"/>
    <w:rsid w:val="008A39AA"/>
    <w:rsid w:val="008A3A3C"/>
    <w:rsid w:val="008A3C3E"/>
    <w:rsid w:val="008A42E0"/>
    <w:rsid w:val="008A4C1E"/>
    <w:rsid w:val="008A4D31"/>
    <w:rsid w:val="008A5117"/>
    <w:rsid w:val="008A5128"/>
    <w:rsid w:val="008A5163"/>
    <w:rsid w:val="008A5663"/>
    <w:rsid w:val="008A598E"/>
    <w:rsid w:val="008A5C2F"/>
    <w:rsid w:val="008A60E9"/>
    <w:rsid w:val="008A678D"/>
    <w:rsid w:val="008A730B"/>
    <w:rsid w:val="008A755F"/>
    <w:rsid w:val="008A79DE"/>
    <w:rsid w:val="008B0CF0"/>
    <w:rsid w:val="008B1757"/>
    <w:rsid w:val="008B1766"/>
    <w:rsid w:val="008B2173"/>
    <w:rsid w:val="008B2A54"/>
    <w:rsid w:val="008B2DD5"/>
    <w:rsid w:val="008B32BE"/>
    <w:rsid w:val="008B41C9"/>
    <w:rsid w:val="008B430E"/>
    <w:rsid w:val="008B4680"/>
    <w:rsid w:val="008B477B"/>
    <w:rsid w:val="008B4A60"/>
    <w:rsid w:val="008B5159"/>
    <w:rsid w:val="008B6BE3"/>
    <w:rsid w:val="008B6E08"/>
    <w:rsid w:val="008B6F48"/>
    <w:rsid w:val="008B7992"/>
    <w:rsid w:val="008B7D7E"/>
    <w:rsid w:val="008C010E"/>
    <w:rsid w:val="008C0D36"/>
    <w:rsid w:val="008C1803"/>
    <w:rsid w:val="008C1B64"/>
    <w:rsid w:val="008C1C4D"/>
    <w:rsid w:val="008C21A0"/>
    <w:rsid w:val="008C2F3F"/>
    <w:rsid w:val="008C3982"/>
    <w:rsid w:val="008C39C3"/>
    <w:rsid w:val="008C40B6"/>
    <w:rsid w:val="008C4D19"/>
    <w:rsid w:val="008C4D4B"/>
    <w:rsid w:val="008C5028"/>
    <w:rsid w:val="008C50F3"/>
    <w:rsid w:val="008C5610"/>
    <w:rsid w:val="008C5739"/>
    <w:rsid w:val="008C5E0C"/>
    <w:rsid w:val="008C681D"/>
    <w:rsid w:val="008C6B24"/>
    <w:rsid w:val="008C6E4E"/>
    <w:rsid w:val="008C7ECB"/>
    <w:rsid w:val="008D079C"/>
    <w:rsid w:val="008D07EA"/>
    <w:rsid w:val="008D098E"/>
    <w:rsid w:val="008D0B5E"/>
    <w:rsid w:val="008D0C88"/>
    <w:rsid w:val="008D1A01"/>
    <w:rsid w:val="008D2893"/>
    <w:rsid w:val="008D2A35"/>
    <w:rsid w:val="008D305B"/>
    <w:rsid w:val="008D331F"/>
    <w:rsid w:val="008D3AF9"/>
    <w:rsid w:val="008D3B86"/>
    <w:rsid w:val="008D3EF5"/>
    <w:rsid w:val="008D3F96"/>
    <w:rsid w:val="008D4336"/>
    <w:rsid w:val="008D4755"/>
    <w:rsid w:val="008D4B17"/>
    <w:rsid w:val="008D4C3D"/>
    <w:rsid w:val="008D5C38"/>
    <w:rsid w:val="008D5E64"/>
    <w:rsid w:val="008D5F56"/>
    <w:rsid w:val="008D64B8"/>
    <w:rsid w:val="008D67DF"/>
    <w:rsid w:val="008D743C"/>
    <w:rsid w:val="008E0243"/>
    <w:rsid w:val="008E0D00"/>
    <w:rsid w:val="008E0D3C"/>
    <w:rsid w:val="008E15C1"/>
    <w:rsid w:val="008E1B9E"/>
    <w:rsid w:val="008E2CB8"/>
    <w:rsid w:val="008E2F74"/>
    <w:rsid w:val="008E301C"/>
    <w:rsid w:val="008E33CB"/>
    <w:rsid w:val="008E39EC"/>
    <w:rsid w:val="008E3C7E"/>
    <w:rsid w:val="008E3D11"/>
    <w:rsid w:val="008E43D2"/>
    <w:rsid w:val="008E478B"/>
    <w:rsid w:val="008E4840"/>
    <w:rsid w:val="008E55AB"/>
    <w:rsid w:val="008E5A0B"/>
    <w:rsid w:val="008E63A1"/>
    <w:rsid w:val="008E6439"/>
    <w:rsid w:val="008E66A4"/>
    <w:rsid w:val="008E6C9C"/>
    <w:rsid w:val="008E7B8C"/>
    <w:rsid w:val="008E7DC3"/>
    <w:rsid w:val="008E7E09"/>
    <w:rsid w:val="008F0D89"/>
    <w:rsid w:val="008F120A"/>
    <w:rsid w:val="008F1E51"/>
    <w:rsid w:val="008F22BA"/>
    <w:rsid w:val="008F27E0"/>
    <w:rsid w:val="008F38AE"/>
    <w:rsid w:val="008F397F"/>
    <w:rsid w:val="008F3A70"/>
    <w:rsid w:val="008F441D"/>
    <w:rsid w:val="008F4774"/>
    <w:rsid w:val="008F48EB"/>
    <w:rsid w:val="008F497B"/>
    <w:rsid w:val="008F4F0B"/>
    <w:rsid w:val="008F55B5"/>
    <w:rsid w:val="008F55E4"/>
    <w:rsid w:val="008F62DE"/>
    <w:rsid w:val="008F65F6"/>
    <w:rsid w:val="008F700F"/>
    <w:rsid w:val="008F7076"/>
    <w:rsid w:val="008F7569"/>
    <w:rsid w:val="008F7893"/>
    <w:rsid w:val="008F7F60"/>
    <w:rsid w:val="0090129A"/>
    <w:rsid w:val="0090160C"/>
    <w:rsid w:val="00901701"/>
    <w:rsid w:val="00901D41"/>
    <w:rsid w:val="009024F8"/>
    <w:rsid w:val="00902BF0"/>
    <w:rsid w:val="00902C9B"/>
    <w:rsid w:val="00902EFB"/>
    <w:rsid w:val="009031A5"/>
    <w:rsid w:val="00903611"/>
    <w:rsid w:val="009041A0"/>
    <w:rsid w:val="00904471"/>
    <w:rsid w:val="00904673"/>
    <w:rsid w:val="009046C4"/>
    <w:rsid w:val="00905402"/>
    <w:rsid w:val="00905A6C"/>
    <w:rsid w:val="009061FF"/>
    <w:rsid w:val="00906202"/>
    <w:rsid w:val="009062A5"/>
    <w:rsid w:val="009062C0"/>
    <w:rsid w:val="0090667F"/>
    <w:rsid w:val="009066C8"/>
    <w:rsid w:val="009066E1"/>
    <w:rsid w:val="00906732"/>
    <w:rsid w:val="00906A62"/>
    <w:rsid w:val="009070FA"/>
    <w:rsid w:val="0090726D"/>
    <w:rsid w:val="009076AD"/>
    <w:rsid w:val="00907F3B"/>
    <w:rsid w:val="00910371"/>
    <w:rsid w:val="0091091A"/>
    <w:rsid w:val="00910FA7"/>
    <w:rsid w:val="00911272"/>
    <w:rsid w:val="00912BC9"/>
    <w:rsid w:val="009135D6"/>
    <w:rsid w:val="00913D61"/>
    <w:rsid w:val="00913DC7"/>
    <w:rsid w:val="00914C57"/>
    <w:rsid w:val="00914C77"/>
    <w:rsid w:val="009160A4"/>
    <w:rsid w:val="00916761"/>
    <w:rsid w:val="00916AD5"/>
    <w:rsid w:val="00916F1F"/>
    <w:rsid w:val="00917B17"/>
    <w:rsid w:val="009202EC"/>
    <w:rsid w:val="009203F4"/>
    <w:rsid w:val="00920AD6"/>
    <w:rsid w:val="009210FC"/>
    <w:rsid w:val="009218D5"/>
    <w:rsid w:val="00921ACB"/>
    <w:rsid w:val="00921F96"/>
    <w:rsid w:val="00921FC2"/>
    <w:rsid w:val="0092261F"/>
    <w:rsid w:val="00922E99"/>
    <w:rsid w:val="00922F3C"/>
    <w:rsid w:val="00923094"/>
    <w:rsid w:val="009230B9"/>
    <w:rsid w:val="0092369B"/>
    <w:rsid w:val="00924383"/>
    <w:rsid w:val="00924B80"/>
    <w:rsid w:val="00924EE5"/>
    <w:rsid w:val="00926348"/>
    <w:rsid w:val="009267D3"/>
    <w:rsid w:val="009271C6"/>
    <w:rsid w:val="00930348"/>
    <w:rsid w:val="00930887"/>
    <w:rsid w:val="009308E2"/>
    <w:rsid w:val="00930A42"/>
    <w:rsid w:val="009313D5"/>
    <w:rsid w:val="0093187C"/>
    <w:rsid w:val="009332B9"/>
    <w:rsid w:val="0093377F"/>
    <w:rsid w:val="00934988"/>
    <w:rsid w:val="00934C2E"/>
    <w:rsid w:val="009366BF"/>
    <w:rsid w:val="0093692D"/>
    <w:rsid w:val="00937023"/>
    <w:rsid w:val="00937089"/>
    <w:rsid w:val="00940B36"/>
    <w:rsid w:val="00941327"/>
    <w:rsid w:val="00941A1A"/>
    <w:rsid w:val="00942F8E"/>
    <w:rsid w:val="0094346C"/>
    <w:rsid w:val="00943714"/>
    <w:rsid w:val="00943C9A"/>
    <w:rsid w:val="00943D98"/>
    <w:rsid w:val="00944F8A"/>
    <w:rsid w:val="009455A8"/>
    <w:rsid w:val="0094631F"/>
    <w:rsid w:val="009465AE"/>
    <w:rsid w:val="009469C6"/>
    <w:rsid w:val="00946B58"/>
    <w:rsid w:val="00946D18"/>
    <w:rsid w:val="009476D4"/>
    <w:rsid w:val="009500DE"/>
    <w:rsid w:val="00950C5C"/>
    <w:rsid w:val="009510A2"/>
    <w:rsid w:val="00951E5A"/>
    <w:rsid w:val="009523FA"/>
    <w:rsid w:val="00952592"/>
    <w:rsid w:val="00952AEB"/>
    <w:rsid w:val="00952DBE"/>
    <w:rsid w:val="00953257"/>
    <w:rsid w:val="0095351D"/>
    <w:rsid w:val="009535D9"/>
    <w:rsid w:val="00953EBE"/>
    <w:rsid w:val="0095474C"/>
    <w:rsid w:val="009549B4"/>
    <w:rsid w:val="0095540D"/>
    <w:rsid w:val="0095673A"/>
    <w:rsid w:val="00956D4A"/>
    <w:rsid w:val="00960383"/>
    <w:rsid w:val="00960B94"/>
    <w:rsid w:val="00960F23"/>
    <w:rsid w:val="0096166A"/>
    <w:rsid w:val="00961C8F"/>
    <w:rsid w:val="00962CB9"/>
    <w:rsid w:val="0096352A"/>
    <w:rsid w:val="00963C15"/>
    <w:rsid w:val="00964312"/>
    <w:rsid w:val="00964EDC"/>
    <w:rsid w:val="009655F7"/>
    <w:rsid w:val="00965837"/>
    <w:rsid w:val="00965B8A"/>
    <w:rsid w:val="00965FBF"/>
    <w:rsid w:val="009660A5"/>
    <w:rsid w:val="009664AD"/>
    <w:rsid w:val="009666CE"/>
    <w:rsid w:val="0096682A"/>
    <w:rsid w:val="009672EB"/>
    <w:rsid w:val="00967650"/>
    <w:rsid w:val="009678B0"/>
    <w:rsid w:val="00967EF1"/>
    <w:rsid w:val="00967EF6"/>
    <w:rsid w:val="00970462"/>
    <w:rsid w:val="009705F5"/>
    <w:rsid w:val="0097071F"/>
    <w:rsid w:val="00970A5F"/>
    <w:rsid w:val="00971771"/>
    <w:rsid w:val="009717AC"/>
    <w:rsid w:val="0097227E"/>
    <w:rsid w:val="00972F19"/>
    <w:rsid w:val="00972FB0"/>
    <w:rsid w:val="009736AD"/>
    <w:rsid w:val="00973901"/>
    <w:rsid w:val="00973A17"/>
    <w:rsid w:val="00973FF2"/>
    <w:rsid w:val="00974514"/>
    <w:rsid w:val="009747D1"/>
    <w:rsid w:val="00974C00"/>
    <w:rsid w:val="00974D32"/>
    <w:rsid w:val="009751C1"/>
    <w:rsid w:val="009751DA"/>
    <w:rsid w:val="00975261"/>
    <w:rsid w:val="0097535D"/>
    <w:rsid w:val="0097630B"/>
    <w:rsid w:val="009766A3"/>
    <w:rsid w:val="009770BD"/>
    <w:rsid w:val="00977526"/>
    <w:rsid w:val="00977929"/>
    <w:rsid w:val="00977A35"/>
    <w:rsid w:val="00980337"/>
    <w:rsid w:val="0098061F"/>
    <w:rsid w:val="0098090C"/>
    <w:rsid w:val="00980959"/>
    <w:rsid w:val="00980A76"/>
    <w:rsid w:val="009811F1"/>
    <w:rsid w:val="00982483"/>
    <w:rsid w:val="009832DE"/>
    <w:rsid w:val="00983A2C"/>
    <w:rsid w:val="00983D9B"/>
    <w:rsid w:val="00983E57"/>
    <w:rsid w:val="00983FF0"/>
    <w:rsid w:val="0098423B"/>
    <w:rsid w:val="00984879"/>
    <w:rsid w:val="00984AFE"/>
    <w:rsid w:val="00984F62"/>
    <w:rsid w:val="00985DE2"/>
    <w:rsid w:val="0098675D"/>
    <w:rsid w:val="009867F0"/>
    <w:rsid w:val="00986F77"/>
    <w:rsid w:val="00987C99"/>
    <w:rsid w:val="00987D54"/>
    <w:rsid w:val="00990085"/>
    <w:rsid w:val="0099059C"/>
    <w:rsid w:val="0099149D"/>
    <w:rsid w:val="00991637"/>
    <w:rsid w:val="00992091"/>
    <w:rsid w:val="0099209F"/>
    <w:rsid w:val="009926E0"/>
    <w:rsid w:val="0099290C"/>
    <w:rsid w:val="0099348D"/>
    <w:rsid w:val="00993C5A"/>
    <w:rsid w:val="0099451E"/>
    <w:rsid w:val="00994937"/>
    <w:rsid w:val="009949E2"/>
    <w:rsid w:val="009950A8"/>
    <w:rsid w:val="009951C6"/>
    <w:rsid w:val="00995929"/>
    <w:rsid w:val="00996B1A"/>
    <w:rsid w:val="0099785B"/>
    <w:rsid w:val="00997DAC"/>
    <w:rsid w:val="009A02A2"/>
    <w:rsid w:val="009A085E"/>
    <w:rsid w:val="009A08DF"/>
    <w:rsid w:val="009A1014"/>
    <w:rsid w:val="009A11D9"/>
    <w:rsid w:val="009A179C"/>
    <w:rsid w:val="009A1B24"/>
    <w:rsid w:val="009A1F7D"/>
    <w:rsid w:val="009A2167"/>
    <w:rsid w:val="009A21DC"/>
    <w:rsid w:val="009A2477"/>
    <w:rsid w:val="009A2619"/>
    <w:rsid w:val="009A2AFC"/>
    <w:rsid w:val="009A2C17"/>
    <w:rsid w:val="009A2DCC"/>
    <w:rsid w:val="009A2F4F"/>
    <w:rsid w:val="009A3826"/>
    <w:rsid w:val="009A516E"/>
    <w:rsid w:val="009A5392"/>
    <w:rsid w:val="009A5ABC"/>
    <w:rsid w:val="009A63E8"/>
    <w:rsid w:val="009A6D28"/>
    <w:rsid w:val="009A700D"/>
    <w:rsid w:val="009A7A83"/>
    <w:rsid w:val="009A7DFE"/>
    <w:rsid w:val="009A7F10"/>
    <w:rsid w:val="009B0186"/>
    <w:rsid w:val="009B063F"/>
    <w:rsid w:val="009B1DCC"/>
    <w:rsid w:val="009B2750"/>
    <w:rsid w:val="009B2B46"/>
    <w:rsid w:val="009B3334"/>
    <w:rsid w:val="009B3759"/>
    <w:rsid w:val="009B375F"/>
    <w:rsid w:val="009B39F6"/>
    <w:rsid w:val="009B3E26"/>
    <w:rsid w:val="009B4D5F"/>
    <w:rsid w:val="009B4E29"/>
    <w:rsid w:val="009B63E1"/>
    <w:rsid w:val="009C02B8"/>
    <w:rsid w:val="009C0E37"/>
    <w:rsid w:val="009C0F4C"/>
    <w:rsid w:val="009C10B3"/>
    <w:rsid w:val="009C130A"/>
    <w:rsid w:val="009C218B"/>
    <w:rsid w:val="009C2BD9"/>
    <w:rsid w:val="009C33EB"/>
    <w:rsid w:val="009C36E2"/>
    <w:rsid w:val="009C3706"/>
    <w:rsid w:val="009C3A3A"/>
    <w:rsid w:val="009C49CC"/>
    <w:rsid w:val="009C50C6"/>
    <w:rsid w:val="009C5194"/>
    <w:rsid w:val="009C549A"/>
    <w:rsid w:val="009C5FE7"/>
    <w:rsid w:val="009C6CEA"/>
    <w:rsid w:val="009C6F32"/>
    <w:rsid w:val="009C7905"/>
    <w:rsid w:val="009C7B85"/>
    <w:rsid w:val="009C7D7B"/>
    <w:rsid w:val="009C7EDE"/>
    <w:rsid w:val="009D00E9"/>
    <w:rsid w:val="009D0254"/>
    <w:rsid w:val="009D0783"/>
    <w:rsid w:val="009D1525"/>
    <w:rsid w:val="009D1A64"/>
    <w:rsid w:val="009D1EA1"/>
    <w:rsid w:val="009D2133"/>
    <w:rsid w:val="009D2171"/>
    <w:rsid w:val="009D295E"/>
    <w:rsid w:val="009D3137"/>
    <w:rsid w:val="009D3231"/>
    <w:rsid w:val="009D37ED"/>
    <w:rsid w:val="009D3948"/>
    <w:rsid w:val="009D493E"/>
    <w:rsid w:val="009D4B88"/>
    <w:rsid w:val="009D5949"/>
    <w:rsid w:val="009D5B91"/>
    <w:rsid w:val="009D6AAE"/>
    <w:rsid w:val="009D792E"/>
    <w:rsid w:val="009E018B"/>
    <w:rsid w:val="009E0656"/>
    <w:rsid w:val="009E0BFB"/>
    <w:rsid w:val="009E0DFE"/>
    <w:rsid w:val="009E1BDA"/>
    <w:rsid w:val="009E218A"/>
    <w:rsid w:val="009E21E3"/>
    <w:rsid w:val="009E246C"/>
    <w:rsid w:val="009E2B4A"/>
    <w:rsid w:val="009E2C29"/>
    <w:rsid w:val="009E31F6"/>
    <w:rsid w:val="009E3268"/>
    <w:rsid w:val="009E3E3B"/>
    <w:rsid w:val="009E3F83"/>
    <w:rsid w:val="009E4714"/>
    <w:rsid w:val="009E4C07"/>
    <w:rsid w:val="009E50DC"/>
    <w:rsid w:val="009E544D"/>
    <w:rsid w:val="009E58B7"/>
    <w:rsid w:val="009E5F0B"/>
    <w:rsid w:val="009F0E37"/>
    <w:rsid w:val="009F128D"/>
    <w:rsid w:val="009F1443"/>
    <w:rsid w:val="009F170E"/>
    <w:rsid w:val="009F1C27"/>
    <w:rsid w:val="009F2194"/>
    <w:rsid w:val="009F2D2A"/>
    <w:rsid w:val="009F2F89"/>
    <w:rsid w:val="009F3ABD"/>
    <w:rsid w:val="009F436A"/>
    <w:rsid w:val="009F4573"/>
    <w:rsid w:val="009F49BF"/>
    <w:rsid w:val="009F4A62"/>
    <w:rsid w:val="009F4B35"/>
    <w:rsid w:val="009F4C83"/>
    <w:rsid w:val="009F55A8"/>
    <w:rsid w:val="009F604A"/>
    <w:rsid w:val="009F6730"/>
    <w:rsid w:val="009F71FA"/>
    <w:rsid w:val="00A00159"/>
    <w:rsid w:val="00A00266"/>
    <w:rsid w:val="00A00A62"/>
    <w:rsid w:val="00A0102D"/>
    <w:rsid w:val="00A010E7"/>
    <w:rsid w:val="00A01184"/>
    <w:rsid w:val="00A01F81"/>
    <w:rsid w:val="00A02384"/>
    <w:rsid w:val="00A0273D"/>
    <w:rsid w:val="00A02C9B"/>
    <w:rsid w:val="00A02DE9"/>
    <w:rsid w:val="00A0333A"/>
    <w:rsid w:val="00A036A0"/>
    <w:rsid w:val="00A037C2"/>
    <w:rsid w:val="00A03D43"/>
    <w:rsid w:val="00A04380"/>
    <w:rsid w:val="00A04C9F"/>
    <w:rsid w:val="00A05472"/>
    <w:rsid w:val="00A056EF"/>
    <w:rsid w:val="00A05763"/>
    <w:rsid w:val="00A059EB"/>
    <w:rsid w:val="00A05C32"/>
    <w:rsid w:val="00A0653F"/>
    <w:rsid w:val="00A06709"/>
    <w:rsid w:val="00A06C31"/>
    <w:rsid w:val="00A06E1A"/>
    <w:rsid w:val="00A0723E"/>
    <w:rsid w:val="00A07246"/>
    <w:rsid w:val="00A07861"/>
    <w:rsid w:val="00A106BC"/>
    <w:rsid w:val="00A1076D"/>
    <w:rsid w:val="00A10A59"/>
    <w:rsid w:val="00A110BA"/>
    <w:rsid w:val="00A11884"/>
    <w:rsid w:val="00A11CD0"/>
    <w:rsid w:val="00A11FCA"/>
    <w:rsid w:val="00A121C3"/>
    <w:rsid w:val="00A121D2"/>
    <w:rsid w:val="00A13921"/>
    <w:rsid w:val="00A13948"/>
    <w:rsid w:val="00A13995"/>
    <w:rsid w:val="00A13E35"/>
    <w:rsid w:val="00A141C9"/>
    <w:rsid w:val="00A14B4E"/>
    <w:rsid w:val="00A1555B"/>
    <w:rsid w:val="00A155C5"/>
    <w:rsid w:val="00A1647A"/>
    <w:rsid w:val="00A16AD8"/>
    <w:rsid w:val="00A16EFC"/>
    <w:rsid w:val="00A1701E"/>
    <w:rsid w:val="00A17033"/>
    <w:rsid w:val="00A17EDE"/>
    <w:rsid w:val="00A2128D"/>
    <w:rsid w:val="00A213B8"/>
    <w:rsid w:val="00A21788"/>
    <w:rsid w:val="00A217CD"/>
    <w:rsid w:val="00A21ADF"/>
    <w:rsid w:val="00A21C95"/>
    <w:rsid w:val="00A21CF3"/>
    <w:rsid w:val="00A21E7B"/>
    <w:rsid w:val="00A21FA9"/>
    <w:rsid w:val="00A22698"/>
    <w:rsid w:val="00A2272E"/>
    <w:rsid w:val="00A22EFC"/>
    <w:rsid w:val="00A2342D"/>
    <w:rsid w:val="00A23DE4"/>
    <w:rsid w:val="00A2452F"/>
    <w:rsid w:val="00A24690"/>
    <w:rsid w:val="00A24746"/>
    <w:rsid w:val="00A24813"/>
    <w:rsid w:val="00A24B70"/>
    <w:rsid w:val="00A26338"/>
    <w:rsid w:val="00A26F38"/>
    <w:rsid w:val="00A27372"/>
    <w:rsid w:val="00A27AEC"/>
    <w:rsid w:val="00A30163"/>
    <w:rsid w:val="00A3059A"/>
    <w:rsid w:val="00A30CAF"/>
    <w:rsid w:val="00A31345"/>
    <w:rsid w:val="00A31ADE"/>
    <w:rsid w:val="00A3207E"/>
    <w:rsid w:val="00A320DB"/>
    <w:rsid w:val="00A32A7A"/>
    <w:rsid w:val="00A32F3C"/>
    <w:rsid w:val="00A33888"/>
    <w:rsid w:val="00A33BE7"/>
    <w:rsid w:val="00A3465B"/>
    <w:rsid w:val="00A347C9"/>
    <w:rsid w:val="00A3496B"/>
    <w:rsid w:val="00A34B18"/>
    <w:rsid w:val="00A34ECC"/>
    <w:rsid w:val="00A35D16"/>
    <w:rsid w:val="00A35FC5"/>
    <w:rsid w:val="00A360FD"/>
    <w:rsid w:val="00A372B8"/>
    <w:rsid w:val="00A37341"/>
    <w:rsid w:val="00A373EA"/>
    <w:rsid w:val="00A3772B"/>
    <w:rsid w:val="00A377B3"/>
    <w:rsid w:val="00A37B19"/>
    <w:rsid w:val="00A37BCD"/>
    <w:rsid w:val="00A37BE9"/>
    <w:rsid w:val="00A403BF"/>
    <w:rsid w:val="00A40A56"/>
    <w:rsid w:val="00A40E64"/>
    <w:rsid w:val="00A413A0"/>
    <w:rsid w:val="00A41689"/>
    <w:rsid w:val="00A4179F"/>
    <w:rsid w:val="00A42099"/>
    <w:rsid w:val="00A421D9"/>
    <w:rsid w:val="00A4250A"/>
    <w:rsid w:val="00A42592"/>
    <w:rsid w:val="00A42AA5"/>
    <w:rsid w:val="00A4303A"/>
    <w:rsid w:val="00A438C5"/>
    <w:rsid w:val="00A43C59"/>
    <w:rsid w:val="00A43CB7"/>
    <w:rsid w:val="00A43D1C"/>
    <w:rsid w:val="00A44C38"/>
    <w:rsid w:val="00A45C48"/>
    <w:rsid w:val="00A46D44"/>
    <w:rsid w:val="00A46D8D"/>
    <w:rsid w:val="00A46F66"/>
    <w:rsid w:val="00A46FA3"/>
    <w:rsid w:val="00A47075"/>
    <w:rsid w:val="00A47D70"/>
    <w:rsid w:val="00A501B2"/>
    <w:rsid w:val="00A50618"/>
    <w:rsid w:val="00A50ECD"/>
    <w:rsid w:val="00A50EDC"/>
    <w:rsid w:val="00A5100B"/>
    <w:rsid w:val="00A510B2"/>
    <w:rsid w:val="00A518F3"/>
    <w:rsid w:val="00A51924"/>
    <w:rsid w:val="00A524BD"/>
    <w:rsid w:val="00A52729"/>
    <w:rsid w:val="00A528BF"/>
    <w:rsid w:val="00A5349A"/>
    <w:rsid w:val="00A53675"/>
    <w:rsid w:val="00A53882"/>
    <w:rsid w:val="00A54182"/>
    <w:rsid w:val="00A54393"/>
    <w:rsid w:val="00A54708"/>
    <w:rsid w:val="00A54929"/>
    <w:rsid w:val="00A552C7"/>
    <w:rsid w:val="00A5555B"/>
    <w:rsid w:val="00A55726"/>
    <w:rsid w:val="00A55932"/>
    <w:rsid w:val="00A55ADB"/>
    <w:rsid w:val="00A56143"/>
    <w:rsid w:val="00A5638F"/>
    <w:rsid w:val="00A564D7"/>
    <w:rsid w:val="00A56728"/>
    <w:rsid w:val="00A56B6A"/>
    <w:rsid w:val="00A56C43"/>
    <w:rsid w:val="00A56E9E"/>
    <w:rsid w:val="00A5715B"/>
    <w:rsid w:val="00A578DC"/>
    <w:rsid w:val="00A578EC"/>
    <w:rsid w:val="00A57D06"/>
    <w:rsid w:val="00A60577"/>
    <w:rsid w:val="00A6067D"/>
    <w:rsid w:val="00A60886"/>
    <w:rsid w:val="00A609D1"/>
    <w:rsid w:val="00A6102B"/>
    <w:rsid w:val="00A612AC"/>
    <w:rsid w:val="00A62A38"/>
    <w:rsid w:val="00A63AD3"/>
    <w:rsid w:val="00A63D93"/>
    <w:rsid w:val="00A640E2"/>
    <w:rsid w:val="00A64C9E"/>
    <w:rsid w:val="00A64D65"/>
    <w:rsid w:val="00A653CB"/>
    <w:rsid w:val="00A657E8"/>
    <w:rsid w:val="00A67048"/>
    <w:rsid w:val="00A6725B"/>
    <w:rsid w:val="00A678BC"/>
    <w:rsid w:val="00A67D7E"/>
    <w:rsid w:val="00A70605"/>
    <w:rsid w:val="00A7078C"/>
    <w:rsid w:val="00A709E1"/>
    <w:rsid w:val="00A70A29"/>
    <w:rsid w:val="00A71679"/>
    <w:rsid w:val="00A7188A"/>
    <w:rsid w:val="00A72061"/>
    <w:rsid w:val="00A728EF"/>
    <w:rsid w:val="00A72C11"/>
    <w:rsid w:val="00A73134"/>
    <w:rsid w:val="00A73162"/>
    <w:rsid w:val="00A73455"/>
    <w:rsid w:val="00A743F6"/>
    <w:rsid w:val="00A747C9"/>
    <w:rsid w:val="00A74D1E"/>
    <w:rsid w:val="00A74D93"/>
    <w:rsid w:val="00A75259"/>
    <w:rsid w:val="00A75331"/>
    <w:rsid w:val="00A7598A"/>
    <w:rsid w:val="00A76001"/>
    <w:rsid w:val="00A7630F"/>
    <w:rsid w:val="00A76EA6"/>
    <w:rsid w:val="00A76F53"/>
    <w:rsid w:val="00A77145"/>
    <w:rsid w:val="00A777B2"/>
    <w:rsid w:val="00A778D0"/>
    <w:rsid w:val="00A8050B"/>
    <w:rsid w:val="00A805CF"/>
    <w:rsid w:val="00A81DCD"/>
    <w:rsid w:val="00A81E6E"/>
    <w:rsid w:val="00A82521"/>
    <w:rsid w:val="00A825D4"/>
    <w:rsid w:val="00A828F6"/>
    <w:rsid w:val="00A82B73"/>
    <w:rsid w:val="00A82C00"/>
    <w:rsid w:val="00A8337E"/>
    <w:rsid w:val="00A836C3"/>
    <w:rsid w:val="00A83898"/>
    <w:rsid w:val="00A83A65"/>
    <w:rsid w:val="00A848CD"/>
    <w:rsid w:val="00A84BC1"/>
    <w:rsid w:val="00A85DBB"/>
    <w:rsid w:val="00A85F34"/>
    <w:rsid w:val="00A86A64"/>
    <w:rsid w:val="00A86D44"/>
    <w:rsid w:val="00A86E8B"/>
    <w:rsid w:val="00A87164"/>
    <w:rsid w:val="00A87654"/>
    <w:rsid w:val="00A910F4"/>
    <w:rsid w:val="00A912F5"/>
    <w:rsid w:val="00A91647"/>
    <w:rsid w:val="00A917B4"/>
    <w:rsid w:val="00A91DCF"/>
    <w:rsid w:val="00A93072"/>
    <w:rsid w:val="00A932D7"/>
    <w:rsid w:val="00A9337F"/>
    <w:rsid w:val="00A934A3"/>
    <w:rsid w:val="00A938BD"/>
    <w:rsid w:val="00A93953"/>
    <w:rsid w:val="00A93C06"/>
    <w:rsid w:val="00A93CC2"/>
    <w:rsid w:val="00A94420"/>
    <w:rsid w:val="00A944E3"/>
    <w:rsid w:val="00A947F9"/>
    <w:rsid w:val="00A94909"/>
    <w:rsid w:val="00A950A5"/>
    <w:rsid w:val="00A95505"/>
    <w:rsid w:val="00A959D8"/>
    <w:rsid w:val="00A965F5"/>
    <w:rsid w:val="00A96C52"/>
    <w:rsid w:val="00A973AF"/>
    <w:rsid w:val="00A97768"/>
    <w:rsid w:val="00AA113D"/>
    <w:rsid w:val="00AA1CF6"/>
    <w:rsid w:val="00AA1F04"/>
    <w:rsid w:val="00AA26E5"/>
    <w:rsid w:val="00AA2C30"/>
    <w:rsid w:val="00AA3670"/>
    <w:rsid w:val="00AA381F"/>
    <w:rsid w:val="00AA3861"/>
    <w:rsid w:val="00AA3E0E"/>
    <w:rsid w:val="00AA3E79"/>
    <w:rsid w:val="00AA469C"/>
    <w:rsid w:val="00AA47CB"/>
    <w:rsid w:val="00AA50AF"/>
    <w:rsid w:val="00AA5D9C"/>
    <w:rsid w:val="00AA5F51"/>
    <w:rsid w:val="00AA6AA5"/>
    <w:rsid w:val="00AA6B4A"/>
    <w:rsid w:val="00AA6BD5"/>
    <w:rsid w:val="00AA6BD8"/>
    <w:rsid w:val="00AA6C7D"/>
    <w:rsid w:val="00AA75B1"/>
    <w:rsid w:val="00AA79B4"/>
    <w:rsid w:val="00AA7FD6"/>
    <w:rsid w:val="00AB042A"/>
    <w:rsid w:val="00AB044A"/>
    <w:rsid w:val="00AB0A35"/>
    <w:rsid w:val="00AB0ACF"/>
    <w:rsid w:val="00AB1389"/>
    <w:rsid w:val="00AB15B0"/>
    <w:rsid w:val="00AB1820"/>
    <w:rsid w:val="00AB19EF"/>
    <w:rsid w:val="00AB1BB9"/>
    <w:rsid w:val="00AB2159"/>
    <w:rsid w:val="00AB2319"/>
    <w:rsid w:val="00AB26F6"/>
    <w:rsid w:val="00AB2A9D"/>
    <w:rsid w:val="00AB2BE2"/>
    <w:rsid w:val="00AB2D34"/>
    <w:rsid w:val="00AB2DD1"/>
    <w:rsid w:val="00AB2FF6"/>
    <w:rsid w:val="00AB31D4"/>
    <w:rsid w:val="00AB3430"/>
    <w:rsid w:val="00AB37B9"/>
    <w:rsid w:val="00AB3C35"/>
    <w:rsid w:val="00AB467E"/>
    <w:rsid w:val="00AB4AD1"/>
    <w:rsid w:val="00AB4BF8"/>
    <w:rsid w:val="00AB4C49"/>
    <w:rsid w:val="00AB4CAE"/>
    <w:rsid w:val="00AB4F16"/>
    <w:rsid w:val="00AB502F"/>
    <w:rsid w:val="00AB5C45"/>
    <w:rsid w:val="00AB5E07"/>
    <w:rsid w:val="00AB67CE"/>
    <w:rsid w:val="00AB7CFA"/>
    <w:rsid w:val="00AB7D33"/>
    <w:rsid w:val="00AC07B9"/>
    <w:rsid w:val="00AC0B0C"/>
    <w:rsid w:val="00AC0D03"/>
    <w:rsid w:val="00AC14FF"/>
    <w:rsid w:val="00AC1757"/>
    <w:rsid w:val="00AC2047"/>
    <w:rsid w:val="00AC23AE"/>
    <w:rsid w:val="00AC2E05"/>
    <w:rsid w:val="00AC39E5"/>
    <w:rsid w:val="00AC494E"/>
    <w:rsid w:val="00AC54EF"/>
    <w:rsid w:val="00AC59A3"/>
    <w:rsid w:val="00AC5B48"/>
    <w:rsid w:val="00AC5F0C"/>
    <w:rsid w:val="00AC5F35"/>
    <w:rsid w:val="00AC5FA1"/>
    <w:rsid w:val="00AC6507"/>
    <w:rsid w:val="00AC665C"/>
    <w:rsid w:val="00AC6B38"/>
    <w:rsid w:val="00AD0160"/>
    <w:rsid w:val="00AD0A2B"/>
    <w:rsid w:val="00AD0EAF"/>
    <w:rsid w:val="00AD1029"/>
    <w:rsid w:val="00AD1410"/>
    <w:rsid w:val="00AD1450"/>
    <w:rsid w:val="00AD14E1"/>
    <w:rsid w:val="00AD154D"/>
    <w:rsid w:val="00AD18D8"/>
    <w:rsid w:val="00AD19FE"/>
    <w:rsid w:val="00AD1E6F"/>
    <w:rsid w:val="00AD280C"/>
    <w:rsid w:val="00AD3A0B"/>
    <w:rsid w:val="00AD432C"/>
    <w:rsid w:val="00AD4660"/>
    <w:rsid w:val="00AD4D10"/>
    <w:rsid w:val="00AD505E"/>
    <w:rsid w:val="00AD5523"/>
    <w:rsid w:val="00AD63EF"/>
    <w:rsid w:val="00AD6502"/>
    <w:rsid w:val="00AD69E2"/>
    <w:rsid w:val="00AD7567"/>
    <w:rsid w:val="00AD75AB"/>
    <w:rsid w:val="00AD782F"/>
    <w:rsid w:val="00AE0026"/>
    <w:rsid w:val="00AE00F3"/>
    <w:rsid w:val="00AE0695"/>
    <w:rsid w:val="00AE1312"/>
    <w:rsid w:val="00AE28A4"/>
    <w:rsid w:val="00AE2FF6"/>
    <w:rsid w:val="00AE37D0"/>
    <w:rsid w:val="00AE3A91"/>
    <w:rsid w:val="00AE3E7E"/>
    <w:rsid w:val="00AE50DA"/>
    <w:rsid w:val="00AE54E4"/>
    <w:rsid w:val="00AE563E"/>
    <w:rsid w:val="00AE62AD"/>
    <w:rsid w:val="00AE6313"/>
    <w:rsid w:val="00AE64B3"/>
    <w:rsid w:val="00AE64B7"/>
    <w:rsid w:val="00AE64C8"/>
    <w:rsid w:val="00AE7ADE"/>
    <w:rsid w:val="00AE7D77"/>
    <w:rsid w:val="00AE7F9E"/>
    <w:rsid w:val="00AF022E"/>
    <w:rsid w:val="00AF1315"/>
    <w:rsid w:val="00AF19BF"/>
    <w:rsid w:val="00AF218A"/>
    <w:rsid w:val="00AF2D19"/>
    <w:rsid w:val="00AF2DC3"/>
    <w:rsid w:val="00AF334D"/>
    <w:rsid w:val="00AF433E"/>
    <w:rsid w:val="00AF5078"/>
    <w:rsid w:val="00AF556B"/>
    <w:rsid w:val="00AF6B5F"/>
    <w:rsid w:val="00AF6FB7"/>
    <w:rsid w:val="00AF729D"/>
    <w:rsid w:val="00AF7FE9"/>
    <w:rsid w:val="00B00F7B"/>
    <w:rsid w:val="00B01062"/>
    <w:rsid w:val="00B01108"/>
    <w:rsid w:val="00B01182"/>
    <w:rsid w:val="00B012C1"/>
    <w:rsid w:val="00B01F34"/>
    <w:rsid w:val="00B021BA"/>
    <w:rsid w:val="00B02396"/>
    <w:rsid w:val="00B028CF"/>
    <w:rsid w:val="00B033E5"/>
    <w:rsid w:val="00B03439"/>
    <w:rsid w:val="00B03A63"/>
    <w:rsid w:val="00B03A86"/>
    <w:rsid w:val="00B04042"/>
    <w:rsid w:val="00B04154"/>
    <w:rsid w:val="00B042D6"/>
    <w:rsid w:val="00B04696"/>
    <w:rsid w:val="00B05752"/>
    <w:rsid w:val="00B057CF"/>
    <w:rsid w:val="00B05F1C"/>
    <w:rsid w:val="00B06600"/>
    <w:rsid w:val="00B07BED"/>
    <w:rsid w:val="00B07DF2"/>
    <w:rsid w:val="00B102EA"/>
    <w:rsid w:val="00B109A7"/>
    <w:rsid w:val="00B10A97"/>
    <w:rsid w:val="00B1105B"/>
    <w:rsid w:val="00B11236"/>
    <w:rsid w:val="00B11CCA"/>
    <w:rsid w:val="00B11E91"/>
    <w:rsid w:val="00B123E9"/>
    <w:rsid w:val="00B12D97"/>
    <w:rsid w:val="00B13DC5"/>
    <w:rsid w:val="00B1419C"/>
    <w:rsid w:val="00B14264"/>
    <w:rsid w:val="00B14750"/>
    <w:rsid w:val="00B147BD"/>
    <w:rsid w:val="00B14AC5"/>
    <w:rsid w:val="00B14CAE"/>
    <w:rsid w:val="00B14DBC"/>
    <w:rsid w:val="00B15528"/>
    <w:rsid w:val="00B15B58"/>
    <w:rsid w:val="00B16203"/>
    <w:rsid w:val="00B16787"/>
    <w:rsid w:val="00B16D42"/>
    <w:rsid w:val="00B16DA7"/>
    <w:rsid w:val="00B16EEB"/>
    <w:rsid w:val="00B177BF"/>
    <w:rsid w:val="00B17AC6"/>
    <w:rsid w:val="00B17C38"/>
    <w:rsid w:val="00B17E15"/>
    <w:rsid w:val="00B201A4"/>
    <w:rsid w:val="00B201D1"/>
    <w:rsid w:val="00B203BD"/>
    <w:rsid w:val="00B20733"/>
    <w:rsid w:val="00B20E9F"/>
    <w:rsid w:val="00B213A6"/>
    <w:rsid w:val="00B213C1"/>
    <w:rsid w:val="00B22052"/>
    <w:rsid w:val="00B22C60"/>
    <w:rsid w:val="00B2324F"/>
    <w:rsid w:val="00B235B0"/>
    <w:rsid w:val="00B23740"/>
    <w:rsid w:val="00B23801"/>
    <w:rsid w:val="00B24265"/>
    <w:rsid w:val="00B24DF6"/>
    <w:rsid w:val="00B2620D"/>
    <w:rsid w:val="00B26A29"/>
    <w:rsid w:val="00B273B7"/>
    <w:rsid w:val="00B279E0"/>
    <w:rsid w:val="00B27C27"/>
    <w:rsid w:val="00B30200"/>
    <w:rsid w:val="00B30848"/>
    <w:rsid w:val="00B31EAE"/>
    <w:rsid w:val="00B31FC0"/>
    <w:rsid w:val="00B32012"/>
    <w:rsid w:val="00B32276"/>
    <w:rsid w:val="00B325AD"/>
    <w:rsid w:val="00B335B0"/>
    <w:rsid w:val="00B34FE2"/>
    <w:rsid w:val="00B35166"/>
    <w:rsid w:val="00B3545F"/>
    <w:rsid w:val="00B357D8"/>
    <w:rsid w:val="00B36016"/>
    <w:rsid w:val="00B360F4"/>
    <w:rsid w:val="00B3687A"/>
    <w:rsid w:val="00B36A00"/>
    <w:rsid w:val="00B37163"/>
    <w:rsid w:val="00B37241"/>
    <w:rsid w:val="00B37608"/>
    <w:rsid w:val="00B37B14"/>
    <w:rsid w:val="00B37BFC"/>
    <w:rsid w:val="00B37C0C"/>
    <w:rsid w:val="00B37EA9"/>
    <w:rsid w:val="00B37F6C"/>
    <w:rsid w:val="00B40189"/>
    <w:rsid w:val="00B40358"/>
    <w:rsid w:val="00B408B6"/>
    <w:rsid w:val="00B40E25"/>
    <w:rsid w:val="00B41614"/>
    <w:rsid w:val="00B42851"/>
    <w:rsid w:val="00B428A2"/>
    <w:rsid w:val="00B42912"/>
    <w:rsid w:val="00B42F80"/>
    <w:rsid w:val="00B435CB"/>
    <w:rsid w:val="00B444CC"/>
    <w:rsid w:val="00B44663"/>
    <w:rsid w:val="00B4498F"/>
    <w:rsid w:val="00B44AB8"/>
    <w:rsid w:val="00B44EF3"/>
    <w:rsid w:val="00B4525B"/>
    <w:rsid w:val="00B4576D"/>
    <w:rsid w:val="00B45FE4"/>
    <w:rsid w:val="00B461FA"/>
    <w:rsid w:val="00B477DE"/>
    <w:rsid w:val="00B47A0C"/>
    <w:rsid w:val="00B50345"/>
    <w:rsid w:val="00B50460"/>
    <w:rsid w:val="00B505C8"/>
    <w:rsid w:val="00B50973"/>
    <w:rsid w:val="00B50DB8"/>
    <w:rsid w:val="00B51393"/>
    <w:rsid w:val="00B515C3"/>
    <w:rsid w:val="00B51B27"/>
    <w:rsid w:val="00B51C5A"/>
    <w:rsid w:val="00B51E7B"/>
    <w:rsid w:val="00B51FC1"/>
    <w:rsid w:val="00B5214E"/>
    <w:rsid w:val="00B5291B"/>
    <w:rsid w:val="00B5306D"/>
    <w:rsid w:val="00B53654"/>
    <w:rsid w:val="00B53905"/>
    <w:rsid w:val="00B53A8B"/>
    <w:rsid w:val="00B53D76"/>
    <w:rsid w:val="00B54615"/>
    <w:rsid w:val="00B5487D"/>
    <w:rsid w:val="00B549D1"/>
    <w:rsid w:val="00B54B5B"/>
    <w:rsid w:val="00B54EA6"/>
    <w:rsid w:val="00B55464"/>
    <w:rsid w:val="00B554DC"/>
    <w:rsid w:val="00B554EA"/>
    <w:rsid w:val="00B554F9"/>
    <w:rsid w:val="00B5562E"/>
    <w:rsid w:val="00B55C23"/>
    <w:rsid w:val="00B55D65"/>
    <w:rsid w:val="00B57000"/>
    <w:rsid w:val="00B575CC"/>
    <w:rsid w:val="00B601E2"/>
    <w:rsid w:val="00B606EC"/>
    <w:rsid w:val="00B607AA"/>
    <w:rsid w:val="00B60939"/>
    <w:rsid w:val="00B60AFD"/>
    <w:rsid w:val="00B60F4D"/>
    <w:rsid w:val="00B615CD"/>
    <w:rsid w:val="00B6161A"/>
    <w:rsid w:val="00B617CA"/>
    <w:rsid w:val="00B62715"/>
    <w:rsid w:val="00B632A9"/>
    <w:rsid w:val="00B63C06"/>
    <w:rsid w:val="00B641D1"/>
    <w:rsid w:val="00B646BA"/>
    <w:rsid w:val="00B648FA"/>
    <w:rsid w:val="00B64E52"/>
    <w:rsid w:val="00B65413"/>
    <w:rsid w:val="00B65611"/>
    <w:rsid w:val="00B6616D"/>
    <w:rsid w:val="00B66D40"/>
    <w:rsid w:val="00B67125"/>
    <w:rsid w:val="00B67EA4"/>
    <w:rsid w:val="00B7010A"/>
    <w:rsid w:val="00B702DE"/>
    <w:rsid w:val="00B70E8E"/>
    <w:rsid w:val="00B71175"/>
    <w:rsid w:val="00B713A4"/>
    <w:rsid w:val="00B719A5"/>
    <w:rsid w:val="00B71ED1"/>
    <w:rsid w:val="00B72378"/>
    <w:rsid w:val="00B729AA"/>
    <w:rsid w:val="00B72EE9"/>
    <w:rsid w:val="00B73A18"/>
    <w:rsid w:val="00B73A40"/>
    <w:rsid w:val="00B73BEC"/>
    <w:rsid w:val="00B73D4E"/>
    <w:rsid w:val="00B74C0C"/>
    <w:rsid w:val="00B74C64"/>
    <w:rsid w:val="00B75D06"/>
    <w:rsid w:val="00B75DD0"/>
    <w:rsid w:val="00B76A20"/>
    <w:rsid w:val="00B76C92"/>
    <w:rsid w:val="00B76EE1"/>
    <w:rsid w:val="00B77A30"/>
    <w:rsid w:val="00B77C6E"/>
    <w:rsid w:val="00B80E46"/>
    <w:rsid w:val="00B81219"/>
    <w:rsid w:val="00B818A4"/>
    <w:rsid w:val="00B82010"/>
    <w:rsid w:val="00B823E5"/>
    <w:rsid w:val="00B8261D"/>
    <w:rsid w:val="00B82BFA"/>
    <w:rsid w:val="00B83624"/>
    <w:rsid w:val="00B83ADE"/>
    <w:rsid w:val="00B83EE3"/>
    <w:rsid w:val="00B84117"/>
    <w:rsid w:val="00B84EBC"/>
    <w:rsid w:val="00B856EF"/>
    <w:rsid w:val="00B858F0"/>
    <w:rsid w:val="00B85AA2"/>
    <w:rsid w:val="00B85B0C"/>
    <w:rsid w:val="00B85B53"/>
    <w:rsid w:val="00B85D47"/>
    <w:rsid w:val="00B85FFD"/>
    <w:rsid w:val="00B86123"/>
    <w:rsid w:val="00B8638F"/>
    <w:rsid w:val="00B8649C"/>
    <w:rsid w:val="00B8695D"/>
    <w:rsid w:val="00B86F53"/>
    <w:rsid w:val="00B86F82"/>
    <w:rsid w:val="00B87633"/>
    <w:rsid w:val="00B87721"/>
    <w:rsid w:val="00B87EB3"/>
    <w:rsid w:val="00B87F0A"/>
    <w:rsid w:val="00B90290"/>
    <w:rsid w:val="00B90358"/>
    <w:rsid w:val="00B907B4"/>
    <w:rsid w:val="00B90852"/>
    <w:rsid w:val="00B90C7E"/>
    <w:rsid w:val="00B91586"/>
    <w:rsid w:val="00B91A96"/>
    <w:rsid w:val="00B91BB9"/>
    <w:rsid w:val="00B92923"/>
    <w:rsid w:val="00B92D0B"/>
    <w:rsid w:val="00B934C5"/>
    <w:rsid w:val="00B93E8C"/>
    <w:rsid w:val="00B94040"/>
    <w:rsid w:val="00B94400"/>
    <w:rsid w:val="00B944E7"/>
    <w:rsid w:val="00B94945"/>
    <w:rsid w:val="00B94DD6"/>
    <w:rsid w:val="00B95029"/>
    <w:rsid w:val="00B9547D"/>
    <w:rsid w:val="00B9567D"/>
    <w:rsid w:val="00B95682"/>
    <w:rsid w:val="00B95EF1"/>
    <w:rsid w:val="00B96392"/>
    <w:rsid w:val="00B96CAF"/>
    <w:rsid w:val="00B96FE9"/>
    <w:rsid w:val="00B971B3"/>
    <w:rsid w:val="00B97629"/>
    <w:rsid w:val="00BA055E"/>
    <w:rsid w:val="00BA0C30"/>
    <w:rsid w:val="00BA1B62"/>
    <w:rsid w:val="00BA212A"/>
    <w:rsid w:val="00BA258A"/>
    <w:rsid w:val="00BA2E7F"/>
    <w:rsid w:val="00BA2EA6"/>
    <w:rsid w:val="00BA2F82"/>
    <w:rsid w:val="00BA30C9"/>
    <w:rsid w:val="00BA322D"/>
    <w:rsid w:val="00BA406C"/>
    <w:rsid w:val="00BA417A"/>
    <w:rsid w:val="00BA44AC"/>
    <w:rsid w:val="00BA4F96"/>
    <w:rsid w:val="00BA5227"/>
    <w:rsid w:val="00BA5453"/>
    <w:rsid w:val="00BA58F1"/>
    <w:rsid w:val="00BA5CC7"/>
    <w:rsid w:val="00BA63FA"/>
    <w:rsid w:val="00BA669A"/>
    <w:rsid w:val="00BA6718"/>
    <w:rsid w:val="00BA76EE"/>
    <w:rsid w:val="00BB007B"/>
    <w:rsid w:val="00BB00B3"/>
    <w:rsid w:val="00BB0BDD"/>
    <w:rsid w:val="00BB0F21"/>
    <w:rsid w:val="00BB0F7F"/>
    <w:rsid w:val="00BB176C"/>
    <w:rsid w:val="00BB1941"/>
    <w:rsid w:val="00BB2A73"/>
    <w:rsid w:val="00BB2C5C"/>
    <w:rsid w:val="00BB2E23"/>
    <w:rsid w:val="00BB2E3A"/>
    <w:rsid w:val="00BB30EC"/>
    <w:rsid w:val="00BB32C6"/>
    <w:rsid w:val="00BB360C"/>
    <w:rsid w:val="00BB3A45"/>
    <w:rsid w:val="00BB3AC6"/>
    <w:rsid w:val="00BB430E"/>
    <w:rsid w:val="00BB4396"/>
    <w:rsid w:val="00BB4536"/>
    <w:rsid w:val="00BB4ACC"/>
    <w:rsid w:val="00BB4F92"/>
    <w:rsid w:val="00BB4FE3"/>
    <w:rsid w:val="00BB575D"/>
    <w:rsid w:val="00BB5AC0"/>
    <w:rsid w:val="00BB5F3D"/>
    <w:rsid w:val="00BB6FE7"/>
    <w:rsid w:val="00BB703E"/>
    <w:rsid w:val="00BB7097"/>
    <w:rsid w:val="00BB732D"/>
    <w:rsid w:val="00BB7405"/>
    <w:rsid w:val="00BB7A61"/>
    <w:rsid w:val="00BC0247"/>
    <w:rsid w:val="00BC028A"/>
    <w:rsid w:val="00BC0DDF"/>
    <w:rsid w:val="00BC242C"/>
    <w:rsid w:val="00BC274D"/>
    <w:rsid w:val="00BC2BE8"/>
    <w:rsid w:val="00BC3631"/>
    <w:rsid w:val="00BC36DE"/>
    <w:rsid w:val="00BC3D83"/>
    <w:rsid w:val="00BC4624"/>
    <w:rsid w:val="00BC48A6"/>
    <w:rsid w:val="00BC581B"/>
    <w:rsid w:val="00BC591F"/>
    <w:rsid w:val="00BC6255"/>
    <w:rsid w:val="00BC6A88"/>
    <w:rsid w:val="00BC6DA8"/>
    <w:rsid w:val="00BC754C"/>
    <w:rsid w:val="00BC7D6D"/>
    <w:rsid w:val="00BD03F1"/>
    <w:rsid w:val="00BD0D30"/>
    <w:rsid w:val="00BD0DF0"/>
    <w:rsid w:val="00BD0E2F"/>
    <w:rsid w:val="00BD1190"/>
    <w:rsid w:val="00BD2108"/>
    <w:rsid w:val="00BD2757"/>
    <w:rsid w:val="00BD29FE"/>
    <w:rsid w:val="00BD3285"/>
    <w:rsid w:val="00BD378C"/>
    <w:rsid w:val="00BD3C7B"/>
    <w:rsid w:val="00BD3D4B"/>
    <w:rsid w:val="00BD406F"/>
    <w:rsid w:val="00BD4239"/>
    <w:rsid w:val="00BD4531"/>
    <w:rsid w:val="00BD484A"/>
    <w:rsid w:val="00BD48C4"/>
    <w:rsid w:val="00BD6045"/>
    <w:rsid w:val="00BD6625"/>
    <w:rsid w:val="00BD68A3"/>
    <w:rsid w:val="00BD6938"/>
    <w:rsid w:val="00BD6B02"/>
    <w:rsid w:val="00BD6CF3"/>
    <w:rsid w:val="00BD6E84"/>
    <w:rsid w:val="00BD7685"/>
    <w:rsid w:val="00BE03D2"/>
    <w:rsid w:val="00BE0BAA"/>
    <w:rsid w:val="00BE0ECA"/>
    <w:rsid w:val="00BE1734"/>
    <w:rsid w:val="00BE2180"/>
    <w:rsid w:val="00BE21F2"/>
    <w:rsid w:val="00BE383E"/>
    <w:rsid w:val="00BE414E"/>
    <w:rsid w:val="00BE41A1"/>
    <w:rsid w:val="00BE4275"/>
    <w:rsid w:val="00BE4814"/>
    <w:rsid w:val="00BE559C"/>
    <w:rsid w:val="00BE57F3"/>
    <w:rsid w:val="00BE6128"/>
    <w:rsid w:val="00BE63C3"/>
    <w:rsid w:val="00BE651D"/>
    <w:rsid w:val="00BE7835"/>
    <w:rsid w:val="00BE7E72"/>
    <w:rsid w:val="00BF0222"/>
    <w:rsid w:val="00BF06AE"/>
    <w:rsid w:val="00BF0776"/>
    <w:rsid w:val="00BF0B6C"/>
    <w:rsid w:val="00BF0F95"/>
    <w:rsid w:val="00BF1461"/>
    <w:rsid w:val="00BF14E7"/>
    <w:rsid w:val="00BF193E"/>
    <w:rsid w:val="00BF1E9F"/>
    <w:rsid w:val="00BF201B"/>
    <w:rsid w:val="00BF22F2"/>
    <w:rsid w:val="00BF2433"/>
    <w:rsid w:val="00BF30CD"/>
    <w:rsid w:val="00BF314B"/>
    <w:rsid w:val="00BF3414"/>
    <w:rsid w:val="00BF3652"/>
    <w:rsid w:val="00BF4033"/>
    <w:rsid w:val="00BF4439"/>
    <w:rsid w:val="00BF4EF4"/>
    <w:rsid w:val="00BF5345"/>
    <w:rsid w:val="00BF56EF"/>
    <w:rsid w:val="00BF61C9"/>
    <w:rsid w:val="00BF6497"/>
    <w:rsid w:val="00BF6558"/>
    <w:rsid w:val="00BF6C94"/>
    <w:rsid w:val="00BF7ADA"/>
    <w:rsid w:val="00BF7B39"/>
    <w:rsid w:val="00C00424"/>
    <w:rsid w:val="00C01D79"/>
    <w:rsid w:val="00C022D6"/>
    <w:rsid w:val="00C0249A"/>
    <w:rsid w:val="00C0278C"/>
    <w:rsid w:val="00C02C63"/>
    <w:rsid w:val="00C02FC1"/>
    <w:rsid w:val="00C03622"/>
    <w:rsid w:val="00C04381"/>
    <w:rsid w:val="00C04533"/>
    <w:rsid w:val="00C048DA"/>
    <w:rsid w:val="00C0547F"/>
    <w:rsid w:val="00C06720"/>
    <w:rsid w:val="00C06AB2"/>
    <w:rsid w:val="00C06B5F"/>
    <w:rsid w:val="00C070C8"/>
    <w:rsid w:val="00C075AA"/>
    <w:rsid w:val="00C0767B"/>
    <w:rsid w:val="00C078F8"/>
    <w:rsid w:val="00C07953"/>
    <w:rsid w:val="00C07FDE"/>
    <w:rsid w:val="00C10720"/>
    <w:rsid w:val="00C10896"/>
    <w:rsid w:val="00C1179F"/>
    <w:rsid w:val="00C11A46"/>
    <w:rsid w:val="00C12262"/>
    <w:rsid w:val="00C12C14"/>
    <w:rsid w:val="00C13299"/>
    <w:rsid w:val="00C14DB6"/>
    <w:rsid w:val="00C15E80"/>
    <w:rsid w:val="00C15F04"/>
    <w:rsid w:val="00C160E6"/>
    <w:rsid w:val="00C16247"/>
    <w:rsid w:val="00C174C5"/>
    <w:rsid w:val="00C179B3"/>
    <w:rsid w:val="00C17E3F"/>
    <w:rsid w:val="00C200AA"/>
    <w:rsid w:val="00C20572"/>
    <w:rsid w:val="00C20EC6"/>
    <w:rsid w:val="00C20F48"/>
    <w:rsid w:val="00C21369"/>
    <w:rsid w:val="00C21DFF"/>
    <w:rsid w:val="00C22184"/>
    <w:rsid w:val="00C2276D"/>
    <w:rsid w:val="00C22A91"/>
    <w:rsid w:val="00C2365E"/>
    <w:rsid w:val="00C237C5"/>
    <w:rsid w:val="00C237ED"/>
    <w:rsid w:val="00C24065"/>
    <w:rsid w:val="00C24632"/>
    <w:rsid w:val="00C2495E"/>
    <w:rsid w:val="00C25418"/>
    <w:rsid w:val="00C256E0"/>
    <w:rsid w:val="00C2580C"/>
    <w:rsid w:val="00C25B1A"/>
    <w:rsid w:val="00C25D9C"/>
    <w:rsid w:val="00C2724A"/>
    <w:rsid w:val="00C27340"/>
    <w:rsid w:val="00C27341"/>
    <w:rsid w:val="00C2778B"/>
    <w:rsid w:val="00C27FF8"/>
    <w:rsid w:val="00C302D7"/>
    <w:rsid w:val="00C30777"/>
    <w:rsid w:val="00C30808"/>
    <w:rsid w:val="00C30842"/>
    <w:rsid w:val="00C30A63"/>
    <w:rsid w:val="00C30BFA"/>
    <w:rsid w:val="00C31115"/>
    <w:rsid w:val="00C31649"/>
    <w:rsid w:val="00C3253B"/>
    <w:rsid w:val="00C329E0"/>
    <w:rsid w:val="00C32B89"/>
    <w:rsid w:val="00C32C89"/>
    <w:rsid w:val="00C33482"/>
    <w:rsid w:val="00C33A29"/>
    <w:rsid w:val="00C33AD1"/>
    <w:rsid w:val="00C33CBF"/>
    <w:rsid w:val="00C3434C"/>
    <w:rsid w:val="00C348B9"/>
    <w:rsid w:val="00C34946"/>
    <w:rsid w:val="00C349C2"/>
    <w:rsid w:val="00C34CFC"/>
    <w:rsid w:val="00C3548C"/>
    <w:rsid w:val="00C35678"/>
    <w:rsid w:val="00C35953"/>
    <w:rsid w:val="00C35CB7"/>
    <w:rsid w:val="00C35F63"/>
    <w:rsid w:val="00C36491"/>
    <w:rsid w:val="00C366C6"/>
    <w:rsid w:val="00C36F70"/>
    <w:rsid w:val="00C40385"/>
    <w:rsid w:val="00C40957"/>
    <w:rsid w:val="00C41768"/>
    <w:rsid w:val="00C417DF"/>
    <w:rsid w:val="00C42690"/>
    <w:rsid w:val="00C426F4"/>
    <w:rsid w:val="00C43668"/>
    <w:rsid w:val="00C43B2A"/>
    <w:rsid w:val="00C4428E"/>
    <w:rsid w:val="00C447DA"/>
    <w:rsid w:val="00C4592E"/>
    <w:rsid w:val="00C45B40"/>
    <w:rsid w:val="00C4669A"/>
    <w:rsid w:val="00C46917"/>
    <w:rsid w:val="00C470AB"/>
    <w:rsid w:val="00C475AA"/>
    <w:rsid w:val="00C47B91"/>
    <w:rsid w:val="00C50374"/>
    <w:rsid w:val="00C503A7"/>
    <w:rsid w:val="00C50477"/>
    <w:rsid w:val="00C50847"/>
    <w:rsid w:val="00C51B55"/>
    <w:rsid w:val="00C51FF3"/>
    <w:rsid w:val="00C522E9"/>
    <w:rsid w:val="00C526D4"/>
    <w:rsid w:val="00C53C98"/>
    <w:rsid w:val="00C54522"/>
    <w:rsid w:val="00C54531"/>
    <w:rsid w:val="00C546F6"/>
    <w:rsid w:val="00C54C0C"/>
    <w:rsid w:val="00C5529D"/>
    <w:rsid w:val="00C55BFC"/>
    <w:rsid w:val="00C55D81"/>
    <w:rsid w:val="00C56C3E"/>
    <w:rsid w:val="00C56C58"/>
    <w:rsid w:val="00C56D7D"/>
    <w:rsid w:val="00C56FCF"/>
    <w:rsid w:val="00C578B7"/>
    <w:rsid w:val="00C57B6C"/>
    <w:rsid w:val="00C6082C"/>
    <w:rsid w:val="00C60CE6"/>
    <w:rsid w:val="00C6134A"/>
    <w:rsid w:val="00C614B8"/>
    <w:rsid w:val="00C61BF2"/>
    <w:rsid w:val="00C623AE"/>
    <w:rsid w:val="00C6268F"/>
    <w:rsid w:val="00C628A6"/>
    <w:rsid w:val="00C63B91"/>
    <w:rsid w:val="00C63F8A"/>
    <w:rsid w:val="00C64344"/>
    <w:rsid w:val="00C643AB"/>
    <w:rsid w:val="00C64400"/>
    <w:rsid w:val="00C64EEA"/>
    <w:rsid w:val="00C65094"/>
    <w:rsid w:val="00C65108"/>
    <w:rsid w:val="00C65576"/>
    <w:rsid w:val="00C657AA"/>
    <w:rsid w:val="00C65E03"/>
    <w:rsid w:val="00C66165"/>
    <w:rsid w:val="00C66A37"/>
    <w:rsid w:val="00C66C44"/>
    <w:rsid w:val="00C67405"/>
    <w:rsid w:val="00C67A75"/>
    <w:rsid w:val="00C705A9"/>
    <w:rsid w:val="00C7060A"/>
    <w:rsid w:val="00C70650"/>
    <w:rsid w:val="00C710FF"/>
    <w:rsid w:val="00C7136D"/>
    <w:rsid w:val="00C7151A"/>
    <w:rsid w:val="00C717E3"/>
    <w:rsid w:val="00C71B69"/>
    <w:rsid w:val="00C71F60"/>
    <w:rsid w:val="00C72241"/>
    <w:rsid w:val="00C72784"/>
    <w:rsid w:val="00C734D8"/>
    <w:rsid w:val="00C73570"/>
    <w:rsid w:val="00C7465E"/>
    <w:rsid w:val="00C74A85"/>
    <w:rsid w:val="00C74AAF"/>
    <w:rsid w:val="00C74E9C"/>
    <w:rsid w:val="00C750C8"/>
    <w:rsid w:val="00C7560F"/>
    <w:rsid w:val="00C7567F"/>
    <w:rsid w:val="00C75FA4"/>
    <w:rsid w:val="00C763FB"/>
    <w:rsid w:val="00C7701D"/>
    <w:rsid w:val="00C8009A"/>
    <w:rsid w:val="00C8056F"/>
    <w:rsid w:val="00C80800"/>
    <w:rsid w:val="00C80A0E"/>
    <w:rsid w:val="00C81697"/>
    <w:rsid w:val="00C81AA4"/>
    <w:rsid w:val="00C820B1"/>
    <w:rsid w:val="00C8213F"/>
    <w:rsid w:val="00C82323"/>
    <w:rsid w:val="00C827EF"/>
    <w:rsid w:val="00C82E78"/>
    <w:rsid w:val="00C838B7"/>
    <w:rsid w:val="00C84236"/>
    <w:rsid w:val="00C84548"/>
    <w:rsid w:val="00C847F8"/>
    <w:rsid w:val="00C85154"/>
    <w:rsid w:val="00C852CD"/>
    <w:rsid w:val="00C861BA"/>
    <w:rsid w:val="00C8625F"/>
    <w:rsid w:val="00C86446"/>
    <w:rsid w:val="00C86F9E"/>
    <w:rsid w:val="00C87062"/>
    <w:rsid w:val="00C87575"/>
    <w:rsid w:val="00C8797A"/>
    <w:rsid w:val="00C87A7B"/>
    <w:rsid w:val="00C87C8D"/>
    <w:rsid w:val="00C87CFB"/>
    <w:rsid w:val="00C87FA9"/>
    <w:rsid w:val="00C900B8"/>
    <w:rsid w:val="00C9032D"/>
    <w:rsid w:val="00C90C71"/>
    <w:rsid w:val="00C9150B"/>
    <w:rsid w:val="00C91AF6"/>
    <w:rsid w:val="00C91FD1"/>
    <w:rsid w:val="00C91FED"/>
    <w:rsid w:val="00C92186"/>
    <w:rsid w:val="00C92A34"/>
    <w:rsid w:val="00C92BF2"/>
    <w:rsid w:val="00C93001"/>
    <w:rsid w:val="00C931CF"/>
    <w:rsid w:val="00C934E7"/>
    <w:rsid w:val="00C9357F"/>
    <w:rsid w:val="00C938CF"/>
    <w:rsid w:val="00C93A9B"/>
    <w:rsid w:val="00C93B71"/>
    <w:rsid w:val="00C93F73"/>
    <w:rsid w:val="00C94053"/>
    <w:rsid w:val="00C950F9"/>
    <w:rsid w:val="00C95CD2"/>
    <w:rsid w:val="00C9624D"/>
    <w:rsid w:val="00C969DA"/>
    <w:rsid w:val="00C96B7A"/>
    <w:rsid w:val="00C96DE2"/>
    <w:rsid w:val="00C9730C"/>
    <w:rsid w:val="00C9733B"/>
    <w:rsid w:val="00C97806"/>
    <w:rsid w:val="00C97BB0"/>
    <w:rsid w:val="00CA0058"/>
    <w:rsid w:val="00CA020F"/>
    <w:rsid w:val="00CA0232"/>
    <w:rsid w:val="00CA0527"/>
    <w:rsid w:val="00CA07DB"/>
    <w:rsid w:val="00CA0934"/>
    <w:rsid w:val="00CA121E"/>
    <w:rsid w:val="00CA1A3B"/>
    <w:rsid w:val="00CA1F51"/>
    <w:rsid w:val="00CA2329"/>
    <w:rsid w:val="00CA2356"/>
    <w:rsid w:val="00CA24B2"/>
    <w:rsid w:val="00CA26E9"/>
    <w:rsid w:val="00CA2C77"/>
    <w:rsid w:val="00CA30F5"/>
    <w:rsid w:val="00CA3264"/>
    <w:rsid w:val="00CA384A"/>
    <w:rsid w:val="00CA3C0B"/>
    <w:rsid w:val="00CA3D79"/>
    <w:rsid w:val="00CA3FE2"/>
    <w:rsid w:val="00CA4369"/>
    <w:rsid w:val="00CA444F"/>
    <w:rsid w:val="00CA4BFB"/>
    <w:rsid w:val="00CA50A8"/>
    <w:rsid w:val="00CA5245"/>
    <w:rsid w:val="00CA5FB8"/>
    <w:rsid w:val="00CA5FFD"/>
    <w:rsid w:val="00CA6085"/>
    <w:rsid w:val="00CA71F4"/>
    <w:rsid w:val="00CA762A"/>
    <w:rsid w:val="00CA77CC"/>
    <w:rsid w:val="00CA7B09"/>
    <w:rsid w:val="00CB0012"/>
    <w:rsid w:val="00CB0230"/>
    <w:rsid w:val="00CB03FD"/>
    <w:rsid w:val="00CB06A2"/>
    <w:rsid w:val="00CB0735"/>
    <w:rsid w:val="00CB0946"/>
    <w:rsid w:val="00CB0D0A"/>
    <w:rsid w:val="00CB12A5"/>
    <w:rsid w:val="00CB1CAC"/>
    <w:rsid w:val="00CB21D2"/>
    <w:rsid w:val="00CB244C"/>
    <w:rsid w:val="00CB2977"/>
    <w:rsid w:val="00CB2BE9"/>
    <w:rsid w:val="00CB2F2A"/>
    <w:rsid w:val="00CB3375"/>
    <w:rsid w:val="00CB480F"/>
    <w:rsid w:val="00CB5357"/>
    <w:rsid w:val="00CB55FB"/>
    <w:rsid w:val="00CB594D"/>
    <w:rsid w:val="00CB5B1A"/>
    <w:rsid w:val="00CB6B22"/>
    <w:rsid w:val="00CB6C33"/>
    <w:rsid w:val="00CB6FE3"/>
    <w:rsid w:val="00CB7F5F"/>
    <w:rsid w:val="00CC01BF"/>
    <w:rsid w:val="00CC0DFE"/>
    <w:rsid w:val="00CC1B39"/>
    <w:rsid w:val="00CC1C44"/>
    <w:rsid w:val="00CC1D76"/>
    <w:rsid w:val="00CC2452"/>
    <w:rsid w:val="00CC2954"/>
    <w:rsid w:val="00CC2FDD"/>
    <w:rsid w:val="00CC35EA"/>
    <w:rsid w:val="00CC3848"/>
    <w:rsid w:val="00CC39FD"/>
    <w:rsid w:val="00CC3A9F"/>
    <w:rsid w:val="00CC456F"/>
    <w:rsid w:val="00CC5088"/>
    <w:rsid w:val="00CC5A74"/>
    <w:rsid w:val="00CC5D31"/>
    <w:rsid w:val="00CC5D6E"/>
    <w:rsid w:val="00CC63EB"/>
    <w:rsid w:val="00CC643B"/>
    <w:rsid w:val="00CC6532"/>
    <w:rsid w:val="00CC6946"/>
    <w:rsid w:val="00CC6CBA"/>
    <w:rsid w:val="00CC7874"/>
    <w:rsid w:val="00CC78A1"/>
    <w:rsid w:val="00CC7DCD"/>
    <w:rsid w:val="00CD0241"/>
    <w:rsid w:val="00CD0814"/>
    <w:rsid w:val="00CD091D"/>
    <w:rsid w:val="00CD0C3E"/>
    <w:rsid w:val="00CD0C4C"/>
    <w:rsid w:val="00CD0E82"/>
    <w:rsid w:val="00CD0F20"/>
    <w:rsid w:val="00CD107F"/>
    <w:rsid w:val="00CD1FE1"/>
    <w:rsid w:val="00CD1FF1"/>
    <w:rsid w:val="00CD23FF"/>
    <w:rsid w:val="00CD283C"/>
    <w:rsid w:val="00CD2B25"/>
    <w:rsid w:val="00CD2D5A"/>
    <w:rsid w:val="00CD3185"/>
    <w:rsid w:val="00CD3664"/>
    <w:rsid w:val="00CD3A8C"/>
    <w:rsid w:val="00CD3F77"/>
    <w:rsid w:val="00CD4443"/>
    <w:rsid w:val="00CD5D25"/>
    <w:rsid w:val="00CD6ADC"/>
    <w:rsid w:val="00CD6C35"/>
    <w:rsid w:val="00CD6F73"/>
    <w:rsid w:val="00CD7193"/>
    <w:rsid w:val="00CD7286"/>
    <w:rsid w:val="00CD7566"/>
    <w:rsid w:val="00CD7830"/>
    <w:rsid w:val="00CD7A45"/>
    <w:rsid w:val="00CD7AE0"/>
    <w:rsid w:val="00CE0DC0"/>
    <w:rsid w:val="00CE17F7"/>
    <w:rsid w:val="00CE1C6E"/>
    <w:rsid w:val="00CE1D36"/>
    <w:rsid w:val="00CE1E31"/>
    <w:rsid w:val="00CE1FE1"/>
    <w:rsid w:val="00CE22C6"/>
    <w:rsid w:val="00CE3175"/>
    <w:rsid w:val="00CE3334"/>
    <w:rsid w:val="00CE3895"/>
    <w:rsid w:val="00CE38C8"/>
    <w:rsid w:val="00CE3DA9"/>
    <w:rsid w:val="00CE47EF"/>
    <w:rsid w:val="00CE4821"/>
    <w:rsid w:val="00CE4B6F"/>
    <w:rsid w:val="00CE6274"/>
    <w:rsid w:val="00CE67DB"/>
    <w:rsid w:val="00CE6EC7"/>
    <w:rsid w:val="00CE76EE"/>
    <w:rsid w:val="00CE76FF"/>
    <w:rsid w:val="00CE77B6"/>
    <w:rsid w:val="00CE783E"/>
    <w:rsid w:val="00CE79B8"/>
    <w:rsid w:val="00CF05C1"/>
    <w:rsid w:val="00CF1393"/>
    <w:rsid w:val="00CF19A6"/>
    <w:rsid w:val="00CF1ACB"/>
    <w:rsid w:val="00CF1CFC"/>
    <w:rsid w:val="00CF2690"/>
    <w:rsid w:val="00CF2A61"/>
    <w:rsid w:val="00CF2B8D"/>
    <w:rsid w:val="00CF34ED"/>
    <w:rsid w:val="00CF3A59"/>
    <w:rsid w:val="00CF456B"/>
    <w:rsid w:val="00CF4794"/>
    <w:rsid w:val="00CF52AB"/>
    <w:rsid w:val="00CF564B"/>
    <w:rsid w:val="00CF5676"/>
    <w:rsid w:val="00CF581B"/>
    <w:rsid w:val="00CF59E1"/>
    <w:rsid w:val="00CF5A22"/>
    <w:rsid w:val="00CF6CDB"/>
    <w:rsid w:val="00CF6E0A"/>
    <w:rsid w:val="00CF70E7"/>
    <w:rsid w:val="00CF733E"/>
    <w:rsid w:val="00CF76DF"/>
    <w:rsid w:val="00CF7C3F"/>
    <w:rsid w:val="00CF7DD9"/>
    <w:rsid w:val="00D007DA"/>
    <w:rsid w:val="00D00C49"/>
    <w:rsid w:val="00D0128D"/>
    <w:rsid w:val="00D01CE3"/>
    <w:rsid w:val="00D0262E"/>
    <w:rsid w:val="00D034D6"/>
    <w:rsid w:val="00D0361D"/>
    <w:rsid w:val="00D03A6D"/>
    <w:rsid w:val="00D0429E"/>
    <w:rsid w:val="00D05520"/>
    <w:rsid w:val="00D0597A"/>
    <w:rsid w:val="00D05C02"/>
    <w:rsid w:val="00D05E3D"/>
    <w:rsid w:val="00D05F29"/>
    <w:rsid w:val="00D06139"/>
    <w:rsid w:val="00D06B6B"/>
    <w:rsid w:val="00D06DFF"/>
    <w:rsid w:val="00D06EBD"/>
    <w:rsid w:val="00D071CA"/>
    <w:rsid w:val="00D07327"/>
    <w:rsid w:val="00D07A44"/>
    <w:rsid w:val="00D07C13"/>
    <w:rsid w:val="00D07FE3"/>
    <w:rsid w:val="00D10491"/>
    <w:rsid w:val="00D110BA"/>
    <w:rsid w:val="00D110BD"/>
    <w:rsid w:val="00D111DA"/>
    <w:rsid w:val="00D11442"/>
    <w:rsid w:val="00D116BE"/>
    <w:rsid w:val="00D11A4A"/>
    <w:rsid w:val="00D11A76"/>
    <w:rsid w:val="00D11AC4"/>
    <w:rsid w:val="00D12486"/>
    <w:rsid w:val="00D12B83"/>
    <w:rsid w:val="00D13675"/>
    <w:rsid w:val="00D13770"/>
    <w:rsid w:val="00D13818"/>
    <w:rsid w:val="00D13B78"/>
    <w:rsid w:val="00D141E1"/>
    <w:rsid w:val="00D1450C"/>
    <w:rsid w:val="00D14EF2"/>
    <w:rsid w:val="00D150F4"/>
    <w:rsid w:val="00D15314"/>
    <w:rsid w:val="00D156AC"/>
    <w:rsid w:val="00D173C5"/>
    <w:rsid w:val="00D1785A"/>
    <w:rsid w:val="00D17D6C"/>
    <w:rsid w:val="00D2041B"/>
    <w:rsid w:val="00D21056"/>
    <w:rsid w:val="00D2155B"/>
    <w:rsid w:val="00D21AE2"/>
    <w:rsid w:val="00D2298A"/>
    <w:rsid w:val="00D23C2B"/>
    <w:rsid w:val="00D23D11"/>
    <w:rsid w:val="00D2442C"/>
    <w:rsid w:val="00D244B6"/>
    <w:rsid w:val="00D2493C"/>
    <w:rsid w:val="00D25176"/>
    <w:rsid w:val="00D25613"/>
    <w:rsid w:val="00D25940"/>
    <w:rsid w:val="00D25DB6"/>
    <w:rsid w:val="00D26E89"/>
    <w:rsid w:val="00D2754D"/>
    <w:rsid w:val="00D27A0F"/>
    <w:rsid w:val="00D27B27"/>
    <w:rsid w:val="00D30361"/>
    <w:rsid w:val="00D308A3"/>
    <w:rsid w:val="00D30981"/>
    <w:rsid w:val="00D30EDE"/>
    <w:rsid w:val="00D3121E"/>
    <w:rsid w:val="00D3229A"/>
    <w:rsid w:val="00D33714"/>
    <w:rsid w:val="00D3385A"/>
    <w:rsid w:val="00D33BE9"/>
    <w:rsid w:val="00D33F93"/>
    <w:rsid w:val="00D33FE3"/>
    <w:rsid w:val="00D34403"/>
    <w:rsid w:val="00D34889"/>
    <w:rsid w:val="00D34DF7"/>
    <w:rsid w:val="00D34F67"/>
    <w:rsid w:val="00D3533D"/>
    <w:rsid w:val="00D355DD"/>
    <w:rsid w:val="00D357FF"/>
    <w:rsid w:val="00D3597A"/>
    <w:rsid w:val="00D368E6"/>
    <w:rsid w:val="00D3741E"/>
    <w:rsid w:val="00D37799"/>
    <w:rsid w:val="00D37D14"/>
    <w:rsid w:val="00D40A53"/>
    <w:rsid w:val="00D424C7"/>
    <w:rsid w:val="00D434D2"/>
    <w:rsid w:val="00D43B2A"/>
    <w:rsid w:val="00D43D83"/>
    <w:rsid w:val="00D44660"/>
    <w:rsid w:val="00D44EF8"/>
    <w:rsid w:val="00D44F68"/>
    <w:rsid w:val="00D4527F"/>
    <w:rsid w:val="00D455CC"/>
    <w:rsid w:val="00D45BCE"/>
    <w:rsid w:val="00D47575"/>
    <w:rsid w:val="00D479D0"/>
    <w:rsid w:val="00D47D59"/>
    <w:rsid w:val="00D47DC6"/>
    <w:rsid w:val="00D502C4"/>
    <w:rsid w:val="00D5120B"/>
    <w:rsid w:val="00D517F1"/>
    <w:rsid w:val="00D51CA8"/>
    <w:rsid w:val="00D5222B"/>
    <w:rsid w:val="00D522D0"/>
    <w:rsid w:val="00D5243B"/>
    <w:rsid w:val="00D525A8"/>
    <w:rsid w:val="00D526D2"/>
    <w:rsid w:val="00D527BE"/>
    <w:rsid w:val="00D528A2"/>
    <w:rsid w:val="00D533EC"/>
    <w:rsid w:val="00D5357C"/>
    <w:rsid w:val="00D535D1"/>
    <w:rsid w:val="00D535DD"/>
    <w:rsid w:val="00D54E4C"/>
    <w:rsid w:val="00D54EB1"/>
    <w:rsid w:val="00D55019"/>
    <w:rsid w:val="00D55738"/>
    <w:rsid w:val="00D55BE3"/>
    <w:rsid w:val="00D55CB8"/>
    <w:rsid w:val="00D55DCE"/>
    <w:rsid w:val="00D56938"/>
    <w:rsid w:val="00D56A95"/>
    <w:rsid w:val="00D57AA7"/>
    <w:rsid w:val="00D57B4B"/>
    <w:rsid w:val="00D600F9"/>
    <w:rsid w:val="00D60E12"/>
    <w:rsid w:val="00D60E77"/>
    <w:rsid w:val="00D615A9"/>
    <w:rsid w:val="00D619A2"/>
    <w:rsid w:val="00D61AFF"/>
    <w:rsid w:val="00D62229"/>
    <w:rsid w:val="00D626A3"/>
    <w:rsid w:val="00D626DA"/>
    <w:rsid w:val="00D6296E"/>
    <w:rsid w:val="00D64AE1"/>
    <w:rsid w:val="00D64C16"/>
    <w:rsid w:val="00D6531E"/>
    <w:rsid w:val="00D6646F"/>
    <w:rsid w:val="00D6658B"/>
    <w:rsid w:val="00D6673A"/>
    <w:rsid w:val="00D66D34"/>
    <w:rsid w:val="00D66ECD"/>
    <w:rsid w:val="00D673B9"/>
    <w:rsid w:val="00D679C3"/>
    <w:rsid w:val="00D67B17"/>
    <w:rsid w:val="00D67CA0"/>
    <w:rsid w:val="00D70766"/>
    <w:rsid w:val="00D70F16"/>
    <w:rsid w:val="00D718E6"/>
    <w:rsid w:val="00D71BFB"/>
    <w:rsid w:val="00D720D9"/>
    <w:rsid w:val="00D7265A"/>
    <w:rsid w:val="00D72F57"/>
    <w:rsid w:val="00D73747"/>
    <w:rsid w:val="00D743A3"/>
    <w:rsid w:val="00D749CA"/>
    <w:rsid w:val="00D75699"/>
    <w:rsid w:val="00D7571F"/>
    <w:rsid w:val="00D75A01"/>
    <w:rsid w:val="00D75AE9"/>
    <w:rsid w:val="00D7606D"/>
    <w:rsid w:val="00D76A44"/>
    <w:rsid w:val="00D76C76"/>
    <w:rsid w:val="00D76E9D"/>
    <w:rsid w:val="00D76F71"/>
    <w:rsid w:val="00D76F98"/>
    <w:rsid w:val="00D77099"/>
    <w:rsid w:val="00D7742B"/>
    <w:rsid w:val="00D77C21"/>
    <w:rsid w:val="00D813B2"/>
    <w:rsid w:val="00D813B9"/>
    <w:rsid w:val="00D815EF"/>
    <w:rsid w:val="00D817FE"/>
    <w:rsid w:val="00D81C91"/>
    <w:rsid w:val="00D81F26"/>
    <w:rsid w:val="00D825CE"/>
    <w:rsid w:val="00D82616"/>
    <w:rsid w:val="00D829AA"/>
    <w:rsid w:val="00D82E9E"/>
    <w:rsid w:val="00D830E7"/>
    <w:rsid w:val="00D830F9"/>
    <w:rsid w:val="00D83931"/>
    <w:rsid w:val="00D83EE3"/>
    <w:rsid w:val="00D8425D"/>
    <w:rsid w:val="00D84AC7"/>
    <w:rsid w:val="00D84D0D"/>
    <w:rsid w:val="00D85F25"/>
    <w:rsid w:val="00D86231"/>
    <w:rsid w:val="00D867B3"/>
    <w:rsid w:val="00D87336"/>
    <w:rsid w:val="00D8769D"/>
    <w:rsid w:val="00D8772F"/>
    <w:rsid w:val="00D87D87"/>
    <w:rsid w:val="00D90955"/>
    <w:rsid w:val="00D909E8"/>
    <w:rsid w:val="00D90B6B"/>
    <w:rsid w:val="00D90C0D"/>
    <w:rsid w:val="00D90F7B"/>
    <w:rsid w:val="00D914A7"/>
    <w:rsid w:val="00D914AE"/>
    <w:rsid w:val="00D91923"/>
    <w:rsid w:val="00D91935"/>
    <w:rsid w:val="00D91997"/>
    <w:rsid w:val="00D929B5"/>
    <w:rsid w:val="00D92D05"/>
    <w:rsid w:val="00D933D3"/>
    <w:rsid w:val="00D9373D"/>
    <w:rsid w:val="00D93753"/>
    <w:rsid w:val="00D95112"/>
    <w:rsid w:val="00D95332"/>
    <w:rsid w:val="00D955DD"/>
    <w:rsid w:val="00D96470"/>
    <w:rsid w:val="00D965D5"/>
    <w:rsid w:val="00D96DD5"/>
    <w:rsid w:val="00D9728F"/>
    <w:rsid w:val="00D975CE"/>
    <w:rsid w:val="00DA06C1"/>
    <w:rsid w:val="00DA1252"/>
    <w:rsid w:val="00DA23A4"/>
    <w:rsid w:val="00DA2417"/>
    <w:rsid w:val="00DA2903"/>
    <w:rsid w:val="00DA3159"/>
    <w:rsid w:val="00DA3167"/>
    <w:rsid w:val="00DA35FA"/>
    <w:rsid w:val="00DA38CC"/>
    <w:rsid w:val="00DA45FB"/>
    <w:rsid w:val="00DA499E"/>
    <w:rsid w:val="00DA4DC3"/>
    <w:rsid w:val="00DA500C"/>
    <w:rsid w:val="00DA548A"/>
    <w:rsid w:val="00DA5538"/>
    <w:rsid w:val="00DA5787"/>
    <w:rsid w:val="00DA650C"/>
    <w:rsid w:val="00DA6B02"/>
    <w:rsid w:val="00DA7261"/>
    <w:rsid w:val="00DA72CC"/>
    <w:rsid w:val="00DA77A5"/>
    <w:rsid w:val="00DB0031"/>
    <w:rsid w:val="00DB00CC"/>
    <w:rsid w:val="00DB0D07"/>
    <w:rsid w:val="00DB1102"/>
    <w:rsid w:val="00DB3349"/>
    <w:rsid w:val="00DB3400"/>
    <w:rsid w:val="00DB3C7E"/>
    <w:rsid w:val="00DB3DBF"/>
    <w:rsid w:val="00DB43D6"/>
    <w:rsid w:val="00DB45FB"/>
    <w:rsid w:val="00DB484F"/>
    <w:rsid w:val="00DB4887"/>
    <w:rsid w:val="00DB4F9A"/>
    <w:rsid w:val="00DB5771"/>
    <w:rsid w:val="00DB5A3C"/>
    <w:rsid w:val="00DB649E"/>
    <w:rsid w:val="00DB65DA"/>
    <w:rsid w:val="00DB6BCF"/>
    <w:rsid w:val="00DB6FD1"/>
    <w:rsid w:val="00DB71B6"/>
    <w:rsid w:val="00DB7594"/>
    <w:rsid w:val="00DC0132"/>
    <w:rsid w:val="00DC03F7"/>
    <w:rsid w:val="00DC04F6"/>
    <w:rsid w:val="00DC0690"/>
    <w:rsid w:val="00DC073C"/>
    <w:rsid w:val="00DC0D5F"/>
    <w:rsid w:val="00DC1501"/>
    <w:rsid w:val="00DC1A11"/>
    <w:rsid w:val="00DC1D65"/>
    <w:rsid w:val="00DC1EFA"/>
    <w:rsid w:val="00DC1FD2"/>
    <w:rsid w:val="00DC2011"/>
    <w:rsid w:val="00DC34AE"/>
    <w:rsid w:val="00DC37F4"/>
    <w:rsid w:val="00DC396C"/>
    <w:rsid w:val="00DC3C57"/>
    <w:rsid w:val="00DC4CFE"/>
    <w:rsid w:val="00DC5501"/>
    <w:rsid w:val="00DC5E7D"/>
    <w:rsid w:val="00DC6A36"/>
    <w:rsid w:val="00DC6EB8"/>
    <w:rsid w:val="00DC7154"/>
    <w:rsid w:val="00DC7E8A"/>
    <w:rsid w:val="00DD0E1A"/>
    <w:rsid w:val="00DD0F78"/>
    <w:rsid w:val="00DD1519"/>
    <w:rsid w:val="00DD273C"/>
    <w:rsid w:val="00DD280D"/>
    <w:rsid w:val="00DD29AC"/>
    <w:rsid w:val="00DD2A20"/>
    <w:rsid w:val="00DD32D8"/>
    <w:rsid w:val="00DD3BA6"/>
    <w:rsid w:val="00DD3DD4"/>
    <w:rsid w:val="00DD3F28"/>
    <w:rsid w:val="00DD429A"/>
    <w:rsid w:val="00DD4537"/>
    <w:rsid w:val="00DD4E15"/>
    <w:rsid w:val="00DD508E"/>
    <w:rsid w:val="00DD5192"/>
    <w:rsid w:val="00DD51A0"/>
    <w:rsid w:val="00DD5B7A"/>
    <w:rsid w:val="00DD64EA"/>
    <w:rsid w:val="00DD7257"/>
    <w:rsid w:val="00DD756E"/>
    <w:rsid w:val="00DD799E"/>
    <w:rsid w:val="00DD7C55"/>
    <w:rsid w:val="00DE01E8"/>
    <w:rsid w:val="00DE0362"/>
    <w:rsid w:val="00DE0837"/>
    <w:rsid w:val="00DE08F2"/>
    <w:rsid w:val="00DE0D8D"/>
    <w:rsid w:val="00DE125D"/>
    <w:rsid w:val="00DE1583"/>
    <w:rsid w:val="00DE1C8D"/>
    <w:rsid w:val="00DE2304"/>
    <w:rsid w:val="00DE3138"/>
    <w:rsid w:val="00DE31BC"/>
    <w:rsid w:val="00DE37F8"/>
    <w:rsid w:val="00DE44B7"/>
    <w:rsid w:val="00DE49A6"/>
    <w:rsid w:val="00DE4FCB"/>
    <w:rsid w:val="00DE5136"/>
    <w:rsid w:val="00DE5551"/>
    <w:rsid w:val="00DE5D07"/>
    <w:rsid w:val="00DE5F85"/>
    <w:rsid w:val="00DE69C8"/>
    <w:rsid w:val="00DE6FB3"/>
    <w:rsid w:val="00DE72A7"/>
    <w:rsid w:val="00DE7832"/>
    <w:rsid w:val="00DE7BBB"/>
    <w:rsid w:val="00DF04EA"/>
    <w:rsid w:val="00DF06A6"/>
    <w:rsid w:val="00DF1466"/>
    <w:rsid w:val="00DF1791"/>
    <w:rsid w:val="00DF18FC"/>
    <w:rsid w:val="00DF286E"/>
    <w:rsid w:val="00DF3130"/>
    <w:rsid w:val="00DF31DF"/>
    <w:rsid w:val="00DF3E7A"/>
    <w:rsid w:val="00DF407A"/>
    <w:rsid w:val="00DF523C"/>
    <w:rsid w:val="00DF57A6"/>
    <w:rsid w:val="00DF57AE"/>
    <w:rsid w:val="00DF5BAA"/>
    <w:rsid w:val="00DF5D2B"/>
    <w:rsid w:val="00DF62E0"/>
    <w:rsid w:val="00DF7263"/>
    <w:rsid w:val="00E0020F"/>
    <w:rsid w:val="00E00686"/>
    <w:rsid w:val="00E00912"/>
    <w:rsid w:val="00E00C0F"/>
    <w:rsid w:val="00E00E8E"/>
    <w:rsid w:val="00E01080"/>
    <w:rsid w:val="00E01B91"/>
    <w:rsid w:val="00E01F3F"/>
    <w:rsid w:val="00E024EC"/>
    <w:rsid w:val="00E03424"/>
    <w:rsid w:val="00E03C5C"/>
    <w:rsid w:val="00E043B4"/>
    <w:rsid w:val="00E043EA"/>
    <w:rsid w:val="00E04B9C"/>
    <w:rsid w:val="00E04CFC"/>
    <w:rsid w:val="00E04D42"/>
    <w:rsid w:val="00E05630"/>
    <w:rsid w:val="00E061EE"/>
    <w:rsid w:val="00E06A7B"/>
    <w:rsid w:val="00E06DBB"/>
    <w:rsid w:val="00E10149"/>
    <w:rsid w:val="00E10B21"/>
    <w:rsid w:val="00E11340"/>
    <w:rsid w:val="00E11444"/>
    <w:rsid w:val="00E1167C"/>
    <w:rsid w:val="00E11CFC"/>
    <w:rsid w:val="00E122A1"/>
    <w:rsid w:val="00E122DF"/>
    <w:rsid w:val="00E1323B"/>
    <w:rsid w:val="00E13438"/>
    <w:rsid w:val="00E14C8D"/>
    <w:rsid w:val="00E154F3"/>
    <w:rsid w:val="00E15690"/>
    <w:rsid w:val="00E16372"/>
    <w:rsid w:val="00E1656D"/>
    <w:rsid w:val="00E17394"/>
    <w:rsid w:val="00E17A67"/>
    <w:rsid w:val="00E17BF3"/>
    <w:rsid w:val="00E20E4D"/>
    <w:rsid w:val="00E20ED6"/>
    <w:rsid w:val="00E21358"/>
    <w:rsid w:val="00E2148C"/>
    <w:rsid w:val="00E22315"/>
    <w:rsid w:val="00E223D2"/>
    <w:rsid w:val="00E2249B"/>
    <w:rsid w:val="00E224C8"/>
    <w:rsid w:val="00E22A0D"/>
    <w:rsid w:val="00E22AA7"/>
    <w:rsid w:val="00E23775"/>
    <w:rsid w:val="00E23814"/>
    <w:rsid w:val="00E244F6"/>
    <w:rsid w:val="00E2480C"/>
    <w:rsid w:val="00E24F20"/>
    <w:rsid w:val="00E251D5"/>
    <w:rsid w:val="00E25260"/>
    <w:rsid w:val="00E2621F"/>
    <w:rsid w:val="00E26461"/>
    <w:rsid w:val="00E264F1"/>
    <w:rsid w:val="00E2713B"/>
    <w:rsid w:val="00E27218"/>
    <w:rsid w:val="00E2746F"/>
    <w:rsid w:val="00E2771E"/>
    <w:rsid w:val="00E3005C"/>
    <w:rsid w:val="00E30304"/>
    <w:rsid w:val="00E30ECE"/>
    <w:rsid w:val="00E30F20"/>
    <w:rsid w:val="00E311EF"/>
    <w:rsid w:val="00E313D1"/>
    <w:rsid w:val="00E319DA"/>
    <w:rsid w:val="00E31FA1"/>
    <w:rsid w:val="00E32180"/>
    <w:rsid w:val="00E32C04"/>
    <w:rsid w:val="00E32D3B"/>
    <w:rsid w:val="00E32F7E"/>
    <w:rsid w:val="00E34422"/>
    <w:rsid w:val="00E34948"/>
    <w:rsid w:val="00E34CF8"/>
    <w:rsid w:val="00E351F6"/>
    <w:rsid w:val="00E3584A"/>
    <w:rsid w:val="00E35A05"/>
    <w:rsid w:val="00E3600F"/>
    <w:rsid w:val="00E3603D"/>
    <w:rsid w:val="00E36322"/>
    <w:rsid w:val="00E363E6"/>
    <w:rsid w:val="00E368F9"/>
    <w:rsid w:val="00E36BBB"/>
    <w:rsid w:val="00E37569"/>
    <w:rsid w:val="00E401B2"/>
    <w:rsid w:val="00E40A75"/>
    <w:rsid w:val="00E41BF0"/>
    <w:rsid w:val="00E41E30"/>
    <w:rsid w:val="00E422E2"/>
    <w:rsid w:val="00E42EAD"/>
    <w:rsid w:val="00E42F0F"/>
    <w:rsid w:val="00E42F73"/>
    <w:rsid w:val="00E43444"/>
    <w:rsid w:val="00E43903"/>
    <w:rsid w:val="00E43D70"/>
    <w:rsid w:val="00E442EA"/>
    <w:rsid w:val="00E4435D"/>
    <w:rsid w:val="00E4543C"/>
    <w:rsid w:val="00E45DE1"/>
    <w:rsid w:val="00E46166"/>
    <w:rsid w:val="00E466F3"/>
    <w:rsid w:val="00E468BB"/>
    <w:rsid w:val="00E47842"/>
    <w:rsid w:val="00E47A2D"/>
    <w:rsid w:val="00E47B2C"/>
    <w:rsid w:val="00E47DEA"/>
    <w:rsid w:val="00E5042A"/>
    <w:rsid w:val="00E505D8"/>
    <w:rsid w:val="00E50ABD"/>
    <w:rsid w:val="00E51456"/>
    <w:rsid w:val="00E51560"/>
    <w:rsid w:val="00E51C2E"/>
    <w:rsid w:val="00E52101"/>
    <w:rsid w:val="00E522C9"/>
    <w:rsid w:val="00E52C75"/>
    <w:rsid w:val="00E52E89"/>
    <w:rsid w:val="00E53D23"/>
    <w:rsid w:val="00E53F69"/>
    <w:rsid w:val="00E53FC8"/>
    <w:rsid w:val="00E54347"/>
    <w:rsid w:val="00E54412"/>
    <w:rsid w:val="00E5470F"/>
    <w:rsid w:val="00E552B4"/>
    <w:rsid w:val="00E55424"/>
    <w:rsid w:val="00E55915"/>
    <w:rsid w:val="00E55BB5"/>
    <w:rsid w:val="00E55DCC"/>
    <w:rsid w:val="00E560F2"/>
    <w:rsid w:val="00E5642C"/>
    <w:rsid w:val="00E57085"/>
    <w:rsid w:val="00E5724C"/>
    <w:rsid w:val="00E574CF"/>
    <w:rsid w:val="00E61AE7"/>
    <w:rsid w:val="00E62DDE"/>
    <w:rsid w:val="00E6354C"/>
    <w:rsid w:val="00E636B3"/>
    <w:rsid w:val="00E639C8"/>
    <w:rsid w:val="00E643E1"/>
    <w:rsid w:val="00E65646"/>
    <w:rsid w:val="00E656B6"/>
    <w:rsid w:val="00E65D2A"/>
    <w:rsid w:val="00E65E79"/>
    <w:rsid w:val="00E65F51"/>
    <w:rsid w:val="00E6653C"/>
    <w:rsid w:val="00E6682D"/>
    <w:rsid w:val="00E66BA2"/>
    <w:rsid w:val="00E67416"/>
    <w:rsid w:val="00E71534"/>
    <w:rsid w:val="00E718B6"/>
    <w:rsid w:val="00E718FD"/>
    <w:rsid w:val="00E7206E"/>
    <w:rsid w:val="00E723BA"/>
    <w:rsid w:val="00E7276F"/>
    <w:rsid w:val="00E72F7C"/>
    <w:rsid w:val="00E73195"/>
    <w:rsid w:val="00E7328F"/>
    <w:rsid w:val="00E73340"/>
    <w:rsid w:val="00E73581"/>
    <w:rsid w:val="00E73A0B"/>
    <w:rsid w:val="00E73BF2"/>
    <w:rsid w:val="00E73E4D"/>
    <w:rsid w:val="00E74165"/>
    <w:rsid w:val="00E74946"/>
    <w:rsid w:val="00E74A80"/>
    <w:rsid w:val="00E74C70"/>
    <w:rsid w:val="00E750C1"/>
    <w:rsid w:val="00E756C7"/>
    <w:rsid w:val="00E75C0C"/>
    <w:rsid w:val="00E75D72"/>
    <w:rsid w:val="00E75E07"/>
    <w:rsid w:val="00E75EF7"/>
    <w:rsid w:val="00E7623A"/>
    <w:rsid w:val="00E76326"/>
    <w:rsid w:val="00E76FED"/>
    <w:rsid w:val="00E77D7A"/>
    <w:rsid w:val="00E77DCB"/>
    <w:rsid w:val="00E802F6"/>
    <w:rsid w:val="00E80EE8"/>
    <w:rsid w:val="00E81F4D"/>
    <w:rsid w:val="00E821F0"/>
    <w:rsid w:val="00E82796"/>
    <w:rsid w:val="00E82BF3"/>
    <w:rsid w:val="00E833F7"/>
    <w:rsid w:val="00E83BDF"/>
    <w:rsid w:val="00E84491"/>
    <w:rsid w:val="00E84A07"/>
    <w:rsid w:val="00E85211"/>
    <w:rsid w:val="00E860F9"/>
    <w:rsid w:val="00E861B6"/>
    <w:rsid w:val="00E86F9B"/>
    <w:rsid w:val="00E87A1D"/>
    <w:rsid w:val="00E90661"/>
    <w:rsid w:val="00E9094A"/>
    <w:rsid w:val="00E90BC3"/>
    <w:rsid w:val="00E910E8"/>
    <w:rsid w:val="00E91D35"/>
    <w:rsid w:val="00E91FC7"/>
    <w:rsid w:val="00E92070"/>
    <w:rsid w:val="00E9211E"/>
    <w:rsid w:val="00E926A5"/>
    <w:rsid w:val="00E927F8"/>
    <w:rsid w:val="00E92E38"/>
    <w:rsid w:val="00E93569"/>
    <w:rsid w:val="00E9395E"/>
    <w:rsid w:val="00E939BB"/>
    <w:rsid w:val="00E93D58"/>
    <w:rsid w:val="00E94198"/>
    <w:rsid w:val="00E94265"/>
    <w:rsid w:val="00E94BA9"/>
    <w:rsid w:val="00E95455"/>
    <w:rsid w:val="00E965A7"/>
    <w:rsid w:val="00E966F0"/>
    <w:rsid w:val="00E967B6"/>
    <w:rsid w:val="00E96B60"/>
    <w:rsid w:val="00E97808"/>
    <w:rsid w:val="00E97AD4"/>
    <w:rsid w:val="00E97BAD"/>
    <w:rsid w:val="00E97CCD"/>
    <w:rsid w:val="00EA0720"/>
    <w:rsid w:val="00EA17C3"/>
    <w:rsid w:val="00EA2BCA"/>
    <w:rsid w:val="00EA2C3F"/>
    <w:rsid w:val="00EA2CAA"/>
    <w:rsid w:val="00EA2D11"/>
    <w:rsid w:val="00EA379F"/>
    <w:rsid w:val="00EA3806"/>
    <w:rsid w:val="00EA3864"/>
    <w:rsid w:val="00EA3ADE"/>
    <w:rsid w:val="00EA3E1B"/>
    <w:rsid w:val="00EA42B6"/>
    <w:rsid w:val="00EA4389"/>
    <w:rsid w:val="00EA444A"/>
    <w:rsid w:val="00EA4B66"/>
    <w:rsid w:val="00EA4D32"/>
    <w:rsid w:val="00EA4D5E"/>
    <w:rsid w:val="00EA51DF"/>
    <w:rsid w:val="00EA5C5A"/>
    <w:rsid w:val="00EA5FC1"/>
    <w:rsid w:val="00EA64E7"/>
    <w:rsid w:val="00EA68BC"/>
    <w:rsid w:val="00EA6CFE"/>
    <w:rsid w:val="00EA7CC5"/>
    <w:rsid w:val="00EA7F1C"/>
    <w:rsid w:val="00EB04D7"/>
    <w:rsid w:val="00EB0511"/>
    <w:rsid w:val="00EB15B6"/>
    <w:rsid w:val="00EB20C3"/>
    <w:rsid w:val="00EB2720"/>
    <w:rsid w:val="00EB2DBA"/>
    <w:rsid w:val="00EB34E4"/>
    <w:rsid w:val="00EB37DF"/>
    <w:rsid w:val="00EB3D06"/>
    <w:rsid w:val="00EB40E8"/>
    <w:rsid w:val="00EB4692"/>
    <w:rsid w:val="00EB4916"/>
    <w:rsid w:val="00EB5E97"/>
    <w:rsid w:val="00EB63AF"/>
    <w:rsid w:val="00EB71D0"/>
    <w:rsid w:val="00EB74AC"/>
    <w:rsid w:val="00EC00AA"/>
    <w:rsid w:val="00EC00C9"/>
    <w:rsid w:val="00EC075C"/>
    <w:rsid w:val="00EC0DD9"/>
    <w:rsid w:val="00EC0F2E"/>
    <w:rsid w:val="00EC2175"/>
    <w:rsid w:val="00EC2649"/>
    <w:rsid w:val="00EC27BE"/>
    <w:rsid w:val="00EC2C77"/>
    <w:rsid w:val="00EC31ED"/>
    <w:rsid w:val="00EC403C"/>
    <w:rsid w:val="00EC44FC"/>
    <w:rsid w:val="00EC4933"/>
    <w:rsid w:val="00EC499F"/>
    <w:rsid w:val="00EC4B65"/>
    <w:rsid w:val="00EC5836"/>
    <w:rsid w:val="00EC5C5C"/>
    <w:rsid w:val="00EC688C"/>
    <w:rsid w:val="00EC7926"/>
    <w:rsid w:val="00ED198D"/>
    <w:rsid w:val="00ED1D23"/>
    <w:rsid w:val="00ED2932"/>
    <w:rsid w:val="00ED2C7C"/>
    <w:rsid w:val="00ED34B2"/>
    <w:rsid w:val="00ED3D55"/>
    <w:rsid w:val="00ED3F58"/>
    <w:rsid w:val="00ED4194"/>
    <w:rsid w:val="00ED41E9"/>
    <w:rsid w:val="00ED4820"/>
    <w:rsid w:val="00ED48C1"/>
    <w:rsid w:val="00ED558D"/>
    <w:rsid w:val="00ED574C"/>
    <w:rsid w:val="00ED57EA"/>
    <w:rsid w:val="00ED5B34"/>
    <w:rsid w:val="00ED5BD4"/>
    <w:rsid w:val="00ED5E0F"/>
    <w:rsid w:val="00ED70B6"/>
    <w:rsid w:val="00ED79F0"/>
    <w:rsid w:val="00ED7FD4"/>
    <w:rsid w:val="00EE0287"/>
    <w:rsid w:val="00EE060D"/>
    <w:rsid w:val="00EE07AA"/>
    <w:rsid w:val="00EE07D3"/>
    <w:rsid w:val="00EE0C9D"/>
    <w:rsid w:val="00EE1996"/>
    <w:rsid w:val="00EE1C01"/>
    <w:rsid w:val="00EE1C2D"/>
    <w:rsid w:val="00EE22AF"/>
    <w:rsid w:val="00EE2B13"/>
    <w:rsid w:val="00EE2C95"/>
    <w:rsid w:val="00EE36F3"/>
    <w:rsid w:val="00EE383D"/>
    <w:rsid w:val="00EE3989"/>
    <w:rsid w:val="00EE3B0D"/>
    <w:rsid w:val="00EE4182"/>
    <w:rsid w:val="00EE4555"/>
    <w:rsid w:val="00EE486C"/>
    <w:rsid w:val="00EE5278"/>
    <w:rsid w:val="00EE565B"/>
    <w:rsid w:val="00EE683D"/>
    <w:rsid w:val="00EE72D1"/>
    <w:rsid w:val="00EE7355"/>
    <w:rsid w:val="00EE7A1D"/>
    <w:rsid w:val="00EE7D4F"/>
    <w:rsid w:val="00EF0171"/>
    <w:rsid w:val="00EF031E"/>
    <w:rsid w:val="00EF0782"/>
    <w:rsid w:val="00EF08B4"/>
    <w:rsid w:val="00EF1AB6"/>
    <w:rsid w:val="00EF1B25"/>
    <w:rsid w:val="00EF1BE8"/>
    <w:rsid w:val="00EF1DA0"/>
    <w:rsid w:val="00EF201B"/>
    <w:rsid w:val="00EF271A"/>
    <w:rsid w:val="00EF2B83"/>
    <w:rsid w:val="00EF2E69"/>
    <w:rsid w:val="00EF3007"/>
    <w:rsid w:val="00EF3591"/>
    <w:rsid w:val="00EF3711"/>
    <w:rsid w:val="00EF3A17"/>
    <w:rsid w:val="00EF4747"/>
    <w:rsid w:val="00EF4B75"/>
    <w:rsid w:val="00EF4BF8"/>
    <w:rsid w:val="00EF5106"/>
    <w:rsid w:val="00EF5973"/>
    <w:rsid w:val="00EF5C4C"/>
    <w:rsid w:val="00EF6286"/>
    <w:rsid w:val="00EF6467"/>
    <w:rsid w:val="00EF684D"/>
    <w:rsid w:val="00EF6873"/>
    <w:rsid w:val="00EF6D45"/>
    <w:rsid w:val="00EF6DA1"/>
    <w:rsid w:val="00EF6FF9"/>
    <w:rsid w:val="00EF7166"/>
    <w:rsid w:val="00EF7429"/>
    <w:rsid w:val="00EF7979"/>
    <w:rsid w:val="00F004BE"/>
    <w:rsid w:val="00F0170F"/>
    <w:rsid w:val="00F01A32"/>
    <w:rsid w:val="00F01B10"/>
    <w:rsid w:val="00F02253"/>
    <w:rsid w:val="00F027D8"/>
    <w:rsid w:val="00F02F5A"/>
    <w:rsid w:val="00F033C8"/>
    <w:rsid w:val="00F0360D"/>
    <w:rsid w:val="00F039BC"/>
    <w:rsid w:val="00F03C2E"/>
    <w:rsid w:val="00F04101"/>
    <w:rsid w:val="00F04A66"/>
    <w:rsid w:val="00F04B4B"/>
    <w:rsid w:val="00F0516C"/>
    <w:rsid w:val="00F054C6"/>
    <w:rsid w:val="00F05896"/>
    <w:rsid w:val="00F05DC0"/>
    <w:rsid w:val="00F0603D"/>
    <w:rsid w:val="00F067A2"/>
    <w:rsid w:val="00F070C6"/>
    <w:rsid w:val="00F07B9E"/>
    <w:rsid w:val="00F07D71"/>
    <w:rsid w:val="00F07E54"/>
    <w:rsid w:val="00F10415"/>
    <w:rsid w:val="00F109D8"/>
    <w:rsid w:val="00F10E24"/>
    <w:rsid w:val="00F1116F"/>
    <w:rsid w:val="00F113DB"/>
    <w:rsid w:val="00F11D2A"/>
    <w:rsid w:val="00F121C2"/>
    <w:rsid w:val="00F1263A"/>
    <w:rsid w:val="00F13867"/>
    <w:rsid w:val="00F13F66"/>
    <w:rsid w:val="00F141E8"/>
    <w:rsid w:val="00F15B77"/>
    <w:rsid w:val="00F15EDE"/>
    <w:rsid w:val="00F20D71"/>
    <w:rsid w:val="00F21345"/>
    <w:rsid w:val="00F22195"/>
    <w:rsid w:val="00F23AF9"/>
    <w:rsid w:val="00F24149"/>
    <w:rsid w:val="00F24743"/>
    <w:rsid w:val="00F24837"/>
    <w:rsid w:val="00F24D2D"/>
    <w:rsid w:val="00F250EC"/>
    <w:rsid w:val="00F2572B"/>
    <w:rsid w:val="00F2575F"/>
    <w:rsid w:val="00F25899"/>
    <w:rsid w:val="00F25A54"/>
    <w:rsid w:val="00F27345"/>
    <w:rsid w:val="00F27393"/>
    <w:rsid w:val="00F27565"/>
    <w:rsid w:val="00F30355"/>
    <w:rsid w:val="00F3073A"/>
    <w:rsid w:val="00F30C73"/>
    <w:rsid w:val="00F30EF4"/>
    <w:rsid w:val="00F310B5"/>
    <w:rsid w:val="00F310D4"/>
    <w:rsid w:val="00F3113F"/>
    <w:rsid w:val="00F312E2"/>
    <w:rsid w:val="00F31C58"/>
    <w:rsid w:val="00F31D5A"/>
    <w:rsid w:val="00F31F78"/>
    <w:rsid w:val="00F3203B"/>
    <w:rsid w:val="00F33222"/>
    <w:rsid w:val="00F333F6"/>
    <w:rsid w:val="00F3389D"/>
    <w:rsid w:val="00F33975"/>
    <w:rsid w:val="00F33DE9"/>
    <w:rsid w:val="00F3409B"/>
    <w:rsid w:val="00F343DB"/>
    <w:rsid w:val="00F34F20"/>
    <w:rsid w:val="00F34F8D"/>
    <w:rsid w:val="00F35A06"/>
    <w:rsid w:val="00F35CA7"/>
    <w:rsid w:val="00F35E6D"/>
    <w:rsid w:val="00F3619A"/>
    <w:rsid w:val="00F36DBE"/>
    <w:rsid w:val="00F36F36"/>
    <w:rsid w:val="00F40AAA"/>
    <w:rsid w:val="00F40BA7"/>
    <w:rsid w:val="00F40F9D"/>
    <w:rsid w:val="00F41271"/>
    <w:rsid w:val="00F41730"/>
    <w:rsid w:val="00F41ACD"/>
    <w:rsid w:val="00F41B87"/>
    <w:rsid w:val="00F42497"/>
    <w:rsid w:val="00F42A79"/>
    <w:rsid w:val="00F42B27"/>
    <w:rsid w:val="00F42CA9"/>
    <w:rsid w:val="00F43BDB"/>
    <w:rsid w:val="00F44648"/>
    <w:rsid w:val="00F44CC3"/>
    <w:rsid w:val="00F44D9E"/>
    <w:rsid w:val="00F45D05"/>
    <w:rsid w:val="00F45D86"/>
    <w:rsid w:val="00F46C07"/>
    <w:rsid w:val="00F46CB6"/>
    <w:rsid w:val="00F47431"/>
    <w:rsid w:val="00F4756D"/>
    <w:rsid w:val="00F47DE8"/>
    <w:rsid w:val="00F5014D"/>
    <w:rsid w:val="00F50256"/>
    <w:rsid w:val="00F50D55"/>
    <w:rsid w:val="00F512F3"/>
    <w:rsid w:val="00F52062"/>
    <w:rsid w:val="00F52930"/>
    <w:rsid w:val="00F53349"/>
    <w:rsid w:val="00F53BC9"/>
    <w:rsid w:val="00F54281"/>
    <w:rsid w:val="00F542C1"/>
    <w:rsid w:val="00F54B5D"/>
    <w:rsid w:val="00F54D14"/>
    <w:rsid w:val="00F55E73"/>
    <w:rsid w:val="00F55EDA"/>
    <w:rsid w:val="00F56510"/>
    <w:rsid w:val="00F56C80"/>
    <w:rsid w:val="00F57569"/>
    <w:rsid w:val="00F60092"/>
    <w:rsid w:val="00F60371"/>
    <w:rsid w:val="00F60A25"/>
    <w:rsid w:val="00F60CB8"/>
    <w:rsid w:val="00F61C18"/>
    <w:rsid w:val="00F6246C"/>
    <w:rsid w:val="00F63561"/>
    <w:rsid w:val="00F63939"/>
    <w:rsid w:val="00F63B38"/>
    <w:rsid w:val="00F64D54"/>
    <w:rsid w:val="00F652E6"/>
    <w:rsid w:val="00F65639"/>
    <w:rsid w:val="00F6567F"/>
    <w:rsid w:val="00F65F4B"/>
    <w:rsid w:val="00F6648F"/>
    <w:rsid w:val="00F66877"/>
    <w:rsid w:val="00F66CEB"/>
    <w:rsid w:val="00F67A69"/>
    <w:rsid w:val="00F67ABF"/>
    <w:rsid w:val="00F67E2C"/>
    <w:rsid w:val="00F70BFF"/>
    <w:rsid w:val="00F70C0D"/>
    <w:rsid w:val="00F70C9D"/>
    <w:rsid w:val="00F70FB8"/>
    <w:rsid w:val="00F714EF"/>
    <w:rsid w:val="00F722CD"/>
    <w:rsid w:val="00F72B12"/>
    <w:rsid w:val="00F72E5D"/>
    <w:rsid w:val="00F72EBB"/>
    <w:rsid w:val="00F735F7"/>
    <w:rsid w:val="00F73E35"/>
    <w:rsid w:val="00F7451C"/>
    <w:rsid w:val="00F74CD9"/>
    <w:rsid w:val="00F761E7"/>
    <w:rsid w:val="00F76588"/>
    <w:rsid w:val="00F767B7"/>
    <w:rsid w:val="00F80A7B"/>
    <w:rsid w:val="00F80E5D"/>
    <w:rsid w:val="00F80F1F"/>
    <w:rsid w:val="00F813E8"/>
    <w:rsid w:val="00F817BB"/>
    <w:rsid w:val="00F81E78"/>
    <w:rsid w:val="00F82B7A"/>
    <w:rsid w:val="00F82BB9"/>
    <w:rsid w:val="00F839AD"/>
    <w:rsid w:val="00F84027"/>
    <w:rsid w:val="00F840B5"/>
    <w:rsid w:val="00F847A2"/>
    <w:rsid w:val="00F851CE"/>
    <w:rsid w:val="00F85222"/>
    <w:rsid w:val="00F85651"/>
    <w:rsid w:val="00F85B0C"/>
    <w:rsid w:val="00F86817"/>
    <w:rsid w:val="00F86D9E"/>
    <w:rsid w:val="00F900CD"/>
    <w:rsid w:val="00F907E6"/>
    <w:rsid w:val="00F909E4"/>
    <w:rsid w:val="00F91219"/>
    <w:rsid w:val="00F91C9A"/>
    <w:rsid w:val="00F91FC3"/>
    <w:rsid w:val="00F923FB"/>
    <w:rsid w:val="00F92444"/>
    <w:rsid w:val="00F92931"/>
    <w:rsid w:val="00F92960"/>
    <w:rsid w:val="00F92DDC"/>
    <w:rsid w:val="00F9393E"/>
    <w:rsid w:val="00F93BD8"/>
    <w:rsid w:val="00F94DBB"/>
    <w:rsid w:val="00F954B3"/>
    <w:rsid w:val="00F95778"/>
    <w:rsid w:val="00F95AF5"/>
    <w:rsid w:val="00F95F32"/>
    <w:rsid w:val="00F96FD0"/>
    <w:rsid w:val="00F97068"/>
    <w:rsid w:val="00F974FC"/>
    <w:rsid w:val="00F97A78"/>
    <w:rsid w:val="00FA058F"/>
    <w:rsid w:val="00FA0B20"/>
    <w:rsid w:val="00FA1237"/>
    <w:rsid w:val="00FA12B4"/>
    <w:rsid w:val="00FA24E7"/>
    <w:rsid w:val="00FA2645"/>
    <w:rsid w:val="00FA3A8E"/>
    <w:rsid w:val="00FA3DA0"/>
    <w:rsid w:val="00FA4DA0"/>
    <w:rsid w:val="00FA57C4"/>
    <w:rsid w:val="00FA5EE6"/>
    <w:rsid w:val="00FA69DF"/>
    <w:rsid w:val="00FA6E2D"/>
    <w:rsid w:val="00FA708E"/>
    <w:rsid w:val="00FA71B7"/>
    <w:rsid w:val="00FA7681"/>
    <w:rsid w:val="00FA77B4"/>
    <w:rsid w:val="00FA78F1"/>
    <w:rsid w:val="00FA7956"/>
    <w:rsid w:val="00FA7D42"/>
    <w:rsid w:val="00FA7DFD"/>
    <w:rsid w:val="00FA7E3E"/>
    <w:rsid w:val="00FB0771"/>
    <w:rsid w:val="00FB12B1"/>
    <w:rsid w:val="00FB1B39"/>
    <w:rsid w:val="00FB2359"/>
    <w:rsid w:val="00FB24AA"/>
    <w:rsid w:val="00FB2FCB"/>
    <w:rsid w:val="00FB3012"/>
    <w:rsid w:val="00FB4355"/>
    <w:rsid w:val="00FB4B08"/>
    <w:rsid w:val="00FB5276"/>
    <w:rsid w:val="00FB5D5D"/>
    <w:rsid w:val="00FB5EB8"/>
    <w:rsid w:val="00FB70C5"/>
    <w:rsid w:val="00FB755C"/>
    <w:rsid w:val="00FB7808"/>
    <w:rsid w:val="00FB7997"/>
    <w:rsid w:val="00FB7B18"/>
    <w:rsid w:val="00FB7C55"/>
    <w:rsid w:val="00FC000D"/>
    <w:rsid w:val="00FC0876"/>
    <w:rsid w:val="00FC0EFD"/>
    <w:rsid w:val="00FC0F4C"/>
    <w:rsid w:val="00FC1074"/>
    <w:rsid w:val="00FC1237"/>
    <w:rsid w:val="00FC143D"/>
    <w:rsid w:val="00FC1663"/>
    <w:rsid w:val="00FC1884"/>
    <w:rsid w:val="00FC28FD"/>
    <w:rsid w:val="00FC2B13"/>
    <w:rsid w:val="00FC2FA7"/>
    <w:rsid w:val="00FC32BE"/>
    <w:rsid w:val="00FC338D"/>
    <w:rsid w:val="00FC371D"/>
    <w:rsid w:val="00FC37B1"/>
    <w:rsid w:val="00FC3977"/>
    <w:rsid w:val="00FC3C71"/>
    <w:rsid w:val="00FC3E06"/>
    <w:rsid w:val="00FC4F12"/>
    <w:rsid w:val="00FC5A0C"/>
    <w:rsid w:val="00FC5B7C"/>
    <w:rsid w:val="00FC5F0B"/>
    <w:rsid w:val="00FC5F53"/>
    <w:rsid w:val="00FC6DBD"/>
    <w:rsid w:val="00FC6F23"/>
    <w:rsid w:val="00FC73B7"/>
    <w:rsid w:val="00FD0033"/>
    <w:rsid w:val="00FD0D50"/>
    <w:rsid w:val="00FD0D76"/>
    <w:rsid w:val="00FD0E89"/>
    <w:rsid w:val="00FD1445"/>
    <w:rsid w:val="00FD1784"/>
    <w:rsid w:val="00FD18DA"/>
    <w:rsid w:val="00FD193B"/>
    <w:rsid w:val="00FD1A48"/>
    <w:rsid w:val="00FD2100"/>
    <w:rsid w:val="00FD32BD"/>
    <w:rsid w:val="00FD3325"/>
    <w:rsid w:val="00FD34E7"/>
    <w:rsid w:val="00FD3D32"/>
    <w:rsid w:val="00FD3DFC"/>
    <w:rsid w:val="00FD436C"/>
    <w:rsid w:val="00FD446D"/>
    <w:rsid w:val="00FD4B32"/>
    <w:rsid w:val="00FD4F2C"/>
    <w:rsid w:val="00FD6292"/>
    <w:rsid w:val="00FD630F"/>
    <w:rsid w:val="00FD6394"/>
    <w:rsid w:val="00FD6A99"/>
    <w:rsid w:val="00FD6CDD"/>
    <w:rsid w:val="00FD76F8"/>
    <w:rsid w:val="00FD7B56"/>
    <w:rsid w:val="00FE0A55"/>
    <w:rsid w:val="00FE0D8B"/>
    <w:rsid w:val="00FE0E6C"/>
    <w:rsid w:val="00FE1919"/>
    <w:rsid w:val="00FE1CDC"/>
    <w:rsid w:val="00FE1D1B"/>
    <w:rsid w:val="00FE2793"/>
    <w:rsid w:val="00FE2B94"/>
    <w:rsid w:val="00FE2CBE"/>
    <w:rsid w:val="00FE2F31"/>
    <w:rsid w:val="00FE31C6"/>
    <w:rsid w:val="00FE3417"/>
    <w:rsid w:val="00FE355B"/>
    <w:rsid w:val="00FE35C4"/>
    <w:rsid w:val="00FE3677"/>
    <w:rsid w:val="00FE4001"/>
    <w:rsid w:val="00FE4394"/>
    <w:rsid w:val="00FE44EE"/>
    <w:rsid w:val="00FE4597"/>
    <w:rsid w:val="00FE459A"/>
    <w:rsid w:val="00FE47A8"/>
    <w:rsid w:val="00FE56E1"/>
    <w:rsid w:val="00FE59F4"/>
    <w:rsid w:val="00FE5C71"/>
    <w:rsid w:val="00FE70C3"/>
    <w:rsid w:val="00FE7803"/>
    <w:rsid w:val="00FE7DFF"/>
    <w:rsid w:val="00FF0642"/>
    <w:rsid w:val="00FF066A"/>
    <w:rsid w:val="00FF0843"/>
    <w:rsid w:val="00FF0869"/>
    <w:rsid w:val="00FF2AD9"/>
    <w:rsid w:val="00FF2B17"/>
    <w:rsid w:val="00FF2DA7"/>
    <w:rsid w:val="00FF34E5"/>
    <w:rsid w:val="00FF359F"/>
    <w:rsid w:val="00FF3689"/>
    <w:rsid w:val="00FF3CA2"/>
    <w:rsid w:val="00FF3DCF"/>
    <w:rsid w:val="00FF42E2"/>
    <w:rsid w:val="00FF4528"/>
    <w:rsid w:val="00FF4646"/>
    <w:rsid w:val="00FF492C"/>
    <w:rsid w:val="00FF4A21"/>
    <w:rsid w:val="00FF4AC3"/>
    <w:rsid w:val="00FF5A6B"/>
    <w:rsid w:val="00FF5AA3"/>
    <w:rsid w:val="00FF5AD8"/>
    <w:rsid w:val="00FF61C2"/>
    <w:rsid w:val="00FF658F"/>
    <w:rsid w:val="00FF678E"/>
    <w:rsid w:val="00FF6B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7C"/>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F4B75"/>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F4B75"/>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AD154D"/>
    <w:pPr>
      <w:keepNext/>
      <w:keepLines/>
      <w:spacing w:before="160" w:after="120"/>
    </w:pPr>
    <w:rPr>
      <w:rFonts w:asciiTheme="minorHAnsi" w:eastAsiaTheme="majorEastAsia" w:hAnsiTheme="minorHAnsi" w:cstheme="majorBidi"/>
      <w:b/>
      <w:color w:val="000000" w:themeColor="text1"/>
      <w:szCs w:val="28"/>
      <w:u w:val="none"/>
    </w:rPr>
  </w:style>
  <w:style w:type="character" w:customStyle="1" w:styleId="4-SubsectSubheadChar">
    <w:name w:val="4-Subsect Subhead Char"/>
    <w:basedOn w:val="DefaultParagraphFont"/>
    <w:link w:val="4-SubsectSubhead"/>
    <w:rsid w:val="00AD154D"/>
    <w:rPr>
      <w:rFonts w:asciiTheme="minorHAnsi" w:eastAsiaTheme="majorEastAsia" w:hAnsiTheme="minorHAnsi" w:cstheme="majorBidi"/>
      <w:b/>
      <w:color w:val="000000" w:themeColor="text1"/>
      <w:sz w:val="24"/>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2B1F92"/>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B1F92"/>
    <w:rPr>
      <w:rFonts w:ascii="Calibri" w:hAnsi="Calibri" w:cs="Arial"/>
      <w:sz w:val="24"/>
      <w:szCs w:val="24"/>
    </w:rPr>
  </w:style>
  <w:style w:type="paragraph" w:styleId="Footer">
    <w:name w:val="footer"/>
    <w:basedOn w:val="Normal"/>
    <w:link w:val="FooterChar"/>
    <w:uiPriority w:val="99"/>
    <w:unhideWhenUsed/>
    <w:rsid w:val="002B1F92"/>
    <w:pPr>
      <w:tabs>
        <w:tab w:val="center" w:pos="4513"/>
        <w:tab w:val="right" w:pos="9026"/>
      </w:tabs>
    </w:pPr>
  </w:style>
  <w:style w:type="character" w:customStyle="1" w:styleId="FooterChar">
    <w:name w:val="Footer Char"/>
    <w:basedOn w:val="DefaultParagraphFont"/>
    <w:link w:val="Footer"/>
    <w:uiPriority w:val="99"/>
    <w:rsid w:val="002B1F92"/>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5C0607"/>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5C0607"/>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5C0607"/>
    <w:rPr>
      <w:rFonts w:ascii="Calibri" w:hAnsi="Calibri" w:cs="Arial"/>
    </w:rPr>
  </w:style>
  <w:style w:type="paragraph" w:styleId="CommentSubject">
    <w:name w:val="annotation subject"/>
    <w:basedOn w:val="CommentText"/>
    <w:next w:val="CommentText"/>
    <w:link w:val="CommentSubjectChar"/>
    <w:semiHidden/>
    <w:unhideWhenUsed/>
    <w:rsid w:val="005C0607"/>
    <w:rPr>
      <w:b/>
      <w:bCs/>
    </w:rPr>
  </w:style>
  <w:style w:type="character" w:customStyle="1" w:styleId="CommentSubjectChar">
    <w:name w:val="Comment Subject Char"/>
    <w:basedOn w:val="CommentTextChar"/>
    <w:link w:val="CommentSubject"/>
    <w:semiHidden/>
    <w:rsid w:val="005C0607"/>
    <w:rPr>
      <w:rFonts w:ascii="Calibri" w:hAnsi="Calibri" w:cs="Arial"/>
      <w:b/>
      <w:bCs/>
    </w:rPr>
  </w:style>
  <w:style w:type="paragraph" w:customStyle="1" w:styleId="TableHeading">
    <w:name w:val="Table Heading"/>
    <w:basedOn w:val="Normal"/>
    <w:link w:val="TableHeadingChar"/>
    <w:qFormat/>
    <w:rsid w:val="00117682"/>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117682"/>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375AF2"/>
    <w:pPr>
      <w:widowControl w:val="0"/>
    </w:pPr>
    <w:rPr>
      <w:rFonts w:ascii="Arial Narrow" w:hAnsi="Arial Narrow"/>
      <w:snapToGrid w:val="0"/>
      <w:sz w:val="18"/>
      <w:szCs w:val="22"/>
      <w:lang w:eastAsia="en-US"/>
    </w:rPr>
  </w:style>
  <w:style w:type="character" w:customStyle="1" w:styleId="TableFooterChar">
    <w:name w:val="Table Footer Char"/>
    <w:link w:val="TableFooter"/>
    <w:rsid w:val="00375AF2"/>
    <w:rPr>
      <w:rFonts w:ascii="Arial Narrow" w:hAnsi="Arial Narrow" w:cs="Arial"/>
      <w:snapToGrid w:val="0"/>
      <w:sz w:val="18"/>
      <w:szCs w:val="22"/>
      <w:lang w:eastAsia="en-US"/>
    </w:rPr>
  </w:style>
  <w:style w:type="paragraph" w:styleId="ListParagraph">
    <w:name w:val="List Paragraph"/>
    <w:aliases w:val="Numbered para,BulletPoints,Section heading,Bullet point,List Paragraph1,List Paragraph11,Recommendation,Bullet1,Summary Bullets,ES Paragraph,PBAC ES Paragraph,PBAC normal points,Bullet List,Body Text Bullet Points"/>
    <w:basedOn w:val="Normal"/>
    <w:link w:val="ListParagraphChar"/>
    <w:uiPriority w:val="34"/>
    <w:qFormat/>
    <w:rsid w:val="0038358A"/>
    <w:pPr>
      <w:spacing w:after="158" w:line="360" w:lineRule="auto"/>
      <w:ind w:left="720"/>
      <w:contextualSpacing/>
    </w:pPr>
    <w:rPr>
      <w:rFonts w:ascii="Arial" w:eastAsiaTheme="minorHAnsi" w:hAnsi="Arial" w:cstheme="minorBidi"/>
      <w:sz w:val="20"/>
      <w:szCs w:val="22"/>
      <w:lang w:val="en-GB" w:eastAsia="en-US"/>
    </w:rPr>
  </w:style>
  <w:style w:type="character" w:customStyle="1" w:styleId="ListParagraphChar">
    <w:name w:val="List Paragraph Char"/>
    <w:aliases w:val="Numbered para Char,BulletPoints Char,Section heading Char,Bullet point Char,List Paragraph1 Char,List Paragraph11 Char,Recommendation Char,Bullet1 Char,Summary Bullets Char,ES Paragraph Char,PBAC ES Paragraph Char,Bullet List Char"/>
    <w:link w:val="ListParagraph"/>
    <w:uiPriority w:val="34"/>
    <w:qFormat/>
    <w:locked/>
    <w:rsid w:val="0038358A"/>
    <w:rPr>
      <w:rFonts w:ascii="Arial" w:eastAsiaTheme="minorHAnsi" w:hAnsi="Arial" w:cstheme="minorBidi"/>
      <w:szCs w:val="22"/>
      <w:lang w:val="en-GB" w:eastAsia="en-US"/>
    </w:rPr>
  </w:style>
  <w:style w:type="paragraph" w:customStyle="1" w:styleId="Tabletext0">
    <w:name w:val="Table text"/>
    <w:basedOn w:val="Normal"/>
    <w:link w:val="TabletextChar0"/>
    <w:qFormat/>
    <w:rsid w:val="009660A5"/>
    <w:pPr>
      <w:jc w:val="left"/>
    </w:pPr>
    <w:rPr>
      <w:rFonts w:ascii="Arial Narrow" w:hAnsi="Arial Narrow" w:cs="Times New Roman"/>
      <w:sz w:val="20"/>
      <w:szCs w:val="22"/>
      <w:lang w:eastAsia="en-US"/>
    </w:rPr>
  </w:style>
  <w:style w:type="character" w:customStyle="1" w:styleId="TabletextChar0">
    <w:name w:val="Table text Char"/>
    <w:link w:val="Tabletext0"/>
    <w:rsid w:val="009660A5"/>
    <w:rPr>
      <w:rFonts w:ascii="Arial Narrow" w:hAnsi="Arial Narrow"/>
      <w:szCs w:val="22"/>
      <w:lang w:eastAsia="en-US"/>
    </w:rPr>
  </w:style>
  <w:style w:type="paragraph" w:customStyle="1" w:styleId="TableFootnotesAbbreviations">
    <w:name w:val="Table Footnotes/Abbreviations"/>
    <w:basedOn w:val="BodyText"/>
    <w:link w:val="TableFootnotesAbbreviationsChar"/>
    <w:qFormat/>
    <w:rsid w:val="00AC14FF"/>
    <w:pPr>
      <w:spacing w:before="60" w:after="0"/>
    </w:pPr>
    <w:rPr>
      <w:rFonts w:ascii="Calibri Light" w:hAnsi="Calibri Light"/>
      <w:sz w:val="18"/>
      <w:lang w:val="en-US" w:eastAsia="en-US"/>
    </w:rPr>
  </w:style>
  <w:style w:type="character" w:customStyle="1" w:styleId="TableFootnotesAbbreviationsChar">
    <w:name w:val="Table Footnotes/Abbreviations Char"/>
    <w:basedOn w:val="BodyTextChar"/>
    <w:link w:val="TableFootnotesAbbreviations"/>
    <w:rsid w:val="00AC14FF"/>
    <w:rPr>
      <w:rFonts w:ascii="Calibri Light" w:hAnsi="Calibri Light" w:cs="Arial"/>
      <w:sz w:val="18"/>
      <w:szCs w:val="24"/>
      <w:lang w:val="en-US" w:eastAsia="en-US"/>
    </w:rPr>
  </w:style>
  <w:style w:type="paragraph" w:styleId="BodyText">
    <w:name w:val="Body Text"/>
    <w:basedOn w:val="Normal"/>
    <w:link w:val="BodyTextChar"/>
    <w:semiHidden/>
    <w:unhideWhenUsed/>
    <w:rsid w:val="00AC14FF"/>
    <w:pPr>
      <w:spacing w:after="120"/>
    </w:pPr>
  </w:style>
  <w:style w:type="character" w:customStyle="1" w:styleId="BodyTextChar">
    <w:name w:val="Body Text Char"/>
    <w:basedOn w:val="DefaultParagraphFont"/>
    <w:link w:val="BodyText"/>
    <w:semiHidden/>
    <w:rsid w:val="00AC14FF"/>
    <w:rPr>
      <w:rFonts w:ascii="Calibri" w:hAnsi="Calibri" w:cs="Arial"/>
      <w:sz w:val="24"/>
      <w:szCs w:val="24"/>
    </w:rPr>
  </w:style>
  <w:style w:type="paragraph" w:customStyle="1" w:styleId="Footnote">
    <w:name w:val="Footnote"/>
    <w:basedOn w:val="BodyText"/>
    <w:next w:val="BodyText"/>
    <w:uiPriority w:val="69"/>
    <w:qFormat/>
    <w:rsid w:val="009066C8"/>
    <w:pPr>
      <w:spacing w:before="60" w:after="320" w:line="360" w:lineRule="auto"/>
      <w:contextualSpacing/>
      <w:jc w:val="left"/>
    </w:pPr>
    <w:rPr>
      <w:rFonts w:asciiTheme="minorHAnsi" w:eastAsiaTheme="minorHAnsi" w:hAnsiTheme="minorHAnsi" w:cstheme="minorBidi"/>
      <w:sz w:val="19"/>
      <w:szCs w:val="22"/>
      <w:lang w:val="en-GB" w:eastAsia="en-US"/>
    </w:rPr>
  </w:style>
  <w:style w:type="paragraph" w:styleId="NormalWeb">
    <w:name w:val="Normal (Web)"/>
    <w:basedOn w:val="Normal"/>
    <w:uiPriority w:val="99"/>
    <w:unhideWhenUsed/>
    <w:rsid w:val="009066C8"/>
    <w:pPr>
      <w:spacing w:before="100" w:beforeAutospacing="1" w:after="100" w:afterAutospacing="1"/>
      <w:jc w:val="left"/>
    </w:pPr>
    <w:rPr>
      <w:rFonts w:cs="Times New Roman"/>
      <w:sz w:val="22"/>
      <w:szCs w:val="22"/>
    </w:rPr>
  </w:style>
  <w:style w:type="paragraph" w:customStyle="1" w:styleId="TableNote-H58">
    <w:name w:val="Table Note - H58"/>
    <w:basedOn w:val="BodyText"/>
    <w:qFormat/>
    <w:rsid w:val="008E6C9C"/>
    <w:pPr>
      <w:keepLines/>
      <w:tabs>
        <w:tab w:val="left" w:pos="680"/>
      </w:tabs>
      <w:spacing w:after="0"/>
    </w:pPr>
    <w:rPr>
      <w:rFonts w:ascii="Arial Narrow" w:eastAsiaTheme="minorEastAsia" w:hAnsi="Arial Narrow" w:cs="Times New Roman (Body CS)"/>
      <w:bCs/>
      <w:color w:val="000000" w:themeColor="text1"/>
      <w:sz w:val="16"/>
      <w:szCs w:val="12"/>
      <w:lang w:val="en-GB" w:eastAsia="en-US"/>
    </w:rPr>
  </w:style>
  <w:style w:type="character" w:customStyle="1" w:styleId="ref-title">
    <w:name w:val="ref-title"/>
    <w:basedOn w:val="DefaultParagraphFont"/>
    <w:rsid w:val="001244CF"/>
  </w:style>
  <w:style w:type="character" w:customStyle="1" w:styleId="ref-journal">
    <w:name w:val="ref-journal"/>
    <w:basedOn w:val="DefaultParagraphFont"/>
    <w:rsid w:val="001244CF"/>
  </w:style>
  <w:style w:type="character" w:customStyle="1" w:styleId="ref-vol">
    <w:name w:val="ref-vol"/>
    <w:basedOn w:val="DefaultParagraphFont"/>
    <w:rsid w:val="001244CF"/>
  </w:style>
  <w:style w:type="paragraph" w:customStyle="1" w:styleId="BodytextAgency">
    <w:name w:val="Body text (Agency)"/>
    <w:basedOn w:val="Normal"/>
    <w:link w:val="BodytextAgencyChar"/>
    <w:qFormat/>
    <w:rsid w:val="00813987"/>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locked/>
    <w:rsid w:val="00813987"/>
    <w:rPr>
      <w:rFonts w:ascii="Verdana" w:eastAsia="Verdana" w:hAnsi="Verdana" w:cs="Verdana"/>
      <w:sz w:val="18"/>
      <w:szCs w:val="18"/>
      <w:lang w:val="en-GB" w:eastAsia="en-GB"/>
    </w:rPr>
  </w:style>
  <w:style w:type="paragraph" w:customStyle="1" w:styleId="TableBody">
    <w:name w:val="Table Body"/>
    <w:basedOn w:val="BodyText"/>
    <w:uiPriority w:val="61"/>
    <w:qFormat/>
    <w:rsid w:val="00813987"/>
    <w:pPr>
      <w:spacing w:after="0"/>
      <w:jc w:val="left"/>
    </w:pPr>
    <w:rPr>
      <w:rFonts w:ascii="Arial Narrow" w:eastAsiaTheme="minorHAnsi" w:hAnsi="Arial Narrow" w:cs="Times New Roman (Body CS)"/>
      <w:sz w:val="18"/>
      <w:szCs w:val="22"/>
      <w:lang w:val="en-GB" w:eastAsia="en-US"/>
    </w:rPr>
  </w:style>
  <w:style w:type="paragraph" w:customStyle="1" w:styleId="AlphaList">
    <w:name w:val="Alpha List"/>
    <w:basedOn w:val="BodyText"/>
    <w:uiPriority w:val="2"/>
    <w:semiHidden/>
    <w:qFormat/>
    <w:rsid w:val="00CC7DCD"/>
    <w:pPr>
      <w:numPr>
        <w:numId w:val="7"/>
      </w:numPr>
      <w:spacing w:after="60" w:line="276" w:lineRule="auto"/>
      <w:contextualSpacing/>
    </w:pPr>
    <w:rPr>
      <w:rFonts w:asciiTheme="minorHAnsi" w:eastAsiaTheme="minorHAnsi" w:hAnsiTheme="minorHAnsi" w:cs="Times New Roman (Body CS)"/>
      <w:sz w:val="20"/>
      <w:szCs w:val="22"/>
      <w:lang w:val="en-GB" w:eastAsia="en-US"/>
    </w:rPr>
  </w:style>
  <w:style w:type="character" w:customStyle="1" w:styleId="Heading1Char">
    <w:name w:val="Heading 1 Char"/>
    <w:basedOn w:val="DefaultParagraphFont"/>
    <w:link w:val="Heading1"/>
    <w:uiPriority w:val="1"/>
    <w:rsid w:val="000833C5"/>
    <w:rPr>
      <w:rFonts w:ascii="Calibri" w:hAnsi="Calibri" w:cs="Arial"/>
      <w:b/>
      <w:caps/>
      <w:sz w:val="32"/>
      <w:szCs w:val="24"/>
    </w:rPr>
  </w:style>
  <w:style w:type="character" w:customStyle="1" w:styleId="Heading3Char">
    <w:name w:val="Heading 3 Char"/>
    <w:basedOn w:val="DefaultParagraphFont"/>
    <w:link w:val="Heading3"/>
    <w:rsid w:val="000833C5"/>
    <w:rPr>
      <w:rFonts w:ascii="Calibri" w:hAnsi="Calibri" w:cs="Arial"/>
      <w:sz w:val="24"/>
      <w:szCs w:val="24"/>
      <w:u w:val="single"/>
    </w:rPr>
  </w:style>
  <w:style w:type="character" w:customStyle="1" w:styleId="Heading4Char">
    <w:name w:val="Heading 4 Char"/>
    <w:basedOn w:val="DefaultParagraphFont"/>
    <w:link w:val="Heading4"/>
    <w:rsid w:val="000833C5"/>
    <w:rPr>
      <w:rFonts w:ascii="Calibri" w:hAnsi="Calibri" w:cs="Arial"/>
      <w:b/>
      <w:bCs/>
      <w:i/>
      <w:sz w:val="26"/>
      <w:szCs w:val="28"/>
    </w:rPr>
  </w:style>
  <w:style w:type="character" w:customStyle="1" w:styleId="Heading5Char">
    <w:name w:val="Heading 5 Char"/>
    <w:basedOn w:val="DefaultParagraphFont"/>
    <w:link w:val="Heading5"/>
    <w:rsid w:val="000833C5"/>
    <w:rPr>
      <w:rFonts w:ascii="Calibri" w:hAnsi="Calibri" w:cs="Arial"/>
      <w:b/>
      <w:bCs/>
      <w:iCs/>
      <w:sz w:val="26"/>
      <w:szCs w:val="26"/>
    </w:rPr>
  </w:style>
  <w:style w:type="character" w:customStyle="1" w:styleId="Heading6Char">
    <w:name w:val="Heading 6 Char"/>
    <w:basedOn w:val="DefaultParagraphFont"/>
    <w:link w:val="Heading6"/>
    <w:rsid w:val="000833C5"/>
    <w:rPr>
      <w:rFonts w:ascii="Calibri" w:hAnsi="Calibri" w:cs="Arial"/>
      <w:b/>
      <w:bCs/>
      <w:i/>
      <w:sz w:val="24"/>
      <w:szCs w:val="24"/>
    </w:rPr>
  </w:style>
  <w:style w:type="table" w:customStyle="1" w:styleId="LashStyleTable1">
    <w:name w:val="Lash Style Table1"/>
    <w:basedOn w:val="TableNormal"/>
    <w:next w:val="TableGrid"/>
    <w:uiPriority w:val="59"/>
    <w:rsid w:val="009C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772F8"/>
    <w:rPr>
      <w:sz w:val="20"/>
      <w:szCs w:val="20"/>
    </w:rPr>
  </w:style>
  <w:style w:type="character" w:customStyle="1" w:styleId="FootnoteTextChar">
    <w:name w:val="Footnote Text Char"/>
    <w:basedOn w:val="DefaultParagraphFont"/>
    <w:link w:val="FootnoteText"/>
    <w:semiHidden/>
    <w:rsid w:val="003772F8"/>
    <w:rPr>
      <w:rFonts w:ascii="Calibri" w:hAnsi="Calibri" w:cs="Arial"/>
    </w:rPr>
  </w:style>
  <w:style w:type="character" w:styleId="FootnoteReference">
    <w:name w:val="footnote reference"/>
    <w:basedOn w:val="DefaultParagraphFont"/>
    <w:semiHidden/>
    <w:unhideWhenUsed/>
    <w:rsid w:val="003772F8"/>
    <w:rPr>
      <w:vertAlign w:val="superscript"/>
    </w:rPr>
  </w:style>
  <w:style w:type="paragraph" w:customStyle="1" w:styleId="PBACHeading1">
    <w:name w:val="PBAC Heading 1"/>
    <w:qFormat/>
    <w:rsid w:val="002A5CF4"/>
    <w:pPr>
      <w:ind w:left="720" w:hanging="720"/>
    </w:pPr>
    <w:rPr>
      <w:rFonts w:ascii="Arial" w:hAnsi="Arial" w:cs="Arial"/>
      <w:b/>
      <w:snapToGrid w:val="0"/>
      <w:sz w:val="22"/>
      <w:szCs w:val="22"/>
      <w:lang w:eastAsia="en-US"/>
    </w:rPr>
  </w:style>
  <w:style w:type="paragraph" w:styleId="NoSpacing">
    <w:name w:val="No Spacing"/>
    <w:uiPriority w:val="1"/>
    <w:qFormat/>
    <w:rsid w:val="00EF20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5391">
      <w:bodyDiv w:val="1"/>
      <w:marLeft w:val="0"/>
      <w:marRight w:val="0"/>
      <w:marTop w:val="0"/>
      <w:marBottom w:val="0"/>
      <w:divBdr>
        <w:top w:val="none" w:sz="0" w:space="0" w:color="auto"/>
        <w:left w:val="none" w:sz="0" w:space="0" w:color="auto"/>
        <w:bottom w:val="none" w:sz="0" w:space="0" w:color="auto"/>
        <w:right w:val="none" w:sz="0" w:space="0" w:color="auto"/>
      </w:divBdr>
    </w:div>
    <w:div w:id="84034386">
      <w:bodyDiv w:val="1"/>
      <w:marLeft w:val="0"/>
      <w:marRight w:val="0"/>
      <w:marTop w:val="0"/>
      <w:marBottom w:val="0"/>
      <w:divBdr>
        <w:top w:val="none" w:sz="0" w:space="0" w:color="auto"/>
        <w:left w:val="none" w:sz="0" w:space="0" w:color="auto"/>
        <w:bottom w:val="none" w:sz="0" w:space="0" w:color="auto"/>
        <w:right w:val="none" w:sz="0" w:space="0" w:color="auto"/>
      </w:divBdr>
      <w:divsChild>
        <w:div w:id="968129765">
          <w:marLeft w:val="0"/>
          <w:marRight w:val="0"/>
          <w:marTop w:val="0"/>
          <w:marBottom w:val="0"/>
          <w:divBdr>
            <w:top w:val="none" w:sz="0" w:space="0" w:color="auto"/>
            <w:left w:val="none" w:sz="0" w:space="0" w:color="auto"/>
            <w:bottom w:val="none" w:sz="0" w:space="0" w:color="auto"/>
            <w:right w:val="none" w:sz="0" w:space="0" w:color="auto"/>
          </w:divBdr>
        </w:div>
        <w:div w:id="411202486">
          <w:marLeft w:val="0"/>
          <w:marRight w:val="0"/>
          <w:marTop w:val="0"/>
          <w:marBottom w:val="0"/>
          <w:divBdr>
            <w:top w:val="none" w:sz="0" w:space="0" w:color="auto"/>
            <w:left w:val="none" w:sz="0" w:space="0" w:color="auto"/>
            <w:bottom w:val="none" w:sz="0" w:space="0" w:color="auto"/>
            <w:right w:val="none" w:sz="0" w:space="0" w:color="auto"/>
          </w:divBdr>
        </w:div>
        <w:div w:id="646666566">
          <w:marLeft w:val="0"/>
          <w:marRight w:val="0"/>
          <w:marTop w:val="0"/>
          <w:marBottom w:val="0"/>
          <w:divBdr>
            <w:top w:val="none" w:sz="0" w:space="0" w:color="auto"/>
            <w:left w:val="none" w:sz="0" w:space="0" w:color="auto"/>
            <w:bottom w:val="none" w:sz="0" w:space="0" w:color="auto"/>
            <w:right w:val="none" w:sz="0" w:space="0" w:color="auto"/>
          </w:divBdr>
        </w:div>
        <w:div w:id="2000495318">
          <w:marLeft w:val="0"/>
          <w:marRight w:val="0"/>
          <w:marTop w:val="0"/>
          <w:marBottom w:val="0"/>
          <w:divBdr>
            <w:top w:val="none" w:sz="0" w:space="0" w:color="auto"/>
            <w:left w:val="none" w:sz="0" w:space="0" w:color="auto"/>
            <w:bottom w:val="none" w:sz="0" w:space="0" w:color="auto"/>
            <w:right w:val="none" w:sz="0" w:space="0" w:color="auto"/>
          </w:divBdr>
        </w:div>
        <w:div w:id="32772480">
          <w:marLeft w:val="0"/>
          <w:marRight w:val="0"/>
          <w:marTop w:val="0"/>
          <w:marBottom w:val="0"/>
          <w:divBdr>
            <w:top w:val="none" w:sz="0" w:space="0" w:color="auto"/>
            <w:left w:val="none" w:sz="0" w:space="0" w:color="auto"/>
            <w:bottom w:val="none" w:sz="0" w:space="0" w:color="auto"/>
            <w:right w:val="none" w:sz="0" w:space="0" w:color="auto"/>
          </w:divBdr>
        </w:div>
        <w:div w:id="1972666364">
          <w:marLeft w:val="0"/>
          <w:marRight w:val="0"/>
          <w:marTop w:val="0"/>
          <w:marBottom w:val="0"/>
          <w:divBdr>
            <w:top w:val="none" w:sz="0" w:space="0" w:color="auto"/>
            <w:left w:val="none" w:sz="0" w:space="0" w:color="auto"/>
            <w:bottom w:val="none" w:sz="0" w:space="0" w:color="auto"/>
            <w:right w:val="none" w:sz="0" w:space="0" w:color="auto"/>
          </w:divBdr>
        </w:div>
        <w:div w:id="51583758">
          <w:marLeft w:val="0"/>
          <w:marRight w:val="0"/>
          <w:marTop w:val="0"/>
          <w:marBottom w:val="0"/>
          <w:divBdr>
            <w:top w:val="none" w:sz="0" w:space="0" w:color="auto"/>
            <w:left w:val="none" w:sz="0" w:space="0" w:color="auto"/>
            <w:bottom w:val="none" w:sz="0" w:space="0" w:color="auto"/>
            <w:right w:val="none" w:sz="0" w:space="0" w:color="auto"/>
          </w:divBdr>
        </w:div>
        <w:div w:id="1693266735">
          <w:marLeft w:val="0"/>
          <w:marRight w:val="0"/>
          <w:marTop w:val="0"/>
          <w:marBottom w:val="0"/>
          <w:divBdr>
            <w:top w:val="none" w:sz="0" w:space="0" w:color="auto"/>
            <w:left w:val="none" w:sz="0" w:space="0" w:color="auto"/>
            <w:bottom w:val="none" w:sz="0" w:space="0" w:color="auto"/>
            <w:right w:val="none" w:sz="0" w:space="0" w:color="auto"/>
          </w:divBdr>
        </w:div>
        <w:div w:id="463933119">
          <w:marLeft w:val="0"/>
          <w:marRight w:val="0"/>
          <w:marTop w:val="0"/>
          <w:marBottom w:val="0"/>
          <w:divBdr>
            <w:top w:val="none" w:sz="0" w:space="0" w:color="auto"/>
            <w:left w:val="none" w:sz="0" w:space="0" w:color="auto"/>
            <w:bottom w:val="none" w:sz="0" w:space="0" w:color="auto"/>
            <w:right w:val="none" w:sz="0" w:space="0" w:color="auto"/>
          </w:divBdr>
        </w:div>
        <w:div w:id="956259375">
          <w:marLeft w:val="0"/>
          <w:marRight w:val="0"/>
          <w:marTop w:val="0"/>
          <w:marBottom w:val="0"/>
          <w:divBdr>
            <w:top w:val="none" w:sz="0" w:space="0" w:color="auto"/>
            <w:left w:val="none" w:sz="0" w:space="0" w:color="auto"/>
            <w:bottom w:val="none" w:sz="0" w:space="0" w:color="auto"/>
            <w:right w:val="none" w:sz="0" w:space="0" w:color="auto"/>
          </w:divBdr>
        </w:div>
        <w:div w:id="650868233">
          <w:marLeft w:val="0"/>
          <w:marRight w:val="0"/>
          <w:marTop w:val="0"/>
          <w:marBottom w:val="0"/>
          <w:divBdr>
            <w:top w:val="none" w:sz="0" w:space="0" w:color="auto"/>
            <w:left w:val="none" w:sz="0" w:space="0" w:color="auto"/>
            <w:bottom w:val="none" w:sz="0" w:space="0" w:color="auto"/>
            <w:right w:val="none" w:sz="0" w:space="0" w:color="auto"/>
          </w:divBdr>
        </w:div>
        <w:div w:id="1462335669">
          <w:marLeft w:val="0"/>
          <w:marRight w:val="0"/>
          <w:marTop w:val="0"/>
          <w:marBottom w:val="0"/>
          <w:divBdr>
            <w:top w:val="none" w:sz="0" w:space="0" w:color="auto"/>
            <w:left w:val="none" w:sz="0" w:space="0" w:color="auto"/>
            <w:bottom w:val="none" w:sz="0" w:space="0" w:color="auto"/>
            <w:right w:val="none" w:sz="0" w:space="0" w:color="auto"/>
          </w:divBdr>
        </w:div>
        <w:div w:id="1882089145">
          <w:marLeft w:val="0"/>
          <w:marRight w:val="0"/>
          <w:marTop w:val="0"/>
          <w:marBottom w:val="0"/>
          <w:divBdr>
            <w:top w:val="none" w:sz="0" w:space="0" w:color="auto"/>
            <w:left w:val="none" w:sz="0" w:space="0" w:color="auto"/>
            <w:bottom w:val="none" w:sz="0" w:space="0" w:color="auto"/>
            <w:right w:val="none" w:sz="0" w:space="0" w:color="auto"/>
          </w:divBdr>
        </w:div>
        <w:div w:id="3556937">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570827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9714141">
      <w:bodyDiv w:val="1"/>
      <w:marLeft w:val="0"/>
      <w:marRight w:val="0"/>
      <w:marTop w:val="0"/>
      <w:marBottom w:val="0"/>
      <w:divBdr>
        <w:top w:val="none" w:sz="0" w:space="0" w:color="auto"/>
        <w:left w:val="none" w:sz="0" w:space="0" w:color="auto"/>
        <w:bottom w:val="none" w:sz="0" w:space="0" w:color="auto"/>
        <w:right w:val="none" w:sz="0" w:space="0" w:color="auto"/>
      </w:divBdr>
    </w:div>
    <w:div w:id="617108872">
      <w:bodyDiv w:val="1"/>
      <w:marLeft w:val="0"/>
      <w:marRight w:val="0"/>
      <w:marTop w:val="0"/>
      <w:marBottom w:val="0"/>
      <w:divBdr>
        <w:top w:val="none" w:sz="0" w:space="0" w:color="auto"/>
        <w:left w:val="none" w:sz="0" w:space="0" w:color="auto"/>
        <w:bottom w:val="none" w:sz="0" w:space="0" w:color="auto"/>
        <w:right w:val="none" w:sz="0" w:space="0" w:color="auto"/>
      </w:divBdr>
    </w:div>
    <w:div w:id="827937150">
      <w:bodyDiv w:val="1"/>
      <w:marLeft w:val="0"/>
      <w:marRight w:val="0"/>
      <w:marTop w:val="0"/>
      <w:marBottom w:val="0"/>
      <w:divBdr>
        <w:top w:val="none" w:sz="0" w:space="0" w:color="auto"/>
        <w:left w:val="none" w:sz="0" w:space="0" w:color="auto"/>
        <w:bottom w:val="none" w:sz="0" w:space="0" w:color="auto"/>
        <w:right w:val="none" w:sz="0" w:space="0" w:color="auto"/>
      </w:divBdr>
    </w:div>
    <w:div w:id="856194683">
      <w:bodyDiv w:val="1"/>
      <w:marLeft w:val="0"/>
      <w:marRight w:val="0"/>
      <w:marTop w:val="0"/>
      <w:marBottom w:val="0"/>
      <w:divBdr>
        <w:top w:val="none" w:sz="0" w:space="0" w:color="auto"/>
        <w:left w:val="none" w:sz="0" w:space="0" w:color="auto"/>
        <w:bottom w:val="none" w:sz="0" w:space="0" w:color="auto"/>
        <w:right w:val="none" w:sz="0" w:space="0" w:color="auto"/>
      </w:divBdr>
    </w:div>
    <w:div w:id="1043334944">
      <w:bodyDiv w:val="1"/>
      <w:marLeft w:val="0"/>
      <w:marRight w:val="0"/>
      <w:marTop w:val="0"/>
      <w:marBottom w:val="0"/>
      <w:divBdr>
        <w:top w:val="none" w:sz="0" w:space="0" w:color="auto"/>
        <w:left w:val="none" w:sz="0" w:space="0" w:color="auto"/>
        <w:bottom w:val="none" w:sz="0" w:space="0" w:color="auto"/>
        <w:right w:val="none" w:sz="0" w:space="0" w:color="auto"/>
      </w:divBdr>
    </w:div>
    <w:div w:id="105172815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500">
      <w:bodyDiv w:val="1"/>
      <w:marLeft w:val="0"/>
      <w:marRight w:val="0"/>
      <w:marTop w:val="0"/>
      <w:marBottom w:val="0"/>
      <w:divBdr>
        <w:top w:val="none" w:sz="0" w:space="0" w:color="auto"/>
        <w:left w:val="none" w:sz="0" w:space="0" w:color="auto"/>
        <w:bottom w:val="none" w:sz="0" w:space="0" w:color="auto"/>
        <w:right w:val="none" w:sz="0" w:space="0" w:color="auto"/>
      </w:divBdr>
    </w:div>
    <w:div w:id="1497185971">
      <w:bodyDiv w:val="1"/>
      <w:marLeft w:val="0"/>
      <w:marRight w:val="0"/>
      <w:marTop w:val="0"/>
      <w:marBottom w:val="0"/>
      <w:divBdr>
        <w:top w:val="none" w:sz="0" w:space="0" w:color="auto"/>
        <w:left w:val="none" w:sz="0" w:space="0" w:color="auto"/>
        <w:bottom w:val="none" w:sz="0" w:space="0" w:color="auto"/>
        <w:right w:val="none" w:sz="0" w:space="0" w:color="auto"/>
      </w:divBdr>
    </w:div>
    <w:div w:id="1582524744">
      <w:bodyDiv w:val="1"/>
      <w:marLeft w:val="0"/>
      <w:marRight w:val="0"/>
      <w:marTop w:val="0"/>
      <w:marBottom w:val="0"/>
      <w:divBdr>
        <w:top w:val="none" w:sz="0" w:space="0" w:color="auto"/>
        <w:left w:val="none" w:sz="0" w:space="0" w:color="auto"/>
        <w:bottom w:val="none" w:sz="0" w:space="0" w:color="auto"/>
        <w:right w:val="none" w:sz="0" w:space="0" w:color="auto"/>
      </w:divBdr>
    </w:div>
    <w:div w:id="1636837058">
      <w:bodyDiv w:val="1"/>
      <w:marLeft w:val="0"/>
      <w:marRight w:val="0"/>
      <w:marTop w:val="0"/>
      <w:marBottom w:val="0"/>
      <w:divBdr>
        <w:top w:val="none" w:sz="0" w:space="0" w:color="auto"/>
        <w:left w:val="none" w:sz="0" w:space="0" w:color="auto"/>
        <w:bottom w:val="none" w:sz="0" w:space="0" w:color="auto"/>
        <w:right w:val="none" w:sz="0" w:space="0" w:color="auto"/>
      </w:divBdr>
      <w:divsChild>
        <w:div w:id="778335326">
          <w:marLeft w:val="605"/>
          <w:marRight w:val="0"/>
          <w:marTop w:val="40"/>
          <w:marBottom w:val="80"/>
          <w:divBdr>
            <w:top w:val="none" w:sz="0" w:space="0" w:color="auto"/>
            <w:left w:val="none" w:sz="0" w:space="0" w:color="auto"/>
            <w:bottom w:val="none" w:sz="0" w:space="0" w:color="auto"/>
            <w:right w:val="none" w:sz="0" w:space="0" w:color="auto"/>
          </w:divBdr>
        </w:div>
      </w:divsChild>
    </w:div>
    <w:div w:id="1729567894">
      <w:bodyDiv w:val="1"/>
      <w:marLeft w:val="0"/>
      <w:marRight w:val="0"/>
      <w:marTop w:val="0"/>
      <w:marBottom w:val="0"/>
      <w:divBdr>
        <w:top w:val="none" w:sz="0" w:space="0" w:color="auto"/>
        <w:left w:val="none" w:sz="0" w:space="0" w:color="auto"/>
        <w:bottom w:val="none" w:sz="0" w:space="0" w:color="auto"/>
        <w:right w:val="none" w:sz="0" w:space="0" w:color="auto"/>
      </w:divBdr>
    </w:div>
    <w:div w:id="1756588413">
      <w:bodyDiv w:val="1"/>
      <w:marLeft w:val="0"/>
      <w:marRight w:val="0"/>
      <w:marTop w:val="0"/>
      <w:marBottom w:val="0"/>
      <w:divBdr>
        <w:top w:val="none" w:sz="0" w:space="0" w:color="auto"/>
        <w:left w:val="none" w:sz="0" w:space="0" w:color="auto"/>
        <w:bottom w:val="none" w:sz="0" w:space="0" w:color="auto"/>
        <w:right w:val="none" w:sz="0" w:space="0" w:color="auto"/>
      </w:divBdr>
      <w:divsChild>
        <w:div w:id="532501481">
          <w:marLeft w:val="1800"/>
          <w:marRight w:val="0"/>
          <w:marTop w:val="100"/>
          <w:marBottom w:val="0"/>
          <w:divBdr>
            <w:top w:val="none" w:sz="0" w:space="0" w:color="auto"/>
            <w:left w:val="none" w:sz="0" w:space="0" w:color="auto"/>
            <w:bottom w:val="none" w:sz="0" w:space="0" w:color="auto"/>
            <w:right w:val="none" w:sz="0" w:space="0" w:color="auto"/>
          </w:divBdr>
        </w:div>
        <w:div w:id="1142305751">
          <w:marLeft w:val="180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45056015">
      <w:bodyDiv w:val="1"/>
      <w:marLeft w:val="0"/>
      <w:marRight w:val="0"/>
      <w:marTop w:val="0"/>
      <w:marBottom w:val="0"/>
      <w:divBdr>
        <w:top w:val="none" w:sz="0" w:space="0" w:color="auto"/>
        <w:left w:val="none" w:sz="0" w:space="0" w:color="auto"/>
        <w:bottom w:val="none" w:sz="0" w:space="0" w:color="auto"/>
        <w:right w:val="none" w:sz="0" w:space="0" w:color="auto"/>
      </w:divBdr>
    </w:div>
    <w:div w:id="20655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8F3D-8543-481A-8B52-DC837A1C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17710</Words>
  <Characters>102901</Characters>
  <Application>Microsoft Office Word</Application>
  <DocSecurity>0</DocSecurity>
  <Lines>857</Lines>
  <Paragraphs>240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5.03	ESKETAMINE, Nasal spray solution 28 mg, Spravato®, Janssen-Cilag Pty Ltd.</vt:lpstr>
      <vt:lpstr>Purpose of submission</vt:lpstr>
      <vt:lpstr>Background</vt:lpstr>
      <vt:lpstr>    Registration status</vt:lpstr>
      <vt:lpstr>    Clinical expert advice</vt:lpstr>
      <vt:lpstr>Requested listing</vt:lpstr>
      <vt:lpstr>Population and disease</vt:lpstr>
      <vt:lpstr>Comparator</vt:lpstr>
      <vt:lpstr>Consideration of the evidence</vt:lpstr>
      <vt:lpstr>    Sponsor hearing</vt:lpstr>
      <vt:lpstr>    Consumer comments</vt:lpstr>
      <vt:lpstr>    Clinical studies</vt:lpstr>
      <vt:lpstr>    Comparative effectiveness</vt:lpstr>
      <vt:lpstr>        Short term studies (TRANSFORM trials)</vt:lpstr>
      <vt:lpstr>        Maintenance study (SUSTAIN-1)</vt:lpstr>
      <vt:lpstr>    Comparative harms</vt:lpstr>
      <vt:lpstr>    Benefits/harms</vt:lpstr>
      <vt:lpstr>    Clinical claim</vt:lpstr>
      <vt:lpstr>    Economic analysis </vt:lpstr>
      <vt:lpstr>    Drug cost/patient/treatment phase</vt:lpstr>
      <vt:lpstr>    Estimated PBS usage &amp; financial implications</vt:lpstr>
    </vt:vector>
  </TitlesOfParts>
  <Company/>
  <LinksUpToDate>false</LinksUpToDate>
  <CharactersWithSpaces>120371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2021-11-07T23:09:00Z</dcterms:created>
  <dcterms:modified xsi:type="dcterms:W3CDTF">2021-11-07T23:09:00Z</dcterms:modified>
</cp:coreProperties>
</file>