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245" w:rsidRPr="00632EF3" w:rsidRDefault="003F125D" w:rsidP="003F125D">
      <w:pPr>
        <w:pStyle w:val="1-MainHeading"/>
        <w:ind w:left="1134" w:hanging="1134"/>
      </w:pPr>
      <w:r w:rsidRPr="00632EF3">
        <w:t>6.18</w:t>
      </w:r>
      <w:r w:rsidRPr="00632EF3">
        <w:tab/>
        <w:t>FOLLITROPIN ALFA</w:t>
      </w:r>
      <w:r w:rsidR="008B247F" w:rsidRPr="00632EF3">
        <w:br/>
      </w:r>
      <w:r w:rsidR="00AC7245" w:rsidRPr="00632EF3">
        <w:t>Injection 300 I.U. in 0.5 mL multi-dose cartridge</w:t>
      </w:r>
      <w:r w:rsidR="00AC7245" w:rsidRPr="00632EF3">
        <w:br/>
        <w:t>Injection 450 I.U. in 0.75 mL multi-dose cartridge Injection 900 I.U. in 1.5 mL multi-dose cartridge</w:t>
      </w:r>
      <w:r w:rsidR="00083856" w:rsidRPr="00632EF3">
        <w:t>,</w:t>
      </w:r>
      <w:r w:rsidR="00AC7245" w:rsidRPr="00632EF3">
        <w:br/>
        <w:t>Ovaleap®,</w:t>
      </w:r>
      <w:r w:rsidR="00AC7245" w:rsidRPr="00632EF3">
        <w:br/>
        <w:t>Theramex Australia Pty Ltd</w:t>
      </w:r>
    </w:p>
    <w:p w:rsidR="00D803CC" w:rsidRPr="00632EF3" w:rsidRDefault="003E3B79" w:rsidP="003F2AAA">
      <w:pPr>
        <w:pStyle w:val="2-SectionHeading"/>
      </w:pPr>
      <w:r w:rsidRPr="00632EF3">
        <w:t>Purpose of Application</w:t>
      </w:r>
    </w:p>
    <w:p w:rsidR="003E3B79" w:rsidRPr="00632EF3" w:rsidRDefault="003E3B79" w:rsidP="003E3B79">
      <w:pPr>
        <w:pStyle w:val="3-BodyText"/>
      </w:pPr>
      <w:r w:rsidRPr="00632EF3">
        <w:t xml:space="preserve">The Category 3 submission sought </w:t>
      </w:r>
      <w:r w:rsidR="00B6473C" w:rsidRPr="00632EF3">
        <w:t>Section 85 and Section 100 IVF listing of</w:t>
      </w:r>
      <w:r w:rsidRPr="00632EF3">
        <w:t xml:space="preserve"> a new biosimilar medicine</w:t>
      </w:r>
      <w:r w:rsidR="0052430D" w:rsidRPr="00632EF3">
        <w:t>,</w:t>
      </w:r>
      <w:r w:rsidRPr="00632EF3">
        <w:t xml:space="preserve"> follitropin alfa (Ovaleap®) </w:t>
      </w:r>
      <w:r w:rsidR="00B6473C" w:rsidRPr="00632EF3">
        <w:t>in the form of 300</w:t>
      </w:r>
      <w:r w:rsidR="00BC5000" w:rsidRPr="00632EF3">
        <w:t> </w:t>
      </w:r>
      <w:r w:rsidR="00B6473C" w:rsidRPr="00632EF3">
        <w:t>I</w:t>
      </w:r>
      <w:r w:rsidR="00220275">
        <w:t>.</w:t>
      </w:r>
      <w:r w:rsidR="00B6473C" w:rsidRPr="00632EF3">
        <w:t>U</w:t>
      </w:r>
      <w:r w:rsidR="00220275">
        <w:t>.</w:t>
      </w:r>
      <w:r w:rsidR="00B6473C" w:rsidRPr="00632EF3">
        <w:t>, 450 I</w:t>
      </w:r>
      <w:r w:rsidR="00220275">
        <w:t>.</w:t>
      </w:r>
      <w:r w:rsidR="00B6473C" w:rsidRPr="00632EF3">
        <w:t>U</w:t>
      </w:r>
      <w:r w:rsidR="00220275">
        <w:t>.</w:t>
      </w:r>
      <w:r w:rsidR="00B6473C" w:rsidRPr="00632EF3">
        <w:t xml:space="preserve"> and 900 I</w:t>
      </w:r>
      <w:r w:rsidR="00220275">
        <w:t>.</w:t>
      </w:r>
      <w:r w:rsidR="00B6473C" w:rsidRPr="00632EF3">
        <w:t>U</w:t>
      </w:r>
      <w:r w:rsidR="00220275">
        <w:t>.</w:t>
      </w:r>
      <w:r w:rsidR="00B6473C" w:rsidRPr="00632EF3">
        <w:t xml:space="preserve"> </w:t>
      </w:r>
      <w:r w:rsidR="007B219D" w:rsidRPr="00632EF3">
        <w:t xml:space="preserve">under </w:t>
      </w:r>
      <w:r w:rsidRPr="00632EF3">
        <w:t xml:space="preserve">the same </w:t>
      </w:r>
      <w:r w:rsidR="007B219D" w:rsidRPr="00632EF3">
        <w:t>conditions</w:t>
      </w:r>
      <w:r w:rsidRPr="00632EF3">
        <w:t xml:space="preserve"> as its </w:t>
      </w:r>
      <w:r w:rsidR="007B219D" w:rsidRPr="00632EF3">
        <w:t xml:space="preserve">PBS-listed </w:t>
      </w:r>
      <w:r w:rsidRPr="00632EF3">
        <w:t>reference biologic (Gonal-f®)</w:t>
      </w:r>
      <w:r w:rsidR="00B6473C" w:rsidRPr="00632EF3">
        <w:t>.</w:t>
      </w:r>
    </w:p>
    <w:p w:rsidR="003E3B79" w:rsidRPr="00632EF3" w:rsidRDefault="003E3B79" w:rsidP="003E3B79">
      <w:pPr>
        <w:pStyle w:val="2-SectionHeading"/>
      </w:pPr>
      <w:r w:rsidRPr="00632EF3">
        <w:t>Background</w:t>
      </w:r>
    </w:p>
    <w:p w:rsidR="00BC2EA6" w:rsidRPr="00632EF3" w:rsidRDefault="00BC2EA6" w:rsidP="00BC2EA6">
      <w:pPr>
        <w:pStyle w:val="Heading2"/>
      </w:pPr>
      <w:r w:rsidRPr="00632EF3">
        <w:t>Registration status</w:t>
      </w:r>
    </w:p>
    <w:p w:rsidR="00BF6355" w:rsidRPr="00632EF3" w:rsidRDefault="00BC2EA6" w:rsidP="00BC2EA6">
      <w:pPr>
        <w:pStyle w:val="3-BodyText"/>
      </w:pPr>
      <w:r w:rsidRPr="00632EF3">
        <w:t xml:space="preserve">Ovaleap was TGA registered on </w:t>
      </w:r>
      <w:r w:rsidR="00DD6222" w:rsidRPr="00632EF3">
        <w:t>10</w:t>
      </w:r>
      <w:r w:rsidRPr="00632EF3">
        <w:t xml:space="preserve"> March 2021 for</w:t>
      </w:r>
      <w:r w:rsidR="00BF6355" w:rsidRPr="00632EF3">
        <w:t>:</w:t>
      </w:r>
    </w:p>
    <w:p w:rsidR="00BF6355" w:rsidRPr="00632EF3" w:rsidRDefault="00BC2EA6" w:rsidP="00E72BCD">
      <w:pPr>
        <w:pStyle w:val="ListParagraph"/>
      </w:pPr>
      <w:r w:rsidRPr="00632EF3">
        <w:t>the treatment of anovulatory infertility in women who have been unresponsive to clomiphene citrate or where clomiphene citrate is contraindicated,</w:t>
      </w:r>
    </w:p>
    <w:p w:rsidR="00BF6355" w:rsidRPr="00632EF3" w:rsidRDefault="00BC2EA6" w:rsidP="00E72BCD">
      <w:pPr>
        <w:pStyle w:val="ListParagraph"/>
      </w:pPr>
      <w:r w:rsidRPr="00632EF3">
        <w:t xml:space="preserve">for controlled ovarian hyperstimulation in women undergoing </w:t>
      </w:r>
      <w:r w:rsidR="00CA472D" w:rsidRPr="00632EF3">
        <w:t>Assisted Reproductive Technology (</w:t>
      </w:r>
      <w:r w:rsidR="00043B92" w:rsidRPr="00632EF3">
        <w:t>ART</w:t>
      </w:r>
      <w:r w:rsidR="00CA472D" w:rsidRPr="00632EF3">
        <w:t>)</w:t>
      </w:r>
      <w:r w:rsidRPr="00632EF3">
        <w:t>,</w:t>
      </w:r>
    </w:p>
    <w:p w:rsidR="00BC2EA6" w:rsidRPr="00632EF3" w:rsidRDefault="0098563B" w:rsidP="00E72BCD">
      <w:pPr>
        <w:pStyle w:val="ListParagraph"/>
      </w:pPr>
      <w:r>
        <w:t xml:space="preserve">and </w:t>
      </w:r>
      <w:r w:rsidR="00BC2EA6" w:rsidRPr="00632EF3">
        <w:t>with concomitant human chorionic gonadotrophin (hCG) therapy for the stimulation of spermatogenesis in gonadotrophin-deficient men in whom hCG alone is ineffective.</w:t>
      </w:r>
    </w:p>
    <w:p w:rsidR="003E3B79" w:rsidRPr="00632EF3" w:rsidRDefault="00BC2EA6" w:rsidP="00BC2EA6">
      <w:pPr>
        <w:pStyle w:val="Heading2"/>
      </w:pPr>
      <w:r w:rsidRPr="00632EF3">
        <w:t>Previous PBAC consideration</w:t>
      </w:r>
    </w:p>
    <w:p w:rsidR="00CC4079" w:rsidRPr="00632EF3" w:rsidRDefault="00CC4079" w:rsidP="00CC4079">
      <w:pPr>
        <w:pStyle w:val="3-BodyText"/>
      </w:pPr>
      <w:r w:rsidRPr="00632EF3">
        <w:t>Ovaleap has not been considered by the PBAC previously.</w:t>
      </w:r>
    </w:p>
    <w:p w:rsidR="00BC2EA6" w:rsidRPr="00632EF3" w:rsidRDefault="00CA3269" w:rsidP="00BC2EA6">
      <w:pPr>
        <w:pStyle w:val="3-BodyText"/>
      </w:pPr>
      <w:r w:rsidRPr="00632EF3">
        <w:t xml:space="preserve">The </w:t>
      </w:r>
      <w:r w:rsidR="00E81892">
        <w:t>originator brand of</w:t>
      </w:r>
      <w:r w:rsidRPr="00632EF3">
        <w:t xml:space="preserve"> follitropin alfa,</w:t>
      </w:r>
      <w:r w:rsidR="00E81892">
        <w:t xml:space="preserve"> </w:t>
      </w:r>
      <w:r w:rsidR="00BC2EA6" w:rsidRPr="00632EF3">
        <w:t>Gonal-f</w:t>
      </w:r>
      <w:r w:rsidRPr="00632EF3">
        <w:t>,</w:t>
      </w:r>
      <w:r w:rsidR="00BC2EA6" w:rsidRPr="00632EF3">
        <w:t xml:space="preserve"> was first </w:t>
      </w:r>
      <w:r w:rsidR="00E200F9" w:rsidRPr="00632EF3">
        <w:t>considered by the PBAC in December 1997</w:t>
      </w:r>
      <w:r w:rsidR="00BF6355" w:rsidRPr="00632EF3">
        <w:t>,</w:t>
      </w:r>
      <w:r w:rsidR="00E200F9" w:rsidRPr="00632EF3">
        <w:t xml:space="preserve"> and first </w:t>
      </w:r>
      <w:r w:rsidR="00BC2EA6" w:rsidRPr="00632EF3">
        <w:t xml:space="preserve">listed </w:t>
      </w:r>
      <w:r w:rsidR="00E200F9" w:rsidRPr="00632EF3">
        <w:t>o</w:t>
      </w:r>
      <w:r w:rsidR="00BC2EA6" w:rsidRPr="00632EF3">
        <w:t xml:space="preserve">n </w:t>
      </w:r>
      <w:r w:rsidR="00E200F9" w:rsidRPr="00632EF3">
        <w:t>1 April 1998</w:t>
      </w:r>
      <w:r w:rsidR="000F5688" w:rsidRPr="00632EF3">
        <w:t>.</w:t>
      </w:r>
      <w:r w:rsidR="004447C4" w:rsidRPr="00632EF3">
        <w:t xml:space="preserve"> </w:t>
      </w:r>
    </w:p>
    <w:p w:rsidR="00A11C3B" w:rsidRPr="00632EF3" w:rsidRDefault="00CA3269" w:rsidP="00B462D0">
      <w:pPr>
        <w:pStyle w:val="3-BodyText"/>
      </w:pPr>
      <w:r w:rsidRPr="00632EF3">
        <w:t xml:space="preserve">The first follitropin alfa biosimilar product </w:t>
      </w:r>
      <w:r w:rsidR="00BC2EA6" w:rsidRPr="00632EF3">
        <w:t>Bemfola</w:t>
      </w:r>
      <w:r w:rsidR="004447C4" w:rsidRPr="00632EF3">
        <w:t>®</w:t>
      </w:r>
      <w:r w:rsidR="00696614" w:rsidRPr="00632EF3">
        <w:t xml:space="preserve">, </w:t>
      </w:r>
      <w:r w:rsidR="00BC2EA6" w:rsidRPr="00632EF3">
        <w:t>was recommended</w:t>
      </w:r>
      <w:r w:rsidR="00456D7E">
        <w:t xml:space="preserve"> </w:t>
      </w:r>
      <w:r w:rsidR="00BC2EA6" w:rsidRPr="00632EF3">
        <w:t xml:space="preserve">in March 2016 </w:t>
      </w:r>
      <w:r w:rsidR="00E200F9" w:rsidRPr="00632EF3">
        <w:t>and listed on 1 August 2016.</w:t>
      </w:r>
    </w:p>
    <w:p w:rsidR="000F5688" w:rsidRPr="00632EF3" w:rsidRDefault="000F5688" w:rsidP="000F5688">
      <w:pPr>
        <w:pStyle w:val="2-SectionHeading"/>
      </w:pPr>
      <w:r w:rsidRPr="00632EF3">
        <w:t>Requested listing</w:t>
      </w:r>
    </w:p>
    <w:p w:rsidR="003F1FD2" w:rsidRPr="00632EF3" w:rsidRDefault="003F1FD2" w:rsidP="003F1FD2">
      <w:pPr>
        <w:pStyle w:val="3-BodyText"/>
      </w:pPr>
      <w:r w:rsidRPr="00632EF3">
        <w:t xml:space="preserve">The proposed listings </w:t>
      </w:r>
      <w:r w:rsidR="00CA3269" w:rsidRPr="00632EF3">
        <w:t xml:space="preserve">were </w:t>
      </w:r>
      <w:r w:rsidRPr="00632EF3">
        <w:t>for all</w:t>
      </w:r>
      <w:r w:rsidR="008F363E">
        <w:t xml:space="preserve"> the</w:t>
      </w:r>
      <w:r w:rsidRPr="00632EF3">
        <w:t xml:space="preserve"> indications for which the reference brand Gonal-f is currently PBS listed:</w:t>
      </w:r>
    </w:p>
    <w:p w:rsidR="003F1FD2" w:rsidRPr="00632EF3" w:rsidRDefault="003F1FD2" w:rsidP="003F1FD2">
      <w:pPr>
        <w:pStyle w:val="3-BodyText"/>
        <w:numPr>
          <w:ilvl w:val="0"/>
          <w:numId w:val="36"/>
        </w:numPr>
      </w:pPr>
      <w:r w:rsidRPr="00632EF3">
        <w:t>women undergoing Assisted Reproductive Technology (ART)</w:t>
      </w:r>
      <w:r w:rsidR="00A14603" w:rsidRPr="00632EF3">
        <w:t>,</w:t>
      </w:r>
    </w:p>
    <w:p w:rsidR="003F1FD2" w:rsidRPr="00632EF3" w:rsidRDefault="003F1FD2" w:rsidP="003F1FD2">
      <w:pPr>
        <w:pStyle w:val="3-BodyText"/>
        <w:numPr>
          <w:ilvl w:val="0"/>
          <w:numId w:val="36"/>
        </w:numPr>
      </w:pPr>
      <w:r w:rsidRPr="00632EF3">
        <w:lastRenderedPageBreak/>
        <w:t>anovulatory infertility</w:t>
      </w:r>
      <w:r w:rsidR="00A14603" w:rsidRPr="00632EF3">
        <w:t>,</w:t>
      </w:r>
    </w:p>
    <w:p w:rsidR="003F1FD2" w:rsidRPr="00632EF3" w:rsidRDefault="003F1FD2" w:rsidP="003F1FD2">
      <w:pPr>
        <w:pStyle w:val="3-BodyText"/>
        <w:numPr>
          <w:ilvl w:val="0"/>
          <w:numId w:val="36"/>
        </w:numPr>
      </w:pPr>
      <w:r w:rsidRPr="00632EF3">
        <w:t>infertility due to hypogonadotrophic hypogonadism.</w:t>
      </w:r>
    </w:p>
    <w:p w:rsidR="008A627A" w:rsidRPr="00632EF3" w:rsidRDefault="001B4741" w:rsidP="008A627A">
      <w:pPr>
        <w:pStyle w:val="3-BodyText"/>
      </w:pPr>
      <w:r w:rsidRPr="00632EF3">
        <w:t>The submission requested the PBAC consider if remov</w:t>
      </w:r>
      <w:r w:rsidR="00A5379E" w:rsidRPr="00632EF3">
        <w:t>ing</w:t>
      </w:r>
      <w:r w:rsidRPr="00632EF3">
        <w:t xml:space="preserve"> the authority requirement for the S100 IVF listings is appropriate</w:t>
      </w:r>
      <w:r w:rsidR="002A10C1" w:rsidRPr="00632EF3">
        <w:t xml:space="preserve"> (i.e. changing the listings to restricted benefits)</w:t>
      </w:r>
      <w:r w:rsidRPr="00632EF3">
        <w:t>.</w:t>
      </w:r>
      <w:r w:rsidR="00B56554" w:rsidRPr="00632EF3">
        <w:t xml:space="preserve"> The PBAC</w:t>
      </w:r>
      <w:r w:rsidR="003138D0" w:rsidRPr="00632EF3">
        <w:t xml:space="preserve"> did</w:t>
      </w:r>
      <w:r w:rsidR="00B3045F" w:rsidRPr="00632EF3">
        <w:t xml:space="preserve"> not consider that changing the S100 IVF listings to restricted benefits would have a meaningful impact on uptake. As such, the PBAC did not</w:t>
      </w:r>
      <w:r w:rsidR="003138D0" w:rsidRPr="00632EF3">
        <w:t xml:space="preserve"> </w:t>
      </w:r>
      <w:r w:rsidR="00B3045F" w:rsidRPr="00632EF3">
        <w:t>recommend removing the authority requirement for these listings</w:t>
      </w:r>
      <w:r w:rsidR="00B56554" w:rsidRPr="00632EF3">
        <w:t>.</w:t>
      </w:r>
    </w:p>
    <w:p w:rsidR="0098563B" w:rsidRDefault="00B3045F" w:rsidP="00CC7463">
      <w:pPr>
        <w:pStyle w:val="3-BodyText"/>
      </w:pPr>
      <w:r w:rsidRPr="00632EF3">
        <w:t>The submission requested listing three existing strengths</w:t>
      </w:r>
      <w:r w:rsidR="00DB5859" w:rsidRPr="00632EF3">
        <w:t xml:space="preserve"> (300 I</w:t>
      </w:r>
      <w:r w:rsidR="00220275">
        <w:t>.</w:t>
      </w:r>
      <w:r w:rsidR="00DB5859" w:rsidRPr="00632EF3">
        <w:t>U</w:t>
      </w:r>
      <w:r w:rsidR="00220275">
        <w:t>.</w:t>
      </w:r>
      <w:r w:rsidR="00DB5859" w:rsidRPr="00632EF3">
        <w:t>, 450 I</w:t>
      </w:r>
      <w:r w:rsidR="00220275">
        <w:t>.</w:t>
      </w:r>
      <w:r w:rsidR="00DB5859" w:rsidRPr="00632EF3">
        <w:t>U</w:t>
      </w:r>
      <w:r w:rsidR="00220275">
        <w:t>.</w:t>
      </w:r>
      <w:r w:rsidR="00DB5859" w:rsidRPr="00632EF3">
        <w:t xml:space="preserve"> and 900 I</w:t>
      </w:r>
      <w:r w:rsidR="00220275">
        <w:t>.</w:t>
      </w:r>
      <w:r w:rsidR="00DB5859" w:rsidRPr="00632EF3">
        <w:t>U</w:t>
      </w:r>
      <w:r w:rsidR="00220275">
        <w:t>.</w:t>
      </w:r>
      <w:r w:rsidR="00DB5859" w:rsidRPr="00632EF3">
        <w:t>)</w:t>
      </w:r>
      <w:r w:rsidRPr="00632EF3">
        <w:t xml:space="preserve"> in the form of cartridges (the existing trade products have the forms of ‘pen device’ and ‘pen devices’) and for Ovaleap to be considered equivalent (‘a’-flagged) with the corresponding ‘Gonal-f’ branded products for the purposes of substitution, as outlined in the tables below. The PBAC considered this to be appropriate.</w:t>
      </w:r>
    </w:p>
    <w:p w:rsidR="0098563B" w:rsidRDefault="0098563B">
      <w:pPr>
        <w:jc w:val="left"/>
        <w:rPr>
          <w:rFonts w:asciiTheme="minorHAnsi" w:eastAsiaTheme="minorHAnsi" w:hAnsiTheme="minorHAnsi" w:cstheme="minorBidi"/>
          <w:szCs w:val="22"/>
        </w:rPr>
      </w:pPr>
      <w:r>
        <w:br w:type="page"/>
      </w:r>
    </w:p>
    <w:p w:rsidR="00D61BEE" w:rsidRDefault="00D61BEE" w:rsidP="0098563B">
      <w:pPr>
        <w:pStyle w:val="3-BodyText"/>
        <w:numPr>
          <w:ilvl w:val="0"/>
          <w:numId w:val="0"/>
        </w:numPr>
      </w:pP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8"/>
        <w:gridCol w:w="828"/>
        <w:gridCol w:w="967"/>
        <w:gridCol w:w="828"/>
        <w:gridCol w:w="690"/>
        <w:gridCol w:w="1105"/>
      </w:tblGrid>
      <w:tr w:rsidR="001B4741" w:rsidRPr="00632EF3" w:rsidTr="00456D7E">
        <w:trPr>
          <w:cantSplit/>
          <w:trHeight w:val="471"/>
        </w:trPr>
        <w:tc>
          <w:tcPr>
            <w:tcW w:w="2536" w:type="pct"/>
          </w:tcPr>
          <w:p w:rsidR="001B4741" w:rsidRPr="00632EF3" w:rsidRDefault="001B4741" w:rsidP="006E6758">
            <w:pPr>
              <w:pStyle w:val="In-tableHeading"/>
              <w:rPr>
                <w:lang w:val="en-AU"/>
              </w:rPr>
            </w:pPr>
            <w:r w:rsidRPr="00632EF3">
              <w:rPr>
                <w:lang w:val="en-AU"/>
              </w:rPr>
              <w:t>MEDICINAL PRODUCT</w:t>
            </w:r>
          </w:p>
          <w:p w:rsidR="001B4741" w:rsidRPr="00632EF3" w:rsidRDefault="001B4741" w:rsidP="006E6758">
            <w:pPr>
              <w:pStyle w:val="In-tableHeading"/>
              <w:rPr>
                <w:lang w:val="en-AU"/>
              </w:rPr>
            </w:pPr>
            <w:r w:rsidRPr="00632EF3">
              <w:rPr>
                <w:lang w:val="en-AU"/>
              </w:rPr>
              <w:t>medicinal product pack</w:t>
            </w:r>
          </w:p>
        </w:tc>
        <w:tc>
          <w:tcPr>
            <w:tcW w:w="462" w:type="pct"/>
          </w:tcPr>
          <w:p w:rsidR="001B4741" w:rsidRPr="00632EF3" w:rsidRDefault="001B4741" w:rsidP="006E6758">
            <w:pPr>
              <w:keepNext/>
              <w:ind w:left="-108"/>
              <w:jc w:val="center"/>
              <w:rPr>
                <w:rFonts w:ascii="Arial Narrow" w:hAnsi="Arial Narrow" w:cs="Arial"/>
                <w:b/>
                <w:sz w:val="18"/>
                <w:szCs w:val="18"/>
              </w:rPr>
            </w:pPr>
            <w:r w:rsidRPr="00632EF3">
              <w:rPr>
                <w:rFonts w:ascii="Arial Narrow" w:hAnsi="Arial Narrow" w:cs="Arial"/>
                <w:b/>
                <w:sz w:val="18"/>
                <w:szCs w:val="18"/>
              </w:rPr>
              <w:t>PBS item code</w:t>
            </w:r>
          </w:p>
        </w:tc>
        <w:tc>
          <w:tcPr>
            <w:tcW w:w="539" w:type="pct"/>
          </w:tcPr>
          <w:p w:rsidR="001B4741" w:rsidRPr="00632EF3" w:rsidRDefault="001B4741" w:rsidP="006E6758">
            <w:pPr>
              <w:keepNext/>
              <w:ind w:left="-108"/>
              <w:jc w:val="center"/>
              <w:rPr>
                <w:rFonts w:ascii="Arial Narrow" w:hAnsi="Arial Narrow" w:cs="Arial"/>
                <w:b/>
                <w:sz w:val="18"/>
                <w:szCs w:val="18"/>
              </w:rPr>
            </w:pPr>
            <w:r w:rsidRPr="00632EF3">
              <w:rPr>
                <w:rFonts w:ascii="Arial Narrow" w:hAnsi="Arial Narrow" w:cs="Arial"/>
                <w:b/>
                <w:sz w:val="18"/>
                <w:szCs w:val="18"/>
              </w:rPr>
              <w:t>Max. qty packs</w:t>
            </w:r>
          </w:p>
        </w:tc>
        <w:tc>
          <w:tcPr>
            <w:tcW w:w="462" w:type="pct"/>
          </w:tcPr>
          <w:p w:rsidR="001B4741" w:rsidRPr="00632EF3" w:rsidRDefault="001B4741" w:rsidP="006E6758">
            <w:pPr>
              <w:keepNext/>
              <w:ind w:left="-108"/>
              <w:jc w:val="center"/>
              <w:rPr>
                <w:rFonts w:ascii="Arial Narrow" w:hAnsi="Arial Narrow" w:cs="Arial"/>
                <w:b/>
                <w:sz w:val="18"/>
                <w:szCs w:val="18"/>
              </w:rPr>
            </w:pPr>
            <w:r w:rsidRPr="00632EF3">
              <w:rPr>
                <w:rFonts w:ascii="Arial Narrow" w:hAnsi="Arial Narrow" w:cs="Arial"/>
                <w:b/>
                <w:sz w:val="18"/>
                <w:szCs w:val="18"/>
              </w:rPr>
              <w:t>Max. qty units</w:t>
            </w:r>
          </w:p>
        </w:tc>
        <w:tc>
          <w:tcPr>
            <w:tcW w:w="385" w:type="pct"/>
          </w:tcPr>
          <w:p w:rsidR="001B4741" w:rsidRPr="00632EF3" w:rsidRDefault="001B4741" w:rsidP="006E6758">
            <w:pPr>
              <w:keepNext/>
              <w:ind w:left="-108"/>
              <w:jc w:val="center"/>
              <w:rPr>
                <w:rFonts w:ascii="Arial Narrow" w:hAnsi="Arial Narrow" w:cs="Arial"/>
                <w:b/>
                <w:sz w:val="18"/>
                <w:szCs w:val="18"/>
              </w:rPr>
            </w:pPr>
            <w:r w:rsidRPr="00632EF3">
              <w:rPr>
                <w:rFonts w:ascii="Arial Narrow" w:hAnsi="Arial Narrow" w:cs="Arial"/>
                <w:b/>
                <w:sz w:val="18"/>
                <w:szCs w:val="18"/>
              </w:rPr>
              <w:t>№.of</w:t>
            </w:r>
          </w:p>
          <w:p w:rsidR="001B4741" w:rsidRPr="00632EF3" w:rsidRDefault="001B4741" w:rsidP="006E6758">
            <w:pPr>
              <w:keepNext/>
              <w:ind w:left="-108"/>
              <w:jc w:val="center"/>
              <w:rPr>
                <w:rFonts w:ascii="Arial Narrow" w:hAnsi="Arial Narrow" w:cs="Arial"/>
                <w:b/>
                <w:sz w:val="18"/>
                <w:szCs w:val="18"/>
              </w:rPr>
            </w:pPr>
            <w:r w:rsidRPr="00632EF3">
              <w:rPr>
                <w:rFonts w:ascii="Arial Narrow" w:hAnsi="Arial Narrow" w:cs="Arial"/>
                <w:b/>
                <w:sz w:val="18"/>
                <w:szCs w:val="18"/>
              </w:rPr>
              <w:t>Rpts</w:t>
            </w:r>
          </w:p>
        </w:tc>
        <w:tc>
          <w:tcPr>
            <w:tcW w:w="616" w:type="pct"/>
          </w:tcPr>
          <w:p w:rsidR="001B4741" w:rsidRPr="00632EF3" w:rsidRDefault="001B4741" w:rsidP="006E6758">
            <w:pPr>
              <w:keepNext/>
              <w:rPr>
                <w:rFonts w:ascii="Arial Narrow" w:hAnsi="Arial Narrow" w:cs="Arial"/>
                <w:b/>
                <w:sz w:val="18"/>
                <w:szCs w:val="18"/>
              </w:rPr>
            </w:pPr>
            <w:r w:rsidRPr="00632EF3">
              <w:rPr>
                <w:rFonts w:ascii="Arial Narrow" w:hAnsi="Arial Narrow" w:cs="Arial"/>
                <w:b/>
                <w:sz w:val="18"/>
                <w:szCs w:val="18"/>
              </w:rPr>
              <w:t>Available brands</w:t>
            </w:r>
          </w:p>
        </w:tc>
      </w:tr>
      <w:tr w:rsidR="001B4741" w:rsidRPr="00632EF3" w:rsidTr="00456D7E">
        <w:trPr>
          <w:cantSplit/>
          <w:trHeight w:val="224"/>
        </w:trPr>
        <w:tc>
          <w:tcPr>
            <w:tcW w:w="5000" w:type="pct"/>
            <w:gridSpan w:val="6"/>
          </w:tcPr>
          <w:p w:rsidR="001B4741" w:rsidRPr="00632EF3" w:rsidRDefault="001B4741" w:rsidP="006E6758">
            <w:pPr>
              <w:keepNext/>
              <w:ind w:left="-57"/>
              <w:rPr>
                <w:rFonts w:ascii="Arial Narrow" w:hAnsi="Arial Narrow" w:cs="Arial"/>
                <w:sz w:val="18"/>
                <w:szCs w:val="18"/>
              </w:rPr>
            </w:pPr>
            <w:r w:rsidRPr="00632EF3">
              <w:rPr>
                <w:rFonts w:ascii="Arial Narrow" w:hAnsi="Arial Narrow" w:cs="Arial"/>
                <w:sz w:val="18"/>
                <w:szCs w:val="18"/>
              </w:rPr>
              <w:t xml:space="preserve">FOLLITROPIN ALFA  </w:t>
            </w:r>
          </w:p>
        </w:tc>
      </w:tr>
      <w:tr w:rsidR="001B4741" w:rsidRPr="00632EF3" w:rsidTr="00456D7E">
        <w:trPr>
          <w:cantSplit/>
          <w:trHeight w:val="211"/>
        </w:trPr>
        <w:tc>
          <w:tcPr>
            <w:tcW w:w="2536" w:type="pct"/>
          </w:tcPr>
          <w:p w:rsidR="001B4741" w:rsidRPr="00632EF3" w:rsidRDefault="001B4741" w:rsidP="006E6758">
            <w:pPr>
              <w:keepNext/>
              <w:ind w:left="-57"/>
              <w:rPr>
                <w:rFonts w:ascii="Arial Narrow" w:hAnsi="Arial Narrow" w:cs="Arial"/>
                <w:i/>
                <w:sz w:val="18"/>
                <w:szCs w:val="18"/>
              </w:rPr>
            </w:pPr>
            <w:r w:rsidRPr="00632EF3">
              <w:rPr>
                <w:rFonts w:ascii="Arial Narrow" w:hAnsi="Arial Narrow" w:cs="Arial"/>
                <w:i/>
                <w:sz w:val="18"/>
                <w:szCs w:val="18"/>
              </w:rPr>
              <w:t>follitropin alfa 300 units (22 microgram)/0.5 mL injection, 0.5 mL cartridge</w:t>
            </w:r>
          </w:p>
        </w:tc>
        <w:tc>
          <w:tcPr>
            <w:tcW w:w="462" w:type="pct"/>
          </w:tcPr>
          <w:p w:rsidR="001B4741" w:rsidRPr="00632EF3" w:rsidRDefault="001B4741" w:rsidP="006E6758">
            <w:pPr>
              <w:keepNext/>
              <w:jc w:val="center"/>
              <w:rPr>
                <w:rFonts w:ascii="Arial Narrow" w:hAnsi="Arial Narrow" w:cs="Arial"/>
                <w:i/>
                <w:sz w:val="18"/>
                <w:szCs w:val="18"/>
              </w:rPr>
            </w:pPr>
            <w:r w:rsidRPr="00632EF3">
              <w:rPr>
                <w:rFonts w:ascii="Arial Narrow" w:hAnsi="Arial Narrow" w:cs="Arial"/>
                <w:i/>
                <w:sz w:val="18"/>
                <w:szCs w:val="18"/>
              </w:rPr>
              <w:t>NEW</w:t>
            </w:r>
          </w:p>
        </w:tc>
        <w:tc>
          <w:tcPr>
            <w:tcW w:w="539" w:type="pct"/>
          </w:tcPr>
          <w:p w:rsidR="001B4741" w:rsidRPr="00632EF3" w:rsidRDefault="001B4741" w:rsidP="006E6758">
            <w:pPr>
              <w:keepNext/>
              <w:jc w:val="center"/>
              <w:rPr>
                <w:rFonts w:ascii="Arial Narrow" w:hAnsi="Arial Narrow" w:cs="Arial"/>
                <w:i/>
                <w:sz w:val="18"/>
                <w:szCs w:val="18"/>
              </w:rPr>
            </w:pPr>
            <w:r w:rsidRPr="00632EF3">
              <w:rPr>
                <w:rFonts w:ascii="Arial Narrow" w:hAnsi="Arial Narrow" w:cs="Arial"/>
                <w:i/>
                <w:sz w:val="18"/>
                <w:szCs w:val="18"/>
              </w:rPr>
              <w:t>2</w:t>
            </w:r>
          </w:p>
        </w:tc>
        <w:tc>
          <w:tcPr>
            <w:tcW w:w="462" w:type="pct"/>
          </w:tcPr>
          <w:p w:rsidR="001B4741" w:rsidRPr="00632EF3" w:rsidRDefault="001B4741" w:rsidP="006E6758">
            <w:pPr>
              <w:keepNext/>
              <w:jc w:val="center"/>
              <w:rPr>
                <w:rFonts w:ascii="Arial Narrow" w:hAnsi="Arial Narrow" w:cs="Arial"/>
                <w:i/>
                <w:sz w:val="18"/>
                <w:szCs w:val="18"/>
              </w:rPr>
            </w:pPr>
            <w:r w:rsidRPr="00632EF3">
              <w:rPr>
                <w:rFonts w:ascii="Arial Narrow" w:hAnsi="Arial Narrow" w:cs="Arial"/>
                <w:i/>
                <w:sz w:val="18"/>
                <w:szCs w:val="18"/>
              </w:rPr>
              <w:t>2</w:t>
            </w:r>
          </w:p>
        </w:tc>
        <w:tc>
          <w:tcPr>
            <w:tcW w:w="385" w:type="pct"/>
          </w:tcPr>
          <w:p w:rsidR="001B4741" w:rsidRPr="00632EF3" w:rsidRDefault="001B4741" w:rsidP="006E6758">
            <w:pPr>
              <w:keepNext/>
              <w:jc w:val="center"/>
              <w:rPr>
                <w:rFonts w:ascii="Arial Narrow" w:hAnsi="Arial Narrow" w:cs="Arial"/>
                <w:i/>
                <w:sz w:val="18"/>
                <w:szCs w:val="18"/>
              </w:rPr>
            </w:pPr>
            <w:r w:rsidRPr="00632EF3">
              <w:rPr>
                <w:rFonts w:ascii="Arial Narrow" w:hAnsi="Arial Narrow" w:cs="Arial"/>
                <w:i/>
                <w:sz w:val="18"/>
                <w:szCs w:val="18"/>
              </w:rPr>
              <w:t>0</w:t>
            </w:r>
          </w:p>
        </w:tc>
        <w:tc>
          <w:tcPr>
            <w:tcW w:w="616" w:type="pct"/>
          </w:tcPr>
          <w:p w:rsidR="001B4741" w:rsidRPr="00632EF3" w:rsidRDefault="001B4741" w:rsidP="006E6758">
            <w:pPr>
              <w:keepNext/>
              <w:rPr>
                <w:rFonts w:ascii="Arial Narrow" w:hAnsi="Arial Narrow" w:cs="Arial"/>
                <w:i/>
                <w:sz w:val="18"/>
                <w:szCs w:val="18"/>
              </w:rPr>
            </w:pPr>
            <w:r w:rsidRPr="00632EF3">
              <w:rPr>
                <w:rFonts w:ascii="Arial Narrow" w:hAnsi="Arial Narrow" w:cs="Arial"/>
                <w:i/>
                <w:sz w:val="18"/>
                <w:szCs w:val="18"/>
                <w:vertAlign w:val="superscript"/>
              </w:rPr>
              <w:t xml:space="preserve">a </w:t>
            </w:r>
            <w:r w:rsidRPr="00632EF3">
              <w:rPr>
                <w:rFonts w:ascii="Arial Narrow" w:hAnsi="Arial Narrow" w:cs="Arial"/>
                <w:i/>
                <w:sz w:val="18"/>
                <w:szCs w:val="18"/>
              </w:rPr>
              <w:t>Ovaleap</w:t>
            </w:r>
          </w:p>
        </w:tc>
      </w:tr>
      <w:tr w:rsidR="001B4741" w:rsidRPr="00632EF3" w:rsidTr="00456D7E">
        <w:trPr>
          <w:cantSplit/>
          <w:trHeight w:val="211"/>
        </w:trPr>
        <w:tc>
          <w:tcPr>
            <w:tcW w:w="2536" w:type="pct"/>
          </w:tcPr>
          <w:p w:rsidR="001B4741" w:rsidRPr="00632EF3" w:rsidRDefault="001B4741" w:rsidP="006E6758">
            <w:pPr>
              <w:keepNext/>
              <w:ind w:left="-57"/>
              <w:rPr>
                <w:rFonts w:ascii="Arial Narrow" w:hAnsi="Arial Narrow" w:cs="Arial"/>
                <w:sz w:val="18"/>
                <w:szCs w:val="18"/>
              </w:rPr>
            </w:pPr>
            <w:r w:rsidRPr="00632EF3">
              <w:rPr>
                <w:rFonts w:ascii="Arial Narrow" w:hAnsi="Arial Narrow" w:cs="Arial"/>
                <w:sz w:val="18"/>
                <w:szCs w:val="18"/>
              </w:rPr>
              <w:t>follitropin alfa 300 units (21.84 microgram)/0.5 mL injection, 0.5 mL pen device</w:t>
            </w:r>
          </w:p>
        </w:tc>
        <w:tc>
          <w:tcPr>
            <w:tcW w:w="462" w:type="pct"/>
          </w:tcPr>
          <w:p w:rsidR="001B4741" w:rsidRPr="00632EF3" w:rsidRDefault="001B4741" w:rsidP="006E6758">
            <w:pPr>
              <w:keepNext/>
              <w:jc w:val="center"/>
              <w:rPr>
                <w:rFonts w:ascii="Arial Narrow" w:hAnsi="Arial Narrow" w:cs="Arial"/>
                <w:sz w:val="18"/>
                <w:szCs w:val="18"/>
              </w:rPr>
            </w:pPr>
            <w:r w:rsidRPr="00632EF3">
              <w:rPr>
                <w:rFonts w:ascii="Arial Narrow" w:hAnsi="Arial Narrow" w:cs="Arial"/>
                <w:sz w:val="18"/>
                <w:szCs w:val="18"/>
              </w:rPr>
              <w:t>6431L</w:t>
            </w:r>
          </w:p>
        </w:tc>
        <w:tc>
          <w:tcPr>
            <w:tcW w:w="539" w:type="pct"/>
          </w:tcPr>
          <w:p w:rsidR="001B4741" w:rsidRPr="00632EF3" w:rsidRDefault="001B4741" w:rsidP="006E6758">
            <w:pPr>
              <w:keepNext/>
              <w:jc w:val="center"/>
              <w:rPr>
                <w:rFonts w:ascii="Arial Narrow" w:hAnsi="Arial Narrow" w:cs="Arial"/>
                <w:sz w:val="18"/>
                <w:szCs w:val="18"/>
              </w:rPr>
            </w:pPr>
            <w:r w:rsidRPr="00632EF3">
              <w:rPr>
                <w:rFonts w:ascii="Arial Narrow" w:hAnsi="Arial Narrow" w:cs="Arial"/>
                <w:sz w:val="18"/>
                <w:szCs w:val="18"/>
              </w:rPr>
              <w:t>2</w:t>
            </w:r>
          </w:p>
        </w:tc>
        <w:tc>
          <w:tcPr>
            <w:tcW w:w="462" w:type="pct"/>
          </w:tcPr>
          <w:p w:rsidR="001B4741" w:rsidRPr="00632EF3" w:rsidRDefault="001B4741" w:rsidP="006E6758">
            <w:pPr>
              <w:keepNext/>
              <w:jc w:val="center"/>
              <w:rPr>
                <w:rFonts w:ascii="Arial Narrow" w:hAnsi="Arial Narrow" w:cs="Arial"/>
                <w:sz w:val="18"/>
                <w:szCs w:val="18"/>
              </w:rPr>
            </w:pPr>
            <w:r w:rsidRPr="00632EF3">
              <w:rPr>
                <w:rFonts w:ascii="Arial Narrow" w:hAnsi="Arial Narrow" w:cs="Arial"/>
                <w:sz w:val="18"/>
                <w:szCs w:val="18"/>
              </w:rPr>
              <w:t>2</w:t>
            </w:r>
          </w:p>
        </w:tc>
        <w:tc>
          <w:tcPr>
            <w:tcW w:w="385" w:type="pct"/>
          </w:tcPr>
          <w:p w:rsidR="001B4741" w:rsidRPr="00632EF3" w:rsidRDefault="001B4741" w:rsidP="006E6758">
            <w:pPr>
              <w:keepNext/>
              <w:jc w:val="center"/>
              <w:rPr>
                <w:rFonts w:ascii="Arial Narrow" w:hAnsi="Arial Narrow" w:cs="Arial"/>
                <w:sz w:val="18"/>
                <w:szCs w:val="18"/>
              </w:rPr>
            </w:pPr>
            <w:r w:rsidRPr="00632EF3">
              <w:rPr>
                <w:rFonts w:ascii="Arial Narrow" w:hAnsi="Arial Narrow" w:cs="Arial"/>
                <w:sz w:val="18"/>
                <w:szCs w:val="18"/>
              </w:rPr>
              <w:t>0</w:t>
            </w:r>
          </w:p>
        </w:tc>
        <w:tc>
          <w:tcPr>
            <w:tcW w:w="616" w:type="pct"/>
          </w:tcPr>
          <w:p w:rsidR="001B4741" w:rsidRPr="00632EF3" w:rsidRDefault="001B4741" w:rsidP="006E6758">
            <w:pPr>
              <w:keepNext/>
              <w:rPr>
                <w:rFonts w:ascii="Arial Narrow" w:hAnsi="Arial Narrow" w:cs="Arial"/>
                <w:sz w:val="18"/>
                <w:szCs w:val="18"/>
                <w:vertAlign w:val="superscript"/>
              </w:rPr>
            </w:pPr>
            <w:r w:rsidRPr="00632EF3">
              <w:rPr>
                <w:rFonts w:ascii="Arial Narrow" w:hAnsi="Arial Narrow" w:cs="Arial"/>
                <w:i/>
                <w:sz w:val="18"/>
                <w:szCs w:val="18"/>
                <w:vertAlign w:val="superscript"/>
              </w:rPr>
              <w:t>a</w:t>
            </w:r>
            <w:r w:rsidRPr="00632EF3">
              <w:rPr>
                <w:rFonts w:ascii="Arial Narrow" w:hAnsi="Arial Narrow" w:cs="Arial"/>
                <w:sz w:val="18"/>
                <w:szCs w:val="18"/>
                <w:vertAlign w:val="superscript"/>
              </w:rPr>
              <w:t xml:space="preserve"> </w:t>
            </w:r>
            <w:r w:rsidRPr="00632EF3">
              <w:rPr>
                <w:rFonts w:ascii="Arial Narrow" w:hAnsi="Arial Narrow" w:cs="Arial"/>
                <w:sz w:val="18"/>
                <w:szCs w:val="18"/>
              </w:rPr>
              <w:t>Gonal-f Pen</w:t>
            </w:r>
          </w:p>
        </w:tc>
      </w:tr>
      <w:tr w:rsidR="001B4741" w:rsidRPr="00632EF3" w:rsidTr="00456D7E">
        <w:trPr>
          <w:cantSplit/>
          <w:trHeight w:val="211"/>
        </w:trPr>
        <w:tc>
          <w:tcPr>
            <w:tcW w:w="2536" w:type="pct"/>
          </w:tcPr>
          <w:p w:rsidR="001B4741" w:rsidRPr="00632EF3" w:rsidRDefault="001B4741" w:rsidP="006E6758">
            <w:pPr>
              <w:keepNext/>
              <w:ind w:left="-57"/>
              <w:rPr>
                <w:rFonts w:ascii="Arial Narrow" w:hAnsi="Arial Narrow" w:cs="Arial"/>
                <w:sz w:val="18"/>
                <w:szCs w:val="18"/>
              </w:rPr>
            </w:pPr>
            <w:r w:rsidRPr="00632EF3">
              <w:rPr>
                <w:rFonts w:ascii="Arial Narrow" w:hAnsi="Arial Narrow" w:cs="Arial"/>
                <w:sz w:val="18"/>
                <w:szCs w:val="18"/>
              </w:rPr>
              <w:t>follitropin alfa 300 units (22 microgram)/0.5 mL injection, 5 x 0.5 mL pen devices</w:t>
            </w:r>
          </w:p>
        </w:tc>
        <w:tc>
          <w:tcPr>
            <w:tcW w:w="462" w:type="pct"/>
          </w:tcPr>
          <w:p w:rsidR="001B4741" w:rsidRPr="00632EF3" w:rsidRDefault="001B4741" w:rsidP="006E6758">
            <w:pPr>
              <w:keepNext/>
              <w:jc w:val="center"/>
              <w:rPr>
                <w:rFonts w:ascii="Arial Narrow" w:hAnsi="Arial Narrow" w:cs="Arial"/>
                <w:sz w:val="18"/>
                <w:szCs w:val="18"/>
              </w:rPr>
            </w:pPr>
            <w:r w:rsidRPr="00632EF3">
              <w:rPr>
                <w:rFonts w:ascii="Arial Narrow" w:hAnsi="Arial Narrow" w:cs="Arial"/>
                <w:sz w:val="18"/>
                <w:szCs w:val="18"/>
              </w:rPr>
              <w:t>10866X</w:t>
            </w:r>
          </w:p>
        </w:tc>
        <w:tc>
          <w:tcPr>
            <w:tcW w:w="539" w:type="pct"/>
          </w:tcPr>
          <w:p w:rsidR="001B4741" w:rsidRPr="00632EF3" w:rsidRDefault="001B4741" w:rsidP="006E6758">
            <w:pPr>
              <w:keepNext/>
              <w:jc w:val="center"/>
              <w:rPr>
                <w:rFonts w:ascii="Arial Narrow" w:hAnsi="Arial Narrow" w:cs="Arial"/>
                <w:sz w:val="18"/>
                <w:szCs w:val="18"/>
              </w:rPr>
            </w:pPr>
            <w:r w:rsidRPr="00632EF3">
              <w:rPr>
                <w:rFonts w:ascii="Arial Narrow" w:hAnsi="Arial Narrow" w:cs="Arial"/>
                <w:sz w:val="18"/>
                <w:szCs w:val="18"/>
              </w:rPr>
              <w:t>3</w:t>
            </w:r>
          </w:p>
        </w:tc>
        <w:tc>
          <w:tcPr>
            <w:tcW w:w="462" w:type="pct"/>
          </w:tcPr>
          <w:p w:rsidR="001B4741" w:rsidRPr="00632EF3" w:rsidRDefault="001B4741" w:rsidP="006E6758">
            <w:pPr>
              <w:keepNext/>
              <w:jc w:val="center"/>
              <w:rPr>
                <w:rFonts w:ascii="Arial Narrow" w:hAnsi="Arial Narrow" w:cs="Arial"/>
                <w:sz w:val="18"/>
                <w:szCs w:val="18"/>
              </w:rPr>
            </w:pPr>
            <w:r w:rsidRPr="00632EF3">
              <w:rPr>
                <w:rFonts w:ascii="Arial Narrow" w:hAnsi="Arial Narrow" w:cs="Arial"/>
                <w:sz w:val="18"/>
                <w:szCs w:val="18"/>
              </w:rPr>
              <w:t>15</w:t>
            </w:r>
          </w:p>
        </w:tc>
        <w:tc>
          <w:tcPr>
            <w:tcW w:w="385" w:type="pct"/>
          </w:tcPr>
          <w:p w:rsidR="001B4741" w:rsidRPr="00632EF3" w:rsidRDefault="001B4741" w:rsidP="006E6758">
            <w:pPr>
              <w:keepNext/>
              <w:jc w:val="center"/>
              <w:rPr>
                <w:rFonts w:ascii="Arial Narrow" w:hAnsi="Arial Narrow" w:cs="Arial"/>
                <w:sz w:val="18"/>
                <w:szCs w:val="18"/>
              </w:rPr>
            </w:pPr>
            <w:r w:rsidRPr="00632EF3">
              <w:rPr>
                <w:rFonts w:ascii="Arial Narrow" w:hAnsi="Arial Narrow" w:cs="Arial"/>
                <w:sz w:val="18"/>
                <w:szCs w:val="18"/>
              </w:rPr>
              <w:t>0</w:t>
            </w:r>
          </w:p>
        </w:tc>
        <w:tc>
          <w:tcPr>
            <w:tcW w:w="616" w:type="pct"/>
          </w:tcPr>
          <w:p w:rsidR="001B4741" w:rsidRPr="00632EF3" w:rsidRDefault="001B4741" w:rsidP="006E6758">
            <w:pPr>
              <w:keepNext/>
              <w:rPr>
                <w:rFonts w:ascii="Arial Narrow" w:hAnsi="Arial Narrow" w:cs="Arial"/>
                <w:sz w:val="18"/>
                <w:szCs w:val="18"/>
                <w:vertAlign w:val="superscript"/>
              </w:rPr>
            </w:pPr>
            <w:r w:rsidRPr="00632EF3">
              <w:rPr>
                <w:rFonts w:ascii="Arial Narrow" w:hAnsi="Arial Narrow" w:cs="Arial"/>
                <w:sz w:val="18"/>
                <w:szCs w:val="18"/>
              </w:rPr>
              <w:t>Bemfola</w:t>
            </w:r>
          </w:p>
        </w:tc>
      </w:tr>
      <w:tr w:rsidR="001B4741" w:rsidRPr="00632EF3" w:rsidTr="00456D7E">
        <w:trPr>
          <w:cantSplit/>
          <w:trHeight w:val="51"/>
        </w:trPr>
        <w:tc>
          <w:tcPr>
            <w:tcW w:w="5000" w:type="pct"/>
            <w:gridSpan w:val="6"/>
            <w:shd w:val="clear" w:color="auto" w:fill="595959" w:themeFill="text1" w:themeFillTint="A6"/>
          </w:tcPr>
          <w:p w:rsidR="001B4741" w:rsidRPr="00632EF3" w:rsidRDefault="001B4741" w:rsidP="006E6758">
            <w:pPr>
              <w:keepNext/>
              <w:rPr>
                <w:rFonts w:ascii="Arial Narrow" w:hAnsi="Arial Narrow" w:cs="Arial"/>
                <w:sz w:val="18"/>
                <w:szCs w:val="18"/>
              </w:rPr>
            </w:pPr>
          </w:p>
        </w:tc>
      </w:tr>
      <w:tr w:rsidR="001B4741" w:rsidRPr="00632EF3" w:rsidTr="00456D7E">
        <w:trPr>
          <w:cantSplit/>
          <w:trHeight w:val="273"/>
        </w:trPr>
        <w:tc>
          <w:tcPr>
            <w:tcW w:w="2536" w:type="pct"/>
          </w:tcPr>
          <w:p w:rsidR="001B4741" w:rsidRPr="00632EF3" w:rsidRDefault="001B4741" w:rsidP="006E6758">
            <w:pPr>
              <w:keepNext/>
              <w:ind w:left="-57"/>
              <w:rPr>
                <w:rFonts w:ascii="Arial Narrow" w:hAnsi="Arial Narrow" w:cs="Arial"/>
                <w:i/>
                <w:sz w:val="18"/>
                <w:szCs w:val="18"/>
              </w:rPr>
            </w:pPr>
            <w:r w:rsidRPr="00632EF3">
              <w:rPr>
                <w:rFonts w:ascii="Arial Narrow" w:hAnsi="Arial Narrow" w:cs="Arial"/>
                <w:i/>
                <w:sz w:val="18"/>
                <w:szCs w:val="18"/>
              </w:rPr>
              <w:t>follitropin alfa 450 units (33 microgram)/0.75 mL injection, 0.75 mL cartridge</w:t>
            </w:r>
          </w:p>
        </w:tc>
        <w:tc>
          <w:tcPr>
            <w:tcW w:w="462" w:type="pct"/>
          </w:tcPr>
          <w:p w:rsidR="001B4741" w:rsidRPr="00632EF3" w:rsidRDefault="001B4741" w:rsidP="006E6758">
            <w:pPr>
              <w:keepNext/>
              <w:jc w:val="center"/>
              <w:rPr>
                <w:rFonts w:ascii="Arial Narrow" w:hAnsi="Arial Narrow" w:cs="Arial"/>
                <w:i/>
                <w:sz w:val="18"/>
                <w:szCs w:val="18"/>
              </w:rPr>
            </w:pPr>
            <w:r w:rsidRPr="00632EF3">
              <w:rPr>
                <w:rFonts w:ascii="Arial Narrow" w:hAnsi="Arial Narrow" w:cs="Arial"/>
                <w:i/>
                <w:sz w:val="18"/>
                <w:szCs w:val="18"/>
              </w:rPr>
              <w:t>NEW</w:t>
            </w:r>
          </w:p>
        </w:tc>
        <w:tc>
          <w:tcPr>
            <w:tcW w:w="539" w:type="pct"/>
          </w:tcPr>
          <w:p w:rsidR="001B4741" w:rsidRPr="00632EF3" w:rsidRDefault="001B4741" w:rsidP="006E6758">
            <w:pPr>
              <w:keepNext/>
              <w:jc w:val="center"/>
              <w:rPr>
                <w:rFonts w:ascii="Arial Narrow" w:hAnsi="Arial Narrow" w:cs="Arial"/>
                <w:i/>
                <w:sz w:val="18"/>
                <w:szCs w:val="18"/>
              </w:rPr>
            </w:pPr>
            <w:r w:rsidRPr="00632EF3">
              <w:rPr>
                <w:rFonts w:ascii="Arial Narrow" w:hAnsi="Arial Narrow" w:cs="Arial"/>
                <w:i/>
                <w:sz w:val="18"/>
                <w:szCs w:val="18"/>
              </w:rPr>
              <w:t>2</w:t>
            </w:r>
          </w:p>
        </w:tc>
        <w:tc>
          <w:tcPr>
            <w:tcW w:w="462" w:type="pct"/>
          </w:tcPr>
          <w:p w:rsidR="001B4741" w:rsidRPr="00632EF3" w:rsidRDefault="001B4741" w:rsidP="006E6758">
            <w:pPr>
              <w:keepNext/>
              <w:jc w:val="center"/>
              <w:rPr>
                <w:rFonts w:ascii="Arial Narrow" w:hAnsi="Arial Narrow" w:cs="Arial"/>
                <w:i/>
                <w:sz w:val="18"/>
                <w:szCs w:val="18"/>
              </w:rPr>
            </w:pPr>
            <w:r w:rsidRPr="00632EF3">
              <w:rPr>
                <w:rFonts w:ascii="Arial Narrow" w:hAnsi="Arial Narrow" w:cs="Arial"/>
                <w:i/>
                <w:sz w:val="18"/>
                <w:szCs w:val="18"/>
              </w:rPr>
              <w:t>2</w:t>
            </w:r>
          </w:p>
        </w:tc>
        <w:tc>
          <w:tcPr>
            <w:tcW w:w="385" w:type="pct"/>
          </w:tcPr>
          <w:p w:rsidR="001B4741" w:rsidRPr="00632EF3" w:rsidRDefault="001B4741" w:rsidP="006E6758">
            <w:pPr>
              <w:keepNext/>
              <w:jc w:val="center"/>
              <w:rPr>
                <w:rFonts w:ascii="Arial Narrow" w:hAnsi="Arial Narrow" w:cs="Arial"/>
                <w:i/>
                <w:sz w:val="18"/>
                <w:szCs w:val="18"/>
              </w:rPr>
            </w:pPr>
            <w:r w:rsidRPr="00632EF3">
              <w:rPr>
                <w:rFonts w:ascii="Arial Narrow" w:hAnsi="Arial Narrow" w:cs="Arial"/>
                <w:i/>
                <w:sz w:val="18"/>
                <w:szCs w:val="18"/>
              </w:rPr>
              <w:t>0</w:t>
            </w:r>
          </w:p>
        </w:tc>
        <w:tc>
          <w:tcPr>
            <w:tcW w:w="616" w:type="pct"/>
          </w:tcPr>
          <w:p w:rsidR="001B4741" w:rsidRPr="00632EF3" w:rsidRDefault="001B4741" w:rsidP="006E6758">
            <w:pPr>
              <w:keepNext/>
              <w:rPr>
                <w:rFonts w:ascii="Arial Narrow" w:hAnsi="Arial Narrow" w:cs="Arial"/>
                <w:i/>
                <w:sz w:val="18"/>
                <w:szCs w:val="18"/>
              </w:rPr>
            </w:pPr>
            <w:r w:rsidRPr="00632EF3">
              <w:rPr>
                <w:rFonts w:ascii="Arial Narrow" w:hAnsi="Arial Narrow" w:cs="Arial"/>
                <w:i/>
                <w:sz w:val="18"/>
                <w:szCs w:val="18"/>
                <w:vertAlign w:val="superscript"/>
              </w:rPr>
              <w:t xml:space="preserve">a </w:t>
            </w:r>
            <w:r w:rsidRPr="00632EF3">
              <w:rPr>
                <w:rFonts w:ascii="Arial Narrow" w:hAnsi="Arial Narrow" w:cs="Arial"/>
                <w:i/>
                <w:sz w:val="18"/>
                <w:szCs w:val="18"/>
              </w:rPr>
              <w:t>Ovaleap</w:t>
            </w:r>
          </w:p>
        </w:tc>
      </w:tr>
      <w:tr w:rsidR="001B4741" w:rsidRPr="00632EF3" w:rsidTr="00456D7E">
        <w:trPr>
          <w:cantSplit/>
          <w:trHeight w:val="273"/>
        </w:trPr>
        <w:tc>
          <w:tcPr>
            <w:tcW w:w="2536" w:type="pct"/>
          </w:tcPr>
          <w:p w:rsidR="001B4741" w:rsidRPr="00632EF3" w:rsidRDefault="001B4741" w:rsidP="006E6758">
            <w:pPr>
              <w:keepNext/>
              <w:ind w:left="-57"/>
              <w:rPr>
                <w:rFonts w:ascii="Arial Narrow" w:hAnsi="Arial Narrow" w:cs="Arial"/>
                <w:sz w:val="18"/>
                <w:szCs w:val="18"/>
              </w:rPr>
            </w:pPr>
            <w:r w:rsidRPr="00632EF3">
              <w:rPr>
                <w:rFonts w:ascii="Arial Narrow" w:hAnsi="Arial Narrow" w:cs="Arial"/>
                <w:sz w:val="18"/>
                <w:szCs w:val="18"/>
              </w:rPr>
              <w:t>follitropin alfa 450 units (32.76 microgram)/0.75 mL injection, 0.75 mL pen device</w:t>
            </w:r>
          </w:p>
        </w:tc>
        <w:tc>
          <w:tcPr>
            <w:tcW w:w="462" w:type="pct"/>
          </w:tcPr>
          <w:p w:rsidR="001B4741" w:rsidRPr="00632EF3" w:rsidRDefault="001B4741" w:rsidP="006E6758">
            <w:pPr>
              <w:keepNext/>
              <w:jc w:val="center"/>
              <w:rPr>
                <w:rFonts w:ascii="Arial Narrow" w:hAnsi="Arial Narrow" w:cs="Arial"/>
                <w:sz w:val="18"/>
                <w:szCs w:val="18"/>
              </w:rPr>
            </w:pPr>
            <w:r w:rsidRPr="00632EF3">
              <w:rPr>
                <w:rFonts w:ascii="Arial Narrow" w:hAnsi="Arial Narrow" w:cs="Arial"/>
                <w:sz w:val="18"/>
                <w:szCs w:val="18"/>
              </w:rPr>
              <w:t>6432M</w:t>
            </w:r>
          </w:p>
        </w:tc>
        <w:tc>
          <w:tcPr>
            <w:tcW w:w="539" w:type="pct"/>
          </w:tcPr>
          <w:p w:rsidR="001B4741" w:rsidRPr="00632EF3" w:rsidRDefault="001B4741" w:rsidP="006E6758">
            <w:pPr>
              <w:keepNext/>
              <w:jc w:val="center"/>
              <w:rPr>
                <w:rFonts w:ascii="Arial Narrow" w:hAnsi="Arial Narrow" w:cs="Arial"/>
                <w:sz w:val="18"/>
                <w:szCs w:val="18"/>
              </w:rPr>
            </w:pPr>
            <w:r w:rsidRPr="00632EF3">
              <w:rPr>
                <w:rFonts w:ascii="Arial Narrow" w:hAnsi="Arial Narrow" w:cs="Arial"/>
                <w:sz w:val="18"/>
                <w:szCs w:val="18"/>
              </w:rPr>
              <w:t>2</w:t>
            </w:r>
          </w:p>
        </w:tc>
        <w:tc>
          <w:tcPr>
            <w:tcW w:w="462" w:type="pct"/>
          </w:tcPr>
          <w:p w:rsidR="001B4741" w:rsidRPr="00632EF3" w:rsidRDefault="001B4741" w:rsidP="006E6758">
            <w:pPr>
              <w:keepNext/>
              <w:jc w:val="center"/>
              <w:rPr>
                <w:rFonts w:ascii="Arial Narrow" w:hAnsi="Arial Narrow" w:cs="Arial"/>
                <w:sz w:val="18"/>
                <w:szCs w:val="18"/>
              </w:rPr>
            </w:pPr>
            <w:r w:rsidRPr="00632EF3">
              <w:rPr>
                <w:rFonts w:ascii="Arial Narrow" w:hAnsi="Arial Narrow" w:cs="Arial"/>
                <w:sz w:val="18"/>
                <w:szCs w:val="18"/>
              </w:rPr>
              <w:t>2</w:t>
            </w:r>
          </w:p>
        </w:tc>
        <w:tc>
          <w:tcPr>
            <w:tcW w:w="385" w:type="pct"/>
          </w:tcPr>
          <w:p w:rsidR="001B4741" w:rsidRPr="00632EF3" w:rsidRDefault="001B4741" w:rsidP="006E6758">
            <w:pPr>
              <w:keepNext/>
              <w:jc w:val="center"/>
              <w:rPr>
                <w:rFonts w:ascii="Arial Narrow" w:hAnsi="Arial Narrow" w:cs="Arial"/>
                <w:sz w:val="18"/>
                <w:szCs w:val="18"/>
              </w:rPr>
            </w:pPr>
            <w:r w:rsidRPr="00632EF3">
              <w:rPr>
                <w:rFonts w:ascii="Arial Narrow" w:hAnsi="Arial Narrow" w:cs="Arial"/>
                <w:sz w:val="18"/>
                <w:szCs w:val="18"/>
              </w:rPr>
              <w:t>0</w:t>
            </w:r>
          </w:p>
        </w:tc>
        <w:tc>
          <w:tcPr>
            <w:tcW w:w="616" w:type="pct"/>
          </w:tcPr>
          <w:p w:rsidR="001B4741" w:rsidRPr="00632EF3" w:rsidRDefault="001B4741" w:rsidP="006E6758">
            <w:pPr>
              <w:keepNext/>
              <w:rPr>
                <w:rFonts w:ascii="Arial Narrow" w:hAnsi="Arial Narrow" w:cs="Arial"/>
                <w:sz w:val="18"/>
                <w:szCs w:val="18"/>
                <w:vertAlign w:val="superscript"/>
              </w:rPr>
            </w:pPr>
            <w:r w:rsidRPr="00632EF3">
              <w:rPr>
                <w:rFonts w:ascii="Arial Narrow" w:hAnsi="Arial Narrow" w:cs="Arial"/>
                <w:i/>
                <w:sz w:val="18"/>
                <w:szCs w:val="18"/>
                <w:vertAlign w:val="superscript"/>
              </w:rPr>
              <w:t>a</w:t>
            </w:r>
            <w:r w:rsidRPr="00632EF3">
              <w:rPr>
                <w:rFonts w:ascii="Arial Narrow" w:hAnsi="Arial Narrow" w:cs="Arial"/>
                <w:sz w:val="18"/>
                <w:szCs w:val="18"/>
                <w:vertAlign w:val="superscript"/>
              </w:rPr>
              <w:t xml:space="preserve"> </w:t>
            </w:r>
            <w:r w:rsidRPr="00632EF3">
              <w:rPr>
                <w:rFonts w:ascii="Arial Narrow" w:hAnsi="Arial Narrow" w:cs="Arial"/>
                <w:sz w:val="18"/>
                <w:szCs w:val="18"/>
              </w:rPr>
              <w:t>Gonal-f Pen</w:t>
            </w:r>
          </w:p>
        </w:tc>
      </w:tr>
      <w:tr w:rsidR="001B4741" w:rsidRPr="00632EF3" w:rsidTr="00456D7E">
        <w:trPr>
          <w:cantSplit/>
          <w:trHeight w:val="273"/>
        </w:trPr>
        <w:tc>
          <w:tcPr>
            <w:tcW w:w="2536" w:type="pct"/>
          </w:tcPr>
          <w:p w:rsidR="001B4741" w:rsidRPr="00632EF3" w:rsidRDefault="001B4741" w:rsidP="006E6758">
            <w:pPr>
              <w:keepNext/>
              <w:ind w:left="-57"/>
              <w:rPr>
                <w:rFonts w:ascii="Arial Narrow" w:hAnsi="Arial Narrow" w:cs="Arial"/>
                <w:sz w:val="18"/>
                <w:szCs w:val="18"/>
              </w:rPr>
            </w:pPr>
            <w:r w:rsidRPr="00632EF3">
              <w:rPr>
                <w:rFonts w:ascii="Arial Narrow" w:hAnsi="Arial Narrow" w:cs="Arial"/>
                <w:sz w:val="18"/>
                <w:szCs w:val="18"/>
              </w:rPr>
              <w:t>follitropin alfa 450 units (33 microgram)/0.75 mL injection, 5 x 0.75 mL pen devices</w:t>
            </w:r>
          </w:p>
        </w:tc>
        <w:tc>
          <w:tcPr>
            <w:tcW w:w="462" w:type="pct"/>
          </w:tcPr>
          <w:p w:rsidR="001B4741" w:rsidRPr="00632EF3" w:rsidRDefault="001B4741" w:rsidP="006E6758">
            <w:pPr>
              <w:keepNext/>
              <w:jc w:val="center"/>
              <w:rPr>
                <w:rFonts w:ascii="Arial Narrow" w:hAnsi="Arial Narrow" w:cs="Arial"/>
                <w:sz w:val="18"/>
                <w:szCs w:val="18"/>
              </w:rPr>
            </w:pPr>
            <w:r w:rsidRPr="00632EF3">
              <w:rPr>
                <w:rFonts w:ascii="Arial Narrow" w:hAnsi="Arial Narrow" w:cs="Arial"/>
                <w:sz w:val="18"/>
                <w:szCs w:val="18"/>
              </w:rPr>
              <w:t>10867Y</w:t>
            </w:r>
          </w:p>
        </w:tc>
        <w:tc>
          <w:tcPr>
            <w:tcW w:w="539" w:type="pct"/>
          </w:tcPr>
          <w:p w:rsidR="001B4741" w:rsidRPr="00632EF3" w:rsidRDefault="001B4741" w:rsidP="006E6758">
            <w:pPr>
              <w:keepNext/>
              <w:jc w:val="center"/>
              <w:rPr>
                <w:rFonts w:ascii="Arial Narrow" w:hAnsi="Arial Narrow" w:cs="Arial"/>
                <w:sz w:val="18"/>
                <w:szCs w:val="18"/>
              </w:rPr>
            </w:pPr>
            <w:r w:rsidRPr="00632EF3">
              <w:rPr>
                <w:rFonts w:ascii="Arial Narrow" w:hAnsi="Arial Narrow" w:cs="Arial"/>
                <w:sz w:val="18"/>
                <w:szCs w:val="18"/>
              </w:rPr>
              <w:t>3</w:t>
            </w:r>
          </w:p>
        </w:tc>
        <w:tc>
          <w:tcPr>
            <w:tcW w:w="462" w:type="pct"/>
          </w:tcPr>
          <w:p w:rsidR="001B4741" w:rsidRPr="00632EF3" w:rsidRDefault="001B4741" w:rsidP="006E6758">
            <w:pPr>
              <w:keepNext/>
              <w:jc w:val="center"/>
              <w:rPr>
                <w:rFonts w:ascii="Arial Narrow" w:hAnsi="Arial Narrow" w:cs="Arial"/>
                <w:sz w:val="18"/>
                <w:szCs w:val="18"/>
              </w:rPr>
            </w:pPr>
            <w:r w:rsidRPr="00632EF3">
              <w:rPr>
                <w:rFonts w:ascii="Arial Narrow" w:hAnsi="Arial Narrow" w:cs="Arial"/>
                <w:sz w:val="18"/>
                <w:szCs w:val="18"/>
              </w:rPr>
              <w:t>15</w:t>
            </w:r>
          </w:p>
        </w:tc>
        <w:tc>
          <w:tcPr>
            <w:tcW w:w="385" w:type="pct"/>
          </w:tcPr>
          <w:p w:rsidR="001B4741" w:rsidRPr="00632EF3" w:rsidRDefault="001B4741" w:rsidP="006E6758">
            <w:pPr>
              <w:keepNext/>
              <w:jc w:val="center"/>
              <w:rPr>
                <w:rFonts w:ascii="Arial Narrow" w:hAnsi="Arial Narrow" w:cs="Arial"/>
                <w:sz w:val="18"/>
                <w:szCs w:val="18"/>
              </w:rPr>
            </w:pPr>
            <w:r w:rsidRPr="00632EF3">
              <w:rPr>
                <w:rFonts w:ascii="Arial Narrow" w:hAnsi="Arial Narrow" w:cs="Arial"/>
                <w:sz w:val="18"/>
                <w:szCs w:val="18"/>
              </w:rPr>
              <w:t>0</w:t>
            </w:r>
          </w:p>
        </w:tc>
        <w:tc>
          <w:tcPr>
            <w:tcW w:w="616" w:type="pct"/>
          </w:tcPr>
          <w:p w:rsidR="001B4741" w:rsidRPr="00632EF3" w:rsidRDefault="001B4741" w:rsidP="006E6758">
            <w:pPr>
              <w:keepNext/>
              <w:rPr>
                <w:rFonts w:ascii="Arial Narrow" w:hAnsi="Arial Narrow" w:cs="Arial"/>
                <w:sz w:val="18"/>
                <w:szCs w:val="18"/>
                <w:vertAlign w:val="superscript"/>
              </w:rPr>
            </w:pPr>
            <w:r w:rsidRPr="00632EF3">
              <w:rPr>
                <w:rFonts w:ascii="Arial Narrow" w:hAnsi="Arial Narrow" w:cs="Arial"/>
                <w:sz w:val="18"/>
                <w:szCs w:val="18"/>
              </w:rPr>
              <w:t>Bemfola</w:t>
            </w:r>
          </w:p>
        </w:tc>
      </w:tr>
      <w:tr w:rsidR="001B4741" w:rsidRPr="00632EF3" w:rsidTr="00456D7E">
        <w:trPr>
          <w:cantSplit/>
          <w:trHeight w:val="87"/>
        </w:trPr>
        <w:tc>
          <w:tcPr>
            <w:tcW w:w="5000" w:type="pct"/>
            <w:gridSpan w:val="6"/>
            <w:shd w:val="clear" w:color="auto" w:fill="595959" w:themeFill="text1" w:themeFillTint="A6"/>
          </w:tcPr>
          <w:p w:rsidR="001B4741" w:rsidRPr="00632EF3" w:rsidRDefault="001B4741" w:rsidP="006E6758">
            <w:pPr>
              <w:keepNext/>
              <w:rPr>
                <w:rFonts w:ascii="Arial Narrow" w:hAnsi="Arial Narrow" w:cs="Arial"/>
                <w:sz w:val="18"/>
                <w:szCs w:val="18"/>
              </w:rPr>
            </w:pPr>
          </w:p>
        </w:tc>
      </w:tr>
      <w:tr w:rsidR="001B4741" w:rsidRPr="00632EF3" w:rsidTr="00456D7E">
        <w:trPr>
          <w:cantSplit/>
          <w:trHeight w:val="263"/>
        </w:trPr>
        <w:tc>
          <w:tcPr>
            <w:tcW w:w="2536" w:type="pct"/>
          </w:tcPr>
          <w:p w:rsidR="001B4741" w:rsidRPr="00632EF3" w:rsidRDefault="001B4741" w:rsidP="006E6758">
            <w:pPr>
              <w:keepNext/>
              <w:tabs>
                <w:tab w:val="left" w:pos="1077"/>
              </w:tabs>
              <w:ind w:left="-57"/>
              <w:rPr>
                <w:rFonts w:ascii="Arial Narrow" w:hAnsi="Arial Narrow" w:cs="Arial"/>
                <w:i/>
                <w:sz w:val="18"/>
                <w:szCs w:val="18"/>
              </w:rPr>
            </w:pPr>
            <w:r w:rsidRPr="00632EF3">
              <w:rPr>
                <w:rFonts w:ascii="Arial Narrow" w:hAnsi="Arial Narrow" w:cs="Arial"/>
                <w:i/>
                <w:sz w:val="18"/>
                <w:szCs w:val="18"/>
              </w:rPr>
              <w:t>follitropin alfa 900 units (66 microgram)/1.5 mL injection, 1.5 mL cartridge</w:t>
            </w:r>
          </w:p>
        </w:tc>
        <w:tc>
          <w:tcPr>
            <w:tcW w:w="462" w:type="pct"/>
          </w:tcPr>
          <w:p w:rsidR="001B4741" w:rsidRPr="00632EF3" w:rsidRDefault="001B4741" w:rsidP="006E6758">
            <w:pPr>
              <w:keepNext/>
              <w:jc w:val="center"/>
              <w:rPr>
                <w:rFonts w:ascii="Arial Narrow" w:hAnsi="Arial Narrow" w:cs="Arial"/>
                <w:i/>
                <w:sz w:val="18"/>
                <w:szCs w:val="18"/>
              </w:rPr>
            </w:pPr>
            <w:r w:rsidRPr="00632EF3">
              <w:rPr>
                <w:rFonts w:ascii="Arial Narrow" w:hAnsi="Arial Narrow" w:cs="Arial"/>
                <w:i/>
                <w:sz w:val="18"/>
                <w:szCs w:val="18"/>
              </w:rPr>
              <w:t>NEW</w:t>
            </w:r>
          </w:p>
        </w:tc>
        <w:tc>
          <w:tcPr>
            <w:tcW w:w="539" w:type="pct"/>
          </w:tcPr>
          <w:p w:rsidR="001B4741" w:rsidRPr="00632EF3" w:rsidRDefault="001B4741" w:rsidP="006E6758">
            <w:pPr>
              <w:keepNext/>
              <w:jc w:val="center"/>
              <w:rPr>
                <w:rFonts w:ascii="Arial Narrow" w:hAnsi="Arial Narrow" w:cs="Arial"/>
                <w:i/>
                <w:sz w:val="18"/>
                <w:szCs w:val="18"/>
              </w:rPr>
            </w:pPr>
            <w:r w:rsidRPr="00632EF3">
              <w:rPr>
                <w:rFonts w:ascii="Arial Narrow" w:hAnsi="Arial Narrow" w:cs="Arial"/>
                <w:i/>
                <w:sz w:val="18"/>
                <w:szCs w:val="18"/>
              </w:rPr>
              <w:t>5</w:t>
            </w:r>
          </w:p>
        </w:tc>
        <w:tc>
          <w:tcPr>
            <w:tcW w:w="462" w:type="pct"/>
          </w:tcPr>
          <w:p w:rsidR="001B4741" w:rsidRPr="00632EF3" w:rsidRDefault="001B4741" w:rsidP="006E6758">
            <w:pPr>
              <w:keepNext/>
              <w:jc w:val="center"/>
              <w:rPr>
                <w:rFonts w:ascii="Arial Narrow" w:hAnsi="Arial Narrow" w:cs="Arial"/>
                <w:i/>
                <w:sz w:val="18"/>
                <w:szCs w:val="18"/>
              </w:rPr>
            </w:pPr>
            <w:r w:rsidRPr="00632EF3">
              <w:rPr>
                <w:rFonts w:ascii="Arial Narrow" w:hAnsi="Arial Narrow" w:cs="Arial"/>
                <w:i/>
                <w:sz w:val="18"/>
                <w:szCs w:val="18"/>
              </w:rPr>
              <w:t>5</w:t>
            </w:r>
          </w:p>
        </w:tc>
        <w:tc>
          <w:tcPr>
            <w:tcW w:w="385" w:type="pct"/>
          </w:tcPr>
          <w:p w:rsidR="001B4741" w:rsidRPr="00632EF3" w:rsidRDefault="001B4741" w:rsidP="006E6758">
            <w:pPr>
              <w:keepNext/>
              <w:jc w:val="center"/>
              <w:rPr>
                <w:rFonts w:ascii="Arial Narrow" w:hAnsi="Arial Narrow" w:cs="Arial"/>
                <w:i/>
                <w:sz w:val="18"/>
                <w:szCs w:val="18"/>
              </w:rPr>
            </w:pPr>
            <w:r w:rsidRPr="00632EF3">
              <w:rPr>
                <w:rFonts w:ascii="Arial Narrow" w:hAnsi="Arial Narrow" w:cs="Arial"/>
                <w:i/>
                <w:sz w:val="18"/>
                <w:szCs w:val="18"/>
              </w:rPr>
              <w:t>0</w:t>
            </w:r>
          </w:p>
        </w:tc>
        <w:tc>
          <w:tcPr>
            <w:tcW w:w="616" w:type="pct"/>
          </w:tcPr>
          <w:p w:rsidR="001B4741" w:rsidRPr="00632EF3" w:rsidRDefault="001B4741" w:rsidP="006E6758">
            <w:pPr>
              <w:keepNext/>
              <w:rPr>
                <w:rFonts w:ascii="Arial Narrow" w:hAnsi="Arial Narrow" w:cs="Arial"/>
                <w:i/>
                <w:sz w:val="18"/>
                <w:szCs w:val="18"/>
              </w:rPr>
            </w:pPr>
            <w:r w:rsidRPr="00632EF3">
              <w:rPr>
                <w:rFonts w:ascii="Arial Narrow" w:hAnsi="Arial Narrow" w:cs="Arial"/>
                <w:i/>
                <w:sz w:val="18"/>
                <w:szCs w:val="18"/>
                <w:vertAlign w:val="superscript"/>
              </w:rPr>
              <w:t xml:space="preserve">a </w:t>
            </w:r>
            <w:r w:rsidRPr="00632EF3">
              <w:rPr>
                <w:rFonts w:ascii="Arial Narrow" w:hAnsi="Arial Narrow" w:cs="Arial"/>
                <w:i/>
                <w:sz w:val="18"/>
                <w:szCs w:val="18"/>
              </w:rPr>
              <w:t>Ovaleap</w:t>
            </w:r>
          </w:p>
        </w:tc>
      </w:tr>
      <w:tr w:rsidR="001B4741" w:rsidRPr="00632EF3" w:rsidTr="00456D7E">
        <w:trPr>
          <w:cantSplit/>
          <w:trHeight w:val="263"/>
        </w:trPr>
        <w:tc>
          <w:tcPr>
            <w:tcW w:w="2536" w:type="pct"/>
          </w:tcPr>
          <w:p w:rsidR="001B4741" w:rsidRPr="00632EF3" w:rsidRDefault="001B4741" w:rsidP="006E6758">
            <w:pPr>
              <w:keepNext/>
              <w:tabs>
                <w:tab w:val="left" w:pos="1077"/>
              </w:tabs>
              <w:ind w:left="-57"/>
              <w:rPr>
                <w:rFonts w:ascii="Arial Narrow" w:hAnsi="Arial Narrow" w:cs="Arial"/>
                <w:sz w:val="18"/>
                <w:szCs w:val="18"/>
              </w:rPr>
            </w:pPr>
            <w:r w:rsidRPr="00632EF3">
              <w:rPr>
                <w:rFonts w:ascii="Arial Narrow" w:hAnsi="Arial Narrow" w:cs="Arial"/>
                <w:sz w:val="18"/>
                <w:szCs w:val="18"/>
              </w:rPr>
              <w:t>follitropin alfa 900 units (65.52 microgram)/1.5 mL injection, 1.5 mL pen device</w:t>
            </w:r>
          </w:p>
        </w:tc>
        <w:tc>
          <w:tcPr>
            <w:tcW w:w="462" w:type="pct"/>
          </w:tcPr>
          <w:p w:rsidR="001B4741" w:rsidRPr="00632EF3" w:rsidRDefault="001B4741" w:rsidP="006E6758">
            <w:pPr>
              <w:keepNext/>
              <w:jc w:val="center"/>
              <w:rPr>
                <w:rFonts w:ascii="Arial Narrow" w:hAnsi="Arial Narrow" w:cs="Arial"/>
                <w:sz w:val="18"/>
                <w:szCs w:val="18"/>
              </w:rPr>
            </w:pPr>
            <w:r w:rsidRPr="00632EF3">
              <w:rPr>
                <w:rFonts w:ascii="Arial Narrow" w:hAnsi="Arial Narrow" w:cs="Arial"/>
                <w:sz w:val="18"/>
                <w:szCs w:val="18"/>
              </w:rPr>
              <w:t>6433N</w:t>
            </w:r>
          </w:p>
        </w:tc>
        <w:tc>
          <w:tcPr>
            <w:tcW w:w="539" w:type="pct"/>
          </w:tcPr>
          <w:p w:rsidR="001B4741" w:rsidRPr="00632EF3" w:rsidRDefault="001B4741" w:rsidP="006E6758">
            <w:pPr>
              <w:keepNext/>
              <w:jc w:val="center"/>
              <w:rPr>
                <w:rFonts w:ascii="Arial Narrow" w:hAnsi="Arial Narrow" w:cs="Arial"/>
                <w:sz w:val="18"/>
                <w:szCs w:val="18"/>
              </w:rPr>
            </w:pPr>
            <w:r w:rsidRPr="00632EF3">
              <w:rPr>
                <w:rFonts w:ascii="Arial Narrow" w:hAnsi="Arial Narrow" w:cs="Arial"/>
                <w:sz w:val="18"/>
                <w:szCs w:val="18"/>
              </w:rPr>
              <w:t>5</w:t>
            </w:r>
          </w:p>
        </w:tc>
        <w:tc>
          <w:tcPr>
            <w:tcW w:w="462" w:type="pct"/>
          </w:tcPr>
          <w:p w:rsidR="001B4741" w:rsidRPr="00632EF3" w:rsidRDefault="001B4741" w:rsidP="006E6758">
            <w:pPr>
              <w:keepNext/>
              <w:jc w:val="center"/>
              <w:rPr>
                <w:rFonts w:ascii="Arial Narrow" w:hAnsi="Arial Narrow" w:cs="Arial"/>
                <w:sz w:val="18"/>
                <w:szCs w:val="18"/>
              </w:rPr>
            </w:pPr>
            <w:r w:rsidRPr="00632EF3">
              <w:rPr>
                <w:rFonts w:ascii="Arial Narrow" w:hAnsi="Arial Narrow" w:cs="Arial"/>
                <w:sz w:val="18"/>
                <w:szCs w:val="18"/>
              </w:rPr>
              <w:t>5</w:t>
            </w:r>
          </w:p>
        </w:tc>
        <w:tc>
          <w:tcPr>
            <w:tcW w:w="385" w:type="pct"/>
          </w:tcPr>
          <w:p w:rsidR="001B4741" w:rsidRPr="00632EF3" w:rsidRDefault="001B4741" w:rsidP="006E6758">
            <w:pPr>
              <w:keepNext/>
              <w:jc w:val="center"/>
              <w:rPr>
                <w:rFonts w:ascii="Arial Narrow" w:hAnsi="Arial Narrow" w:cs="Arial"/>
                <w:sz w:val="18"/>
                <w:szCs w:val="18"/>
              </w:rPr>
            </w:pPr>
            <w:r w:rsidRPr="00632EF3">
              <w:rPr>
                <w:rFonts w:ascii="Arial Narrow" w:hAnsi="Arial Narrow" w:cs="Arial"/>
                <w:sz w:val="18"/>
                <w:szCs w:val="18"/>
              </w:rPr>
              <w:t>0</w:t>
            </w:r>
          </w:p>
        </w:tc>
        <w:tc>
          <w:tcPr>
            <w:tcW w:w="616" w:type="pct"/>
          </w:tcPr>
          <w:p w:rsidR="001B4741" w:rsidRPr="00632EF3" w:rsidRDefault="001B4741" w:rsidP="006E6758">
            <w:pPr>
              <w:keepNext/>
              <w:rPr>
                <w:rFonts w:ascii="Arial Narrow" w:hAnsi="Arial Narrow" w:cs="Arial"/>
                <w:sz w:val="18"/>
                <w:szCs w:val="18"/>
                <w:vertAlign w:val="superscript"/>
              </w:rPr>
            </w:pPr>
            <w:r w:rsidRPr="00632EF3">
              <w:rPr>
                <w:rFonts w:ascii="Arial Narrow" w:hAnsi="Arial Narrow" w:cs="Arial"/>
                <w:i/>
                <w:sz w:val="18"/>
                <w:szCs w:val="18"/>
                <w:vertAlign w:val="superscript"/>
              </w:rPr>
              <w:t>a</w:t>
            </w:r>
            <w:r w:rsidRPr="00632EF3">
              <w:rPr>
                <w:rFonts w:ascii="Arial Narrow" w:hAnsi="Arial Narrow" w:cs="Arial"/>
                <w:sz w:val="18"/>
                <w:szCs w:val="18"/>
                <w:vertAlign w:val="superscript"/>
              </w:rPr>
              <w:t xml:space="preserve"> </w:t>
            </w:r>
            <w:r w:rsidRPr="00632EF3">
              <w:rPr>
                <w:rFonts w:ascii="Arial Narrow" w:hAnsi="Arial Narrow" w:cs="Arial"/>
                <w:sz w:val="18"/>
                <w:szCs w:val="18"/>
              </w:rPr>
              <w:t>Gonal-f Pen</w:t>
            </w:r>
          </w:p>
        </w:tc>
      </w:tr>
      <w:tr w:rsidR="001B4741" w:rsidRPr="00632EF3" w:rsidTr="00456D7E">
        <w:tblPrEx>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right w:val="single" w:sz="4" w:space="0" w:color="auto"/>
            </w:tcBorders>
          </w:tcPr>
          <w:p w:rsidR="001B4741" w:rsidRPr="00632EF3" w:rsidRDefault="001B4741" w:rsidP="006E6758">
            <w:pPr>
              <w:rPr>
                <w:rFonts w:ascii="Arial Narrow" w:hAnsi="Arial Narrow" w:cs="Arial"/>
                <w:b/>
                <w:sz w:val="18"/>
                <w:szCs w:val="18"/>
              </w:rPr>
            </w:pPr>
          </w:p>
        </w:tc>
      </w:tr>
      <w:tr w:rsidR="00CC7463" w:rsidRPr="00632EF3" w:rsidTr="00456D7E">
        <w:tblPrEx>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bottom w:val="single" w:sz="4" w:space="0" w:color="auto"/>
              <w:right w:val="single" w:sz="4" w:space="0" w:color="auto"/>
            </w:tcBorders>
          </w:tcPr>
          <w:p w:rsidR="00CC7463" w:rsidRPr="00632EF3" w:rsidRDefault="00CC7463" w:rsidP="006E6758">
            <w:pPr>
              <w:rPr>
                <w:rFonts w:ascii="Arial Narrow" w:hAnsi="Arial Narrow" w:cs="Arial"/>
                <w:sz w:val="18"/>
                <w:szCs w:val="18"/>
              </w:rPr>
            </w:pPr>
            <w:r w:rsidRPr="00632EF3">
              <w:rPr>
                <w:rFonts w:ascii="Arial Narrow" w:hAnsi="Arial Narrow" w:cs="Arial"/>
                <w:b/>
                <w:sz w:val="18"/>
                <w:szCs w:val="18"/>
              </w:rPr>
              <w:t xml:space="preserve">Category / Program:   </w:t>
            </w:r>
            <w:r w:rsidRPr="00632EF3">
              <w:rPr>
                <w:rFonts w:ascii="Arial Narrow" w:hAnsi="Arial Narrow" w:cs="Arial"/>
                <w:sz w:val="18"/>
                <w:szCs w:val="18"/>
              </w:rPr>
              <w:t>Section 100 – IVF Program</w:t>
            </w:r>
          </w:p>
        </w:tc>
      </w:tr>
      <w:tr w:rsidR="00CC7463" w:rsidRPr="00632EF3" w:rsidTr="00456D7E">
        <w:tblPrEx>
          <w:tblCellMar>
            <w:top w:w="15" w:type="dxa"/>
            <w:left w:w="15" w:type="dxa"/>
            <w:bottom w:w="15" w:type="dxa"/>
            <w:right w:w="15" w:type="dxa"/>
          </w:tblCellMar>
          <w:tblLook w:val="04A0" w:firstRow="1" w:lastRow="0" w:firstColumn="1" w:lastColumn="0" w:noHBand="0" w:noVBand="1"/>
        </w:tblPrEx>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CC7463" w:rsidRPr="00632EF3" w:rsidRDefault="00CC7463" w:rsidP="006E6758">
            <w:pPr>
              <w:rPr>
                <w:rFonts w:ascii="Arial Narrow" w:hAnsi="Arial Narrow" w:cs="Arial"/>
                <w:b/>
                <w:sz w:val="18"/>
                <w:szCs w:val="18"/>
              </w:rPr>
            </w:pPr>
            <w:r w:rsidRPr="00632EF3">
              <w:rPr>
                <w:rFonts w:ascii="Arial Narrow" w:hAnsi="Arial Narrow" w:cs="Arial"/>
                <w:b/>
                <w:sz w:val="18"/>
                <w:szCs w:val="18"/>
              </w:rPr>
              <w:t xml:space="preserve">Prescriber type:   </w:t>
            </w:r>
            <w:r w:rsidRPr="008F363E">
              <w:rPr>
                <w:rFonts w:ascii="Arial Narrow" w:hAnsi="Arial Narrow" w:cs="Arial"/>
                <w:sz w:val="18"/>
                <w:szCs w:val="18"/>
              </w:rPr>
              <w:fldChar w:fldCharType="begin">
                <w:ffData>
                  <w:name w:val=""/>
                  <w:enabled/>
                  <w:calcOnExit w:val="0"/>
                  <w:checkBox>
                    <w:sizeAuto/>
                    <w:default w:val="1"/>
                  </w:checkBox>
                </w:ffData>
              </w:fldChar>
            </w:r>
            <w:r w:rsidRPr="00632EF3">
              <w:rPr>
                <w:rFonts w:ascii="Arial Narrow" w:hAnsi="Arial Narrow" w:cs="Arial"/>
                <w:sz w:val="18"/>
                <w:szCs w:val="18"/>
              </w:rPr>
              <w:instrText xml:space="preserve"> FORMCHECKBOX </w:instrText>
            </w:r>
            <w:r w:rsidR="00AF1922">
              <w:rPr>
                <w:rFonts w:ascii="Arial Narrow" w:hAnsi="Arial Narrow" w:cs="Arial"/>
                <w:sz w:val="18"/>
                <w:szCs w:val="18"/>
              </w:rPr>
            </w:r>
            <w:r w:rsidR="00AF1922">
              <w:rPr>
                <w:rFonts w:ascii="Arial Narrow" w:hAnsi="Arial Narrow" w:cs="Arial"/>
                <w:sz w:val="18"/>
                <w:szCs w:val="18"/>
              </w:rPr>
              <w:fldChar w:fldCharType="separate"/>
            </w:r>
            <w:r w:rsidRPr="008F363E">
              <w:rPr>
                <w:rFonts w:ascii="Arial Narrow" w:hAnsi="Arial Narrow" w:cs="Arial"/>
                <w:sz w:val="18"/>
                <w:szCs w:val="18"/>
              </w:rPr>
              <w:fldChar w:fldCharType="end"/>
            </w:r>
            <w:r w:rsidRPr="00632EF3">
              <w:rPr>
                <w:rFonts w:ascii="Arial Narrow" w:hAnsi="Arial Narrow" w:cs="Arial"/>
                <w:sz w:val="18"/>
                <w:szCs w:val="18"/>
              </w:rPr>
              <w:t xml:space="preserve"> Medical Practitioners    </w:t>
            </w:r>
          </w:p>
        </w:tc>
      </w:tr>
      <w:tr w:rsidR="00CC7463" w:rsidRPr="00632EF3" w:rsidTr="00456D7E">
        <w:tblPrEx>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bottom w:val="single" w:sz="4" w:space="0" w:color="auto"/>
              <w:right w:val="single" w:sz="4" w:space="0" w:color="auto"/>
            </w:tcBorders>
          </w:tcPr>
          <w:p w:rsidR="00CC7463" w:rsidRPr="00632EF3" w:rsidRDefault="00CC7463" w:rsidP="006E6758">
            <w:pPr>
              <w:rPr>
                <w:rFonts w:ascii="Arial Narrow" w:eastAsia="Calibri" w:hAnsi="Arial Narrow" w:cs="Arial"/>
                <w:color w:val="FF00FF"/>
                <w:sz w:val="18"/>
                <w:szCs w:val="18"/>
              </w:rPr>
            </w:pPr>
            <w:r w:rsidRPr="00632EF3">
              <w:rPr>
                <w:rFonts w:ascii="Arial Narrow" w:hAnsi="Arial Narrow" w:cs="Arial"/>
                <w:b/>
                <w:sz w:val="18"/>
                <w:szCs w:val="18"/>
              </w:rPr>
              <w:t xml:space="preserve">Restriction type: </w:t>
            </w:r>
            <w:r w:rsidRPr="008F363E">
              <w:rPr>
                <w:rFonts w:ascii="Arial Narrow" w:eastAsia="Calibri" w:hAnsi="Arial Narrow" w:cs="Arial"/>
                <w:sz w:val="18"/>
                <w:szCs w:val="18"/>
              </w:rPr>
              <w:fldChar w:fldCharType="begin">
                <w:ffData>
                  <w:name w:val=""/>
                  <w:enabled/>
                  <w:calcOnExit w:val="0"/>
                  <w:checkBox>
                    <w:sizeAuto/>
                    <w:default w:val="1"/>
                  </w:checkBox>
                </w:ffData>
              </w:fldChar>
            </w:r>
            <w:r w:rsidRPr="00632EF3">
              <w:rPr>
                <w:rFonts w:ascii="Arial Narrow" w:eastAsia="Calibri" w:hAnsi="Arial Narrow" w:cs="Arial"/>
                <w:sz w:val="18"/>
                <w:szCs w:val="18"/>
              </w:rPr>
              <w:instrText xml:space="preserve"> FORMCHECKBOX </w:instrText>
            </w:r>
            <w:r w:rsidR="00AF1922">
              <w:rPr>
                <w:rFonts w:ascii="Arial Narrow" w:eastAsia="Calibri" w:hAnsi="Arial Narrow" w:cs="Arial"/>
                <w:sz w:val="18"/>
                <w:szCs w:val="18"/>
              </w:rPr>
            </w:r>
            <w:r w:rsidR="00AF1922">
              <w:rPr>
                <w:rFonts w:ascii="Arial Narrow" w:eastAsia="Calibri" w:hAnsi="Arial Narrow" w:cs="Arial"/>
                <w:sz w:val="18"/>
                <w:szCs w:val="18"/>
              </w:rPr>
              <w:fldChar w:fldCharType="separate"/>
            </w:r>
            <w:r w:rsidRPr="008F363E">
              <w:rPr>
                <w:rFonts w:ascii="Arial Narrow" w:eastAsia="Calibri" w:hAnsi="Arial Narrow" w:cs="Arial"/>
                <w:sz w:val="18"/>
                <w:szCs w:val="18"/>
              </w:rPr>
              <w:fldChar w:fldCharType="end"/>
            </w:r>
            <w:r w:rsidRPr="00632EF3">
              <w:rPr>
                <w:rFonts w:ascii="Arial Narrow" w:eastAsia="Calibri" w:hAnsi="Arial Narrow" w:cs="Arial"/>
                <w:sz w:val="18"/>
                <w:szCs w:val="18"/>
              </w:rPr>
              <w:t xml:space="preserve"> Authority Required (STREAMLINED) 5027</w:t>
            </w:r>
          </w:p>
        </w:tc>
      </w:tr>
      <w:tr w:rsidR="00CC7463" w:rsidRPr="00632EF3" w:rsidTr="00456D7E">
        <w:tblPrEx>
          <w:tblCellMar>
            <w:top w:w="15" w:type="dxa"/>
            <w:left w:w="15" w:type="dxa"/>
            <w:bottom w:w="15" w:type="dxa"/>
            <w:right w:w="15" w:type="dxa"/>
          </w:tblCellMar>
          <w:tblLook w:val="04A0" w:firstRow="1" w:lastRow="0" w:firstColumn="1" w:lastColumn="0" w:noHBand="0" w:noVBand="1"/>
        </w:tblPrEx>
        <w:tc>
          <w:tcPr>
            <w:tcW w:w="5000" w:type="pct"/>
            <w:gridSpan w:val="6"/>
            <w:vAlign w:val="center"/>
          </w:tcPr>
          <w:p w:rsidR="00CC7463" w:rsidRPr="00632EF3" w:rsidRDefault="00CC7463" w:rsidP="006E6758">
            <w:pPr>
              <w:rPr>
                <w:rFonts w:ascii="Arial Narrow" w:hAnsi="Arial Narrow"/>
                <w:bCs/>
                <w:color w:val="FF00FF"/>
                <w:sz w:val="18"/>
                <w:szCs w:val="18"/>
                <w:lang w:eastAsia="en-AU"/>
              </w:rPr>
            </w:pPr>
            <w:r w:rsidRPr="00632EF3">
              <w:rPr>
                <w:rFonts w:ascii="Arial Narrow" w:hAnsi="Arial Narrow"/>
                <w:b/>
                <w:bCs/>
                <w:color w:val="333333"/>
                <w:sz w:val="18"/>
                <w:szCs w:val="18"/>
                <w:lang w:eastAsia="en-AU"/>
              </w:rPr>
              <w:t xml:space="preserve">Administrative Advice: </w:t>
            </w:r>
          </w:p>
          <w:p w:rsidR="00CC7463" w:rsidRPr="00632EF3" w:rsidRDefault="00CC7463" w:rsidP="006E6758">
            <w:pPr>
              <w:rPr>
                <w:rFonts w:ascii="Arial Narrow" w:hAnsi="Arial Narrow"/>
                <w:b/>
                <w:bCs/>
                <w:i/>
                <w:color w:val="333333"/>
                <w:sz w:val="18"/>
                <w:szCs w:val="18"/>
                <w:lang w:eastAsia="en-AU"/>
              </w:rPr>
            </w:pPr>
            <w:r w:rsidRPr="00632EF3">
              <w:rPr>
                <w:rFonts w:ascii="Arial Narrow" w:hAnsi="Arial Narrow"/>
                <w:b/>
                <w:bCs/>
                <w:i/>
                <w:color w:val="333333"/>
                <w:sz w:val="18"/>
                <w:szCs w:val="18"/>
                <w:lang w:eastAsia="en-AU"/>
              </w:rPr>
              <w:t>Biosimilar prescribing policy</w:t>
            </w:r>
          </w:p>
          <w:p w:rsidR="00CC7463" w:rsidRPr="00632EF3" w:rsidRDefault="00CC7463" w:rsidP="006E6758">
            <w:pPr>
              <w:rPr>
                <w:rFonts w:ascii="Arial Narrow" w:hAnsi="Arial Narrow"/>
                <w:bCs/>
                <w:i/>
                <w:color w:val="333333"/>
                <w:sz w:val="18"/>
                <w:szCs w:val="18"/>
                <w:lang w:eastAsia="en-AU"/>
              </w:rPr>
            </w:pPr>
            <w:r w:rsidRPr="00632EF3">
              <w:rPr>
                <w:rFonts w:ascii="Arial Narrow" w:hAnsi="Arial Narrow"/>
                <w:bCs/>
                <w:i/>
                <w:color w:val="333333"/>
                <w:sz w:val="18"/>
                <w:szCs w:val="18"/>
                <w:lang w:eastAsia="en-AU"/>
              </w:rPr>
              <w:t>Prescribing of a biosimilar brand, Bemfola or Ovaleap, is encouraged for treatment naive patients.</w:t>
            </w:r>
          </w:p>
          <w:p w:rsidR="00CC7463" w:rsidRPr="00632EF3" w:rsidRDefault="00CC7463" w:rsidP="006E6758">
            <w:pPr>
              <w:rPr>
                <w:rFonts w:ascii="Arial Narrow" w:hAnsi="Arial Narrow"/>
                <w:bCs/>
                <w:color w:val="333333"/>
                <w:sz w:val="18"/>
                <w:szCs w:val="18"/>
                <w:lang w:eastAsia="en-AU"/>
              </w:rPr>
            </w:pPr>
            <w:r w:rsidRPr="00632EF3">
              <w:rPr>
                <w:rFonts w:ascii="Arial Narrow" w:hAnsi="Arial Narrow"/>
                <w:bCs/>
                <w:i/>
                <w:color w:val="333333"/>
                <w:sz w:val="18"/>
                <w:szCs w:val="18"/>
                <w:lang w:eastAsia="en-AU"/>
              </w:rPr>
              <w:t>Encouraging biosimilar prescribing for treatment naive patients is Government policy. A viable biosimilar market is expected to result in reduced costs for biological medicines, allowing the Government to reinvest in new treatments. Further information can be found on the Biosimilar Awareness Initiative webpage (www.health.gov.au/biosimilars).</w:t>
            </w:r>
          </w:p>
        </w:tc>
      </w:tr>
      <w:tr w:rsidR="00CC7463" w:rsidRPr="00632EF3" w:rsidTr="00456D7E">
        <w:tblPrEx>
          <w:tblCellMar>
            <w:top w:w="15" w:type="dxa"/>
            <w:left w:w="15" w:type="dxa"/>
            <w:bottom w:w="15" w:type="dxa"/>
            <w:right w:w="15" w:type="dxa"/>
          </w:tblCellMar>
          <w:tblLook w:val="04A0" w:firstRow="1" w:lastRow="0" w:firstColumn="1" w:lastColumn="0" w:noHBand="0" w:noVBand="1"/>
        </w:tblPrEx>
        <w:tc>
          <w:tcPr>
            <w:tcW w:w="5000" w:type="pct"/>
            <w:gridSpan w:val="6"/>
            <w:vAlign w:val="center"/>
          </w:tcPr>
          <w:p w:rsidR="00CC7463" w:rsidRPr="00632EF3" w:rsidRDefault="00CC7463" w:rsidP="006E6758">
            <w:pPr>
              <w:rPr>
                <w:rFonts w:ascii="Arial Narrow" w:hAnsi="Arial Narrow"/>
                <w:b/>
                <w:bCs/>
                <w:color w:val="333333"/>
                <w:sz w:val="18"/>
                <w:szCs w:val="18"/>
                <w:lang w:eastAsia="en-AU"/>
              </w:rPr>
            </w:pPr>
            <w:r w:rsidRPr="00632EF3">
              <w:rPr>
                <w:rFonts w:ascii="Arial Narrow" w:hAnsi="Arial Narrow"/>
                <w:b/>
                <w:bCs/>
                <w:color w:val="333333"/>
                <w:sz w:val="18"/>
                <w:szCs w:val="18"/>
                <w:lang w:eastAsia="en-AU"/>
              </w:rPr>
              <w:t>Administrative Advice:</w:t>
            </w:r>
          </w:p>
          <w:p w:rsidR="00CC7463" w:rsidRPr="00632EF3" w:rsidRDefault="00CC7463" w:rsidP="006E6758">
            <w:pPr>
              <w:rPr>
                <w:rFonts w:ascii="Arial Narrow" w:hAnsi="Arial Narrow"/>
                <w:bCs/>
                <w:i/>
                <w:color w:val="333333"/>
                <w:sz w:val="18"/>
                <w:szCs w:val="18"/>
                <w:lang w:eastAsia="en-AU"/>
              </w:rPr>
            </w:pPr>
            <w:r w:rsidRPr="00632EF3">
              <w:rPr>
                <w:rFonts w:ascii="Arial Narrow" w:hAnsi="Arial Narrow"/>
                <w:bCs/>
                <w:i/>
                <w:color w:val="333333"/>
                <w:sz w:val="18"/>
                <w:szCs w:val="18"/>
                <w:lang w:eastAsia="en-AU"/>
              </w:rPr>
              <w:t>Pharmaceutical benefits that have the form follitropin alfa cartridge (Ovaleap) and pharmaceutical benefits that have the form follitropin alfa single pen device (Gonal-f Pen) are equivalent for the purposes of substitution.</w:t>
            </w:r>
          </w:p>
          <w:p w:rsidR="00CC7463" w:rsidRPr="00632EF3" w:rsidRDefault="00CC7463" w:rsidP="006E6758">
            <w:pPr>
              <w:rPr>
                <w:rFonts w:ascii="Arial Narrow" w:hAnsi="Arial Narrow"/>
                <w:bCs/>
                <w:i/>
                <w:color w:val="333333"/>
                <w:sz w:val="18"/>
                <w:szCs w:val="18"/>
                <w:lang w:eastAsia="en-AU"/>
              </w:rPr>
            </w:pPr>
          </w:p>
          <w:p w:rsidR="00CC7463" w:rsidRPr="00632EF3" w:rsidRDefault="00CC7463" w:rsidP="006E6758">
            <w:pPr>
              <w:rPr>
                <w:rFonts w:ascii="Arial Narrow" w:hAnsi="Arial Narrow"/>
                <w:bCs/>
                <w:i/>
                <w:color w:val="333333"/>
                <w:sz w:val="18"/>
                <w:szCs w:val="18"/>
                <w:lang w:eastAsia="en-AU"/>
              </w:rPr>
            </w:pPr>
            <w:r w:rsidRPr="00632EF3">
              <w:rPr>
                <w:rFonts w:ascii="Arial Narrow" w:hAnsi="Arial Narrow"/>
                <w:bCs/>
                <w:i/>
                <w:color w:val="333333"/>
                <w:sz w:val="18"/>
                <w:szCs w:val="18"/>
                <w:lang w:eastAsia="en-AU"/>
              </w:rPr>
              <w:t>Where the Ovaleap brand is supplied, the separate pen device is to be supplied by the pharmacist where required. The pen device for the Ovaleap brand can be obtained by contacting the pharmaceutical wholesaler, or, the sponsor directly.</w:t>
            </w:r>
          </w:p>
        </w:tc>
      </w:tr>
      <w:tr w:rsidR="00CC7463" w:rsidRPr="00632EF3" w:rsidTr="00456D7E">
        <w:tblPrEx>
          <w:tblCellMar>
            <w:top w:w="15" w:type="dxa"/>
            <w:left w:w="15" w:type="dxa"/>
            <w:bottom w:w="15" w:type="dxa"/>
            <w:right w:w="15" w:type="dxa"/>
          </w:tblCellMar>
          <w:tblLook w:val="04A0" w:firstRow="1" w:lastRow="0" w:firstColumn="1" w:lastColumn="0" w:noHBand="0" w:noVBand="1"/>
        </w:tblPrEx>
        <w:tc>
          <w:tcPr>
            <w:tcW w:w="5000" w:type="pct"/>
            <w:gridSpan w:val="6"/>
            <w:vAlign w:val="center"/>
            <w:hideMark/>
          </w:tcPr>
          <w:p w:rsidR="00CC7463" w:rsidRPr="00632EF3" w:rsidRDefault="00CC7463" w:rsidP="006E6758">
            <w:pPr>
              <w:rPr>
                <w:rFonts w:ascii="Arial Narrow" w:hAnsi="Arial Narrow"/>
                <w:color w:val="333333"/>
                <w:sz w:val="18"/>
                <w:szCs w:val="18"/>
                <w:lang w:eastAsia="en-AU"/>
              </w:rPr>
            </w:pPr>
            <w:r w:rsidRPr="00632EF3">
              <w:rPr>
                <w:rFonts w:ascii="Arial Narrow" w:hAnsi="Arial Narrow"/>
                <w:b/>
                <w:bCs/>
                <w:color w:val="333333"/>
                <w:sz w:val="18"/>
                <w:szCs w:val="18"/>
                <w:lang w:eastAsia="en-AU"/>
              </w:rPr>
              <w:t>Indication:</w:t>
            </w:r>
            <w:r w:rsidRPr="00632EF3">
              <w:rPr>
                <w:rFonts w:ascii="Arial Narrow" w:hAnsi="Arial Narrow"/>
                <w:color w:val="333333"/>
                <w:sz w:val="18"/>
                <w:szCs w:val="18"/>
                <w:lang w:eastAsia="en-AU"/>
              </w:rPr>
              <w:t xml:space="preserve"> Assisted Reproductive Technology</w:t>
            </w:r>
          </w:p>
        </w:tc>
      </w:tr>
      <w:tr w:rsidR="00CC7463" w:rsidRPr="00632EF3" w:rsidTr="00456D7E">
        <w:tblPrEx>
          <w:tblCellMar>
            <w:top w:w="15" w:type="dxa"/>
            <w:left w:w="15" w:type="dxa"/>
            <w:bottom w:w="15" w:type="dxa"/>
            <w:right w:w="15" w:type="dxa"/>
          </w:tblCellMar>
          <w:tblLook w:val="04A0" w:firstRow="1" w:lastRow="0" w:firstColumn="1" w:lastColumn="0" w:noHBand="0" w:noVBand="1"/>
        </w:tblPrEx>
        <w:tc>
          <w:tcPr>
            <w:tcW w:w="5000" w:type="pct"/>
            <w:gridSpan w:val="6"/>
            <w:vAlign w:val="center"/>
            <w:hideMark/>
          </w:tcPr>
          <w:p w:rsidR="00CC7463" w:rsidRPr="00632EF3" w:rsidRDefault="00CC7463" w:rsidP="006E6758">
            <w:pPr>
              <w:rPr>
                <w:rFonts w:ascii="Arial Narrow" w:hAnsi="Arial Narrow"/>
                <w:color w:val="FF00FF"/>
                <w:sz w:val="18"/>
                <w:szCs w:val="18"/>
                <w:lang w:eastAsia="en-AU"/>
              </w:rPr>
            </w:pPr>
            <w:r w:rsidRPr="00632EF3">
              <w:rPr>
                <w:rFonts w:ascii="Arial Narrow" w:hAnsi="Arial Narrow"/>
                <w:b/>
                <w:bCs/>
                <w:color w:val="333333"/>
                <w:sz w:val="18"/>
                <w:szCs w:val="18"/>
                <w:lang w:eastAsia="en-AU"/>
              </w:rPr>
              <w:t xml:space="preserve">Clinical criteria: </w:t>
            </w:r>
          </w:p>
        </w:tc>
      </w:tr>
      <w:tr w:rsidR="00CC7463" w:rsidRPr="00632EF3" w:rsidTr="00456D7E">
        <w:tblPrEx>
          <w:tblCellMar>
            <w:top w:w="15" w:type="dxa"/>
            <w:left w:w="15" w:type="dxa"/>
            <w:bottom w:w="15" w:type="dxa"/>
            <w:right w:w="15" w:type="dxa"/>
          </w:tblCellMar>
          <w:tblLook w:val="04A0" w:firstRow="1" w:lastRow="0" w:firstColumn="1" w:lastColumn="0" w:noHBand="0" w:noVBand="1"/>
        </w:tblPrEx>
        <w:tc>
          <w:tcPr>
            <w:tcW w:w="5000" w:type="pct"/>
            <w:gridSpan w:val="6"/>
            <w:vAlign w:val="center"/>
            <w:hideMark/>
          </w:tcPr>
          <w:p w:rsidR="00CC7463" w:rsidRPr="00632EF3" w:rsidRDefault="00CC7463" w:rsidP="006E6758">
            <w:pPr>
              <w:rPr>
                <w:rFonts w:ascii="Arial Narrow" w:hAnsi="Arial Narrow"/>
                <w:color w:val="333333"/>
                <w:sz w:val="18"/>
                <w:szCs w:val="18"/>
                <w:lang w:eastAsia="en-AU"/>
              </w:rPr>
            </w:pPr>
            <w:r w:rsidRPr="00632EF3">
              <w:rPr>
                <w:rFonts w:ascii="Arial Narrow" w:hAnsi="Arial Narrow"/>
                <w:color w:val="333333"/>
                <w:sz w:val="18"/>
                <w:szCs w:val="18"/>
                <w:lang w:eastAsia="en-AU"/>
              </w:rPr>
              <w:t>Patient must be receiving medical services as described in items 13200, 13201, 13202 or 13203 of the Medicare Benefits Schedule</w:t>
            </w:r>
          </w:p>
        </w:tc>
      </w:tr>
    </w:tbl>
    <w:p w:rsidR="001B4741" w:rsidRPr="00632EF3" w:rsidRDefault="001B4741" w:rsidP="001B4741">
      <w:pPr>
        <w:rPr>
          <w:b/>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
        <w:gridCol w:w="4441"/>
        <w:gridCol w:w="833"/>
        <w:gridCol w:w="972"/>
        <w:gridCol w:w="833"/>
        <w:gridCol w:w="694"/>
        <w:gridCol w:w="1109"/>
      </w:tblGrid>
      <w:tr w:rsidR="001B4741" w:rsidRPr="00632EF3" w:rsidTr="00CC7463">
        <w:trPr>
          <w:cantSplit/>
          <w:trHeight w:val="471"/>
        </w:trPr>
        <w:tc>
          <w:tcPr>
            <w:tcW w:w="2537" w:type="pct"/>
            <w:gridSpan w:val="2"/>
          </w:tcPr>
          <w:p w:rsidR="001B4741" w:rsidRPr="00632EF3" w:rsidRDefault="001B4741" w:rsidP="006E6758">
            <w:pPr>
              <w:keepNext/>
              <w:ind w:left="-57"/>
              <w:rPr>
                <w:rFonts w:ascii="Arial Narrow" w:hAnsi="Arial Narrow" w:cs="Arial"/>
                <w:b/>
                <w:bCs/>
                <w:sz w:val="18"/>
                <w:szCs w:val="18"/>
              </w:rPr>
            </w:pPr>
            <w:r w:rsidRPr="00632EF3">
              <w:rPr>
                <w:rFonts w:ascii="Arial Narrow" w:hAnsi="Arial Narrow" w:cs="Arial"/>
                <w:b/>
                <w:bCs/>
                <w:sz w:val="18"/>
                <w:szCs w:val="18"/>
              </w:rPr>
              <w:t>MEDICINAL PRODUCT</w:t>
            </w:r>
          </w:p>
          <w:p w:rsidR="001B4741" w:rsidRPr="00632EF3" w:rsidRDefault="001B4741" w:rsidP="006E6758">
            <w:pPr>
              <w:keepNext/>
              <w:ind w:left="-57"/>
              <w:rPr>
                <w:rFonts w:ascii="Arial Narrow" w:hAnsi="Arial Narrow" w:cs="Arial"/>
                <w:b/>
                <w:sz w:val="18"/>
                <w:szCs w:val="18"/>
              </w:rPr>
            </w:pPr>
            <w:r w:rsidRPr="00632EF3">
              <w:rPr>
                <w:rFonts w:ascii="Arial Narrow" w:hAnsi="Arial Narrow" w:cs="Arial"/>
                <w:b/>
                <w:bCs/>
                <w:sz w:val="18"/>
                <w:szCs w:val="18"/>
              </w:rPr>
              <w:t>medicinal product pack</w:t>
            </w:r>
          </w:p>
        </w:tc>
        <w:tc>
          <w:tcPr>
            <w:tcW w:w="462" w:type="pct"/>
          </w:tcPr>
          <w:p w:rsidR="001B4741" w:rsidRPr="00632EF3" w:rsidRDefault="001B4741" w:rsidP="006E6758">
            <w:pPr>
              <w:keepNext/>
              <w:ind w:left="-108"/>
              <w:jc w:val="center"/>
              <w:rPr>
                <w:rFonts w:ascii="Arial Narrow" w:hAnsi="Arial Narrow" w:cs="Arial"/>
                <w:b/>
                <w:sz w:val="18"/>
                <w:szCs w:val="18"/>
              </w:rPr>
            </w:pPr>
            <w:r w:rsidRPr="00632EF3">
              <w:rPr>
                <w:rFonts w:ascii="Arial Narrow" w:hAnsi="Arial Narrow" w:cs="Arial"/>
                <w:b/>
                <w:sz w:val="18"/>
                <w:szCs w:val="18"/>
              </w:rPr>
              <w:t>PBS item code</w:t>
            </w:r>
          </w:p>
        </w:tc>
        <w:tc>
          <w:tcPr>
            <w:tcW w:w="539" w:type="pct"/>
          </w:tcPr>
          <w:p w:rsidR="001B4741" w:rsidRPr="00632EF3" w:rsidRDefault="001B4741" w:rsidP="006E6758">
            <w:pPr>
              <w:keepNext/>
              <w:ind w:left="-108"/>
              <w:jc w:val="center"/>
              <w:rPr>
                <w:rFonts w:ascii="Arial Narrow" w:hAnsi="Arial Narrow" w:cs="Arial"/>
                <w:b/>
                <w:sz w:val="18"/>
                <w:szCs w:val="18"/>
              </w:rPr>
            </w:pPr>
            <w:r w:rsidRPr="00632EF3">
              <w:rPr>
                <w:rFonts w:ascii="Arial Narrow" w:hAnsi="Arial Narrow" w:cs="Arial"/>
                <w:b/>
                <w:sz w:val="18"/>
                <w:szCs w:val="18"/>
              </w:rPr>
              <w:t>Max. qty packs</w:t>
            </w:r>
          </w:p>
        </w:tc>
        <w:tc>
          <w:tcPr>
            <w:tcW w:w="462" w:type="pct"/>
          </w:tcPr>
          <w:p w:rsidR="001B4741" w:rsidRPr="00632EF3" w:rsidRDefault="001B4741" w:rsidP="006E6758">
            <w:pPr>
              <w:keepNext/>
              <w:ind w:left="-108"/>
              <w:jc w:val="center"/>
              <w:rPr>
                <w:rFonts w:ascii="Arial Narrow" w:hAnsi="Arial Narrow" w:cs="Arial"/>
                <w:b/>
                <w:sz w:val="18"/>
                <w:szCs w:val="18"/>
              </w:rPr>
            </w:pPr>
            <w:r w:rsidRPr="00632EF3">
              <w:rPr>
                <w:rFonts w:ascii="Arial Narrow" w:hAnsi="Arial Narrow" w:cs="Arial"/>
                <w:b/>
                <w:sz w:val="18"/>
                <w:szCs w:val="18"/>
              </w:rPr>
              <w:t>Max. qty units</w:t>
            </w:r>
          </w:p>
        </w:tc>
        <w:tc>
          <w:tcPr>
            <w:tcW w:w="385" w:type="pct"/>
          </w:tcPr>
          <w:p w:rsidR="001B4741" w:rsidRPr="00632EF3" w:rsidRDefault="001B4741" w:rsidP="006E6758">
            <w:pPr>
              <w:keepNext/>
              <w:ind w:left="-108"/>
              <w:jc w:val="center"/>
              <w:rPr>
                <w:rFonts w:ascii="Arial Narrow" w:hAnsi="Arial Narrow" w:cs="Arial"/>
                <w:b/>
                <w:sz w:val="18"/>
                <w:szCs w:val="18"/>
              </w:rPr>
            </w:pPr>
            <w:r w:rsidRPr="00632EF3">
              <w:rPr>
                <w:rFonts w:ascii="Arial Narrow" w:hAnsi="Arial Narrow" w:cs="Arial"/>
                <w:b/>
                <w:sz w:val="18"/>
                <w:szCs w:val="18"/>
              </w:rPr>
              <w:t>№.of</w:t>
            </w:r>
          </w:p>
          <w:p w:rsidR="001B4741" w:rsidRPr="00632EF3" w:rsidRDefault="001B4741" w:rsidP="006E6758">
            <w:pPr>
              <w:keepNext/>
              <w:ind w:left="-108"/>
              <w:jc w:val="center"/>
              <w:rPr>
                <w:rFonts w:ascii="Arial Narrow" w:hAnsi="Arial Narrow" w:cs="Arial"/>
                <w:b/>
                <w:sz w:val="18"/>
                <w:szCs w:val="18"/>
              </w:rPr>
            </w:pPr>
            <w:r w:rsidRPr="00632EF3">
              <w:rPr>
                <w:rFonts w:ascii="Arial Narrow" w:hAnsi="Arial Narrow" w:cs="Arial"/>
                <w:b/>
                <w:sz w:val="18"/>
                <w:szCs w:val="18"/>
              </w:rPr>
              <w:t>Rpts</w:t>
            </w:r>
          </w:p>
        </w:tc>
        <w:tc>
          <w:tcPr>
            <w:tcW w:w="615" w:type="pct"/>
          </w:tcPr>
          <w:p w:rsidR="001B4741" w:rsidRPr="00632EF3" w:rsidRDefault="001B4741" w:rsidP="006E6758">
            <w:pPr>
              <w:keepNext/>
              <w:rPr>
                <w:rFonts w:ascii="Arial Narrow" w:hAnsi="Arial Narrow" w:cs="Arial"/>
                <w:b/>
                <w:sz w:val="18"/>
                <w:szCs w:val="18"/>
              </w:rPr>
            </w:pPr>
            <w:r w:rsidRPr="00632EF3">
              <w:rPr>
                <w:rFonts w:ascii="Arial Narrow" w:hAnsi="Arial Narrow" w:cs="Arial"/>
                <w:b/>
                <w:sz w:val="18"/>
                <w:szCs w:val="18"/>
              </w:rPr>
              <w:t>Available brands</w:t>
            </w:r>
          </w:p>
        </w:tc>
      </w:tr>
      <w:tr w:rsidR="001B4741" w:rsidRPr="00632EF3" w:rsidTr="00CC7463">
        <w:trPr>
          <w:cantSplit/>
          <w:trHeight w:val="224"/>
        </w:trPr>
        <w:tc>
          <w:tcPr>
            <w:tcW w:w="5000" w:type="pct"/>
            <w:gridSpan w:val="7"/>
          </w:tcPr>
          <w:p w:rsidR="001B4741" w:rsidRPr="00632EF3" w:rsidRDefault="001B4741" w:rsidP="006E6758">
            <w:pPr>
              <w:keepNext/>
              <w:ind w:left="-57"/>
              <w:rPr>
                <w:rFonts w:ascii="Arial Narrow" w:hAnsi="Arial Narrow" w:cs="Arial"/>
                <w:sz w:val="18"/>
                <w:szCs w:val="18"/>
              </w:rPr>
            </w:pPr>
            <w:r w:rsidRPr="00632EF3">
              <w:rPr>
                <w:rFonts w:ascii="Arial Narrow" w:hAnsi="Arial Narrow" w:cs="Arial"/>
                <w:sz w:val="18"/>
                <w:szCs w:val="18"/>
              </w:rPr>
              <w:t xml:space="preserve">FOLLITROPIN ALFA  </w:t>
            </w:r>
          </w:p>
        </w:tc>
      </w:tr>
      <w:tr w:rsidR="001B4741" w:rsidRPr="00632EF3" w:rsidTr="00CC7463">
        <w:trPr>
          <w:cantSplit/>
          <w:trHeight w:val="231"/>
        </w:trPr>
        <w:tc>
          <w:tcPr>
            <w:tcW w:w="2537" w:type="pct"/>
            <w:gridSpan w:val="2"/>
          </w:tcPr>
          <w:p w:rsidR="001B4741" w:rsidRPr="00632EF3" w:rsidRDefault="001B4741" w:rsidP="006E6758">
            <w:pPr>
              <w:keepNext/>
              <w:ind w:left="-57"/>
              <w:rPr>
                <w:rFonts w:ascii="Arial Narrow" w:hAnsi="Arial Narrow" w:cs="Arial"/>
                <w:i/>
                <w:sz w:val="18"/>
                <w:szCs w:val="18"/>
              </w:rPr>
            </w:pPr>
            <w:r w:rsidRPr="00632EF3">
              <w:rPr>
                <w:rFonts w:ascii="Arial Narrow" w:hAnsi="Arial Narrow" w:cs="Arial"/>
                <w:i/>
                <w:sz w:val="18"/>
                <w:szCs w:val="18"/>
              </w:rPr>
              <w:t>follitropin alfa 300 units (22 microgram)/0.5 mL injection, 0.5 mL cartridge</w:t>
            </w:r>
          </w:p>
        </w:tc>
        <w:tc>
          <w:tcPr>
            <w:tcW w:w="462" w:type="pct"/>
          </w:tcPr>
          <w:p w:rsidR="001B4741" w:rsidRPr="00632EF3" w:rsidRDefault="001B4741" w:rsidP="006E6758">
            <w:pPr>
              <w:keepNext/>
              <w:jc w:val="center"/>
              <w:rPr>
                <w:rFonts w:ascii="Arial Narrow" w:hAnsi="Arial Narrow" w:cs="Arial"/>
                <w:i/>
                <w:sz w:val="18"/>
                <w:szCs w:val="18"/>
              </w:rPr>
            </w:pPr>
            <w:r w:rsidRPr="00632EF3">
              <w:rPr>
                <w:rFonts w:ascii="Arial Narrow" w:hAnsi="Arial Narrow" w:cs="Arial"/>
                <w:i/>
                <w:sz w:val="18"/>
                <w:szCs w:val="18"/>
              </w:rPr>
              <w:t>NEW</w:t>
            </w:r>
          </w:p>
        </w:tc>
        <w:tc>
          <w:tcPr>
            <w:tcW w:w="539" w:type="pct"/>
          </w:tcPr>
          <w:p w:rsidR="001B4741" w:rsidRPr="00632EF3" w:rsidRDefault="001B4741" w:rsidP="006E6758">
            <w:pPr>
              <w:keepNext/>
              <w:jc w:val="center"/>
              <w:rPr>
                <w:rFonts w:ascii="Arial Narrow" w:hAnsi="Arial Narrow" w:cs="Arial"/>
                <w:i/>
                <w:sz w:val="18"/>
                <w:szCs w:val="18"/>
              </w:rPr>
            </w:pPr>
            <w:r w:rsidRPr="00632EF3">
              <w:rPr>
                <w:rFonts w:ascii="Arial Narrow" w:hAnsi="Arial Narrow" w:cs="Arial"/>
                <w:i/>
                <w:sz w:val="18"/>
                <w:szCs w:val="18"/>
              </w:rPr>
              <w:t>3</w:t>
            </w:r>
          </w:p>
        </w:tc>
        <w:tc>
          <w:tcPr>
            <w:tcW w:w="462" w:type="pct"/>
          </w:tcPr>
          <w:p w:rsidR="001B4741" w:rsidRPr="00632EF3" w:rsidRDefault="001B4741" w:rsidP="006E6758">
            <w:pPr>
              <w:keepNext/>
              <w:jc w:val="center"/>
              <w:rPr>
                <w:rFonts w:ascii="Arial Narrow" w:hAnsi="Arial Narrow" w:cs="Arial"/>
                <w:i/>
                <w:sz w:val="18"/>
                <w:szCs w:val="18"/>
              </w:rPr>
            </w:pPr>
            <w:r w:rsidRPr="00632EF3">
              <w:rPr>
                <w:rFonts w:ascii="Arial Narrow" w:hAnsi="Arial Narrow" w:cs="Arial"/>
                <w:i/>
                <w:sz w:val="18"/>
                <w:szCs w:val="18"/>
              </w:rPr>
              <w:t>3</w:t>
            </w:r>
          </w:p>
        </w:tc>
        <w:tc>
          <w:tcPr>
            <w:tcW w:w="385" w:type="pct"/>
          </w:tcPr>
          <w:p w:rsidR="001B4741" w:rsidRPr="00632EF3" w:rsidRDefault="001B4741" w:rsidP="006E6758">
            <w:pPr>
              <w:keepNext/>
              <w:jc w:val="center"/>
              <w:rPr>
                <w:rFonts w:ascii="Arial Narrow" w:hAnsi="Arial Narrow" w:cs="Arial"/>
                <w:i/>
                <w:sz w:val="18"/>
                <w:szCs w:val="18"/>
              </w:rPr>
            </w:pPr>
            <w:r w:rsidRPr="00632EF3">
              <w:rPr>
                <w:rFonts w:ascii="Arial Narrow" w:hAnsi="Arial Narrow" w:cs="Arial"/>
                <w:i/>
                <w:sz w:val="18"/>
                <w:szCs w:val="18"/>
              </w:rPr>
              <w:t>5</w:t>
            </w:r>
          </w:p>
        </w:tc>
        <w:tc>
          <w:tcPr>
            <w:tcW w:w="615" w:type="pct"/>
          </w:tcPr>
          <w:p w:rsidR="001B4741" w:rsidRPr="00632EF3" w:rsidRDefault="001B4741" w:rsidP="006E6758">
            <w:pPr>
              <w:keepNext/>
              <w:rPr>
                <w:rFonts w:ascii="Arial Narrow" w:hAnsi="Arial Narrow" w:cs="Arial"/>
                <w:i/>
                <w:sz w:val="18"/>
                <w:szCs w:val="18"/>
              </w:rPr>
            </w:pPr>
            <w:r w:rsidRPr="00632EF3">
              <w:rPr>
                <w:rFonts w:ascii="Arial Narrow" w:hAnsi="Arial Narrow" w:cs="Arial"/>
                <w:i/>
                <w:sz w:val="18"/>
                <w:szCs w:val="18"/>
                <w:vertAlign w:val="superscript"/>
              </w:rPr>
              <w:t xml:space="preserve">a </w:t>
            </w:r>
            <w:r w:rsidRPr="00632EF3">
              <w:rPr>
                <w:rFonts w:ascii="Arial Narrow" w:hAnsi="Arial Narrow" w:cs="Arial"/>
                <w:i/>
                <w:sz w:val="18"/>
                <w:szCs w:val="18"/>
              </w:rPr>
              <w:t>Ovaleap</w:t>
            </w:r>
          </w:p>
        </w:tc>
      </w:tr>
      <w:tr w:rsidR="001B4741" w:rsidRPr="00632EF3" w:rsidTr="00CC7463">
        <w:trPr>
          <w:cantSplit/>
          <w:trHeight w:val="231"/>
        </w:trPr>
        <w:tc>
          <w:tcPr>
            <w:tcW w:w="2537" w:type="pct"/>
            <w:gridSpan w:val="2"/>
          </w:tcPr>
          <w:p w:rsidR="001B4741" w:rsidRPr="00632EF3" w:rsidRDefault="001B4741" w:rsidP="006E6758">
            <w:pPr>
              <w:keepNext/>
              <w:ind w:left="-57"/>
              <w:rPr>
                <w:rFonts w:ascii="Arial Narrow" w:hAnsi="Arial Narrow" w:cs="Arial"/>
                <w:i/>
                <w:sz w:val="18"/>
                <w:szCs w:val="18"/>
              </w:rPr>
            </w:pPr>
            <w:r w:rsidRPr="00632EF3">
              <w:rPr>
                <w:rFonts w:ascii="Arial Narrow" w:hAnsi="Arial Narrow" w:cs="Arial"/>
                <w:sz w:val="18"/>
                <w:szCs w:val="18"/>
              </w:rPr>
              <w:t>follitropin alfa 300 units (21.84 microgram)/0.5 mL injection, 0.5 mL pen device</w:t>
            </w:r>
          </w:p>
        </w:tc>
        <w:tc>
          <w:tcPr>
            <w:tcW w:w="462" w:type="pct"/>
          </w:tcPr>
          <w:p w:rsidR="001B4741" w:rsidRPr="00632EF3" w:rsidRDefault="001B4741" w:rsidP="006E6758">
            <w:pPr>
              <w:keepNext/>
              <w:jc w:val="center"/>
              <w:rPr>
                <w:rFonts w:ascii="Arial Narrow" w:hAnsi="Arial Narrow" w:cs="Arial"/>
                <w:sz w:val="18"/>
                <w:szCs w:val="18"/>
              </w:rPr>
            </w:pPr>
            <w:r w:rsidRPr="00632EF3">
              <w:rPr>
                <w:rFonts w:ascii="Arial Narrow" w:hAnsi="Arial Narrow" w:cs="Arial"/>
                <w:sz w:val="18"/>
                <w:szCs w:val="18"/>
              </w:rPr>
              <w:t>8713N</w:t>
            </w:r>
          </w:p>
        </w:tc>
        <w:tc>
          <w:tcPr>
            <w:tcW w:w="539" w:type="pct"/>
          </w:tcPr>
          <w:p w:rsidR="001B4741" w:rsidRPr="00632EF3" w:rsidRDefault="001B4741" w:rsidP="006E6758">
            <w:pPr>
              <w:keepNext/>
              <w:jc w:val="center"/>
              <w:rPr>
                <w:rFonts w:ascii="Arial Narrow" w:hAnsi="Arial Narrow" w:cs="Arial"/>
                <w:sz w:val="18"/>
                <w:szCs w:val="18"/>
              </w:rPr>
            </w:pPr>
            <w:r w:rsidRPr="00632EF3">
              <w:rPr>
                <w:rFonts w:ascii="Arial Narrow" w:hAnsi="Arial Narrow" w:cs="Arial"/>
                <w:sz w:val="18"/>
                <w:szCs w:val="18"/>
              </w:rPr>
              <w:t>3</w:t>
            </w:r>
          </w:p>
        </w:tc>
        <w:tc>
          <w:tcPr>
            <w:tcW w:w="462" w:type="pct"/>
          </w:tcPr>
          <w:p w:rsidR="001B4741" w:rsidRPr="00632EF3" w:rsidRDefault="001B4741" w:rsidP="006E6758">
            <w:pPr>
              <w:keepNext/>
              <w:jc w:val="center"/>
              <w:rPr>
                <w:rFonts w:ascii="Arial Narrow" w:hAnsi="Arial Narrow" w:cs="Arial"/>
                <w:sz w:val="18"/>
                <w:szCs w:val="18"/>
              </w:rPr>
            </w:pPr>
            <w:r w:rsidRPr="00632EF3">
              <w:rPr>
                <w:rFonts w:ascii="Arial Narrow" w:hAnsi="Arial Narrow" w:cs="Arial"/>
                <w:sz w:val="18"/>
                <w:szCs w:val="18"/>
              </w:rPr>
              <w:t>3</w:t>
            </w:r>
          </w:p>
        </w:tc>
        <w:tc>
          <w:tcPr>
            <w:tcW w:w="385" w:type="pct"/>
          </w:tcPr>
          <w:p w:rsidR="001B4741" w:rsidRPr="00632EF3" w:rsidRDefault="001B4741" w:rsidP="006E6758">
            <w:pPr>
              <w:keepNext/>
              <w:jc w:val="center"/>
              <w:rPr>
                <w:rFonts w:ascii="Arial Narrow" w:hAnsi="Arial Narrow" w:cs="Arial"/>
                <w:sz w:val="18"/>
                <w:szCs w:val="18"/>
              </w:rPr>
            </w:pPr>
            <w:r w:rsidRPr="00632EF3">
              <w:rPr>
                <w:rFonts w:ascii="Arial Narrow" w:hAnsi="Arial Narrow" w:cs="Arial"/>
                <w:sz w:val="18"/>
                <w:szCs w:val="18"/>
              </w:rPr>
              <w:t>5</w:t>
            </w:r>
          </w:p>
        </w:tc>
        <w:tc>
          <w:tcPr>
            <w:tcW w:w="615" w:type="pct"/>
          </w:tcPr>
          <w:p w:rsidR="001B4741" w:rsidRPr="00632EF3" w:rsidRDefault="001B4741" w:rsidP="006E6758">
            <w:pPr>
              <w:keepNext/>
              <w:rPr>
                <w:rFonts w:ascii="Arial Narrow" w:hAnsi="Arial Narrow" w:cs="Arial"/>
                <w:i/>
                <w:sz w:val="18"/>
                <w:szCs w:val="18"/>
                <w:vertAlign w:val="superscript"/>
              </w:rPr>
            </w:pPr>
            <w:r w:rsidRPr="00632EF3">
              <w:rPr>
                <w:rFonts w:ascii="Arial Narrow" w:hAnsi="Arial Narrow" w:cs="Arial"/>
                <w:i/>
                <w:sz w:val="18"/>
                <w:szCs w:val="18"/>
                <w:vertAlign w:val="superscript"/>
              </w:rPr>
              <w:t xml:space="preserve">a </w:t>
            </w:r>
            <w:r w:rsidRPr="00632EF3">
              <w:rPr>
                <w:rFonts w:ascii="Arial Narrow" w:hAnsi="Arial Narrow" w:cs="Arial"/>
                <w:sz w:val="18"/>
                <w:szCs w:val="18"/>
              </w:rPr>
              <w:t>Gonal-f Pen</w:t>
            </w:r>
          </w:p>
        </w:tc>
      </w:tr>
      <w:tr w:rsidR="001B4741" w:rsidRPr="00632EF3" w:rsidTr="00CC7463">
        <w:trPr>
          <w:cantSplit/>
          <w:trHeight w:val="126"/>
        </w:trPr>
        <w:tc>
          <w:tcPr>
            <w:tcW w:w="5000" w:type="pct"/>
            <w:gridSpan w:val="7"/>
            <w:shd w:val="clear" w:color="auto" w:fill="595959" w:themeFill="text1" w:themeFillTint="A6"/>
          </w:tcPr>
          <w:p w:rsidR="001B4741" w:rsidRPr="00632EF3" w:rsidRDefault="001B4741" w:rsidP="006E6758">
            <w:pPr>
              <w:keepNext/>
              <w:rPr>
                <w:rFonts w:ascii="Arial Narrow" w:hAnsi="Arial Narrow" w:cs="Arial"/>
                <w:i/>
                <w:sz w:val="18"/>
                <w:szCs w:val="18"/>
                <w:vertAlign w:val="superscript"/>
              </w:rPr>
            </w:pPr>
          </w:p>
        </w:tc>
      </w:tr>
      <w:tr w:rsidR="001B4741" w:rsidRPr="00632EF3" w:rsidTr="00CC7463">
        <w:trPr>
          <w:cantSplit/>
          <w:trHeight w:val="273"/>
        </w:trPr>
        <w:tc>
          <w:tcPr>
            <w:tcW w:w="2537" w:type="pct"/>
            <w:gridSpan w:val="2"/>
          </w:tcPr>
          <w:p w:rsidR="001B4741" w:rsidRPr="00632EF3" w:rsidRDefault="001B4741" w:rsidP="006E6758">
            <w:pPr>
              <w:keepNext/>
              <w:ind w:left="-57"/>
              <w:rPr>
                <w:rFonts w:ascii="Arial Narrow" w:hAnsi="Arial Narrow" w:cs="Arial"/>
                <w:i/>
                <w:sz w:val="18"/>
                <w:szCs w:val="18"/>
              </w:rPr>
            </w:pPr>
            <w:r w:rsidRPr="00632EF3">
              <w:rPr>
                <w:rFonts w:ascii="Arial Narrow" w:hAnsi="Arial Narrow" w:cs="Arial"/>
                <w:i/>
                <w:sz w:val="18"/>
                <w:szCs w:val="18"/>
              </w:rPr>
              <w:t>follitropin alfa 450 units (33 microgram)/0.75 mL injection, 0.75 mL cartridge</w:t>
            </w:r>
          </w:p>
        </w:tc>
        <w:tc>
          <w:tcPr>
            <w:tcW w:w="462" w:type="pct"/>
          </w:tcPr>
          <w:p w:rsidR="001B4741" w:rsidRPr="00632EF3" w:rsidRDefault="001B4741" w:rsidP="006E6758">
            <w:pPr>
              <w:keepNext/>
              <w:jc w:val="center"/>
              <w:rPr>
                <w:rFonts w:ascii="Arial Narrow" w:hAnsi="Arial Narrow" w:cs="Arial"/>
                <w:i/>
                <w:sz w:val="18"/>
                <w:szCs w:val="18"/>
              </w:rPr>
            </w:pPr>
            <w:r w:rsidRPr="00632EF3">
              <w:rPr>
                <w:rFonts w:ascii="Arial Narrow" w:hAnsi="Arial Narrow" w:cs="Arial"/>
                <w:i/>
                <w:sz w:val="18"/>
                <w:szCs w:val="18"/>
              </w:rPr>
              <w:t>NEW</w:t>
            </w:r>
          </w:p>
        </w:tc>
        <w:tc>
          <w:tcPr>
            <w:tcW w:w="539" w:type="pct"/>
          </w:tcPr>
          <w:p w:rsidR="001B4741" w:rsidRPr="00632EF3" w:rsidRDefault="001B4741" w:rsidP="006E6758">
            <w:pPr>
              <w:keepNext/>
              <w:jc w:val="center"/>
              <w:rPr>
                <w:rFonts w:ascii="Arial Narrow" w:hAnsi="Arial Narrow" w:cs="Arial"/>
                <w:i/>
                <w:sz w:val="18"/>
                <w:szCs w:val="18"/>
              </w:rPr>
            </w:pPr>
            <w:r w:rsidRPr="00632EF3">
              <w:rPr>
                <w:rFonts w:ascii="Arial Narrow" w:hAnsi="Arial Narrow" w:cs="Arial"/>
                <w:i/>
                <w:sz w:val="18"/>
                <w:szCs w:val="18"/>
              </w:rPr>
              <w:t>3</w:t>
            </w:r>
          </w:p>
        </w:tc>
        <w:tc>
          <w:tcPr>
            <w:tcW w:w="462" w:type="pct"/>
          </w:tcPr>
          <w:p w:rsidR="001B4741" w:rsidRPr="00632EF3" w:rsidRDefault="001B4741" w:rsidP="006E6758">
            <w:pPr>
              <w:keepNext/>
              <w:jc w:val="center"/>
              <w:rPr>
                <w:rFonts w:ascii="Arial Narrow" w:hAnsi="Arial Narrow" w:cs="Arial"/>
                <w:i/>
                <w:sz w:val="18"/>
                <w:szCs w:val="18"/>
              </w:rPr>
            </w:pPr>
            <w:r w:rsidRPr="00632EF3">
              <w:rPr>
                <w:rFonts w:ascii="Arial Narrow" w:hAnsi="Arial Narrow" w:cs="Arial"/>
                <w:i/>
                <w:sz w:val="18"/>
                <w:szCs w:val="18"/>
              </w:rPr>
              <w:t>3</w:t>
            </w:r>
          </w:p>
        </w:tc>
        <w:tc>
          <w:tcPr>
            <w:tcW w:w="385" w:type="pct"/>
          </w:tcPr>
          <w:p w:rsidR="001B4741" w:rsidRPr="00632EF3" w:rsidRDefault="001B4741" w:rsidP="006E6758">
            <w:pPr>
              <w:keepNext/>
              <w:jc w:val="center"/>
              <w:rPr>
                <w:rFonts w:ascii="Arial Narrow" w:hAnsi="Arial Narrow" w:cs="Arial"/>
                <w:i/>
                <w:sz w:val="18"/>
                <w:szCs w:val="18"/>
              </w:rPr>
            </w:pPr>
            <w:r w:rsidRPr="00632EF3">
              <w:rPr>
                <w:rFonts w:ascii="Arial Narrow" w:hAnsi="Arial Narrow" w:cs="Arial"/>
                <w:i/>
                <w:sz w:val="18"/>
                <w:szCs w:val="18"/>
              </w:rPr>
              <w:t>5</w:t>
            </w:r>
          </w:p>
        </w:tc>
        <w:tc>
          <w:tcPr>
            <w:tcW w:w="615" w:type="pct"/>
          </w:tcPr>
          <w:p w:rsidR="001B4741" w:rsidRPr="00632EF3" w:rsidRDefault="001B4741" w:rsidP="006E6758">
            <w:pPr>
              <w:keepNext/>
              <w:rPr>
                <w:rFonts w:ascii="Arial Narrow" w:hAnsi="Arial Narrow" w:cs="Arial"/>
                <w:i/>
                <w:sz w:val="18"/>
                <w:szCs w:val="18"/>
              </w:rPr>
            </w:pPr>
            <w:r w:rsidRPr="00632EF3">
              <w:rPr>
                <w:rFonts w:ascii="Arial Narrow" w:hAnsi="Arial Narrow" w:cs="Arial"/>
                <w:i/>
                <w:sz w:val="18"/>
                <w:szCs w:val="18"/>
                <w:vertAlign w:val="superscript"/>
              </w:rPr>
              <w:t xml:space="preserve">a </w:t>
            </w:r>
            <w:r w:rsidRPr="00632EF3">
              <w:rPr>
                <w:rFonts w:ascii="Arial Narrow" w:hAnsi="Arial Narrow" w:cs="Arial"/>
                <w:i/>
                <w:sz w:val="18"/>
                <w:szCs w:val="18"/>
              </w:rPr>
              <w:t>Ovaleap</w:t>
            </w:r>
          </w:p>
        </w:tc>
      </w:tr>
      <w:tr w:rsidR="001B4741" w:rsidRPr="00632EF3" w:rsidTr="00CC7463">
        <w:trPr>
          <w:cantSplit/>
          <w:trHeight w:val="263"/>
        </w:trPr>
        <w:tc>
          <w:tcPr>
            <w:tcW w:w="2537" w:type="pct"/>
            <w:gridSpan w:val="2"/>
          </w:tcPr>
          <w:p w:rsidR="001B4741" w:rsidRPr="00632EF3" w:rsidRDefault="001B4741" w:rsidP="006E6758">
            <w:pPr>
              <w:keepNext/>
              <w:tabs>
                <w:tab w:val="left" w:pos="1077"/>
              </w:tabs>
              <w:ind w:left="-57"/>
              <w:rPr>
                <w:rFonts w:ascii="Arial Narrow" w:hAnsi="Arial Narrow" w:cs="Arial"/>
                <w:sz w:val="18"/>
                <w:szCs w:val="18"/>
              </w:rPr>
            </w:pPr>
            <w:r w:rsidRPr="00632EF3">
              <w:rPr>
                <w:rFonts w:ascii="Arial Narrow" w:hAnsi="Arial Narrow" w:cs="Arial"/>
                <w:sz w:val="18"/>
                <w:szCs w:val="18"/>
              </w:rPr>
              <w:t>follitropin alfa 450 units (32.76 microgram)/0.75 mL injection, 0.75 mL pen device</w:t>
            </w:r>
          </w:p>
        </w:tc>
        <w:tc>
          <w:tcPr>
            <w:tcW w:w="462" w:type="pct"/>
          </w:tcPr>
          <w:p w:rsidR="001B4741" w:rsidRPr="00632EF3" w:rsidRDefault="001B4741" w:rsidP="006E6758">
            <w:pPr>
              <w:keepNext/>
              <w:jc w:val="center"/>
              <w:rPr>
                <w:rFonts w:ascii="Arial Narrow" w:hAnsi="Arial Narrow" w:cs="Arial"/>
                <w:sz w:val="18"/>
                <w:szCs w:val="18"/>
              </w:rPr>
            </w:pPr>
            <w:r w:rsidRPr="00632EF3">
              <w:rPr>
                <w:rFonts w:ascii="Arial Narrow" w:hAnsi="Arial Narrow" w:cs="Arial"/>
                <w:sz w:val="18"/>
                <w:szCs w:val="18"/>
              </w:rPr>
              <w:t>8714P</w:t>
            </w:r>
          </w:p>
        </w:tc>
        <w:tc>
          <w:tcPr>
            <w:tcW w:w="539" w:type="pct"/>
          </w:tcPr>
          <w:p w:rsidR="001B4741" w:rsidRPr="00632EF3" w:rsidRDefault="001B4741" w:rsidP="006E6758">
            <w:pPr>
              <w:keepNext/>
              <w:jc w:val="center"/>
              <w:rPr>
                <w:rFonts w:ascii="Arial Narrow" w:hAnsi="Arial Narrow" w:cs="Arial"/>
                <w:sz w:val="18"/>
                <w:szCs w:val="18"/>
              </w:rPr>
            </w:pPr>
            <w:r w:rsidRPr="00632EF3">
              <w:rPr>
                <w:rFonts w:ascii="Arial Narrow" w:hAnsi="Arial Narrow" w:cs="Arial"/>
                <w:sz w:val="18"/>
                <w:szCs w:val="18"/>
              </w:rPr>
              <w:t>3</w:t>
            </w:r>
          </w:p>
        </w:tc>
        <w:tc>
          <w:tcPr>
            <w:tcW w:w="462" w:type="pct"/>
          </w:tcPr>
          <w:p w:rsidR="001B4741" w:rsidRPr="00632EF3" w:rsidRDefault="001B4741" w:rsidP="006E6758">
            <w:pPr>
              <w:keepNext/>
              <w:jc w:val="center"/>
              <w:rPr>
                <w:rFonts w:ascii="Arial Narrow" w:hAnsi="Arial Narrow" w:cs="Arial"/>
                <w:sz w:val="18"/>
                <w:szCs w:val="18"/>
              </w:rPr>
            </w:pPr>
            <w:r w:rsidRPr="00632EF3">
              <w:rPr>
                <w:rFonts w:ascii="Arial Narrow" w:hAnsi="Arial Narrow" w:cs="Arial"/>
                <w:sz w:val="18"/>
                <w:szCs w:val="18"/>
              </w:rPr>
              <w:t>3</w:t>
            </w:r>
          </w:p>
        </w:tc>
        <w:tc>
          <w:tcPr>
            <w:tcW w:w="385" w:type="pct"/>
          </w:tcPr>
          <w:p w:rsidR="001B4741" w:rsidRPr="00632EF3" w:rsidRDefault="001B4741" w:rsidP="006E6758">
            <w:pPr>
              <w:keepNext/>
              <w:jc w:val="center"/>
              <w:rPr>
                <w:rFonts w:ascii="Arial Narrow" w:hAnsi="Arial Narrow" w:cs="Arial"/>
                <w:sz w:val="18"/>
                <w:szCs w:val="18"/>
              </w:rPr>
            </w:pPr>
            <w:r w:rsidRPr="00632EF3">
              <w:rPr>
                <w:rFonts w:ascii="Arial Narrow" w:hAnsi="Arial Narrow" w:cs="Arial"/>
                <w:sz w:val="18"/>
                <w:szCs w:val="18"/>
              </w:rPr>
              <w:t>5</w:t>
            </w:r>
          </w:p>
        </w:tc>
        <w:tc>
          <w:tcPr>
            <w:tcW w:w="615" w:type="pct"/>
          </w:tcPr>
          <w:p w:rsidR="001B4741" w:rsidRPr="00632EF3" w:rsidRDefault="001B4741" w:rsidP="006E6758">
            <w:pPr>
              <w:keepNext/>
              <w:rPr>
                <w:rFonts w:ascii="Arial Narrow" w:hAnsi="Arial Narrow" w:cs="Arial"/>
                <w:i/>
                <w:sz w:val="18"/>
                <w:szCs w:val="18"/>
              </w:rPr>
            </w:pPr>
            <w:r w:rsidRPr="00632EF3">
              <w:rPr>
                <w:rFonts w:ascii="Arial Narrow" w:hAnsi="Arial Narrow" w:cs="Arial"/>
                <w:i/>
                <w:sz w:val="18"/>
                <w:szCs w:val="18"/>
                <w:vertAlign w:val="superscript"/>
              </w:rPr>
              <w:t xml:space="preserve">a </w:t>
            </w:r>
            <w:r w:rsidRPr="00632EF3">
              <w:rPr>
                <w:rFonts w:ascii="Arial Narrow" w:hAnsi="Arial Narrow" w:cs="Arial"/>
                <w:sz w:val="18"/>
                <w:szCs w:val="18"/>
              </w:rPr>
              <w:t>Gonal-f Pen</w:t>
            </w:r>
          </w:p>
        </w:tc>
      </w:tr>
      <w:tr w:rsidR="001B4741" w:rsidRPr="00632EF3" w:rsidTr="00CC7463">
        <w:trPr>
          <w:cantSplit/>
          <w:trHeight w:val="56"/>
        </w:trPr>
        <w:tc>
          <w:tcPr>
            <w:tcW w:w="5000" w:type="pct"/>
            <w:gridSpan w:val="7"/>
            <w:shd w:val="clear" w:color="auto" w:fill="595959" w:themeFill="text1" w:themeFillTint="A6"/>
          </w:tcPr>
          <w:p w:rsidR="001B4741" w:rsidRPr="00632EF3" w:rsidRDefault="001B4741" w:rsidP="006E6758">
            <w:pPr>
              <w:keepNext/>
              <w:rPr>
                <w:rFonts w:ascii="Arial Narrow" w:hAnsi="Arial Narrow" w:cs="Arial"/>
                <w:sz w:val="18"/>
                <w:szCs w:val="18"/>
                <w:vertAlign w:val="superscript"/>
              </w:rPr>
            </w:pPr>
          </w:p>
        </w:tc>
      </w:tr>
      <w:tr w:rsidR="001B4741" w:rsidRPr="00632EF3" w:rsidTr="00CC7463">
        <w:trPr>
          <w:cantSplit/>
          <w:trHeight w:val="263"/>
        </w:trPr>
        <w:tc>
          <w:tcPr>
            <w:tcW w:w="2537" w:type="pct"/>
            <w:gridSpan w:val="2"/>
          </w:tcPr>
          <w:p w:rsidR="001B4741" w:rsidRPr="00632EF3" w:rsidRDefault="001B4741" w:rsidP="006E6758">
            <w:pPr>
              <w:keepNext/>
              <w:tabs>
                <w:tab w:val="left" w:pos="1077"/>
              </w:tabs>
              <w:ind w:left="-57"/>
              <w:rPr>
                <w:rFonts w:ascii="Arial Narrow" w:hAnsi="Arial Narrow" w:cs="Arial"/>
                <w:i/>
                <w:sz w:val="18"/>
                <w:szCs w:val="18"/>
              </w:rPr>
            </w:pPr>
            <w:r w:rsidRPr="00632EF3">
              <w:rPr>
                <w:rFonts w:ascii="Arial Narrow" w:hAnsi="Arial Narrow" w:cs="Arial"/>
                <w:i/>
                <w:sz w:val="18"/>
                <w:szCs w:val="18"/>
              </w:rPr>
              <w:t>follitropin alfa 900 units (66 microgram)/1.5 mL injection, 1.5 mL cartridge</w:t>
            </w:r>
          </w:p>
        </w:tc>
        <w:tc>
          <w:tcPr>
            <w:tcW w:w="462" w:type="pct"/>
          </w:tcPr>
          <w:p w:rsidR="001B4741" w:rsidRPr="00632EF3" w:rsidRDefault="001B4741" w:rsidP="006E6758">
            <w:pPr>
              <w:keepNext/>
              <w:jc w:val="center"/>
              <w:rPr>
                <w:rFonts w:ascii="Arial Narrow" w:hAnsi="Arial Narrow" w:cs="Arial"/>
                <w:i/>
                <w:sz w:val="18"/>
                <w:szCs w:val="18"/>
              </w:rPr>
            </w:pPr>
            <w:r w:rsidRPr="00632EF3">
              <w:rPr>
                <w:rFonts w:ascii="Arial Narrow" w:hAnsi="Arial Narrow" w:cs="Arial"/>
                <w:i/>
                <w:sz w:val="18"/>
                <w:szCs w:val="18"/>
              </w:rPr>
              <w:t>NEW</w:t>
            </w:r>
          </w:p>
        </w:tc>
        <w:tc>
          <w:tcPr>
            <w:tcW w:w="539" w:type="pct"/>
          </w:tcPr>
          <w:p w:rsidR="001B4741" w:rsidRPr="00632EF3" w:rsidRDefault="001B4741" w:rsidP="006E6758">
            <w:pPr>
              <w:keepNext/>
              <w:jc w:val="center"/>
              <w:rPr>
                <w:rFonts w:ascii="Arial Narrow" w:hAnsi="Arial Narrow" w:cs="Arial"/>
                <w:i/>
                <w:sz w:val="18"/>
                <w:szCs w:val="18"/>
              </w:rPr>
            </w:pPr>
            <w:r w:rsidRPr="00632EF3">
              <w:rPr>
                <w:rFonts w:ascii="Arial Narrow" w:hAnsi="Arial Narrow" w:cs="Arial"/>
                <w:i/>
                <w:sz w:val="18"/>
                <w:szCs w:val="18"/>
              </w:rPr>
              <w:t>2</w:t>
            </w:r>
          </w:p>
        </w:tc>
        <w:tc>
          <w:tcPr>
            <w:tcW w:w="462" w:type="pct"/>
          </w:tcPr>
          <w:p w:rsidR="001B4741" w:rsidRPr="00632EF3" w:rsidRDefault="001B4741" w:rsidP="006E6758">
            <w:pPr>
              <w:keepNext/>
              <w:jc w:val="center"/>
              <w:rPr>
                <w:rFonts w:ascii="Arial Narrow" w:hAnsi="Arial Narrow" w:cs="Arial"/>
                <w:i/>
                <w:sz w:val="18"/>
                <w:szCs w:val="18"/>
              </w:rPr>
            </w:pPr>
            <w:r w:rsidRPr="00632EF3">
              <w:rPr>
                <w:rFonts w:ascii="Arial Narrow" w:hAnsi="Arial Narrow" w:cs="Arial"/>
                <w:i/>
                <w:sz w:val="18"/>
                <w:szCs w:val="18"/>
              </w:rPr>
              <w:t>2</w:t>
            </w:r>
          </w:p>
        </w:tc>
        <w:tc>
          <w:tcPr>
            <w:tcW w:w="385" w:type="pct"/>
          </w:tcPr>
          <w:p w:rsidR="001B4741" w:rsidRPr="00632EF3" w:rsidRDefault="001B4741" w:rsidP="006E6758">
            <w:pPr>
              <w:keepNext/>
              <w:jc w:val="center"/>
              <w:rPr>
                <w:rFonts w:ascii="Arial Narrow" w:hAnsi="Arial Narrow" w:cs="Arial"/>
                <w:i/>
                <w:sz w:val="18"/>
                <w:szCs w:val="18"/>
              </w:rPr>
            </w:pPr>
            <w:r w:rsidRPr="00632EF3">
              <w:rPr>
                <w:rFonts w:ascii="Arial Narrow" w:hAnsi="Arial Narrow" w:cs="Arial"/>
                <w:i/>
                <w:sz w:val="18"/>
                <w:szCs w:val="18"/>
              </w:rPr>
              <w:t>5</w:t>
            </w:r>
          </w:p>
        </w:tc>
        <w:tc>
          <w:tcPr>
            <w:tcW w:w="615" w:type="pct"/>
          </w:tcPr>
          <w:p w:rsidR="001B4741" w:rsidRPr="00632EF3" w:rsidRDefault="001B4741" w:rsidP="006E6758">
            <w:pPr>
              <w:keepNext/>
              <w:rPr>
                <w:rFonts w:ascii="Arial Narrow" w:hAnsi="Arial Narrow" w:cs="Arial"/>
                <w:sz w:val="18"/>
                <w:szCs w:val="18"/>
                <w:vertAlign w:val="superscript"/>
              </w:rPr>
            </w:pPr>
            <w:r w:rsidRPr="00632EF3">
              <w:rPr>
                <w:rFonts w:ascii="Arial Narrow" w:hAnsi="Arial Narrow" w:cs="Arial"/>
                <w:i/>
                <w:sz w:val="18"/>
                <w:szCs w:val="18"/>
                <w:vertAlign w:val="superscript"/>
              </w:rPr>
              <w:t xml:space="preserve">a </w:t>
            </w:r>
            <w:r w:rsidRPr="00632EF3">
              <w:rPr>
                <w:rFonts w:ascii="Arial Narrow" w:hAnsi="Arial Narrow" w:cs="Arial"/>
                <w:i/>
                <w:sz w:val="18"/>
                <w:szCs w:val="18"/>
              </w:rPr>
              <w:t>Ovaleap</w:t>
            </w:r>
          </w:p>
        </w:tc>
      </w:tr>
      <w:tr w:rsidR="001B4741" w:rsidRPr="00632EF3" w:rsidTr="00CC7463">
        <w:trPr>
          <w:cantSplit/>
          <w:trHeight w:val="263"/>
        </w:trPr>
        <w:tc>
          <w:tcPr>
            <w:tcW w:w="2537" w:type="pct"/>
            <w:gridSpan w:val="2"/>
          </w:tcPr>
          <w:p w:rsidR="001B4741" w:rsidRPr="00632EF3" w:rsidRDefault="001B4741" w:rsidP="006E6758">
            <w:pPr>
              <w:keepNext/>
              <w:tabs>
                <w:tab w:val="left" w:pos="1077"/>
              </w:tabs>
              <w:ind w:left="-57"/>
              <w:rPr>
                <w:rFonts w:ascii="Arial Narrow" w:hAnsi="Arial Narrow" w:cs="Arial"/>
                <w:sz w:val="18"/>
                <w:szCs w:val="18"/>
              </w:rPr>
            </w:pPr>
            <w:r w:rsidRPr="00632EF3">
              <w:rPr>
                <w:rFonts w:ascii="Arial Narrow" w:hAnsi="Arial Narrow" w:cs="Arial"/>
                <w:sz w:val="18"/>
                <w:szCs w:val="18"/>
              </w:rPr>
              <w:t>follitropin alfa 900 units (65.52 microgram)/1.5 mL injection, 1.5 mL pen device</w:t>
            </w:r>
          </w:p>
        </w:tc>
        <w:tc>
          <w:tcPr>
            <w:tcW w:w="462" w:type="pct"/>
          </w:tcPr>
          <w:p w:rsidR="001B4741" w:rsidRPr="00632EF3" w:rsidRDefault="001B4741" w:rsidP="006E6758">
            <w:pPr>
              <w:keepNext/>
              <w:jc w:val="center"/>
              <w:rPr>
                <w:rFonts w:ascii="Arial Narrow" w:hAnsi="Arial Narrow" w:cs="Arial"/>
                <w:sz w:val="18"/>
                <w:szCs w:val="18"/>
              </w:rPr>
            </w:pPr>
            <w:r w:rsidRPr="00632EF3">
              <w:rPr>
                <w:rFonts w:ascii="Arial Narrow" w:hAnsi="Arial Narrow" w:cs="Arial"/>
                <w:sz w:val="18"/>
                <w:szCs w:val="18"/>
              </w:rPr>
              <w:t>8715Q</w:t>
            </w:r>
          </w:p>
        </w:tc>
        <w:tc>
          <w:tcPr>
            <w:tcW w:w="539" w:type="pct"/>
          </w:tcPr>
          <w:p w:rsidR="001B4741" w:rsidRPr="00632EF3" w:rsidRDefault="001B4741" w:rsidP="006E6758">
            <w:pPr>
              <w:keepNext/>
              <w:jc w:val="center"/>
              <w:rPr>
                <w:rFonts w:ascii="Arial Narrow" w:hAnsi="Arial Narrow" w:cs="Arial"/>
                <w:sz w:val="18"/>
                <w:szCs w:val="18"/>
              </w:rPr>
            </w:pPr>
            <w:r w:rsidRPr="00632EF3">
              <w:rPr>
                <w:rFonts w:ascii="Arial Narrow" w:hAnsi="Arial Narrow" w:cs="Arial"/>
                <w:sz w:val="18"/>
                <w:szCs w:val="18"/>
              </w:rPr>
              <w:t>2</w:t>
            </w:r>
          </w:p>
        </w:tc>
        <w:tc>
          <w:tcPr>
            <w:tcW w:w="462" w:type="pct"/>
          </w:tcPr>
          <w:p w:rsidR="001B4741" w:rsidRPr="00632EF3" w:rsidRDefault="001B4741" w:rsidP="006E6758">
            <w:pPr>
              <w:keepNext/>
              <w:jc w:val="center"/>
              <w:rPr>
                <w:rFonts w:ascii="Arial Narrow" w:hAnsi="Arial Narrow" w:cs="Arial"/>
                <w:sz w:val="18"/>
                <w:szCs w:val="18"/>
              </w:rPr>
            </w:pPr>
            <w:r w:rsidRPr="00632EF3">
              <w:rPr>
                <w:rFonts w:ascii="Arial Narrow" w:hAnsi="Arial Narrow" w:cs="Arial"/>
                <w:sz w:val="18"/>
                <w:szCs w:val="18"/>
              </w:rPr>
              <w:t>2</w:t>
            </w:r>
          </w:p>
        </w:tc>
        <w:tc>
          <w:tcPr>
            <w:tcW w:w="385" w:type="pct"/>
          </w:tcPr>
          <w:p w:rsidR="001B4741" w:rsidRPr="00632EF3" w:rsidRDefault="001B4741" w:rsidP="006E6758">
            <w:pPr>
              <w:keepNext/>
              <w:jc w:val="center"/>
              <w:rPr>
                <w:rFonts w:ascii="Arial Narrow" w:hAnsi="Arial Narrow" w:cs="Arial"/>
                <w:sz w:val="18"/>
                <w:szCs w:val="18"/>
              </w:rPr>
            </w:pPr>
            <w:r w:rsidRPr="00632EF3">
              <w:rPr>
                <w:rFonts w:ascii="Arial Narrow" w:hAnsi="Arial Narrow" w:cs="Arial"/>
                <w:sz w:val="18"/>
                <w:szCs w:val="18"/>
              </w:rPr>
              <w:t>5</w:t>
            </w:r>
          </w:p>
        </w:tc>
        <w:tc>
          <w:tcPr>
            <w:tcW w:w="615" w:type="pct"/>
          </w:tcPr>
          <w:p w:rsidR="001B4741" w:rsidRPr="00632EF3" w:rsidRDefault="001B4741" w:rsidP="006E6758">
            <w:pPr>
              <w:keepNext/>
              <w:rPr>
                <w:rFonts w:ascii="Arial Narrow" w:hAnsi="Arial Narrow" w:cs="Arial"/>
                <w:sz w:val="18"/>
                <w:szCs w:val="18"/>
                <w:vertAlign w:val="superscript"/>
              </w:rPr>
            </w:pPr>
            <w:r w:rsidRPr="00632EF3">
              <w:rPr>
                <w:rFonts w:ascii="Arial Narrow" w:hAnsi="Arial Narrow" w:cs="Arial"/>
                <w:i/>
                <w:sz w:val="18"/>
                <w:szCs w:val="18"/>
                <w:vertAlign w:val="superscript"/>
              </w:rPr>
              <w:t>a</w:t>
            </w:r>
            <w:r w:rsidRPr="00632EF3">
              <w:rPr>
                <w:rFonts w:ascii="Arial Narrow" w:hAnsi="Arial Narrow" w:cs="Arial"/>
                <w:sz w:val="18"/>
                <w:szCs w:val="18"/>
                <w:vertAlign w:val="superscript"/>
              </w:rPr>
              <w:t xml:space="preserve"> </w:t>
            </w:r>
            <w:r w:rsidRPr="00632EF3">
              <w:rPr>
                <w:rFonts w:ascii="Arial Narrow" w:hAnsi="Arial Narrow" w:cs="Arial"/>
                <w:sz w:val="18"/>
                <w:szCs w:val="18"/>
              </w:rPr>
              <w:t>Gonal-f Pen</w:t>
            </w:r>
          </w:p>
        </w:tc>
      </w:tr>
      <w:tr w:rsidR="001B4741" w:rsidRPr="00632EF3" w:rsidTr="00CC7463">
        <w:tblPrEx>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auto"/>
              <w:left w:val="single" w:sz="4" w:space="0" w:color="auto"/>
              <w:right w:val="single" w:sz="4" w:space="0" w:color="auto"/>
            </w:tcBorders>
          </w:tcPr>
          <w:p w:rsidR="001B4741" w:rsidRPr="00632EF3" w:rsidRDefault="001B4741" w:rsidP="006E6758">
            <w:pPr>
              <w:rPr>
                <w:rFonts w:ascii="Arial Narrow" w:hAnsi="Arial Narrow" w:cs="Arial"/>
                <w:b/>
                <w:sz w:val="18"/>
                <w:szCs w:val="18"/>
              </w:rPr>
            </w:pPr>
          </w:p>
        </w:tc>
      </w:tr>
      <w:tr w:rsidR="001B4741" w:rsidRPr="00632EF3" w:rsidTr="00CC7463">
        <w:tblPrEx>
          <w:tblCellMar>
            <w:top w:w="15" w:type="dxa"/>
            <w:left w:w="15" w:type="dxa"/>
            <w:bottom w:w="15" w:type="dxa"/>
            <w:right w:w="15" w:type="dxa"/>
          </w:tblCellMar>
          <w:tblLook w:val="04A0" w:firstRow="1" w:lastRow="0" w:firstColumn="1" w:lastColumn="0" w:noHBand="0" w:noVBand="1"/>
        </w:tblPrEx>
        <w:tc>
          <w:tcPr>
            <w:tcW w:w="74" w:type="pct"/>
            <w:vMerge w:val="restart"/>
            <w:tcBorders>
              <w:top w:val="single" w:sz="4" w:space="0" w:color="auto"/>
              <w:left w:val="single" w:sz="4" w:space="0" w:color="auto"/>
              <w:right w:val="single" w:sz="4" w:space="0" w:color="auto"/>
            </w:tcBorders>
          </w:tcPr>
          <w:p w:rsidR="001B4741" w:rsidRPr="00632EF3" w:rsidRDefault="001B4741" w:rsidP="006E6758">
            <w:pPr>
              <w:jc w:val="center"/>
              <w:rPr>
                <w:rFonts w:ascii="Arial Narrow" w:hAnsi="Arial Narrow" w:cs="Arial"/>
                <w:sz w:val="18"/>
                <w:szCs w:val="18"/>
              </w:rPr>
            </w:pPr>
          </w:p>
        </w:tc>
        <w:tc>
          <w:tcPr>
            <w:tcW w:w="4926" w:type="pct"/>
            <w:gridSpan w:val="6"/>
            <w:tcBorders>
              <w:top w:val="single" w:sz="4" w:space="0" w:color="auto"/>
              <w:left w:val="single" w:sz="4" w:space="0" w:color="auto"/>
              <w:bottom w:val="single" w:sz="4" w:space="0" w:color="auto"/>
              <w:right w:val="single" w:sz="4" w:space="0" w:color="auto"/>
            </w:tcBorders>
          </w:tcPr>
          <w:p w:rsidR="001B4741" w:rsidRPr="00632EF3" w:rsidRDefault="001B4741" w:rsidP="006E6758">
            <w:pPr>
              <w:rPr>
                <w:rFonts w:ascii="Arial Narrow" w:hAnsi="Arial Narrow" w:cs="Arial"/>
                <w:sz w:val="18"/>
                <w:szCs w:val="18"/>
              </w:rPr>
            </w:pPr>
            <w:r w:rsidRPr="00632EF3">
              <w:rPr>
                <w:rFonts w:ascii="Arial Narrow" w:hAnsi="Arial Narrow" w:cs="Arial"/>
                <w:b/>
                <w:sz w:val="18"/>
                <w:szCs w:val="18"/>
              </w:rPr>
              <w:t xml:space="preserve">Category / Program:   </w:t>
            </w:r>
            <w:r w:rsidRPr="00632EF3">
              <w:rPr>
                <w:rFonts w:ascii="Arial Narrow" w:hAnsi="Arial Narrow" w:cs="Arial"/>
                <w:sz w:val="18"/>
                <w:szCs w:val="18"/>
              </w:rPr>
              <w:t>General Schedule</w:t>
            </w:r>
          </w:p>
        </w:tc>
      </w:tr>
      <w:tr w:rsidR="001B4741" w:rsidRPr="00632EF3" w:rsidTr="00CC7463">
        <w:tblPrEx>
          <w:tblCellMar>
            <w:top w:w="15" w:type="dxa"/>
            <w:left w:w="15" w:type="dxa"/>
            <w:bottom w:w="15" w:type="dxa"/>
            <w:right w:w="15" w:type="dxa"/>
          </w:tblCellMar>
          <w:tblLook w:val="04A0" w:firstRow="1" w:lastRow="0" w:firstColumn="1" w:lastColumn="0" w:noHBand="0" w:noVBand="1"/>
        </w:tblPrEx>
        <w:trPr>
          <w:trHeight w:val="240"/>
        </w:trPr>
        <w:tc>
          <w:tcPr>
            <w:tcW w:w="74" w:type="pct"/>
            <w:vMerge/>
            <w:tcBorders>
              <w:left w:val="single" w:sz="4" w:space="0" w:color="auto"/>
              <w:right w:val="single" w:sz="4" w:space="0" w:color="auto"/>
            </w:tcBorders>
          </w:tcPr>
          <w:p w:rsidR="001B4741" w:rsidRPr="00632EF3" w:rsidRDefault="001B4741" w:rsidP="006E6758">
            <w:pPr>
              <w:rPr>
                <w:rFonts w:ascii="Arial Narrow" w:hAnsi="Arial Narrow" w:cs="Arial"/>
                <w:sz w:val="18"/>
                <w:szCs w:val="18"/>
              </w:rPr>
            </w:pPr>
          </w:p>
        </w:tc>
        <w:tc>
          <w:tcPr>
            <w:tcW w:w="4926" w:type="pct"/>
            <w:gridSpan w:val="6"/>
            <w:tcBorders>
              <w:top w:val="single" w:sz="4" w:space="0" w:color="auto"/>
              <w:left w:val="single" w:sz="4" w:space="0" w:color="auto"/>
              <w:bottom w:val="single" w:sz="4" w:space="0" w:color="auto"/>
              <w:right w:val="single" w:sz="4" w:space="0" w:color="auto"/>
            </w:tcBorders>
          </w:tcPr>
          <w:p w:rsidR="001B4741" w:rsidRPr="00632EF3" w:rsidRDefault="001B4741" w:rsidP="006E6758">
            <w:pPr>
              <w:rPr>
                <w:rFonts w:ascii="Arial Narrow" w:hAnsi="Arial Narrow" w:cs="Arial"/>
                <w:b/>
                <w:sz w:val="18"/>
                <w:szCs w:val="18"/>
              </w:rPr>
            </w:pPr>
            <w:r w:rsidRPr="00632EF3">
              <w:rPr>
                <w:rFonts w:ascii="Arial Narrow" w:hAnsi="Arial Narrow" w:cs="Arial"/>
                <w:b/>
                <w:sz w:val="18"/>
                <w:szCs w:val="18"/>
              </w:rPr>
              <w:t xml:space="preserve">Prescriber type:   </w:t>
            </w:r>
            <w:r w:rsidRPr="008F363E">
              <w:rPr>
                <w:rFonts w:ascii="Arial Narrow" w:hAnsi="Arial Narrow" w:cs="Arial"/>
                <w:sz w:val="18"/>
                <w:szCs w:val="18"/>
              </w:rPr>
              <w:fldChar w:fldCharType="begin">
                <w:ffData>
                  <w:name w:val=""/>
                  <w:enabled/>
                  <w:calcOnExit w:val="0"/>
                  <w:checkBox>
                    <w:sizeAuto/>
                    <w:default w:val="1"/>
                  </w:checkBox>
                </w:ffData>
              </w:fldChar>
            </w:r>
            <w:r w:rsidRPr="00632EF3">
              <w:rPr>
                <w:rFonts w:ascii="Arial Narrow" w:hAnsi="Arial Narrow" w:cs="Arial"/>
                <w:sz w:val="18"/>
                <w:szCs w:val="18"/>
              </w:rPr>
              <w:instrText xml:space="preserve"> FORMCHECKBOX </w:instrText>
            </w:r>
            <w:r w:rsidR="00AF1922">
              <w:rPr>
                <w:rFonts w:ascii="Arial Narrow" w:hAnsi="Arial Narrow" w:cs="Arial"/>
                <w:sz w:val="18"/>
                <w:szCs w:val="18"/>
              </w:rPr>
            </w:r>
            <w:r w:rsidR="00AF1922">
              <w:rPr>
                <w:rFonts w:ascii="Arial Narrow" w:hAnsi="Arial Narrow" w:cs="Arial"/>
                <w:sz w:val="18"/>
                <w:szCs w:val="18"/>
              </w:rPr>
              <w:fldChar w:fldCharType="separate"/>
            </w:r>
            <w:r w:rsidRPr="008F363E">
              <w:rPr>
                <w:rFonts w:ascii="Arial Narrow" w:hAnsi="Arial Narrow" w:cs="Arial"/>
                <w:sz w:val="18"/>
                <w:szCs w:val="18"/>
              </w:rPr>
              <w:fldChar w:fldCharType="end"/>
            </w:r>
            <w:r w:rsidRPr="00632EF3">
              <w:rPr>
                <w:rFonts w:ascii="Arial Narrow" w:hAnsi="Arial Narrow" w:cs="Arial"/>
                <w:sz w:val="18"/>
                <w:szCs w:val="18"/>
              </w:rPr>
              <w:t xml:space="preserve"> Medical Practitioners    </w:t>
            </w:r>
          </w:p>
        </w:tc>
      </w:tr>
      <w:tr w:rsidR="001B4741" w:rsidRPr="00632EF3" w:rsidTr="00CC7463">
        <w:tblPrEx>
          <w:tblCellMar>
            <w:top w:w="15" w:type="dxa"/>
            <w:left w:w="15" w:type="dxa"/>
            <w:bottom w:w="15" w:type="dxa"/>
            <w:right w:w="15" w:type="dxa"/>
          </w:tblCellMar>
          <w:tblLook w:val="04A0" w:firstRow="1" w:lastRow="0" w:firstColumn="1" w:lastColumn="0" w:noHBand="0" w:noVBand="1"/>
        </w:tblPrEx>
        <w:tc>
          <w:tcPr>
            <w:tcW w:w="74" w:type="pct"/>
            <w:vMerge/>
            <w:tcBorders>
              <w:left w:val="single" w:sz="4" w:space="0" w:color="auto"/>
              <w:bottom w:val="single" w:sz="4" w:space="0" w:color="auto"/>
              <w:right w:val="single" w:sz="4" w:space="0" w:color="auto"/>
            </w:tcBorders>
          </w:tcPr>
          <w:p w:rsidR="001B4741" w:rsidRPr="00632EF3" w:rsidRDefault="001B4741" w:rsidP="006E6758">
            <w:pPr>
              <w:rPr>
                <w:rFonts w:ascii="Arial Narrow" w:hAnsi="Arial Narrow" w:cs="Arial"/>
                <w:sz w:val="18"/>
                <w:szCs w:val="18"/>
              </w:rPr>
            </w:pPr>
          </w:p>
        </w:tc>
        <w:tc>
          <w:tcPr>
            <w:tcW w:w="4926" w:type="pct"/>
            <w:gridSpan w:val="6"/>
            <w:tcBorders>
              <w:top w:val="single" w:sz="4" w:space="0" w:color="auto"/>
              <w:left w:val="single" w:sz="4" w:space="0" w:color="auto"/>
              <w:bottom w:val="single" w:sz="4" w:space="0" w:color="auto"/>
              <w:right w:val="single" w:sz="4" w:space="0" w:color="auto"/>
            </w:tcBorders>
          </w:tcPr>
          <w:p w:rsidR="001B4741" w:rsidRPr="00632EF3" w:rsidRDefault="001B4741" w:rsidP="006E6758">
            <w:pPr>
              <w:rPr>
                <w:rFonts w:ascii="Arial Narrow" w:eastAsia="Calibri" w:hAnsi="Arial Narrow" w:cs="Arial"/>
                <w:color w:val="FF00FF"/>
                <w:sz w:val="18"/>
                <w:szCs w:val="18"/>
              </w:rPr>
            </w:pPr>
            <w:r w:rsidRPr="00632EF3">
              <w:rPr>
                <w:rFonts w:ascii="Arial Narrow" w:hAnsi="Arial Narrow" w:cs="Arial"/>
                <w:b/>
                <w:sz w:val="18"/>
                <w:szCs w:val="18"/>
              </w:rPr>
              <w:t xml:space="preserve">Restriction type: </w:t>
            </w:r>
            <w:r w:rsidRPr="008F363E">
              <w:rPr>
                <w:rFonts w:ascii="Arial Narrow" w:eastAsia="Calibri" w:hAnsi="Arial Narrow" w:cs="Arial"/>
                <w:sz w:val="18"/>
                <w:szCs w:val="18"/>
              </w:rPr>
              <w:fldChar w:fldCharType="begin">
                <w:ffData>
                  <w:name w:val=""/>
                  <w:enabled/>
                  <w:calcOnExit w:val="0"/>
                  <w:checkBox>
                    <w:sizeAuto/>
                    <w:default w:val="1"/>
                  </w:checkBox>
                </w:ffData>
              </w:fldChar>
            </w:r>
            <w:r w:rsidRPr="00632EF3">
              <w:rPr>
                <w:rFonts w:ascii="Arial Narrow" w:eastAsia="Calibri" w:hAnsi="Arial Narrow" w:cs="Arial"/>
                <w:sz w:val="18"/>
                <w:szCs w:val="18"/>
              </w:rPr>
              <w:instrText xml:space="preserve"> FORMCHECKBOX </w:instrText>
            </w:r>
            <w:r w:rsidR="00AF1922">
              <w:rPr>
                <w:rFonts w:ascii="Arial Narrow" w:eastAsia="Calibri" w:hAnsi="Arial Narrow" w:cs="Arial"/>
                <w:sz w:val="18"/>
                <w:szCs w:val="18"/>
              </w:rPr>
            </w:r>
            <w:r w:rsidR="00AF1922">
              <w:rPr>
                <w:rFonts w:ascii="Arial Narrow" w:eastAsia="Calibri" w:hAnsi="Arial Narrow" w:cs="Arial"/>
                <w:sz w:val="18"/>
                <w:szCs w:val="18"/>
              </w:rPr>
              <w:fldChar w:fldCharType="separate"/>
            </w:r>
            <w:r w:rsidRPr="008F363E">
              <w:rPr>
                <w:rFonts w:ascii="Arial Narrow" w:eastAsia="Calibri" w:hAnsi="Arial Narrow" w:cs="Arial"/>
                <w:sz w:val="18"/>
                <w:szCs w:val="18"/>
              </w:rPr>
              <w:fldChar w:fldCharType="end"/>
            </w:r>
            <w:r w:rsidRPr="00632EF3">
              <w:rPr>
                <w:rFonts w:ascii="Arial Narrow" w:eastAsia="Calibri" w:hAnsi="Arial Narrow" w:cs="Arial"/>
                <w:sz w:val="18"/>
                <w:szCs w:val="18"/>
              </w:rPr>
              <w:t xml:space="preserve"> Restricted benefit</w:t>
            </w:r>
          </w:p>
        </w:tc>
      </w:tr>
      <w:tr w:rsidR="00DB5859" w:rsidRPr="00632EF3" w:rsidTr="00CC7463">
        <w:tblPrEx>
          <w:tblCellMar>
            <w:top w:w="15" w:type="dxa"/>
            <w:left w:w="15" w:type="dxa"/>
            <w:bottom w:w="15" w:type="dxa"/>
            <w:right w:w="15" w:type="dxa"/>
          </w:tblCellMar>
          <w:tblLook w:val="04A0" w:firstRow="1" w:lastRow="0" w:firstColumn="1" w:lastColumn="0" w:noHBand="0" w:noVBand="1"/>
        </w:tblPrEx>
        <w:trPr>
          <w:trHeight w:val="1286"/>
        </w:trPr>
        <w:tc>
          <w:tcPr>
            <w:tcW w:w="74" w:type="pct"/>
            <w:vMerge w:val="restart"/>
            <w:tcBorders>
              <w:left w:val="single" w:sz="4" w:space="0" w:color="auto"/>
              <w:right w:val="single" w:sz="4" w:space="0" w:color="auto"/>
            </w:tcBorders>
            <w:textDirection w:val="btLr"/>
          </w:tcPr>
          <w:p w:rsidR="00DB5859" w:rsidRPr="00632EF3" w:rsidRDefault="00DB5859" w:rsidP="006E6758">
            <w:pPr>
              <w:jc w:val="center"/>
              <w:rPr>
                <w:rFonts w:ascii="Arial Narrow" w:hAnsi="Arial Narrow" w:cs="Arial"/>
                <w:sz w:val="18"/>
                <w:szCs w:val="18"/>
              </w:rPr>
            </w:pPr>
          </w:p>
        </w:tc>
        <w:tc>
          <w:tcPr>
            <w:tcW w:w="4926" w:type="pct"/>
            <w:gridSpan w:val="6"/>
            <w:tcBorders>
              <w:top w:val="single" w:sz="4" w:space="0" w:color="auto"/>
              <w:left w:val="single" w:sz="4" w:space="0" w:color="auto"/>
              <w:right w:val="single" w:sz="4" w:space="0" w:color="auto"/>
            </w:tcBorders>
          </w:tcPr>
          <w:p w:rsidR="00DB5859" w:rsidRPr="00632EF3" w:rsidRDefault="00DB5859" w:rsidP="006E6758">
            <w:pPr>
              <w:rPr>
                <w:rFonts w:ascii="Arial Narrow" w:hAnsi="Arial Narrow"/>
                <w:bCs/>
                <w:color w:val="FF00FF"/>
                <w:sz w:val="18"/>
                <w:szCs w:val="18"/>
                <w:lang w:eastAsia="en-AU"/>
              </w:rPr>
            </w:pPr>
            <w:r w:rsidRPr="00632EF3">
              <w:rPr>
                <w:rFonts w:ascii="Arial Narrow" w:hAnsi="Arial Narrow"/>
                <w:b/>
                <w:bCs/>
                <w:color w:val="333333"/>
                <w:sz w:val="18"/>
                <w:szCs w:val="18"/>
                <w:lang w:eastAsia="en-AU"/>
              </w:rPr>
              <w:t xml:space="preserve">Administrative Advice: </w:t>
            </w:r>
          </w:p>
          <w:p w:rsidR="00DB5859" w:rsidRPr="00632EF3" w:rsidRDefault="00DB5859" w:rsidP="006E6758">
            <w:pPr>
              <w:rPr>
                <w:rFonts w:ascii="Arial Narrow" w:hAnsi="Arial Narrow"/>
                <w:b/>
                <w:bCs/>
                <w:i/>
                <w:color w:val="333333"/>
                <w:sz w:val="18"/>
                <w:szCs w:val="18"/>
                <w:lang w:eastAsia="en-AU"/>
              </w:rPr>
            </w:pPr>
            <w:r w:rsidRPr="00632EF3">
              <w:rPr>
                <w:rFonts w:ascii="Arial Narrow" w:hAnsi="Arial Narrow"/>
                <w:b/>
                <w:bCs/>
                <w:i/>
                <w:color w:val="333333"/>
                <w:sz w:val="18"/>
                <w:szCs w:val="18"/>
                <w:lang w:eastAsia="en-AU"/>
              </w:rPr>
              <w:t>Biosimilar prescribing policy</w:t>
            </w:r>
          </w:p>
          <w:p w:rsidR="00DB5859" w:rsidRPr="00632EF3" w:rsidRDefault="00DB5859" w:rsidP="006E6758">
            <w:pPr>
              <w:rPr>
                <w:rFonts w:ascii="Arial Narrow" w:hAnsi="Arial Narrow"/>
                <w:bCs/>
                <w:i/>
                <w:color w:val="333333"/>
                <w:sz w:val="18"/>
                <w:szCs w:val="18"/>
                <w:lang w:eastAsia="en-AU"/>
              </w:rPr>
            </w:pPr>
            <w:r w:rsidRPr="00632EF3">
              <w:rPr>
                <w:rFonts w:ascii="Arial Narrow" w:hAnsi="Arial Narrow"/>
                <w:bCs/>
                <w:i/>
                <w:color w:val="333333"/>
                <w:sz w:val="18"/>
                <w:szCs w:val="18"/>
                <w:lang w:eastAsia="en-AU"/>
              </w:rPr>
              <w:t>Prescribing of the biosimilar brand, Ovaleap, is encouraged for treatment naive patients.</w:t>
            </w:r>
          </w:p>
          <w:p w:rsidR="00DB5859" w:rsidRPr="00632EF3" w:rsidRDefault="00DB5859" w:rsidP="006E6758">
            <w:pPr>
              <w:rPr>
                <w:rFonts w:ascii="Arial Narrow" w:hAnsi="Arial Narrow" w:cs="Arial"/>
                <w:b/>
                <w:sz w:val="18"/>
                <w:szCs w:val="18"/>
              </w:rPr>
            </w:pPr>
            <w:r w:rsidRPr="00632EF3">
              <w:rPr>
                <w:rFonts w:ascii="Arial Narrow" w:hAnsi="Arial Narrow"/>
                <w:bCs/>
                <w:i/>
                <w:color w:val="333333"/>
                <w:sz w:val="18"/>
                <w:szCs w:val="18"/>
                <w:lang w:eastAsia="en-AU"/>
              </w:rPr>
              <w:t>Encouraging biosimilar prescribing for treatment naive patients is Government policy. A viable biosimilar market is expected to result in reduced costs for biological medicines, allowing the Government to reinvest in new treatments. Further information can be found on the Biosimilar Awareness Initiative webpage (www.health.gov.au/biosimilars).</w:t>
            </w:r>
          </w:p>
        </w:tc>
      </w:tr>
      <w:tr w:rsidR="00DB5859" w:rsidRPr="00632EF3" w:rsidTr="00CC7463">
        <w:tblPrEx>
          <w:tblCellMar>
            <w:top w:w="15" w:type="dxa"/>
            <w:left w:w="15" w:type="dxa"/>
            <w:bottom w:w="15" w:type="dxa"/>
            <w:right w:w="15" w:type="dxa"/>
          </w:tblCellMar>
          <w:tblLook w:val="04A0" w:firstRow="1" w:lastRow="0" w:firstColumn="1" w:lastColumn="0" w:noHBand="0" w:noVBand="1"/>
        </w:tblPrEx>
        <w:tc>
          <w:tcPr>
            <w:tcW w:w="74" w:type="pct"/>
            <w:vMerge/>
            <w:tcBorders>
              <w:left w:val="single" w:sz="4" w:space="0" w:color="auto"/>
              <w:right w:val="single" w:sz="4" w:space="0" w:color="auto"/>
            </w:tcBorders>
            <w:vAlign w:val="center"/>
          </w:tcPr>
          <w:p w:rsidR="00DB5859" w:rsidRPr="00632EF3" w:rsidRDefault="00DB5859" w:rsidP="006E6758">
            <w:pPr>
              <w:jc w:val="center"/>
              <w:rPr>
                <w:rFonts w:ascii="Arial Narrow" w:hAnsi="Arial Narrow"/>
                <w:color w:val="333333"/>
                <w:sz w:val="18"/>
                <w:szCs w:val="18"/>
                <w:lang w:eastAsia="en-AU"/>
              </w:rPr>
            </w:pPr>
          </w:p>
        </w:tc>
        <w:tc>
          <w:tcPr>
            <w:tcW w:w="4926" w:type="pct"/>
            <w:gridSpan w:val="6"/>
            <w:vAlign w:val="center"/>
          </w:tcPr>
          <w:p w:rsidR="00DB5859" w:rsidRPr="00632EF3" w:rsidRDefault="00DB5859" w:rsidP="006E6758">
            <w:pPr>
              <w:rPr>
                <w:rFonts w:ascii="Arial Narrow" w:hAnsi="Arial Narrow"/>
                <w:b/>
                <w:bCs/>
                <w:color w:val="333333"/>
                <w:sz w:val="18"/>
                <w:szCs w:val="18"/>
                <w:lang w:eastAsia="en-AU"/>
              </w:rPr>
            </w:pPr>
            <w:r w:rsidRPr="00632EF3">
              <w:rPr>
                <w:rFonts w:ascii="Arial Narrow" w:hAnsi="Arial Narrow"/>
                <w:b/>
                <w:bCs/>
                <w:color w:val="333333"/>
                <w:sz w:val="18"/>
                <w:szCs w:val="18"/>
                <w:lang w:eastAsia="en-AU"/>
              </w:rPr>
              <w:t>Administrative Advice:</w:t>
            </w:r>
          </w:p>
          <w:p w:rsidR="00DB5859" w:rsidRPr="00632EF3" w:rsidRDefault="00DB5859" w:rsidP="006E6758">
            <w:pPr>
              <w:rPr>
                <w:rFonts w:ascii="Arial Narrow" w:hAnsi="Arial Narrow"/>
                <w:bCs/>
                <w:i/>
                <w:color w:val="333333"/>
                <w:sz w:val="18"/>
                <w:szCs w:val="18"/>
                <w:lang w:eastAsia="en-AU"/>
              </w:rPr>
            </w:pPr>
            <w:r w:rsidRPr="00632EF3">
              <w:rPr>
                <w:rFonts w:ascii="Arial Narrow" w:hAnsi="Arial Narrow"/>
                <w:bCs/>
                <w:i/>
                <w:color w:val="333333"/>
                <w:sz w:val="18"/>
                <w:szCs w:val="18"/>
                <w:lang w:eastAsia="en-AU"/>
              </w:rPr>
              <w:t>Pharmaceutical benefits that have the form follitropin alfa cartridge (Ovaleap) and pharmaceutical benefits that have the form follitropin alfa single pen device (Gonal-f Pen) are equivalent for the purposes of substitution.</w:t>
            </w:r>
          </w:p>
          <w:p w:rsidR="00DB5859" w:rsidRPr="00632EF3" w:rsidRDefault="00DB5859" w:rsidP="006E6758">
            <w:pPr>
              <w:rPr>
                <w:rFonts w:ascii="Arial Narrow" w:hAnsi="Arial Narrow"/>
                <w:bCs/>
                <w:i/>
                <w:color w:val="333333"/>
                <w:sz w:val="18"/>
                <w:szCs w:val="18"/>
                <w:lang w:eastAsia="en-AU"/>
              </w:rPr>
            </w:pPr>
          </w:p>
          <w:p w:rsidR="00DB5859" w:rsidRPr="00632EF3" w:rsidRDefault="00DB5859" w:rsidP="006E6758">
            <w:pPr>
              <w:rPr>
                <w:rFonts w:ascii="Arial Narrow" w:hAnsi="Arial Narrow"/>
                <w:bCs/>
                <w:i/>
                <w:color w:val="333333"/>
                <w:sz w:val="18"/>
                <w:szCs w:val="18"/>
                <w:lang w:eastAsia="en-AU"/>
              </w:rPr>
            </w:pPr>
            <w:r w:rsidRPr="00632EF3">
              <w:rPr>
                <w:rFonts w:ascii="Arial Narrow" w:hAnsi="Arial Narrow"/>
                <w:bCs/>
                <w:i/>
                <w:color w:val="333333"/>
                <w:sz w:val="18"/>
                <w:szCs w:val="18"/>
                <w:lang w:eastAsia="en-AU"/>
              </w:rPr>
              <w:t>Where the Ovaleap brand is supplied, the separate pen device is to be supplied by the pharmacist where required. The pen device for the Ovaleap brand can be obtained by contacting the pharmaceutical wholesaler, or, the sponsor directly.</w:t>
            </w:r>
          </w:p>
        </w:tc>
      </w:tr>
      <w:tr w:rsidR="001B4741" w:rsidRPr="00632EF3" w:rsidTr="00CC7463">
        <w:tblPrEx>
          <w:tblCellMar>
            <w:top w:w="15" w:type="dxa"/>
            <w:left w:w="15" w:type="dxa"/>
            <w:bottom w:w="15" w:type="dxa"/>
            <w:right w:w="15" w:type="dxa"/>
          </w:tblCellMar>
          <w:tblLook w:val="04A0" w:firstRow="1" w:lastRow="0" w:firstColumn="1" w:lastColumn="0" w:noHBand="0" w:noVBand="1"/>
        </w:tblPrEx>
        <w:tc>
          <w:tcPr>
            <w:tcW w:w="74" w:type="pct"/>
            <w:vAlign w:val="center"/>
          </w:tcPr>
          <w:p w:rsidR="001B4741" w:rsidRPr="00632EF3" w:rsidRDefault="001B4741" w:rsidP="006E6758">
            <w:pPr>
              <w:jc w:val="center"/>
              <w:rPr>
                <w:rFonts w:ascii="Arial Narrow" w:hAnsi="Arial Narrow"/>
                <w:color w:val="333333"/>
                <w:sz w:val="18"/>
                <w:szCs w:val="18"/>
                <w:lang w:eastAsia="en-AU"/>
              </w:rPr>
            </w:pPr>
          </w:p>
        </w:tc>
        <w:tc>
          <w:tcPr>
            <w:tcW w:w="4926" w:type="pct"/>
            <w:gridSpan w:val="6"/>
            <w:vAlign w:val="center"/>
            <w:hideMark/>
          </w:tcPr>
          <w:p w:rsidR="001B4741" w:rsidRPr="00632EF3" w:rsidRDefault="001B4741" w:rsidP="006E6758">
            <w:pPr>
              <w:rPr>
                <w:rFonts w:ascii="Arial Narrow" w:hAnsi="Arial Narrow"/>
                <w:color w:val="333333"/>
                <w:sz w:val="18"/>
                <w:szCs w:val="18"/>
                <w:lang w:eastAsia="en-AU"/>
              </w:rPr>
            </w:pPr>
            <w:r w:rsidRPr="00632EF3">
              <w:rPr>
                <w:rFonts w:ascii="Arial Narrow" w:hAnsi="Arial Narrow"/>
                <w:b/>
                <w:bCs/>
                <w:color w:val="333333"/>
                <w:sz w:val="18"/>
                <w:szCs w:val="18"/>
                <w:lang w:eastAsia="en-AU"/>
              </w:rPr>
              <w:t>Indication:</w:t>
            </w:r>
            <w:r w:rsidRPr="00632EF3">
              <w:rPr>
                <w:rFonts w:ascii="Arial Narrow" w:hAnsi="Arial Narrow"/>
                <w:color w:val="333333"/>
                <w:sz w:val="18"/>
                <w:szCs w:val="18"/>
                <w:lang w:eastAsia="en-AU"/>
              </w:rPr>
              <w:t xml:space="preserve"> Anovulatory infertility</w:t>
            </w:r>
          </w:p>
        </w:tc>
      </w:tr>
      <w:tr w:rsidR="001B4741" w:rsidRPr="00632EF3" w:rsidTr="00CC7463">
        <w:tblPrEx>
          <w:tblCellMar>
            <w:top w:w="15" w:type="dxa"/>
            <w:left w:w="15" w:type="dxa"/>
            <w:bottom w:w="15" w:type="dxa"/>
            <w:right w:w="15" w:type="dxa"/>
          </w:tblCellMar>
          <w:tblLook w:val="04A0" w:firstRow="1" w:lastRow="0" w:firstColumn="1" w:lastColumn="0" w:noHBand="0" w:noVBand="1"/>
        </w:tblPrEx>
        <w:tc>
          <w:tcPr>
            <w:tcW w:w="74" w:type="pct"/>
            <w:vAlign w:val="center"/>
          </w:tcPr>
          <w:p w:rsidR="001B4741" w:rsidRPr="00632EF3" w:rsidRDefault="001B4741" w:rsidP="006E6758">
            <w:pPr>
              <w:jc w:val="center"/>
              <w:rPr>
                <w:rFonts w:ascii="Arial Narrow" w:hAnsi="Arial Narrow"/>
                <w:color w:val="333333"/>
                <w:sz w:val="18"/>
                <w:szCs w:val="18"/>
                <w:lang w:eastAsia="en-AU"/>
              </w:rPr>
            </w:pPr>
          </w:p>
        </w:tc>
        <w:tc>
          <w:tcPr>
            <w:tcW w:w="4926" w:type="pct"/>
            <w:gridSpan w:val="6"/>
            <w:vAlign w:val="center"/>
            <w:hideMark/>
          </w:tcPr>
          <w:p w:rsidR="001B4741" w:rsidRPr="00632EF3" w:rsidRDefault="001B4741" w:rsidP="006E6758">
            <w:pPr>
              <w:rPr>
                <w:rFonts w:ascii="Arial Narrow" w:hAnsi="Arial Narrow"/>
                <w:sz w:val="18"/>
                <w:szCs w:val="18"/>
                <w:lang w:eastAsia="en-AU"/>
              </w:rPr>
            </w:pPr>
            <w:r w:rsidRPr="00632EF3">
              <w:rPr>
                <w:rFonts w:ascii="Arial Narrow" w:hAnsi="Arial Narrow"/>
                <w:b/>
                <w:bCs/>
                <w:sz w:val="18"/>
                <w:szCs w:val="18"/>
                <w:lang w:eastAsia="en-AU"/>
              </w:rPr>
              <w:t>Administrative Advice:</w:t>
            </w:r>
          </w:p>
          <w:p w:rsidR="001B4741" w:rsidRPr="00632EF3" w:rsidRDefault="001B4741" w:rsidP="006E6758">
            <w:pPr>
              <w:rPr>
                <w:rFonts w:ascii="Arial Narrow" w:hAnsi="Arial Narrow"/>
                <w:color w:val="FF00FF"/>
                <w:sz w:val="18"/>
                <w:szCs w:val="18"/>
                <w:lang w:eastAsia="en-AU"/>
              </w:rPr>
            </w:pPr>
            <w:r w:rsidRPr="00632EF3">
              <w:rPr>
                <w:rFonts w:ascii="Arial Narrow" w:hAnsi="Arial Narrow"/>
                <w:sz w:val="18"/>
                <w:szCs w:val="18"/>
                <w:lang w:eastAsia="en-AU"/>
              </w:rPr>
              <w:t>Except in cases of hypopituitarism or primary amenorrhoea, the patient should have been adequately treated with clomifene citrate and/or gonadorelin and failed to have conceived.</w:t>
            </w:r>
          </w:p>
        </w:tc>
      </w:tr>
      <w:tr w:rsidR="001B4741" w:rsidRPr="00632EF3" w:rsidTr="00CC7463">
        <w:tblPrEx>
          <w:tblCellMar>
            <w:top w:w="15" w:type="dxa"/>
            <w:left w:w="15" w:type="dxa"/>
            <w:bottom w:w="15" w:type="dxa"/>
            <w:right w:w="15" w:type="dxa"/>
          </w:tblCellMar>
          <w:tblLook w:val="04A0" w:firstRow="1" w:lastRow="0" w:firstColumn="1" w:lastColumn="0" w:noHBand="0" w:noVBand="1"/>
        </w:tblPrEx>
        <w:tc>
          <w:tcPr>
            <w:tcW w:w="74" w:type="pct"/>
            <w:vAlign w:val="center"/>
          </w:tcPr>
          <w:p w:rsidR="001B4741" w:rsidRPr="00632EF3" w:rsidRDefault="001B4741" w:rsidP="006E6758">
            <w:pPr>
              <w:jc w:val="center"/>
              <w:rPr>
                <w:rFonts w:ascii="Arial Narrow" w:hAnsi="Arial Narrow"/>
                <w:color w:val="333333"/>
                <w:sz w:val="18"/>
                <w:szCs w:val="18"/>
                <w:lang w:eastAsia="en-AU"/>
              </w:rPr>
            </w:pPr>
          </w:p>
        </w:tc>
        <w:tc>
          <w:tcPr>
            <w:tcW w:w="4926" w:type="pct"/>
            <w:gridSpan w:val="6"/>
            <w:vAlign w:val="center"/>
            <w:hideMark/>
          </w:tcPr>
          <w:p w:rsidR="001B4741" w:rsidRPr="00632EF3" w:rsidRDefault="001B4741" w:rsidP="006E6758">
            <w:pPr>
              <w:rPr>
                <w:rFonts w:ascii="Arial Narrow" w:hAnsi="Arial Narrow"/>
                <w:b/>
                <w:color w:val="333333"/>
                <w:sz w:val="18"/>
                <w:szCs w:val="18"/>
                <w:lang w:eastAsia="en-AU"/>
              </w:rPr>
            </w:pPr>
            <w:r w:rsidRPr="00632EF3">
              <w:rPr>
                <w:rFonts w:ascii="Arial Narrow" w:hAnsi="Arial Narrow"/>
                <w:b/>
                <w:color w:val="333333"/>
                <w:sz w:val="18"/>
                <w:szCs w:val="18"/>
                <w:lang w:eastAsia="en-AU"/>
              </w:rPr>
              <w:t>Administrative Advice:</w:t>
            </w:r>
          </w:p>
          <w:p w:rsidR="001B4741" w:rsidRPr="00632EF3" w:rsidRDefault="001B4741" w:rsidP="006E6758">
            <w:pPr>
              <w:rPr>
                <w:rFonts w:ascii="Arial Narrow" w:hAnsi="Arial Narrow"/>
                <w:color w:val="333333"/>
                <w:sz w:val="18"/>
                <w:szCs w:val="18"/>
                <w:lang w:eastAsia="en-AU"/>
              </w:rPr>
            </w:pPr>
            <w:r w:rsidRPr="00632EF3">
              <w:rPr>
                <w:rFonts w:ascii="Arial Narrow" w:hAnsi="Arial Narrow"/>
                <w:color w:val="333333"/>
                <w:sz w:val="18"/>
                <w:szCs w:val="18"/>
                <w:lang w:eastAsia="en-AU"/>
              </w:rPr>
              <w:t>Women who have had apparent ovulation induced by other agents and have failed to conceive should have laparoscopic evidence that there is no other impediment to conception.</w:t>
            </w:r>
          </w:p>
        </w:tc>
      </w:tr>
      <w:tr w:rsidR="001B4741" w:rsidRPr="00632EF3" w:rsidTr="00CC7463">
        <w:tblPrEx>
          <w:tblCellMar>
            <w:top w:w="15" w:type="dxa"/>
            <w:left w:w="15" w:type="dxa"/>
            <w:bottom w:w="15" w:type="dxa"/>
            <w:right w:w="15" w:type="dxa"/>
          </w:tblCellMar>
          <w:tblLook w:val="04A0" w:firstRow="1" w:lastRow="0" w:firstColumn="1" w:lastColumn="0" w:noHBand="0" w:noVBand="1"/>
        </w:tblPrEx>
        <w:tc>
          <w:tcPr>
            <w:tcW w:w="74" w:type="pct"/>
            <w:vAlign w:val="center"/>
          </w:tcPr>
          <w:p w:rsidR="001B4741" w:rsidRPr="00632EF3" w:rsidRDefault="001B4741" w:rsidP="006E6758">
            <w:pPr>
              <w:jc w:val="center"/>
              <w:rPr>
                <w:rFonts w:ascii="Arial Narrow" w:hAnsi="Arial Narrow"/>
                <w:color w:val="333333"/>
                <w:sz w:val="18"/>
                <w:szCs w:val="18"/>
                <w:lang w:eastAsia="en-AU"/>
              </w:rPr>
            </w:pPr>
          </w:p>
        </w:tc>
        <w:tc>
          <w:tcPr>
            <w:tcW w:w="4926" w:type="pct"/>
            <w:gridSpan w:val="6"/>
            <w:vAlign w:val="center"/>
          </w:tcPr>
          <w:p w:rsidR="001B4741" w:rsidRPr="00632EF3" w:rsidRDefault="001B4741" w:rsidP="006E6758">
            <w:pPr>
              <w:rPr>
                <w:rFonts w:ascii="Arial Narrow" w:hAnsi="Arial Narrow"/>
                <w:b/>
                <w:color w:val="333333"/>
                <w:sz w:val="18"/>
                <w:szCs w:val="18"/>
                <w:lang w:eastAsia="en-AU"/>
              </w:rPr>
            </w:pPr>
            <w:r w:rsidRPr="00632EF3">
              <w:rPr>
                <w:rFonts w:ascii="Arial Narrow" w:hAnsi="Arial Narrow"/>
                <w:b/>
                <w:bCs/>
                <w:color w:val="333333"/>
                <w:sz w:val="18"/>
                <w:szCs w:val="18"/>
                <w:lang w:eastAsia="en-AU"/>
              </w:rPr>
              <w:t>Administrative Advice:</w:t>
            </w:r>
          </w:p>
          <w:p w:rsidR="001B4741" w:rsidRPr="00632EF3" w:rsidRDefault="001B4741" w:rsidP="006E6758">
            <w:pPr>
              <w:rPr>
                <w:rFonts w:ascii="Arial Narrow" w:hAnsi="Arial Narrow"/>
                <w:color w:val="333333"/>
                <w:sz w:val="18"/>
                <w:szCs w:val="18"/>
                <w:lang w:eastAsia="en-AU"/>
              </w:rPr>
            </w:pPr>
            <w:r w:rsidRPr="00632EF3">
              <w:rPr>
                <w:rFonts w:ascii="Arial Narrow" w:hAnsi="Arial Narrow"/>
                <w:color w:val="333333"/>
                <w:sz w:val="18"/>
                <w:szCs w:val="18"/>
                <w:lang w:eastAsia="en-AU"/>
              </w:rPr>
              <w:t>Oligomenorrhoea should have been present for at least twelve months or amenorrhoea for at least six months prior to treatment.</w:t>
            </w:r>
          </w:p>
        </w:tc>
      </w:tr>
      <w:tr w:rsidR="001B4741" w:rsidRPr="00632EF3" w:rsidTr="00CC7463">
        <w:tblPrEx>
          <w:tblCellMar>
            <w:top w:w="15" w:type="dxa"/>
            <w:left w:w="15" w:type="dxa"/>
            <w:bottom w:w="15" w:type="dxa"/>
            <w:right w:w="15" w:type="dxa"/>
          </w:tblCellMar>
          <w:tblLook w:val="04A0" w:firstRow="1" w:lastRow="0" w:firstColumn="1" w:lastColumn="0" w:noHBand="0" w:noVBand="1"/>
        </w:tblPrEx>
        <w:tc>
          <w:tcPr>
            <w:tcW w:w="74" w:type="pct"/>
            <w:vAlign w:val="center"/>
          </w:tcPr>
          <w:p w:rsidR="001B4741" w:rsidRPr="00632EF3" w:rsidRDefault="001B4741" w:rsidP="006E6758">
            <w:pPr>
              <w:jc w:val="center"/>
              <w:rPr>
                <w:rFonts w:ascii="Arial Narrow" w:hAnsi="Arial Narrow"/>
                <w:color w:val="333333"/>
                <w:sz w:val="18"/>
                <w:szCs w:val="18"/>
                <w:lang w:eastAsia="en-AU"/>
              </w:rPr>
            </w:pPr>
          </w:p>
        </w:tc>
        <w:tc>
          <w:tcPr>
            <w:tcW w:w="4926" w:type="pct"/>
            <w:gridSpan w:val="6"/>
            <w:vAlign w:val="center"/>
          </w:tcPr>
          <w:p w:rsidR="001B4741" w:rsidRPr="00632EF3" w:rsidRDefault="001B4741" w:rsidP="006E6758">
            <w:pPr>
              <w:rPr>
                <w:rFonts w:ascii="Arial Narrow" w:hAnsi="Arial Narrow"/>
                <w:b/>
                <w:color w:val="333333"/>
                <w:sz w:val="18"/>
                <w:szCs w:val="18"/>
                <w:lang w:eastAsia="en-AU"/>
              </w:rPr>
            </w:pPr>
            <w:r w:rsidRPr="00632EF3">
              <w:rPr>
                <w:rFonts w:ascii="Arial Narrow" w:hAnsi="Arial Narrow"/>
                <w:b/>
                <w:bCs/>
                <w:color w:val="333333"/>
                <w:sz w:val="18"/>
                <w:szCs w:val="18"/>
                <w:lang w:eastAsia="en-AU"/>
              </w:rPr>
              <w:t>Administrative Advice:</w:t>
            </w:r>
            <w:r w:rsidR="00DB5859" w:rsidRPr="00632EF3">
              <w:rPr>
                <w:rFonts w:ascii="Arial Narrow" w:hAnsi="Arial Narrow"/>
                <w:b/>
                <w:color w:val="333333"/>
                <w:sz w:val="18"/>
                <w:szCs w:val="18"/>
                <w:lang w:eastAsia="en-AU"/>
              </w:rPr>
              <w:t xml:space="preserve"> </w:t>
            </w:r>
            <w:r w:rsidRPr="00632EF3">
              <w:rPr>
                <w:rFonts w:ascii="Arial Narrow" w:hAnsi="Arial Narrow"/>
                <w:color w:val="333333"/>
                <w:sz w:val="18"/>
                <w:szCs w:val="18"/>
                <w:lang w:eastAsia="en-AU"/>
              </w:rPr>
              <w:t>Patients with hyperprolactinaemia should have had appropriate surgical or medical treatment prior to treatment.</w:t>
            </w:r>
          </w:p>
        </w:tc>
      </w:tr>
      <w:tr w:rsidR="001B4741" w:rsidRPr="00632EF3" w:rsidTr="00456D7E">
        <w:tblPrEx>
          <w:tblCellMar>
            <w:top w:w="15" w:type="dxa"/>
            <w:left w:w="15" w:type="dxa"/>
            <w:bottom w:w="15" w:type="dxa"/>
            <w:right w:w="15" w:type="dxa"/>
          </w:tblCellMar>
          <w:tblLook w:val="04A0" w:firstRow="1" w:lastRow="0" w:firstColumn="1" w:lastColumn="0" w:noHBand="0" w:noVBand="1"/>
        </w:tblPrEx>
        <w:trPr>
          <w:trHeight w:val="284"/>
        </w:trPr>
        <w:tc>
          <w:tcPr>
            <w:tcW w:w="5000" w:type="pct"/>
            <w:gridSpan w:val="7"/>
            <w:vAlign w:val="center"/>
          </w:tcPr>
          <w:p w:rsidR="001B4741" w:rsidRPr="00632EF3" w:rsidRDefault="001B4741" w:rsidP="006E6758">
            <w:pPr>
              <w:rPr>
                <w:rFonts w:ascii="Arial Narrow" w:hAnsi="Arial Narrow"/>
                <w:b/>
                <w:bCs/>
                <w:color w:val="333333"/>
                <w:sz w:val="18"/>
                <w:szCs w:val="18"/>
                <w:lang w:eastAsia="en-AU"/>
              </w:rPr>
            </w:pPr>
          </w:p>
        </w:tc>
      </w:tr>
      <w:tr w:rsidR="001B4741" w:rsidRPr="00632EF3" w:rsidTr="00CC7463">
        <w:tblPrEx>
          <w:tblCellMar>
            <w:top w:w="15" w:type="dxa"/>
            <w:left w:w="15" w:type="dxa"/>
            <w:bottom w:w="15" w:type="dxa"/>
            <w:right w:w="15" w:type="dxa"/>
          </w:tblCellMar>
          <w:tblLook w:val="04A0" w:firstRow="1" w:lastRow="0" w:firstColumn="1" w:lastColumn="0" w:noHBand="0" w:noVBand="1"/>
        </w:tblPrEx>
        <w:tc>
          <w:tcPr>
            <w:tcW w:w="74" w:type="pct"/>
            <w:vMerge w:val="restart"/>
            <w:tcBorders>
              <w:top w:val="single" w:sz="4" w:space="0" w:color="auto"/>
              <w:left w:val="single" w:sz="4" w:space="0" w:color="auto"/>
              <w:right w:val="single" w:sz="4" w:space="0" w:color="auto"/>
            </w:tcBorders>
          </w:tcPr>
          <w:p w:rsidR="001B4741" w:rsidRPr="00632EF3" w:rsidRDefault="001B4741" w:rsidP="006E6758">
            <w:pPr>
              <w:jc w:val="center"/>
              <w:rPr>
                <w:rFonts w:ascii="Arial Narrow" w:hAnsi="Arial Narrow" w:cs="Arial"/>
                <w:sz w:val="18"/>
                <w:szCs w:val="18"/>
              </w:rPr>
            </w:pPr>
          </w:p>
        </w:tc>
        <w:tc>
          <w:tcPr>
            <w:tcW w:w="4926" w:type="pct"/>
            <w:gridSpan w:val="6"/>
            <w:tcBorders>
              <w:top w:val="single" w:sz="4" w:space="0" w:color="auto"/>
              <w:left w:val="single" w:sz="4" w:space="0" w:color="auto"/>
              <w:bottom w:val="single" w:sz="4" w:space="0" w:color="auto"/>
              <w:right w:val="single" w:sz="4" w:space="0" w:color="auto"/>
            </w:tcBorders>
          </w:tcPr>
          <w:p w:rsidR="001B4741" w:rsidRPr="00632EF3" w:rsidRDefault="001B4741" w:rsidP="006E6758">
            <w:pPr>
              <w:rPr>
                <w:rFonts w:ascii="Arial Narrow" w:hAnsi="Arial Narrow" w:cs="Arial"/>
                <w:sz w:val="18"/>
                <w:szCs w:val="18"/>
              </w:rPr>
            </w:pPr>
            <w:r w:rsidRPr="00632EF3">
              <w:rPr>
                <w:rFonts w:ascii="Arial Narrow" w:hAnsi="Arial Narrow" w:cs="Arial"/>
                <w:b/>
                <w:sz w:val="18"/>
                <w:szCs w:val="18"/>
              </w:rPr>
              <w:t xml:space="preserve">Category / Program:   </w:t>
            </w:r>
            <w:r w:rsidRPr="00632EF3">
              <w:rPr>
                <w:rFonts w:ascii="Arial Narrow" w:hAnsi="Arial Narrow" w:cs="Arial"/>
                <w:sz w:val="18"/>
                <w:szCs w:val="18"/>
              </w:rPr>
              <w:t>General Schedule</w:t>
            </w:r>
          </w:p>
        </w:tc>
      </w:tr>
      <w:tr w:rsidR="001B4741" w:rsidRPr="00632EF3" w:rsidTr="00CC7463">
        <w:tblPrEx>
          <w:tblCellMar>
            <w:top w:w="15" w:type="dxa"/>
            <w:left w:w="15" w:type="dxa"/>
            <w:bottom w:w="15" w:type="dxa"/>
            <w:right w:w="15" w:type="dxa"/>
          </w:tblCellMar>
          <w:tblLook w:val="04A0" w:firstRow="1" w:lastRow="0" w:firstColumn="1" w:lastColumn="0" w:noHBand="0" w:noVBand="1"/>
        </w:tblPrEx>
        <w:tc>
          <w:tcPr>
            <w:tcW w:w="74" w:type="pct"/>
            <w:vMerge/>
            <w:tcBorders>
              <w:left w:val="single" w:sz="4" w:space="0" w:color="auto"/>
              <w:right w:val="single" w:sz="4" w:space="0" w:color="auto"/>
            </w:tcBorders>
          </w:tcPr>
          <w:p w:rsidR="001B4741" w:rsidRPr="00632EF3" w:rsidRDefault="001B4741" w:rsidP="006E6758">
            <w:pPr>
              <w:jc w:val="center"/>
              <w:rPr>
                <w:rFonts w:ascii="Arial Narrow" w:hAnsi="Arial Narrow"/>
                <w:color w:val="333333"/>
                <w:sz w:val="18"/>
                <w:szCs w:val="18"/>
                <w:lang w:eastAsia="en-AU"/>
              </w:rPr>
            </w:pPr>
          </w:p>
        </w:tc>
        <w:tc>
          <w:tcPr>
            <w:tcW w:w="4926" w:type="pct"/>
            <w:gridSpan w:val="6"/>
            <w:tcBorders>
              <w:top w:val="single" w:sz="4" w:space="0" w:color="auto"/>
              <w:left w:val="single" w:sz="4" w:space="0" w:color="auto"/>
              <w:bottom w:val="single" w:sz="4" w:space="0" w:color="auto"/>
              <w:right w:val="single" w:sz="4" w:space="0" w:color="auto"/>
            </w:tcBorders>
          </w:tcPr>
          <w:p w:rsidR="001B4741" w:rsidRPr="00632EF3" w:rsidRDefault="001B4741" w:rsidP="006E6758">
            <w:pPr>
              <w:rPr>
                <w:rFonts w:ascii="Arial Narrow" w:hAnsi="Arial Narrow"/>
                <w:b/>
                <w:bCs/>
                <w:color w:val="333333"/>
                <w:sz w:val="18"/>
                <w:szCs w:val="18"/>
                <w:lang w:eastAsia="en-AU"/>
              </w:rPr>
            </w:pPr>
            <w:r w:rsidRPr="00632EF3">
              <w:rPr>
                <w:rFonts w:ascii="Arial Narrow" w:hAnsi="Arial Narrow" w:cs="Arial"/>
                <w:b/>
                <w:sz w:val="18"/>
                <w:szCs w:val="18"/>
              </w:rPr>
              <w:t xml:space="preserve">Prescriber type:   </w:t>
            </w:r>
            <w:r w:rsidRPr="008F363E">
              <w:rPr>
                <w:rFonts w:ascii="Arial Narrow" w:hAnsi="Arial Narrow" w:cs="Arial"/>
                <w:sz w:val="18"/>
                <w:szCs w:val="18"/>
              </w:rPr>
              <w:fldChar w:fldCharType="begin">
                <w:ffData>
                  <w:name w:val=""/>
                  <w:enabled/>
                  <w:calcOnExit w:val="0"/>
                  <w:checkBox>
                    <w:sizeAuto/>
                    <w:default w:val="1"/>
                  </w:checkBox>
                </w:ffData>
              </w:fldChar>
            </w:r>
            <w:r w:rsidRPr="00632EF3">
              <w:rPr>
                <w:rFonts w:ascii="Arial Narrow" w:hAnsi="Arial Narrow" w:cs="Arial"/>
                <w:sz w:val="18"/>
                <w:szCs w:val="18"/>
              </w:rPr>
              <w:instrText xml:space="preserve"> FORMCHECKBOX </w:instrText>
            </w:r>
            <w:r w:rsidR="00AF1922">
              <w:rPr>
                <w:rFonts w:ascii="Arial Narrow" w:hAnsi="Arial Narrow" w:cs="Arial"/>
                <w:sz w:val="18"/>
                <w:szCs w:val="18"/>
              </w:rPr>
            </w:r>
            <w:r w:rsidR="00AF1922">
              <w:rPr>
                <w:rFonts w:ascii="Arial Narrow" w:hAnsi="Arial Narrow" w:cs="Arial"/>
                <w:sz w:val="18"/>
                <w:szCs w:val="18"/>
              </w:rPr>
              <w:fldChar w:fldCharType="separate"/>
            </w:r>
            <w:r w:rsidRPr="008F363E">
              <w:rPr>
                <w:rFonts w:ascii="Arial Narrow" w:hAnsi="Arial Narrow" w:cs="Arial"/>
                <w:sz w:val="18"/>
                <w:szCs w:val="18"/>
              </w:rPr>
              <w:fldChar w:fldCharType="end"/>
            </w:r>
            <w:r w:rsidRPr="00632EF3">
              <w:rPr>
                <w:rFonts w:ascii="Arial Narrow" w:hAnsi="Arial Narrow" w:cs="Arial"/>
                <w:sz w:val="18"/>
                <w:szCs w:val="18"/>
              </w:rPr>
              <w:t xml:space="preserve"> Medical Practitioners    </w:t>
            </w:r>
          </w:p>
        </w:tc>
      </w:tr>
      <w:tr w:rsidR="001B4741" w:rsidRPr="00632EF3" w:rsidTr="00CC7463">
        <w:tblPrEx>
          <w:tblCellMar>
            <w:top w:w="15" w:type="dxa"/>
            <w:left w:w="15" w:type="dxa"/>
            <w:bottom w:w="15" w:type="dxa"/>
            <w:right w:w="15" w:type="dxa"/>
          </w:tblCellMar>
          <w:tblLook w:val="04A0" w:firstRow="1" w:lastRow="0" w:firstColumn="1" w:lastColumn="0" w:noHBand="0" w:noVBand="1"/>
        </w:tblPrEx>
        <w:tc>
          <w:tcPr>
            <w:tcW w:w="74" w:type="pct"/>
            <w:vMerge/>
            <w:tcBorders>
              <w:left w:val="single" w:sz="4" w:space="0" w:color="auto"/>
              <w:bottom w:val="single" w:sz="4" w:space="0" w:color="auto"/>
              <w:right w:val="single" w:sz="4" w:space="0" w:color="auto"/>
            </w:tcBorders>
          </w:tcPr>
          <w:p w:rsidR="001B4741" w:rsidRPr="00632EF3" w:rsidRDefault="001B4741" w:rsidP="006E6758">
            <w:pPr>
              <w:jc w:val="center"/>
              <w:rPr>
                <w:rFonts w:ascii="Arial Narrow" w:hAnsi="Arial Narrow"/>
                <w:color w:val="333333"/>
                <w:sz w:val="18"/>
                <w:szCs w:val="18"/>
                <w:lang w:eastAsia="en-AU"/>
              </w:rPr>
            </w:pPr>
          </w:p>
        </w:tc>
        <w:tc>
          <w:tcPr>
            <w:tcW w:w="4926" w:type="pct"/>
            <w:gridSpan w:val="6"/>
            <w:tcBorders>
              <w:top w:val="single" w:sz="4" w:space="0" w:color="auto"/>
              <w:left w:val="single" w:sz="4" w:space="0" w:color="auto"/>
              <w:bottom w:val="single" w:sz="4" w:space="0" w:color="auto"/>
              <w:right w:val="single" w:sz="4" w:space="0" w:color="auto"/>
            </w:tcBorders>
          </w:tcPr>
          <w:p w:rsidR="001B4741" w:rsidRPr="00632EF3" w:rsidRDefault="001B4741" w:rsidP="006E6758">
            <w:pPr>
              <w:rPr>
                <w:rFonts w:ascii="Arial Narrow" w:hAnsi="Arial Narrow"/>
                <w:b/>
                <w:bCs/>
                <w:color w:val="333333"/>
                <w:sz w:val="18"/>
                <w:szCs w:val="18"/>
                <w:lang w:eastAsia="en-AU"/>
              </w:rPr>
            </w:pPr>
            <w:r w:rsidRPr="00632EF3">
              <w:rPr>
                <w:rFonts w:ascii="Arial Narrow" w:hAnsi="Arial Narrow" w:cs="Arial"/>
                <w:b/>
                <w:sz w:val="18"/>
                <w:szCs w:val="18"/>
              </w:rPr>
              <w:t xml:space="preserve">Restriction type: </w:t>
            </w:r>
            <w:r w:rsidRPr="008F363E">
              <w:rPr>
                <w:rFonts w:ascii="Arial Narrow" w:eastAsia="Calibri" w:hAnsi="Arial Narrow" w:cs="Arial"/>
                <w:sz w:val="18"/>
                <w:szCs w:val="18"/>
              </w:rPr>
              <w:fldChar w:fldCharType="begin">
                <w:ffData>
                  <w:name w:val=""/>
                  <w:enabled/>
                  <w:calcOnExit w:val="0"/>
                  <w:checkBox>
                    <w:sizeAuto/>
                    <w:default w:val="1"/>
                  </w:checkBox>
                </w:ffData>
              </w:fldChar>
            </w:r>
            <w:r w:rsidRPr="00632EF3">
              <w:rPr>
                <w:rFonts w:ascii="Arial Narrow" w:eastAsia="Calibri" w:hAnsi="Arial Narrow" w:cs="Arial"/>
                <w:sz w:val="18"/>
                <w:szCs w:val="18"/>
              </w:rPr>
              <w:instrText xml:space="preserve"> FORMCHECKBOX </w:instrText>
            </w:r>
            <w:r w:rsidR="00AF1922">
              <w:rPr>
                <w:rFonts w:ascii="Arial Narrow" w:eastAsia="Calibri" w:hAnsi="Arial Narrow" w:cs="Arial"/>
                <w:sz w:val="18"/>
                <w:szCs w:val="18"/>
              </w:rPr>
            </w:r>
            <w:r w:rsidR="00AF1922">
              <w:rPr>
                <w:rFonts w:ascii="Arial Narrow" w:eastAsia="Calibri" w:hAnsi="Arial Narrow" w:cs="Arial"/>
                <w:sz w:val="18"/>
                <w:szCs w:val="18"/>
              </w:rPr>
              <w:fldChar w:fldCharType="separate"/>
            </w:r>
            <w:r w:rsidRPr="008F363E">
              <w:rPr>
                <w:rFonts w:ascii="Arial Narrow" w:eastAsia="Calibri" w:hAnsi="Arial Narrow" w:cs="Arial"/>
                <w:sz w:val="18"/>
                <w:szCs w:val="18"/>
              </w:rPr>
              <w:fldChar w:fldCharType="end"/>
            </w:r>
            <w:r w:rsidRPr="00632EF3">
              <w:rPr>
                <w:rFonts w:ascii="Arial Narrow" w:eastAsia="Calibri" w:hAnsi="Arial Narrow" w:cs="Arial"/>
                <w:sz w:val="18"/>
                <w:szCs w:val="18"/>
              </w:rPr>
              <w:t xml:space="preserve"> Restricted benefit</w:t>
            </w:r>
          </w:p>
        </w:tc>
      </w:tr>
      <w:tr w:rsidR="001B4741" w:rsidRPr="00632EF3" w:rsidTr="00CC7463">
        <w:tblPrEx>
          <w:tblCellMar>
            <w:top w:w="15" w:type="dxa"/>
            <w:left w:w="15" w:type="dxa"/>
            <w:bottom w:w="15" w:type="dxa"/>
            <w:right w:w="15" w:type="dxa"/>
          </w:tblCellMar>
          <w:tblLook w:val="04A0" w:firstRow="1" w:lastRow="0" w:firstColumn="1" w:lastColumn="0" w:noHBand="0" w:noVBand="1"/>
        </w:tblPrEx>
        <w:tc>
          <w:tcPr>
            <w:tcW w:w="74" w:type="pct"/>
            <w:tcBorders>
              <w:top w:val="single" w:sz="4" w:space="0" w:color="auto"/>
              <w:left w:val="single" w:sz="4" w:space="0" w:color="auto"/>
              <w:bottom w:val="single" w:sz="4" w:space="0" w:color="auto"/>
              <w:right w:val="single" w:sz="4" w:space="0" w:color="auto"/>
            </w:tcBorders>
            <w:vAlign w:val="center"/>
          </w:tcPr>
          <w:p w:rsidR="001B4741" w:rsidRPr="00632EF3" w:rsidRDefault="001B4741" w:rsidP="006E6758">
            <w:pPr>
              <w:jc w:val="center"/>
              <w:rPr>
                <w:rFonts w:ascii="Arial Narrow" w:hAnsi="Arial Narrow"/>
                <w:color w:val="333333"/>
                <w:sz w:val="18"/>
                <w:szCs w:val="18"/>
                <w:lang w:eastAsia="en-AU"/>
              </w:rPr>
            </w:pPr>
          </w:p>
        </w:tc>
        <w:tc>
          <w:tcPr>
            <w:tcW w:w="4926" w:type="pct"/>
            <w:gridSpan w:val="6"/>
            <w:tcBorders>
              <w:top w:val="single" w:sz="4" w:space="0" w:color="auto"/>
              <w:left w:val="single" w:sz="4" w:space="0" w:color="auto"/>
              <w:bottom w:val="single" w:sz="4" w:space="0" w:color="auto"/>
              <w:right w:val="single" w:sz="4" w:space="0" w:color="auto"/>
            </w:tcBorders>
            <w:vAlign w:val="center"/>
          </w:tcPr>
          <w:p w:rsidR="001B4741" w:rsidRPr="00632EF3" w:rsidRDefault="001B4741" w:rsidP="006E6758">
            <w:pPr>
              <w:rPr>
                <w:rFonts w:ascii="Arial Narrow" w:hAnsi="Arial Narrow"/>
                <w:b/>
                <w:bCs/>
                <w:color w:val="333333"/>
                <w:sz w:val="18"/>
                <w:szCs w:val="18"/>
                <w:lang w:eastAsia="en-AU"/>
              </w:rPr>
            </w:pPr>
            <w:r w:rsidRPr="00632EF3">
              <w:rPr>
                <w:rFonts w:ascii="Arial Narrow" w:hAnsi="Arial Narrow"/>
                <w:b/>
                <w:bCs/>
                <w:color w:val="333333"/>
                <w:sz w:val="18"/>
                <w:szCs w:val="18"/>
                <w:lang w:eastAsia="en-AU"/>
              </w:rPr>
              <w:t xml:space="preserve">Indication: </w:t>
            </w:r>
            <w:r w:rsidRPr="00632EF3">
              <w:rPr>
                <w:rFonts w:ascii="Arial Narrow" w:hAnsi="Arial Narrow"/>
                <w:bCs/>
                <w:color w:val="333333"/>
                <w:sz w:val="18"/>
                <w:szCs w:val="18"/>
                <w:lang w:eastAsia="en-AU"/>
              </w:rPr>
              <w:t>Infertility</w:t>
            </w:r>
          </w:p>
        </w:tc>
      </w:tr>
      <w:tr w:rsidR="001B4741" w:rsidRPr="00632EF3" w:rsidTr="00CC7463">
        <w:tblPrEx>
          <w:tblCellMar>
            <w:top w:w="15" w:type="dxa"/>
            <w:left w:w="15" w:type="dxa"/>
            <w:bottom w:w="15" w:type="dxa"/>
            <w:right w:w="15" w:type="dxa"/>
          </w:tblCellMar>
          <w:tblLook w:val="04A0" w:firstRow="1" w:lastRow="0" w:firstColumn="1" w:lastColumn="0" w:noHBand="0" w:noVBand="1"/>
        </w:tblPrEx>
        <w:tc>
          <w:tcPr>
            <w:tcW w:w="74" w:type="pct"/>
            <w:tcBorders>
              <w:top w:val="single" w:sz="4" w:space="0" w:color="auto"/>
              <w:left w:val="single" w:sz="4" w:space="0" w:color="auto"/>
              <w:bottom w:val="single" w:sz="4" w:space="0" w:color="auto"/>
              <w:right w:val="single" w:sz="4" w:space="0" w:color="auto"/>
            </w:tcBorders>
            <w:vAlign w:val="center"/>
          </w:tcPr>
          <w:p w:rsidR="001B4741" w:rsidRPr="00632EF3" w:rsidRDefault="001B4741" w:rsidP="006E6758">
            <w:pPr>
              <w:jc w:val="center"/>
              <w:rPr>
                <w:rFonts w:ascii="Arial Narrow" w:hAnsi="Arial Narrow"/>
                <w:color w:val="333333"/>
                <w:sz w:val="18"/>
                <w:szCs w:val="18"/>
                <w:lang w:eastAsia="en-AU"/>
              </w:rPr>
            </w:pPr>
          </w:p>
        </w:tc>
        <w:tc>
          <w:tcPr>
            <w:tcW w:w="4926" w:type="pct"/>
            <w:gridSpan w:val="6"/>
            <w:tcBorders>
              <w:top w:val="single" w:sz="4" w:space="0" w:color="auto"/>
              <w:left w:val="single" w:sz="4" w:space="0" w:color="auto"/>
              <w:bottom w:val="single" w:sz="4" w:space="0" w:color="auto"/>
              <w:right w:val="single" w:sz="4" w:space="0" w:color="auto"/>
            </w:tcBorders>
            <w:vAlign w:val="center"/>
          </w:tcPr>
          <w:p w:rsidR="001B4741" w:rsidRPr="00632EF3" w:rsidRDefault="001B4741" w:rsidP="006E6758">
            <w:pPr>
              <w:rPr>
                <w:rFonts w:ascii="Arial Narrow" w:hAnsi="Arial Narrow"/>
                <w:b/>
                <w:bCs/>
                <w:color w:val="333333"/>
                <w:sz w:val="18"/>
                <w:szCs w:val="18"/>
                <w:lang w:eastAsia="en-AU"/>
              </w:rPr>
            </w:pPr>
            <w:r w:rsidRPr="00632EF3">
              <w:rPr>
                <w:rFonts w:ascii="Arial Narrow" w:hAnsi="Arial Narrow"/>
                <w:b/>
                <w:bCs/>
                <w:color w:val="333333"/>
                <w:sz w:val="18"/>
                <w:szCs w:val="18"/>
                <w:lang w:eastAsia="en-AU"/>
              </w:rPr>
              <w:t>Clinical criteria:</w:t>
            </w:r>
          </w:p>
        </w:tc>
      </w:tr>
      <w:tr w:rsidR="001B4741" w:rsidRPr="00632EF3" w:rsidTr="00CC7463">
        <w:tblPrEx>
          <w:tblCellMar>
            <w:top w:w="15" w:type="dxa"/>
            <w:left w:w="15" w:type="dxa"/>
            <w:bottom w:w="15" w:type="dxa"/>
            <w:right w:w="15" w:type="dxa"/>
          </w:tblCellMar>
          <w:tblLook w:val="04A0" w:firstRow="1" w:lastRow="0" w:firstColumn="1" w:lastColumn="0" w:noHBand="0" w:noVBand="1"/>
        </w:tblPrEx>
        <w:tc>
          <w:tcPr>
            <w:tcW w:w="74" w:type="pct"/>
            <w:tcBorders>
              <w:top w:val="single" w:sz="4" w:space="0" w:color="auto"/>
              <w:left w:val="single" w:sz="4" w:space="0" w:color="auto"/>
              <w:bottom w:val="single" w:sz="4" w:space="0" w:color="auto"/>
              <w:right w:val="single" w:sz="4" w:space="0" w:color="auto"/>
            </w:tcBorders>
            <w:vAlign w:val="center"/>
          </w:tcPr>
          <w:p w:rsidR="001B4741" w:rsidRPr="00632EF3" w:rsidRDefault="001B4741" w:rsidP="006E6758">
            <w:pPr>
              <w:jc w:val="center"/>
              <w:rPr>
                <w:rFonts w:ascii="Arial Narrow" w:hAnsi="Arial Narrow"/>
                <w:color w:val="333333"/>
                <w:sz w:val="18"/>
                <w:szCs w:val="18"/>
                <w:lang w:eastAsia="en-AU"/>
              </w:rPr>
            </w:pPr>
          </w:p>
        </w:tc>
        <w:tc>
          <w:tcPr>
            <w:tcW w:w="4926" w:type="pct"/>
            <w:gridSpan w:val="6"/>
            <w:tcBorders>
              <w:top w:val="single" w:sz="4" w:space="0" w:color="auto"/>
              <w:left w:val="single" w:sz="4" w:space="0" w:color="auto"/>
              <w:bottom w:val="single" w:sz="4" w:space="0" w:color="auto"/>
              <w:right w:val="single" w:sz="4" w:space="0" w:color="auto"/>
            </w:tcBorders>
            <w:vAlign w:val="center"/>
          </w:tcPr>
          <w:p w:rsidR="001B4741" w:rsidRPr="00632EF3" w:rsidRDefault="001B4741" w:rsidP="006E6758">
            <w:pPr>
              <w:rPr>
                <w:rFonts w:ascii="Arial Narrow" w:hAnsi="Arial Narrow"/>
                <w:bCs/>
                <w:color w:val="333333"/>
                <w:sz w:val="18"/>
                <w:szCs w:val="18"/>
                <w:lang w:eastAsia="en-AU"/>
              </w:rPr>
            </w:pPr>
            <w:r w:rsidRPr="00632EF3">
              <w:rPr>
                <w:rFonts w:ascii="Arial Narrow" w:hAnsi="Arial Narrow"/>
                <w:bCs/>
                <w:color w:val="333333"/>
                <w:sz w:val="18"/>
                <w:szCs w:val="18"/>
                <w:lang w:eastAsia="en-AU"/>
              </w:rPr>
              <w:t>The condition must be due to hypogonadotrophic hypogonadism</w:t>
            </w:r>
          </w:p>
        </w:tc>
      </w:tr>
      <w:tr w:rsidR="001B4741" w:rsidRPr="00632EF3" w:rsidTr="00CC7463">
        <w:tblPrEx>
          <w:tblCellMar>
            <w:top w:w="15" w:type="dxa"/>
            <w:left w:w="15" w:type="dxa"/>
            <w:bottom w:w="15" w:type="dxa"/>
            <w:right w:w="15" w:type="dxa"/>
          </w:tblCellMar>
          <w:tblLook w:val="04A0" w:firstRow="1" w:lastRow="0" w:firstColumn="1" w:lastColumn="0" w:noHBand="0" w:noVBand="1"/>
        </w:tblPrEx>
        <w:tc>
          <w:tcPr>
            <w:tcW w:w="74" w:type="pct"/>
            <w:tcBorders>
              <w:top w:val="single" w:sz="4" w:space="0" w:color="auto"/>
              <w:left w:val="single" w:sz="4" w:space="0" w:color="auto"/>
              <w:bottom w:val="single" w:sz="4" w:space="0" w:color="auto"/>
              <w:right w:val="single" w:sz="4" w:space="0" w:color="auto"/>
            </w:tcBorders>
            <w:vAlign w:val="center"/>
          </w:tcPr>
          <w:p w:rsidR="001B4741" w:rsidRPr="00632EF3" w:rsidRDefault="001B4741" w:rsidP="006E6758">
            <w:pPr>
              <w:jc w:val="center"/>
              <w:rPr>
                <w:rFonts w:ascii="Arial Narrow" w:hAnsi="Arial Narrow"/>
                <w:color w:val="333333"/>
                <w:sz w:val="18"/>
                <w:szCs w:val="18"/>
                <w:lang w:eastAsia="en-AU"/>
              </w:rPr>
            </w:pPr>
          </w:p>
        </w:tc>
        <w:tc>
          <w:tcPr>
            <w:tcW w:w="4926" w:type="pct"/>
            <w:gridSpan w:val="6"/>
            <w:tcBorders>
              <w:top w:val="single" w:sz="4" w:space="0" w:color="auto"/>
              <w:left w:val="single" w:sz="4" w:space="0" w:color="auto"/>
              <w:bottom w:val="single" w:sz="4" w:space="0" w:color="auto"/>
              <w:right w:val="single" w:sz="4" w:space="0" w:color="auto"/>
            </w:tcBorders>
            <w:vAlign w:val="center"/>
          </w:tcPr>
          <w:p w:rsidR="001B4741" w:rsidRPr="00632EF3" w:rsidRDefault="001B4741" w:rsidP="006E6758">
            <w:pPr>
              <w:rPr>
                <w:rFonts w:ascii="Arial Narrow" w:hAnsi="Arial Narrow"/>
                <w:b/>
                <w:bCs/>
                <w:color w:val="333333"/>
                <w:sz w:val="18"/>
                <w:szCs w:val="18"/>
                <w:lang w:eastAsia="en-AU"/>
              </w:rPr>
            </w:pPr>
            <w:r w:rsidRPr="00632EF3">
              <w:rPr>
                <w:rFonts w:ascii="Arial Narrow" w:hAnsi="Arial Narrow"/>
                <w:b/>
                <w:bCs/>
                <w:color w:val="333333"/>
                <w:sz w:val="18"/>
                <w:szCs w:val="18"/>
                <w:lang w:eastAsia="en-AU"/>
              </w:rPr>
              <w:t>AND</w:t>
            </w:r>
          </w:p>
        </w:tc>
      </w:tr>
      <w:tr w:rsidR="001B4741" w:rsidRPr="00632EF3" w:rsidTr="00CC7463">
        <w:tblPrEx>
          <w:tblCellMar>
            <w:top w:w="15" w:type="dxa"/>
            <w:left w:w="15" w:type="dxa"/>
            <w:bottom w:w="15" w:type="dxa"/>
            <w:right w:w="15" w:type="dxa"/>
          </w:tblCellMar>
          <w:tblLook w:val="04A0" w:firstRow="1" w:lastRow="0" w:firstColumn="1" w:lastColumn="0" w:noHBand="0" w:noVBand="1"/>
        </w:tblPrEx>
        <w:tc>
          <w:tcPr>
            <w:tcW w:w="74" w:type="pct"/>
            <w:tcBorders>
              <w:top w:val="single" w:sz="4" w:space="0" w:color="auto"/>
              <w:left w:val="single" w:sz="4" w:space="0" w:color="auto"/>
              <w:bottom w:val="single" w:sz="4" w:space="0" w:color="auto"/>
              <w:right w:val="single" w:sz="4" w:space="0" w:color="auto"/>
            </w:tcBorders>
            <w:vAlign w:val="center"/>
          </w:tcPr>
          <w:p w:rsidR="001B4741" w:rsidRPr="00632EF3" w:rsidRDefault="001B4741" w:rsidP="006E6758">
            <w:pPr>
              <w:jc w:val="center"/>
              <w:rPr>
                <w:rFonts w:ascii="Arial Narrow" w:hAnsi="Arial Narrow"/>
                <w:color w:val="333333"/>
                <w:sz w:val="18"/>
                <w:szCs w:val="18"/>
                <w:lang w:eastAsia="en-AU"/>
              </w:rPr>
            </w:pPr>
          </w:p>
        </w:tc>
        <w:tc>
          <w:tcPr>
            <w:tcW w:w="4926" w:type="pct"/>
            <w:gridSpan w:val="6"/>
            <w:tcBorders>
              <w:top w:val="single" w:sz="4" w:space="0" w:color="auto"/>
              <w:left w:val="single" w:sz="4" w:space="0" w:color="auto"/>
              <w:bottom w:val="single" w:sz="4" w:space="0" w:color="auto"/>
              <w:right w:val="single" w:sz="4" w:space="0" w:color="auto"/>
            </w:tcBorders>
            <w:vAlign w:val="center"/>
          </w:tcPr>
          <w:p w:rsidR="001B4741" w:rsidRPr="00632EF3" w:rsidRDefault="001B4741" w:rsidP="006E6758">
            <w:pPr>
              <w:rPr>
                <w:rFonts w:ascii="Arial Narrow" w:hAnsi="Arial Narrow"/>
                <w:b/>
                <w:bCs/>
                <w:color w:val="333333"/>
                <w:sz w:val="18"/>
                <w:szCs w:val="18"/>
                <w:lang w:eastAsia="en-AU"/>
              </w:rPr>
            </w:pPr>
            <w:r w:rsidRPr="00632EF3">
              <w:rPr>
                <w:rFonts w:ascii="Arial Narrow" w:hAnsi="Arial Narrow"/>
                <w:b/>
                <w:bCs/>
                <w:color w:val="333333"/>
                <w:sz w:val="18"/>
                <w:szCs w:val="18"/>
                <w:lang w:eastAsia="en-AU"/>
              </w:rPr>
              <w:t>Clinical criteria:</w:t>
            </w:r>
          </w:p>
        </w:tc>
      </w:tr>
      <w:tr w:rsidR="001B4741" w:rsidRPr="00632EF3" w:rsidTr="00CC7463">
        <w:tblPrEx>
          <w:tblCellMar>
            <w:top w:w="15" w:type="dxa"/>
            <w:left w:w="15" w:type="dxa"/>
            <w:bottom w:w="15" w:type="dxa"/>
            <w:right w:w="15" w:type="dxa"/>
          </w:tblCellMar>
          <w:tblLook w:val="04A0" w:firstRow="1" w:lastRow="0" w:firstColumn="1" w:lastColumn="0" w:noHBand="0" w:noVBand="1"/>
        </w:tblPrEx>
        <w:tc>
          <w:tcPr>
            <w:tcW w:w="74" w:type="pct"/>
            <w:tcBorders>
              <w:top w:val="single" w:sz="4" w:space="0" w:color="auto"/>
              <w:left w:val="single" w:sz="4" w:space="0" w:color="auto"/>
              <w:bottom w:val="single" w:sz="4" w:space="0" w:color="auto"/>
              <w:right w:val="single" w:sz="4" w:space="0" w:color="auto"/>
            </w:tcBorders>
            <w:vAlign w:val="center"/>
          </w:tcPr>
          <w:p w:rsidR="001B4741" w:rsidRPr="00632EF3" w:rsidRDefault="001B4741" w:rsidP="006E6758">
            <w:pPr>
              <w:jc w:val="center"/>
              <w:rPr>
                <w:rFonts w:ascii="Arial Narrow" w:hAnsi="Arial Narrow"/>
                <w:color w:val="333333"/>
                <w:sz w:val="18"/>
                <w:szCs w:val="18"/>
                <w:lang w:eastAsia="en-AU"/>
              </w:rPr>
            </w:pPr>
          </w:p>
        </w:tc>
        <w:tc>
          <w:tcPr>
            <w:tcW w:w="4926" w:type="pct"/>
            <w:gridSpan w:val="6"/>
            <w:tcBorders>
              <w:top w:val="single" w:sz="4" w:space="0" w:color="auto"/>
              <w:left w:val="single" w:sz="4" w:space="0" w:color="auto"/>
              <w:bottom w:val="single" w:sz="4" w:space="0" w:color="auto"/>
              <w:right w:val="single" w:sz="4" w:space="0" w:color="auto"/>
            </w:tcBorders>
            <w:vAlign w:val="center"/>
          </w:tcPr>
          <w:p w:rsidR="001B4741" w:rsidRPr="00632EF3" w:rsidRDefault="001B4741" w:rsidP="006E6758">
            <w:pPr>
              <w:rPr>
                <w:rFonts w:ascii="Arial Narrow" w:hAnsi="Arial Narrow"/>
                <w:bCs/>
                <w:color w:val="333333"/>
                <w:sz w:val="18"/>
                <w:szCs w:val="18"/>
                <w:lang w:eastAsia="en-AU"/>
              </w:rPr>
            </w:pPr>
            <w:r w:rsidRPr="00632EF3">
              <w:rPr>
                <w:rFonts w:ascii="Arial Narrow" w:hAnsi="Arial Narrow"/>
                <w:bCs/>
                <w:color w:val="333333"/>
                <w:sz w:val="18"/>
                <w:szCs w:val="18"/>
                <w:lang w:eastAsia="en-AU"/>
              </w:rPr>
              <w:t>The treatment must be following failure of 6 months’ treatment with human chorionic gonadotrophin to achieve adequate spermatogenesis</w:t>
            </w:r>
          </w:p>
        </w:tc>
      </w:tr>
      <w:tr w:rsidR="001B4741" w:rsidRPr="00632EF3" w:rsidTr="00CC7463">
        <w:tblPrEx>
          <w:tblCellMar>
            <w:top w:w="15" w:type="dxa"/>
            <w:left w:w="15" w:type="dxa"/>
            <w:bottom w:w="15" w:type="dxa"/>
            <w:right w:w="15" w:type="dxa"/>
          </w:tblCellMar>
          <w:tblLook w:val="04A0" w:firstRow="1" w:lastRow="0" w:firstColumn="1" w:lastColumn="0" w:noHBand="0" w:noVBand="1"/>
        </w:tblPrEx>
        <w:tc>
          <w:tcPr>
            <w:tcW w:w="74" w:type="pct"/>
            <w:tcBorders>
              <w:top w:val="single" w:sz="4" w:space="0" w:color="auto"/>
              <w:left w:val="single" w:sz="4" w:space="0" w:color="auto"/>
              <w:bottom w:val="single" w:sz="4" w:space="0" w:color="auto"/>
              <w:right w:val="single" w:sz="4" w:space="0" w:color="auto"/>
            </w:tcBorders>
            <w:vAlign w:val="center"/>
          </w:tcPr>
          <w:p w:rsidR="001B4741" w:rsidRPr="00632EF3" w:rsidRDefault="001B4741" w:rsidP="006E6758">
            <w:pPr>
              <w:jc w:val="center"/>
              <w:rPr>
                <w:rFonts w:ascii="Arial Narrow" w:hAnsi="Arial Narrow"/>
                <w:color w:val="333333"/>
                <w:sz w:val="18"/>
                <w:szCs w:val="18"/>
                <w:lang w:eastAsia="en-AU"/>
              </w:rPr>
            </w:pPr>
          </w:p>
        </w:tc>
        <w:tc>
          <w:tcPr>
            <w:tcW w:w="4926" w:type="pct"/>
            <w:gridSpan w:val="6"/>
            <w:tcBorders>
              <w:top w:val="single" w:sz="4" w:space="0" w:color="auto"/>
              <w:left w:val="single" w:sz="4" w:space="0" w:color="auto"/>
              <w:bottom w:val="single" w:sz="4" w:space="0" w:color="auto"/>
              <w:right w:val="single" w:sz="4" w:space="0" w:color="auto"/>
            </w:tcBorders>
            <w:vAlign w:val="center"/>
          </w:tcPr>
          <w:p w:rsidR="001B4741" w:rsidRPr="00632EF3" w:rsidRDefault="001B4741" w:rsidP="006E6758">
            <w:pPr>
              <w:rPr>
                <w:rFonts w:ascii="Arial Narrow" w:hAnsi="Arial Narrow"/>
                <w:b/>
                <w:bCs/>
                <w:color w:val="333333"/>
                <w:sz w:val="18"/>
                <w:szCs w:val="18"/>
                <w:lang w:eastAsia="en-AU"/>
              </w:rPr>
            </w:pPr>
            <w:r w:rsidRPr="00632EF3">
              <w:rPr>
                <w:rFonts w:ascii="Arial Narrow" w:hAnsi="Arial Narrow"/>
                <w:b/>
                <w:bCs/>
                <w:color w:val="333333"/>
                <w:sz w:val="18"/>
                <w:szCs w:val="18"/>
                <w:lang w:eastAsia="en-AU"/>
              </w:rPr>
              <w:t>AND</w:t>
            </w:r>
          </w:p>
        </w:tc>
      </w:tr>
      <w:tr w:rsidR="001B4741" w:rsidRPr="00632EF3" w:rsidTr="00CC7463">
        <w:tblPrEx>
          <w:tblCellMar>
            <w:top w:w="15" w:type="dxa"/>
            <w:left w:w="15" w:type="dxa"/>
            <w:bottom w:w="15" w:type="dxa"/>
            <w:right w:w="15" w:type="dxa"/>
          </w:tblCellMar>
          <w:tblLook w:val="04A0" w:firstRow="1" w:lastRow="0" w:firstColumn="1" w:lastColumn="0" w:noHBand="0" w:noVBand="1"/>
        </w:tblPrEx>
        <w:tc>
          <w:tcPr>
            <w:tcW w:w="74" w:type="pct"/>
            <w:tcBorders>
              <w:top w:val="single" w:sz="4" w:space="0" w:color="auto"/>
              <w:left w:val="single" w:sz="4" w:space="0" w:color="auto"/>
              <w:bottom w:val="single" w:sz="4" w:space="0" w:color="auto"/>
              <w:right w:val="single" w:sz="4" w:space="0" w:color="auto"/>
            </w:tcBorders>
            <w:vAlign w:val="center"/>
          </w:tcPr>
          <w:p w:rsidR="001B4741" w:rsidRPr="00632EF3" w:rsidRDefault="001B4741" w:rsidP="006E6758">
            <w:pPr>
              <w:jc w:val="center"/>
              <w:rPr>
                <w:rFonts w:ascii="Arial Narrow" w:hAnsi="Arial Narrow"/>
                <w:color w:val="333333"/>
                <w:sz w:val="18"/>
                <w:szCs w:val="18"/>
                <w:lang w:eastAsia="en-AU"/>
              </w:rPr>
            </w:pPr>
          </w:p>
        </w:tc>
        <w:tc>
          <w:tcPr>
            <w:tcW w:w="4926" w:type="pct"/>
            <w:gridSpan w:val="6"/>
            <w:tcBorders>
              <w:top w:val="single" w:sz="4" w:space="0" w:color="auto"/>
              <w:left w:val="single" w:sz="4" w:space="0" w:color="auto"/>
              <w:bottom w:val="single" w:sz="4" w:space="0" w:color="auto"/>
              <w:right w:val="single" w:sz="4" w:space="0" w:color="auto"/>
            </w:tcBorders>
            <w:vAlign w:val="center"/>
          </w:tcPr>
          <w:p w:rsidR="001B4741" w:rsidRPr="00632EF3" w:rsidRDefault="001B4741" w:rsidP="006E6758">
            <w:pPr>
              <w:rPr>
                <w:rFonts w:ascii="Arial Narrow" w:hAnsi="Arial Narrow"/>
                <w:b/>
                <w:bCs/>
                <w:color w:val="333333"/>
                <w:sz w:val="18"/>
                <w:szCs w:val="18"/>
                <w:lang w:eastAsia="en-AU"/>
              </w:rPr>
            </w:pPr>
            <w:r w:rsidRPr="00632EF3">
              <w:rPr>
                <w:rFonts w:ascii="Arial Narrow" w:hAnsi="Arial Narrow"/>
                <w:b/>
                <w:bCs/>
                <w:color w:val="333333"/>
                <w:sz w:val="18"/>
                <w:szCs w:val="18"/>
                <w:lang w:eastAsia="en-AU"/>
              </w:rPr>
              <w:t>Clinical criteria:</w:t>
            </w:r>
          </w:p>
        </w:tc>
      </w:tr>
      <w:tr w:rsidR="001B4741" w:rsidRPr="00632EF3" w:rsidTr="00CC7463">
        <w:tblPrEx>
          <w:tblCellMar>
            <w:top w:w="15" w:type="dxa"/>
            <w:left w:w="15" w:type="dxa"/>
            <w:bottom w:w="15" w:type="dxa"/>
            <w:right w:w="15" w:type="dxa"/>
          </w:tblCellMar>
          <w:tblLook w:val="04A0" w:firstRow="1" w:lastRow="0" w:firstColumn="1" w:lastColumn="0" w:noHBand="0" w:noVBand="1"/>
        </w:tblPrEx>
        <w:tc>
          <w:tcPr>
            <w:tcW w:w="74" w:type="pct"/>
            <w:tcBorders>
              <w:top w:val="single" w:sz="4" w:space="0" w:color="auto"/>
              <w:left w:val="single" w:sz="4" w:space="0" w:color="auto"/>
              <w:bottom w:val="single" w:sz="4" w:space="0" w:color="auto"/>
              <w:right w:val="single" w:sz="4" w:space="0" w:color="auto"/>
            </w:tcBorders>
            <w:vAlign w:val="center"/>
          </w:tcPr>
          <w:p w:rsidR="001B4741" w:rsidRPr="00632EF3" w:rsidRDefault="001B4741" w:rsidP="006E6758">
            <w:pPr>
              <w:jc w:val="center"/>
              <w:rPr>
                <w:rFonts w:ascii="Arial Narrow" w:hAnsi="Arial Narrow"/>
                <w:color w:val="333333"/>
                <w:sz w:val="18"/>
                <w:szCs w:val="18"/>
                <w:lang w:eastAsia="en-AU"/>
              </w:rPr>
            </w:pPr>
          </w:p>
        </w:tc>
        <w:tc>
          <w:tcPr>
            <w:tcW w:w="4926" w:type="pct"/>
            <w:gridSpan w:val="6"/>
            <w:tcBorders>
              <w:top w:val="single" w:sz="4" w:space="0" w:color="auto"/>
              <w:left w:val="single" w:sz="4" w:space="0" w:color="auto"/>
              <w:bottom w:val="single" w:sz="4" w:space="0" w:color="auto"/>
              <w:right w:val="single" w:sz="4" w:space="0" w:color="auto"/>
            </w:tcBorders>
            <w:vAlign w:val="center"/>
          </w:tcPr>
          <w:p w:rsidR="001B4741" w:rsidRPr="00632EF3" w:rsidRDefault="001B4741" w:rsidP="006E6758">
            <w:pPr>
              <w:rPr>
                <w:rFonts w:ascii="Arial Narrow" w:hAnsi="Arial Narrow"/>
                <w:bCs/>
                <w:color w:val="333333"/>
                <w:sz w:val="18"/>
                <w:szCs w:val="18"/>
                <w:lang w:eastAsia="en-AU"/>
              </w:rPr>
            </w:pPr>
            <w:r w:rsidRPr="00632EF3">
              <w:rPr>
                <w:rFonts w:ascii="Arial Narrow" w:hAnsi="Arial Narrow"/>
                <w:bCs/>
                <w:color w:val="333333"/>
                <w:sz w:val="18"/>
                <w:szCs w:val="18"/>
                <w:lang w:eastAsia="en-AU"/>
              </w:rPr>
              <w:t>The treatment must be administered with human chorionic gonadotrophin</w:t>
            </w:r>
          </w:p>
        </w:tc>
      </w:tr>
      <w:tr w:rsidR="001B4741" w:rsidRPr="00632EF3" w:rsidTr="00CC7463">
        <w:tblPrEx>
          <w:tblCellMar>
            <w:top w:w="15" w:type="dxa"/>
            <w:left w:w="15" w:type="dxa"/>
            <w:bottom w:w="15" w:type="dxa"/>
            <w:right w:w="15" w:type="dxa"/>
          </w:tblCellMar>
          <w:tblLook w:val="04A0" w:firstRow="1" w:lastRow="0" w:firstColumn="1" w:lastColumn="0" w:noHBand="0" w:noVBand="1"/>
        </w:tblPrEx>
        <w:tc>
          <w:tcPr>
            <w:tcW w:w="74" w:type="pct"/>
            <w:tcBorders>
              <w:top w:val="single" w:sz="4" w:space="0" w:color="auto"/>
              <w:left w:val="single" w:sz="4" w:space="0" w:color="auto"/>
              <w:bottom w:val="single" w:sz="4" w:space="0" w:color="auto"/>
              <w:right w:val="single" w:sz="4" w:space="0" w:color="auto"/>
            </w:tcBorders>
            <w:vAlign w:val="center"/>
          </w:tcPr>
          <w:p w:rsidR="001B4741" w:rsidRPr="00632EF3" w:rsidRDefault="001B4741" w:rsidP="006E6758">
            <w:pPr>
              <w:jc w:val="center"/>
              <w:rPr>
                <w:rFonts w:ascii="Arial Narrow" w:hAnsi="Arial Narrow"/>
                <w:color w:val="333333"/>
                <w:sz w:val="18"/>
                <w:szCs w:val="18"/>
                <w:lang w:eastAsia="en-AU"/>
              </w:rPr>
            </w:pPr>
          </w:p>
        </w:tc>
        <w:tc>
          <w:tcPr>
            <w:tcW w:w="4926" w:type="pct"/>
            <w:gridSpan w:val="6"/>
            <w:tcBorders>
              <w:top w:val="single" w:sz="4" w:space="0" w:color="auto"/>
              <w:left w:val="single" w:sz="4" w:space="0" w:color="auto"/>
              <w:bottom w:val="single" w:sz="4" w:space="0" w:color="auto"/>
              <w:right w:val="single" w:sz="4" w:space="0" w:color="auto"/>
            </w:tcBorders>
            <w:vAlign w:val="center"/>
          </w:tcPr>
          <w:p w:rsidR="001B4741" w:rsidRPr="00632EF3" w:rsidRDefault="001B4741" w:rsidP="006E6758">
            <w:pPr>
              <w:rPr>
                <w:rFonts w:ascii="Arial Narrow" w:hAnsi="Arial Narrow"/>
                <w:b/>
                <w:bCs/>
                <w:color w:val="333333"/>
                <w:sz w:val="18"/>
                <w:szCs w:val="18"/>
                <w:lang w:eastAsia="en-AU"/>
              </w:rPr>
            </w:pPr>
            <w:r w:rsidRPr="00632EF3">
              <w:rPr>
                <w:rFonts w:ascii="Arial Narrow" w:hAnsi="Arial Narrow"/>
                <w:b/>
                <w:bCs/>
                <w:color w:val="333333"/>
                <w:sz w:val="18"/>
                <w:szCs w:val="18"/>
                <w:lang w:eastAsia="en-AU"/>
              </w:rPr>
              <w:t>Administrative Advice:</w:t>
            </w:r>
          </w:p>
          <w:p w:rsidR="001B4741" w:rsidRPr="00632EF3" w:rsidRDefault="001B4741" w:rsidP="006E6758">
            <w:pPr>
              <w:rPr>
                <w:rFonts w:ascii="Arial Narrow" w:hAnsi="Arial Narrow"/>
                <w:bCs/>
                <w:color w:val="333333"/>
                <w:sz w:val="18"/>
                <w:szCs w:val="18"/>
                <w:lang w:eastAsia="en-AU"/>
              </w:rPr>
            </w:pPr>
            <w:r w:rsidRPr="00632EF3">
              <w:rPr>
                <w:rFonts w:ascii="Arial Narrow" w:hAnsi="Arial Narrow"/>
                <w:bCs/>
                <w:color w:val="333333"/>
                <w:sz w:val="18"/>
                <w:szCs w:val="18"/>
                <w:lang w:eastAsia="en-AU"/>
              </w:rPr>
              <w:t>Except in cases of hypopituitarism or primary amenorrhoea, the patient should have been adequately treated with clomifene citrate and/or gonadorelin and failed to have conceived.</w:t>
            </w:r>
          </w:p>
        </w:tc>
      </w:tr>
      <w:tr w:rsidR="001B4741" w:rsidRPr="00632EF3" w:rsidTr="00CC7463">
        <w:tblPrEx>
          <w:tblCellMar>
            <w:top w:w="15" w:type="dxa"/>
            <w:left w:w="15" w:type="dxa"/>
            <w:bottom w:w="15" w:type="dxa"/>
            <w:right w:w="15" w:type="dxa"/>
          </w:tblCellMar>
          <w:tblLook w:val="04A0" w:firstRow="1" w:lastRow="0" w:firstColumn="1" w:lastColumn="0" w:noHBand="0" w:noVBand="1"/>
        </w:tblPrEx>
        <w:tc>
          <w:tcPr>
            <w:tcW w:w="74" w:type="pct"/>
            <w:tcBorders>
              <w:top w:val="single" w:sz="4" w:space="0" w:color="auto"/>
              <w:left w:val="single" w:sz="4" w:space="0" w:color="auto"/>
              <w:bottom w:val="single" w:sz="4" w:space="0" w:color="auto"/>
              <w:right w:val="single" w:sz="4" w:space="0" w:color="auto"/>
            </w:tcBorders>
            <w:vAlign w:val="center"/>
          </w:tcPr>
          <w:p w:rsidR="001B4741" w:rsidRPr="00632EF3" w:rsidRDefault="001B4741" w:rsidP="006E6758">
            <w:pPr>
              <w:jc w:val="center"/>
              <w:rPr>
                <w:rFonts w:ascii="Arial Narrow" w:hAnsi="Arial Narrow"/>
                <w:color w:val="333333"/>
                <w:sz w:val="18"/>
                <w:szCs w:val="18"/>
                <w:lang w:eastAsia="en-AU"/>
              </w:rPr>
            </w:pPr>
          </w:p>
        </w:tc>
        <w:tc>
          <w:tcPr>
            <w:tcW w:w="4926" w:type="pct"/>
            <w:gridSpan w:val="6"/>
            <w:tcBorders>
              <w:top w:val="single" w:sz="4" w:space="0" w:color="auto"/>
              <w:left w:val="single" w:sz="4" w:space="0" w:color="auto"/>
              <w:bottom w:val="single" w:sz="4" w:space="0" w:color="auto"/>
              <w:right w:val="single" w:sz="4" w:space="0" w:color="auto"/>
            </w:tcBorders>
            <w:vAlign w:val="center"/>
          </w:tcPr>
          <w:p w:rsidR="001B4741" w:rsidRPr="00632EF3" w:rsidRDefault="001B4741" w:rsidP="006E6758">
            <w:pPr>
              <w:rPr>
                <w:rFonts w:ascii="Arial Narrow" w:hAnsi="Arial Narrow"/>
                <w:b/>
                <w:bCs/>
                <w:color w:val="333333"/>
                <w:sz w:val="18"/>
                <w:szCs w:val="18"/>
                <w:lang w:eastAsia="en-AU"/>
              </w:rPr>
            </w:pPr>
            <w:r w:rsidRPr="00632EF3">
              <w:rPr>
                <w:rFonts w:ascii="Arial Narrow" w:hAnsi="Arial Narrow"/>
                <w:b/>
                <w:bCs/>
                <w:color w:val="333333"/>
                <w:sz w:val="18"/>
                <w:szCs w:val="18"/>
                <w:lang w:eastAsia="en-AU"/>
              </w:rPr>
              <w:t>Administrative Advice:</w:t>
            </w:r>
            <w:r w:rsidR="00DB5859" w:rsidRPr="00632EF3">
              <w:rPr>
                <w:rFonts w:ascii="Arial Narrow" w:hAnsi="Arial Narrow"/>
                <w:b/>
                <w:bCs/>
                <w:color w:val="333333"/>
                <w:sz w:val="18"/>
                <w:szCs w:val="18"/>
                <w:lang w:eastAsia="en-AU"/>
              </w:rPr>
              <w:t xml:space="preserve"> </w:t>
            </w:r>
            <w:r w:rsidRPr="00632EF3">
              <w:rPr>
                <w:rFonts w:ascii="Arial Narrow" w:hAnsi="Arial Narrow"/>
                <w:bCs/>
                <w:color w:val="333333"/>
                <w:sz w:val="18"/>
                <w:szCs w:val="18"/>
                <w:lang w:eastAsia="en-AU"/>
              </w:rPr>
              <w:t>Patients with hyperprolactinaemia should have had appropriate surgical or medical treatment prior to treatment.</w:t>
            </w:r>
          </w:p>
        </w:tc>
      </w:tr>
    </w:tbl>
    <w:p w:rsidR="00B71C84" w:rsidRPr="00632EF3" w:rsidRDefault="00B71C84" w:rsidP="005C1AFE">
      <w:pPr>
        <w:pStyle w:val="TableFigureFooter"/>
        <w:rPr>
          <w:highlight w:val="yellow"/>
        </w:rPr>
      </w:pPr>
    </w:p>
    <w:p w:rsidR="00B71C84" w:rsidRPr="00632EF3" w:rsidRDefault="00B71C84" w:rsidP="00B71C84">
      <w:pPr>
        <w:ind w:firstLine="709"/>
        <w:rPr>
          <w:rFonts w:asciiTheme="minorHAnsi" w:hAnsiTheme="minorHAnsi"/>
          <w:i/>
        </w:rPr>
      </w:pPr>
      <w:r w:rsidRPr="00632EF3">
        <w:rPr>
          <w:rFonts w:asciiTheme="minorHAnsi" w:hAnsiTheme="minorHAnsi"/>
          <w:i/>
        </w:rPr>
        <w:t xml:space="preserve">For more detail on PBAC’s view, see section </w:t>
      </w:r>
      <w:r w:rsidR="00CF69D2" w:rsidRPr="00632EF3">
        <w:rPr>
          <w:rFonts w:asciiTheme="minorHAnsi" w:hAnsiTheme="minorHAnsi"/>
          <w:i/>
        </w:rPr>
        <w:t>6</w:t>
      </w:r>
      <w:r w:rsidRPr="00632EF3">
        <w:rPr>
          <w:rFonts w:asciiTheme="minorHAnsi" w:hAnsiTheme="minorHAnsi"/>
          <w:i/>
        </w:rPr>
        <w:t xml:space="preserve"> PBAC outcome.</w:t>
      </w:r>
    </w:p>
    <w:p w:rsidR="000F5688" w:rsidRPr="00632EF3" w:rsidRDefault="009A5F29" w:rsidP="009A69E2">
      <w:pPr>
        <w:pStyle w:val="2-SectionHeading"/>
      </w:pPr>
      <w:r w:rsidRPr="00632EF3">
        <w:t>Comparator</w:t>
      </w:r>
    </w:p>
    <w:p w:rsidR="009A5F29" w:rsidRPr="00632EF3" w:rsidRDefault="009A5F29" w:rsidP="009A5F29">
      <w:pPr>
        <w:pStyle w:val="3-BodyText"/>
      </w:pPr>
      <w:r w:rsidRPr="00632EF3">
        <w:t xml:space="preserve">The submission nominated </w:t>
      </w:r>
      <w:r w:rsidR="00C820C8" w:rsidRPr="00632EF3">
        <w:t>the reference brand of follitropin al</w:t>
      </w:r>
      <w:r w:rsidR="00ED561D" w:rsidRPr="00632EF3">
        <w:t>f</w:t>
      </w:r>
      <w:r w:rsidR="00C820C8" w:rsidRPr="00632EF3">
        <w:t xml:space="preserve">a, </w:t>
      </w:r>
      <w:r w:rsidRPr="00632EF3">
        <w:t>Gonal-f</w:t>
      </w:r>
      <w:r w:rsidR="005860D8" w:rsidRPr="00632EF3">
        <w:t>,</w:t>
      </w:r>
      <w:r w:rsidRPr="00632EF3">
        <w:t xml:space="preserve"> as the main comparator. </w:t>
      </w:r>
      <w:r w:rsidR="00B56554" w:rsidRPr="00632EF3">
        <w:t>The PBAC considered this</w:t>
      </w:r>
      <w:r w:rsidR="00CC0D65" w:rsidRPr="00632EF3">
        <w:t xml:space="preserve"> was</w:t>
      </w:r>
      <w:r w:rsidRPr="00632EF3">
        <w:t xml:space="preserve"> appropriate</w:t>
      </w:r>
      <w:r w:rsidR="00A33B78" w:rsidRPr="00632EF3">
        <w:t xml:space="preserve">. </w:t>
      </w:r>
    </w:p>
    <w:p w:rsidR="004003BE" w:rsidRPr="00632EF3" w:rsidRDefault="00A11C3B">
      <w:pPr>
        <w:pStyle w:val="3-BodyText"/>
      </w:pPr>
      <w:r w:rsidRPr="00632EF3">
        <w:t>The submission noted</w:t>
      </w:r>
      <w:r w:rsidR="00A20E11" w:rsidRPr="00632EF3">
        <w:t xml:space="preserve"> that while</w:t>
      </w:r>
      <w:r w:rsidRPr="00632EF3">
        <w:t xml:space="preserve"> Bemfola</w:t>
      </w:r>
      <w:r w:rsidR="00260D9E" w:rsidRPr="00632EF3">
        <w:t xml:space="preserve"> was another PBS-listed follitropin alfa</w:t>
      </w:r>
      <w:r w:rsidRPr="00632EF3">
        <w:t xml:space="preserve"> </w:t>
      </w:r>
      <w:r w:rsidR="00260D9E" w:rsidRPr="00632EF3">
        <w:t xml:space="preserve">biosimilar, </w:t>
      </w:r>
      <w:r w:rsidRPr="00632EF3">
        <w:t xml:space="preserve">substitution between Bemfola and Gonal-f was not recommended by the PBAC due to differences in the strengths, number of pens per pack and maximum quantities between the brands. </w:t>
      </w:r>
      <w:r w:rsidR="001A7566" w:rsidRPr="00632EF3">
        <w:t>Bemfola is available in packs of 1, 5 and 10 pre-filled pens that are single-use only.</w:t>
      </w:r>
      <w:r w:rsidR="00B56554" w:rsidRPr="00632EF3">
        <w:t xml:space="preserve"> The PBAC </w:t>
      </w:r>
      <w:r w:rsidR="00CC0D65" w:rsidRPr="00632EF3">
        <w:t xml:space="preserve">advised </w:t>
      </w:r>
      <w:r w:rsidR="00B56554" w:rsidRPr="00632EF3">
        <w:t xml:space="preserve">that Ovaleap and Bemfola </w:t>
      </w:r>
      <w:r w:rsidR="00CC0D65" w:rsidRPr="00632EF3">
        <w:t xml:space="preserve">should </w:t>
      </w:r>
      <w:r w:rsidR="00B56554" w:rsidRPr="00632EF3">
        <w:t>not be considered equivalent for the purpose of substitution, noting that Ovaleap shared the same differences with Bemfola as Gonal-f, and that these differences would</w:t>
      </w:r>
      <w:r w:rsidR="00251973" w:rsidRPr="00632EF3">
        <w:t xml:space="preserve"> make substitution at the pharmacy level difficult from a practical perspective.</w:t>
      </w:r>
      <w:r w:rsidR="004003BE" w:rsidRPr="00632EF3">
        <w:t xml:space="preserve"> </w:t>
      </w:r>
    </w:p>
    <w:p w:rsidR="00B71C84" w:rsidRPr="00632EF3" w:rsidRDefault="00B71C84" w:rsidP="00CC0D65">
      <w:pPr>
        <w:ind w:firstLine="709"/>
        <w:rPr>
          <w:i/>
        </w:rPr>
      </w:pPr>
      <w:r w:rsidRPr="00632EF3">
        <w:rPr>
          <w:rFonts w:asciiTheme="minorHAnsi" w:hAnsiTheme="minorHAnsi"/>
          <w:i/>
        </w:rPr>
        <w:t xml:space="preserve">For more detail on PBAC’s view, see section </w:t>
      </w:r>
      <w:r w:rsidR="00CF69D2" w:rsidRPr="00632EF3">
        <w:rPr>
          <w:rFonts w:asciiTheme="minorHAnsi" w:hAnsiTheme="minorHAnsi"/>
          <w:i/>
        </w:rPr>
        <w:t>6</w:t>
      </w:r>
      <w:r w:rsidRPr="00632EF3">
        <w:rPr>
          <w:rFonts w:asciiTheme="minorHAnsi" w:hAnsiTheme="minorHAnsi"/>
          <w:i/>
        </w:rPr>
        <w:t xml:space="preserve"> PBAC outcome.</w:t>
      </w:r>
    </w:p>
    <w:p w:rsidR="00102AC8" w:rsidRPr="00632EF3" w:rsidRDefault="00102AC8" w:rsidP="000D1086">
      <w:pPr>
        <w:pStyle w:val="2-SectionHeading"/>
      </w:pPr>
      <w:r w:rsidRPr="00632EF3">
        <w:t>Consideration of the Evidence</w:t>
      </w:r>
    </w:p>
    <w:p w:rsidR="00327A56" w:rsidRPr="00632EF3" w:rsidRDefault="00327A56" w:rsidP="00102AC8">
      <w:pPr>
        <w:pStyle w:val="Heading2"/>
      </w:pPr>
      <w:r w:rsidRPr="00632EF3">
        <w:t>Sponsor hearing</w:t>
      </w:r>
    </w:p>
    <w:p w:rsidR="00327A56" w:rsidRPr="00632EF3" w:rsidRDefault="00327A56" w:rsidP="00251140">
      <w:pPr>
        <w:pStyle w:val="3-BodyText"/>
      </w:pPr>
      <w:r w:rsidRPr="00632EF3">
        <w:rPr>
          <w:rFonts w:ascii="Calibri" w:hAnsi="Calibri" w:cs="Calibri"/>
          <w:bCs/>
          <w:snapToGrid w:val="0"/>
        </w:rPr>
        <w:t>There was no hearing for this item.</w:t>
      </w:r>
    </w:p>
    <w:p w:rsidR="00327A56" w:rsidRPr="00632EF3" w:rsidRDefault="00327A56" w:rsidP="00102AC8">
      <w:pPr>
        <w:pStyle w:val="Heading2"/>
      </w:pPr>
      <w:r w:rsidRPr="00632EF3">
        <w:t>Consumer comments</w:t>
      </w:r>
    </w:p>
    <w:p w:rsidR="009331BE" w:rsidRPr="00632EF3" w:rsidRDefault="00B805DA" w:rsidP="00440767">
      <w:pPr>
        <w:pStyle w:val="3-BodyText"/>
      </w:pPr>
      <w:r w:rsidRPr="00632EF3">
        <w:rPr>
          <w:rFonts w:cs="Arial"/>
          <w:bCs/>
          <w:snapToGrid w:val="0"/>
        </w:rPr>
        <w:t xml:space="preserve">The PBAC noted and welcomed the input from health care professionals (2) and organisations (2) via the Consumer Comments facility on the PBS website. </w:t>
      </w:r>
      <w:r w:rsidR="0082016C" w:rsidRPr="00632EF3">
        <w:rPr>
          <w:rFonts w:cs="Arial"/>
          <w:bCs/>
          <w:snapToGrid w:val="0"/>
        </w:rPr>
        <w:t>T</w:t>
      </w:r>
      <w:r w:rsidRPr="00632EF3">
        <w:rPr>
          <w:rFonts w:cs="Arial"/>
          <w:bCs/>
          <w:snapToGrid w:val="0"/>
        </w:rPr>
        <w:t xml:space="preserve">he </w:t>
      </w:r>
      <w:r w:rsidRPr="00632EF3">
        <w:t>IVF Directors Group of Australia (IVFDGA) and the Australian and New Zealand Society of Reproductive Endocrinology and Infertility (ANZSREI)</w:t>
      </w:r>
      <w:r w:rsidR="0082016C" w:rsidRPr="00632EF3">
        <w:t xml:space="preserve"> were supportive of a PBS-listing for Ovaleap and considered</w:t>
      </w:r>
      <w:r w:rsidRPr="00632EF3">
        <w:rPr>
          <w:rFonts w:cs="Arial"/>
          <w:bCs/>
          <w:snapToGrid w:val="0"/>
        </w:rPr>
        <w:t xml:space="preserve"> that Ovaleap may broaden scope and choice for patients and </w:t>
      </w:r>
      <w:r w:rsidR="0012775F" w:rsidRPr="00632EF3">
        <w:rPr>
          <w:rFonts w:cs="Arial"/>
          <w:bCs/>
          <w:snapToGrid w:val="0"/>
        </w:rPr>
        <w:t>prescriber</w:t>
      </w:r>
      <w:r w:rsidRPr="00632EF3">
        <w:rPr>
          <w:rFonts w:cs="Arial"/>
          <w:bCs/>
          <w:snapToGrid w:val="0"/>
        </w:rPr>
        <w:t xml:space="preserve">s in the management of IVF Stimulation Protocols. </w:t>
      </w:r>
    </w:p>
    <w:p w:rsidR="00327145" w:rsidRPr="00220275" w:rsidRDefault="00715630" w:rsidP="00EE40D0">
      <w:pPr>
        <w:pStyle w:val="3-BodyText"/>
      </w:pPr>
      <w:r>
        <w:rPr>
          <w:snapToGrid w:val="0"/>
        </w:rPr>
        <w:t>T</w:t>
      </w:r>
      <w:r w:rsidR="00B805DA" w:rsidRPr="00632EF3">
        <w:rPr>
          <w:snapToGrid w:val="0"/>
        </w:rPr>
        <w:t xml:space="preserve">he PBAC noted </w:t>
      </w:r>
      <w:r w:rsidR="008F0614" w:rsidRPr="00632EF3">
        <w:rPr>
          <w:snapToGrid w:val="0"/>
        </w:rPr>
        <w:t xml:space="preserve">that all the consumer comments </w:t>
      </w:r>
      <w:r w:rsidR="002C1B4E" w:rsidRPr="00632EF3">
        <w:rPr>
          <w:snapToGrid w:val="0"/>
        </w:rPr>
        <w:t>did</w:t>
      </w:r>
      <w:r w:rsidR="008F0614" w:rsidRPr="00632EF3">
        <w:rPr>
          <w:snapToGrid w:val="0"/>
        </w:rPr>
        <w:t xml:space="preserve"> not support</w:t>
      </w:r>
      <w:r w:rsidR="002C1B4E" w:rsidRPr="00632EF3">
        <w:rPr>
          <w:snapToGrid w:val="0"/>
        </w:rPr>
        <w:t xml:space="preserve"> </w:t>
      </w:r>
      <w:r w:rsidR="00BB0EA3" w:rsidRPr="00632EF3">
        <w:rPr>
          <w:snapToGrid w:val="0"/>
        </w:rPr>
        <w:t>‘</w:t>
      </w:r>
      <w:r w:rsidR="00B805DA" w:rsidRPr="00632EF3">
        <w:rPr>
          <w:snapToGrid w:val="0"/>
        </w:rPr>
        <w:t>a</w:t>
      </w:r>
      <w:r w:rsidR="00BB0EA3" w:rsidRPr="00632EF3">
        <w:rPr>
          <w:snapToGrid w:val="0"/>
        </w:rPr>
        <w:t>’-</w:t>
      </w:r>
      <w:r w:rsidR="00B805DA" w:rsidRPr="00632EF3">
        <w:rPr>
          <w:snapToGrid w:val="0"/>
        </w:rPr>
        <w:t xml:space="preserve">flagging Ovaleap with Gonal-f. </w:t>
      </w:r>
      <w:r w:rsidR="008F0614" w:rsidRPr="00632EF3">
        <w:rPr>
          <w:snapToGrid w:val="0"/>
        </w:rPr>
        <w:t xml:space="preserve">The </w:t>
      </w:r>
      <w:r w:rsidR="008F0614" w:rsidRPr="00632EF3">
        <w:rPr>
          <w:rFonts w:cs="Arial"/>
          <w:bCs/>
          <w:snapToGrid w:val="0"/>
        </w:rPr>
        <w:t xml:space="preserve">comments described a range of concerns about </w:t>
      </w:r>
      <w:r w:rsidR="00B805DA" w:rsidRPr="00632EF3">
        <w:rPr>
          <w:rFonts w:cs="Arial"/>
          <w:bCs/>
          <w:snapToGrid w:val="0"/>
        </w:rPr>
        <w:t>the pharmaceutical and clinical differences</w:t>
      </w:r>
      <w:r w:rsidR="008F0614" w:rsidRPr="00632EF3">
        <w:rPr>
          <w:rFonts w:cs="Arial"/>
          <w:bCs/>
          <w:snapToGrid w:val="0"/>
        </w:rPr>
        <w:t xml:space="preserve"> affecting patient outcomes, and quality use of medicine issues.</w:t>
      </w:r>
    </w:p>
    <w:p w:rsidR="00327145" w:rsidRPr="00220275" w:rsidRDefault="008F0614" w:rsidP="00EE40D0">
      <w:pPr>
        <w:pStyle w:val="3-BodyText"/>
      </w:pPr>
      <w:r w:rsidRPr="00632EF3">
        <w:rPr>
          <w:rFonts w:cs="Arial"/>
          <w:bCs/>
          <w:snapToGrid w:val="0"/>
        </w:rPr>
        <w:t xml:space="preserve">The PBAC noted the </w:t>
      </w:r>
      <w:r w:rsidR="00E67B70">
        <w:rPr>
          <w:rFonts w:cs="Arial"/>
          <w:bCs/>
          <w:snapToGrid w:val="0"/>
        </w:rPr>
        <w:t>views of the</w:t>
      </w:r>
      <w:r w:rsidR="00EE40D0" w:rsidRPr="00632EF3">
        <w:rPr>
          <w:rFonts w:cs="Arial"/>
          <w:bCs/>
          <w:snapToGrid w:val="0"/>
        </w:rPr>
        <w:t xml:space="preserve"> IVFDGA </w:t>
      </w:r>
      <w:r w:rsidR="00327145">
        <w:rPr>
          <w:rFonts w:cs="Arial"/>
          <w:bCs/>
          <w:snapToGrid w:val="0"/>
        </w:rPr>
        <w:t>that:</w:t>
      </w:r>
    </w:p>
    <w:p w:rsidR="00327145" w:rsidRPr="00220275" w:rsidRDefault="00D97534" w:rsidP="00327145">
      <w:pPr>
        <w:pStyle w:val="3-BodyText"/>
        <w:numPr>
          <w:ilvl w:val="0"/>
          <w:numId w:val="66"/>
        </w:numPr>
      </w:pPr>
      <w:r>
        <w:t>f</w:t>
      </w:r>
      <w:r w:rsidR="00327145" w:rsidRPr="00327145">
        <w:t>oll</w:t>
      </w:r>
      <w:r w:rsidR="003A5A0F">
        <w:t>i</w:t>
      </w:r>
      <w:r w:rsidR="00327145" w:rsidRPr="00327145">
        <w:t xml:space="preserve">tropin </w:t>
      </w:r>
      <w:r>
        <w:t>a</w:t>
      </w:r>
      <w:r w:rsidR="00327145" w:rsidRPr="00327145">
        <w:t>l</w:t>
      </w:r>
      <w:r>
        <w:t>f</w:t>
      </w:r>
      <w:r w:rsidR="00327145" w:rsidRPr="00327145">
        <w:t>a</w:t>
      </w:r>
      <w:r w:rsidR="004967A9">
        <w:t xml:space="preserve"> (Ovaleap)</w:t>
      </w:r>
      <w:r w:rsidR="00327145" w:rsidRPr="00327145">
        <w:t xml:space="preserve"> is not bioidentical to </w:t>
      </w:r>
      <w:r>
        <w:t>follicle-stimulating hormone (</w:t>
      </w:r>
      <w:r w:rsidR="00327145" w:rsidRPr="00327145">
        <w:t>FSH</w:t>
      </w:r>
      <w:r>
        <w:t>)</w:t>
      </w:r>
      <w:r w:rsidR="00327145" w:rsidRPr="00327145">
        <w:t xml:space="preserve"> preparations such as Gonal</w:t>
      </w:r>
      <w:r w:rsidR="003A5A0F">
        <w:t>-f</w:t>
      </w:r>
      <w:r w:rsidR="00327145" w:rsidRPr="00327145">
        <w:t xml:space="preserve"> or Puregon.</w:t>
      </w:r>
    </w:p>
    <w:p w:rsidR="00327145" w:rsidRPr="00D97534" w:rsidRDefault="00327145" w:rsidP="00220275">
      <w:pPr>
        <w:pStyle w:val="3-BodyText"/>
        <w:numPr>
          <w:ilvl w:val="0"/>
          <w:numId w:val="66"/>
        </w:numPr>
        <w:rPr>
          <w:rFonts w:cs="Arial"/>
          <w:bCs/>
          <w:snapToGrid w:val="0"/>
        </w:rPr>
      </w:pPr>
      <w:r w:rsidRPr="00D97534">
        <w:rPr>
          <w:rFonts w:cs="Arial"/>
          <w:bCs/>
          <w:snapToGrid w:val="0"/>
        </w:rPr>
        <w:t>brand substitution at the pharmacy</w:t>
      </w:r>
      <w:r w:rsidR="00D97534">
        <w:rPr>
          <w:rFonts w:cs="Arial"/>
          <w:bCs/>
          <w:snapToGrid w:val="0"/>
        </w:rPr>
        <w:t xml:space="preserve"> was not supported, </w:t>
      </w:r>
      <w:r w:rsidR="00F10EE3">
        <w:rPr>
          <w:rFonts w:cs="Arial"/>
          <w:bCs/>
          <w:snapToGrid w:val="0"/>
        </w:rPr>
        <w:t>as</w:t>
      </w:r>
      <w:r w:rsidR="00D97534">
        <w:rPr>
          <w:rFonts w:cs="Arial"/>
          <w:bCs/>
          <w:snapToGrid w:val="0"/>
        </w:rPr>
        <w:t xml:space="preserve"> it is unsafe</w:t>
      </w:r>
      <w:r w:rsidRPr="00D97534">
        <w:rPr>
          <w:rFonts w:cs="Arial"/>
          <w:bCs/>
          <w:snapToGrid w:val="0"/>
        </w:rPr>
        <w:t xml:space="preserve"> where the patient has received no training in use of the pen</w:t>
      </w:r>
      <w:r w:rsidR="00D97534">
        <w:rPr>
          <w:rFonts w:cs="Arial"/>
          <w:bCs/>
          <w:snapToGrid w:val="0"/>
        </w:rPr>
        <w:t xml:space="preserve"> and noting t</w:t>
      </w:r>
      <w:r w:rsidRPr="00D97534">
        <w:rPr>
          <w:rFonts w:cs="Arial"/>
          <w:bCs/>
          <w:snapToGrid w:val="0"/>
        </w:rPr>
        <w:t>he dosages are different from what the patient would have been given on their supplied protocol sheet.</w:t>
      </w:r>
    </w:p>
    <w:p w:rsidR="00327145" w:rsidRPr="00AC0137" w:rsidRDefault="00327145" w:rsidP="00220275">
      <w:pPr>
        <w:pStyle w:val="3-BodyText"/>
      </w:pPr>
      <w:r w:rsidRPr="00632EF3">
        <w:rPr>
          <w:rFonts w:cs="Arial"/>
          <w:bCs/>
          <w:snapToGrid w:val="0"/>
        </w:rPr>
        <w:t xml:space="preserve">The PBAC noted the </w:t>
      </w:r>
      <w:r w:rsidR="00D97534">
        <w:rPr>
          <w:rFonts w:cs="Arial"/>
          <w:bCs/>
          <w:snapToGrid w:val="0"/>
        </w:rPr>
        <w:t>views of the</w:t>
      </w:r>
      <w:r w:rsidRPr="00632EF3">
        <w:rPr>
          <w:rFonts w:cs="Arial"/>
          <w:bCs/>
          <w:snapToGrid w:val="0"/>
        </w:rPr>
        <w:t xml:space="preserve"> </w:t>
      </w:r>
      <w:r w:rsidRPr="00632EF3">
        <w:t>ANZSREI</w:t>
      </w:r>
      <w:r w:rsidRPr="00632EF3">
        <w:rPr>
          <w:rFonts w:cs="Arial"/>
          <w:bCs/>
          <w:snapToGrid w:val="0"/>
        </w:rPr>
        <w:t xml:space="preserve"> </w:t>
      </w:r>
      <w:r>
        <w:rPr>
          <w:rFonts w:cs="Arial"/>
          <w:bCs/>
          <w:snapToGrid w:val="0"/>
        </w:rPr>
        <w:t>that:</w:t>
      </w:r>
    </w:p>
    <w:p w:rsidR="00327145" w:rsidRPr="00220275" w:rsidRDefault="00D97534" w:rsidP="00327145">
      <w:pPr>
        <w:pStyle w:val="3-BodyText"/>
        <w:numPr>
          <w:ilvl w:val="0"/>
          <w:numId w:val="66"/>
        </w:numPr>
      </w:pPr>
      <w:r>
        <w:rPr>
          <w:rFonts w:cs="Arial"/>
          <w:bCs/>
          <w:snapToGrid w:val="0"/>
        </w:rPr>
        <w:t>t</w:t>
      </w:r>
      <w:r w:rsidR="00327145">
        <w:rPr>
          <w:rFonts w:cs="Arial"/>
          <w:bCs/>
          <w:snapToGrid w:val="0"/>
        </w:rPr>
        <w:t>he Ovaleap</w:t>
      </w:r>
      <w:r>
        <w:rPr>
          <w:rFonts w:cs="Arial"/>
          <w:bCs/>
          <w:snapToGrid w:val="0"/>
        </w:rPr>
        <w:t xml:space="preserve"> device</w:t>
      </w:r>
      <w:r w:rsidR="00327145">
        <w:rPr>
          <w:rFonts w:cs="Arial"/>
          <w:bCs/>
          <w:snapToGrid w:val="0"/>
        </w:rPr>
        <w:t xml:space="preserve"> is d</w:t>
      </w:r>
      <w:r w:rsidR="00721EE6">
        <w:rPr>
          <w:rFonts w:cs="Arial"/>
          <w:bCs/>
          <w:snapToGrid w:val="0"/>
        </w:rPr>
        <w:t>i</w:t>
      </w:r>
      <w:r w:rsidR="00327145">
        <w:rPr>
          <w:rFonts w:cs="Arial"/>
          <w:bCs/>
          <w:snapToGrid w:val="0"/>
        </w:rPr>
        <w:t>ffer</w:t>
      </w:r>
      <w:r>
        <w:rPr>
          <w:rFonts w:cs="Arial"/>
          <w:bCs/>
          <w:snapToGrid w:val="0"/>
        </w:rPr>
        <w:t>e</w:t>
      </w:r>
      <w:r w:rsidR="00327145">
        <w:rPr>
          <w:rFonts w:cs="Arial"/>
          <w:bCs/>
          <w:snapToGrid w:val="0"/>
        </w:rPr>
        <w:t>nt from other follitropin al</w:t>
      </w:r>
      <w:r w:rsidR="002158BA">
        <w:rPr>
          <w:rFonts w:cs="Arial"/>
          <w:bCs/>
          <w:snapToGrid w:val="0"/>
        </w:rPr>
        <w:t>f</w:t>
      </w:r>
      <w:r w:rsidR="00327145">
        <w:rPr>
          <w:rFonts w:cs="Arial"/>
          <w:bCs/>
          <w:snapToGrid w:val="0"/>
        </w:rPr>
        <w:t>a preparation</w:t>
      </w:r>
      <w:r>
        <w:rPr>
          <w:rFonts w:cs="Arial"/>
          <w:bCs/>
          <w:snapToGrid w:val="0"/>
        </w:rPr>
        <w:t>s</w:t>
      </w:r>
      <w:r w:rsidR="00327145">
        <w:rPr>
          <w:rFonts w:cs="Arial"/>
          <w:bCs/>
          <w:snapToGrid w:val="0"/>
        </w:rPr>
        <w:t xml:space="preserve"> and there are more handling errors with Ovaleap than Gonal-</w:t>
      </w:r>
      <w:r>
        <w:rPr>
          <w:rFonts w:cs="Arial"/>
          <w:bCs/>
          <w:snapToGrid w:val="0"/>
        </w:rPr>
        <w:t>f</w:t>
      </w:r>
      <w:r w:rsidR="00327145">
        <w:rPr>
          <w:rFonts w:cs="Arial"/>
          <w:bCs/>
          <w:snapToGrid w:val="0"/>
        </w:rPr>
        <w:t xml:space="preserve"> (Longobardi et al</w:t>
      </w:r>
      <w:r w:rsidR="00220275">
        <w:rPr>
          <w:rFonts w:cs="Arial"/>
          <w:bCs/>
          <w:snapToGrid w:val="0"/>
        </w:rPr>
        <w:t>.,</w:t>
      </w:r>
      <w:r w:rsidR="00327145">
        <w:rPr>
          <w:rFonts w:cs="Arial"/>
          <w:bCs/>
          <w:snapToGrid w:val="0"/>
        </w:rPr>
        <w:t xml:space="preserve"> 2019)</w:t>
      </w:r>
      <w:r w:rsidR="00F10EE3">
        <w:rPr>
          <w:rFonts w:cs="Arial"/>
          <w:bCs/>
          <w:snapToGrid w:val="0"/>
        </w:rPr>
        <w:t>.</w:t>
      </w:r>
    </w:p>
    <w:p w:rsidR="00327145" w:rsidRPr="00220275" w:rsidRDefault="005E7146" w:rsidP="00327145">
      <w:pPr>
        <w:pStyle w:val="3-BodyText"/>
        <w:numPr>
          <w:ilvl w:val="0"/>
          <w:numId w:val="66"/>
        </w:numPr>
      </w:pPr>
      <w:r w:rsidRPr="00632EF3">
        <w:rPr>
          <w:rFonts w:cs="Arial"/>
          <w:bCs/>
          <w:snapToGrid w:val="0"/>
        </w:rPr>
        <w:t>recent evidence</w:t>
      </w:r>
      <w:r w:rsidR="000663B9" w:rsidRPr="00632EF3">
        <w:rPr>
          <w:rFonts w:cs="Arial"/>
          <w:bCs/>
          <w:snapToGrid w:val="0"/>
        </w:rPr>
        <w:t xml:space="preserve"> from a meta-analysis</w:t>
      </w:r>
      <w:r w:rsidRPr="008F214B">
        <w:rPr>
          <w:rFonts w:cs="Arial"/>
          <w:bCs/>
          <w:snapToGrid w:val="0"/>
        </w:rPr>
        <w:t xml:space="preserve"> </w:t>
      </w:r>
      <w:bookmarkStart w:id="0" w:name="_Hlk78377470"/>
      <w:r w:rsidRPr="008F214B">
        <w:rPr>
          <w:rFonts w:cs="Arial"/>
          <w:bCs/>
          <w:snapToGrid w:val="0"/>
        </w:rPr>
        <w:t>(Chua et al., 2021)</w:t>
      </w:r>
      <w:bookmarkEnd w:id="0"/>
      <w:r w:rsidR="000663B9" w:rsidRPr="00632EF3">
        <w:rPr>
          <w:rFonts w:cs="Arial"/>
          <w:bCs/>
          <w:snapToGrid w:val="0"/>
        </w:rPr>
        <w:t xml:space="preserve"> indicates that rates of live birth are lower with biosimilar preparations versus the reference product Gonal-f</w:t>
      </w:r>
      <w:r w:rsidR="00613C8C" w:rsidRPr="00632EF3">
        <w:rPr>
          <w:rFonts w:cs="Arial"/>
          <w:bCs/>
          <w:snapToGrid w:val="0"/>
        </w:rPr>
        <w:t xml:space="preserve">. </w:t>
      </w:r>
    </w:p>
    <w:p w:rsidR="00B805DA" w:rsidRPr="002034F2" w:rsidRDefault="000F4A8F" w:rsidP="00327145">
      <w:pPr>
        <w:pStyle w:val="3-BodyText"/>
      </w:pPr>
      <w:r w:rsidRPr="002034F2">
        <w:rPr>
          <w:rFonts w:cs="Arial"/>
          <w:bCs/>
          <w:snapToGrid w:val="0"/>
        </w:rPr>
        <w:t>The PBAC noted th</w:t>
      </w:r>
      <w:r w:rsidR="00FE7704" w:rsidRPr="002034F2">
        <w:rPr>
          <w:rFonts w:cs="Arial"/>
          <w:bCs/>
          <w:snapToGrid w:val="0"/>
        </w:rPr>
        <w:t>e evidence from Chua et al. 2021</w:t>
      </w:r>
      <w:r w:rsidRPr="002034F2">
        <w:rPr>
          <w:rFonts w:cs="Arial"/>
          <w:bCs/>
          <w:snapToGrid w:val="0"/>
        </w:rPr>
        <w:t xml:space="preserve"> </w:t>
      </w:r>
      <w:r w:rsidR="00721EE6" w:rsidRPr="002034F2">
        <w:rPr>
          <w:rFonts w:cs="Arial"/>
          <w:bCs/>
          <w:snapToGrid w:val="0"/>
        </w:rPr>
        <w:t>has not been evaluated</w:t>
      </w:r>
      <w:r w:rsidR="00213AD8" w:rsidRPr="002034F2">
        <w:rPr>
          <w:rFonts w:cs="Arial"/>
          <w:bCs/>
          <w:snapToGrid w:val="0"/>
        </w:rPr>
        <w:t>.</w:t>
      </w:r>
    </w:p>
    <w:p w:rsidR="00102AC8" w:rsidRPr="00632EF3" w:rsidRDefault="00102AC8" w:rsidP="00102AC8">
      <w:pPr>
        <w:pStyle w:val="Heading2"/>
      </w:pPr>
      <w:r w:rsidRPr="00632EF3">
        <w:t>Clinical trials</w:t>
      </w:r>
    </w:p>
    <w:p w:rsidR="00102AC8" w:rsidRPr="00632EF3" w:rsidRDefault="00102AC8" w:rsidP="00102AC8">
      <w:pPr>
        <w:pStyle w:val="3-BodyText"/>
      </w:pPr>
      <w:r w:rsidRPr="00632EF3">
        <w:t xml:space="preserve">The submission was based on an international, multi-centre, Phase III, randomised, assessor-blind, comparator controlled, parallel group efficacy and safety study (XM17-05) of </w:t>
      </w:r>
      <w:r w:rsidR="00444187">
        <w:t>Ovaleap (referred to as XM17 in the study)</w:t>
      </w:r>
      <w:r w:rsidR="00444187" w:rsidRPr="00632EF3">
        <w:t xml:space="preserve"> </w:t>
      </w:r>
      <w:r w:rsidRPr="00632EF3">
        <w:t>in comparison to Gonal-f.</w:t>
      </w:r>
    </w:p>
    <w:p w:rsidR="003C4C16" w:rsidRPr="00632EF3" w:rsidRDefault="003C4C16" w:rsidP="003C4C16">
      <w:pPr>
        <w:pStyle w:val="3-BodyText"/>
        <w:rPr>
          <w:rFonts w:ascii="Arial Narrow" w:hAnsi="Arial Narrow" w:cstheme="minorHAnsi"/>
          <w:b/>
          <w:bCs/>
          <w:sz w:val="20"/>
          <w:szCs w:val="20"/>
        </w:rPr>
      </w:pPr>
      <w:r w:rsidRPr="00632EF3">
        <w:t>The clinical trials presented in the submission formed part of the TGA submission to register Ovaleap as a biosimilar to Gonal-f. The TGA Delegate Overview noted that the data presented in TGA submission demonstrated that Ovaleap is similar</w:t>
      </w:r>
      <w:r w:rsidR="002951B7">
        <w:t xml:space="preserve"> </w:t>
      </w:r>
      <w:r w:rsidRPr="00632EF3">
        <w:t>to the Australian reference product, Gonal-f, with comparable pharmacokinetics, efficacy, safety, and immunogenicity.</w:t>
      </w:r>
    </w:p>
    <w:p w:rsidR="005860D8" w:rsidRPr="00632EF3" w:rsidRDefault="003C4C16" w:rsidP="003C4C16">
      <w:pPr>
        <w:pStyle w:val="3-BodyText"/>
      </w:pPr>
      <w:r w:rsidRPr="00632EF3">
        <w:t>As a Category 3 submission, no evaluation of the clinical evidence was undertaken.</w:t>
      </w:r>
    </w:p>
    <w:p w:rsidR="000F4E48" w:rsidRPr="00632EF3" w:rsidRDefault="000F4E48" w:rsidP="000F4E48">
      <w:pPr>
        <w:pStyle w:val="Heading2"/>
      </w:pPr>
      <w:r w:rsidRPr="00632EF3">
        <w:t>Clinical claim</w:t>
      </w:r>
    </w:p>
    <w:p w:rsidR="00A976B0" w:rsidRPr="00632EF3" w:rsidRDefault="000F4E48" w:rsidP="00A976B0">
      <w:pPr>
        <w:widowControl w:val="0"/>
        <w:numPr>
          <w:ilvl w:val="1"/>
          <w:numId w:val="2"/>
        </w:numPr>
        <w:spacing w:after="120"/>
        <w:rPr>
          <w:rFonts w:asciiTheme="minorHAnsi" w:hAnsiTheme="minorHAnsi" w:cs="Arial"/>
          <w:snapToGrid w:val="0"/>
          <w:szCs w:val="20"/>
        </w:rPr>
      </w:pPr>
      <w:r w:rsidRPr="00632EF3">
        <w:t xml:space="preserve">The submission claimed </w:t>
      </w:r>
      <w:r w:rsidR="003F74F8" w:rsidRPr="00632EF3">
        <w:t xml:space="preserve">that </w:t>
      </w:r>
      <w:r w:rsidRPr="00632EF3">
        <w:t xml:space="preserve">Ovaleap </w:t>
      </w:r>
      <w:r w:rsidR="003F74F8" w:rsidRPr="00632EF3">
        <w:t>was biosimilar to</w:t>
      </w:r>
      <w:r w:rsidRPr="00632EF3">
        <w:t xml:space="preserve"> Gonal-f.</w:t>
      </w:r>
      <w:r w:rsidR="00A976B0" w:rsidRPr="00632EF3">
        <w:t xml:space="preserve"> </w:t>
      </w:r>
      <w:bookmarkStart w:id="1" w:name="_Hlk76376200"/>
      <w:r w:rsidR="00A976B0" w:rsidRPr="00632EF3">
        <w:rPr>
          <w:rFonts w:asciiTheme="minorHAnsi" w:hAnsiTheme="minorHAnsi" w:cs="Arial"/>
          <w:iCs/>
          <w:snapToGrid w:val="0"/>
          <w:lang w:eastAsia="en-AU"/>
        </w:rPr>
        <w:t>The</w:t>
      </w:r>
      <w:r w:rsidR="00A976B0" w:rsidRPr="00632EF3">
        <w:rPr>
          <w:rFonts w:asciiTheme="minorHAnsi" w:hAnsiTheme="minorHAnsi" w:cs="Arial"/>
          <w:snapToGrid w:val="0"/>
          <w:szCs w:val="20"/>
        </w:rPr>
        <w:t xml:space="preserve"> PBAC considered that the claim of non-inferior comparative effectiveness and safety was reasonably supported by the data.</w:t>
      </w:r>
    </w:p>
    <w:bookmarkEnd w:id="1"/>
    <w:p w:rsidR="000F4E48" w:rsidRPr="00632EF3" w:rsidRDefault="000F4E48" w:rsidP="000F4E48">
      <w:pPr>
        <w:pStyle w:val="Heading2"/>
      </w:pPr>
      <w:r w:rsidRPr="00632EF3">
        <w:t>Economic analysis</w:t>
      </w:r>
    </w:p>
    <w:p w:rsidR="002A4B81" w:rsidRPr="00632EF3" w:rsidRDefault="000F4E48" w:rsidP="002A4B81">
      <w:pPr>
        <w:pStyle w:val="3-BodyText"/>
      </w:pPr>
      <w:r w:rsidRPr="00632EF3">
        <w:t>The submission presented a cost-minimisation analysis of Ovaleap compared with Gonal-f. The equi-effective doses were estimated as 1.0 I</w:t>
      </w:r>
      <w:r w:rsidR="00220275">
        <w:t>.</w:t>
      </w:r>
      <w:r w:rsidRPr="00632EF3">
        <w:t>U</w:t>
      </w:r>
      <w:r w:rsidR="00220275">
        <w:t>.</w:t>
      </w:r>
      <w:r w:rsidRPr="00632EF3">
        <w:t xml:space="preserve"> follitropin alfa (Ovaleap) and 1.0 I</w:t>
      </w:r>
      <w:r w:rsidR="00220275">
        <w:t>.</w:t>
      </w:r>
      <w:r w:rsidRPr="00632EF3">
        <w:t>U</w:t>
      </w:r>
      <w:r w:rsidR="00220275">
        <w:t>.</w:t>
      </w:r>
      <w:r w:rsidRPr="00632EF3">
        <w:t xml:space="preserve"> follitropin alfa (Gonal-f), and by extension (as the PBAC recommended 1.0 I</w:t>
      </w:r>
      <w:r w:rsidR="00220275">
        <w:t>.</w:t>
      </w:r>
      <w:r w:rsidRPr="00632EF3">
        <w:t>U</w:t>
      </w:r>
      <w:r w:rsidR="00220275">
        <w:t>.</w:t>
      </w:r>
      <w:r w:rsidRPr="00632EF3">
        <w:t xml:space="preserve"> Bemfola and 1.0 I</w:t>
      </w:r>
      <w:r w:rsidR="00220275">
        <w:t>.</w:t>
      </w:r>
      <w:r w:rsidRPr="00632EF3">
        <w:t>U</w:t>
      </w:r>
      <w:r w:rsidR="00220275">
        <w:t>.</w:t>
      </w:r>
      <w:r w:rsidRPr="00632EF3">
        <w:t xml:space="preserve"> Gonal-f</w:t>
      </w:r>
      <w:r w:rsidR="00C07A41" w:rsidRPr="00632EF3">
        <w:t xml:space="preserve"> to be</w:t>
      </w:r>
      <w:r w:rsidRPr="00632EF3">
        <w:t xml:space="preserve"> equi-effective), 1.0 I</w:t>
      </w:r>
      <w:r w:rsidR="00220275">
        <w:t>.</w:t>
      </w:r>
      <w:r w:rsidRPr="00632EF3">
        <w:t>U</w:t>
      </w:r>
      <w:r w:rsidR="00220275">
        <w:t>.</w:t>
      </w:r>
      <w:r w:rsidRPr="00632EF3">
        <w:t xml:space="preserve"> follitropin alfa (Ovaleap) and 1.0 I</w:t>
      </w:r>
      <w:r w:rsidR="00220275">
        <w:t>.</w:t>
      </w:r>
      <w:r w:rsidRPr="00632EF3">
        <w:t>U</w:t>
      </w:r>
      <w:r w:rsidR="00220275">
        <w:t>.</w:t>
      </w:r>
      <w:r w:rsidRPr="00632EF3">
        <w:t xml:space="preserve"> follitropin alfa (Bemfola). </w:t>
      </w:r>
    </w:p>
    <w:p w:rsidR="002A4B81" w:rsidRPr="00632EF3" w:rsidRDefault="002A4B81" w:rsidP="002A4B81">
      <w:pPr>
        <w:pStyle w:val="3-BodyText"/>
      </w:pPr>
      <w:r w:rsidRPr="00632EF3">
        <w:t xml:space="preserve">As a Category 3 submission, the economic analysis </w:t>
      </w:r>
      <w:r w:rsidR="00BB0EA3" w:rsidRPr="00632EF3">
        <w:t xml:space="preserve">was </w:t>
      </w:r>
      <w:r w:rsidRPr="00632EF3">
        <w:t>not independently evaluated.</w:t>
      </w:r>
    </w:p>
    <w:p w:rsidR="000F4E48" w:rsidRPr="00632EF3" w:rsidRDefault="00631790" w:rsidP="00631790">
      <w:pPr>
        <w:pStyle w:val="3-BodyText"/>
      </w:pPr>
      <w:r w:rsidRPr="00632EF3">
        <w:t>The submission presented the following key assumptions</w:t>
      </w:r>
      <w:r w:rsidR="00F50007" w:rsidRPr="00632EF3">
        <w:t xml:space="preserve"> (Table 1)</w:t>
      </w:r>
      <w:r w:rsidRPr="00632EF3">
        <w:t xml:space="preserve"> for the cost-minimisation:</w:t>
      </w:r>
    </w:p>
    <w:p w:rsidR="00631790" w:rsidRPr="00632EF3" w:rsidRDefault="00631790" w:rsidP="00631790">
      <w:pPr>
        <w:pStyle w:val="TableFigureHeading"/>
      </w:pPr>
      <w:r w:rsidRPr="00632EF3">
        <w:t>Table 1: Key assumptions and components of the cost-minimisation approach</w:t>
      </w:r>
    </w:p>
    <w:tbl>
      <w:tblPr>
        <w:tblStyle w:val="Submissionstandard"/>
        <w:tblW w:w="0" w:type="auto"/>
        <w:tblLook w:val="04A0" w:firstRow="1" w:lastRow="0" w:firstColumn="1" w:lastColumn="0" w:noHBand="0" w:noVBand="1"/>
        <w:tblCaption w:val="Table 1: Key assumptions and components of the cost-minimisation approach"/>
      </w:tblPr>
      <w:tblGrid>
        <w:gridCol w:w="3022"/>
        <w:gridCol w:w="5994"/>
      </w:tblGrid>
      <w:tr w:rsidR="00631790" w:rsidRPr="00632EF3" w:rsidTr="00AF1922">
        <w:trPr>
          <w:cnfStyle w:val="100000000000" w:firstRow="1" w:lastRow="0" w:firstColumn="0" w:lastColumn="0" w:oddVBand="0" w:evenVBand="0" w:oddHBand="0" w:evenHBand="0" w:firstRowFirstColumn="0" w:firstRowLastColumn="0" w:lastRowFirstColumn="0" w:lastRowLastColumn="0"/>
          <w:tblHeader/>
        </w:trPr>
        <w:tc>
          <w:tcPr>
            <w:tcW w:w="3085" w:type="dxa"/>
            <w:shd w:val="clear" w:color="auto" w:fill="auto"/>
          </w:tcPr>
          <w:p w:rsidR="00631790" w:rsidRPr="00632EF3" w:rsidRDefault="00631790" w:rsidP="00631790">
            <w:pPr>
              <w:pStyle w:val="In-tableHeading"/>
              <w:rPr>
                <w:b/>
                <w:lang w:val="en-AU"/>
              </w:rPr>
            </w:pPr>
            <w:r w:rsidRPr="00632EF3">
              <w:rPr>
                <w:lang w:val="en-AU"/>
              </w:rPr>
              <w:t>Component</w:t>
            </w:r>
          </w:p>
        </w:tc>
        <w:tc>
          <w:tcPr>
            <w:tcW w:w="6157" w:type="dxa"/>
            <w:shd w:val="clear" w:color="auto" w:fill="auto"/>
          </w:tcPr>
          <w:p w:rsidR="00631790" w:rsidRPr="00632EF3" w:rsidRDefault="00631790" w:rsidP="00631790">
            <w:pPr>
              <w:pStyle w:val="In-tableHeading"/>
              <w:rPr>
                <w:b/>
                <w:lang w:val="en-AU"/>
              </w:rPr>
            </w:pPr>
            <w:r w:rsidRPr="00632EF3">
              <w:rPr>
                <w:lang w:val="en-AU"/>
              </w:rPr>
              <w:t>Claim or assumption</w:t>
            </w:r>
          </w:p>
        </w:tc>
      </w:tr>
      <w:tr w:rsidR="00631790" w:rsidRPr="00632EF3" w:rsidTr="00CC327A">
        <w:tc>
          <w:tcPr>
            <w:tcW w:w="3085" w:type="dxa"/>
          </w:tcPr>
          <w:p w:rsidR="00631790" w:rsidRPr="00632EF3" w:rsidRDefault="00631790" w:rsidP="00631790">
            <w:pPr>
              <w:pStyle w:val="TableText"/>
              <w:rPr>
                <w:lang w:val="en-AU"/>
              </w:rPr>
            </w:pPr>
            <w:r w:rsidRPr="00632EF3">
              <w:t>Therapeutic claim: effectiveness</w:t>
            </w:r>
          </w:p>
        </w:tc>
        <w:tc>
          <w:tcPr>
            <w:tcW w:w="6157" w:type="dxa"/>
          </w:tcPr>
          <w:p w:rsidR="00631790" w:rsidRPr="00632EF3" w:rsidRDefault="00631790" w:rsidP="00631790">
            <w:pPr>
              <w:pStyle w:val="TableText"/>
              <w:rPr>
                <w:lang w:val="en-AU"/>
              </w:rPr>
            </w:pPr>
            <w:r w:rsidRPr="00632EF3">
              <w:t>Based on evidence presented in Section 2</w:t>
            </w:r>
            <w:r w:rsidR="00C07A41" w:rsidRPr="00632EF3">
              <w:t xml:space="preserve"> of the submission</w:t>
            </w:r>
            <w:r w:rsidRPr="00632EF3">
              <w:t>, effectiveness is assumed to be non</w:t>
            </w:r>
            <w:r w:rsidR="00EE6D1D" w:rsidRPr="00632EF3">
              <w:t>-</w:t>
            </w:r>
            <w:r w:rsidRPr="00632EF3">
              <w:t>inferior to Gonal-f</w:t>
            </w:r>
          </w:p>
        </w:tc>
      </w:tr>
      <w:tr w:rsidR="00631790" w:rsidRPr="00632EF3" w:rsidTr="00CC327A">
        <w:tc>
          <w:tcPr>
            <w:tcW w:w="3085" w:type="dxa"/>
          </w:tcPr>
          <w:p w:rsidR="00631790" w:rsidRPr="00632EF3" w:rsidRDefault="00631790" w:rsidP="00631790">
            <w:pPr>
              <w:pStyle w:val="TableText"/>
              <w:rPr>
                <w:lang w:val="en-AU"/>
              </w:rPr>
            </w:pPr>
            <w:r w:rsidRPr="00632EF3">
              <w:t>Therapeutic claim: safety</w:t>
            </w:r>
          </w:p>
        </w:tc>
        <w:tc>
          <w:tcPr>
            <w:tcW w:w="6157" w:type="dxa"/>
          </w:tcPr>
          <w:p w:rsidR="00631790" w:rsidRPr="00632EF3" w:rsidRDefault="00631790" w:rsidP="00631790">
            <w:pPr>
              <w:pStyle w:val="TableText"/>
              <w:rPr>
                <w:lang w:val="en-AU"/>
              </w:rPr>
            </w:pPr>
            <w:r w:rsidRPr="00632EF3">
              <w:t>Based on evidence presented in Section 2</w:t>
            </w:r>
            <w:r w:rsidR="00C07A41" w:rsidRPr="00632EF3">
              <w:t xml:space="preserve"> of the submission</w:t>
            </w:r>
            <w:r w:rsidRPr="00632EF3">
              <w:t>, safety is assumed to be non</w:t>
            </w:r>
            <w:r w:rsidR="00EE6D1D" w:rsidRPr="00632EF3">
              <w:t>-</w:t>
            </w:r>
            <w:r w:rsidRPr="00632EF3">
              <w:t>inferior to Gonal-f</w:t>
            </w:r>
          </w:p>
        </w:tc>
      </w:tr>
      <w:tr w:rsidR="00631790" w:rsidRPr="00632EF3" w:rsidTr="00CC327A">
        <w:tc>
          <w:tcPr>
            <w:tcW w:w="3085" w:type="dxa"/>
          </w:tcPr>
          <w:p w:rsidR="00631790" w:rsidRPr="00632EF3" w:rsidRDefault="00631790" w:rsidP="00631790">
            <w:pPr>
              <w:pStyle w:val="TableText"/>
              <w:rPr>
                <w:lang w:val="en-AU"/>
              </w:rPr>
            </w:pPr>
            <w:r w:rsidRPr="00632EF3">
              <w:t>Evidence base</w:t>
            </w:r>
          </w:p>
        </w:tc>
        <w:tc>
          <w:tcPr>
            <w:tcW w:w="6157" w:type="dxa"/>
          </w:tcPr>
          <w:p w:rsidR="00631790" w:rsidRPr="00632EF3" w:rsidRDefault="00631790" w:rsidP="00BF6355">
            <w:pPr>
              <w:pStyle w:val="TableText"/>
              <w:rPr>
                <w:lang w:val="en-AU"/>
              </w:rPr>
            </w:pPr>
            <w:r w:rsidRPr="00632EF3">
              <w:t xml:space="preserve">One pivotal direct </w:t>
            </w:r>
            <w:r w:rsidR="00BF6355" w:rsidRPr="00632EF3">
              <w:t>a</w:t>
            </w:r>
            <w:r w:rsidRPr="00632EF3">
              <w:t xml:space="preserve"> trial (</w:t>
            </w:r>
            <w:bookmarkStart w:id="2" w:name="OLE_LINK1"/>
            <w:r w:rsidRPr="00632EF3">
              <w:t>Study XM17-05</w:t>
            </w:r>
            <w:bookmarkEnd w:id="2"/>
            <w:r w:rsidRPr="00632EF3">
              <w:t>)</w:t>
            </w:r>
          </w:p>
        </w:tc>
      </w:tr>
      <w:tr w:rsidR="00631790" w:rsidRPr="00632EF3" w:rsidTr="00CC327A">
        <w:tc>
          <w:tcPr>
            <w:tcW w:w="3085" w:type="dxa"/>
          </w:tcPr>
          <w:p w:rsidR="00631790" w:rsidRPr="00632EF3" w:rsidRDefault="00631790" w:rsidP="00631790">
            <w:pPr>
              <w:pStyle w:val="TableText"/>
              <w:rPr>
                <w:lang w:val="en-AU"/>
              </w:rPr>
            </w:pPr>
            <w:r w:rsidRPr="00632EF3">
              <w:t>Equi-effective doses</w:t>
            </w:r>
          </w:p>
        </w:tc>
        <w:tc>
          <w:tcPr>
            <w:tcW w:w="6157" w:type="dxa"/>
          </w:tcPr>
          <w:p w:rsidR="00631790" w:rsidRPr="00632EF3" w:rsidRDefault="00631790" w:rsidP="00631790">
            <w:pPr>
              <w:pStyle w:val="TableText"/>
              <w:rPr>
                <w:lang w:val="en-AU"/>
              </w:rPr>
            </w:pPr>
            <w:r w:rsidRPr="00632EF3">
              <w:t>Ovaleap 300 I</w:t>
            </w:r>
            <w:r w:rsidR="00220275">
              <w:t>.</w:t>
            </w:r>
            <w:r w:rsidRPr="00632EF3">
              <w:t>U</w:t>
            </w:r>
            <w:r w:rsidR="00220275">
              <w:t>.</w:t>
            </w:r>
            <w:r w:rsidRPr="00632EF3">
              <w:t xml:space="preserve"> = Gonal-f 300 I</w:t>
            </w:r>
            <w:r w:rsidR="00220275">
              <w:t>.</w:t>
            </w:r>
            <w:r w:rsidRPr="00632EF3">
              <w:t>U</w:t>
            </w:r>
            <w:r w:rsidR="00220275">
              <w:t>.</w:t>
            </w:r>
          </w:p>
          <w:p w:rsidR="00631790" w:rsidRPr="00632EF3" w:rsidRDefault="00631790" w:rsidP="00631790">
            <w:pPr>
              <w:pStyle w:val="TableText"/>
              <w:rPr>
                <w:lang w:val="en-AU"/>
              </w:rPr>
            </w:pPr>
            <w:r w:rsidRPr="00632EF3">
              <w:t>Ovaleap 450 I</w:t>
            </w:r>
            <w:r w:rsidR="00220275">
              <w:t>.</w:t>
            </w:r>
            <w:r w:rsidRPr="00632EF3">
              <w:t>U</w:t>
            </w:r>
            <w:r w:rsidR="00220275">
              <w:t>.</w:t>
            </w:r>
            <w:r w:rsidRPr="00632EF3">
              <w:t xml:space="preserve"> = Gonal-f 450 I</w:t>
            </w:r>
            <w:r w:rsidR="00220275">
              <w:t>.</w:t>
            </w:r>
            <w:r w:rsidRPr="00632EF3">
              <w:t>U</w:t>
            </w:r>
            <w:r w:rsidR="00220275">
              <w:t>.</w:t>
            </w:r>
          </w:p>
          <w:p w:rsidR="00631790" w:rsidRPr="00632EF3" w:rsidRDefault="00631790" w:rsidP="00631790">
            <w:pPr>
              <w:pStyle w:val="TableText"/>
              <w:rPr>
                <w:lang w:val="en-AU"/>
              </w:rPr>
            </w:pPr>
            <w:r w:rsidRPr="00632EF3">
              <w:t>Ovaleap 900 I</w:t>
            </w:r>
            <w:r w:rsidR="00220275">
              <w:t>.</w:t>
            </w:r>
            <w:r w:rsidRPr="00632EF3">
              <w:t>U</w:t>
            </w:r>
            <w:r w:rsidR="00220275">
              <w:t>.</w:t>
            </w:r>
            <w:r w:rsidRPr="00632EF3">
              <w:t xml:space="preserve"> = Gonal-f 900 I</w:t>
            </w:r>
            <w:r w:rsidR="00220275">
              <w:t>.</w:t>
            </w:r>
            <w:r w:rsidRPr="00632EF3">
              <w:t>U</w:t>
            </w:r>
            <w:r w:rsidR="00220275">
              <w:t>.</w:t>
            </w:r>
          </w:p>
        </w:tc>
      </w:tr>
      <w:tr w:rsidR="00631790" w:rsidRPr="00632EF3" w:rsidTr="00CC327A">
        <w:tc>
          <w:tcPr>
            <w:tcW w:w="3085" w:type="dxa"/>
          </w:tcPr>
          <w:p w:rsidR="00631790" w:rsidRPr="00632EF3" w:rsidRDefault="00631790" w:rsidP="00631790">
            <w:pPr>
              <w:pStyle w:val="TableText"/>
              <w:rPr>
                <w:lang w:val="en-AU"/>
              </w:rPr>
            </w:pPr>
            <w:r w:rsidRPr="00632EF3">
              <w:t>Direct medicine costs</w:t>
            </w:r>
          </w:p>
        </w:tc>
        <w:tc>
          <w:tcPr>
            <w:tcW w:w="6157" w:type="dxa"/>
          </w:tcPr>
          <w:p w:rsidR="00631790" w:rsidRPr="00632EF3" w:rsidRDefault="00631790" w:rsidP="00C07A41">
            <w:pPr>
              <w:pStyle w:val="TableText"/>
              <w:rPr>
                <w:lang w:val="en-AU"/>
              </w:rPr>
            </w:pPr>
            <w:r w:rsidRPr="00632EF3">
              <w:t xml:space="preserve">Identical on an </w:t>
            </w:r>
            <w:r w:rsidR="00BF6355" w:rsidRPr="00632EF3">
              <w:t>I</w:t>
            </w:r>
            <w:r w:rsidR="00220275">
              <w:t>.</w:t>
            </w:r>
            <w:r w:rsidR="00BF6355" w:rsidRPr="00632EF3">
              <w:t>U</w:t>
            </w:r>
            <w:r w:rsidR="00220275">
              <w:t>.</w:t>
            </w:r>
            <w:r w:rsidR="00BF6355" w:rsidRPr="00632EF3">
              <w:t>-to-I</w:t>
            </w:r>
            <w:r w:rsidR="00220275">
              <w:t>.</w:t>
            </w:r>
            <w:r w:rsidR="00BF6355" w:rsidRPr="00632EF3">
              <w:t>U</w:t>
            </w:r>
            <w:r w:rsidR="00220275">
              <w:t>.</w:t>
            </w:r>
            <w:r w:rsidRPr="00632EF3">
              <w:t xml:space="preserve"> basis. </w:t>
            </w:r>
          </w:p>
        </w:tc>
      </w:tr>
      <w:tr w:rsidR="00631790" w:rsidRPr="00632EF3" w:rsidTr="00CC327A">
        <w:tc>
          <w:tcPr>
            <w:tcW w:w="3085" w:type="dxa"/>
          </w:tcPr>
          <w:p w:rsidR="00631790" w:rsidRPr="00632EF3" w:rsidRDefault="00631790" w:rsidP="00631790">
            <w:pPr>
              <w:pStyle w:val="TableText"/>
              <w:rPr>
                <w:lang w:val="en-AU"/>
              </w:rPr>
            </w:pPr>
            <w:r w:rsidRPr="00632EF3">
              <w:t>Other costs or cost offsets</w:t>
            </w:r>
          </w:p>
        </w:tc>
        <w:tc>
          <w:tcPr>
            <w:tcW w:w="6157" w:type="dxa"/>
          </w:tcPr>
          <w:p w:rsidR="00631790" w:rsidRPr="00632EF3" w:rsidRDefault="00631790" w:rsidP="00631790">
            <w:pPr>
              <w:pStyle w:val="TableText"/>
              <w:rPr>
                <w:lang w:val="en-AU"/>
              </w:rPr>
            </w:pPr>
            <w:r w:rsidRPr="00632EF3">
              <w:t>None</w:t>
            </w:r>
          </w:p>
        </w:tc>
      </w:tr>
    </w:tbl>
    <w:p w:rsidR="00631790" w:rsidRPr="00632EF3" w:rsidRDefault="00631790" w:rsidP="00631790">
      <w:pPr>
        <w:pStyle w:val="TableFigureFooter"/>
      </w:pPr>
      <w:r w:rsidRPr="00632EF3">
        <w:t>Source: Table 3-1 of the submission</w:t>
      </w:r>
    </w:p>
    <w:p w:rsidR="00631790" w:rsidRPr="00632EF3" w:rsidRDefault="00030FBD" w:rsidP="00030FBD">
      <w:pPr>
        <w:pStyle w:val="Heading2"/>
      </w:pPr>
      <w:r w:rsidRPr="00632EF3">
        <w:t>Drug cost/patient/</w:t>
      </w:r>
      <w:r w:rsidR="004A6783" w:rsidRPr="00632EF3">
        <w:t>cycle</w:t>
      </w:r>
      <w:r w:rsidRPr="00632EF3">
        <w:t>: $</w:t>
      </w:r>
      <w:r w:rsidR="0009706C" w:rsidRPr="00632EF3">
        <w:t>688.90</w:t>
      </w:r>
    </w:p>
    <w:p w:rsidR="00524E96" w:rsidRPr="00632EF3" w:rsidRDefault="00C14166" w:rsidP="00CC327A">
      <w:pPr>
        <w:pStyle w:val="3-BodyText"/>
      </w:pPr>
      <w:r w:rsidRPr="00632EF3">
        <w:t xml:space="preserve">While </w:t>
      </w:r>
      <w:r w:rsidR="00524E96" w:rsidRPr="00632EF3">
        <w:t>the average dose of Ovaleap varies significantly for individual patients</w:t>
      </w:r>
      <w:r w:rsidRPr="00632EF3">
        <w:t>, using the average dose from the XM17-05 study (1,535.8 I</w:t>
      </w:r>
      <w:r w:rsidR="00220275">
        <w:t>.</w:t>
      </w:r>
      <w:r w:rsidRPr="00632EF3">
        <w:t>U</w:t>
      </w:r>
      <w:r w:rsidR="00220275">
        <w:t>.</w:t>
      </w:r>
      <w:r w:rsidRPr="00632EF3">
        <w:t>),</w:t>
      </w:r>
      <w:r w:rsidR="00062A12" w:rsidRPr="00632EF3">
        <w:t xml:space="preserve"> the cost for</w:t>
      </w:r>
      <w:r w:rsidRPr="00632EF3">
        <w:t xml:space="preserve"> a </w:t>
      </w:r>
      <w:r w:rsidRPr="00632EF3" w:rsidDel="00C14166">
        <w:t xml:space="preserve"> </w:t>
      </w:r>
      <w:r w:rsidR="004A6783" w:rsidRPr="00632EF3">
        <w:t>patient undergoing ART</w:t>
      </w:r>
      <w:r w:rsidR="00062A12" w:rsidRPr="00632EF3">
        <w:t xml:space="preserve"> per </w:t>
      </w:r>
      <w:r w:rsidR="004A6783" w:rsidRPr="00632EF3">
        <w:t>cycle (</w:t>
      </w:r>
      <w:r w:rsidR="009177B9" w:rsidRPr="00632EF3">
        <w:t>including</w:t>
      </w:r>
      <w:r w:rsidR="004A6783" w:rsidRPr="00632EF3">
        <w:t xml:space="preserve"> wastage)</w:t>
      </w:r>
      <w:r w:rsidR="009177B9" w:rsidRPr="00632EF3">
        <w:t xml:space="preserve"> is </w:t>
      </w:r>
      <w:r w:rsidR="0009706C" w:rsidRPr="00632EF3">
        <w:t xml:space="preserve">$704.40, </w:t>
      </w:r>
      <w:r w:rsidR="009177B9" w:rsidRPr="00632EF3">
        <w:t xml:space="preserve">$696.64 and </w:t>
      </w:r>
      <w:r w:rsidR="0009706C" w:rsidRPr="00632EF3">
        <w:t>$688.90 with</w:t>
      </w:r>
      <w:r w:rsidR="009177B9" w:rsidRPr="00632EF3">
        <w:t xml:space="preserve"> the 300 I</w:t>
      </w:r>
      <w:r w:rsidR="00220275">
        <w:t>.</w:t>
      </w:r>
      <w:r w:rsidR="009177B9" w:rsidRPr="00632EF3">
        <w:t>U</w:t>
      </w:r>
      <w:r w:rsidR="00220275">
        <w:t>.</w:t>
      </w:r>
      <w:r w:rsidR="009177B9" w:rsidRPr="00632EF3">
        <w:t>, 450 I</w:t>
      </w:r>
      <w:r w:rsidR="00220275">
        <w:t>.</w:t>
      </w:r>
      <w:r w:rsidR="009177B9" w:rsidRPr="00632EF3">
        <w:t>U</w:t>
      </w:r>
      <w:r w:rsidR="00220275">
        <w:t>.</w:t>
      </w:r>
      <w:r w:rsidR="009177B9" w:rsidRPr="00632EF3">
        <w:t xml:space="preserve"> and 900 I</w:t>
      </w:r>
      <w:r w:rsidR="00220275">
        <w:t>.</w:t>
      </w:r>
      <w:r w:rsidR="009177B9" w:rsidRPr="00632EF3">
        <w:t>U</w:t>
      </w:r>
      <w:r w:rsidR="00220275">
        <w:t>.</w:t>
      </w:r>
      <w:r w:rsidR="009177B9" w:rsidRPr="00632EF3">
        <w:t xml:space="preserve"> cartridge respectively</w:t>
      </w:r>
      <w:r w:rsidR="004A6783" w:rsidRPr="00632EF3">
        <w:t>.</w:t>
      </w:r>
      <w:r w:rsidR="001E2375" w:rsidRPr="00632EF3">
        <w:t xml:space="preserve"> The submission did not provide any information on the average cost/dose/patient/</w:t>
      </w:r>
      <w:r w:rsidR="00F50007" w:rsidRPr="00632EF3">
        <w:t>cycle</w:t>
      </w:r>
      <w:r w:rsidR="001E2375" w:rsidRPr="00632EF3">
        <w:t xml:space="preserve"> for anovulatory infertility and hypogonadotrophic hypogonadism.</w:t>
      </w:r>
    </w:p>
    <w:p w:rsidR="007F3EC7" w:rsidRPr="00632EF3" w:rsidRDefault="00FA54C7" w:rsidP="00FA54C7">
      <w:pPr>
        <w:pStyle w:val="Heading2"/>
      </w:pPr>
      <w:r w:rsidRPr="00632EF3">
        <w:t>Estimated PBS utilisation and financial implications</w:t>
      </w:r>
    </w:p>
    <w:p w:rsidR="002A4B81" w:rsidRPr="00632EF3" w:rsidRDefault="002A4B81" w:rsidP="001803F5">
      <w:pPr>
        <w:pStyle w:val="3-BodyText"/>
      </w:pPr>
      <w:r w:rsidRPr="00632EF3">
        <w:t xml:space="preserve">The submission used Gonal-f as a price comparator. The proposed price was based on an </w:t>
      </w:r>
      <w:r w:rsidR="00BF6355" w:rsidRPr="00632EF3">
        <w:t>I</w:t>
      </w:r>
      <w:r w:rsidR="00220275">
        <w:t>.</w:t>
      </w:r>
      <w:r w:rsidR="00BF6355" w:rsidRPr="00632EF3">
        <w:t>U</w:t>
      </w:r>
      <w:r w:rsidR="00220275">
        <w:t>.</w:t>
      </w:r>
      <w:r w:rsidR="00BF6355" w:rsidRPr="00632EF3">
        <w:t>-to-I</w:t>
      </w:r>
      <w:r w:rsidR="00220275">
        <w:t>.</w:t>
      </w:r>
      <w:r w:rsidR="00BF6355" w:rsidRPr="00632EF3">
        <w:t>U</w:t>
      </w:r>
      <w:r w:rsidR="00220275">
        <w:t>.</w:t>
      </w:r>
      <w:r w:rsidRPr="00632EF3">
        <w:t xml:space="preserve"> basis at the ex-manufacturer level. </w:t>
      </w:r>
    </w:p>
    <w:p w:rsidR="00BA0BD2" w:rsidRPr="008F214B" w:rsidRDefault="001803F5" w:rsidP="00BA0BD2">
      <w:pPr>
        <w:pStyle w:val="3-BodyText"/>
      </w:pPr>
      <w:r w:rsidRPr="00632EF3">
        <w:t xml:space="preserve">The submission </w:t>
      </w:r>
      <w:r w:rsidR="0084470C" w:rsidRPr="00632EF3">
        <w:t>used a market share approach to estimate the net financial impa</w:t>
      </w:r>
      <w:r w:rsidR="00632EF3">
        <w:t>c</w:t>
      </w:r>
      <w:r w:rsidR="0084470C" w:rsidRPr="00632EF3">
        <w:t>t</w:t>
      </w:r>
      <w:r w:rsidR="006E6758" w:rsidRPr="00632EF3">
        <w:t>.</w:t>
      </w:r>
      <w:r w:rsidR="008F1753" w:rsidRPr="00632EF3">
        <w:t xml:space="preserve"> </w:t>
      </w:r>
      <w:r w:rsidR="00BA0BD2" w:rsidRPr="00632EF3">
        <w:t>The submission claimed that the listing of Ovaleap is not expected to grow the market. As such, the submission assumed no additional cost to the Medical Benefits Scheme (MBS).</w:t>
      </w:r>
    </w:p>
    <w:p w:rsidR="00CE6F49" w:rsidRPr="00632EF3" w:rsidRDefault="006E6758" w:rsidP="006E6758">
      <w:pPr>
        <w:pStyle w:val="3-BodyText"/>
      </w:pPr>
      <w:r w:rsidRPr="00632EF3">
        <w:t xml:space="preserve">The submission stated that, in practice, Ovaleap is expected to substitute Gonal-f and Bemfola. The submission stated that the proposed prices and course of treatment with Ovaleap </w:t>
      </w:r>
      <w:r w:rsidR="00BB0EA3" w:rsidRPr="00632EF3">
        <w:t xml:space="preserve">are </w:t>
      </w:r>
      <w:r w:rsidRPr="00632EF3">
        <w:t xml:space="preserve">identical to Gonal-f and that any substitution by Ovaleap will be cost-neutral. </w:t>
      </w:r>
      <w:r w:rsidR="002531F4" w:rsidRPr="00632EF3">
        <w:t xml:space="preserve">On this basis, the </w:t>
      </w:r>
      <w:r w:rsidR="00134FFE" w:rsidRPr="00632EF3">
        <w:t xml:space="preserve">rate of </w:t>
      </w:r>
      <w:r w:rsidR="00062A12" w:rsidRPr="00632EF3">
        <w:t>substitution of</w:t>
      </w:r>
      <w:r w:rsidR="002531F4" w:rsidRPr="00632EF3">
        <w:t xml:space="preserve"> Bemfola with Ovaleap would </w:t>
      </w:r>
      <w:r w:rsidR="00134FFE" w:rsidRPr="00632EF3">
        <w:t xml:space="preserve">likely </w:t>
      </w:r>
      <w:r w:rsidR="002531F4" w:rsidRPr="00632EF3">
        <w:t xml:space="preserve">be </w:t>
      </w:r>
      <w:r w:rsidR="00062A12" w:rsidRPr="00632EF3">
        <w:t>similar</w:t>
      </w:r>
      <w:r w:rsidR="002531F4" w:rsidRPr="00632EF3">
        <w:t xml:space="preserve"> </w:t>
      </w:r>
      <w:r w:rsidR="00134FFE" w:rsidRPr="00632EF3">
        <w:t>to</w:t>
      </w:r>
      <w:r w:rsidR="002531F4" w:rsidRPr="00632EF3">
        <w:t xml:space="preserve"> that </w:t>
      </w:r>
      <w:r w:rsidR="00134FFE" w:rsidRPr="00632EF3">
        <w:t>for</w:t>
      </w:r>
      <w:r w:rsidR="002531F4" w:rsidRPr="00632EF3">
        <w:t xml:space="preserve"> substitut</w:t>
      </w:r>
      <w:r w:rsidR="00134FFE" w:rsidRPr="00632EF3">
        <w:t xml:space="preserve">ion of Bemfola </w:t>
      </w:r>
      <w:r w:rsidR="002531F4" w:rsidRPr="00632EF3">
        <w:t>with Gonal-f.</w:t>
      </w:r>
    </w:p>
    <w:p w:rsidR="006E6758" w:rsidRPr="00632EF3" w:rsidRDefault="006E6758" w:rsidP="006E6758">
      <w:pPr>
        <w:pStyle w:val="3-BodyText"/>
      </w:pPr>
      <w:r w:rsidRPr="00632EF3">
        <w:t>The submission claim</w:t>
      </w:r>
      <w:r w:rsidR="00134FFE" w:rsidRPr="00632EF3">
        <w:t>ed</w:t>
      </w:r>
      <w:r w:rsidRPr="00632EF3">
        <w:t xml:space="preserve"> a saving to</w:t>
      </w:r>
      <w:r w:rsidR="004E5FF4" w:rsidRPr="00632EF3">
        <w:t xml:space="preserve"> the</w:t>
      </w:r>
      <w:r w:rsidRPr="00632EF3">
        <w:t xml:space="preserve"> PBS </w:t>
      </w:r>
      <w:r w:rsidR="00E17C1F" w:rsidRPr="00632EF3">
        <w:t xml:space="preserve">would </w:t>
      </w:r>
      <w:r w:rsidRPr="00632EF3">
        <w:t>occur when Ovaleap substitutes Bemfola due to</w:t>
      </w:r>
      <w:r w:rsidR="003C4C16" w:rsidRPr="00632EF3">
        <w:t xml:space="preserve"> the</w:t>
      </w:r>
      <w:r w:rsidRPr="00632EF3">
        <w:t xml:space="preserve"> increased co-payments of Ovaleap exceeding the increased supply chain costs. </w:t>
      </w:r>
      <w:r w:rsidR="00A76567" w:rsidRPr="00632EF3">
        <w:t xml:space="preserve">It is unclear whether </w:t>
      </w:r>
      <w:r w:rsidR="00942E85" w:rsidRPr="00632EF3">
        <w:t xml:space="preserve">the increased co-payments associated with </w:t>
      </w:r>
      <w:r w:rsidR="00A76567" w:rsidRPr="00632EF3">
        <w:t>Gonal-f and Ovaleap will affect the substitution of Bemfola. G</w:t>
      </w:r>
      <w:r w:rsidR="002531F4" w:rsidRPr="00632EF3">
        <w:t>iven that Ovaleap is not expected to grow the market,</w:t>
      </w:r>
      <w:r w:rsidR="00942E85" w:rsidRPr="00632EF3">
        <w:t xml:space="preserve"> these</w:t>
      </w:r>
      <w:r w:rsidR="002531F4" w:rsidRPr="00632EF3">
        <w:t xml:space="preserve"> cost savings may not be realised.</w:t>
      </w:r>
      <w:r w:rsidRPr="00632EF3">
        <w:t xml:space="preserve"> </w:t>
      </w:r>
    </w:p>
    <w:p w:rsidR="006E6758" w:rsidRPr="00632EF3" w:rsidRDefault="00942E85" w:rsidP="001803F5">
      <w:pPr>
        <w:pStyle w:val="3-BodyText"/>
      </w:pPr>
      <w:r w:rsidRPr="00632EF3">
        <w:t>The submission did not comment on the impact of different wastage and broken pack fees between Ovaleap, Gonal-f and Bemfola. Given the variability betwe</w:t>
      </w:r>
      <w:r w:rsidR="00BF6355" w:rsidRPr="00632EF3">
        <w:t>en individual patient</w:t>
      </w:r>
      <w:r w:rsidR="0050333F" w:rsidRPr="00632EF3">
        <w:t>’s</w:t>
      </w:r>
      <w:r w:rsidR="00BF6355" w:rsidRPr="00632EF3">
        <w:t xml:space="preserve"> dosing, it</w:t>
      </w:r>
      <w:r w:rsidRPr="00632EF3">
        <w:t xml:space="preserve"> was difficult to determine the impact</w:t>
      </w:r>
      <w:r w:rsidR="00C14166" w:rsidRPr="00632EF3">
        <w:t>.</w:t>
      </w:r>
    </w:p>
    <w:p w:rsidR="00FA54C7" w:rsidRPr="00632EF3" w:rsidRDefault="001822A8" w:rsidP="00456D7E">
      <w:pPr>
        <w:pStyle w:val="3-BodyText"/>
      </w:pPr>
      <w:r w:rsidRPr="00632EF3">
        <w:t xml:space="preserve">The submission estimated that </w:t>
      </w:r>
      <w:r w:rsidR="00456D7E" w:rsidRPr="00456D7E">
        <w:t>60,000 to &lt; 70,000</w:t>
      </w:r>
      <w:r w:rsidR="00FA54C7" w:rsidRPr="00632EF3">
        <w:t xml:space="preserve"> </w:t>
      </w:r>
      <w:r w:rsidR="0084470C" w:rsidRPr="00632EF3">
        <w:t xml:space="preserve">Ovaleap </w:t>
      </w:r>
      <w:r w:rsidR="001803F5" w:rsidRPr="00632EF3">
        <w:t>scripts</w:t>
      </w:r>
      <w:r w:rsidR="00FA54C7" w:rsidRPr="00632EF3">
        <w:t xml:space="preserve"> </w:t>
      </w:r>
      <w:r w:rsidRPr="00632EF3">
        <w:t>would</w:t>
      </w:r>
      <w:r w:rsidR="00FA54C7" w:rsidRPr="00632EF3">
        <w:t xml:space="preserve"> be supplied </w:t>
      </w:r>
      <w:r w:rsidR="0084470C" w:rsidRPr="00632EF3">
        <w:t>o</w:t>
      </w:r>
      <w:r w:rsidR="00FA54C7" w:rsidRPr="00632EF3">
        <w:t>ver the first six years of listing (</w:t>
      </w:r>
      <w:r w:rsidR="00456D7E" w:rsidRPr="00456D7E">
        <w:t>500 to &lt; 5,000</w:t>
      </w:r>
      <w:r w:rsidR="008E2A4F" w:rsidRPr="00632EF3">
        <w:t xml:space="preserve"> in Year 1</w:t>
      </w:r>
      <w:r w:rsidR="00FA54C7" w:rsidRPr="00632EF3">
        <w:t xml:space="preserve"> to </w:t>
      </w:r>
      <w:r w:rsidR="00456D7E" w:rsidRPr="00456D7E">
        <w:t>10,000 to &lt; 20,000</w:t>
      </w:r>
      <w:r w:rsidR="008E2A4F" w:rsidRPr="00632EF3">
        <w:t xml:space="preserve"> in </w:t>
      </w:r>
      <w:r w:rsidR="00FA54C7" w:rsidRPr="00632EF3">
        <w:t>Year 6).</w:t>
      </w:r>
      <w:r w:rsidRPr="00632EF3">
        <w:t xml:space="preserve"> The submission claimed that t</w:t>
      </w:r>
      <w:r w:rsidR="00FA54C7" w:rsidRPr="00632EF3">
        <w:t xml:space="preserve">he cost of </w:t>
      </w:r>
      <w:r w:rsidR="001803F5" w:rsidRPr="00632EF3">
        <w:t>Ovaleap</w:t>
      </w:r>
      <w:r w:rsidR="00FA54C7" w:rsidRPr="00632EF3">
        <w:t xml:space="preserve"> to the PBS/RPBS is expected to be </w:t>
      </w:r>
      <w:r w:rsidR="00456D7E" w:rsidRPr="00456D7E">
        <w:t>$70 million to &lt; $80 million</w:t>
      </w:r>
      <w:r w:rsidR="00FA54C7" w:rsidRPr="00632EF3">
        <w:t xml:space="preserve"> over six years </w:t>
      </w:r>
      <w:r w:rsidR="00FD0FF4" w:rsidRPr="00632EF3">
        <w:t>(</w:t>
      </w:r>
      <w:r w:rsidR="00456D7E" w:rsidRPr="00456D7E">
        <w:t>$0 to &lt; $10 million</w:t>
      </w:r>
      <w:r w:rsidR="008E2A4F" w:rsidRPr="00632EF3">
        <w:t xml:space="preserve"> in </w:t>
      </w:r>
      <w:r w:rsidR="00FA54C7" w:rsidRPr="00632EF3">
        <w:t xml:space="preserve">Year 1 to </w:t>
      </w:r>
      <w:r w:rsidR="00456D7E" w:rsidRPr="00456D7E">
        <w:t>$20 million to &lt; $30 million</w:t>
      </w:r>
      <w:r w:rsidR="008E2A4F" w:rsidRPr="00632EF3">
        <w:t xml:space="preserve"> in </w:t>
      </w:r>
      <w:r w:rsidR="00FA54C7" w:rsidRPr="00632EF3">
        <w:t>Year 6)</w:t>
      </w:r>
      <w:r w:rsidRPr="00632EF3">
        <w:t xml:space="preserve"> </w:t>
      </w:r>
      <w:r w:rsidR="000A1D99" w:rsidRPr="00632EF3">
        <w:t>.</w:t>
      </w:r>
      <w:r w:rsidR="00FA54C7" w:rsidRPr="00632EF3">
        <w:t xml:space="preserve">The </w:t>
      </w:r>
      <w:r w:rsidRPr="00632EF3">
        <w:t xml:space="preserve">submission </w:t>
      </w:r>
      <w:r w:rsidR="00FA54C7" w:rsidRPr="00632EF3">
        <w:t xml:space="preserve">estimated </w:t>
      </w:r>
      <w:r w:rsidRPr="00632EF3">
        <w:t xml:space="preserve">that the </w:t>
      </w:r>
      <w:r w:rsidR="00FA54C7" w:rsidRPr="00632EF3">
        <w:t xml:space="preserve">net financial impact to the PBS/RPBS for the listing of </w:t>
      </w:r>
      <w:r w:rsidR="00BF4950" w:rsidRPr="00632EF3">
        <w:t>Ovaleap</w:t>
      </w:r>
      <w:r w:rsidR="00FA54C7" w:rsidRPr="00632EF3">
        <w:t xml:space="preserve"> is </w:t>
      </w:r>
      <w:r w:rsidR="00456D7E" w:rsidRPr="00456D7E">
        <w:t>net cost saving</w:t>
      </w:r>
      <w:r w:rsidR="00FA54C7" w:rsidRPr="00632EF3">
        <w:t xml:space="preserve"> over six years (</w:t>
      </w:r>
      <w:r w:rsidR="00456D7E" w:rsidRPr="00456D7E">
        <w:t>$0 to &lt; $10 million</w:t>
      </w:r>
      <w:r w:rsidR="008E2A4F" w:rsidRPr="00632EF3">
        <w:t xml:space="preserve"> in </w:t>
      </w:r>
      <w:r w:rsidR="00FA54C7" w:rsidRPr="00632EF3">
        <w:t>Year 1 to</w:t>
      </w:r>
      <w:r w:rsidR="008E2A4F" w:rsidRPr="00632EF3">
        <w:t xml:space="preserve"> </w:t>
      </w:r>
      <w:r w:rsidR="00456D7E" w:rsidRPr="00456D7E">
        <w:t>$0 to &lt; $10 million</w:t>
      </w:r>
      <w:r w:rsidR="008E2A4F" w:rsidRPr="00632EF3">
        <w:t xml:space="preserve"> in</w:t>
      </w:r>
      <w:r w:rsidR="00FA54C7" w:rsidRPr="00632EF3">
        <w:t xml:space="preserve"> Year 6).</w:t>
      </w:r>
    </w:p>
    <w:p w:rsidR="0084470C" w:rsidRPr="00632EF3" w:rsidRDefault="0084470C" w:rsidP="00E17C1F">
      <w:pPr>
        <w:pStyle w:val="3-BodyText"/>
      </w:pPr>
      <w:r w:rsidRPr="00632EF3">
        <w:t>Table 2 presents the estimated extent of use, cost of Ovaleap to the PBS/RPBS</w:t>
      </w:r>
      <w:r w:rsidR="00BF6355" w:rsidRPr="00632EF3">
        <w:t>,</w:t>
      </w:r>
      <w:r w:rsidRPr="00632EF3">
        <w:t xml:space="preserve"> and the net financial implications to the PBS/RPBS and MBS. The financial impact to Services Australia will be determined by that agency as part of the post PBAC process.</w:t>
      </w:r>
    </w:p>
    <w:p w:rsidR="00FA54C7" w:rsidRPr="00632EF3" w:rsidRDefault="00FA54C7" w:rsidP="00533C74">
      <w:pPr>
        <w:pStyle w:val="TableFigureHeading"/>
        <w:rPr>
          <w:szCs w:val="20"/>
        </w:rPr>
      </w:pPr>
      <w:r w:rsidRPr="00632EF3">
        <w:rPr>
          <w:rStyle w:val="CommentReference"/>
          <w:sz w:val="20"/>
          <w:szCs w:val="20"/>
        </w:rPr>
        <w:t>Table</w:t>
      </w:r>
      <w:r w:rsidRPr="00632EF3">
        <w:rPr>
          <w:szCs w:val="20"/>
        </w:rPr>
        <w:t xml:space="preserve"> </w:t>
      </w:r>
      <w:r w:rsidR="00533C74" w:rsidRPr="00632EF3">
        <w:rPr>
          <w:szCs w:val="20"/>
        </w:rPr>
        <w:t>2</w:t>
      </w:r>
      <w:r w:rsidRPr="00632EF3">
        <w:rPr>
          <w:szCs w:val="20"/>
        </w:rPr>
        <w:t xml:space="preserve">: </w:t>
      </w:r>
      <w:r w:rsidRPr="00632EF3">
        <w:rPr>
          <w:rStyle w:val="CommentReference"/>
          <w:sz w:val="20"/>
          <w:szCs w:val="20"/>
        </w:rPr>
        <w:t>Estimated use and financial implications</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630"/>
        <w:gridCol w:w="1109"/>
        <w:gridCol w:w="1109"/>
        <w:gridCol w:w="1247"/>
        <w:gridCol w:w="1109"/>
        <w:gridCol w:w="1109"/>
        <w:gridCol w:w="49"/>
        <w:gridCol w:w="1102"/>
      </w:tblGrid>
      <w:tr w:rsidR="00E110DE" w:rsidRPr="00632EF3" w:rsidTr="00C848EE">
        <w:trPr>
          <w:trHeight w:val="214"/>
          <w:tblHeader/>
          <w:jc w:val="center"/>
        </w:trPr>
        <w:tc>
          <w:tcPr>
            <w:tcW w:w="2630" w:type="dxa"/>
            <w:shd w:val="clear" w:color="auto" w:fill="auto"/>
            <w:vAlign w:val="center"/>
          </w:tcPr>
          <w:p w:rsidR="00FA54C7" w:rsidRPr="00632EF3" w:rsidRDefault="00FA54C7" w:rsidP="00CC327A">
            <w:pPr>
              <w:pStyle w:val="TableText"/>
            </w:pPr>
          </w:p>
        </w:tc>
        <w:tc>
          <w:tcPr>
            <w:tcW w:w="1109" w:type="dxa"/>
            <w:shd w:val="clear" w:color="auto" w:fill="auto"/>
            <w:vAlign w:val="center"/>
          </w:tcPr>
          <w:p w:rsidR="00FA54C7" w:rsidRPr="00632EF3" w:rsidRDefault="00FA54C7" w:rsidP="00E476AA">
            <w:pPr>
              <w:pStyle w:val="TableText"/>
              <w:jc w:val="center"/>
              <w:rPr>
                <w:b/>
              </w:rPr>
            </w:pPr>
            <w:r w:rsidRPr="00632EF3">
              <w:rPr>
                <w:b/>
              </w:rPr>
              <w:t>Year 1</w:t>
            </w:r>
          </w:p>
        </w:tc>
        <w:tc>
          <w:tcPr>
            <w:tcW w:w="1109" w:type="dxa"/>
            <w:shd w:val="clear" w:color="auto" w:fill="auto"/>
            <w:vAlign w:val="center"/>
          </w:tcPr>
          <w:p w:rsidR="00FA54C7" w:rsidRPr="00632EF3" w:rsidRDefault="00FA54C7" w:rsidP="00E476AA">
            <w:pPr>
              <w:pStyle w:val="TableText"/>
              <w:jc w:val="center"/>
              <w:rPr>
                <w:b/>
              </w:rPr>
            </w:pPr>
            <w:r w:rsidRPr="00632EF3">
              <w:rPr>
                <w:b/>
              </w:rPr>
              <w:t>Year 2</w:t>
            </w:r>
          </w:p>
        </w:tc>
        <w:tc>
          <w:tcPr>
            <w:tcW w:w="1247" w:type="dxa"/>
            <w:shd w:val="clear" w:color="auto" w:fill="auto"/>
            <w:vAlign w:val="center"/>
          </w:tcPr>
          <w:p w:rsidR="00FA54C7" w:rsidRPr="00632EF3" w:rsidRDefault="00FA54C7" w:rsidP="00E476AA">
            <w:pPr>
              <w:pStyle w:val="TableText"/>
              <w:jc w:val="center"/>
              <w:rPr>
                <w:b/>
              </w:rPr>
            </w:pPr>
            <w:r w:rsidRPr="00632EF3">
              <w:rPr>
                <w:b/>
              </w:rPr>
              <w:t>Year 3</w:t>
            </w:r>
          </w:p>
        </w:tc>
        <w:tc>
          <w:tcPr>
            <w:tcW w:w="1109" w:type="dxa"/>
            <w:shd w:val="clear" w:color="auto" w:fill="auto"/>
            <w:vAlign w:val="center"/>
          </w:tcPr>
          <w:p w:rsidR="00FA54C7" w:rsidRPr="00632EF3" w:rsidRDefault="00FA54C7" w:rsidP="00E476AA">
            <w:pPr>
              <w:pStyle w:val="TableText"/>
              <w:jc w:val="center"/>
              <w:rPr>
                <w:b/>
              </w:rPr>
            </w:pPr>
            <w:r w:rsidRPr="00632EF3">
              <w:rPr>
                <w:b/>
              </w:rPr>
              <w:t>Year 4</w:t>
            </w:r>
          </w:p>
        </w:tc>
        <w:tc>
          <w:tcPr>
            <w:tcW w:w="1158" w:type="dxa"/>
            <w:gridSpan w:val="2"/>
            <w:shd w:val="clear" w:color="auto" w:fill="auto"/>
            <w:vAlign w:val="center"/>
          </w:tcPr>
          <w:p w:rsidR="00FA54C7" w:rsidRPr="00632EF3" w:rsidRDefault="00FA54C7" w:rsidP="00E476AA">
            <w:pPr>
              <w:pStyle w:val="TableText"/>
              <w:jc w:val="center"/>
              <w:rPr>
                <w:b/>
              </w:rPr>
            </w:pPr>
            <w:r w:rsidRPr="00632EF3">
              <w:rPr>
                <w:b/>
              </w:rPr>
              <w:t>Year 5</w:t>
            </w:r>
          </w:p>
        </w:tc>
        <w:tc>
          <w:tcPr>
            <w:tcW w:w="1098" w:type="dxa"/>
            <w:vAlign w:val="center"/>
          </w:tcPr>
          <w:p w:rsidR="00FA54C7" w:rsidRPr="00632EF3" w:rsidRDefault="00FA54C7" w:rsidP="00E476AA">
            <w:pPr>
              <w:pStyle w:val="TableText"/>
              <w:jc w:val="center"/>
              <w:rPr>
                <w:b/>
              </w:rPr>
            </w:pPr>
            <w:r w:rsidRPr="00632EF3">
              <w:rPr>
                <w:b/>
              </w:rPr>
              <w:t>Year 6</w:t>
            </w:r>
          </w:p>
        </w:tc>
      </w:tr>
      <w:tr w:rsidR="00FA54C7" w:rsidRPr="00632EF3" w:rsidTr="00C848EE">
        <w:trPr>
          <w:trHeight w:val="214"/>
          <w:jc w:val="center"/>
        </w:trPr>
        <w:tc>
          <w:tcPr>
            <w:tcW w:w="9464" w:type="dxa"/>
            <w:gridSpan w:val="8"/>
            <w:shd w:val="clear" w:color="auto" w:fill="auto"/>
            <w:vAlign w:val="center"/>
          </w:tcPr>
          <w:p w:rsidR="00FA54C7" w:rsidRPr="00632EF3" w:rsidRDefault="00FA54C7" w:rsidP="00CC327A">
            <w:pPr>
              <w:pStyle w:val="TableText"/>
              <w:rPr>
                <w:b/>
                <w:color w:val="000000"/>
              </w:rPr>
            </w:pPr>
            <w:r w:rsidRPr="00632EF3">
              <w:rPr>
                <w:b/>
                <w:color w:val="000000"/>
              </w:rPr>
              <w:t>Estimated extent of use</w:t>
            </w:r>
          </w:p>
        </w:tc>
      </w:tr>
      <w:tr w:rsidR="00E110DE" w:rsidRPr="00632EF3" w:rsidTr="00C848EE">
        <w:trPr>
          <w:trHeight w:val="207"/>
          <w:jc w:val="center"/>
        </w:trPr>
        <w:tc>
          <w:tcPr>
            <w:tcW w:w="2630" w:type="dxa"/>
            <w:shd w:val="clear" w:color="auto" w:fill="auto"/>
            <w:vAlign w:val="center"/>
          </w:tcPr>
          <w:p w:rsidR="00FA54C7" w:rsidRPr="00632EF3" w:rsidRDefault="00FA54C7" w:rsidP="00CC327A">
            <w:pPr>
              <w:pStyle w:val="TableText"/>
              <w:rPr>
                <w:vertAlign w:val="superscript"/>
              </w:rPr>
            </w:pPr>
            <w:r w:rsidRPr="00632EF3">
              <w:t>Number of scripts dispensed</w:t>
            </w:r>
            <w:r w:rsidRPr="00632EF3">
              <w:rPr>
                <w:vertAlign w:val="superscript"/>
              </w:rPr>
              <w:t>a</w:t>
            </w:r>
          </w:p>
        </w:tc>
        <w:tc>
          <w:tcPr>
            <w:tcW w:w="1109" w:type="dxa"/>
            <w:shd w:val="clear" w:color="auto" w:fill="auto"/>
            <w:vAlign w:val="center"/>
          </w:tcPr>
          <w:p w:rsidR="00FA54C7" w:rsidRPr="0011633A" w:rsidRDefault="0011633A" w:rsidP="00E476AA">
            <w:pPr>
              <w:pStyle w:val="TableText"/>
              <w:jc w:val="right"/>
              <w:rPr>
                <w:color w:val="000000"/>
              </w:rPr>
            </w:pPr>
            <w:r>
              <w:rPr>
                <w:noProof/>
                <w:color w:val="000000"/>
                <w:highlight w:val="black"/>
              </w:rPr>
              <w:t>'''''''''''''</w:t>
            </w:r>
            <w:r w:rsidR="0064610F" w:rsidRPr="00B945F5">
              <w:rPr>
                <w:color w:val="000000"/>
                <w:vertAlign w:val="superscript"/>
              </w:rPr>
              <w:t>1</w:t>
            </w:r>
            <w:r>
              <w:rPr>
                <w:noProof/>
                <w:color w:val="000000"/>
                <w:highlight w:val="black"/>
              </w:rPr>
              <w:t xml:space="preserve"> </w:t>
            </w:r>
          </w:p>
        </w:tc>
        <w:tc>
          <w:tcPr>
            <w:tcW w:w="1109" w:type="dxa"/>
            <w:shd w:val="clear" w:color="auto" w:fill="auto"/>
            <w:vAlign w:val="center"/>
          </w:tcPr>
          <w:p w:rsidR="00FA54C7" w:rsidRPr="0011633A" w:rsidRDefault="0011633A" w:rsidP="00E476AA">
            <w:pPr>
              <w:pStyle w:val="TableText"/>
              <w:jc w:val="right"/>
              <w:rPr>
                <w:color w:val="000000"/>
              </w:rPr>
            </w:pPr>
            <w:r>
              <w:rPr>
                <w:noProof/>
                <w:color w:val="000000"/>
                <w:highlight w:val="black"/>
              </w:rPr>
              <w:t>''''''''''''''</w:t>
            </w:r>
            <w:r w:rsidR="006D1F6B">
              <w:rPr>
                <w:color w:val="000000"/>
                <w:vertAlign w:val="superscript"/>
              </w:rPr>
              <w:t>2</w:t>
            </w:r>
          </w:p>
        </w:tc>
        <w:tc>
          <w:tcPr>
            <w:tcW w:w="1247" w:type="dxa"/>
            <w:shd w:val="clear" w:color="auto" w:fill="auto"/>
            <w:vAlign w:val="center"/>
          </w:tcPr>
          <w:p w:rsidR="00FA54C7" w:rsidRPr="0011633A" w:rsidRDefault="0011633A" w:rsidP="00E476AA">
            <w:pPr>
              <w:pStyle w:val="TableText"/>
              <w:jc w:val="right"/>
              <w:rPr>
                <w:color w:val="000000"/>
              </w:rPr>
            </w:pPr>
            <w:r>
              <w:rPr>
                <w:noProof/>
                <w:color w:val="000000"/>
                <w:highlight w:val="black"/>
              </w:rPr>
              <w:t>'''''''''''''</w:t>
            </w:r>
            <w:r w:rsidR="006D1F6B">
              <w:rPr>
                <w:color w:val="000000"/>
                <w:vertAlign w:val="superscript"/>
              </w:rPr>
              <w:t>2</w:t>
            </w:r>
          </w:p>
        </w:tc>
        <w:tc>
          <w:tcPr>
            <w:tcW w:w="1109" w:type="dxa"/>
            <w:shd w:val="clear" w:color="auto" w:fill="auto"/>
            <w:vAlign w:val="center"/>
          </w:tcPr>
          <w:p w:rsidR="00FA54C7" w:rsidRPr="0011633A" w:rsidRDefault="0011633A" w:rsidP="00E476AA">
            <w:pPr>
              <w:pStyle w:val="TableText"/>
              <w:jc w:val="right"/>
              <w:rPr>
                <w:color w:val="000000"/>
              </w:rPr>
            </w:pPr>
            <w:r>
              <w:rPr>
                <w:noProof/>
                <w:color w:val="000000"/>
                <w:highlight w:val="black"/>
              </w:rPr>
              <w:t>'''''''''''''''''</w:t>
            </w:r>
            <w:r w:rsidR="006D1F6B">
              <w:rPr>
                <w:color w:val="000000"/>
                <w:vertAlign w:val="superscript"/>
              </w:rPr>
              <w:t>3</w:t>
            </w:r>
          </w:p>
        </w:tc>
        <w:tc>
          <w:tcPr>
            <w:tcW w:w="1158" w:type="dxa"/>
            <w:gridSpan w:val="2"/>
            <w:shd w:val="clear" w:color="auto" w:fill="auto"/>
            <w:vAlign w:val="center"/>
          </w:tcPr>
          <w:p w:rsidR="00FA54C7" w:rsidRPr="0011633A" w:rsidRDefault="0011633A" w:rsidP="00E476AA">
            <w:pPr>
              <w:pStyle w:val="TableText"/>
              <w:jc w:val="right"/>
              <w:rPr>
                <w:color w:val="000000"/>
              </w:rPr>
            </w:pPr>
            <w:r>
              <w:rPr>
                <w:noProof/>
                <w:color w:val="000000"/>
                <w:highlight w:val="black"/>
              </w:rPr>
              <w:t>'''''''''''''''''</w:t>
            </w:r>
            <w:r w:rsidR="006D1F6B">
              <w:rPr>
                <w:color w:val="000000"/>
                <w:vertAlign w:val="superscript"/>
              </w:rPr>
              <w:t>3</w:t>
            </w:r>
          </w:p>
        </w:tc>
        <w:tc>
          <w:tcPr>
            <w:tcW w:w="1098" w:type="dxa"/>
            <w:vAlign w:val="center"/>
          </w:tcPr>
          <w:p w:rsidR="00FA54C7" w:rsidRPr="0011633A" w:rsidRDefault="0011633A" w:rsidP="00E476AA">
            <w:pPr>
              <w:pStyle w:val="TableText"/>
              <w:jc w:val="right"/>
              <w:rPr>
                <w:color w:val="000000"/>
              </w:rPr>
            </w:pPr>
            <w:r>
              <w:rPr>
                <w:noProof/>
                <w:color w:val="000000"/>
                <w:highlight w:val="black"/>
              </w:rPr>
              <w:t>'''''''''''''''</w:t>
            </w:r>
            <w:r w:rsidR="006D1F6B">
              <w:rPr>
                <w:color w:val="000000"/>
                <w:vertAlign w:val="superscript"/>
              </w:rPr>
              <w:t>3</w:t>
            </w:r>
          </w:p>
        </w:tc>
      </w:tr>
      <w:tr w:rsidR="00FA54C7" w:rsidRPr="00632EF3" w:rsidTr="00C848EE">
        <w:trPr>
          <w:trHeight w:val="214"/>
          <w:jc w:val="center"/>
        </w:trPr>
        <w:tc>
          <w:tcPr>
            <w:tcW w:w="9464" w:type="dxa"/>
            <w:gridSpan w:val="8"/>
            <w:shd w:val="clear" w:color="auto" w:fill="auto"/>
            <w:vAlign w:val="center"/>
          </w:tcPr>
          <w:p w:rsidR="00FA54C7" w:rsidRPr="00632EF3" w:rsidRDefault="00FA54C7" w:rsidP="00CC327A">
            <w:pPr>
              <w:pStyle w:val="TableText"/>
              <w:rPr>
                <w:b/>
                <w:color w:val="000000"/>
              </w:rPr>
            </w:pPr>
            <w:r w:rsidRPr="00632EF3">
              <w:rPr>
                <w:b/>
                <w:color w:val="000000"/>
              </w:rPr>
              <w:t>Drug costs</w:t>
            </w:r>
          </w:p>
        </w:tc>
      </w:tr>
      <w:tr w:rsidR="00E110DE" w:rsidRPr="00632EF3" w:rsidTr="00C848EE">
        <w:trPr>
          <w:trHeight w:val="423"/>
          <w:jc w:val="center"/>
        </w:trPr>
        <w:tc>
          <w:tcPr>
            <w:tcW w:w="2630" w:type="dxa"/>
            <w:shd w:val="clear" w:color="auto" w:fill="auto"/>
            <w:vAlign w:val="center"/>
          </w:tcPr>
          <w:p w:rsidR="00A474E6" w:rsidRPr="00632EF3" w:rsidRDefault="00A474E6" w:rsidP="00853404">
            <w:pPr>
              <w:pStyle w:val="TableText"/>
            </w:pPr>
            <w:r w:rsidRPr="00632EF3">
              <w:t xml:space="preserve">Cost to PBS (excl. patient </w:t>
            </w:r>
            <w:r w:rsidR="00495D40" w:rsidRPr="00632EF3">
              <w:t>co-payments</w:t>
            </w:r>
            <w:r w:rsidR="0002638C" w:rsidRPr="00632EF3">
              <w:t>)</w:t>
            </w:r>
          </w:p>
        </w:tc>
        <w:tc>
          <w:tcPr>
            <w:tcW w:w="1109" w:type="dxa"/>
            <w:shd w:val="clear" w:color="auto" w:fill="auto"/>
            <w:vAlign w:val="center"/>
          </w:tcPr>
          <w:p w:rsidR="00A474E6" w:rsidRPr="00632EF3" w:rsidRDefault="00A474E6" w:rsidP="00E476AA">
            <w:pPr>
              <w:pStyle w:val="TableText"/>
              <w:jc w:val="right"/>
              <w:rPr>
                <w:color w:val="000000"/>
              </w:rPr>
            </w:pPr>
            <w:r w:rsidRPr="00632EF3">
              <w:rPr>
                <w:color w:val="000000"/>
              </w:rPr>
              <w:t>$</w:t>
            </w:r>
            <w:r w:rsidR="0011633A">
              <w:rPr>
                <w:noProof/>
                <w:color w:val="000000"/>
                <w:highlight w:val="black"/>
              </w:rPr>
              <w:t>'''''''''''''''''''''''</w:t>
            </w:r>
            <w:r w:rsidR="000618EE">
              <w:rPr>
                <w:color w:val="000000"/>
                <w:vertAlign w:val="superscript"/>
              </w:rPr>
              <w:t>4</w:t>
            </w:r>
          </w:p>
        </w:tc>
        <w:tc>
          <w:tcPr>
            <w:tcW w:w="1109" w:type="dxa"/>
            <w:shd w:val="clear" w:color="auto" w:fill="auto"/>
            <w:vAlign w:val="center"/>
          </w:tcPr>
          <w:p w:rsidR="00A474E6" w:rsidRPr="00632EF3" w:rsidRDefault="00A474E6" w:rsidP="00E476AA">
            <w:pPr>
              <w:pStyle w:val="TableText"/>
              <w:jc w:val="right"/>
              <w:rPr>
                <w:color w:val="000000"/>
              </w:rPr>
            </w:pPr>
            <w:r w:rsidRPr="00632EF3">
              <w:t>$</w:t>
            </w:r>
            <w:r w:rsidR="0011633A">
              <w:rPr>
                <w:noProof/>
                <w:color w:val="000000"/>
                <w:highlight w:val="black"/>
              </w:rPr>
              <w:t>''''''''''''''''''''''''</w:t>
            </w:r>
            <w:r w:rsidR="000618EE">
              <w:rPr>
                <w:color w:val="000000"/>
                <w:vertAlign w:val="superscript"/>
              </w:rPr>
              <w:t>4</w:t>
            </w:r>
          </w:p>
        </w:tc>
        <w:tc>
          <w:tcPr>
            <w:tcW w:w="1247" w:type="dxa"/>
            <w:shd w:val="clear" w:color="auto" w:fill="auto"/>
            <w:vAlign w:val="center"/>
          </w:tcPr>
          <w:p w:rsidR="00A474E6" w:rsidRPr="00B945F5" w:rsidRDefault="00A474E6">
            <w:pPr>
              <w:pStyle w:val="TableText"/>
              <w:jc w:val="right"/>
              <w:rPr>
                <w:color w:val="000000"/>
                <w:vertAlign w:val="superscript"/>
              </w:rPr>
            </w:pPr>
            <w:r w:rsidRPr="00632EF3">
              <w:t>$</w:t>
            </w:r>
            <w:r w:rsidR="0011633A">
              <w:rPr>
                <w:noProof/>
                <w:color w:val="000000"/>
                <w:highlight w:val="black"/>
              </w:rPr>
              <w:t>''''''''''''''''''''''''</w:t>
            </w:r>
            <w:r w:rsidR="000618EE">
              <w:rPr>
                <w:color w:val="000000"/>
                <w:vertAlign w:val="superscript"/>
              </w:rPr>
              <w:t>5</w:t>
            </w:r>
          </w:p>
        </w:tc>
        <w:tc>
          <w:tcPr>
            <w:tcW w:w="1109" w:type="dxa"/>
            <w:shd w:val="clear" w:color="auto" w:fill="auto"/>
            <w:vAlign w:val="center"/>
          </w:tcPr>
          <w:p w:rsidR="00A474E6" w:rsidRPr="00632EF3" w:rsidRDefault="00A474E6" w:rsidP="00E476AA">
            <w:pPr>
              <w:pStyle w:val="TableText"/>
              <w:jc w:val="right"/>
              <w:rPr>
                <w:color w:val="000000"/>
              </w:rPr>
            </w:pPr>
            <w:r w:rsidRPr="00632EF3">
              <w:t>$</w:t>
            </w:r>
            <w:r w:rsidR="0011633A">
              <w:rPr>
                <w:noProof/>
                <w:color w:val="000000"/>
                <w:highlight w:val="black"/>
              </w:rPr>
              <w:t>''''''''''''''''''''''''''''</w:t>
            </w:r>
            <w:r w:rsidR="000618EE">
              <w:rPr>
                <w:color w:val="000000"/>
                <w:vertAlign w:val="superscript"/>
              </w:rPr>
              <w:t>5</w:t>
            </w:r>
          </w:p>
        </w:tc>
        <w:tc>
          <w:tcPr>
            <w:tcW w:w="1158" w:type="dxa"/>
            <w:gridSpan w:val="2"/>
            <w:shd w:val="clear" w:color="auto" w:fill="auto"/>
            <w:vAlign w:val="center"/>
          </w:tcPr>
          <w:p w:rsidR="00A474E6" w:rsidRPr="00632EF3" w:rsidRDefault="00A474E6" w:rsidP="00E476AA">
            <w:pPr>
              <w:pStyle w:val="TableText"/>
              <w:jc w:val="right"/>
              <w:rPr>
                <w:color w:val="000000"/>
              </w:rPr>
            </w:pPr>
            <w:r w:rsidRPr="00632EF3">
              <w:t>$</w:t>
            </w:r>
            <w:r w:rsidR="0011633A">
              <w:rPr>
                <w:noProof/>
                <w:color w:val="000000"/>
                <w:highlight w:val="black"/>
              </w:rPr>
              <w:t>'''''''''''''''''''''''''''</w:t>
            </w:r>
            <w:r w:rsidR="000618EE">
              <w:rPr>
                <w:color w:val="000000"/>
                <w:vertAlign w:val="superscript"/>
              </w:rPr>
              <w:t>5</w:t>
            </w:r>
          </w:p>
        </w:tc>
        <w:tc>
          <w:tcPr>
            <w:tcW w:w="1098" w:type="dxa"/>
            <w:vAlign w:val="center"/>
          </w:tcPr>
          <w:p w:rsidR="00A474E6" w:rsidRPr="00632EF3" w:rsidRDefault="00A474E6" w:rsidP="00E476AA">
            <w:pPr>
              <w:pStyle w:val="TableText"/>
              <w:jc w:val="right"/>
              <w:rPr>
                <w:color w:val="000000"/>
              </w:rPr>
            </w:pPr>
            <w:r w:rsidRPr="00632EF3">
              <w:t>$</w:t>
            </w:r>
            <w:r w:rsidR="0011633A">
              <w:rPr>
                <w:noProof/>
                <w:color w:val="000000"/>
                <w:highlight w:val="black"/>
              </w:rPr>
              <w:t>'''''''''''''''''''''''''</w:t>
            </w:r>
            <w:r w:rsidR="000618EE">
              <w:rPr>
                <w:color w:val="000000"/>
                <w:vertAlign w:val="superscript"/>
              </w:rPr>
              <w:t>6</w:t>
            </w:r>
          </w:p>
        </w:tc>
      </w:tr>
      <w:tr w:rsidR="00E110DE" w:rsidRPr="00632EF3" w:rsidTr="00C848EE">
        <w:trPr>
          <w:trHeight w:val="430"/>
          <w:jc w:val="center"/>
        </w:trPr>
        <w:tc>
          <w:tcPr>
            <w:tcW w:w="2630" w:type="dxa"/>
            <w:shd w:val="clear" w:color="auto" w:fill="auto"/>
            <w:vAlign w:val="center"/>
          </w:tcPr>
          <w:p w:rsidR="00E110DE" w:rsidRPr="00632EF3" w:rsidRDefault="00E110DE" w:rsidP="00E110DE">
            <w:pPr>
              <w:pStyle w:val="TableText"/>
            </w:pPr>
            <w:r w:rsidRPr="00632EF3">
              <w:t xml:space="preserve">Cost to RPBS (excl. patient </w:t>
            </w:r>
            <w:r w:rsidR="00495D40" w:rsidRPr="00632EF3">
              <w:t>co-payments</w:t>
            </w:r>
            <w:r w:rsidRPr="00632EF3">
              <w:t>)</w:t>
            </w:r>
          </w:p>
        </w:tc>
        <w:tc>
          <w:tcPr>
            <w:tcW w:w="1109" w:type="dxa"/>
            <w:shd w:val="clear" w:color="auto" w:fill="auto"/>
            <w:vAlign w:val="center"/>
          </w:tcPr>
          <w:p w:rsidR="00E110DE" w:rsidRPr="00632EF3" w:rsidRDefault="00E110DE" w:rsidP="00E476AA">
            <w:pPr>
              <w:pStyle w:val="TableText"/>
              <w:jc w:val="right"/>
              <w:rPr>
                <w:color w:val="000000"/>
              </w:rPr>
            </w:pPr>
            <w:r w:rsidRPr="00632EF3">
              <w:rPr>
                <w:color w:val="000000"/>
              </w:rPr>
              <w:t>$</w:t>
            </w:r>
            <w:r w:rsidR="0011633A">
              <w:rPr>
                <w:noProof/>
                <w:color w:val="000000"/>
                <w:highlight w:val="black"/>
              </w:rPr>
              <w:t>''''</w:t>
            </w:r>
            <w:r w:rsidR="000618EE">
              <w:rPr>
                <w:color w:val="000000"/>
                <w:vertAlign w:val="superscript"/>
              </w:rPr>
              <w:t>4</w:t>
            </w:r>
          </w:p>
        </w:tc>
        <w:tc>
          <w:tcPr>
            <w:tcW w:w="1109" w:type="dxa"/>
            <w:shd w:val="clear" w:color="auto" w:fill="auto"/>
            <w:vAlign w:val="center"/>
          </w:tcPr>
          <w:p w:rsidR="00E110DE" w:rsidRPr="00632EF3" w:rsidRDefault="00E110DE" w:rsidP="00E476AA">
            <w:pPr>
              <w:pStyle w:val="TableText"/>
              <w:jc w:val="right"/>
            </w:pPr>
            <w:r w:rsidRPr="00632EF3">
              <w:t>$</w:t>
            </w:r>
            <w:r w:rsidR="0011633A">
              <w:rPr>
                <w:noProof/>
                <w:color w:val="000000"/>
                <w:highlight w:val="black"/>
              </w:rPr>
              <w:t>'''''''''''''</w:t>
            </w:r>
            <w:r w:rsidR="000618EE">
              <w:rPr>
                <w:color w:val="000000"/>
                <w:vertAlign w:val="superscript"/>
              </w:rPr>
              <w:t>4</w:t>
            </w:r>
          </w:p>
        </w:tc>
        <w:tc>
          <w:tcPr>
            <w:tcW w:w="1247" w:type="dxa"/>
            <w:shd w:val="clear" w:color="auto" w:fill="auto"/>
            <w:vAlign w:val="center"/>
          </w:tcPr>
          <w:p w:rsidR="00E110DE" w:rsidRPr="00632EF3" w:rsidRDefault="00E110DE" w:rsidP="00E476AA">
            <w:pPr>
              <w:pStyle w:val="TableText"/>
              <w:jc w:val="right"/>
            </w:pPr>
            <w:r w:rsidRPr="00632EF3">
              <w:t>$</w:t>
            </w:r>
            <w:r w:rsidR="0011633A">
              <w:rPr>
                <w:noProof/>
                <w:color w:val="000000"/>
                <w:highlight w:val="black"/>
              </w:rPr>
              <w:t>''''''''''''''</w:t>
            </w:r>
            <w:r w:rsidR="000618EE">
              <w:rPr>
                <w:color w:val="000000"/>
                <w:vertAlign w:val="superscript"/>
              </w:rPr>
              <w:t>4</w:t>
            </w:r>
          </w:p>
        </w:tc>
        <w:tc>
          <w:tcPr>
            <w:tcW w:w="1109" w:type="dxa"/>
            <w:shd w:val="clear" w:color="auto" w:fill="auto"/>
            <w:vAlign w:val="center"/>
          </w:tcPr>
          <w:p w:rsidR="00E110DE" w:rsidRPr="00632EF3" w:rsidRDefault="00E110DE" w:rsidP="00E476AA">
            <w:pPr>
              <w:pStyle w:val="TableText"/>
              <w:jc w:val="right"/>
            </w:pPr>
            <w:r w:rsidRPr="00632EF3">
              <w:t>$</w:t>
            </w:r>
            <w:r w:rsidR="0011633A">
              <w:rPr>
                <w:noProof/>
                <w:color w:val="000000"/>
                <w:highlight w:val="black"/>
              </w:rPr>
              <w:t>'''''''''''''</w:t>
            </w:r>
            <w:r w:rsidR="000618EE">
              <w:rPr>
                <w:color w:val="000000"/>
                <w:vertAlign w:val="superscript"/>
              </w:rPr>
              <w:t>4</w:t>
            </w:r>
          </w:p>
        </w:tc>
        <w:tc>
          <w:tcPr>
            <w:tcW w:w="1158" w:type="dxa"/>
            <w:gridSpan w:val="2"/>
            <w:shd w:val="clear" w:color="auto" w:fill="auto"/>
            <w:vAlign w:val="center"/>
          </w:tcPr>
          <w:p w:rsidR="00E110DE" w:rsidRPr="00632EF3" w:rsidRDefault="00E110DE" w:rsidP="00E476AA">
            <w:pPr>
              <w:pStyle w:val="TableText"/>
              <w:jc w:val="right"/>
            </w:pPr>
            <w:r w:rsidRPr="00632EF3">
              <w:t>$</w:t>
            </w:r>
            <w:r w:rsidR="0011633A">
              <w:rPr>
                <w:noProof/>
                <w:color w:val="000000"/>
                <w:highlight w:val="black"/>
              </w:rPr>
              <w:t>'''''''''''''</w:t>
            </w:r>
            <w:r w:rsidR="000618EE">
              <w:rPr>
                <w:color w:val="000000"/>
                <w:vertAlign w:val="superscript"/>
              </w:rPr>
              <w:t>4</w:t>
            </w:r>
          </w:p>
        </w:tc>
        <w:tc>
          <w:tcPr>
            <w:tcW w:w="1098" w:type="dxa"/>
            <w:vAlign w:val="center"/>
          </w:tcPr>
          <w:p w:rsidR="00E110DE" w:rsidRPr="00632EF3" w:rsidRDefault="00E110DE" w:rsidP="00E476AA">
            <w:pPr>
              <w:pStyle w:val="TableText"/>
              <w:jc w:val="right"/>
            </w:pPr>
            <w:r w:rsidRPr="00632EF3">
              <w:t>$</w:t>
            </w:r>
            <w:r w:rsidR="0011633A">
              <w:rPr>
                <w:noProof/>
                <w:color w:val="000000"/>
                <w:highlight w:val="black"/>
              </w:rPr>
              <w:t>''''''''''''''</w:t>
            </w:r>
            <w:r w:rsidR="000618EE">
              <w:rPr>
                <w:color w:val="000000"/>
                <w:vertAlign w:val="superscript"/>
              </w:rPr>
              <w:t>4</w:t>
            </w:r>
          </w:p>
        </w:tc>
      </w:tr>
      <w:tr w:rsidR="00E110DE" w:rsidRPr="00632EF3" w:rsidTr="00C848EE">
        <w:trPr>
          <w:trHeight w:val="214"/>
          <w:jc w:val="center"/>
        </w:trPr>
        <w:tc>
          <w:tcPr>
            <w:tcW w:w="2630" w:type="dxa"/>
            <w:shd w:val="clear" w:color="auto" w:fill="auto"/>
            <w:vAlign w:val="center"/>
          </w:tcPr>
          <w:p w:rsidR="00541EBD" w:rsidRPr="00632EF3" w:rsidRDefault="00541EBD" w:rsidP="00541EBD">
            <w:pPr>
              <w:pStyle w:val="TableText"/>
            </w:pPr>
            <w:r w:rsidRPr="00632EF3">
              <w:t xml:space="preserve">Less patient </w:t>
            </w:r>
            <w:r w:rsidR="00495D40" w:rsidRPr="00632EF3">
              <w:t>co-payments</w:t>
            </w:r>
          </w:p>
        </w:tc>
        <w:tc>
          <w:tcPr>
            <w:tcW w:w="1109" w:type="dxa"/>
            <w:shd w:val="clear" w:color="auto" w:fill="auto"/>
            <w:vAlign w:val="center"/>
          </w:tcPr>
          <w:p w:rsidR="00541EBD" w:rsidRPr="00632EF3" w:rsidRDefault="00541EBD" w:rsidP="00E476AA">
            <w:pPr>
              <w:pStyle w:val="TableText"/>
              <w:jc w:val="right"/>
              <w:rPr>
                <w:color w:val="000000"/>
              </w:rPr>
            </w:pPr>
            <w:r w:rsidRPr="00632EF3">
              <w:t>-$</w:t>
            </w:r>
            <w:r w:rsidR="0011633A">
              <w:rPr>
                <w:noProof/>
                <w:color w:val="000000"/>
                <w:highlight w:val="black"/>
              </w:rPr>
              <w:t>'''''''''''''''''''</w:t>
            </w:r>
            <w:r w:rsidR="000618EE">
              <w:rPr>
                <w:color w:val="000000"/>
                <w:vertAlign w:val="superscript"/>
              </w:rPr>
              <w:t>4</w:t>
            </w:r>
          </w:p>
        </w:tc>
        <w:tc>
          <w:tcPr>
            <w:tcW w:w="1109" w:type="dxa"/>
            <w:shd w:val="clear" w:color="auto" w:fill="auto"/>
            <w:vAlign w:val="center"/>
          </w:tcPr>
          <w:p w:rsidR="00541EBD" w:rsidRPr="00632EF3" w:rsidRDefault="00541EBD" w:rsidP="00E476AA">
            <w:pPr>
              <w:pStyle w:val="TableText"/>
              <w:jc w:val="right"/>
              <w:rPr>
                <w:color w:val="000000"/>
              </w:rPr>
            </w:pPr>
            <w:r w:rsidRPr="00632EF3">
              <w:t>-$</w:t>
            </w:r>
            <w:r w:rsidR="0011633A">
              <w:rPr>
                <w:noProof/>
                <w:color w:val="000000"/>
                <w:highlight w:val="black"/>
              </w:rPr>
              <w:t>'''''''''''''''''''</w:t>
            </w:r>
            <w:r w:rsidR="000618EE">
              <w:rPr>
                <w:color w:val="000000"/>
                <w:vertAlign w:val="superscript"/>
              </w:rPr>
              <w:t>4</w:t>
            </w:r>
          </w:p>
        </w:tc>
        <w:tc>
          <w:tcPr>
            <w:tcW w:w="1247" w:type="dxa"/>
            <w:shd w:val="clear" w:color="auto" w:fill="auto"/>
            <w:vAlign w:val="center"/>
          </w:tcPr>
          <w:p w:rsidR="00541EBD" w:rsidRPr="00632EF3" w:rsidRDefault="00541EBD" w:rsidP="00E476AA">
            <w:pPr>
              <w:pStyle w:val="TableText"/>
              <w:jc w:val="right"/>
              <w:rPr>
                <w:color w:val="000000"/>
              </w:rPr>
            </w:pPr>
            <w:r w:rsidRPr="00632EF3">
              <w:t>-$</w:t>
            </w:r>
            <w:r w:rsidR="0011633A">
              <w:rPr>
                <w:noProof/>
                <w:color w:val="000000"/>
                <w:highlight w:val="black"/>
              </w:rPr>
              <w:t>'''''''''''''''''''''</w:t>
            </w:r>
            <w:r w:rsidR="000618EE">
              <w:rPr>
                <w:color w:val="000000"/>
                <w:vertAlign w:val="superscript"/>
              </w:rPr>
              <w:t>4</w:t>
            </w:r>
          </w:p>
        </w:tc>
        <w:tc>
          <w:tcPr>
            <w:tcW w:w="1109" w:type="dxa"/>
            <w:shd w:val="clear" w:color="auto" w:fill="auto"/>
            <w:vAlign w:val="center"/>
          </w:tcPr>
          <w:p w:rsidR="00541EBD" w:rsidRPr="00632EF3" w:rsidRDefault="00541EBD" w:rsidP="00E476AA">
            <w:pPr>
              <w:pStyle w:val="TableText"/>
              <w:jc w:val="right"/>
              <w:rPr>
                <w:color w:val="000000"/>
              </w:rPr>
            </w:pPr>
            <w:r w:rsidRPr="00632EF3">
              <w:t>-$</w:t>
            </w:r>
            <w:r w:rsidR="0011633A">
              <w:rPr>
                <w:noProof/>
                <w:color w:val="000000"/>
                <w:highlight w:val="black"/>
              </w:rPr>
              <w:t>'''''''''''''''''</w:t>
            </w:r>
            <w:r w:rsidR="000618EE">
              <w:rPr>
                <w:color w:val="000000"/>
                <w:vertAlign w:val="superscript"/>
              </w:rPr>
              <w:t>4</w:t>
            </w:r>
          </w:p>
        </w:tc>
        <w:tc>
          <w:tcPr>
            <w:tcW w:w="1158" w:type="dxa"/>
            <w:gridSpan w:val="2"/>
            <w:shd w:val="clear" w:color="auto" w:fill="auto"/>
            <w:vAlign w:val="center"/>
          </w:tcPr>
          <w:p w:rsidR="00541EBD" w:rsidRPr="00632EF3" w:rsidRDefault="00541EBD" w:rsidP="00E476AA">
            <w:pPr>
              <w:pStyle w:val="TableText"/>
              <w:jc w:val="right"/>
              <w:rPr>
                <w:color w:val="000000"/>
              </w:rPr>
            </w:pPr>
            <w:r w:rsidRPr="00632EF3">
              <w:t>-$</w:t>
            </w:r>
            <w:r w:rsidR="0011633A">
              <w:rPr>
                <w:noProof/>
                <w:color w:val="000000"/>
                <w:highlight w:val="black"/>
              </w:rPr>
              <w:t>'''''''''''''''''''''</w:t>
            </w:r>
            <w:r w:rsidR="000618EE">
              <w:rPr>
                <w:color w:val="000000"/>
                <w:vertAlign w:val="superscript"/>
              </w:rPr>
              <w:t>4</w:t>
            </w:r>
          </w:p>
        </w:tc>
        <w:tc>
          <w:tcPr>
            <w:tcW w:w="1098" w:type="dxa"/>
            <w:vAlign w:val="center"/>
          </w:tcPr>
          <w:p w:rsidR="00541EBD" w:rsidRPr="00632EF3" w:rsidRDefault="00541EBD" w:rsidP="00E476AA">
            <w:pPr>
              <w:pStyle w:val="TableText"/>
              <w:jc w:val="right"/>
              <w:rPr>
                <w:color w:val="000000"/>
              </w:rPr>
            </w:pPr>
            <w:r w:rsidRPr="00632EF3">
              <w:t>-$</w:t>
            </w:r>
            <w:r w:rsidR="0011633A">
              <w:rPr>
                <w:noProof/>
                <w:color w:val="000000"/>
                <w:highlight w:val="black"/>
              </w:rPr>
              <w:t>'''''''''''''''''''''</w:t>
            </w:r>
            <w:r w:rsidR="000618EE">
              <w:rPr>
                <w:color w:val="000000"/>
                <w:vertAlign w:val="superscript"/>
              </w:rPr>
              <w:t>4</w:t>
            </w:r>
          </w:p>
        </w:tc>
      </w:tr>
      <w:tr w:rsidR="00E110DE" w:rsidRPr="00632EF3" w:rsidTr="00C848EE">
        <w:trPr>
          <w:trHeight w:val="631"/>
          <w:jc w:val="center"/>
        </w:trPr>
        <w:tc>
          <w:tcPr>
            <w:tcW w:w="2630" w:type="dxa"/>
            <w:shd w:val="clear" w:color="auto" w:fill="auto"/>
            <w:vAlign w:val="center"/>
          </w:tcPr>
          <w:p w:rsidR="00533C74" w:rsidRPr="00632EF3" w:rsidRDefault="00533C74" w:rsidP="00445A31">
            <w:pPr>
              <w:pStyle w:val="TableText"/>
            </w:pPr>
            <w:r w:rsidRPr="00632EF3">
              <w:t xml:space="preserve">Cost of affected </w:t>
            </w:r>
            <w:r w:rsidR="00BF4950" w:rsidRPr="00632EF3">
              <w:t>PBS listings</w:t>
            </w:r>
            <w:r w:rsidR="00E110DE" w:rsidRPr="00632EF3">
              <w:t xml:space="preserve"> (excl. patient </w:t>
            </w:r>
            <w:r w:rsidR="00495D40" w:rsidRPr="00632EF3">
              <w:t>co-payments</w:t>
            </w:r>
            <w:r w:rsidR="00E110DE" w:rsidRPr="00632EF3">
              <w:t>)</w:t>
            </w:r>
            <w:r w:rsidR="00BF4950" w:rsidRPr="00632EF3">
              <w:t xml:space="preserve">: </w:t>
            </w:r>
            <w:r w:rsidRPr="00632EF3">
              <w:t>Gonal-f and Bemfola</w:t>
            </w:r>
          </w:p>
        </w:tc>
        <w:tc>
          <w:tcPr>
            <w:tcW w:w="1109" w:type="dxa"/>
            <w:shd w:val="clear" w:color="auto" w:fill="auto"/>
            <w:vAlign w:val="center"/>
          </w:tcPr>
          <w:p w:rsidR="00533C74" w:rsidRPr="00632EF3" w:rsidRDefault="00533C74" w:rsidP="00E476AA">
            <w:pPr>
              <w:pStyle w:val="TableText"/>
              <w:jc w:val="right"/>
              <w:rPr>
                <w:color w:val="000000"/>
              </w:rPr>
            </w:pPr>
            <w:r w:rsidRPr="00632EF3">
              <w:t>-$</w:t>
            </w:r>
            <w:r w:rsidR="0011633A">
              <w:rPr>
                <w:noProof/>
                <w:color w:val="000000"/>
                <w:highlight w:val="black"/>
              </w:rPr>
              <w:t>'''''''''''''''''''''''''</w:t>
            </w:r>
            <w:r w:rsidR="000618EE">
              <w:rPr>
                <w:color w:val="000000"/>
                <w:vertAlign w:val="superscript"/>
              </w:rPr>
              <w:t>4</w:t>
            </w:r>
          </w:p>
        </w:tc>
        <w:tc>
          <w:tcPr>
            <w:tcW w:w="1109" w:type="dxa"/>
            <w:shd w:val="clear" w:color="auto" w:fill="auto"/>
            <w:vAlign w:val="center"/>
          </w:tcPr>
          <w:p w:rsidR="00533C74" w:rsidRPr="00632EF3" w:rsidRDefault="00533C74" w:rsidP="00E476AA">
            <w:pPr>
              <w:pStyle w:val="TableText"/>
              <w:jc w:val="right"/>
              <w:rPr>
                <w:color w:val="000000"/>
              </w:rPr>
            </w:pPr>
            <w:r w:rsidRPr="00632EF3">
              <w:t>-$</w:t>
            </w:r>
            <w:r w:rsidR="0011633A">
              <w:rPr>
                <w:noProof/>
                <w:color w:val="000000"/>
                <w:highlight w:val="black"/>
              </w:rPr>
              <w:t>''''''''''''''''''''''</w:t>
            </w:r>
            <w:r w:rsidR="000618EE">
              <w:rPr>
                <w:color w:val="000000"/>
                <w:vertAlign w:val="superscript"/>
              </w:rPr>
              <w:t>4</w:t>
            </w:r>
          </w:p>
        </w:tc>
        <w:tc>
          <w:tcPr>
            <w:tcW w:w="1247" w:type="dxa"/>
            <w:shd w:val="clear" w:color="auto" w:fill="auto"/>
            <w:vAlign w:val="center"/>
          </w:tcPr>
          <w:p w:rsidR="00533C74" w:rsidRPr="00632EF3" w:rsidRDefault="00533C74" w:rsidP="00E476AA">
            <w:pPr>
              <w:pStyle w:val="TableText"/>
              <w:jc w:val="right"/>
              <w:rPr>
                <w:color w:val="000000"/>
              </w:rPr>
            </w:pPr>
            <w:r w:rsidRPr="00632EF3">
              <w:t>-$</w:t>
            </w:r>
            <w:r w:rsidR="0011633A">
              <w:rPr>
                <w:noProof/>
                <w:color w:val="000000"/>
                <w:highlight w:val="black"/>
              </w:rPr>
              <w:t>'''''''''''''''''''''''''''''</w:t>
            </w:r>
            <w:r w:rsidR="000618EE">
              <w:rPr>
                <w:color w:val="000000"/>
                <w:vertAlign w:val="superscript"/>
              </w:rPr>
              <w:t>4</w:t>
            </w:r>
          </w:p>
        </w:tc>
        <w:tc>
          <w:tcPr>
            <w:tcW w:w="1109" w:type="dxa"/>
            <w:shd w:val="clear" w:color="auto" w:fill="auto"/>
            <w:vAlign w:val="center"/>
          </w:tcPr>
          <w:p w:rsidR="00533C74" w:rsidRPr="00632EF3" w:rsidRDefault="00533C74" w:rsidP="00E476AA">
            <w:pPr>
              <w:pStyle w:val="TableText"/>
              <w:jc w:val="right"/>
              <w:rPr>
                <w:color w:val="000000"/>
              </w:rPr>
            </w:pPr>
            <w:r w:rsidRPr="00632EF3">
              <w:t>-$</w:t>
            </w:r>
            <w:r w:rsidR="0011633A">
              <w:rPr>
                <w:noProof/>
                <w:color w:val="000000"/>
                <w:highlight w:val="black"/>
              </w:rPr>
              <w:t>''''''''''''''''''''''''''</w:t>
            </w:r>
            <w:bookmarkStart w:id="3" w:name="_GoBack"/>
            <w:bookmarkEnd w:id="3"/>
            <w:r w:rsidR="000618EE">
              <w:rPr>
                <w:color w:val="000000"/>
                <w:vertAlign w:val="superscript"/>
              </w:rPr>
              <w:t>4</w:t>
            </w:r>
          </w:p>
        </w:tc>
        <w:tc>
          <w:tcPr>
            <w:tcW w:w="1109" w:type="dxa"/>
            <w:shd w:val="clear" w:color="auto" w:fill="auto"/>
            <w:vAlign w:val="center"/>
          </w:tcPr>
          <w:p w:rsidR="00533C74" w:rsidRPr="00632EF3" w:rsidRDefault="00533C74" w:rsidP="00E476AA">
            <w:pPr>
              <w:pStyle w:val="TableText"/>
              <w:jc w:val="right"/>
              <w:rPr>
                <w:color w:val="000000"/>
              </w:rPr>
            </w:pPr>
            <w:r w:rsidRPr="00632EF3">
              <w:t>-$</w:t>
            </w:r>
            <w:r w:rsidR="0011633A">
              <w:rPr>
                <w:noProof/>
                <w:color w:val="000000"/>
                <w:highlight w:val="black"/>
              </w:rPr>
              <w:t>''''''''''''''''''''''''</w:t>
            </w:r>
            <w:r w:rsidR="000618EE">
              <w:rPr>
                <w:color w:val="000000"/>
                <w:vertAlign w:val="superscript"/>
              </w:rPr>
              <w:t>4</w:t>
            </w:r>
          </w:p>
        </w:tc>
        <w:tc>
          <w:tcPr>
            <w:tcW w:w="1147" w:type="dxa"/>
            <w:gridSpan w:val="2"/>
            <w:vAlign w:val="center"/>
          </w:tcPr>
          <w:p w:rsidR="00533C74" w:rsidRPr="00632EF3" w:rsidRDefault="00533C74" w:rsidP="00E476AA">
            <w:pPr>
              <w:pStyle w:val="TableText"/>
              <w:jc w:val="right"/>
              <w:rPr>
                <w:color w:val="000000"/>
              </w:rPr>
            </w:pPr>
            <w:r w:rsidRPr="00632EF3">
              <w:t>-$</w:t>
            </w:r>
            <w:r w:rsidR="0011633A">
              <w:rPr>
                <w:noProof/>
                <w:color w:val="000000"/>
                <w:highlight w:val="black"/>
              </w:rPr>
              <w:t>''''''''''''''''''''''''''''</w:t>
            </w:r>
            <w:r w:rsidR="000618EE">
              <w:rPr>
                <w:color w:val="000000"/>
                <w:vertAlign w:val="superscript"/>
              </w:rPr>
              <w:t>4</w:t>
            </w:r>
          </w:p>
        </w:tc>
      </w:tr>
      <w:tr w:rsidR="00E110DE" w:rsidRPr="00632EF3" w:rsidTr="00C848EE">
        <w:trPr>
          <w:trHeight w:val="638"/>
          <w:jc w:val="center"/>
        </w:trPr>
        <w:tc>
          <w:tcPr>
            <w:tcW w:w="2630" w:type="dxa"/>
            <w:shd w:val="clear" w:color="auto" w:fill="auto"/>
            <w:vAlign w:val="center"/>
          </w:tcPr>
          <w:p w:rsidR="00E110DE" w:rsidRPr="00632EF3" w:rsidRDefault="00E110DE" w:rsidP="00533C74">
            <w:pPr>
              <w:pStyle w:val="TableText"/>
            </w:pPr>
            <w:r w:rsidRPr="00632EF3">
              <w:t xml:space="preserve">Cost of affected RPBS listings (excl. patient </w:t>
            </w:r>
            <w:r w:rsidR="00495D40" w:rsidRPr="00632EF3">
              <w:t>co-payments</w:t>
            </w:r>
            <w:r w:rsidRPr="00632EF3">
              <w:t>): Gonal-f and Bemfola</w:t>
            </w:r>
          </w:p>
        </w:tc>
        <w:tc>
          <w:tcPr>
            <w:tcW w:w="1109" w:type="dxa"/>
            <w:shd w:val="clear" w:color="auto" w:fill="auto"/>
            <w:vAlign w:val="center"/>
          </w:tcPr>
          <w:p w:rsidR="00E110DE" w:rsidRPr="00632EF3" w:rsidRDefault="00E110DE" w:rsidP="00E476AA">
            <w:pPr>
              <w:pStyle w:val="TableText"/>
              <w:jc w:val="right"/>
            </w:pPr>
            <w:r w:rsidRPr="00632EF3">
              <w:t>$</w:t>
            </w:r>
            <w:r w:rsidR="0011633A">
              <w:rPr>
                <w:noProof/>
                <w:color w:val="000000"/>
                <w:highlight w:val="black"/>
              </w:rPr>
              <w:t>'''</w:t>
            </w:r>
            <w:r w:rsidR="000618EE">
              <w:rPr>
                <w:color w:val="000000"/>
                <w:vertAlign w:val="superscript"/>
              </w:rPr>
              <w:t>4</w:t>
            </w:r>
          </w:p>
        </w:tc>
        <w:tc>
          <w:tcPr>
            <w:tcW w:w="1109" w:type="dxa"/>
            <w:shd w:val="clear" w:color="auto" w:fill="auto"/>
            <w:vAlign w:val="center"/>
          </w:tcPr>
          <w:p w:rsidR="00E110DE" w:rsidRPr="00632EF3" w:rsidRDefault="00E110DE" w:rsidP="00E476AA">
            <w:pPr>
              <w:pStyle w:val="TableText"/>
              <w:jc w:val="right"/>
            </w:pPr>
            <w:r w:rsidRPr="00632EF3">
              <w:t>-$</w:t>
            </w:r>
            <w:r w:rsidR="0011633A">
              <w:rPr>
                <w:noProof/>
                <w:color w:val="000000"/>
                <w:highlight w:val="black"/>
              </w:rPr>
              <w:t>'''''''''''''</w:t>
            </w:r>
            <w:r w:rsidR="000618EE">
              <w:rPr>
                <w:color w:val="000000"/>
                <w:vertAlign w:val="superscript"/>
              </w:rPr>
              <w:t>4</w:t>
            </w:r>
          </w:p>
        </w:tc>
        <w:tc>
          <w:tcPr>
            <w:tcW w:w="1247" w:type="dxa"/>
            <w:shd w:val="clear" w:color="auto" w:fill="auto"/>
            <w:vAlign w:val="center"/>
          </w:tcPr>
          <w:p w:rsidR="00E110DE" w:rsidRPr="00632EF3" w:rsidRDefault="00E110DE" w:rsidP="00E476AA">
            <w:pPr>
              <w:pStyle w:val="TableText"/>
              <w:jc w:val="right"/>
            </w:pPr>
            <w:r w:rsidRPr="00632EF3">
              <w:t>-$</w:t>
            </w:r>
            <w:r w:rsidR="0011633A">
              <w:rPr>
                <w:noProof/>
                <w:color w:val="000000"/>
                <w:highlight w:val="black"/>
              </w:rPr>
              <w:t>''''''''''''''</w:t>
            </w:r>
            <w:r w:rsidR="000618EE">
              <w:rPr>
                <w:color w:val="000000"/>
                <w:vertAlign w:val="superscript"/>
              </w:rPr>
              <w:t>4</w:t>
            </w:r>
          </w:p>
        </w:tc>
        <w:tc>
          <w:tcPr>
            <w:tcW w:w="1109" w:type="dxa"/>
            <w:shd w:val="clear" w:color="auto" w:fill="auto"/>
            <w:vAlign w:val="center"/>
          </w:tcPr>
          <w:p w:rsidR="00E110DE" w:rsidRPr="00632EF3" w:rsidRDefault="00E110DE" w:rsidP="00E476AA">
            <w:pPr>
              <w:pStyle w:val="TableText"/>
              <w:jc w:val="right"/>
            </w:pPr>
            <w:r w:rsidRPr="00632EF3">
              <w:t>-$</w:t>
            </w:r>
            <w:r w:rsidR="0011633A">
              <w:rPr>
                <w:noProof/>
                <w:color w:val="000000"/>
                <w:highlight w:val="black"/>
              </w:rPr>
              <w:t>''''''''''''</w:t>
            </w:r>
            <w:r w:rsidR="000618EE">
              <w:rPr>
                <w:color w:val="000000"/>
                <w:vertAlign w:val="superscript"/>
              </w:rPr>
              <w:t>4</w:t>
            </w:r>
          </w:p>
        </w:tc>
        <w:tc>
          <w:tcPr>
            <w:tcW w:w="1158" w:type="dxa"/>
            <w:gridSpan w:val="2"/>
            <w:shd w:val="clear" w:color="auto" w:fill="auto"/>
            <w:vAlign w:val="center"/>
          </w:tcPr>
          <w:p w:rsidR="00E110DE" w:rsidRPr="00632EF3" w:rsidRDefault="00E110DE" w:rsidP="00E476AA">
            <w:pPr>
              <w:pStyle w:val="TableText"/>
              <w:jc w:val="right"/>
            </w:pPr>
            <w:r w:rsidRPr="00632EF3">
              <w:t>-$</w:t>
            </w:r>
            <w:r w:rsidR="0011633A">
              <w:rPr>
                <w:noProof/>
                <w:color w:val="000000"/>
                <w:highlight w:val="black"/>
              </w:rPr>
              <w:t>''''''''''''''</w:t>
            </w:r>
            <w:r w:rsidR="000618EE">
              <w:rPr>
                <w:color w:val="000000"/>
                <w:vertAlign w:val="superscript"/>
              </w:rPr>
              <w:t>4</w:t>
            </w:r>
          </w:p>
        </w:tc>
        <w:tc>
          <w:tcPr>
            <w:tcW w:w="1098" w:type="dxa"/>
            <w:vAlign w:val="center"/>
          </w:tcPr>
          <w:p w:rsidR="00E110DE" w:rsidRPr="00632EF3" w:rsidRDefault="00E110DE" w:rsidP="00E476AA">
            <w:pPr>
              <w:pStyle w:val="TableText"/>
              <w:jc w:val="right"/>
            </w:pPr>
            <w:r w:rsidRPr="00632EF3">
              <w:t>-$</w:t>
            </w:r>
            <w:r w:rsidR="0011633A">
              <w:rPr>
                <w:noProof/>
                <w:color w:val="000000"/>
                <w:highlight w:val="black"/>
              </w:rPr>
              <w:t>''''''''''''</w:t>
            </w:r>
            <w:r w:rsidR="000618EE">
              <w:rPr>
                <w:color w:val="000000"/>
                <w:vertAlign w:val="superscript"/>
              </w:rPr>
              <w:t>4</w:t>
            </w:r>
          </w:p>
        </w:tc>
      </w:tr>
      <w:tr w:rsidR="00445A31" w:rsidRPr="00632EF3" w:rsidTr="00C848EE">
        <w:trPr>
          <w:trHeight w:val="214"/>
          <w:jc w:val="center"/>
        </w:trPr>
        <w:tc>
          <w:tcPr>
            <w:tcW w:w="2630" w:type="dxa"/>
            <w:shd w:val="clear" w:color="auto" w:fill="auto"/>
            <w:vAlign w:val="center"/>
          </w:tcPr>
          <w:p w:rsidR="00445A31" w:rsidRPr="00632EF3" w:rsidRDefault="00445A31" w:rsidP="00445A31">
            <w:pPr>
              <w:pStyle w:val="TableText"/>
            </w:pPr>
            <w:r w:rsidRPr="00632EF3">
              <w:t xml:space="preserve">Less patient </w:t>
            </w:r>
            <w:r w:rsidR="00495D40" w:rsidRPr="00632EF3">
              <w:t>co-payments</w:t>
            </w:r>
          </w:p>
        </w:tc>
        <w:tc>
          <w:tcPr>
            <w:tcW w:w="1109" w:type="dxa"/>
            <w:shd w:val="clear" w:color="auto" w:fill="auto"/>
            <w:vAlign w:val="center"/>
          </w:tcPr>
          <w:p w:rsidR="00445A31" w:rsidRPr="00632EF3" w:rsidRDefault="00445A31" w:rsidP="00445A31">
            <w:pPr>
              <w:pStyle w:val="TableText"/>
              <w:jc w:val="right"/>
              <w:rPr>
                <w:color w:val="000000"/>
              </w:rPr>
            </w:pPr>
            <w:r w:rsidRPr="00632EF3">
              <w:t>$</w:t>
            </w:r>
            <w:r w:rsidR="0011633A">
              <w:rPr>
                <w:noProof/>
                <w:color w:val="000000"/>
                <w:highlight w:val="black"/>
              </w:rPr>
              <w:t>'''''''''''''''</w:t>
            </w:r>
            <w:r w:rsidR="000618EE">
              <w:rPr>
                <w:color w:val="000000"/>
                <w:vertAlign w:val="superscript"/>
              </w:rPr>
              <w:t>4</w:t>
            </w:r>
          </w:p>
        </w:tc>
        <w:tc>
          <w:tcPr>
            <w:tcW w:w="1109" w:type="dxa"/>
            <w:shd w:val="clear" w:color="auto" w:fill="auto"/>
            <w:vAlign w:val="center"/>
          </w:tcPr>
          <w:p w:rsidR="00445A31" w:rsidRPr="00632EF3" w:rsidRDefault="00445A31" w:rsidP="00445A31">
            <w:pPr>
              <w:pStyle w:val="TableText"/>
              <w:jc w:val="right"/>
            </w:pPr>
            <w:r w:rsidRPr="00632EF3">
              <w:t>$</w:t>
            </w:r>
            <w:r w:rsidR="0011633A">
              <w:rPr>
                <w:noProof/>
                <w:color w:val="000000"/>
                <w:highlight w:val="black"/>
              </w:rPr>
              <w:t>''''''''''''''''''</w:t>
            </w:r>
            <w:r w:rsidR="000618EE">
              <w:rPr>
                <w:color w:val="000000"/>
                <w:vertAlign w:val="superscript"/>
              </w:rPr>
              <w:t>4</w:t>
            </w:r>
          </w:p>
        </w:tc>
        <w:tc>
          <w:tcPr>
            <w:tcW w:w="1247" w:type="dxa"/>
            <w:shd w:val="clear" w:color="auto" w:fill="auto"/>
            <w:vAlign w:val="center"/>
          </w:tcPr>
          <w:p w:rsidR="00445A31" w:rsidRPr="00632EF3" w:rsidRDefault="00445A31" w:rsidP="00445A31">
            <w:pPr>
              <w:pStyle w:val="TableText"/>
              <w:jc w:val="right"/>
            </w:pPr>
            <w:r w:rsidRPr="00632EF3">
              <w:t>$</w:t>
            </w:r>
            <w:r w:rsidR="0011633A">
              <w:rPr>
                <w:noProof/>
                <w:color w:val="000000"/>
                <w:highlight w:val="black"/>
              </w:rPr>
              <w:t>''''''''''''''''''</w:t>
            </w:r>
            <w:r w:rsidR="000618EE">
              <w:rPr>
                <w:color w:val="000000"/>
                <w:vertAlign w:val="superscript"/>
              </w:rPr>
              <w:t>4</w:t>
            </w:r>
          </w:p>
        </w:tc>
        <w:tc>
          <w:tcPr>
            <w:tcW w:w="1109" w:type="dxa"/>
            <w:shd w:val="clear" w:color="auto" w:fill="auto"/>
            <w:vAlign w:val="center"/>
          </w:tcPr>
          <w:p w:rsidR="00445A31" w:rsidRPr="00632EF3" w:rsidRDefault="00445A31" w:rsidP="00445A31">
            <w:pPr>
              <w:pStyle w:val="TableText"/>
              <w:jc w:val="right"/>
            </w:pPr>
            <w:r w:rsidRPr="00632EF3">
              <w:t>$</w:t>
            </w:r>
            <w:r w:rsidR="0011633A">
              <w:rPr>
                <w:noProof/>
                <w:color w:val="000000"/>
                <w:highlight w:val="black"/>
              </w:rPr>
              <w:t>''''''''''''''''''</w:t>
            </w:r>
            <w:r w:rsidR="000618EE">
              <w:rPr>
                <w:color w:val="000000"/>
                <w:vertAlign w:val="superscript"/>
              </w:rPr>
              <w:t>4</w:t>
            </w:r>
          </w:p>
        </w:tc>
        <w:tc>
          <w:tcPr>
            <w:tcW w:w="1158" w:type="dxa"/>
            <w:gridSpan w:val="2"/>
            <w:shd w:val="clear" w:color="auto" w:fill="auto"/>
            <w:vAlign w:val="center"/>
          </w:tcPr>
          <w:p w:rsidR="00445A31" w:rsidRPr="00632EF3" w:rsidRDefault="00445A31" w:rsidP="00445A31">
            <w:pPr>
              <w:pStyle w:val="TableText"/>
              <w:jc w:val="right"/>
            </w:pPr>
            <w:r w:rsidRPr="00632EF3">
              <w:t>$</w:t>
            </w:r>
            <w:r w:rsidR="0011633A">
              <w:rPr>
                <w:noProof/>
                <w:color w:val="000000"/>
                <w:highlight w:val="black"/>
              </w:rPr>
              <w:t>''''''''''''''''''</w:t>
            </w:r>
            <w:r w:rsidR="000618EE">
              <w:rPr>
                <w:color w:val="000000"/>
                <w:vertAlign w:val="superscript"/>
              </w:rPr>
              <w:t>4</w:t>
            </w:r>
          </w:p>
        </w:tc>
        <w:tc>
          <w:tcPr>
            <w:tcW w:w="1098" w:type="dxa"/>
            <w:vAlign w:val="center"/>
          </w:tcPr>
          <w:p w:rsidR="00445A31" w:rsidRPr="00632EF3" w:rsidRDefault="00445A31" w:rsidP="00445A31">
            <w:pPr>
              <w:pStyle w:val="TableText"/>
              <w:jc w:val="right"/>
            </w:pPr>
            <w:r w:rsidRPr="00632EF3">
              <w:t>$</w:t>
            </w:r>
            <w:r w:rsidR="0011633A">
              <w:rPr>
                <w:noProof/>
                <w:color w:val="000000"/>
                <w:highlight w:val="black"/>
              </w:rPr>
              <w:t>''''''''''''''''''</w:t>
            </w:r>
            <w:r w:rsidR="000618EE">
              <w:rPr>
                <w:color w:val="000000"/>
                <w:vertAlign w:val="superscript"/>
              </w:rPr>
              <w:t>4</w:t>
            </w:r>
          </w:p>
        </w:tc>
      </w:tr>
      <w:tr w:rsidR="00FA54C7" w:rsidRPr="00632EF3" w:rsidTr="00C848EE">
        <w:trPr>
          <w:trHeight w:val="214"/>
          <w:jc w:val="center"/>
        </w:trPr>
        <w:tc>
          <w:tcPr>
            <w:tcW w:w="9464" w:type="dxa"/>
            <w:gridSpan w:val="8"/>
            <w:shd w:val="clear" w:color="auto" w:fill="auto"/>
            <w:vAlign w:val="center"/>
          </w:tcPr>
          <w:p w:rsidR="00FA54C7" w:rsidRPr="00632EF3" w:rsidRDefault="00FA54C7" w:rsidP="00B5786E">
            <w:pPr>
              <w:pStyle w:val="TableText"/>
              <w:rPr>
                <w:b/>
                <w:color w:val="000000"/>
              </w:rPr>
            </w:pPr>
            <w:r w:rsidRPr="00632EF3">
              <w:rPr>
                <w:b/>
                <w:color w:val="000000"/>
              </w:rPr>
              <w:t>Estimated net financial implications</w:t>
            </w:r>
          </w:p>
        </w:tc>
      </w:tr>
      <w:tr w:rsidR="00E110DE" w:rsidRPr="00632EF3" w:rsidTr="00C848EE">
        <w:trPr>
          <w:trHeight w:val="214"/>
          <w:jc w:val="center"/>
        </w:trPr>
        <w:tc>
          <w:tcPr>
            <w:tcW w:w="2630" w:type="dxa"/>
            <w:shd w:val="clear" w:color="auto" w:fill="auto"/>
            <w:vAlign w:val="center"/>
          </w:tcPr>
          <w:p w:rsidR="00B5786E" w:rsidRPr="00632EF3" w:rsidRDefault="00B5786E" w:rsidP="00533C74">
            <w:pPr>
              <w:pStyle w:val="TableText"/>
            </w:pPr>
            <w:r w:rsidRPr="00632EF3">
              <w:t>Net cost to PBS</w:t>
            </w:r>
          </w:p>
        </w:tc>
        <w:tc>
          <w:tcPr>
            <w:tcW w:w="1109" w:type="dxa"/>
            <w:shd w:val="clear" w:color="auto" w:fill="auto"/>
            <w:vAlign w:val="center"/>
          </w:tcPr>
          <w:p w:rsidR="00B5786E" w:rsidRPr="00632EF3" w:rsidRDefault="00B5786E" w:rsidP="00E476AA">
            <w:pPr>
              <w:pStyle w:val="TableText"/>
              <w:jc w:val="right"/>
              <w:rPr>
                <w:color w:val="000000"/>
              </w:rPr>
            </w:pPr>
            <w:r w:rsidRPr="00632EF3">
              <w:t>-$</w:t>
            </w:r>
            <w:r w:rsidR="0011633A">
              <w:rPr>
                <w:noProof/>
                <w:color w:val="000000"/>
                <w:highlight w:val="black"/>
              </w:rPr>
              <w:t>'''''''''''''''''</w:t>
            </w:r>
            <w:r w:rsidR="000618EE">
              <w:rPr>
                <w:color w:val="000000"/>
                <w:vertAlign w:val="superscript"/>
              </w:rPr>
              <w:t>4</w:t>
            </w:r>
          </w:p>
        </w:tc>
        <w:tc>
          <w:tcPr>
            <w:tcW w:w="1109" w:type="dxa"/>
            <w:shd w:val="clear" w:color="auto" w:fill="auto"/>
            <w:vAlign w:val="center"/>
          </w:tcPr>
          <w:p w:rsidR="00B5786E" w:rsidRPr="00632EF3" w:rsidRDefault="00B5786E" w:rsidP="00E476AA">
            <w:pPr>
              <w:pStyle w:val="TableText"/>
              <w:jc w:val="right"/>
              <w:rPr>
                <w:color w:val="000000"/>
              </w:rPr>
            </w:pPr>
            <w:r w:rsidRPr="00632EF3">
              <w:t>-$</w:t>
            </w:r>
            <w:r w:rsidR="0011633A">
              <w:rPr>
                <w:noProof/>
                <w:color w:val="000000"/>
                <w:highlight w:val="black"/>
              </w:rPr>
              <w:t>''''''''''''''''''</w:t>
            </w:r>
            <w:r w:rsidR="000618EE">
              <w:rPr>
                <w:color w:val="000000"/>
                <w:vertAlign w:val="superscript"/>
              </w:rPr>
              <w:t>4</w:t>
            </w:r>
          </w:p>
        </w:tc>
        <w:tc>
          <w:tcPr>
            <w:tcW w:w="1247" w:type="dxa"/>
            <w:shd w:val="clear" w:color="auto" w:fill="auto"/>
            <w:vAlign w:val="center"/>
          </w:tcPr>
          <w:p w:rsidR="00B5786E" w:rsidRPr="00632EF3" w:rsidRDefault="00B5786E" w:rsidP="00E476AA">
            <w:pPr>
              <w:pStyle w:val="TableText"/>
              <w:jc w:val="right"/>
              <w:rPr>
                <w:color w:val="000000"/>
              </w:rPr>
            </w:pPr>
            <w:r w:rsidRPr="00632EF3">
              <w:t>-$</w:t>
            </w:r>
            <w:r w:rsidR="0011633A">
              <w:rPr>
                <w:noProof/>
                <w:color w:val="000000"/>
                <w:highlight w:val="black"/>
              </w:rPr>
              <w:t>'''''''''''''''''</w:t>
            </w:r>
            <w:r w:rsidR="000618EE">
              <w:rPr>
                <w:color w:val="000000"/>
                <w:vertAlign w:val="superscript"/>
              </w:rPr>
              <w:t>4</w:t>
            </w:r>
          </w:p>
        </w:tc>
        <w:tc>
          <w:tcPr>
            <w:tcW w:w="1109" w:type="dxa"/>
            <w:shd w:val="clear" w:color="auto" w:fill="auto"/>
            <w:vAlign w:val="center"/>
          </w:tcPr>
          <w:p w:rsidR="00B5786E" w:rsidRPr="00632EF3" w:rsidRDefault="00B5786E" w:rsidP="00E476AA">
            <w:pPr>
              <w:pStyle w:val="TableText"/>
              <w:jc w:val="right"/>
              <w:rPr>
                <w:color w:val="000000"/>
              </w:rPr>
            </w:pPr>
            <w:r w:rsidRPr="00632EF3">
              <w:t>-$</w:t>
            </w:r>
            <w:r w:rsidR="0011633A">
              <w:rPr>
                <w:noProof/>
                <w:color w:val="000000"/>
                <w:highlight w:val="black"/>
              </w:rPr>
              <w:t>'''''''''''''''</w:t>
            </w:r>
            <w:r w:rsidR="000618EE">
              <w:rPr>
                <w:color w:val="000000"/>
                <w:vertAlign w:val="superscript"/>
              </w:rPr>
              <w:t>4</w:t>
            </w:r>
          </w:p>
        </w:tc>
        <w:tc>
          <w:tcPr>
            <w:tcW w:w="1158" w:type="dxa"/>
            <w:gridSpan w:val="2"/>
            <w:shd w:val="clear" w:color="auto" w:fill="auto"/>
            <w:vAlign w:val="center"/>
          </w:tcPr>
          <w:p w:rsidR="00B5786E" w:rsidRPr="00632EF3" w:rsidRDefault="00B5786E" w:rsidP="00E476AA">
            <w:pPr>
              <w:pStyle w:val="TableText"/>
              <w:jc w:val="right"/>
              <w:rPr>
                <w:color w:val="000000"/>
              </w:rPr>
            </w:pPr>
            <w:r w:rsidRPr="00632EF3">
              <w:t>-$</w:t>
            </w:r>
            <w:r w:rsidR="0011633A">
              <w:rPr>
                <w:noProof/>
                <w:color w:val="000000"/>
                <w:highlight w:val="black"/>
              </w:rPr>
              <w:t>''''''''''''''''''</w:t>
            </w:r>
            <w:r w:rsidR="000618EE">
              <w:rPr>
                <w:color w:val="000000"/>
                <w:vertAlign w:val="superscript"/>
              </w:rPr>
              <w:t>4</w:t>
            </w:r>
          </w:p>
        </w:tc>
        <w:tc>
          <w:tcPr>
            <w:tcW w:w="1098" w:type="dxa"/>
            <w:vAlign w:val="center"/>
          </w:tcPr>
          <w:p w:rsidR="00B5786E" w:rsidRPr="00632EF3" w:rsidRDefault="00B5786E" w:rsidP="00E476AA">
            <w:pPr>
              <w:pStyle w:val="TableText"/>
              <w:jc w:val="right"/>
              <w:rPr>
                <w:color w:val="000000"/>
              </w:rPr>
            </w:pPr>
            <w:r w:rsidRPr="00632EF3">
              <w:t>-$</w:t>
            </w:r>
            <w:r w:rsidR="0011633A">
              <w:rPr>
                <w:noProof/>
                <w:color w:val="000000"/>
                <w:highlight w:val="black"/>
              </w:rPr>
              <w:t>''''''''''''''''''</w:t>
            </w:r>
            <w:r w:rsidR="000618EE">
              <w:rPr>
                <w:color w:val="000000"/>
                <w:vertAlign w:val="superscript"/>
              </w:rPr>
              <w:t>4</w:t>
            </w:r>
          </w:p>
        </w:tc>
      </w:tr>
      <w:tr w:rsidR="00E110DE" w:rsidRPr="00632EF3" w:rsidTr="00C848EE">
        <w:trPr>
          <w:trHeight w:val="207"/>
          <w:jc w:val="center"/>
        </w:trPr>
        <w:tc>
          <w:tcPr>
            <w:tcW w:w="2630" w:type="dxa"/>
            <w:shd w:val="clear" w:color="auto" w:fill="auto"/>
            <w:vAlign w:val="center"/>
          </w:tcPr>
          <w:p w:rsidR="00B5786E" w:rsidRPr="00632EF3" w:rsidRDefault="00B5786E" w:rsidP="00533C74">
            <w:pPr>
              <w:pStyle w:val="TableText"/>
            </w:pPr>
            <w:r w:rsidRPr="00632EF3">
              <w:t>Net cost to RPBS</w:t>
            </w:r>
          </w:p>
        </w:tc>
        <w:tc>
          <w:tcPr>
            <w:tcW w:w="1109" w:type="dxa"/>
            <w:tcBorders>
              <w:bottom w:val="single" w:sz="4" w:space="0" w:color="auto"/>
            </w:tcBorders>
            <w:shd w:val="clear" w:color="auto" w:fill="auto"/>
            <w:vAlign w:val="center"/>
          </w:tcPr>
          <w:p w:rsidR="00B5786E" w:rsidRPr="00632EF3" w:rsidRDefault="00B5786E" w:rsidP="00E476AA">
            <w:pPr>
              <w:pStyle w:val="TableText"/>
              <w:jc w:val="right"/>
              <w:rPr>
                <w:color w:val="000000"/>
              </w:rPr>
            </w:pPr>
            <w:r w:rsidRPr="00632EF3">
              <w:t>$</w:t>
            </w:r>
            <w:r w:rsidR="0011633A">
              <w:rPr>
                <w:noProof/>
                <w:color w:val="000000"/>
                <w:highlight w:val="black"/>
              </w:rPr>
              <w:t>'''</w:t>
            </w:r>
            <w:r w:rsidR="000618EE">
              <w:rPr>
                <w:color w:val="000000"/>
                <w:vertAlign w:val="superscript"/>
              </w:rPr>
              <w:t>4</w:t>
            </w:r>
          </w:p>
        </w:tc>
        <w:tc>
          <w:tcPr>
            <w:tcW w:w="1109" w:type="dxa"/>
            <w:tcBorders>
              <w:bottom w:val="single" w:sz="4" w:space="0" w:color="auto"/>
            </w:tcBorders>
            <w:shd w:val="clear" w:color="auto" w:fill="auto"/>
            <w:vAlign w:val="center"/>
          </w:tcPr>
          <w:p w:rsidR="00B5786E" w:rsidRPr="00632EF3" w:rsidRDefault="00B5786E" w:rsidP="00E476AA">
            <w:pPr>
              <w:pStyle w:val="TableText"/>
              <w:jc w:val="right"/>
              <w:rPr>
                <w:color w:val="000000"/>
              </w:rPr>
            </w:pPr>
            <w:r w:rsidRPr="00632EF3">
              <w:t>$</w:t>
            </w:r>
            <w:r w:rsidR="0011633A">
              <w:rPr>
                <w:noProof/>
                <w:color w:val="000000"/>
                <w:highlight w:val="black"/>
              </w:rPr>
              <w:t>'''</w:t>
            </w:r>
            <w:r w:rsidR="000618EE">
              <w:rPr>
                <w:color w:val="000000"/>
                <w:vertAlign w:val="superscript"/>
              </w:rPr>
              <w:t>4</w:t>
            </w:r>
          </w:p>
        </w:tc>
        <w:tc>
          <w:tcPr>
            <w:tcW w:w="1247" w:type="dxa"/>
            <w:tcBorders>
              <w:bottom w:val="single" w:sz="4" w:space="0" w:color="auto"/>
            </w:tcBorders>
            <w:shd w:val="clear" w:color="auto" w:fill="auto"/>
            <w:vAlign w:val="center"/>
          </w:tcPr>
          <w:p w:rsidR="00B5786E" w:rsidRPr="00632EF3" w:rsidRDefault="00B5786E" w:rsidP="00E476AA">
            <w:pPr>
              <w:pStyle w:val="TableText"/>
              <w:jc w:val="right"/>
              <w:rPr>
                <w:color w:val="000000"/>
              </w:rPr>
            </w:pPr>
            <w:r w:rsidRPr="00632EF3">
              <w:t>$</w:t>
            </w:r>
            <w:r w:rsidR="0011633A">
              <w:rPr>
                <w:noProof/>
                <w:color w:val="000000"/>
                <w:highlight w:val="black"/>
              </w:rPr>
              <w:t>'''</w:t>
            </w:r>
            <w:r w:rsidR="000618EE">
              <w:rPr>
                <w:color w:val="000000"/>
                <w:vertAlign w:val="superscript"/>
              </w:rPr>
              <w:t>4</w:t>
            </w:r>
          </w:p>
        </w:tc>
        <w:tc>
          <w:tcPr>
            <w:tcW w:w="1109" w:type="dxa"/>
            <w:tcBorders>
              <w:bottom w:val="single" w:sz="4" w:space="0" w:color="auto"/>
            </w:tcBorders>
            <w:shd w:val="clear" w:color="auto" w:fill="auto"/>
            <w:vAlign w:val="center"/>
          </w:tcPr>
          <w:p w:rsidR="00B5786E" w:rsidRPr="00632EF3" w:rsidRDefault="00B5786E" w:rsidP="00E476AA">
            <w:pPr>
              <w:pStyle w:val="TableText"/>
              <w:jc w:val="right"/>
              <w:rPr>
                <w:color w:val="000000"/>
              </w:rPr>
            </w:pPr>
            <w:r w:rsidRPr="00632EF3">
              <w:t>$</w:t>
            </w:r>
            <w:r w:rsidR="0011633A">
              <w:rPr>
                <w:noProof/>
                <w:color w:val="000000"/>
                <w:highlight w:val="black"/>
              </w:rPr>
              <w:t>'''</w:t>
            </w:r>
            <w:r w:rsidR="000618EE">
              <w:rPr>
                <w:color w:val="000000"/>
                <w:vertAlign w:val="superscript"/>
              </w:rPr>
              <w:t>4</w:t>
            </w:r>
          </w:p>
        </w:tc>
        <w:tc>
          <w:tcPr>
            <w:tcW w:w="1158" w:type="dxa"/>
            <w:gridSpan w:val="2"/>
            <w:tcBorders>
              <w:bottom w:val="single" w:sz="4" w:space="0" w:color="auto"/>
            </w:tcBorders>
            <w:shd w:val="clear" w:color="auto" w:fill="auto"/>
            <w:vAlign w:val="center"/>
          </w:tcPr>
          <w:p w:rsidR="00B5786E" w:rsidRPr="00632EF3" w:rsidRDefault="00B5786E" w:rsidP="00E476AA">
            <w:pPr>
              <w:pStyle w:val="TableText"/>
              <w:jc w:val="right"/>
              <w:rPr>
                <w:color w:val="000000"/>
              </w:rPr>
            </w:pPr>
            <w:r w:rsidRPr="00632EF3">
              <w:t>$</w:t>
            </w:r>
            <w:r w:rsidR="0011633A">
              <w:rPr>
                <w:noProof/>
                <w:color w:val="000000"/>
                <w:highlight w:val="black"/>
              </w:rPr>
              <w:t>'''</w:t>
            </w:r>
            <w:r w:rsidR="000618EE">
              <w:rPr>
                <w:color w:val="000000"/>
                <w:vertAlign w:val="superscript"/>
              </w:rPr>
              <w:t>4</w:t>
            </w:r>
          </w:p>
        </w:tc>
        <w:tc>
          <w:tcPr>
            <w:tcW w:w="1098" w:type="dxa"/>
            <w:tcBorders>
              <w:bottom w:val="single" w:sz="4" w:space="0" w:color="auto"/>
            </w:tcBorders>
            <w:vAlign w:val="center"/>
          </w:tcPr>
          <w:p w:rsidR="00B5786E" w:rsidRPr="00632EF3" w:rsidRDefault="00B5786E" w:rsidP="00E476AA">
            <w:pPr>
              <w:pStyle w:val="TableText"/>
              <w:jc w:val="right"/>
              <w:rPr>
                <w:color w:val="000000"/>
              </w:rPr>
            </w:pPr>
            <w:r w:rsidRPr="00632EF3">
              <w:t>$</w:t>
            </w:r>
            <w:r w:rsidR="0011633A">
              <w:rPr>
                <w:noProof/>
                <w:color w:val="000000"/>
                <w:highlight w:val="black"/>
              </w:rPr>
              <w:t>''''</w:t>
            </w:r>
            <w:r w:rsidR="000618EE">
              <w:rPr>
                <w:color w:val="000000"/>
                <w:vertAlign w:val="superscript"/>
              </w:rPr>
              <w:t>4</w:t>
            </w:r>
          </w:p>
        </w:tc>
      </w:tr>
      <w:tr w:rsidR="00E110DE" w:rsidRPr="00632EF3" w:rsidTr="00C848EE">
        <w:trPr>
          <w:trHeight w:val="214"/>
          <w:jc w:val="center"/>
        </w:trPr>
        <w:tc>
          <w:tcPr>
            <w:tcW w:w="2630" w:type="dxa"/>
            <w:shd w:val="clear" w:color="auto" w:fill="auto"/>
            <w:vAlign w:val="center"/>
          </w:tcPr>
          <w:p w:rsidR="00B5786E" w:rsidRPr="00632EF3" w:rsidRDefault="00B5786E" w:rsidP="00533C74">
            <w:pPr>
              <w:pStyle w:val="TableText"/>
            </w:pPr>
            <w:r w:rsidRPr="00632EF3">
              <w:t>Net cost to PBS/RPBS</w:t>
            </w:r>
          </w:p>
        </w:tc>
        <w:tc>
          <w:tcPr>
            <w:tcW w:w="1109" w:type="dxa"/>
            <w:tcBorders>
              <w:top w:val="single" w:sz="4" w:space="0" w:color="auto"/>
              <w:left w:val="nil"/>
              <w:bottom w:val="single" w:sz="4" w:space="0" w:color="auto"/>
              <w:right w:val="single" w:sz="4" w:space="0" w:color="auto"/>
            </w:tcBorders>
            <w:shd w:val="clear" w:color="auto" w:fill="auto"/>
            <w:vAlign w:val="center"/>
          </w:tcPr>
          <w:p w:rsidR="00B5786E" w:rsidRPr="00632EF3" w:rsidRDefault="00B5786E" w:rsidP="00E476AA">
            <w:pPr>
              <w:pStyle w:val="TableText"/>
              <w:jc w:val="right"/>
            </w:pPr>
            <w:r w:rsidRPr="00632EF3">
              <w:t>-$</w:t>
            </w:r>
            <w:r w:rsidR="0011633A">
              <w:rPr>
                <w:noProof/>
                <w:color w:val="000000"/>
                <w:highlight w:val="black"/>
              </w:rPr>
              <w:t>'''''''''''''''''</w:t>
            </w:r>
            <w:r w:rsidR="000618EE">
              <w:rPr>
                <w:color w:val="000000"/>
                <w:vertAlign w:val="superscript"/>
              </w:rPr>
              <w:t>4</w:t>
            </w: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rsidR="00B5786E" w:rsidRPr="00632EF3" w:rsidRDefault="00B5786E" w:rsidP="00E476AA">
            <w:pPr>
              <w:pStyle w:val="TableText"/>
              <w:jc w:val="right"/>
            </w:pPr>
            <w:r w:rsidRPr="00632EF3">
              <w:t>-$</w:t>
            </w:r>
            <w:r w:rsidR="0011633A">
              <w:rPr>
                <w:noProof/>
                <w:color w:val="000000"/>
                <w:highlight w:val="black"/>
              </w:rPr>
              <w:t>'''''''''''''''''</w:t>
            </w:r>
            <w:r w:rsidR="00D720B6">
              <w:rPr>
                <w:color w:val="000000"/>
                <w:vertAlign w:val="superscript"/>
              </w:rPr>
              <w:t>4</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B5786E" w:rsidRPr="00632EF3" w:rsidRDefault="00B5786E" w:rsidP="00E476AA">
            <w:pPr>
              <w:pStyle w:val="TableText"/>
              <w:jc w:val="right"/>
            </w:pPr>
            <w:r w:rsidRPr="00632EF3">
              <w:t>-$</w:t>
            </w:r>
            <w:r w:rsidR="0011633A">
              <w:rPr>
                <w:noProof/>
                <w:color w:val="000000"/>
                <w:highlight w:val="black"/>
              </w:rPr>
              <w:t>''''''''''''''''</w:t>
            </w:r>
            <w:r w:rsidR="00D720B6">
              <w:rPr>
                <w:color w:val="000000"/>
                <w:vertAlign w:val="superscript"/>
              </w:rPr>
              <w:t>4</w:t>
            </w: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rsidR="00B5786E" w:rsidRPr="00632EF3" w:rsidRDefault="00B5786E" w:rsidP="00E476AA">
            <w:pPr>
              <w:pStyle w:val="TableText"/>
              <w:jc w:val="right"/>
            </w:pPr>
            <w:r w:rsidRPr="00632EF3">
              <w:t>-$</w:t>
            </w:r>
            <w:r w:rsidR="0011633A">
              <w:rPr>
                <w:noProof/>
                <w:color w:val="000000"/>
                <w:highlight w:val="black"/>
              </w:rPr>
              <w:t>''''''''''''''''''</w:t>
            </w:r>
            <w:r w:rsidR="00D720B6">
              <w:rPr>
                <w:color w:val="000000"/>
                <w:vertAlign w:val="superscript"/>
              </w:rPr>
              <w:t>4</w:t>
            </w:r>
          </w:p>
        </w:tc>
        <w:tc>
          <w:tcPr>
            <w:tcW w:w="11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5786E" w:rsidRPr="00632EF3" w:rsidRDefault="00B5786E" w:rsidP="00E476AA">
            <w:pPr>
              <w:pStyle w:val="TableText"/>
              <w:jc w:val="right"/>
            </w:pPr>
            <w:r w:rsidRPr="00632EF3">
              <w:t>-$</w:t>
            </w:r>
            <w:r w:rsidR="0011633A">
              <w:rPr>
                <w:noProof/>
                <w:color w:val="000000"/>
                <w:highlight w:val="black"/>
              </w:rPr>
              <w:t>''''''''''''''''''''</w:t>
            </w:r>
            <w:r w:rsidR="00D720B6">
              <w:rPr>
                <w:color w:val="000000"/>
                <w:vertAlign w:val="superscript"/>
              </w:rPr>
              <w:t>4</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B5786E" w:rsidRPr="00632EF3" w:rsidRDefault="00B5786E" w:rsidP="00E476AA">
            <w:pPr>
              <w:pStyle w:val="TableText"/>
              <w:jc w:val="right"/>
            </w:pPr>
            <w:r w:rsidRPr="00632EF3">
              <w:t>-$</w:t>
            </w:r>
            <w:r w:rsidR="0011633A">
              <w:rPr>
                <w:noProof/>
                <w:color w:val="000000"/>
                <w:highlight w:val="black"/>
              </w:rPr>
              <w:t>''''''''''''''''''''</w:t>
            </w:r>
            <w:r w:rsidR="00D720B6">
              <w:rPr>
                <w:color w:val="000000"/>
                <w:vertAlign w:val="superscript"/>
              </w:rPr>
              <w:t>4</w:t>
            </w:r>
          </w:p>
        </w:tc>
      </w:tr>
      <w:tr w:rsidR="00E110DE" w:rsidRPr="00632EF3" w:rsidTr="00C848EE">
        <w:trPr>
          <w:trHeight w:val="214"/>
          <w:jc w:val="center"/>
        </w:trPr>
        <w:tc>
          <w:tcPr>
            <w:tcW w:w="2630" w:type="dxa"/>
            <w:shd w:val="clear" w:color="auto" w:fill="auto"/>
            <w:vAlign w:val="center"/>
          </w:tcPr>
          <w:p w:rsidR="00533C74" w:rsidRPr="00632EF3" w:rsidRDefault="00533C74" w:rsidP="00533C74">
            <w:pPr>
              <w:pStyle w:val="TableText"/>
            </w:pPr>
            <w:r w:rsidRPr="00632EF3">
              <w:t>Net cost to MBS</w:t>
            </w:r>
          </w:p>
        </w:tc>
        <w:tc>
          <w:tcPr>
            <w:tcW w:w="1109" w:type="dxa"/>
            <w:tcBorders>
              <w:top w:val="single" w:sz="4" w:space="0" w:color="auto"/>
              <w:left w:val="nil"/>
              <w:bottom w:val="single" w:sz="4" w:space="0" w:color="auto"/>
              <w:right w:val="single" w:sz="4" w:space="0" w:color="auto"/>
            </w:tcBorders>
            <w:shd w:val="clear" w:color="auto" w:fill="auto"/>
            <w:vAlign w:val="center"/>
          </w:tcPr>
          <w:p w:rsidR="00533C74" w:rsidRPr="00632EF3" w:rsidRDefault="00533C74" w:rsidP="00E476AA">
            <w:pPr>
              <w:pStyle w:val="TableText"/>
              <w:jc w:val="right"/>
            </w:pPr>
            <w:r w:rsidRPr="00632EF3">
              <w:rPr>
                <w:color w:val="000000"/>
              </w:rPr>
              <w:t>$</w:t>
            </w:r>
            <w:r w:rsidR="0011633A">
              <w:rPr>
                <w:noProof/>
                <w:color w:val="000000"/>
                <w:highlight w:val="black"/>
              </w:rPr>
              <w:t>''''</w:t>
            </w:r>
            <w:r w:rsidR="000618EE">
              <w:rPr>
                <w:color w:val="000000"/>
                <w:vertAlign w:val="superscript"/>
              </w:rPr>
              <w:t>4</w:t>
            </w: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rsidR="00533C74" w:rsidRPr="00632EF3" w:rsidRDefault="00533C74" w:rsidP="00E476AA">
            <w:pPr>
              <w:pStyle w:val="TableText"/>
              <w:jc w:val="right"/>
            </w:pPr>
            <w:r w:rsidRPr="00632EF3">
              <w:rPr>
                <w:color w:val="000000"/>
              </w:rPr>
              <w:t>$</w:t>
            </w:r>
            <w:r w:rsidR="0011633A">
              <w:rPr>
                <w:noProof/>
                <w:color w:val="000000"/>
                <w:highlight w:val="black"/>
              </w:rPr>
              <w:t>''''</w:t>
            </w:r>
            <w:r w:rsidR="00D720B6">
              <w:rPr>
                <w:color w:val="000000"/>
                <w:vertAlign w:val="superscript"/>
              </w:rPr>
              <w:t>4</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533C74" w:rsidRPr="00632EF3" w:rsidRDefault="00533C74" w:rsidP="00E476AA">
            <w:pPr>
              <w:pStyle w:val="TableText"/>
              <w:jc w:val="right"/>
            </w:pPr>
            <w:r w:rsidRPr="00632EF3">
              <w:rPr>
                <w:color w:val="000000"/>
              </w:rPr>
              <w:t>$</w:t>
            </w:r>
            <w:r w:rsidR="0011633A">
              <w:rPr>
                <w:noProof/>
                <w:color w:val="000000"/>
                <w:highlight w:val="black"/>
              </w:rPr>
              <w:t>''''</w:t>
            </w:r>
            <w:r w:rsidR="00D720B6">
              <w:rPr>
                <w:color w:val="000000"/>
                <w:vertAlign w:val="superscript"/>
              </w:rPr>
              <w:t>4</w:t>
            </w: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rsidR="00533C74" w:rsidRPr="00632EF3" w:rsidRDefault="00533C74" w:rsidP="00E476AA">
            <w:pPr>
              <w:pStyle w:val="TableText"/>
              <w:jc w:val="right"/>
            </w:pPr>
            <w:r w:rsidRPr="00632EF3">
              <w:rPr>
                <w:color w:val="000000"/>
              </w:rPr>
              <w:t>$</w:t>
            </w:r>
            <w:r w:rsidR="0011633A">
              <w:rPr>
                <w:noProof/>
                <w:color w:val="000000"/>
                <w:highlight w:val="black"/>
              </w:rPr>
              <w:t>'''</w:t>
            </w:r>
            <w:r w:rsidR="00D720B6">
              <w:rPr>
                <w:color w:val="000000"/>
                <w:vertAlign w:val="superscript"/>
              </w:rPr>
              <w:t>4</w:t>
            </w:r>
          </w:p>
        </w:tc>
        <w:tc>
          <w:tcPr>
            <w:tcW w:w="11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3C74" w:rsidRPr="00632EF3" w:rsidRDefault="00533C74" w:rsidP="00E476AA">
            <w:pPr>
              <w:pStyle w:val="TableText"/>
              <w:jc w:val="right"/>
            </w:pPr>
            <w:r w:rsidRPr="00632EF3">
              <w:rPr>
                <w:color w:val="000000"/>
              </w:rPr>
              <w:t>$</w:t>
            </w:r>
            <w:r w:rsidR="0011633A">
              <w:rPr>
                <w:noProof/>
                <w:color w:val="000000"/>
                <w:highlight w:val="black"/>
              </w:rPr>
              <w:t>'''</w:t>
            </w:r>
            <w:r w:rsidR="00D720B6">
              <w:rPr>
                <w:color w:val="000000"/>
                <w:vertAlign w:val="superscript"/>
              </w:rPr>
              <w:t>4</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533C74" w:rsidRPr="00632EF3" w:rsidRDefault="00533C74" w:rsidP="00E476AA">
            <w:pPr>
              <w:pStyle w:val="TableText"/>
              <w:jc w:val="right"/>
            </w:pPr>
            <w:r w:rsidRPr="00632EF3">
              <w:rPr>
                <w:color w:val="000000"/>
              </w:rPr>
              <w:t>$</w:t>
            </w:r>
            <w:r w:rsidR="0011633A">
              <w:rPr>
                <w:noProof/>
                <w:color w:val="000000"/>
                <w:highlight w:val="black"/>
              </w:rPr>
              <w:t>''''</w:t>
            </w:r>
            <w:r w:rsidR="00D720B6">
              <w:rPr>
                <w:color w:val="000000"/>
                <w:vertAlign w:val="superscript"/>
              </w:rPr>
              <w:t>4</w:t>
            </w:r>
          </w:p>
        </w:tc>
      </w:tr>
      <w:tr w:rsidR="00E110DE" w:rsidRPr="00632EF3" w:rsidTr="00C848EE">
        <w:trPr>
          <w:trHeight w:val="214"/>
          <w:jc w:val="center"/>
        </w:trPr>
        <w:tc>
          <w:tcPr>
            <w:tcW w:w="2630" w:type="dxa"/>
            <w:shd w:val="clear" w:color="auto" w:fill="auto"/>
            <w:vAlign w:val="center"/>
          </w:tcPr>
          <w:p w:rsidR="00533C74" w:rsidRPr="00632EF3" w:rsidRDefault="00533C74" w:rsidP="00533C74">
            <w:pPr>
              <w:pStyle w:val="TableText"/>
              <w:rPr>
                <w:b/>
              </w:rPr>
            </w:pPr>
            <w:r w:rsidRPr="00632EF3">
              <w:rPr>
                <w:b/>
              </w:rPr>
              <w:t>Net cost to Government</w:t>
            </w:r>
          </w:p>
        </w:tc>
        <w:tc>
          <w:tcPr>
            <w:tcW w:w="1109" w:type="dxa"/>
            <w:tcBorders>
              <w:top w:val="single" w:sz="4" w:space="0" w:color="auto"/>
            </w:tcBorders>
            <w:shd w:val="clear" w:color="auto" w:fill="auto"/>
            <w:vAlign w:val="center"/>
          </w:tcPr>
          <w:p w:rsidR="00533C74" w:rsidRPr="00632EF3" w:rsidRDefault="00533C74" w:rsidP="00E476AA">
            <w:pPr>
              <w:pStyle w:val="TableText"/>
              <w:jc w:val="right"/>
              <w:rPr>
                <w:b/>
                <w:color w:val="000000"/>
              </w:rPr>
            </w:pPr>
            <w:r w:rsidRPr="00632EF3">
              <w:rPr>
                <w:b/>
              </w:rPr>
              <w:t>-$</w:t>
            </w:r>
            <w:r w:rsidR="0011633A">
              <w:rPr>
                <w:b/>
                <w:noProof/>
                <w:color w:val="000000"/>
                <w:highlight w:val="black"/>
              </w:rPr>
              <w:t>''''''''''''''</w:t>
            </w:r>
            <w:r w:rsidR="000618EE">
              <w:rPr>
                <w:color w:val="000000"/>
                <w:vertAlign w:val="superscript"/>
              </w:rPr>
              <w:t>4</w:t>
            </w:r>
          </w:p>
        </w:tc>
        <w:tc>
          <w:tcPr>
            <w:tcW w:w="1109" w:type="dxa"/>
            <w:tcBorders>
              <w:top w:val="single" w:sz="4" w:space="0" w:color="auto"/>
            </w:tcBorders>
            <w:shd w:val="clear" w:color="auto" w:fill="auto"/>
            <w:vAlign w:val="center"/>
          </w:tcPr>
          <w:p w:rsidR="00533C74" w:rsidRPr="00632EF3" w:rsidRDefault="00533C74" w:rsidP="00E476AA">
            <w:pPr>
              <w:pStyle w:val="TableText"/>
              <w:jc w:val="right"/>
              <w:rPr>
                <w:b/>
                <w:color w:val="000000"/>
              </w:rPr>
            </w:pPr>
            <w:r w:rsidRPr="00632EF3">
              <w:rPr>
                <w:b/>
              </w:rPr>
              <w:t>-$</w:t>
            </w:r>
            <w:r w:rsidR="0011633A">
              <w:rPr>
                <w:b/>
                <w:noProof/>
                <w:color w:val="000000"/>
                <w:highlight w:val="black"/>
              </w:rPr>
              <w:t>'''''''''''''</w:t>
            </w:r>
            <w:r w:rsidR="00D720B6">
              <w:rPr>
                <w:color w:val="000000"/>
                <w:vertAlign w:val="superscript"/>
              </w:rPr>
              <w:t>4</w:t>
            </w:r>
          </w:p>
        </w:tc>
        <w:tc>
          <w:tcPr>
            <w:tcW w:w="1247" w:type="dxa"/>
            <w:tcBorders>
              <w:top w:val="single" w:sz="4" w:space="0" w:color="auto"/>
            </w:tcBorders>
            <w:shd w:val="clear" w:color="auto" w:fill="auto"/>
            <w:vAlign w:val="center"/>
          </w:tcPr>
          <w:p w:rsidR="00533C74" w:rsidRPr="00632EF3" w:rsidRDefault="00533C74" w:rsidP="00E476AA">
            <w:pPr>
              <w:pStyle w:val="TableText"/>
              <w:jc w:val="right"/>
              <w:rPr>
                <w:b/>
                <w:color w:val="000000"/>
              </w:rPr>
            </w:pPr>
            <w:r w:rsidRPr="00632EF3">
              <w:rPr>
                <w:b/>
              </w:rPr>
              <w:t>-$</w:t>
            </w:r>
            <w:r w:rsidR="0011633A">
              <w:rPr>
                <w:b/>
                <w:noProof/>
                <w:color w:val="000000"/>
                <w:highlight w:val="black"/>
              </w:rPr>
              <w:t>''''''''''''</w:t>
            </w:r>
            <w:r w:rsidR="00D720B6">
              <w:rPr>
                <w:color w:val="000000"/>
                <w:vertAlign w:val="superscript"/>
              </w:rPr>
              <w:t>4</w:t>
            </w:r>
          </w:p>
        </w:tc>
        <w:tc>
          <w:tcPr>
            <w:tcW w:w="1109" w:type="dxa"/>
            <w:tcBorders>
              <w:top w:val="single" w:sz="4" w:space="0" w:color="auto"/>
            </w:tcBorders>
            <w:shd w:val="clear" w:color="auto" w:fill="auto"/>
            <w:vAlign w:val="center"/>
          </w:tcPr>
          <w:p w:rsidR="00533C74" w:rsidRPr="00632EF3" w:rsidRDefault="00533C74" w:rsidP="00E476AA">
            <w:pPr>
              <w:pStyle w:val="TableText"/>
              <w:jc w:val="right"/>
              <w:rPr>
                <w:b/>
                <w:color w:val="000000"/>
              </w:rPr>
            </w:pPr>
            <w:r w:rsidRPr="00632EF3">
              <w:rPr>
                <w:b/>
              </w:rPr>
              <w:t>-$</w:t>
            </w:r>
            <w:r w:rsidR="0011633A">
              <w:rPr>
                <w:b/>
                <w:noProof/>
                <w:color w:val="000000"/>
                <w:highlight w:val="black"/>
              </w:rPr>
              <w:t>'''''''''''''</w:t>
            </w:r>
            <w:r w:rsidR="00D720B6">
              <w:rPr>
                <w:color w:val="000000"/>
                <w:vertAlign w:val="superscript"/>
              </w:rPr>
              <w:t>4</w:t>
            </w:r>
          </w:p>
        </w:tc>
        <w:tc>
          <w:tcPr>
            <w:tcW w:w="1158" w:type="dxa"/>
            <w:gridSpan w:val="2"/>
            <w:tcBorders>
              <w:top w:val="single" w:sz="4" w:space="0" w:color="auto"/>
            </w:tcBorders>
            <w:shd w:val="clear" w:color="auto" w:fill="auto"/>
            <w:vAlign w:val="center"/>
          </w:tcPr>
          <w:p w:rsidR="00533C74" w:rsidRPr="00632EF3" w:rsidRDefault="00533C74" w:rsidP="00E476AA">
            <w:pPr>
              <w:pStyle w:val="TableText"/>
              <w:jc w:val="right"/>
              <w:rPr>
                <w:b/>
                <w:color w:val="000000"/>
              </w:rPr>
            </w:pPr>
            <w:r w:rsidRPr="00632EF3">
              <w:rPr>
                <w:b/>
              </w:rPr>
              <w:t>-$</w:t>
            </w:r>
            <w:r w:rsidR="0011633A">
              <w:rPr>
                <w:b/>
                <w:noProof/>
                <w:color w:val="000000"/>
                <w:highlight w:val="black"/>
              </w:rPr>
              <w:t>'''''''''''''''</w:t>
            </w:r>
            <w:r w:rsidR="00D720B6">
              <w:rPr>
                <w:color w:val="000000"/>
                <w:vertAlign w:val="superscript"/>
              </w:rPr>
              <w:t>4</w:t>
            </w:r>
          </w:p>
        </w:tc>
        <w:tc>
          <w:tcPr>
            <w:tcW w:w="1098" w:type="dxa"/>
            <w:tcBorders>
              <w:top w:val="single" w:sz="4" w:space="0" w:color="auto"/>
            </w:tcBorders>
            <w:vAlign w:val="center"/>
          </w:tcPr>
          <w:p w:rsidR="00533C74" w:rsidRPr="00632EF3" w:rsidRDefault="00533C74" w:rsidP="00E476AA">
            <w:pPr>
              <w:pStyle w:val="TableText"/>
              <w:jc w:val="right"/>
              <w:rPr>
                <w:b/>
                <w:color w:val="000000"/>
              </w:rPr>
            </w:pPr>
            <w:r w:rsidRPr="00632EF3">
              <w:rPr>
                <w:b/>
              </w:rPr>
              <w:t>-$</w:t>
            </w:r>
            <w:r w:rsidR="0011633A">
              <w:rPr>
                <w:b/>
                <w:noProof/>
                <w:color w:val="000000"/>
                <w:highlight w:val="black"/>
              </w:rPr>
              <w:t>''''''''''''''</w:t>
            </w:r>
            <w:r w:rsidR="00D720B6">
              <w:rPr>
                <w:color w:val="000000"/>
                <w:vertAlign w:val="superscript"/>
              </w:rPr>
              <w:t>4</w:t>
            </w:r>
          </w:p>
        </w:tc>
      </w:tr>
    </w:tbl>
    <w:p w:rsidR="00FA54C7" w:rsidRPr="00632EF3" w:rsidRDefault="00FA54C7" w:rsidP="00FA54C7">
      <w:pPr>
        <w:pStyle w:val="TableFigureFooter"/>
        <w:keepNext/>
        <w:jc w:val="left"/>
      </w:pPr>
      <w:r w:rsidRPr="00632EF3">
        <w:rPr>
          <w:vertAlign w:val="superscript"/>
        </w:rPr>
        <w:t>a</w:t>
      </w:r>
      <w:r w:rsidRPr="00632EF3">
        <w:t xml:space="preserve"> </w:t>
      </w:r>
      <w:r w:rsidR="0084470C" w:rsidRPr="00632EF3">
        <w:t xml:space="preserve">The number of scripts was </w:t>
      </w:r>
      <w:r w:rsidRPr="00632EF3">
        <w:t>estimated by the submission</w:t>
      </w:r>
      <w:r w:rsidR="0084470C" w:rsidRPr="00632EF3">
        <w:t xml:space="preserve"> using a market share approach</w:t>
      </w:r>
      <w:r w:rsidRPr="00632EF3">
        <w:t>.</w:t>
      </w:r>
    </w:p>
    <w:p w:rsidR="00CF4272" w:rsidRPr="00632EF3" w:rsidRDefault="00C859C5" w:rsidP="00C859C5">
      <w:pPr>
        <w:pStyle w:val="TableFigureFooter"/>
        <w:keepNext/>
        <w:jc w:val="left"/>
      </w:pPr>
      <w:r w:rsidRPr="00632EF3">
        <w:t>Abbreviations: MBS = Medical Benefits Scheme; PBS = Pharmaceutical Benefits Scheme; RPBS = Repatriation Pharmaceutical Benefits Scheme.</w:t>
      </w:r>
    </w:p>
    <w:p w:rsidR="00C859C5" w:rsidRDefault="00FA54C7" w:rsidP="00FA54C7">
      <w:pPr>
        <w:pStyle w:val="TableFigureFooter"/>
        <w:keepNext/>
      </w:pPr>
      <w:r w:rsidRPr="00632EF3">
        <w:t xml:space="preserve">Source: </w:t>
      </w:r>
      <w:r w:rsidR="0084470C" w:rsidRPr="00632EF3">
        <w:t>UCM-Release-3-Workbook-v106 – Ovaleap – Infertility and UCM-Release-3-Workbook-v106 – Ovaleap – ART</w:t>
      </w:r>
      <w:r w:rsidRPr="00632EF3">
        <w:t xml:space="preserve"> of the submission.</w:t>
      </w:r>
    </w:p>
    <w:p w:rsidR="0064610F" w:rsidRDefault="0064610F" w:rsidP="0064610F">
      <w:pPr>
        <w:pStyle w:val="TableFigureFooter"/>
        <w:spacing w:after="0"/>
        <w:contextualSpacing w:val="0"/>
        <w:rPr>
          <w:i/>
        </w:rPr>
      </w:pPr>
      <w:r w:rsidRPr="009868C4">
        <w:rPr>
          <w:i/>
        </w:rPr>
        <w:t>The redacted values correspond to the following ranges</w:t>
      </w:r>
      <w:r>
        <w:rPr>
          <w:i/>
        </w:rPr>
        <w:t>:</w:t>
      </w:r>
    </w:p>
    <w:p w:rsidR="0064610F" w:rsidRDefault="0064610F" w:rsidP="0064610F">
      <w:pPr>
        <w:pStyle w:val="TableFigureFooter"/>
        <w:spacing w:after="0"/>
        <w:contextualSpacing w:val="0"/>
        <w:rPr>
          <w:i/>
        </w:rPr>
      </w:pPr>
      <w:r>
        <w:rPr>
          <w:i/>
          <w:vertAlign w:val="superscript"/>
        </w:rPr>
        <w:t>1</w:t>
      </w:r>
      <w:r>
        <w:rPr>
          <w:i/>
        </w:rPr>
        <w:t xml:space="preserve"> </w:t>
      </w:r>
      <w:r w:rsidRPr="0064610F">
        <w:rPr>
          <w:i/>
        </w:rPr>
        <w:t>500 to &lt; 5,000</w:t>
      </w:r>
    </w:p>
    <w:p w:rsidR="00C848EE" w:rsidRDefault="006D1F6B" w:rsidP="000618EE">
      <w:pPr>
        <w:pStyle w:val="TableFigureFooter"/>
        <w:spacing w:after="0"/>
        <w:contextualSpacing w:val="0"/>
        <w:rPr>
          <w:i/>
        </w:rPr>
      </w:pPr>
      <w:r>
        <w:rPr>
          <w:i/>
          <w:vertAlign w:val="superscript"/>
        </w:rPr>
        <w:t xml:space="preserve">2 </w:t>
      </w:r>
      <w:r w:rsidRPr="0064610F">
        <w:rPr>
          <w:i/>
        </w:rPr>
        <w:t>5</w:t>
      </w:r>
      <w:r>
        <w:rPr>
          <w:i/>
        </w:rPr>
        <w:t>,</w:t>
      </w:r>
      <w:r w:rsidRPr="0064610F">
        <w:rPr>
          <w:i/>
        </w:rPr>
        <w:t>00</w:t>
      </w:r>
      <w:r>
        <w:rPr>
          <w:i/>
        </w:rPr>
        <w:t>0</w:t>
      </w:r>
      <w:r w:rsidRPr="0064610F">
        <w:rPr>
          <w:i/>
        </w:rPr>
        <w:t xml:space="preserve"> to &lt; </w:t>
      </w:r>
      <w:r>
        <w:rPr>
          <w:i/>
        </w:rPr>
        <w:t>10</w:t>
      </w:r>
      <w:r w:rsidRPr="0064610F">
        <w:rPr>
          <w:i/>
        </w:rPr>
        <w:t>,000</w:t>
      </w:r>
    </w:p>
    <w:p w:rsidR="000618EE" w:rsidRDefault="000618EE" w:rsidP="000618EE">
      <w:pPr>
        <w:pStyle w:val="TableFigureFooter"/>
        <w:spacing w:after="0"/>
        <w:contextualSpacing w:val="0"/>
        <w:rPr>
          <w:i/>
        </w:rPr>
      </w:pPr>
      <w:r>
        <w:rPr>
          <w:i/>
          <w:vertAlign w:val="superscript"/>
        </w:rPr>
        <w:t xml:space="preserve">3 </w:t>
      </w:r>
      <w:r w:rsidRPr="00B945F5">
        <w:rPr>
          <w:i/>
        </w:rPr>
        <w:t>10</w:t>
      </w:r>
      <w:r>
        <w:rPr>
          <w:i/>
        </w:rPr>
        <w:t>,</w:t>
      </w:r>
      <w:r w:rsidRPr="0064610F">
        <w:rPr>
          <w:i/>
        </w:rPr>
        <w:t>00</w:t>
      </w:r>
      <w:r>
        <w:rPr>
          <w:i/>
        </w:rPr>
        <w:t>0</w:t>
      </w:r>
      <w:r w:rsidRPr="0064610F">
        <w:rPr>
          <w:i/>
        </w:rPr>
        <w:t xml:space="preserve"> to &lt; </w:t>
      </w:r>
      <w:r>
        <w:rPr>
          <w:i/>
        </w:rPr>
        <w:t>20</w:t>
      </w:r>
      <w:r w:rsidRPr="0064610F">
        <w:rPr>
          <w:i/>
        </w:rPr>
        <w:t>,000</w:t>
      </w:r>
    </w:p>
    <w:p w:rsidR="000618EE" w:rsidRPr="0064610F" w:rsidRDefault="000618EE" w:rsidP="000618EE">
      <w:pPr>
        <w:pStyle w:val="TableFigureFooter"/>
        <w:spacing w:after="0"/>
        <w:contextualSpacing w:val="0"/>
        <w:rPr>
          <w:i/>
        </w:rPr>
      </w:pPr>
      <w:r>
        <w:rPr>
          <w:i/>
          <w:vertAlign w:val="superscript"/>
        </w:rPr>
        <w:t xml:space="preserve">4 </w:t>
      </w:r>
      <w:r w:rsidRPr="000618EE">
        <w:rPr>
          <w:i/>
        </w:rPr>
        <w:t>$0 to &lt; $10 million</w:t>
      </w:r>
    </w:p>
    <w:p w:rsidR="000618EE" w:rsidRDefault="000618EE" w:rsidP="000618EE">
      <w:pPr>
        <w:pStyle w:val="TableFigureFooter"/>
        <w:spacing w:after="0"/>
        <w:contextualSpacing w:val="0"/>
        <w:rPr>
          <w:i/>
        </w:rPr>
      </w:pPr>
      <w:r w:rsidRPr="00B945F5">
        <w:rPr>
          <w:i/>
          <w:vertAlign w:val="superscript"/>
        </w:rPr>
        <w:t>5</w:t>
      </w:r>
      <w:r>
        <w:rPr>
          <w:i/>
        </w:rPr>
        <w:t xml:space="preserve"> $10 million to &lt; $2</w:t>
      </w:r>
      <w:r w:rsidRPr="000618EE">
        <w:rPr>
          <w:i/>
        </w:rPr>
        <w:t>0 million</w:t>
      </w:r>
    </w:p>
    <w:p w:rsidR="000618EE" w:rsidRDefault="000618EE" w:rsidP="000618EE">
      <w:pPr>
        <w:pStyle w:val="TableFigureFooter"/>
        <w:spacing w:after="0"/>
        <w:contextualSpacing w:val="0"/>
        <w:rPr>
          <w:i/>
        </w:rPr>
      </w:pPr>
      <w:r>
        <w:rPr>
          <w:i/>
          <w:vertAlign w:val="superscript"/>
        </w:rPr>
        <w:t xml:space="preserve">6 </w:t>
      </w:r>
      <w:r w:rsidRPr="000618EE">
        <w:rPr>
          <w:i/>
        </w:rPr>
        <w:t>$20 million to &lt; $30 million</w:t>
      </w:r>
    </w:p>
    <w:p w:rsidR="0064610F" w:rsidRPr="00632EF3" w:rsidRDefault="0064610F" w:rsidP="00FA54C7">
      <w:pPr>
        <w:pStyle w:val="TableFigureFooter"/>
        <w:keepNext/>
      </w:pPr>
    </w:p>
    <w:p w:rsidR="00C80DBF" w:rsidRPr="00632EF3" w:rsidRDefault="00C80DBF" w:rsidP="00C80DBF">
      <w:pPr>
        <w:pStyle w:val="Heading2"/>
      </w:pPr>
      <w:r w:rsidRPr="00632EF3">
        <w:t>Quality Use of Medicine</w:t>
      </w:r>
    </w:p>
    <w:p w:rsidR="00C80DBF" w:rsidRPr="00632EF3" w:rsidRDefault="00C80DBF" w:rsidP="00C80DBF">
      <w:pPr>
        <w:pStyle w:val="3-BodyText"/>
      </w:pPr>
      <w:r w:rsidRPr="00632EF3">
        <w:t>The submission stated that Ovaleap and Gonal-f share the same manner of administration, strengths, number of units per pack and maximum quantities. Gonal-f is available in packs of one cartridge pre-assembled in a pen with 8, 12 or 20 needles (in 300 I</w:t>
      </w:r>
      <w:r w:rsidR="00CF51A1">
        <w:t>.</w:t>
      </w:r>
      <w:r w:rsidRPr="00632EF3">
        <w:t>U</w:t>
      </w:r>
      <w:r w:rsidR="00CF51A1">
        <w:t>.</w:t>
      </w:r>
      <w:r w:rsidRPr="00632EF3">
        <w:t>, 450 I</w:t>
      </w:r>
      <w:r w:rsidR="00CF51A1">
        <w:t>.</w:t>
      </w:r>
      <w:r w:rsidRPr="00632EF3">
        <w:t>U</w:t>
      </w:r>
      <w:r w:rsidR="00CF51A1">
        <w:t>.</w:t>
      </w:r>
      <w:r w:rsidRPr="00632EF3">
        <w:t xml:space="preserve"> and 900 I</w:t>
      </w:r>
      <w:r w:rsidR="00CF51A1">
        <w:t>.</w:t>
      </w:r>
      <w:r w:rsidRPr="00632EF3">
        <w:t>U</w:t>
      </w:r>
      <w:r w:rsidR="00CF51A1">
        <w:t>.</w:t>
      </w:r>
      <w:r w:rsidRPr="00632EF3">
        <w:t xml:space="preserve"> respectively). Ovaleap is available in packs containing 1 cartridge and 10 (in 300 I</w:t>
      </w:r>
      <w:r w:rsidR="00CF51A1">
        <w:t>.</w:t>
      </w:r>
      <w:r w:rsidRPr="00632EF3">
        <w:t>U</w:t>
      </w:r>
      <w:r w:rsidR="00CF51A1">
        <w:t>.</w:t>
      </w:r>
      <w:r w:rsidRPr="00632EF3">
        <w:t xml:space="preserve"> and 450 I</w:t>
      </w:r>
      <w:r w:rsidR="00CF51A1">
        <w:t>.</w:t>
      </w:r>
      <w:r w:rsidRPr="00632EF3">
        <w:t>U</w:t>
      </w:r>
      <w:r w:rsidR="00CF51A1">
        <w:t>.</w:t>
      </w:r>
      <w:r w:rsidRPr="00632EF3">
        <w:t>) or 20 needles (in 900 I</w:t>
      </w:r>
      <w:r w:rsidR="00CF51A1">
        <w:t>.</w:t>
      </w:r>
      <w:r w:rsidRPr="00632EF3">
        <w:t>U</w:t>
      </w:r>
      <w:r w:rsidR="00CF51A1">
        <w:t>.</w:t>
      </w:r>
      <w:r w:rsidRPr="00632EF3">
        <w:t>), for use in conjunction with a pen device that is provided free to patients. The pre-PBAC response</w:t>
      </w:r>
      <w:r w:rsidR="00E17C1F" w:rsidRPr="00632EF3">
        <w:t xml:space="preserve"> </w:t>
      </w:r>
      <w:r w:rsidRPr="00632EF3">
        <w:t xml:space="preserve"> </w:t>
      </w:r>
      <w:r w:rsidR="00133143" w:rsidRPr="00632EF3">
        <w:t>stated</w:t>
      </w:r>
      <w:r w:rsidRPr="00632EF3">
        <w:t xml:space="preserve"> that the pen devices will be provided to prescribers</w:t>
      </w:r>
      <w:r w:rsidR="00AE2FA3" w:rsidRPr="00632EF3">
        <w:t xml:space="preserve"> at clinics</w:t>
      </w:r>
      <w:r w:rsidRPr="00632EF3">
        <w:t>.</w:t>
      </w:r>
      <w:r w:rsidR="003843F4" w:rsidRPr="00632EF3">
        <w:t xml:space="preserve"> The pre-PBAC response also indicated that the pen devices </w:t>
      </w:r>
      <w:r w:rsidR="00AE2FA3" w:rsidRPr="00632EF3">
        <w:t>are intended to be provided</w:t>
      </w:r>
      <w:r w:rsidR="003843F4" w:rsidRPr="00632EF3">
        <w:t xml:space="preserve"> at the time of supply of Ovaleap cartridges.</w:t>
      </w:r>
      <w:r w:rsidRPr="00632EF3">
        <w:t xml:space="preserve"> </w:t>
      </w:r>
      <w:r w:rsidR="002F7F5B" w:rsidRPr="00632EF3">
        <w:t>The pre-PBAC response</w:t>
      </w:r>
      <w:r w:rsidR="00A718B9" w:rsidRPr="00632EF3">
        <w:t xml:space="preserve"> stated that the Ovaleap pen devices will include instructions for loading, priming and use and the packaging of the Ovaleap cartridges clearly identifies that it is for use only with the Ovaleap pen device</w:t>
      </w:r>
      <w:r w:rsidR="00632EF3">
        <w:t xml:space="preserve">. </w:t>
      </w:r>
    </w:p>
    <w:p w:rsidR="00C80DBF" w:rsidRPr="00632EF3" w:rsidRDefault="00C80DBF" w:rsidP="00C80DBF">
      <w:pPr>
        <w:pStyle w:val="3-BodyText"/>
      </w:pPr>
      <w:r w:rsidRPr="008F214B">
        <w:t xml:space="preserve">Gonal-f and Ovaleap cartridges can be used more than once as they both contain </w:t>
      </w:r>
      <w:r w:rsidRPr="00632EF3">
        <w:t xml:space="preserve">preservatives. Bemfola is available in packs of 1, 5 and 10 pre-filled pens that are preservative-free and single-use only. A preservative-free formulation may be more suitable to patients with allergies to preservatives. The PBAC noted this </w:t>
      </w:r>
      <w:r w:rsidR="00E50B9E" w:rsidRPr="00632EF3">
        <w:t>was a factor in forming its view that</w:t>
      </w:r>
      <w:r w:rsidRPr="00632EF3">
        <w:t xml:space="preserve"> Ovaleap would not be considered equivalent</w:t>
      </w:r>
      <w:r w:rsidR="00E50B9E" w:rsidRPr="00632EF3">
        <w:t xml:space="preserve"> to Bemfola</w:t>
      </w:r>
      <w:r w:rsidRPr="00632EF3">
        <w:t xml:space="preserve"> for the purposes of substitution.</w:t>
      </w:r>
    </w:p>
    <w:p w:rsidR="00C80DBF" w:rsidRPr="00632EF3" w:rsidRDefault="00106354" w:rsidP="00495D40">
      <w:pPr>
        <w:pStyle w:val="3-BodyText"/>
      </w:pPr>
      <w:r w:rsidRPr="00632EF3">
        <w:t xml:space="preserve">The pre-PBAC response </w:t>
      </w:r>
      <w:r w:rsidR="007E05F0" w:rsidRPr="00632EF3">
        <w:t>confirmed that the Ovaleap pen device can be used with more than one cartridge (i.e. once a cartridge is empty, it can be switched with a full one).</w:t>
      </w:r>
      <w:r w:rsidR="008A490C" w:rsidRPr="00632EF3">
        <w:t xml:space="preserve"> The pre-PBAC response considered there was low risk of incorrect dosing with Ovalea</w:t>
      </w:r>
      <w:r w:rsidR="00FB7A2F" w:rsidRPr="00632EF3">
        <w:t>p as the same</w:t>
      </w:r>
      <w:r w:rsidR="002F7F5B" w:rsidRPr="00632EF3">
        <w:t xml:space="preserve"> quantities of Ovaleap cartridges and Gonal-f pens would be required to make up a prescribed dose</w:t>
      </w:r>
      <w:r w:rsidR="00AA5891" w:rsidRPr="00632EF3">
        <w:t>,</w:t>
      </w:r>
      <w:r w:rsidR="002F7F5B" w:rsidRPr="00632EF3">
        <w:t xml:space="preserve"> </w:t>
      </w:r>
      <w:r w:rsidR="00FB7A2F" w:rsidRPr="00632EF3">
        <w:t>and</w:t>
      </w:r>
      <w:r w:rsidR="008A490C" w:rsidRPr="00632EF3">
        <w:t xml:space="preserve"> both Ovaleap and Gonal-f pen devices dial up the dose in 12.5 I</w:t>
      </w:r>
      <w:r w:rsidR="00CF51A1">
        <w:t>.</w:t>
      </w:r>
      <w:r w:rsidR="008A490C" w:rsidRPr="00632EF3">
        <w:t>U</w:t>
      </w:r>
      <w:r w:rsidR="00CF51A1">
        <w:t>.</w:t>
      </w:r>
      <w:r w:rsidR="008A490C" w:rsidRPr="00632EF3">
        <w:t xml:space="preserve"> increments</w:t>
      </w:r>
      <w:r w:rsidR="00FB7A2F" w:rsidRPr="00632EF3">
        <w:t>.</w:t>
      </w:r>
    </w:p>
    <w:p w:rsidR="0050333F" w:rsidRPr="00632EF3" w:rsidRDefault="00B71C84" w:rsidP="00073ED0">
      <w:pPr>
        <w:ind w:firstLine="720"/>
        <w:jc w:val="left"/>
        <w:rPr>
          <w:rFonts w:asciiTheme="minorHAnsi" w:hAnsiTheme="minorHAnsi" w:cs="Arial"/>
          <w:b/>
          <w:snapToGrid w:val="0"/>
          <w:sz w:val="28"/>
          <w:szCs w:val="32"/>
        </w:rPr>
      </w:pPr>
      <w:r w:rsidRPr="00632EF3">
        <w:rPr>
          <w:rFonts w:asciiTheme="minorHAnsi" w:hAnsiTheme="minorHAnsi"/>
          <w:i/>
        </w:rPr>
        <w:t xml:space="preserve">For more detail on PBAC’s view, see section </w:t>
      </w:r>
      <w:r w:rsidR="00CF69D2" w:rsidRPr="00632EF3">
        <w:rPr>
          <w:rFonts w:asciiTheme="minorHAnsi" w:hAnsiTheme="minorHAnsi"/>
          <w:i/>
        </w:rPr>
        <w:t>6</w:t>
      </w:r>
      <w:r w:rsidRPr="00632EF3">
        <w:rPr>
          <w:rFonts w:asciiTheme="minorHAnsi" w:hAnsiTheme="minorHAnsi"/>
          <w:i/>
        </w:rPr>
        <w:t xml:space="preserve"> PBAC outcome.</w:t>
      </w:r>
    </w:p>
    <w:p w:rsidR="00A976B0" w:rsidRPr="00632EF3" w:rsidRDefault="00A976B0" w:rsidP="00A976B0">
      <w:pPr>
        <w:pStyle w:val="2-SectionHeading"/>
      </w:pPr>
      <w:r w:rsidRPr="00632EF3">
        <w:t>PBAC Outcome</w:t>
      </w:r>
    </w:p>
    <w:p w:rsidR="003E320D" w:rsidRDefault="00BD01B6" w:rsidP="003A5A0F">
      <w:pPr>
        <w:pStyle w:val="3-BodyText"/>
      </w:pPr>
      <w:r w:rsidRPr="00632EF3">
        <w:t xml:space="preserve">The PBAC recommended the listing of follitropin alfa (Ovaleap) </w:t>
      </w:r>
      <w:r w:rsidR="000A5699">
        <w:t xml:space="preserve">in the form of 300 I.U. </w:t>
      </w:r>
      <w:r w:rsidR="003E320D">
        <w:t>in 0.5 mL, 450 I.U. in 0.75 mL and 900 I.U. in 1.5 mL multi-dose cartridges as a biosimilar brand of Gonal-f on the:</w:t>
      </w:r>
    </w:p>
    <w:p w:rsidR="003E320D" w:rsidRDefault="003E320D" w:rsidP="003E320D">
      <w:pPr>
        <w:pStyle w:val="3-BodyText"/>
        <w:numPr>
          <w:ilvl w:val="0"/>
          <w:numId w:val="64"/>
        </w:numPr>
      </w:pPr>
      <w:r>
        <w:t xml:space="preserve">General Schedule (Section 85) as Restricted benefits for anovulatory infertility </w:t>
      </w:r>
    </w:p>
    <w:p w:rsidR="003E320D" w:rsidRDefault="003E320D" w:rsidP="003E320D">
      <w:pPr>
        <w:pStyle w:val="3-BodyText"/>
        <w:numPr>
          <w:ilvl w:val="0"/>
          <w:numId w:val="64"/>
        </w:numPr>
      </w:pPr>
      <w:r>
        <w:t xml:space="preserve">Section 100 (In Vitro Fertilisation (IVF) Program) as Authority Required (STREAMLINED) benefits for Assisted Reproductive Technology. </w:t>
      </w:r>
    </w:p>
    <w:p w:rsidR="00BD01B6" w:rsidRPr="00632EF3" w:rsidRDefault="0073568B" w:rsidP="00220275">
      <w:pPr>
        <w:pStyle w:val="3-BodyText"/>
        <w:numPr>
          <w:ilvl w:val="0"/>
          <w:numId w:val="0"/>
        </w:numPr>
        <w:ind w:left="720"/>
      </w:pPr>
      <w:r w:rsidRPr="00632EF3">
        <w:t>The PBAC’s recommendation for listing was based on, among other m</w:t>
      </w:r>
      <w:r w:rsidRPr="008F214B">
        <w:t>atters, its assessment</w:t>
      </w:r>
      <w:r w:rsidRPr="00632EF3">
        <w:t xml:space="preserve"> that the cost-effectiveness of Ovaleap would be acceptable if it w</w:t>
      </w:r>
      <w:r w:rsidR="000A5699">
        <w:t>as</w:t>
      </w:r>
      <w:r w:rsidRPr="00632EF3">
        <w:t xml:space="preserve"> cost-minimised against Gonal-f</w:t>
      </w:r>
      <w:r w:rsidR="003E320D">
        <w:t xml:space="preserve">. </w:t>
      </w:r>
    </w:p>
    <w:p w:rsidR="00715630" w:rsidRPr="00632EF3" w:rsidRDefault="00715630" w:rsidP="00715630">
      <w:pPr>
        <w:pStyle w:val="3-BodyText"/>
      </w:pPr>
      <w:r w:rsidRPr="00632EF3">
        <w:t>The PBAC advised</w:t>
      </w:r>
      <w:r w:rsidRPr="008F214B">
        <w:t xml:space="preserve"> that</w:t>
      </w:r>
      <w:r w:rsidRPr="00632EF3">
        <w:t xml:space="preserve"> the equi-effective doses are 1.0 I</w:t>
      </w:r>
      <w:r w:rsidR="00CF51A1">
        <w:t>.</w:t>
      </w:r>
      <w:r w:rsidRPr="00632EF3">
        <w:t>U</w:t>
      </w:r>
      <w:r w:rsidR="00CF51A1">
        <w:t>.</w:t>
      </w:r>
      <w:r w:rsidRPr="00632EF3">
        <w:t xml:space="preserve"> follitropin alfa (Ovaleap) and 1.0 I</w:t>
      </w:r>
      <w:r w:rsidR="00CF51A1">
        <w:t>.</w:t>
      </w:r>
      <w:r w:rsidRPr="00632EF3">
        <w:t>U</w:t>
      </w:r>
      <w:r w:rsidR="00CF51A1">
        <w:t>.</w:t>
      </w:r>
      <w:r w:rsidRPr="00632EF3">
        <w:t xml:space="preserve"> follitropin alfa (Gonal-f).</w:t>
      </w:r>
    </w:p>
    <w:p w:rsidR="00BD01B6" w:rsidRPr="00632EF3" w:rsidRDefault="00BD01B6" w:rsidP="00A976B0">
      <w:pPr>
        <w:pStyle w:val="3-BodyText"/>
      </w:pPr>
      <w:r w:rsidRPr="00632EF3">
        <w:t xml:space="preserve">The PBAC considered that </w:t>
      </w:r>
      <w:r w:rsidR="001778BA" w:rsidRPr="00632EF3">
        <w:t>the</w:t>
      </w:r>
      <w:r w:rsidRPr="00632EF3">
        <w:t xml:space="preserve"> claim of </w:t>
      </w:r>
      <w:r w:rsidR="00715630">
        <w:t xml:space="preserve">biosimilarity for Ovaleap to Gonal-f </w:t>
      </w:r>
      <w:r w:rsidRPr="00632EF3">
        <w:t>was adequately supported</w:t>
      </w:r>
      <w:r w:rsidR="00715630">
        <w:t xml:space="preserve"> by the data</w:t>
      </w:r>
      <w:r w:rsidRPr="00632EF3">
        <w:t>. The PBAC noted that the TGA</w:t>
      </w:r>
      <w:r w:rsidR="001778BA" w:rsidRPr="00632EF3">
        <w:t xml:space="preserve"> delegate</w:t>
      </w:r>
      <w:r w:rsidRPr="00632EF3">
        <w:t xml:space="preserve"> </w:t>
      </w:r>
      <w:r w:rsidR="00320566" w:rsidRPr="00632EF3">
        <w:t xml:space="preserve">considered that the clinical study XM17-05 demonstrated equivalent efficacy for Ovaleap and Gonal-f with respect to the guideline recommended primary endpoint, ‘number of oocytes retrieved’ and that the safety and tolerability profile of </w:t>
      </w:r>
      <w:r w:rsidRPr="00632EF3">
        <w:t xml:space="preserve">Ovaleap </w:t>
      </w:r>
      <w:r w:rsidR="00320566" w:rsidRPr="00632EF3">
        <w:t>and</w:t>
      </w:r>
      <w:r w:rsidRPr="00632EF3">
        <w:t xml:space="preserve"> Gonal-f</w:t>
      </w:r>
      <w:r w:rsidR="00320566" w:rsidRPr="00632EF3">
        <w:t xml:space="preserve"> were similar</w:t>
      </w:r>
      <w:r w:rsidRPr="00632EF3">
        <w:t>.</w:t>
      </w:r>
    </w:p>
    <w:p w:rsidR="00924542" w:rsidRDefault="00BD01B6" w:rsidP="00924542">
      <w:pPr>
        <w:pStyle w:val="3-BodyText"/>
      </w:pPr>
      <w:r w:rsidRPr="00632EF3">
        <w:t xml:space="preserve">The PBAC advised </w:t>
      </w:r>
      <w:r w:rsidR="00FC0DDC">
        <w:t xml:space="preserve">that, </w:t>
      </w:r>
      <w:r w:rsidR="005E6109" w:rsidRPr="00632EF3">
        <w:t xml:space="preserve">under Section 101(4AACD) of the </w:t>
      </w:r>
      <w:r w:rsidR="005E6109" w:rsidRPr="00632EF3">
        <w:rPr>
          <w:i/>
          <w:iCs/>
        </w:rPr>
        <w:t>National Health Act 1953</w:t>
      </w:r>
      <w:r w:rsidR="005E6109" w:rsidRPr="00632EF3">
        <w:t>,</w:t>
      </w:r>
      <w:r w:rsidR="005E6109" w:rsidRPr="00632EF3">
        <w:rPr>
          <w:i/>
          <w:iCs/>
        </w:rPr>
        <w:t xml:space="preserve"> </w:t>
      </w:r>
      <w:r w:rsidRPr="00632EF3">
        <w:t>in the Schedule of Pharmaceutical Benefits</w:t>
      </w:r>
      <w:r w:rsidR="00FC0DDC">
        <w:t xml:space="preserve">, </w:t>
      </w:r>
      <w:r w:rsidR="00FC0DDC" w:rsidRPr="00632EF3">
        <w:t xml:space="preserve">Gonal-f and Ovaleap should be </w:t>
      </w:r>
      <w:r w:rsidR="00FC0DDC">
        <w:t>treated</w:t>
      </w:r>
      <w:r w:rsidR="00FC0DDC" w:rsidRPr="00632EF3">
        <w:t xml:space="preserve"> as equivalent</w:t>
      </w:r>
      <w:r w:rsidRPr="00632EF3">
        <w:t xml:space="preserve"> </w:t>
      </w:r>
      <w:r w:rsidR="00FC0DDC">
        <w:t xml:space="preserve">to each other </w:t>
      </w:r>
      <w:r w:rsidRPr="00632EF3">
        <w:t>for the purposes of substitution</w:t>
      </w:r>
      <w:r w:rsidR="00FC0DDC" w:rsidRPr="009639EE">
        <w:rPr>
          <w:rFonts w:eastAsia="Calibri" w:cs="Arial"/>
          <w:bCs/>
          <w:snapToGrid w:val="0"/>
        </w:rPr>
        <w:t xml:space="preserve"> (i.e. ‘a’ flagged in Schedule with a NOTE stating PBS of one form and PBS of another form are equivalent for the purpose of substitution)</w:t>
      </w:r>
      <w:r w:rsidRPr="00632EF3">
        <w:t xml:space="preserve">. </w:t>
      </w:r>
      <w:r w:rsidR="00924542" w:rsidRPr="00632EF3">
        <w:t>The PBAC noted that flow on changes arising from listing Ovaleap would entail the addition of ‘a-flags’ to the Gonal-f listings to indicate equivalence for the purposes of substitution.</w:t>
      </w:r>
      <w:r w:rsidR="00924542" w:rsidRPr="00CC4079">
        <w:t xml:space="preserve"> </w:t>
      </w:r>
    </w:p>
    <w:p w:rsidR="00BD01B6" w:rsidRPr="00632EF3" w:rsidRDefault="00BD01B6" w:rsidP="00A976B0">
      <w:pPr>
        <w:pStyle w:val="3-BodyText"/>
      </w:pPr>
      <w:r w:rsidRPr="008F214B">
        <w:t>The PBAC considered a range of other f</w:t>
      </w:r>
      <w:r w:rsidRPr="00632EF3">
        <w:t xml:space="preserve">actors in forming its view on </w:t>
      </w:r>
      <w:r w:rsidR="00D912A7" w:rsidRPr="00632EF3">
        <w:t>’</w:t>
      </w:r>
      <w:r w:rsidRPr="00632EF3">
        <w:t>a</w:t>
      </w:r>
      <w:r w:rsidR="00D912A7" w:rsidRPr="00632EF3">
        <w:t>’</w:t>
      </w:r>
      <w:r w:rsidRPr="00632EF3">
        <w:t xml:space="preserve"> flagging</w:t>
      </w:r>
      <w:r w:rsidR="00D912A7" w:rsidRPr="00632EF3">
        <w:t xml:space="preserve"> </w:t>
      </w:r>
      <w:r w:rsidRPr="00632EF3">
        <w:t>including:</w:t>
      </w:r>
    </w:p>
    <w:p w:rsidR="00BD01B6" w:rsidRPr="00632EF3" w:rsidRDefault="00BD01B6">
      <w:pPr>
        <w:pStyle w:val="ListParagraph"/>
      </w:pPr>
      <w:r w:rsidRPr="00632EF3">
        <w:t>The results from</w:t>
      </w:r>
      <w:r w:rsidR="00846D62" w:rsidRPr="00632EF3">
        <w:t xml:space="preserve"> the</w:t>
      </w:r>
      <w:r w:rsidRPr="00632EF3">
        <w:t xml:space="preserve"> </w:t>
      </w:r>
      <w:r w:rsidR="00846D62" w:rsidRPr="00632EF3">
        <w:t>international, multi-centre, Phase III, randomised, assessor-blind, comparator controlled, parallel group efficacy and safety study</w:t>
      </w:r>
      <w:r w:rsidR="00D912A7" w:rsidRPr="00632EF3">
        <w:t xml:space="preserve"> (XM17-05)</w:t>
      </w:r>
      <w:r w:rsidR="00846D62" w:rsidRPr="00632EF3">
        <w:t xml:space="preserve"> </w:t>
      </w:r>
      <w:r w:rsidR="00D912A7" w:rsidRPr="00632EF3">
        <w:t>of Ovaleap in comparison to Gonal-f</w:t>
      </w:r>
      <w:r w:rsidR="00846D62" w:rsidRPr="00632EF3">
        <w:t xml:space="preserve"> and the TGA Delegate</w:t>
      </w:r>
      <w:r w:rsidR="00D912A7" w:rsidRPr="00632EF3">
        <w:t>’s</w:t>
      </w:r>
      <w:r w:rsidR="00846D62" w:rsidRPr="00632EF3">
        <w:t xml:space="preserve"> </w:t>
      </w:r>
      <w:r w:rsidR="00D912A7" w:rsidRPr="00632EF3">
        <w:t>view</w:t>
      </w:r>
      <w:r w:rsidR="00846D62" w:rsidRPr="00632EF3">
        <w:t xml:space="preserve"> that Ovaleap is similar to Gonal-f, with comparable pharmacokinetics, efficacy, safety, and immunogenicity.</w:t>
      </w:r>
    </w:p>
    <w:p w:rsidR="00620344" w:rsidRPr="00632EF3" w:rsidRDefault="00620344">
      <w:pPr>
        <w:pStyle w:val="ListParagraph"/>
      </w:pPr>
      <w:r w:rsidRPr="00632EF3">
        <w:t xml:space="preserve">The manner of administration, strengths, number of units per pack and maximum quantities are the same between Ovaleap and Gonal-f. </w:t>
      </w:r>
    </w:p>
    <w:p w:rsidR="001A7552" w:rsidRPr="00632F6B" w:rsidRDefault="001A7552">
      <w:pPr>
        <w:pStyle w:val="ListParagraph"/>
      </w:pPr>
      <w:r w:rsidRPr="00632EF3">
        <w:t xml:space="preserve">Both Ovaleap and Gonal-f are reusable as they both contain preservatives. However, Ovaleap pens can be reused with a new cartridge whereas Gonal-f pens </w:t>
      </w:r>
      <w:r w:rsidRPr="00632F6B">
        <w:t>cannot be reused once the cartridge is empty.</w:t>
      </w:r>
    </w:p>
    <w:p w:rsidR="00C70B18" w:rsidRPr="00632F6B" w:rsidRDefault="00C70B18">
      <w:pPr>
        <w:pStyle w:val="ListParagraph"/>
      </w:pPr>
      <w:r w:rsidRPr="00632F6B">
        <w:t>The</w:t>
      </w:r>
      <w:r w:rsidR="001D18EA">
        <w:t xml:space="preserve"> </w:t>
      </w:r>
      <w:r w:rsidR="00593016">
        <w:t xml:space="preserve">evidence </w:t>
      </w:r>
      <w:r w:rsidR="00593016" w:rsidRPr="00593016">
        <w:t>(Chua et al., 2021)</w:t>
      </w:r>
      <w:r w:rsidR="00593016">
        <w:t xml:space="preserve"> presented by organisations</w:t>
      </w:r>
      <w:r w:rsidR="001D18EA">
        <w:t xml:space="preserve"> </w:t>
      </w:r>
      <w:r w:rsidR="00593016">
        <w:t xml:space="preserve">in support </w:t>
      </w:r>
      <w:r w:rsidRPr="00632F6B">
        <w:t xml:space="preserve">against a-flagging </w:t>
      </w:r>
      <w:r w:rsidR="00593016">
        <w:t>has</w:t>
      </w:r>
      <w:r w:rsidRPr="00632F6B">
        <w:t xml:space="preserve"> not been evaluated. The safety concerns can be addressed through education.</w:t>
      </w:r>
    </w:p>
    <w:p w:rsidR="001A7552" w:rsidRPr="00632EF3" w:rsidRDefault="00ED444E">
      <w:pPr>
        <w:pStyle w:val="ListParagraph"/>
      </w:pPr>
      <w:r w:rsidRPr="00632EF3">
        <w:t>Prescribers have the option to specify “No Brand Substitution</w:t>
      </w:r>
      <w:r w:rsidR="00B16283" w:rsidRPr="00632EF3">
        <w:t xml:space="preserve"> Permitted</w:t>
      </w:r>
      <w:r w:rsidRPr="00632EF3">
        <w:t xml:space="preserve">” </w:t>
      </w:r>
      <w:r w:rsidR="00AC4EFA" w:rsidRPr="00632EF3">
        <w:t>should they have individual concerns about brand substitution.</w:t>
      </w:r>
      <w:r w:rsidR="00B16283" w:rsidRPr="00632EF3">
        <w:t xml:space="preserve"> Pharmacists have a responsibility to adhere to these directions where specified.</w:t>
      </w:r>
    </w:p>
    <w:p w:rsidR="00694924" w:rsidRDefault="00694924" w:rsidP="00694924">
      <w:pPr>
        <w:pStyle w:val="3-BodyText"/>
      </w:pPr>
      <w:r>
        <w:t xml:space="preserve">While the PBAC noted the </w:t>
      </w:r>
      <w:r w:rsidRPr="00F9028A">
        <w:t xml:space="preserve">differences </w:t>
      </w:r>
      <w:r>
        <w:t>in administration techniques of</w:t>
      </w:r>
      <w:r w:rsidRPr="00F9028A">
        <w:t xml:space="preserve"> Ovaleap and Gonal-f</w:t>
      </w:r>
      <w:r>
        <w:t>, it considered that patients with sufficient education/training resources would be able to administer different devices appropriately</w:t>
      </w:r>
      <w:r w:rsidRPr="00F9028A">
        <w:t xml:space="preserve">. The PBAC advised that the sponsor should </w:t>
      </w:r>
      <w:r>
        <w:t>work with key bodies such as t</w:t>
      </w:r>
      <w:r w:rsidRPr="00694924">
        <w:t xml:space="preserve">he IVFDGA and the ANZSREI </w:t>
      </w:r>
      <w:r>
        <w:t xml:space="preserve">to develop education and training resources </w:t>
      </w:r>
      <w:r w:rsidR="00593016">
        <w:t xml:space="preserve">on </w:t>
      </w:r>
      <w:r>
        <w:t>how to use</w:t>
      </w:r>
      <w:r w:rsidR="006D56F2">
        <w:t xml:space="preserve"> </w:t>
      </w:r>
      <w:r>
        <w:t xml:space="preserve">Ovaleap. </w:t>
      </w:r>
      <w:r w:rsidRPr="00694924">
        <w:t xml:space="preserve">The PBAC reiterated its advice that educational activities should be targeted at all prescribers as well as pharmacists. The PBAC requested the sponsor and the Department work together with NPS MedicineWise and the Pharmaceutical Society of Australia to ensure pharmacists are educated on the product differences </w:t>
      </w:r>
      <w:r w:rsidR="00593016">
        <w:t>between</w:t>
      </w:r>
      <w:r w:rsidRPr="00694924">
        <w:t xml:space="preserve"> </w:t>
      </w:r>
      <w:r>
        <w:t xml:space="preserve">follitropin alfa devices.      </w:t>
      </w:r>
    </w:p>
    <w:p w:rsidR="00694924" w:rsidRDefault="00694924" w:rsidP="00694924">
      <w:pPr>
        <w:pStyle w:val="3-BodyText"/>
      </w:pPr>
      <w:r w:rsidRPr="00F9028A">
        <w:t xml:space="preserve">The PBAC </w:t>
      </w:r>
      <w:r w:rsidR="00201DAA">
        <w:t xml:space="preserve">considered that the following </w:t>
      </w:r>
      <w:r w:rsidR="00CF51A1">
        <w:t>admi</w:t>
      </w:r>
      <w:r w:rsidR="00213AD8">
        <w:t>ni</w:t>
      </w:r>
      <w:r w:rsidR="00CF51A1">
        <w:t xml:space="preserve">strative note </w:t>
      </w:r>
      <w:r w:rsidR="00201DAA">
        <w:t>should be</w:t>
      </w:r>
      <w:r w:rsidR="00CF51A1">
        <w:t xml:space="preserve"> included </w:t>
      </w:r>
      <w:r w:rsidR="00201DAA">
        <w:t xml:space="preserve">in the Ovaleap listings </w:t>
      </w:r>
      <w:r w:rsidR="00CF51A1">
        <w:t>as follows</w:t>
      </w:r>
      <w:r>
        <w:t>:</w:t>
      </w:r>
    </w:p>
    <w:p w:rsidR="00A14603" w:rsidRPr="00632EF3" w:rsidRDefault="00CF51A1" w:rsidP="00220275">
      <w:pPr>
        <w:pStyle w:val="3-BodyText"/>
        <w:numPr>
          <w:ilvl w:val="0"/>
          <w:numId w:val="0"/>
        </w:numPr>
        <w:ind w:left="720"/>
      </w:pPr>
      <w:r w:rsidRPr="00CF51A1">
        <w:rPr>
          <w:i/>
          <w:iCs/>
        </w:rPr>
        <w:t>Where the Ovaleap brand is supplied, the separate pen device is to be supplied to the patient where required as it is not packaged with the cartridges. The pen device for the Ovaleap brand can be obtained by contacting the pharmaceutical wholesaler, or, the sponsor directly.</w:t>
      </w:r>
    </w:p>
    <w:p w:rsidR="0049278E" w:rsidRDefault="0049278E" w:rsidP="00220275">
      <w:pPr>
        <w:pStyle w:val="3-BodyText"/>
      </w:pPr>
      <w:bookmarkStart w:id="4" w:name="_Hlk78287529"/>
      <w:r>
        <w:t>The PBAC considered that the biosimilar uptake drivers should be applied to Ovaleap, including t</w:t>
      </w:r>
      <w:r w:rsidRPr="009639EE">
        <w:t>he application of the ‘Biosimilar prescribing policy’ administrative note encouraging the use of biosimilar brands for treatment naïve patients</w:t>
      </w:r>
      <w:r>
        <w:t>:</w:t>
      </w:r>
    </w:p>
    <w:p w:rsidR="00CF51A1" w:rsidRPr="00CF51A1" w:rsidRDefault="00CF51A1" w:rsidP="00CF51A1">
      <w:pPr>
        <w:pStyle w:val="3-BodyText"/>
        <w:numPr>
          <w:ilvl w:val="0"/>
          <w:numId w:val="0"/>
        </w:numPr>
        <w:ind w:left="720"/>
        <w:rPr>
          <w:i/>
          <w:iCs/>
        </w:rPr>
      </w:pPr>
      <w:r w:rsidRPr="00CF51A1">
        <w:rPr>
          <w:i/>
          <w:iCs/>
        </w:rPr>
        <w:t>Prescribing of the biosimilar brand, Bemfola or Ovaleap, is encouraged for treatment naive patients.</w:t>
      </w:r>
    </w:p>
    <w:p w:rsidR="00CF51A1" w:rsidRDefault="00CF51A1" w:rsidP="00CF51A1">
      <w:pPr>
        <w:pStyle w:val="3-BodyText"/>
        <w:numPr>
          <w:ilvl w:val="0"/>
          <w:numId w:val="0"/>
        </w:numPr>
        <w:ind w:left="720"/>
        <w:rPr>
          <w:i/>
          <w:iCs/>
        </w:rPr>
      </w:pPr>
      <w:r w:rsidRPr="00CF51A1">
        <w:rPr>
          <w:i/>
          <w:iCs/>
        </w:rPr>
        <w:t>Encouraging biosimilar prescribing for treatment naive patients is Government policy. A viable biosimilar market is expected to result in reduced costs for biological medicines, allowing the Government to reinvest in new treatments. Further information can be found on the Biosimilar Awareness Initiative webpage (</w:t>
      </w:r>
      <w:r w:rsidRPr="00CF51A1">
        <w:rPr>
          <w:i/>
          <w:iCs/>
          <w:u w:val="single"/>
        </w:rPr>
        <w:t>www.health.gov.au/biosimilars</w:t>
      </w:r>
      <w:r w:rsidRPr="00CF51A1">
        <w:rPr>
          <w:i/>
          <w:iCs/>
        </w:rPr>
        <w:t>).</w:t>
      </w:r>
    </w:p>
    <w:p w:rsidR="00694924" w:rsidRPr="00632EF3" w:rsidRDefault="00694924" w:rsidP="003C5B56">
      <w:pPr>
        <w:pStyle w:val="3-BodyText"/>
      </w:pPr>
      <w:r w:rsidRPr="00632EF3">
        <w:t xml:space="preserve">The PBAC did not recommend lowering the category of prescribing authority for </w:t>
      </w:r>
      <w:r>
        <w:t>follitropin alfa under the</w:t>
      </w:r>
      <w:r w:rsidRPr="000A5699">
        <w:t xml:space="preserve"> </w:t>
      </w:r>
      <w:r w:rsidRPr="00632EF3">
        <w:t>Section 100 IVF Program</w:t>
      </w:r>
      <w:r w:rsidR="006C2E1C">
        <w:t xml:space="preserve"> from </w:t>
      </w:r>
      <w:r w:rsidR="00220275">
        <w:t>STREAMLINED authority</w:t>
      </w:r>
      <w:r w:rsidR="006C2E1C">
        <w:t xml:space="preserve"> to </w:t>
      </w:r>
      <w:r w:rsidR="00220275">
        <w:t xml:space="preserve">Restricted </w:t>
      </w:r>
      <w:r w:rsidR="00593016">
        <w:t>b</w:t>
      </w:r>
      <w:r w:rsidR="00220275">
        <w:t>enefit</w:t>
      </w:r>
      <w:r w:rsidRPr="00632EF3">
        <w:t>.</w:t>
      </w:r>
      <w:r>
        <w:t xml:space="preserve"> </w:t>
      </w:r>
      <w:r w:rsidRPr="00632EF3">
        <w:t xml:space="preserve">The PBAC </w:t>
      </w:r>
      <w:r>
        <w:t xml:space="preserve">noted that </w:t>
      </w:r>
      <w:r w:rsidR="008A5509">
        <w:t xml:space="preserve">listings under </w:t>
      </w:r>
      <w:r>
        <w:t xml:space="preserve">Section 100 IVF Program require a STREAMLINED authority and considered that the proposed change to the category </w:t>
      </w:r>
      <w:r w:rsidR="006C2E1C">
        <w:t>was</w:t>
      </w:r>
      <w:r>
        <w:t xml:space="preserve"> unlikely to </w:t>
      </w:r>
      <w:r w:rsidR="006C2E1C">
        <w:t>influence</w:t>
      </w:r>
      <w:r>
        <w:t xml:space="preserve"> uptake </w:t>
      </w:r>
      <w:r w:rsidR="006C2E1C">
        <w:t>of</w:t>
      </w:r>
      <w:r>
        <w:t xml:space="preserve"> </w:t>
      </w:r>
      <w:r w:rsidR="006C7311">
        <w:t>Ovaleap</w:t>
      </w:r>
      <w:r>
        <w:t>.</w:t>
      </w:r>
    </w:p>
    <w:bookmarkEnd w:id="4"/>
    <w:p w:rsidR="006C2E1C" w:rsidRPr="00632EF3" w:rsidRDefault="006C2E1C" w:rsidP="006C2E1C">
      <w:pPr>
        <w:pStyle w:val="3-BodyText"/>
      </w:pPr>
      <w:r w:rsidRPr="008F214B">
        <w:t>The PBAC noted that the submission estimated net overall savings to the PBS</w:t>
      </w:r>
      <w:r w:rsidRPr="00632EF3">
        <w:t xml:space="preserve"> over the first six years of listing. The PBAC considered that several factors including the increased co-payments associated with Gonal-f and Ovaleap and the presence of preservatives may affect Bemfola substitution. </w:t>
      </w:r>
      <w:r>
        <w:t>The PBAC considered</w:t>
      </w:r>
      <w:r w:rsidRPr="00632EF3">
        <w:t xml:space="preserve"> that Ovaleap </w:t>
      </w:r>
      <w:r>
        <w:t>would</w:t>
      </w:r>
      <w:r w:rsidRPr="00632EF3">
        <w:t xml:space="preserve"> not </w:t>
      </w:r>
      <w:r>
        <w:t xml:space="preserve">increase </w:t>
      </w:r>
      <w:r w:rsidRPr="00632EF3">
        <w:t>the</w:t>
      </w:r>
      <w:r>
        <w:t xml:space="preserve"> current</w:t>
      </w:r>
      <w:r w:rsidRPr="00632EF3">
        <w:t xml:space="preserve"> market, </w:t>
      </w:r>
      <w:r>
        <w:t xml:space="preserve">therefore </w:t>
      </w:r>
      <w:r w:rsidRPr="00632EF3">
        <w:t>the projected savings were not likely to be realised.</w:t>
      </w:r>
    </w:p>
    <w:p w:rsidR="00C82B68" w:rsidRPr="00632EF3" w:rsidRDefault="00C82B68" w:rsidP="003C5B56">
      <w:pPr>
        <w:pStyle w:val="3-BodyText"/>
      </w:pPr>
      <w:r w:rsidRPr="008F214B">
        <w:t>The PBAC noted that its recommendation was on a cost-minimisation basis and advised that, because Ovaleap is not expected to p</w:t>
      </w:r>
      <w:r w:rsidRPr="00632EF3">
        <w:t xml:space="preserve">rovide a substantial and clinically relevant improvement in efficacy, or reduction of toxicity over Gonal-f, or not expected to address a high and urgent unmet clinical need given the presence of an alternative therapy, the criteria prescribed by the </w:t>
      </w:r>
      <w:r w:rsidRPr="00632EF3">
        <w:rPr>
          <w:i/>
          <w:iCs/>
        </w:rPr>
        <w:t>National Health (Pharmaceuticals and Vaccines – Cost Recovery) Regulations 2009</w:t>
      </w:r>
      <w:r w:rsidRPr="00632EF3">
        <w:t xml:space="preserve"> for Pricing Pathway A were not met.</w:t>
      </w:r>
    </w:p>
    <w:p w:rsidR="00A976B0" w:rsidRPr="00632EF3" w:rsidRDefault="00BD01B6" w:rsidP="00BD01B6">
      <w:pPr>
        <w:pStyle w:val="3-BodyText"/>
      </w:pPr>
      <w:r w:rsidRPr="00632EF3">
        <w:t>The PBAC noted that this submission is not eligible for an Independent Review</w:t>
      </w:r>
      <w:r w:rsidR="001F20D8">
        <w:t xml:space="preserve"> </w:t>
      </w:r>
      <w:r w:rsidR="00FC0DDC">
        <w:t>as</w:t>
      </w:r>
      <w:r w:rsidR="001F20D8">
        <w:t xml:space="preserve"> it received a positive recommendation. </w:t>
      </w:r>
    </w:p>
    <w:p w:rsidR="00BF3F74" w:rsidRPr="00DC1FDA" w:rsidRDefault="00BF3F74" w:rsidP="00BF3F74">
      <w:pPr>
        <w:spacing w:before="240"/>
        <w:rPr>
          <w:rFonts w:asciiTheme="minorHAnsi" w:hAnsiTheme="minorHAnsi" w:cs="Arial"/>
          <w:b/>
          <w:bCs/>
          <w:snapToGrid w:val="0"/>
        </w:rPr>
      </w:pPr>
      <w:r w:rsidRPr="00DC1FDA">
        <w:rPr>
          <w:rFonts w:asciiTheme="minorHAnsi" w:hAnsiTheme="minorHAnsi" w:cs="Arial"/>
          <w:b/>
          <w:bCs/>
          <w:snapToGrid w:val="0"/>
        </w:rPr>
        <w:t>Outcome:</w:t>
      </w:r>
    </w:p>
    <w:p w:rsidR="00BF3F74" w:rsidRPr="00D50653" w:rsidRDefault="00BF3F74" w:rsidP="00D50653">
      <w:pPr>
        <w:rPr>
          <w:rFonts w:asciiTheme="minorHAnsi" w:hAnsiTheme="minorHAnsi" w:cs="Arial"/>
          <w:bCs/>
          <w:snapToGrid w:val="0"/>
        </w:rPr>
      </w:pPr>
      <w:r w:rsidRPr="00DC1FDA">
        <w:rPr>
          <w:rFonts w:asciiTheme="minorHAnsi" w:hAnsiTheme="minorHAnsi" w:cs="Arial"/>
          <w:bCs/>
          <w:snapToGrid w:val="0"/>
        </w:rPr>
        <w:t>Re</w:t>
      </w:r>
      <w:r w:rsidR="00D50653">
        <w:rPr>
          <w:rFonts w:asciiTheme="minorHAnsi" w:hAnsiTheme="minorHAnsi" w:cs="Arial"/>
          <w:bCs/>
          <w:snapToGrid w:val="0"/>
        </w:rPr>
        <w:t>commended</w:t>
      </w:r>
    </w:p>
    <w:p w:rsidR="00A976B0" w:rsidRPr="00632EF3" w:rsidRDefault="00A976B0">
      <w:pPr>
        <w:pStyle w:val="2-SectionHeading"/>
        <w:rPr>
          <w:bCs/>
        </w:rPr>
      </w:pPr>
      <w:r w:rsidRPr="00632EF3">
        <w:t>Recommended listing</w:t>
      </w:r>
    </w:p>
    <w:p w:rsidR="000C7BE2" w:rsidRPr="00632EF3" w:rsidRDefault="0026752C" w:rsidP="007915B8">
      <w:pPr>
        <w:pStyle w:val="3-BodyText"/>
      </w:pPr>
      <w:r w:rsidRPr="00632EF3">
        <w:t>Add</w:t>
      </w:r>
      <w:r w:rsidR="008F214B">
        <w:t xml:space="preserve"> </w:t>
      </w:r>
      <w:r w:rsidR="00313DEE" w:rsidRPr="008F214B">
        <w:t>new trade product (Ovaleap) as follows</w:t>
      </w:r>
      <w:r w:rsidRPr="00632EF3">
        <w:t>:</w:t>
      </w:r>
    </w:p>
    <w:p w:rsidR="00313DEE" w:rsidRPr="00632EF3" w:rsidRDefault="00313DEE" w:rsidP="007915B8">
      <w:pPr>
        <w:pStyle w:val="3-BodyText"/>
      </w:pPr>
      <w:r w:rsidRPr="00632EF3">
        <w:t>Add equivalence indicators to the trade products ‘Ovaleap’ and ‘Gonal-f Pen’ as follows: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
        <w:gridCol w:w="992"/>
        <w:gridCol w:w="3402"/>
        <w:gridCol w:w="851"/>
        <w:gridCol w:w="992"/>
        <w:gridCol w:w="850"/>
        <w:gridCol w:w="709"/>
        <w:gridCol w:w="1134"/>
      </w:tblGrid>
      <w:tr w:rsidR="000C7BE2" w:rsidRPr="00632EF3" w:rsidTr="00AA291E">
        <w:trPr>
          <w:cantSplit/>
          <w:trHeight w:val="471"/>
        </w:trPr>
        <w:tc>
          <w:tcPr>
            <w:tcW w:w="4673" w:type="dxa"/>
            <w:gridSpan w:val="3"/>
          </w:tcPr>
          <w:p w:rsidR="000C7BE2" w:rsidRPr="00632EF3" w:rsidRDefault="000C7BE2" w:rsidP="007915B8">
            <w:pPr>
              <w:pStyle w:val="In-tableHeading"/>
              <w:rPr>
                <w:lang w:val="en-AU"/>
              </w:rPr>
            </w:pPr>
            <w:r w:rsidRPr="00632EF3">
              <w:rPr>
                <w:lang w:val="en-AU"/>
              </w:rPr>
              <w:t>MEDICINAL PRODUCT</w:t>
            </w:r>
          </w:p>
          <w:p w:rsidR="000C7BE2" w:rsidRPr="00632EF3" w:rsidRDefault="000C7BE2" w:rsidP="007915B8">
            <w:pPr>
              <w:pStyle w:val="In-tableHeading"/>
              <w:rPr>
                <w:lang w:val="en-AU"/>
              </w:rPr>
            </w:pPr>
            <w:r w:rsidRPr="00632EF3">
              <w:rPr>
                <w:lang w:val="en-AU"/>
              </w:rPr>
              <w:t>medicinal product pack</w:t>
            </w:r>
          </w:p>
        </w:tc>
        <w:tc>
          <w:tcPr>
            <w:tcW w:w="851" w:type="dxa"/>
          </w:tcPr>
          <w:p w:rsidR="000C7BE2" w:rsidRPr="00632EF3" w:rsidRDefault="000C7BE2" w:rsidP="00AA291E">
            <w:pPr>
              <w:keepNext/>
              <w:ind w:left="-108"/>
              <w:jc w:val="center"/>
              <w:rPr>
                <w:rFonts w:ascii="Arial Narrow" w:hAnsi="Arial Narrow" w:cs="Arial"/>
                <w:b/>
                <w:sz w:val="18"/>
                <w:szCs w:val="18"/>
              </w:rPr>
            </w:pPr>
            <w:r w:rsidRPr="00632EF3">
              <w:rPr>
                <w:rFonts w:ascii="Arial Narrow" w:hAnsi="Arial Narrow" w:cs="Arial"/>
                <w:b/>
                <w:sz w:val="18"/>
                <w:szCs w:val="18"/>
              </w:rPr>
              <w:t>PBS item code</w:t>
            </w:r>
          </w:p>
        </w:tc>
        <w:tc>
          <w:tcPr>
            <w:tcW w:w="992" w:type="dxa"/>
          </w:tcPr>
          <w:p w:rsidR="000C7BE2" w:rsidRPr="00632EF3" w:rsidRDefault="000C7BE2" w:rsidP="00AA291E">
            <w:pPr>
              <w:keepNext/>
              <w:ind w:left="-108"/>
              <w:jc w:val="center"/>
              <w:rPr>
                <w:rFonts w:ascii="Arial Narrow" w:hAnsi="Arial Narrow" w:cs="Arial"/>
                <w:b/>
                <w:sz w:val="18"/>
                <w:szCs w:val="18"/>
              </w:rPr>
            </w:pPr>
            <w:r w:rsidRPr="00632EF3">
              <w:rPr>
                <w:rFonts w:ascii="Arial Narrow" w:hAnsi="Arial Narrow" w:cs="Arial"/>
                <w:b/>
                <w:sz w:val="18"/>
                <w:szCs w:val="18"/>
              </w:rPr>
              <w:t>Max. qty packs</w:t>
            </w:r>
          </w:p>
        </w:tc>
        <w:tc>
          <w:tcPr>
            <w:tcW w:w="850" w:type="dxa"/>
          </w:tcPr>
          <w:p w:rsidR="000C7BE2" w:rsidRPr="00632EF3" w:rsidRDefault="000C7BE2" w:rsidP="00AA291E">
            <w:pPr>
              <w:keepNext/>
              <w:ind w:left="-108"/>
              <w:jc w:val="center"/>
              <w:rPr>
                <w:rFonts w:ascii="Arial Narrow" w:hAnsi="Arial Narrow" w:cs="Arial"/>
                <w:b/>
                <w:sz w:val="18"/>
                <w:szCs w:val="18"/>
              </w:rPr>
            </w:pPr>
            <w:r w:rsidRPr="00632EF3">
              <w:rPr>
                <w:rFonts w:ascii="Arial Narrow" w:hAnsi="Arial Narrow" w:cs="Arial"/>
                <w:b/>
                <w:sz w:val="18"/>
                <w:szCs w:val="18"/>
              </w:rPr>
              <w:t>Max. qty units</w:t>
            </w:r>
          </w:p>
        </w:tc>
        <w:tc>
          <w:tcPr>
            <w:tcW w:w="709" w:type="dxa"/>
          </w:tcPr>
          <w:p w:rsidR="000C7BE2" w:rsidRPr="00632EF3" w:rsidRDefault="000C7BE2" w:rsidP="00AA291E">
            <w:pPr>
              <w:keepNext/>
              <w:ind w:left="-108"/>
              <w:jc w:val="center"/>
              <w:rPr>
                <w:rFonts w:ascii="Arial Narrow" w:hAnsi="Arial Narrow" w:cs="Arial"/>
                <w:b/>
                <w:sz w:val="18"/>
                <w:szCs w:val="18"/>
              </w:rPr>
            </w:pPr>
            <w:r w:rsidRPr="00632EF3">
              <w:rPr>
                <w:rFonts w:ascii="Arial Narrow" w:hAnsi="Arial Narrow" w:cs="Arial"/>
                <w:b/>
                <w:sz w:val="18"/>
                <w:szCs w:val="18"/>
              </w:rPr>
              <w:t>№.of</w:t>
            </w:r>
          </w:p>
          <w:p w:rsidR="000C7BE2" w:rsidRPr="00632EF3" w:rsidRDefault="000C7BE2" w:rsidP="00AA291E">
            <w:pPr>
              <w:keepNext/>
              <w:ind w:left="-108"/>
              <w:jc w:val="center"/>
              <w:rPr>
                <w:rFonts w:ascii="Arial Narrow" w:hAnsi="Arial Narrow" w:cs="Arial"/>
                <w:b/>
                <w:sz w:val="18"/>
                <w:szCs w:val="18"/>
              </w:rPr>
            </w:pPr>
            <w:r w:rsidRPr="00632EF3">
              <w:rPr>
                <w:rFonts w:ascii="Arial Narrow" w:hAnsi="Arial Narrow" w:cs="Arial"/>
                <w:b/>
                <w:sz w:val="18"/>
                <w:szCs w:val="18"/>
              </w:rPr>
              <w:t>Rpts</w:t>
            </w:r>
          </w:p>
        </w:tc>
        <w:tc>
          <w:tcPr>
            <w:tcW w:w="1134" w:type="dxa"/>
          </w:tcPr>
          <w:p w:rsidR="000C7BE2" w:rsidRPr="00632EF3" w:rsidRDefault="000C7BE2" w:rsidP="00AA291E">
            <w:pPr>
              <w:keepNext/>
              <w:rPr>
                <w:rFonts w:ascii="Arial Narrow" w:hAnsi="Arial Narrow" w:cs="Arial"/>
                <w:b/>
                <w:sz w:val="18"/>
                <w:szCs w:val="18"/>
              </w:rPr>
            </w:pPr>
            <w:r w:rsidRPr="00632EF3">
              <w:rPr>
                <w:rFonts w:ascii="Arial Narrow" w:hAnsi="Arial Narrow" w:cs="Arial"/>
                <w:b/>
                <w:sz w:val="18"/>
                <w:szCs w:val="18"/>
              </w:rPr>
              <w:t>Available brands</w:t>
            </w:r>
          </w:p>
        </w:tc>
      </w:tr>
      <w:tr w:rsidR="000C7BE2" w:rsidRPr="00632EF3" w:rsidTr="00AA291E">
        <w:trPr>
          <w:cantSplit/>
          <w:trHeight w:val="224"/>
        </w:trPr>
        <w:tc>
          <w:tcPr>
            <w:tcW w:w="9209" w:type="dxa"/>
            <w:gridSpan w:val="8"/>
          </w:tcPr>
          <w:p w:rsidR="000C7BE2" w:rsidRPr="00632EF3" w:rsidRDefault="000C7BE2" w:rsidP="00AA291E">
            <w:pPr>
              <w:keepNext/>
              <w:ind w:left="-57"/>
              <w:rPr>
                <w:rFonts w:ascii="Arial Narrow" w:hAnsi="Arial Narrow" w:cs="Arial"/>
                <w:sz w:val="18"/>
                <w:szCs w:val="18"/>
              </w:rPr>
            </w:pPr>
            <w:r w:rsidRPr="00632EF3">
              <w:rPr>
                <w:rFonts w:ascii="Arial Narrow" w:hAnsi="Arial Narrow" w:cs="Arial"/>
                <w:sz w:val="18"/>
                <w:szCs w:val="18"/>
              </w:rPr>
              <w:t xml:space="preserve">FOLLITROPIN ALFA  </w:t>
            </w:r>
          </w:p>
        </w:tc>
      </w:tr>
      <w:tr w:rsidR="000C7BE2" w:rsidRPr="00632EF3" w:rsidTr="00AA291E">
        <w:trPr>
          <w:cantSplit/>
          <w:trHeight w:val="211"/>
        </w:trPr>
        <w:tc>
          <w:tcPr>
            <w:tcW w:w="4673" w:type="dxa"/>
            <w:gridSpan w:val="3"/>
          </w:tcPr>
          <w:p w:rsidR="000C7BE2" w:rsidRPr="00632EF3" w:rsidRDefault="000C7BE2" w:rsidP="00AA291E">
            <w:pPr>
              <w:keepNext/>
              <w:ind w:left="-57"/>
              <w:rPr>
                <w:rFonts w:ascii="Arial Narrow" w:hAnsi="Arial Narrow" w:cs="Arial"/>
                <w:sz w:val="18"/>
                <w:szCs w:val="18"/>
              </w:rPr>
            </w:pPr>
            <w:r w:rsidRPr="00632EF3">
              <w:rPr>
                <w:rFonts w:ascii="Arial Narrow" w:hAnsi="Arial Narrow" w:cs="Arial"/>
                <w:sz w:val="18"/>
                <w:szCs w:val="18"/>
              </w:rPr>
              <w:t>follitropin alfa 300 units (22 microgram)/0.5 mL injection, 0.5 mL cartridge</w:t>
            </w:r>
          </w:p>
        </w:tc>
        <w:tc>
          <w:tcPr>
            <w:tcW w:w="851" w:type="dxa"/>
          </w:tcPr>
          <w:p w:rsidR="000C7BE2" w:rsidRPr="00632EF3" w:rsidRDefault="000C7BE2" w:rsidP="00AA291E">
            <w:pPr>
              <w:keepNext/>
              <w:jc w:val="center"/>
              <w:rPr>
                <w:rFonts w:ascii="Arial Narrow" w:hAnsi="Arial Narrow" w:cs="Arial"/>
                <w:sz w:val="18"/>
                <w:szCs w:val="18"/>
              </w:rPr>
            </w:pPr>
            <w:r w:rsidRPr="00632EF3">
              <w:rPr>
                <w:rFonts w:ascii="Arial Narrow" w:hAnsi="Arial Narrow" w:cs="Arial"/>
                <w:sz w:val="18"/>
                <w:szCs w:val="18"/>
              </w:rPr>
              <w:t>NEW</w:t>
            </w:r>
          </w:p>
        </w:tc>
        <w:tc>
          <w:tcPr>
            <w:tcW w:w="992" w:type="dxa"/>
          </w:tcPr>
          <w:p w:rsidR="000C7BE2" w:rsidRPr="00632EF3" w:rsidRDefault="000C7BE2" w:rsidP="00AA291E">
            <w:pPr>
              <w:keepNext/>
              <w:jc w:val="center"/>
              <w:rPr>
                <w:rFonts w:ascii="Arial Narrow" w:hAnsi="Arial Narrow" w:cs="Arial"/>
                <w:sz w:val="18"/>
                <w:szCs w:val="18"/>
              </w:rPr>
            </w:pPr>
            <w:r w:rsidRPr="00632EF3">
              <w:rPr>
                <w:rFonts w:ascii="Arial Narrow" w:hAnsi="Arial Narrow" w:cs="Arial"/>
                <w:sz w:val="18"/>
                <w:szCs w:val="18"/>
              </w:rPr>
              <w:t>2</w:t>
            </w:r>
          </w:p>
        </w:tc>
        <w:tc>
          <w:tcPr>
            <w:tcW w:w="850" w:type="dxa"/>
          </w:tcPr>
          <w:p w:rsidR="000C7BE2" w:rsidRPr="00632EF3" w:rsidRDefault="000C7BE2" w:rsidP="00AA291E">
            <w:pPr>
              <w:keepNext/>
              <w:jc w:val="center"/>
              <w:rPr>
                <w:rFonts w:ascii="Arial Narrow" w:hAnsi="Arial Narrow" w:cs="Arial"/>
                <w:sz w:val="18"/>
                <w:szCs w:val="18"/>
              </w:rPr>
            </w:pPr>
            <w:r w:rsidRPr="00632EF3">
              <w:rPr>
                <w:rFonts w:ascii="Arial Narrow" w:hAnsi="Arial Narrow" w:cs="Arial"/>
                <w:sz w:val="18"/>
                <w:szCs w:val="18"/>
              </w:rPr>
              <w:t>2</w:t>
            </w:r>
          </w:p>
        </w:tc>
        <w:tc>
          <w:tcPr>
            <w:tcW w:w="709" w:type="dxa"/>
          </w:tcPr>
          <w:p w:rsidR="000C7BE2" w:rsidRPr="00632EF3" w:rsidRDefault="000C7BE2" w:rsidP="00AA291E">
            <w:pPr>
              <w:keepNext/>
              <w:jc w:val="center"/>
              <w:rPr>
                <w:rFonts w:ascii="Arial Narrow" w:hAnsi="Arial Narrow" w:cs="Arial"/>
                <w:sz w:val="18"/>
                <w:szCs w:val="18"/>
              </w:rPr>
            </w:pPr>
            <w:r w:rsidRPr="00632EF3">
              <w:rPr>
                <w:rFonts w:ascii="Arial Narrow" w:hAnsi="Arial Narrow" w:cs="Arial"/>
                <w:sz w:val="18"/>
                <w:szCs w:val="18"/>
              </w:rPr>
              <w:t>0</w:t>
            </w:r>
          </w:p>
        </w:tc>
        <w:tc>
          <w:tcPr>
            <w:tcW w:w="1134" w:type="dxa"/>
          </w:tcPr>
          <w:p w:rsidR="000C7BE2" w:rsidRPr="00632EF3" w:rsidRDefault="000C7BE2" w:rsidP="00AA291E">
            <w:pPr>
              <w:keepNext/>
              <w:rPr>
                <w:rFonts w:ascii="Arial Narrow" w:hAnsi="Arial Narrow" w:cs="Arial"/>
                <w:sz w:val="18"/>
                <w:szCs w:val="18"/>
              </w:rPr>
            </w:pPr>
            <w:r w:rsidRPr="00632EF3">
              <w:rPr>
                <w:rFonts w:ascii="Arial Narrow" w:hAnsi="Arial Narrow" w:cs="Arial"/>
                <w:sz w:val="18"/>
                <w:szCs w:val="18"/>
                <w:vertAlign w:val="superscript"/>
              </w:rPr>
              <w:t xml:space="preserve">a </w:t>
            </w:r>
            <w:r w:rsidRPr="00632EF3">
              <w:rPr>
                <w:rFonts w:ascii="Arial Narrow" w:hAnsi="Arial Narrow" w:cs="Arial"/>
                <w:sz w:val="18"/>
                <w:szCs w:val="18"/>
              </w:rPr>
              <w:t>Ovaleap</w:t>
            </w:r>
          </w:p>
        </w:tc>
      </w:tr>
      <w:tr w:rsidR="000C7BE2" w:rsidRPr="00632EF3" w:rsidTr="00AA291E">
        <w:trPr>
          <w:cantSplit/>
          <w:trHeight w:val="211"/>
        </w:trPr>
        <w:tc>
          <w:tcPr>
            <w:tcW w:w="4673" w:type="dxa"/>
            <w:gridSpan w:val="3"/>
          </w:tcPr>
          <w:p w:rsidR="000C7BE2" w:rsidRPr="00632EF3" w:rsidRDefault="000C7BE2" w:rsidP="00AA291E">
            <w:pPr>
              <w:keepNext/>
              <w:ind w:left="-57"/>
              <w:rPr>
                <w:rFonts w:ascii="Arial Narrow" w:hAnsi="Arial Narrow" w:cs="Arial"/>
                <w:sz w:val="18"/>
                <w:szCs w:val="18"/>
              </w:rPr>
            </w:pPr>
            <w:r w:rsidRPr="00632EF3">
              <w:rPr>
                <w:rFonts w:ascii="Arial Narrow" w:hAnsi="Arial Narrow" w:cs="Arial"/>
                <w:sz w:val="18"/>
                <w:szCs w:val="18"/>
              </w:rPr>
              <w:t>follitropin alfa 300 units (21.84 microgram)/0.5 mL injection, 0.5 mL pen device</w:t>
            </w:r>
          </w:p>
        </w:tc>
        <w:tc>
          <w:tcPr>
            <w:tcW w:w="851" w:type="dxa"/>
          </w:tcPr>
          <w:p w:rsidR="000C7BE2" w:rsidRPr="00632EF3" w:rsidRDefault="000C7BE2" w:rsidP="00AA291E">
            <w:pPr>
              <w:keepNext/>
              <w:jc w:val="center"/>
              <w:rPr>
                <w:rFonts w:ascii="Arial Narrow" w:hAnsi="Arial Narrow" w:cs="Arial"/>
                <w:sz w:val="18"/>
                <w:szCs w:val="18"/>
              </w:rPr>
            </w:pPr>
            <w:r w:rsidRPr="00632EF3">
              <w:rPr>
                <w:rFonts w:ascii="Arial Narrow" w:hAnsi="Arial Narrow" w:cs="Arial"/>
                <w:sz w:val="18"/>
                <w:szCs w:val="18"/>
              </w:rPr>
              <w:t>6431L</w:t>
            </w:r>
          </w:p>
        </w:tc>
        <w:tc>
          <w:tcPr>
            <w:tcW w:w="992" w:type="dxa"/>
          </w:tcPr>
          <w:p w:rsidR="000C7BE2" w:rsidRPr="00632EF3" w:rsidRDefault="000C7BE2" w:rsidP="00AA291E">
            <w:pPr>
              <w:keepNext/>
              <w:jc w:val="center"/>
              <w:rPr>
                <w:rFonts w:ascii="Arial Narrow" w:hAnsi="Arial Narrow" w:cs="Arial"/>
                <w:sz w:val="18"/>
                <w:szCs w:val="18"/>
              </w:rPr>
            </w:pPr>
            <w:r w:rsidRPr="00632EF3">
              <w:rPr>
                <w:rFonts w:ascii="Arial Narrow" w:hAnsi="Arial Narrow" w:cs="Arial"/>
                <w:sz w:val="18"/>
                <w:szCs w:val="18"/>
              </w:rPr>
              <w:t>2</w:t>
            </w:r>
          </w:p>
        </w:tc>
        <w:tc>
          <w:tcPr>
            <w:tcW w:w="850" w:type="dxa"/>
          </w:tcPr>
          <w:p w:rsidR="000C7BE2" w:rsidRPr="00632EF3" w:rsidRDefault="000C7BE2" w:rsidP="00AA291E">
            <w:pPr>
              <w:keepNext/>
              <w:jc w:val="center"/>
              <w:rPr>
                <w:rFonts w:ascii="Arial Narrow" w:hAnsi="Arial Narrow" w:cs="Arial"/>
                <w:sz w:val="18"/>
                <w:szCs w:val="18"/>
              </w:rPr>
            </w:pPr>
            <w:r w:rsidRPr="00632EF3">
              <w:rPr>
                <w:rFonts w:ascii="Arial Narrow" w:hAnsi="Arial Narrow" w:cs="Arial"/>
                <w:sz w:val="18"/>
                <w:szCs w:val="18"/>
              </w:rPr>
              <w:t>2</w:t>
            </w:r>
          </w:p>
        </w:tc>
        <w:tc>
          <w:tcPr>
            <w:tcW w:w="709" w:type="dxa"/>
          </w:tcPr>
          <w:p w:rsidR="000C7BE2" w:rsidRPr="00632EF3" w:rsidRDefault="000C7BE2" w:rsidP="00AA291E">
            <w:pPr>
              <w:keepNext/>
              <w:jc w:val="center"/>
              <w:rPr>
                <w:rFonts w:ascii="Arial Narrow" w:hAnsi="Arial Narrow" w:cs="Arial"/>
                <w:sz w:val="18"/>
                <w:szCs w:val="18"/>
              </w:rPr>
            </w:pPr>
            <w:r w:rsidRPr="00632EF3">
              <w:rPr>
                <w:rFonts w:ascii="Arial Narrow" w:hAnsi="Arial Narrow" w:cs="Arial"/>
                <w:sz w:val="18"/>
                <w:szCs w:val="18"/>
              </w:rPr>
              <w:t>0</w:t>
            </w:r>
          </w:p>
        </w:tc>
        <w:tc>
          <w:tcPr>
            <w:tcW w:w="1134" w:type="dxa"/>
          </w:tcPr>
          <w:p w:rsidR="000C7BE2" w:rsidRPr="00632EF3" w:rsidRDefault="000C7BE2" w:rsidP="00AA291E">
            <w:pPr>
              <w:keepNext/>
              <w:rPr>
                <w:rFonts w:ascii="Arial Narrow" w:hAnsi="Arial Narrow" w:cs="Arial"/>
                <w:sz w:val="18"/>
                <w:szCs w:val="18"/>
                <w:vertAlign w:val="superscript"/>
              </w:rPr>
            </w:pPr>
            <w:r w:rsidRPr="00632EF3">
              <w:rPr>
                <w:rFonts w:ascii="Arial Narrow" w:hAnsi="Arial Narrow" w:cs="Arial"/>
                <w:sz w:val="18"/>
                <w:szCs w:val="18"/>
                <w:vertAlign w:val="superscript"/>
              </w:rPr>
              <w:t xml:space="preserve">a </w:t>
            </w:r>
            <w:r w:rsidRPr="00632EF3">
              <w:rPr>
                <w:rFonts w:ascii="Arial Narrow" w:hAnsi="Arial Narrow" w:cs="Arial"/>
                <w:sz w:val="18"/>
                <w:szCs w:val="18"/>
              </w:rPr>
              <w:t>Gonal-f Pen</w:t>
            </w:r>
          </w:p>
        </w:tc>
      </w:tr>
      <w:tr w:rsidR="000C7BE2" w:rsidRPr="00632EF3" w:rsidTr="00AA291E">
        <w:trPr>
          <w:cantSplit/>
          <w:trHeight w:val="211"/>
        </w:trPr>
        <w:tc>
          <w:tcPr>
            <w:tcW w:w="4673" w:type="dxa"/>
            <w:gridSpan w:val="3"/>
          </w:tcPr>
          <w:p w:rsidR="000C7BE2" w:rsidRPr="00632EF3" w:rsidRDefault="000C7BE2" w:rsidP="00AA291E">
            <w:pPr>
              <w:keepNext/>
              <w:ind w:left="-57"/>
              <w:rPr>
                <w:rFonts w:ascii="Arial Narrow" w:hAnsi="Arial Narrow" w:cs="Arial"/>
                <w:sz w:val="18"/>
                <w:szCs w:val="18"/>
              </w:rPr>
            </w:pPr>
            <w:r w:rsidRPr="00632EF3">
              <w:rPr>
                <w:rFonts w:ascii="Arial Narrow" w:hAnsi="Arial Narrow" w:cs="Arial"/>
                <w:sz w:val="18"/>
                <w:szCs w:val="18"/>
              </w:rPr>
              <w:t>follitropin alfa 300 units (22 microgram)/0.5 mL injection, 5 x 0.5 mL pen devices</w:t>
            </w:r>
          </w:p>
        </w:tc>
        <w:tc>
          <w:tcPr>
            <w:tcW w:w="851" w:type="dxa"/>
          </w:tcPr>
          <w:p w:rsidR="000C7BE2" w:rsidRPr="00632EF3" w:rsidRDefault="000C7BE2" w:rsidP="00AA291E">
            <w:pPr>
              <w:keepNext/>
              <w:jc w:val="center"/>
              <w:rPr>
                <w:rFonts w:ascii="Arial Narrow" w:hAnsi="Arial Narrow" w:cs="Arial"/>
                <w:sz w:val="18"/>
                <w:szCs w:val="18"/>
              </w:rPr>
            </w:pPr>
            <w:r w:rsidRPr="00632EF3">
              <w:rPr>
                <w:rFonts w:ascii="Arial Narrow" w:hAnsi="Arial Narrow" w:cs="Arial"/>
                <w:sz w:val="18"/>
                <w:szCs w:val="18"/>
              </w:rPr>
              <w:t>10866X</w:t>
            </w:r>
          </w:p>
        </w:tc>
        <w:tc>
          <w:tcPr>
            <w:tcW w:w="992" w:type="dxa"/>
          </w:tcPr>
          <w:p w:rsidR="000C7BE2" w:rsidRPr="00632EF3" w:rsidRDefault="000C7BE2" w:rsidP="00AA291E">
            <w:pPr>
              <w:keepNext/>
              <w:jc w:val="center"/>
              <w:rPr>
                <w:rFonts w:ascii="Arial Narrow" w:hAnsi="Arial Narrow" w:cs="Arial"/>
                <w:sz w:val="18"/>
                <w:szCs w:val="18"/>
              </w:rPr>
            </w:pPr>
            <w:r w:rsidRPr="00632EF3">
              <w:rPr>
                <w:rFonts w:ascii="Arial Narrow" w:hAnsi="Arial Narrow" w:cs="Arial"/>
                <w:sz w:val="18"/>
                <w:szCs w:val="18"/>
              </w:rPr>
              <w:t>3</w:t>
            </w:r>
          </w:p>
        </w:tc>
        <w:tc>
          <w:tcPr>
            <w:tcW w:w="850" w:type="dxa"/>
          </w:tcPr>
          <w:p w:rsidR="000C7BE2" w:rsidRPr="00632EF3" w:rsidRDefault="000C7BE2" w:rsidP="00AA291E">
            <w:pPr>
              <w:keepNext/>
              <w:jc w:val="center"/>
              <w:rPr>
                <w:rFonts w:ascii="Arial Narrow" w:hAnsi="Arial Narrow" w:cs="Arial"/>
                <w:sz w:val="18"/>
                <w:szCs w:val="18"/>
              </w:rPr>
            </w:pPr>
            <w:r w:rsidRPr="00632EF3">
              <w:rPr>
                <w:rFonts w:ascii="Arial Narrow" w:hAnsi="Arial Narrow" w:cs="Arial"/>
                <w:sz w:val="18"/>
                <w:szCs w:val="18"/>
              </w:rPr>
              <w:t>15</w:t>
            </w:r>
          </w:p>
        </w:tc>
        <w:tc>
          <w:tcPr>
            <w:tcW w:w="709" w:type="dxa"/>
          </w:tcPr>
          <w:p w:rsidR="000C7BE2" w:rsidRPr="00632EF3" w:rsidRDefault="000C7BE2" w:rsidP="00AA291E">
            <w:pPr>
              <w:keepNext/>
              <w:jc w:val="center"/>
              <w:rPr>
                <w:rFonts w:ascii="Arial Narrow" w:hAnsi="Arial Narrow" w:cs="Arial"/>
                <w:sz w:val="18"/>
                <w:szCs w:val="18"/>
              </w:rPr>
            </w:pPr>
            <w:r w:rsidRPr="00632EF3">
              <w:rPr>
                <w:rFonts w:ascii="Arial Narrow" w:hAnsi="Arial Narrow" w:cs="Arial"/>
                <w:sz w:val="18"/>
                <w:szCs w:val="18"/>
              </w:rPr>
              <w:t>0</w:t>
            </w:r>
          </w:p>
        </w:tc>
        <w:tc>
          <w:tcPr>
            <w:tcW w:w="1134" w:type="dxa"/>
          </w:tcPr>
          <w:p w:rsidR="000C7BE2" w:rsidRPr="00632EF3" w:rsidRDefault="000C7BE2" w:rsidP="00AA291E">
            <w:pPr>
              <w:keepNext/>
              <w:rPr>
                <w:rFonts w:ascii="Arial Narrow" w:hAnsi="Arial Narrow" w:cs="Arial"/>
                <w:sz w:val="18"/>
                <w:szCs w:val="18"/>
                <w:vertAlign w:val="superscript"/>
              </w:rPr>
            </w:pPr>
            <w:r w:rsidRPr="00632EF3">
              <w:rPr>
                <w:rFonts w:ascii="Arial Narrow" w:hAnsi="Arial Narrow" w:cs="Arial"/>
                <w:sz w:val="18"/>
                <w:szCs w:val="18"/>
              </w:rPr>
              <w:t>Bemfola</w:t>
            </w:r>
          </w:p>
        </w:tc>
      </w:tr>
      <w:tr w:rsidR="000C7BE2" w:rsidRPr="00632EF3" w:rsidTr="00AA291E">
        <w:trPr>
          <w:cantSplit/>
          <w:trHeight w:val="51"/>
        </w:trPr>
        <w:tc>
          <w:tcPr>
            <w:tcW w:w="9209" w:type="dxa"/>
            <w:gridSpan w:val="8"/>
            <w:shd w:val="clear" w:color="auto" w:fill="595959" w:themeFill="text1" w:themeFillTint="A6"/>
          </w:tcPr>
          <w:p w:rsidR="000C7BE2" w:rsidRPr="00632EF3" w:rsidRDefault="000C7BE2" w:rsidP="00AA291E">
            <w:pPr>
              <w:keepNext/>
              <w:rPr>
                <w:rFonts w:ascii="Arial Narrow" w:hAnsi="Arial Narrow" w:cs="Arial"/>
                <w:sz w:val="18"/>
                <w:szCs w:val="18"/>
              </w:rPr>
            </w:pPr>
          </w:p>
        </w:tc>
      </w:tr>
      <w:tr w:rsidR="000C7BE2" w:rsidRPr="00632EF3" w:rsidTr="00AA291E">
        <w:trPr>
          <w:cantSplit/>
          <w:trHeight w:val="273"/>
        </w:trPr>
        <w:tc>
          <w:tcPr>
            <w:tcW w:w="4673" w:type="dxa"/>
            <w:gridSpan w:val="3"/>
          </w:tcPr>
          <w:p w:rsidR="000C7BE2" w:rsidRPr="00632EF3" w:rsidRDefault="000C7BE2" w:rsidP="00AA291E">
            <w:pPr>
              <w:keepNext/>
              <w:ind w:left="-57"/>
              <w:rPr>
                <w:rFonts w:ascii="Arial Narrow" w:hAnsi="Arial Narrow" w:cs="Arial"/>
                <w:sz w:val="18"/>
                <w:szCs w:val="18"/>
              </w:rPr>
            </w:pPr>
            <w:r w:rsidRPr="00632EF3">
              <w:rPr>
                <w:rFonts w:ascii="Arial Narrow" w:hAnsi="Arial Narrow" w:cs="Arial"/>
                <w:sz w:val="18"/>
                <w:szCs w:val="18"/>
              </w:rPr>
              <w:t>follitropin alfa 450 units (33 microgram)/0.75 mL injection, 0.75 mL cartridge</w:t>
            </w:r>
          </w:p>
        </w:tc>
        <w:tc>
          <w:tcPr>
            <w:tcW w:w="851" w:type="dxa"/>
          </w:tcPr>
          <w:p w:rsidR="000C7BE2" w:rsidRPr="00632EF3" w:rsidRDefault="000C7BE2" w:rsidP="00AA291E">
            <w:pPr>
              <w:keepNext/>
              <w:jc w:val="center"/>
              <w:rPr>
                <w:rFonts w:ascii="Arial Narrow" w:hAnsi="Arial Narrow" w:cs="Arial"/>
                <w:sz w:val="18"/>
                <w:szCs w:val="18"/>
              </w:rPr>
            </w:pPr>
            <w:r w:rsidRPr="00632EF3">
              <w:rPr>
                <w:rFonts w:ascii="Arial Narrow" w:hAnsi="Arial Narrow" w:cs="Arial"/>
                <w:sz w:val="18"/>
                <w:szCs w:val="18"/>
              </w:rPr>
              <w:t>NEW</w:t>
            </w:r>
          </w:p>
        </w:tc>
        <w:tc>
          <w:tcPr>
            <w:tcW w:w="992" w:type="dxa"/>
          </w:tcPr>
          <w:p w:rsidR="000C7BE2" w:rsidRPr="00632EF3" w:rsidRDefault="000C7BE2" w:rsidP="00AA291E">
            <w:pPr>
              <w:keepNext/>
              <w:jc w:val="center"/>
              <w:rPr>
                <w:rFonts w:ascii="Arial Narrow" w:hAnsi="Arial Narrow" w:cs="Arial"/>
                <w:sz w:val="18"/>
                <w:szCs w:val="18"/>
              </w:rPr>
            </w:pPr>
            <w:r w:rsidRPr="00632EF3">
              <w:rPr>
                <w:rFonts w:ascii="Arial Narrow" w:hAnsi="Arial Narrow" w:cs="Arial"/>
                <w:sz w:val="18"/>
                <w:szCs w:val="18"/>
              </w:rPr>
              <w:t>2</w:t>
            </w:r>
          </w:p>
        </w:tc>
        <w:tc>
          <w:tcPr>
            <w:tcW w:w="850" w:type="dxa"/>
          </w:tcPr>
          <w:p w:rsidR="000C7BE2" w:rsidRPr="00632EF3" w:rsidRDefault="000C7BE2" w:rsidP="00AA291E">
            <w:pPr>
              <w:keepNext/>
              <w:jc w:val="center"/>
              <w:rPr>
                <w:rFonts w:ascii="Arial Narrow" w:hAnsi="Arial Narrow" w:cs="Arial"/>
                <w:sz w:val="18"/>
                <w:szCs w:val="18"/>
              </w:rPr>
            </w:pPr>
            <w:r w:rsidRPr="00632EF3">
              <w:rPr>
                <w:rFonts w:ascii="Arial Narrow" w:hAnsi="Arial Narrow" w:cs="Arial"/>
                <w:sz w:val="18"/>
                <w:szCs w:val="18"/>
              </w:rPr>
              <w:t>2</w:t>
            </w:r>
          </w:p>
        </w:tc>
        <w:tc>
          <w:tcPr>
            <w:tcW w:w="709" w:type="dxa"/>
          </w:tcPr>
          <w:p w:rsidR="000C7BE2" w:rsidRPr="00632EF3" w:rsidRDefault="000C7BE2" w:rsidP="00AA291E">
            <w:pPr>
              <w:keepNext/>
              <w:jc w:val="center"/>
              <w:rPr>
                <w:rFonts w:ascii="Arial Narrow" w:hAnsi="Arial Narrow" w:cs="Arial"/>
                <w:sz w:val="18"/>
                <w:szCs w:val="18"/>
              </w:rPr>
            </w:pPr>
            <w:r w:rsidRPr="00632EF3">
              <w:rPr>
                <w:rFonts w:ascii="Arial Narrow" w:hAnsi="Arial Narrow" w:cs="Arial"/>
                <w:sz w:val="18"/>
                <w:szCs w:val="18"/>
              </w:rPr>
              <w:t>0</w:t>
            </w:r>
          </w:p>
        </w:tc>
        <w:tc>
          <w:tcPr>
            <w:tcW w:w="1134" w:type="dxa"/>
          </w:tcPr>
          <w:p w:rsidR="000C7BE2" w:rsidRPr="00632EF3" w:rsidRDefault="000C7BE2" w:rsidP="00AA291E">
            <w:pPr>
              <w:keepNext/>
              <w:rPr>
                <w:rFonts w:ascii="Arial Narrow" w:hAnsi="Arial Narrow" w:cs="Arial"/>
                <w:sz w:val="18"/>
                <w:szCs w:val="18"/>
              </w:rPr>
            </w:pPr>
            <w:r w:rsidRPr="00632EF3">
              <w:rPr>
                <w:rFonts w:ascii="Arial Narrow" w:hAnsi="Arial Narrow" w:cs="Arial"/>
                <w:sz w:val="18"/>
                <w:szCs w:val="18"/>
                <w:vertAlign w:val="superscript"/>
              </w:rPr>
              <w:t xml:space="preserve">a </w:t>
            </w:r>
            <w:r w:rsidRPr="00632EF3">
              <w:rPr>
                <w:rFonts w:ascii="Arial Narrow" w:hAnsi="Arial Narrow" w:cs="Arial"/>
                <w:sz w:val="18"/>
                <w:szCs w:val="18"/>
              </w:rPr>
              <w:t>Ovaleap</w:t>
            </w:r>
          </w:p>
        </w:tc>
      </w:tr>
      <w:tr w:rsidR="000C7BE2" w:rsidRPr="00632EF3" w:rsidTr="00AA291E">
        <w:trPr>
          <w:cantSplit/>
          <w:trHeight w:val="273"/>
        </w:trPr>
        <w:tc>
          <w:tcPr>
            <w:tcW w:w="4673" w:type="dxa"/>
            <w:gridSpan w:val="3"/>
          </w:tcPr>
          <w:p w:rsidR="000C7BE2" w:rsidRPr="00632EF3" w:rsidRDefault="000C7BE2" w:rsidP="00AA291E">
            <w:pPr>
              <w:keepNext/>
              <w:ind w:left="-57"/>
              <w:rPr>
                <w:rFonts w:ascii="Arial Narrow" w:hAnsi="Arial Narrow" w:cs="Arial"/>
                <w:sz w:val="18"/>
                <w:szCs w:val="18"/>
              </w:rPr>
            </w:pPr>
            <w:r w:rsidRPr="00632EF3">
              <w:rPr>
                <w:rFonts w:ascii="Arial Narrow" w:hAnsi="Arial Narrow" w:cs="Arial"/>
                <w:sz w:val="18"/>
                <w:szCs w:val="18"/>
              </w:rPr>
              <w:t>follitropin alfa 450 units (32.76 microgram)/0.75 mL injection, 0.75 mL pen device</w:t>
            </w:r>
          </w:p>
        </w:tc>
        <w:tc>
          <w:tcPr>
            <w:tcW w:w="851" w:type="dxa"/>
          </w:tcPr>
          <w:p w:rsidR="000C7BE2" w:rsidRPr="00632EF3" w:rsidRDefault="000C7BE2" w:rsidP="00AA291E">
            <w:pPr>
              <w:keepNext/>
              <w:jc w:val="center"/>
              <w:rPr>
                <w:rFonts w:ascii="Arial Narrow" w:hAnsi="Arial Narrow" w:cs="Arial"/>
                <w:sz w:val="18"/>
                <w:szCs w:val="18"/>
              </w:rPr>
            </w:pPr>
            <w:r w:rsidRPr="00632EF3">
              <w:rPr>
                <w:rFonts w:ascii="Arial Narrow" w:hAnsi="Arial Narrow" w:cs="Arial"/>
                <w:sz w:val="18"/>
                <w:szCs w:val="18"/>
              </w:rPr>
              <w:t>6432M</w:t>
            </w:r>
          </w:p>
        </w:tc>
        <w:tc>
          <w:tcPr>
            <w:tcW w:w="992" w:type="dxa"/>
          </w:tcPr>
          <w:p w:rsidR="000C7BE2" w:rsidRPr="00632EF3" w:rsidRDefault="000C7BE2" w:rsidP="00AA291E">
            <w:pPr>
              <w:keepNext/>
              <w:jc w:val="center"/>
              <w:rPr>
                <w:rFonts w:ascii="Arial Narrow" w:hAnsi="Arial Narrow" w:cs="Arial"/>
                <w:sz w:val="18"/>
                <w:szCs w:val="18"/>
              </w:rPr>
            </w:pPr>
            <w:r w:rsidRPr="00632EF3">
              <w:rPr>
                <w:rFonts w:ascii="Arial Narrow" w:hAnsi="Arial Narrow" w:cs="Arial"/>
                <w:sz w:val="18"/>
                <w:szCs w:val="18"/>
              </w:rPr>
              <w:t>2</w:t>
            </w:r>
          </w:p>
        </w:tc>
        <w:tc>
          <w:tcPr>
            <w:tcW w:w="850" w:type="dxa"/>
          </w:tcPr>
          <w:p w:rsidR="000C7BE2" w:rsidRPr="00632EF3" w:rsidRDefault="000C7BE2" w:rsidP="00AA291E">
            <w:pPr>
              <w:keepNext/>
              <w:jc w:val="center"/>
              <w:rPr>
                <w:rFonts w:ascii="Arial Narrow" w:hAnsi="Arial Narrow" w:cs="Arial"/>
                <w:sz w:val="18"/>
                <w:szCs w:val="18"/>
              </w:rPr>
            </w:pPr>
            <w:r w:rsidRPr="00632EF3">
              <w:rPr>
                <w:rFonts w:ascii="Arial Narrow" w:hAnsi="Arial Narrow" w:cs="Arial"/>
                <w:sz w:val="18"/>
                <w:szCs w:val="18"/>
              </w:rPr>
              <w:t>2</w:t>
            </w:r>
          </w:p>
        </w:tc>
        <w:tc>
          <w:tcPr>
            <w:tcW w:w="709" w:type="dxa"/>
          </w:tcPr>
          <w:p w:rsidR="000C7BE2" w:rsidRPr="00632EF3" w:rsidRDefault="000C7BE2" w:rsidP="00AA291E">
            <w:pPr>
              <w:keepNext/>
              <w:jc w:val="center"/>
              <w:rPr>
                <w:rFonts w:ascii="Arial Narrow" w:hAnsi="Arial Narrow" w:cs="Arial"/>
                <w:sz w:val="18"/>
                <w:szCs w:val="18"/>
              </w:rPr>
            </w:pPr>
            <w:r w:rsidRPr="00632EF3">
              <w:rPr>
                <w:rFonts w:ascii="Arial Narrow" w:hAnsi="Arial Narrow" w:cs="Arial"/>
                <w:sz w:val="18"/>
                <w:szCs w:val="18"/>
              </w:rPr>
              <w:t>0</w:t>
            </w:r>
          </w:p>
        </w:tc>
        <w:tc>
          <w:tcPr>
            <w:tcW w:w="1134" w:type="dxa"/>
          </w:tcPr>
          <w:p w:rsidR="000C7BE2" w:rsidRPr="00632EF3" w:rsidRDefault="000C7BE2" w:rsidP="00AA291E">
            <w:pPr>
              <w:keepNext/>
              <w:rPr>
                <w:rFonts w:ascii="Arial Narrow" w:hAnsi="Arial Narrow" w:cs="Arial"/>
                <w:sz w:val="18"/>
                <w:szCs w:val="18"/>
                <w:vertAlign w:val="superscript"/>
              </w:rPr>
            </w:pPr>
            <w:r w:rsidRPr="00632EF3">
              <w:rPr>
                <w:rFonts w:ascii="Arial Narrow" w:hAnsi="Arial Narrow" w:cs="Arial"/>
                <w:sz w:val="18"/>
                <w:szCs w:val="18"/>
                <w:vertAlign w:val="superscript"/>
              </w:rPr>
              <w:t xml:space="preserve">a </w:t>
            </w:r>
            <w:r w:rsidRPr="00632EF3">
              <w:rPr>
                <w:rFonts w:ascii="Arial Narrow" w:hAnsi="Arial Narrow" w:cs="Arial"/>
                <w:sz w:val="18"/>
                <w:szCs w:val="18"/>
              </w:rPr>
              <w:t>Gonal-f Pen</w:t>
            </w:r>
          </w:p>
        </w:tc>
      </w:tr>
      <w:tr w:rsidR="000C7BE2" w:rsidRPr="00632EF3" w:rsidTr="00AA291E">
        <w:trPr>
          <w:cantSplit/>
          <w:trHeight w:val="273"/>
        </w:trPr>
        <w:tc>
          <w:tcPr>
            <w:tcW w:w="4673" w:type="dxa"/>
            <w:gridSpan w:val="3"/>
          </w:tcPr>
          <w:p w:rsidR="000C7BE2" w:rsidRPr="00632EF3" w:rsidRDefault="000C7BE2" w:rsidP="00AA291E">
            <w:pPr>
              <w:keepNext/>
              <w:ind w:left="-57"/>
              <w:rPr>
                <w:rFonts w:ascii="Arial Narrow" w:hAnsi="Arial Narrow" w:cs="Arial"/>
                <w:sz w:val="18"/>
                <w:szCs w:val="18"/>
              </w:rPr>
            </w:pPr>
            <w:r w:rsidRPr="00632EF3">
              <w:rPr>
                <w:rFonts w:ascii="Arial Narrow" w:hAnsi="Arial Narrow" w:cs="Arial"/>
                <w:sz w:val="18"/>
                <w:szCs w:val="18"/>
              </w:rPr>
              <w:t>follitropin alfa 450 units (33 microgram)/0.75 mL injection, 5 x 0.75 mL pen devices</w:t>
            </w:r>
          </w:p>
        </w:tc>
        <w:tc>
          <w:tcPr>
            <w:tcW w:w="851" w:type="dxa"/>
          </w:tcPr>
          <w:p w:rsidR="000C7BE2" w:rsidRPr="00632EF3" w:rsidRDefault="000C7BE2" w:rsidP="00AA291E">
            <w:pPr>
              <w:keepNext/>
              <w:jc w:val="center"/>
              <w:rPr>
                <w:rFonts w:ascii="Arial Narrow" w:hAnsi="Arial Narrow" w:cs="Arial"/>
                <w:sz w:val="18"/>
                <w:szCs w:val="18"/>
              </w:rPr>
            </w:pPr>
            <w:r w:rsidRPr="00632EF3">
              <w:rPr>
                <w:rFonts w:ascii="Arial Narrow" w:hAnsi="Arial Narrow" w:cs="Arial"/>
                <w:sz w:val="18"/>
                <w:szCs w:val="18"/>
              </w:rPr>
              <w:t>10867Y</w:t>
            </w:r>
          </w:p>
        </w:tc>
        <w:tc>
          <w:tcPr>
            <w:tcW w:w="992" w:type="dxa"/>
          </w:tcPr>
          <w:p w:rsidR="000C7BE2" w:rsidRPr="00632EF3" w:rsidRDefault="000C7BE2" w:rsidP="00AA291E">
            <w:pPr>
              <w:keepNext/>
              <w:jc w:val="center"/>
              <w:rPr>
                <w:rFonts w:ascii="Arial Narrow" w:hAnsi="Arial Narrow" w:cs="Arial"/>
                <w:sz w:val="18"/>
                <w:szCs w:val="18"/>
              </w:rPr>
            </w:pPr>
            <w:r w:rsidRPr="00632EF3">
              <w:rPr>
                <w:rFonts w:ascii="Arial Narrow" w:hAnsi="Arial Narrow" w:cs="Arial"/>
                <w:sz w:val="18"/>
                <w:szCs w:val="18"/>
              </w:rPr>
              <w:t>3</w:t>
            </w:r>
          </w:p>
        </w:tc>
        <w:tc>
          <w:tcPr>
            <w:tcW w:w="850" w:type="dxa"/>
          </w:tcPr>
          <w:p w:rsidR="000C7BE2" w:rsidRPr="00632EF3" w:rsidRDefault="000C7BE2" w:rsidP="00AA291E">
            <w:pPr>
              <w:keepNext/>
              <w:jc w:val="center"/>
              <w:rPr>
                <w:rFonts w:ascii="Arial Narrow" w:hAnsi="Arial Narrow" w:cs="Arial"/>
                <w:sz w:val="18"/>
                <w:szCs w:val="18"/>
              </w:rPr>
            </w:pPr>
            <w:r w:rsidRPr="00632EF3">
              <w:rPr>
                <w:rFonts w:ascii="Arial Narrow" w:hAnsi="Arial Narrow" w:cs="Arial"/>
                <w:sz w:val="18"/>
                <w:szCs w:val="18"/>
              </w:rPr>
              <w:t>15</w:t>
            </w:r>
          </w:p>
        </w:tc>
        <w:tc>
          <w:tcPr>
            <w:tcW w:w="709" w:type="dxa"/>
          </w:tcPr>
          <w:p w:rsidR="000C7BE2" w:rsidRPr="00632EF3" w:rsidRDefault="000C7BE2" w:rsidP="00AA291E">
            <w:pPr>
              <w:keepNext/>
              <w:jc w:val="center"/>
              <w:rPr>
                <w:rFonts w:ascii="Arial Narrow" w:hAnsi="Arial Narrow" w:cs="Arial"/>
                <w:sz w:val="18"/>
                <w:szCs w:val="18"/>
              </w:rPr>
            </w:pPr>
            <w:r w:rsidRPr="00632EF3">
              <w:rPr>
                <w:rFonts w:ascii="Arial Narrow" w:hAnsi="Arial Narrow" w:cs="Arial"/>
                <w:sz w:val="18"/>
                <w:szCs w:val="18"/>
              </w:rPr>
              <w:t>0</w:t>
            </w:r>
          </w:p>
        </w:tc>
        <w:tc>
          <w:tcPr>
            <w:tcW w:w="1134" w:type="dxa"/>
          </w:tcPr>
          <w:p w:rsidR="000C7BE2" w:rsidRPr="00632EF3" w:rsidRDefault="000C7BE2" w:rsidP="00AA291E">
            <w:pPr>
              <w:keepNext/>
              <w:rPr>
                <w:rFonts w:ascii="Arial Narrow" w:hAnsi="Arial Narrow" w:cs="Arial"/>
                <w:sz w:val="18"/>
                <w:szCs w:val="18"/>
                <w:vertAlign w:val="superscript"/>
              </w:rPr>
            </w:pPr>
            <w:r w:rsidRPr="00632EF3">
              <w:rPr>
                <w:rFonts w:ascii="Arial Narrow" w:hAnsi="Arial Narrow" w:cs="Arial"/>
                <w:sz w:val="18"/>
                <w:szCs w:val="18"/>
              </w:rPr>
              <w:t>Bemfola</w:t>
            </w:r>
          </w:p>
        </w:tc>
      </w:tr>
      <w:tr w:rsidR="000C7BE2" w:rsidRPr="00632EF3" w:rsidTr="00AA291E">
        <w:trPr>
          <w:cantSplit/>
          <w:trHeight w:val="87"/>
        </w:trPr>
        <w:tc>
          <w:tcPr>
            <w:tcW w:w="9209" w:type="dxa"/>
            <w:gridSpan w:val="8"/>
            <w:shd w:val="clear" w:color="auto" w:fill="595959" w:themeFill="text1" w:themeFillTint="A6"/>
          </w:tcPr>
          <w:p w:rsidR="000C7BE2" w:rsidRPr="00632EF3" w:rsidRDefault="000C7BE2" w:rsidP="00AA291E">
            <w:pPr>
              <w:keepNext/>
              <w:rPr>
                <w:rFonts w:ascii="Arial Narrow" w:hAnsi="Arial Narrow" w:cs="Arial"/>
                <w:sz w:val="18"/>
                <w:szCs w:val="18"/>
              </w:rPr>
            </w:pPr>
          </w:p>
        </w:tc>
      </w:tr>
      <w:tr w:rsidR="000C7BE2" w:rsidRPr="00632EF3" w:rsidTr="00AA291E">
        <w:trPr>
          <w:cantSplit/>
          <w:trHeight w:val="263"/>
        </w:trPr>
        <w:tc>
          <w:tcPr>
            <w:tcW w:w="4673" w:type="dxa"/>
            <w:gridSpan w:val="3"/>
          </w:tcPr>
          <w:p w:rsidR="000C7BE2" w:rsidRPr="00632EF3" w:rsidRDefault="000C7BE2" w:rsidP="00AA291E">
            <w:pPr>
              <w:keepNext/>
              <w:tabs>
                <w:tab w:val="left" w:pos="1077"/>
              </w:tabs>
              <w:ind w:left="-57"/>
              <w:rPr>
                <w:rFonts w:ascii="Arial Narrow" w:hAnsi="Arial Narrow" w:cs="Arial"/>
                <w:sz w:val="18"/>
                <w:szCs w:val="18"/>
              </w:rPr>
            </w:pPr>
            <w:r w:rsidRPr="00632EF3">
              <w:rPr>
                <w:rFonts w:ascii="Arial Narrow" w:hAnsi="Arial Narrow" w:cs="Arial"/>
                <w:sz w:val="18"/>
                <w:szCs w:val="18"/>
              </w:rPr>
              <w:t>follitropin alfa 900 units (66 microgram)/1.5 mL injection, 1.5 mL cartridge</w:t>
            </w:r>
          </w:p>
        </w:tc>
        <w:tc>
          <w:tcPr>
            <w:tcW w:w="851" w:type="dxa"/>
          </w:tcPr>
          <w:p w:rsidR="000C7BE2" w:rsidRPr="00632EF3" w:rsidRDefault="000C7BE2" w:rsidP="00AA291E">
            <w:pPr>
              <w:keepNext/>
              <w:jc w:val="center"/>
              <w:rPr>
                <w:rFonts w:ascii="Arial Narrow" w:hAnsi="Arial Narrow" w:cs="Arial"/>
                <w:sz w:val="18"/>
                <w:szCs w:val="18"/>
              </w:rPr>
            </w:pPr>
            <w:r w:rsidRPr="00632EF3">
              <w:rPr>
                <w:rFonts w:ascii="Arial Narrow" w:hAnsi="Arial Narrow" w:cs="Arial"/>
                <w:sz w:val="18"/>
                <w:szCs w:val="18"/>
              </w:rPr>
              <w:t>NEW</w:t>
            </w:r>
          </w:p>
        </w:tc>
        <w:tc>
          <w:tcPr>
            <w:tcW w:w="992" w:type="dxa"/>
          </w:tcPr>
          <w:p w:rsidR="000C7BE2" w:rsidRPr="00632EF3" w:rsidRDefault="000C7BE2" w:rsidP="00AA291E">
            <w:pPr>
              <w:keepNext/>
              <w:jc w:val="center"/>
              <w:rPr>
                <w:rFonts w:ascii="Arial Narrow" w:hAnsi="Arial Narrow" w:cs="Arial"/>
                <w:sz w:val="18"/>
                <w:szCs w:val="18"/>
              </w:rPr>
            </w:pPr>
            <w:r w:rsidRPr="00632EF3">
              <w:rPr>
                <w:rFonts w:ascii="Arial Narrow" w:hAnsi="Arial Narrow" w:cs="Arial"/>
                <w:sz w:val="18"/>
                <w:szCs w:val="18"/>
              </w:rPr>
              <w:t>5</w:t>
            </w:r>
          </w:p>
        </w:tc>
        <w:tc>
          <w:tcPr>
            <w:tcW w:w="850" w:type="dxa"/>
          </w:tcPr>
          <w:p w:rsidR="000C7BE2" w:rsidRPr="00632EF3" w:rsidRDefault="000C7BE2" w:rsidP="00AA291E">
            <w:pPr>
              <w:keepNext/>
              <w:jc w:val="center"/>
              <w:rPr>
                <w:rFonts w:ascii="Arial Narrow" w:hAnsi="Arial Narrow" w:cs="Arial"/>
                <w:sz w:val="18"/>
                <w:szCs w:val="18"/>
              </w:rPr>
            </w:pPr>
            <w:r w:rsidRPr="00632EF3">
              <w:rPr>
                <w:rFonts w:ascii="Arial Narrow" w:hAnsi="Arial Narrow" w:cs="Arial"/>
                <w:sz w:val="18"/>
                <w:szCs w:val="18"/>
              </w:rPr>
              <w:t>5</w:t>
            </w:r>
          </w:p>
        </w:tc>
        <w:tc>
          <w:tcPr>
            <w:tcW w:w="709" w:type="dxa"/>
          </w:tcPr>
          <w:p w:rsidR="000C7BE2" w:rsidRPr="00632EF3" w:rsidRDefault="000C7BE2" w:rsidP="00AA291E">
            <w:pPr>
              <w:keepNext/>
              <w:jc w:val="center"/>
              <w:rPr>
                <w:rFonts w:ascii="Arial Narrow" w:hAnsi="Arial Narrow" w:cs="Arial"/>
                <w:sz w:val="18"/>
                <w:szCs w:val="18"/>
              </w:rPr>
            </w:pPr>
            <w:r w:rsidRPr="00632EF3">
              <w:rPr>
                <w:rFonts w:ascii="Arial Narrow" w:hAnsi="Arial Narrow" w:cs="Arial"/>
                <w:sz w:val="18"/>
                <w:szCs w:val="18"/>
              </w:rPr>
              <w:t>0</w:t>
            </w:r>
          </w:p>
        </w:tc>
        <w:tc>
          <w:tcPr>
            <w:tcW w:w="1134" w:type="dxa"/>
          </w:tcPr>
          <w:p w:rsidR="000C7BE2" w:rsidRPr="00632EF3" w:rsidRDefault="000C7BE2" w:rsidP="00AA291E">
            <w:pPr>
              <w:keepNext/>
              <w:rPr>
                <w:rFonts w:ascii="Arial Narrow" w:hAnsi="Arial Narrow" w:cs="Arial"/>
                <w:sz w:val="18"/>
                <w:szCs w:val="18"/>
              </w:rPr>
            </w:pPr>
            <w:r w:rsidRPr="00632EF3">
              <w:rPr>
                <w:rFonts w:ascii="Arial Narrow" w:hAnsi="Arial Narrow" w:cs="Arial"/>
                <w:sz w:val="18"/>
                <w:szCs w:val="18"/>
                <w:vertAlign w:val="superscript"/>
              </w:rPr>
              <w:t xml:space="preserve">a </w:t>
            </w:r>
            <w:r w:rsidRPr="00632EF3">
              <w:rPr>
                <w:rFonts w:ascii="Arial Narrow" w:hAnsi="Arial Narrow" w:cs="Arial"/>
                <w:sz w:val="18"/>
                <w:szCs w:val="18"/>
              </w:rPr>
              <w:t>Ovaleap</w:t>
            </w:r>
          </w:p>
        </w:tc>
      </w:tr>
      <w:tr w:rsidR="000C7BE2" w:rsidRPr="00632EF3" w:rsidTr="00AA291E">
        <w:trPr>
          <w:cantSplit/>
          <w:trHeight w:val="263"/>
        </w:trPr>
        <w:tc>
          <w:tcPr>
            <w:tcW w:w="4673" w:type="dxa"/>
            <w:gridSpan w:val="3"/>
          </w:tcPr>
          <w:p w:rsidR="000C7BE2" w:rsidRPr="00632EF3" w:rsidRDefault="000C7BE2" w:rsidP="00AA291E">
            <w:pPr>
              <w:keepNext/>
              <w:tabs>
                <w:tab w:val="left" w:pos="1077"/>
              </w:tabs>
              <w:ind w:left="-57"/>
              <w:rPr>
                <w:rFonts w:ascii="Arial Narrow" w:hAnsi="Arial Narrow" w:cs="Arial"/>
                <w:sz w:val="18"/>
                <w:szCs w:val="18"/>
              </w:rPr>
            </w:pPr>
            <w:r w:rsidRPr="00632EF3">
              <w:rPr>
                <w:rFonts w:ascii="Arial Narrow" w:hAnsi="Arial Narrow" w:cs="Arial"/>
                <w:sz w:val="18"/>
                <w:szCs w:val="18"/>
              </w:rPr>
              <w:t>follitropin alfa 900 units (65.52 microgram)/1.5 mL injection, 1.5 mL pen device</w:t>
            </w:r>
          </w:p>
        </w:tc>
        <w:tc>
          <w:tcPr>
            <w:tcW w:w="851" w:type="dxa"/>
          </w:tcPr>
          <w:p w:rsidR="000C7BE2" w:rsidRPr="00632EF3" w:rsidRDefault="000C7BE2" w:rsidP="00AA291E">
            <w:pPr>
              <w:keepNext/>
              <w:jc w:val="center"/>
              <w:rPr>
                <w:rFonts w:ascii="Arial Narrow" w:hAnsi="Arial Narrow" w:cs="Arial"/>
                <w:sz w:val="18"/>
                <w:szCs w:val="18"/>
              </w:rPr>
            </w:pPr>
            <w:r w:rsidRPr="00632EF3">
              <w:rPr>
                <w:rFonts w:ascii="Arial Narrow" w:hAnsi="Arial Narrow" w:cs="Arial"/>
                <w:sz w:val="18"/>
                <w:szCs w:val="18"/>
              </w:rPr>
              <w:t>6433N</w:t>
            </w:r>
          </w:p>
        </w:tc>
        <w:tc>
          <w:tcPr>
            <w:tcW w:w="992" w:type="dxa"/>
          </w:tcPr>
          <w:p w:rsidR="000C7BE2" w:rsidRPr="00632EF3" w:rsidRDefault="000C7BE2" w:rsidP="00AA291E">
            <w:pPr>
              <w:keepNext/>
              <w:jc w:val="center"/>
              <w:rPr>
                <w:rFonts w:ascii="Arial Narrow" w:hAnsi="Arial Narrow" w:cs="Arial"/>
                <w:sz w:val="18"/>
                <w:szCs w:val="18"/>
              </w:rPr>
            </w:pPr>
            <w:r w:rsidRPr="00632EF3">
              <w:rPr>
                <w:rFonts w:ascii="Arial Narrow" w:hAnsi="Arial Narrow" w:cs="Arial"/>
                <w:sz w:val="18"/>
                <w:szCs w:val="18"/>
              </w:rPr>
              <w:t>5</w:t>
            </w:r>
          </w:p>
        </w:tc>
        <w:tc>
          <w:tcPr>
            <w:tcW w:w="850" w:type="dxa"/>
          </w:tcPr>
          <w:p w:rsidR="000C7BE2" w:rsidRPr="00632EF3" w:rsidRDefault="000C7BE2" w:rsidP="00AA291E">
            <w:pPr>
              <w:keepNext/>
              <w:jc w:val="center"/>
              <w:rPr>
                <w:rFonts w:ascii="Arial Narrow" w:hAnsi="Arial Narrow" w:cs="Arial"/>
                <w:sz w:val="18"/>
                <w:szCs w:val="18"/>
              </w:rPr>
            </w:pPr>
            <w:r w:rsidRPr="00632EF3">
              <w:rPr>
                <w:rFonts w:ascii="Arial Narrow" w:hAnsi="Arial Narrow" w:cs="Arial"/>
                <w:sz w:val="18"/>
                <w:szCs w:val="18"/>
              </w:rPr>
              <w:t>5</w:t>
            </w:r>
          </w:p>
        </w:tc>
        <w:tc>
          <w:tcPr>
            <w:tcW w:w="709" w:type="dxa"/>
          </w:tcPr>
          <w:p w:rsidR="000C7BE2" w:rsidRPr="00632EF3" w:rsidRDefault="000C7BE2" w:rsidP="00AA291E">
            <w:pPr>
              <w:keepNext/>
              <w:jc w:val="center"/>
              <w:rPr>
                <w:rFonts w:ascii="Arial Narrow" w:hAnsi="Arial Narrow" w:cs="Arial"/>
                <w:sz w:val="18"/>
                <w:szCs w:val="18"/>
              </w:rPr>
            </w:pPr>
            <w:r w:rsidRPr="00632EF3">
              <w:rPr>
                <w:rFonts w:ascii="Arial Narrow" w:hAnsi="Arial Narrow" w:cs="Arial"/>
                <w:sz w:val="18"/>
                <w:szCs w:val="18"/>
              </w:rPr>
              <w:t>0</w:t>
            </w:r>
          </w:p>
        </w:tc>
        <w:tc>
          <w:tcPr>
            <w:tcW w:w="1134" w:type="dxa"/>
          </w:tcPr>
          <w:p w:rsidR="000C7BE2" w:rsidRPr="00632EF3" w:rsidRDefault="000C7BE2" w:rsidP="00AA291E">
            <w:pPr>
              <w:keepNext/>
              <w:rPr>
                <w:rFonts w:ascii="Arial Narrow" w:hAnsi="Arial Narrow" w:cs="Arial"/>
                <w:sz w:val="18"/>
                <w:szCs w:val="18"/>
                <w:vertAlign w:val="superscript"/>
              </w:rPr>
            </w:pPr>
            <w:r w:rsidRPr="00632EF3">
              <w:rPr>
                <w:rFonts w:ascii="Arial Narrow" w:hAnsi="Arial Narrow" w:cs="Arial"/>
                <w:sz w:val="18"/>
                <w:szCs w:val="18"/>
                <w:vertAlign w:val="superscript"/>
              </w:rPr>
              <w:t xml:space="preserve">a </w:t>
            </w:r>
            <w:r w:rsidRPr="00632EF3">
              <w:rPr>
                <w:rFonts w:ascii="Arial Narrow" w:hAnsi="Arial Narrow" w:cs="Arial"/>
                <w:sz w:val="18"/>
                <w:szCs w:val="18"/>
              </w:rPr>
              <w:t>Gonal-f Pen</w:t>
            </w:r>
          </w:p>
        </w:tc>
      </w:tr>
      <w:tr w:rsidR="000C7BE2" w:rsidRPr="00632EF3" w:rsidTr="00AA291E">
        <w:tblPrEx>
          <w:tblCellMar>
            <w:top w:w="15" w:type="dxa"/>
            <w:left w:w="15" w:type="dxa"/>
            <w:bottom w:w="15" w:type="dxa"/>
            <w:right w:w="15" w:type="dxa"/>
          </w:tblCellMar>
          <w:tblLook w:val="04A0" w:firstRow="1" w:lastRow="0" w:firstColumn="1" w:lastColumn="0" w:noHBand="0" w:noVBand="1"/>
        </w:tblPrEx>
        <w:tc>
          <w:tcPr>
            <w:tcW w:w="9209" w:type="dxa"/>
            <w:gridSpan w:val="8"/>
            <w:tcBorders>
              <w:top w:val="single" w:sz="4" w:space="0" w:color="auto"/>
              <w:left w:val="single" w:sz="4" w:space="0" w:color="auto"/>
              <w:right w:val="single" w:sz="4" w:space="0" w:color="auto"/>
            </w:tcBorders>
          </w:tcPr>
          <w:p w:rsidR="000C7BE2" w:rsidRPr="00632EF3" w:rsidRDefault="000C7BE2" w:rsidP="00AA291E">
            <w:pPr>
              <w:rPr>
                <w:rFonts w:ascii="Arial Narrow" w:hAnsi="Arial Narrow" w:cs="Arial"/>
                <w:b/>
                <w:sz w:val="18"/>
                <w:szCs w:val="18"/>
              </w:rPr>
            </w:pPr>
          </w:p>
        </w:tc>
      </w:tr>
      <w:tr w:rsidR="000C7BE2" w:rsidRPr="00632EF3" w:rsidTr="00AA291E">
        <w:tblPrEx>
          <w:tblCellMar>
            <w:top w:w="15" w:type="dxa"/>
            <w:left w:w="15" w:type="dxa"/>
            <w:bottom w:w="15" w:type="dxa"/>
            <w:right w:w="15" w:type="dxa"/>
          </w:tblCellMar>
          <w:tblLook w:val="04A0" w:firstRow="1" w:lastRow="0" w:firstColumn="1" w:lastColumn="0" w:noHBand="0" w:noVBand="1"/>
        </w:tblPrEx>
        <w:tc>
          <w:tcPr>
            <w:tcW w:w="9209" w:type="dxa"/>
            <w:gridSpan w:val="8"/>
            <w:tcBorders>
              <w:top w:val="single" w:sz="4" w:space="0" w:color="auto"/>
              <w:left w:val="single" w:sz="4" w:space="0" w:color="auto"/>
              <w:right w:val="single" w:sz="4" w:space="0" w:color="auto"/>
            </w:tcBorders>
          </w:tcPr>
          <w:p w:rsidR="000C7BE2" w:rsidRPr="00632EF3" w:rsidRDefault="000C7BE2" w:rsidP="00AA291E">
            <w:pPr>
              <w:ind w:left="57"/>
              <w:rPr>
                <w:rFonts w:ascii="Arial Narrow" w:hAnsi="Arial Narrow" w:cs="Arial"/>
                <w:b/>
                <w:sz w:val="18"/>
                <w:szCs w:val="18"/>
              </w:rPr>
            </w:pPr>
            <w:r w:rsidRPr="00632EF3">
              <w:rPr>
                <w:rFonts w:ascii="Arial Narrow" w:hAnsi="Arial Narrow"/>
                <w:b/>
                <w:sz w:val="18"/>
                <w:szCs w:val="18"/>
              </w:rPr>
              <w:t xml:space="preserve">Restriction Summary / Treatment of Concept: 5027 </w:t>
            </w:r>
            <w:r w:rsidRPr="00632EF3">
              <w:rPr>
                <w:rFonts w:ascii="Arial Narrow" w:hAnsi="Arial Narrow"/>
                <w:sz w:val="18"/>
                <w:szCs w:val="18"/>
              </w:rPr>
              <w:t xml:space="preserve">(as per Gonal-F brand as at 1 </w:t>
            </w:r>
            <w:r w:rsidR="00313DEE" w:rsidRPr="00632EF3">
              <w:rPr>
                <w:rFonts w:ascii="Arial Narrow" w:hAnsi="Arial Narrow"/>
                <w:sz w:val="18"/>
                <w:szCs w:val="18"/>
              </w:rPr>
              <w:t>July</w:t>
            </w:r>
            <w:r w:rsidRPr="00632EF3">
              <w:rPr>
                <w:rFonts w:ascii="Arial Narrow" w:hAnsi="Arial Narrow"/>
                <w:sz w:val="18"/>
                <w:szCs w:val="18"/>
              </w:rPr>
              <w:t xml:space="preserve"> 2021)</w:t>
            </w:r>
          </w:p>
        </w:tc>
      </w:tr>
      <w:tr w:rsidR="000C7BE2" w:rsidRPr="00632EF3" w:rsidTr="00AA291E">
        <w:tblPrEx>
          <w:tblCellMar>
            <w:top w:w="15" w:type="dxa"/>
            <w:left w:w="15" w:type="dxa"/>
            <w:bottom w:w="15" w:type="dxa"/>
            <w:right w:w="15" w:type="dxa"/>
          </w:tblCellMar>
          <w:tblLook w:val="04A0" w:firstRow="1" w:lastRow="0" w:firstColumn="1" w:lastColumn="0" w:noHBand="0" w:noVBand="1"/>
        </w:tblPrEx>
        <w:tc>
          <w:tcPr>
            <w:tcW w:w="1271" w:type="dxa"/>
            <w:gridSpan w:val="2"/>
            <w:vMerge w:val="restart"/>
            <w:tcBorders>
              <w:top w:val="single" w:sz="4" w:space="0" w:color="auto"/>
              <w:left w:val="single" w:sz="4" w:space="0" w:color="auto"/>
              <w:right w:val="single" w:sz="4" w:space="0" w:color="auto"/>
            </w:tcBorders>
          </w:tcPr>
          <w:p w:rsidR="000C7BE2" w:rsidRPr="00632EF3" w:rsidRDefault="000C7BE2" w:rsidP="00AA291E">
            <w:pPr>
              <w:jc w:val="center"/>
              <w:rPr>
                <w:rFonts w:ascii="Arial Narrow" w:hAnsi="Arial Narrow" w:cs="Arial"/>
                <w:sz w:val="18"/>
                <w:szCs w:val="18"/>
              </w:rPr>
            </w:pPr>
          </w:p>
        </w:tc>
        <w:tc>
          <w:tcPr>
            <w:tcW w:w="7938" w:type="dxa"/>
            <w:gridSpan w:val="6"/>
            <w:tcBorders>
              <w:top w:val="single" w:sz="4" w:space="0" w:color="auto"/>
              <w:left w:val="single" w:sz="4" w:space="0" w:color="auto"/>
              <w:bottom w:val="single" w:sz="4" w:space="0" w:color="auto"/>
              <w:right w:val="single" w:sz="4" w:space="0" w:color="auto"/>
            </w:tcBorders>
          </w:tcPr>
          <w:p w:rsidR="000C7BE2" w:rsidRPr="00632EF3" w:rsidRDefault="000C7BE2" w:rsidP="00AA291E">
            <w:pPr>
              <w:rPr>
                <w:rFonts w:ascii="Arial Narrow" w:hAnsi="Arial Narrow" w:cs="Arial"/>
                <w:sz w:val="18"/>
                <w:szCs w:val="18"/>
              </w:rPr>
            </w:pPr>
            <w:r w:rsidRPr="00632EF3">
              <w:rPr>
                <w:rFonts w:ascii="Arial Narrow" w:hAnsi="Arial Narrow" w:cs="Arial"/>
                <w:b/>
                <w:sz w:val="18"/>
                <w:szCs w:val="18"/>
              </w:rPr>
              <w:t xml:space="preserve">Category / Program:   </w:t>
            </w:r>
            <w:r w:rsidRPr="00632EF3">
              <w:rPr>
                <w:rFonts w:ascii="Arial Narrow" w:hAnsi="Arial Narrow" w:cs="Arial"/>
                <w:sz w:val="18"/>
                <w:szCs w:val="18"/>
              </w:rPr>
              <w:t>Section 100 – IVF Program</w:t>
            </w:r>
          </w:p>
        </w:tc>
      </w:tr>
      <w:tr w:rsidR="000C7BE2" w:rsidRPr="00632EF3" w:rsidTr="00AA291E">
        <w:tblPrEx>
          <w:tblCellMar>
            <w:top w:w="15" w:type="dxa"/>
            <w:left w:w="15" w:type="dxa"/>
            <w:bottom w:w="15" w:type="dxa"/>
            <w:right w:w="15" w:type="dxa"/>
          </w:tblCellMar>
          <w:tblLook w:val="04A0" w:firstRow="1" w:lastRow="0" w:firstColumn="1" w:lastColumn="0" w:noHBand="0" w:noVBand="1"/>
        </w:tblPrEx>
        <w:trPr>
          <w:trHeight w:val="240"/>
        </w:trPr>
        <w:tc>
          <w:tcPr>
            <w:tcW w:w="1271" w:type="dxa"/>
            <w:gridSpan w:val="2"/>
            <w:vMerge/>
            <w:tcBorders>
              <w:left w:val="single" w:sz="4" w:space="0" w:color="auto"/>
              <w:right w:val="single" w:sz="4" w:space="0" w:color="auto"/>
            </w:tcBorders>
          </w:tcPr>
          <w:p w:rsidR="000C7BE2" w:rsidRPr="00632EF3" w:rsidRDefault="000C7BE2" w:rsidP="00AA291E">
            <w:pPr>
              <w:rPr>
                <w:rFonts w:ascii="Arial Narrow" w:hAnsi="Arial Narrow" w:cs="Arial"/>
                <w:sz w:val="18"/>
                <w:szCs w:val="18"/>
              </w:rPr>
            </w:pPr>
          </w:p>
        </w:tc>
        <w:tc>
          <w:tcPr>
            <w:tcW w:w="7938" w:type="dxa"/>
            <w:gridSpan w:val="6"/>
            <w:tcBorders>
              <w:top w:val="single" w:sz="4" w:space="0" w:color="auto"/>
              <w:left w:val="single" w:sz="4" w:space="0" w:color="auto"/>
              <w:bottom w:val="single" w:sz="4" w:space="0" w:color="auto"/>
              <w:right w:val="single" w:sz="4" w:space="0" w:color="auto"/>
            </w:tcBorders>
          </w:tcPr>
          <w:p w:rsidR="000C7BE2" w:rsidRPr="00632EF3" w:rsidRDefault="000C7BE2" w:rsidP="00AA291E">
            <w:pPr>
              <w:rPr>
                <w:rFonts w:ascii="Arial Narrow" w:hAnsi="Arial Narrow" w:cs="Arial"/>
                <w:b/>
                <w:sz w:val="18"/>
                <w:szCs w:val="18"/>
              </w:rPr>
            </w:pPr>
            <w:r w:rsidRPr="00632EF3">
              <w:rPr>
                <w:rFonts w:ascii="Arial Narrow" w:hAnsi="Arial Narrow" w:cs="Arial"/>
                <w:b/>
                <w:sz w:val="18"/>
                <w:szCs w:val="18"/>
              </w:rPr>
              <w:t xml:space="preserve">Prescriber type:   </w:t>
            </w:r>
            <w:r w:rsidRPr="00DC1FDA">
              <w:rPr>
                <w:rFonts w:ascii="Arial Narrow" w:hAnsi="Arial Narrow" w:cs="Arial"/>
                <w:sz w:val="18"/>
                <w:szCs w:val="18"/>
              </w:rPr>
              <w:fldChar w:fldCharType="begin">
                <w:ffData>
                  <w:name w:val=""/>
                  <w:enabled/>
                  <w:calcOnExit w:val="0"/>
                  <w:checkBox>
                    <w:sizeAuto/>
                    <w:default w:val="1"/>
                  </w:checkBox>
                </w:ffData>
              </w:fldChar>
            </w:r>
            <w:r w:rsidRPr="00632EF3">
              <w:rPr>
                <w:rFonts w:ascii="Arial Narrow" w:hAnsi="Arial Narrow" w:cs="Arial"/>
                <w:sz w:val="18"/>
                <w:szCs w:val="18"/>
              </w:rPr>
              <w:instrText xml:space="preserve"> FORMCHECKBOX </w:instrText>
            </w:r>
            <w:r w:rsidR="00AF1922">
              <w:rPr>
                <w:rFonts w:ascii="Arial Narrow" w:hAnsi="Arial Narrow" w:cs="Arial"/>
                <w:sz w:val="18"/>
                <w:szCs w:val="18"/>
              </w:rPr>
            </w:r>
            <w:r w:rsidR="00AF1922">
              <w:rPr>
                <w:rFonts w:ascii="Arial Narrow" w:hAnsi="Arial Narrow" w:cs="Arial"/>
                <w:sz w:val="18"/>
                <w:szCs w:val="18"/>
              </w:rPr>
              <w:fldChar w:fldCharType="separate"/>
            </w:r>
            <w:r w:rsidRPr="00DC1FDA">
              <w:rPr>
                <w:rFonts w:ascii="Arial Narrow" w:hAnsi="Arial Narrow" w:cs="Arial"/>
                <w:sz w:val="18"/>
                <w:szCs w:val="18"/>
              </w:rPr>
              <w:fldChar w:fldCharType="end"/>
            </w:r>
            <w:r w:rsidRPr="00632EF3">
              <w:rPr>
                <w:rFonts w:ascii="Arial Narrow" w:hAnsi="Arial Narrow" w:cs="Arial"/>
                <w:sz w:val="18"/>
                <w:szCs w:val="18"/>
              </w:rPr>
              <w:t xml:space="preserve"> Medical Practitioners    </w:t>
            </w:r>
          </w:p>
        </w:tc>
      </w:tr>
      <w:tr w:rsidR="000C7BE2" w:rsidRPr="00632EF3" w:rsidTr="00AA291E">
        <w:tblPrEx>
          <w:tblCellMar>
            <w:top w:w="15" w:type="dxa"/>
            <w:left w:w="15" w:type="dxa"/>
            <w:bottom w:w="15" w:type="dxa"/>
            <w:right w:w="15" w:type="dxa"/>
          </w:tblCellMar>
          <w:tblLook w:val="04A0" w:firstRow="1" w:lastRow="0" w:firstColumn="1" w:lastColumn="0" w:noHBand="0" w:noVBand="1"/>
        </w:tblPrEx>
        <w:tc>
          <w:tcPr>
            <w:tcW w:w="1271" w:type="dxa"/>
            <w:gridSpan w:val="2"/>
            <w:vMerge/>
            <w:tcBorders>
              <w:left w:val="single" w:sz="4" w:space="0" w:color="auto"/>
              <w:bottom w:val="single" w:sz="4" w:space="0" w:color="auto"/>
              <w:right w:val="single" w:sz="4" w:space="0" w:color="auto"/>
            </w:tcBorders>
          </w:tcPr>
          <w:p w:rsidR="000C7BE2" w:rsidRPr="00632EF3" w:rsidRDefault="000C7BE2" w:rsidP="00AA291E">
            <w:pPr>
              <w:rPr>
                <w:rFonts w:ascii="Arial Narrow" w:hAnsi="Arial Narrow" w:cs="Arial"/>
                <w:sz w:val="18"/>
                <w:szCs w:val="18"/>
              </w:rPr>
            </w:pPr>
          </w:p>
        </w:tc>
        <w:tc>
          <w:tcPr>
            <w:tcW w:w="7938" w:type="dxa"/>
            <w:gridSpan w:val="6"/>
            <w:tcBorders>
              <w:top w:val="single" w:sz="4" w:space="0" w:color="auto"/>
              <w:left w:val="single" w:sz="4" w:space="0" w:color="auto"/>
              <w:bottom w:val="single" w:sz="4" w:space="0" w:color="auto"/>
              <w:right w:val="single" w:sz="4" w:space="0" w:color="auto"/>
            </w:tcBorders>
          </w:tcPr>
          <w:p w:rsidR="000C7BE2" w:rsidRPr="00632EF3" w:rsidRDefault="000C7BE2" w:rsidP="00AA291E">
            <w:pPr>
              <w:rPr>
                <w:rFonts w:ascii="Arial Narrow" w:eastAsia="Calibri" w:hAnsi="Arial Narrow" w:cs="Arial"/>
                <w:color w:val="FF00FF"/>
                <w:sz w:val="18"/>
                <w:szCs w:val="18"/>
              </w:rPr>
            </w:pPr>
            <w:r w:rsidRPr="00632EF3">
              <w:rPr>
                <w:rFonts w:ascii="Arial Narrow" w:hAnsi="Arial Narrow" w:cs="Arial"/>
                <w:b/>
                <w:sz w:val="18"/>
                <w:szCs w:val="18"/>
              </w:rPr>
              <w:t xml:space="preserve">Restriction type: </w:t>
            </w:r>
            <w:r w:rsidRPr="00DC1FDA">
              <w:rPr>
                <w:rFonts w:ascii="Arial Narrow" w:eastAsia="Calibri" w:hAnsi="Arial Narrow" w:cs="Arial"/>
                <w:sz w:val="18"/>
                <w:szCs w:val="18"/>
              </w:rPr>
              <w:fldChar w:fldCharType="begin">
                <w:ffData>
                  <w:name w:val=""/>
                  <w:enabled/>
                  <w:calcOnExit w:val="0"/>
                  <w:checkBox>
                    <w:sizeAuto/>
                    <w:default w:val="1"/>
                  </w:checkBox>
                </w:ffData>
              </w:fldChar>
            </w:r>
            <w:r w:rsidRPr="00632EF3">
              <w:rPr>
                <w:rFonts w:ascii="Arial Narrow" w:eastAsia="Calibri" w:hAnsi="Arial Narrow" w:cs="Arial"/>
                <w:sz w:val="18"/>
                <w:szCs w:val="18"/>
              </w:rPr>
              <w:instrText xml:space="preserve"> FORMCHECKBOX </w:instrText>
            </w:r>
            <w:r w:rsidR="00AF1922">
              <w:rPr>
                <w:rFonts w:ascii="Arial Narrow" w:eastAsia="Calibri" w:hAnsi="Arial Narrow" w:cs="Arial"/>
                <w:sz w:val="18"/>
                <w:szCs w:val="18"/>
              </w:rPr>
            </w:r>
            <w:r w:rsidR="00AF1922">
              <w:rPr>
                <w:rFonts w:ascii="Arial Narrow" w:eastAsia="Calibri" w:hAnsi="Arial Narrow" w:cs="Arial"/>
                <w:sz w:val="18"/>
                <w:szCs w:val="18"/>
              </w:rPr>
              <w:fldChar w:fldCharType="separate"/>
            </w:r>
            <w:r w:rsidRPr="00DC1FDA">
              <w:rPr>
                <w:rFonts w:ascii="Arial Narrow" w:eastAsia="Calibri" w:hAnsi="Arial Narrow" w:cs="Arial"/>
                <w:sz w:val="18"/>
                <w:szCs w:val="18"/>
              </w:rPr>
              <w:fldChar w:fldCharType="end"/>
            </w:r>
            <w:r w:rsidRPr="00632EF3">
              <w:rPr>
                <w:rFonts w:ascii="Arial Narrow" w:eastAsia="Calibri" w:hAnsi="Arial Narrow" w:cs="Arial"/>
                <w:sz w:val="18"/>
                <w:szCs w:val="18"/>
              </w:rPr>
              <w:t xml:space="preserve"> Authority Required (STREAMLINED) 5027</w:t>
            </w:r>
          </w:p>
        </w:tc>
      </w:tr>
      <w:tr w:rsidR="000C7BE2" w:rsidRPr="00632EF3" w:rsidTr="00AA291E">
        <w:tblPrEx>
          <w:tblCellMar>
            <w:top w:w="15" w:type="dxa"/>
            <w:left w:w="15" w:type="dxa"/>
            <w:bottom w:w="15" w:type="dxa"/>
            <w:right w:w="15" w:type="dxa"/>
          </w:tblCellMar>
          <w:tblLook w:val="04A0" w:firstRow="1" w:lastRow="0" w:firstColumn="1" w:lastColumn="0" w:noHBand="0" w:noVBand="1"/>
        </w:tblPrEx>
        <w:tc>
          <w:tcPr>
            <w:tcW w:w="279" w:type="dxa"/>
            <w:vMerge w:val="restart"/>
            <w:textDirection w:val="btLr"/>
            <w:vAlign w:val="center"/>
          </w:tcPr>
          <w:p w:rsidR="000C7BE2" w:rsidRPr="00632EF3" w:rsidRDefault="000C7BE2" w:rsidP="00AA291E">
            <w:pPr>
              <w:ind w:left="113" w:right="113"/>
              <w:jc w:val="center"/>
              <w:rPr>
                <w:rFonts w:ascii="Arial Narrow" w:hAnsi="Arial Narrow"/>
                <w:color w:val="333333"/>
                <w:sz w:val="18"/>
                <w:szCs w:val="18"/>
                <w:lang w:eastAsia="en-AU"/>
              </w:rPr>
            </w:pPr>
          </w:p>
        </w:tc>
        <w:tc>
          <w:tcPr>
            <w:tcW w:w="992" w:type="dxa"/>
            <w:vAlign w:val="center"/>
          </w:tcPr>
          <w:p w:rsidR="000C7BE2" w:rsidRPr="00632EF3" w:rsidRDefault="000C7BE2" w:rsidP="00AA291E">
            <w:pPr>
              <w:jc w:val="center"/>
              <w:rPr>
                <w:rFonts w:ascii="Arial Narrow" w:hAnsi="Arial Narrow"/>
                <w:color w:val="333333"/>
                <w:sz w:val="18"/>
                <w:szCs w:val="18"/>
                <w:lang w:eastAsia="en-AU"/>
              </w:rPr>
            </w:pPr>
          </w:p>
        </w:tc>
        <w:tc>
          <w:tcPr>
            <w:tcW w:w="7938" w:type="dxa"/>
            <w:gridSpan w:val="6"/>
            <w:vAlign w:val="center"/>
          </w:tcPr>
          <w:p w:rsidR="000C7BE2" w:rsidRPr="00632EF3" w:rsidRDefault="000C7BE2" w:rsidP="00AA291E">
            <w:pPr>
              <w:rPr>
                <w:rFonts w:ascii="Arial Narrow" w:hAnsi="Arial Narrow"/>
                <w:bCs/>
                <w:color w:val="FF00FF"/>
                <w:sz w:val="18"/>
                <w:szCs w:val="18"/>
                <w:lang w:eastAsia="en-AU"/>
              </w:rPr>
            </w:pPr>
            <w:r w:rsidRPr="00632EF3">
              <w:rPr>
                <w:rFonts w:ascii="Arial Narrow" w:hAnsi="Arial Narrow"/>
                <w:b/>
                <w:bCs/>
                <w:color w:val="333333"/>
                <w:sz w:val="18"/>
                <w:szCs w:val="18"/>
                <w:lang w:eastAsia="en-AU"/>
              </w:rPr>
              <w:t xml:space="preserve">Administrative Advice: </w:t>
            </w:r>
          </w:p>
          <w:p w:rsidR="000C7BE2" w:rsidRPr="00632EF3" w:rsidRDefault="000C7BE2" w:rsidP="00AA291E">
            <w:pPr>
              <w:rPr>
                <w:rFonts w:ascii="Arial Narrow" w:hAnsi="Arial Narrow"/>
                <w:b/>
                <w:bCs/>
                <w:color w:val="333333"/>
                <w:sz w:val="18"/>
                <w:szCs w:val="18"/>
                <w:lang w:eastAsia="en-AU"/>
              </w:rPr>
            </w:pPr>
            <w:r w:rsidRPr="00632EF3">
              <w:rPr>
                <w:rFonts w:ascii="Arial Narrow" w:hAnsi="Arial Narrow"/>
                <w:b/>
                <w:bCs/>
                <w:color w:val="333333"/>
                <w:sz w:val="18"/>
                <w:szCs w:val="18"/>
                <w:lang w:eastAsia="en-AU"/>
              </w:rPr>
              <w:t>Biosimilar prescribing policy</w:t>
            </w:r>
          </w:p>
          <w:p w:rsidR="000C7BE2" w:rsidRPr="00632EF3" w:rsidRDefault="000C7BE2" w:rsidP="00AA291E">
            <w:pPr>
              <w:rPr>
                <w:rFonts w:ascii="Arial Narrow" w:hAnsi="Arial Narrow"/>
                <w:bCs/>
                <w:color w:val="333333"/>
                <w:sz w:val="18"/>
                <w:szCs w:val="18"/>
                <w:lang w:eastAsia="en-AU"/>
              </w:rPr>
            </w:pPr>
            <w:bookmarkStart w:id="5" w:name="_Hlk78288212"/>
            <w:r w:rsidRPr="00632EF3">
              <w:rPr>
                <w:rFonts w:ascii="Arial Narrow" w:hAnsi="Arial Narrow"/>
                <w:bCs/>
                <w:color w:val="333333"/>
                <w:sz w:val="18"/>
                <w:szCs w:val="18"/>
                <w:lang w:eastAsia="en-AU"/>
              </w:rPr>
              <w:t>Prescribing of a biosimilar brand, Bemfola or Ovaleap, is encouraged for treatment naive patients.</w:t>
            </w:r>
          </w:p>
          <w:p w:rsidR="000C7BE2" w:rsidRPr="00632EF3" w:rsidRDefault="000C7BE2" w:rsidP="00AA291E">
            <w:pPr>
              <w:rPr>
                <w:rFonts w:ascii="Arial Narrow" w:hAnsi="Arial Narrow"/>
                <w:bCs/>
                <w:color w:val="333333"/>
                <w:sz w:val="18"/>
                <w:szCs w:val="18"/>
                <w:lang w:eastAsia="en-AU"/>
              </w:rPr>
            </w:pPr>
            <w:r w:rsidRPr="00632EF3">
              <w:rPr>
                <w:rFonts w:ascii="Arial Narrow" w:hAnsi="Arial Narrow"/>
                <w:bCs/>
                <w:color w:val="333333"/>
                <w:sz w:val="18"/>
                <w:szCs w:val="18"/>
                <w:lang w:eastAsia="en-AU"/>
              </w:rPr>
              <w:t>Encouraging biosimilar prescribing for treatment naive patients is Government policy. A viable biosimilar market is expected to result in reduced costs for biological medicines, allowing the Government to reinvest in new treatments. Further information can be found on the Biosimilar Awareness Initiative webpage (www.health.gov.au/biosimilars).</w:t>
            </w:r>
            <w:bookmarkEnd w:id="5"/>
          </w:p>
        </w:tc>
      </w:tr>
      <w:tr w:rsidR="000C7BE2" w:rsidRPr="00632EF3" w:rsidTr="00AA291E">
        <w:tblPrEx>
          <w:tblCellMar>
            <w:top w:w="15" w:type="dxa"/>
            <w:left w:w="15" w:type="dxa"/>
            <w:bottom w:w="15" w:type="dxa"/>
            <w:right w:w="15" w:type="dxa"/>
          </w:tblCellMar>
          <w:tblLook w:val="04A0" w:firstRow="1" w:lastRow="0" w:firstColumn="1" w:lastColumn="0" w:noHBand="0" w:noVBand="1"/>
        </w:tblPrEx>
        <w:tc>
          <w:tcPr>
            <w:tcW w:w="279" w:type="dxa"/>
            <w:vMerge/>
            <w:vAlign w:val="center"/>
          </w:tcPr>
          <w:p w:rsidR="000C7BE2" w:rsidRPr="00632EF3" w:rsidRDefault="000C7BE2" w:rsidP="00AA291E">
            <w:pPr>
              <w:jc w:val="center"/>
              <w:rPr>
                <w:rFonts w:ascii="Arial Narrow" w:hAnsi="Arial Narrow"/>
                <w:color w:val="333333"/>
                <w:sz w:val="18"/>
                <w:szCs w:val="18"/>
                <w:lang w:eastAsia="en-AU"/>
              </w:rPr>
            </w:pPr>
          </w:p>
        </w:tc>
        <w:tc>
          <w:tcPr>
            <w:tcW w:w="992" w:type="dxa"/>
            <w:vAlign w:val="center"/>
          </w:tcPr>
          <w:p w:rsidR="000C7BE2" w:rsidRPr="00632EF3" w:rsidRDefault="000C7BE2" w:rsidP="00AA291E">
            <w:pPr>
              <w:jc w:val="center"/>
              <w:rPr>
                <w:rFonts w:ascii="Arial Narrow" w:hAnsi="Arial Narrow"/>
                <w:color w:val="333333"/>
                <w:sz w:val="18"/>
                <w:szCs w:val="18"/>
                <w:lang w:eastAsia="en-AU"/>
              </w:rPr>
            </w:pPr>
          </w:p>
        </w:tc>
        <w:tc>
          <w:tcPr>
            <w:tcW w:w="7938" w:type="dxa"/>
            <w:gridSpan w:val="6"/>
            <w:vAlign w:val="center"/>
          </w:tcPr>
          <w:p w:rsidR="000C7BE2" w:rsidRPr="00632EF3" w:rsidRDefault="000C7BE2" w:rsidP="00AA291E">
            <w:pPr>
              <w:rPr>
                <w:rFonts w:ascii="Arial Narrow" w:hAnsi="Arial Narrow"/>
                <w:b/>
                <w:bCs/>
                <w:color w:val="333333"/>
                <w:sz w:val="18"/>
                <w:szCs w:val="18"/>
                <w:lang w:eastAsia="en-AU"/>
              </w:rPr>
            </w:pPr>
            <w:r w:rsidRPr="00632EF3">
              <w:rPr>
                <w:rFonts w:ascii="Arial Narrow" w:hAnsi="Arial Narrow"/>
                <w:b/>
                <w:bCs/>
                <w:color w:val="333333"/>
                <w:sz w:val="18"/>
                <w:szCs w:val="18"/>
                <w:lang w:eastAsia="en-AU"/>
              </w:rPr>
              <w:t>Administrative Advice:</w:t>
            </w:r>
          </w:p>
          <w:p w:rsidR="000C7BE2" w:rsidRPr="008F214B" w:rsidRDefault="000C7BE2" w:rsidP="00AA291E">
            <w:pPr>
              <w:rPr>
                <w:rFonts w:ascii="Arial Narrow" w:hAnsi="Arial Narrow"/>
                <w:bCs/>
                <w:color w:val="333333"/>
                <w:sz w:val="18"/>
                <w:szCs w:val="18"/>
                <w:lang w:eastAsia="en-AU"/>
              </w:rPr>
            </w:pPr>
            <w:r w:rsidRPr="00632EF3">
              <w:rPr>
                <w:rFonts w:ascii="Arial Narrow" w:hAnsi="Arial Narrow"/>
                <w:bCs/>
                <w:color w:val="333333"/>
                <w:sz w:val="18"/>
                <w:szCs w:val="18"/>
                <w:lang w:eastAsia="en-AU"/>
              </w:rPr>
              <w:t>Pharmaceutical benefits that have the form follitropin alfa cartridge (Ovaleap) and pharmaceutical benefits that have the form follitropin alfa single pen device (Gonal-f Pen)</w:t>
            </w:r>
            <w:r w:rsidR="002D6346" w:rsidRPr="00632EF3">
              <w:rPr>
                <w:rFonts w:ascii="Arial Narrow" w:hAnsi="Arial Narrow"/>
                <w:bCs/>
                <w:color w:val="333333"/>
                <w:sz w:val="18"/>
                <w:szCs w:val="18"/>
                <w:lang w:eastAsia="en-AU"/>
              </w:rPr>
              <w:t>, in the same corresponding strength,</w:t>
            </w:r>
            <w:r w:rsidRPr="00632EF3">
              <w:rPr>
                <w:rFonts w:ascii="Arial Narrow" w:hAnsi="Arial Narrow"/>
                <w:bCs/>
                <w:color w:val="333333"/>
                <w:sz w:val="18"/>
                <w:szCs w:val="18"/>
                <w:lang w:eastAsia="en-AU"/>
              </w:rPr>
              <w:t xml:space="preserve"> are equivalent for the purposes of substitution.</w:t>
            </w:r>
          </w:p>
          <w:p w:rsidR="000C7BE2" w:rsidRPr="00632EF3" w:rsidRDefault="000C7BE2" w:rsidP="00AA291E">
            <w:pPr>
              <w:rPr>
                <w:rFonts w:ascii="Arial Narrow" w:hAnsi="Arial Narrow"/>
                <w:bCs/>
                <w:color w:val="333333"/>
                <w:sz w:val="18"/>
                <w:szCs w:val="18"/>
                <w:lang w:eastAsia="en-AU"/>
              </w:rPr>
            </w:pPr>
          </w:p>
          <w:p w:rsidR="000C7BE2" w:rsidRPr="00632EF3" w:rsidRDefault="000C7BE2" w:rsidP="00AA291E">
            <w:pPr>
              <w:rPr>
                <w:rFonts w:ascii="Arial Narrow" w:hAnsi="Arial Narrow"/>
                <w:bCs/>
                <w:color w:val="333333"/>
                <w:sz w:val="18"/>
                <w:szCs w:val="18"/>
                <w:lang w:eastAsia="en-AU"/>
              </w:rPr>
            </w:pPr>
            <w:bookmarkStart w:id="6" w:name="_Hlk78349160"/>
            <w:r w:rsidRPr="00632EF3">
              <w:rPr>
                <w:rFonts w:ascii="Arial Narrow" w:hAnsi="Arial Narrow"/>
                <w:bCs/>
                <w:color w:val="333333"/>
                <w:sz w:val="18"/>
                <w:szCs w:val="18"/>
                <w:lang w:eastAsia="en-AU"/>
              </w:rPr>
              <w:t xml:space="preserve">Where the Ovaleap brand is supplied, the separate pen device is to be supplied </w:t>
            </w:r>
            <w:r w:rsidR="00313DEE" w:rsidRPr="00632EF3">
              <w:rPr>
                <w:rFonts w:ascii="Arial Narrow" w:hAnsi="Arial Narrow"/>
                <w:bCs/>
                <w:color w:val="333333"/>
                <w:sz w:val="18"/>
                <w:szCs w:val="18"/>
                <w:lang w:eastAsia="en-AU"/>
              </w:rPr>
              <w:t>to the patient</w:t>
            </w:r>
            <w:r w:rsidRPr="00632EF3">
              <w:rPr>
                <w:rFonts w:ascii="Arial Narrow" w:hAnsi="Arial Narrow"/>
                <w:bCs/>
                <w:color w:val="333333"/>
                <w:sz w:val="18"/>
                <w:szCs w:val="18"/>
                <w:lang w:eastAsia="en-AU"/>
              </w:rPr>
              <w:t xml:space="preserve"> where required</w:t>
            </w:r>
            <w:r w:rsidR="00313DEE" w:rsidRPr="008F214B">
              <w:rPr>
                <w:rFonts w:ascii="Arial Narrow" w:hAnsi="Arial Narrow"/>
                <w:bCs/>
                <w:color w:val="333333"/>
                <w:sz w:val="18"/>
                <w:szCs w:val="18"/>
                <w:lang w:eastAsia="en-AU"/>
              </w:rPr>
              <w:t xml:space="preserve"> as it is not packaged with the cartridges</w:t>
            </w:r>
            <w:r w:rsidRPr="00632EF3">
              <w:rPr>
                <w:rFonts w:ascii="Arial Narrow" w:hAnsi="Arial Narrow"/>
                <w:bCs/>
                <w:color w:val="333333"/>
                <w:sz w:val="18"/>
                <w:szCs w:val="18"/>
                <w:lang w:eastAsia="en-AU"/>
              </w:rPr>
              <w:t>. The pen device for the Ovaleap brand can be obtained by contacting the pharmaceutical wholesaler, or, the sponsor directly.</w:t>
            </w:r>
            <w:bookmarkEnd w:id="6"/>
          </w:p>
        </w:tc>
      </w:tr>
      <w:tr w:rsidR="000C7BE2" w:rsidRPr="00632EF3" w:rsidTr="00AA291E">
        <w:tblPrEx>
          <w:tblCellMar>
            <w:top w:w="15" w:type="dxa"/>
            <w:left w:w="15" w:type="dxa"/>
            <w:bottom w:w="15" w:type="dxa"/>
            <w:right w:w="15" w:type="dxa"/>
          </w:tblCellMar>
          <w:tblLook w:val="04A0" w:firstRow="1" w:lastRow="0" w:firstColumn="1" w:lastColumn="0" w:noHBand="0" w:noVBand="1"/>
        </w:tblPrEx>
        <w:tc>
          <w:tcPr>
            <w:tcW w:w="1271" w:type="dxa"/>
            <w:gridSpan w:val="2"/>
            <w:vAlign w:val="center"/>
          </w:tcPr>
          <w:p w:rsidR="000C7BE2" w:rsidRPr="00632EF3" w:rsidRDefault="000C7BE2" w:rsidP="00AA291E">
            <w:pPr>
              <w:jc w:val="center"/>
              <w:rPr>
                <w:rFonts w:ascii="Arial Narrow" w:hAnsi="Arial Narrow"/>
                <w:color w:val="333333"/>
                <w:sz w:val="18"/>
                <w:szCs w:val="18"/>
                <w:lang w:eastAsia="en-AU"/>
              </w:rPr>
            </w:pPr>
          </w:p>
        </w:tc>
        <w:tc>
          <w:tcPr>
            <w:tcW w:w="7938" w:type="dxa"/>
            <w:gridSpan w:val="6"/>
            <w:vAlign w:val="center"/>
            <w:hideMark/>
          </w:tcPr>
          <w:p w:rsidR="000C7BE2" w:rsidRPr="00632EF3" w:rsidRDefault="000C7BE2" w:rsidP="00AA291E">
            <w:pPr>
              <w:rPr>
                <w:rFonts w:ascii="Arial Narrow" w:hAnsi="Arial Narrow"/>
                <w:color w:val="333333"/>
                <w:sz w:val="18"/>
                <w:szCs w:val="18"/>
                <w:lang w:eastAsia="en-AU"/>
              </w:rPr>
            </w:pPr>
            <w:r w:rsidRPr="00632EF3">
              <w:rPr>
                <w:rFonts w:ascii="Arial Narrow" w:hAnsi="Arial Narrow"/>
                <w:b/>
                <w:bCs/>
                <w:color w:val="333333"/>
                <w:sz w:val="18"/>
                <w:szCs w:val="18"/>
                <w:lang w:eastAsia="en-AU"/>
              </w:rPr>
              <w:t>Indication:</w:t>
            </w:r>
            <w:r w:rsidRPr="00632EF3">
              <w:rPr>
                <w:rFonts w:ascii="Arial Narrow" w:hAnsi="Arial Narrow"/>
                <w:color w:val="333333"/>
                <w:sz w:val="18"/>
                <w:szCs w:val="18"/>
                <w:lang w:eastAsia="en-AU"/>
              </w:rPr>
              <w:t xml:space="preserve"> Assisted Reproductive Technology</w:t>
            </w:r>
          </w:p>
        </w:tc>
      </w:tr>
      <w:tr w:rsidR="000C7BE2" w:rsidRPr="00632EF3" w:rsidTr="00AA291E">
        <w:tblPrEx>
          <w:tblCellMar>
            <w:top w:w="15" w:type="dxa"/>
            <w:left w:w="15" w:type="dxa"/>
            <w:bottom w:w="15" w:type="dxa"/>
            <w:right w:w="15" w:type="dxa"/>
          </w:tblCellMar>
          <w:tblLook w:val="04A0" w:firstRow="1" w:lastRow="0" w:firstColumn="1" w:lastColumn="0" w:noHBand="0" w:noVBand="1"/>
        </w:tblPrEx>
        <w:tc>
          <w:tcPr>
            <w:tcW w:w="1271" w:type="dxa"/>
            <w:gridSpan w:val="2"/>
            <w:vAlign w:val="center"/>
          </w:tcPr>
          <w:p w:rsidR="000C7BE2" w:rsidRPr="00632EF3" w:rsidRDefault="000C7BE2" w:rsidP="00AA291E">
            <w:pPr>
              <w:jc w:val="center"/>
              <w:rPr>
                <w:rFonts w:ascii="Arial Narrow" w:hAnsi="Arial Narrow"/>
                <w:color w:val="333333"/>
                <w:sz w:val="18"/>
                <w:szCs w:val="18"/>
                <w:lang w:eastAsia="en-AU"/>
              </w:rPr>
            </w:pPr>
          </w:p>
        </w:tc>
        <w:tc>
          <w:tcPr>
            <w:tcW w:w="7938" w:type="dxa"/>
            <w:gridSpan w:val="6"/>
            <w:vAlign w:val="center"/>
            <w:hideMark/>
          </w:tcPr>
          <w:p w:rsidR="000C7BE2" w:rsidRPr="00632EF3" w:rsidRDefault="000C7BE2" w:rsidP="00AA291E">
            <w:pPr>
              <w:rPr>
                <w:rFonts w:ascii="Arial Narrow" w:hAnsi="Arial Narrow"/>
                <w:color w:val="FF00FF"/>
                <w:sz w:val="18"/>
                <w:szCs w:val="18"/>
                <w:lang w:eastAsia="en-AU"/>
              </w:rPr>
            </w:pPr>
            <w:r w:rsidRPr="00632EF3">
              <w:rPr>
                <w:rFonts w:ascii="Arial Narrow" w:hAnsi="Arial Narrow"/>
                <w:b/>
                <w:bCs/>
                <w:color w:val="333333"/>
                <w:sz w:val="18"/>
                <w:szCs w:val="18"/>
                <w:lang w:eastAsia="en-AU"/>
              </w:rPr>
              <w:t xml:space="preserve">Clinical criteria: </w:t>
            </w:r>
          </w:p>
        </w:tc>
      </w:tr>
      <w:tr w:rsidR="000C7BE2" w:rsidRPr="00632EF3" w:rsidTr="00AA291E">
        <w:tblPrEx>
          <w:tblCellMar>
            <w:top w:w="15" w:type="dxa"/>
            <w:left w:w="15" w:type="dxa"/>
            <w:bottom w:w="15" w:type="dxa"/>
            <w:right w:w="15" w:type="dxa"/>
          </w:tblCellMar>
          <w:tblLook w:val="04A0" w:firstRow="1" w:lastRow="0" w:firstColumn="1" w:lastColumn="0" w:noHBand="0" w:noVBand="1"/>
        </w:tblPrEx>
        <w:tc>
          <w:tcPr>
            <w:tcW w:w="1271" w:type="dxa"/>
            <w:gridSpan w:val="2"/>
            <w:vAlign w:val="center"/>
          </w:tcPr>
          <w:p w:rsidR="000C7BE2" w:rsidRPr="00632EF3" w:rsidRDefault="000C7BE2" w:rsidP="00AA291E">
            <w:pPr>
              <w:jc w:val="center"/>
              <w:rPr>
                <w:rFonts w:ascii="Arial Narrow" w:hAnsi="Arial Narrow"/>
                <w:color w:val="333333"/>
                <w:sz w:val="18"/>
                <w:szCs w:val="18"/>
                <w:lang w:eastAsia="en-AU"/>
              </w:rPr>
            </w:pPr>
          </w:p>
        </w:tc>
        <w:tc>
          <w:tcPr>
            <w:tcW w:w="7938" w:type="dxa"/>
            <w:gridSpan w:val="6"/>
            <w:vAlign w:val="center"/>
            <w:hideMark/>
          </w:tcPr>
          <w:p w:rsidR="000C7BE2" w:rsidRPr="00632EF3" w:rsidRDefault="000C7BE2" w:rsidP="00AA291E">
            <w:pPr>
              <w:rPr>
                <w:rFonts w:ascii="Arial Narrow" w:hAnsi="Arial Narrow"/>
                <w:color w:val="333333"/>
                <w:sz w:val="18"/>
                <w:szCs w:val="18"/>
                <w:lang w:eastAsia="en-AU"/>
              </w:rPr>
            </w:pPr>
            <w:r w:rsidRPr="00632EF3">
              <w:rPr>
                <w:rFonts w:ascii="Arial Narrow" w:hAnsi="Arial Narrow"/>
                <w:color w:val="333333"/>
                <w:sz w:val="18"/>
                <w:szCs w:val="18"/>
                <w:lang w:eastAsia="en-AU"/>
              </w:rPr>
              <w:t>Patient must be receiving medical services as described in items 13200, 13201, 13202 or 13203 of the Medicare Benefits Schedule</w:t>
            </w:r>
          </w:p>
        </w:tc>
      </w:tr>
    </w:tbl>
    <w:p w:rsidR="000C7BE2" w:rsidRPr="00632EF3" w:rsidRDefault="000C7BE2" w:rsidP="000C7BE2">
      <w:pPr>
        <w:rPr>
          <w:b/>
          <w:u w:val="single"/>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
        <w:gridCol w:w="992"/>
        <w:gridCol w:w="3402"/>
        <w:gridCol w:w="851"/>
        <w:gridCol w:w="992"/>
        <w:gridCol w:w="850"/>
        <w:gridCol w:w="709"/>
        <w:gridCol w:w="1134"/>
      </w:tblGrid>
      <w:tr w:rsidR="000C7BE2" w:rsidRPr="00632EF3" w:rsidTr="00AA291E">
        <w:trPr>
          <w:cantSplit/>
          <w:trHeight w:val="471"/>
        </w:trPr>
        <w:tc>
          <w:tcPr>
            <w:tcW w:w="4673" w:type="dxa"/>
            <w:gridSpan w:val="3"/>
          </w:tcPr>
          <w:p w:rsidR="000C7BE2" w:rsidRPr="00632EF3" w:rsidRDefault="000C7BE2" w:rsidP="00AA291E">
            <w:pPr>
              <w:keepNext/>
              <w:ind w:left="-57"/>
              <w:rPr>
                <w:rFonts w:ascii="Arial Narrow" w:hAnsi="Arial Narrow" w:cs="Arial"/>
                <w:b/>
                <w:bCs/>
                <w:sz w:val="18"/>
                <w:szCs w:val="18"/>
              </w:rPr>
            </w:pPr>
            <w:r w:rsidRPr="00632EF3">
              <w:rPr>
                <w:rFonts w:ascii="Arial Narrow" w:hAnsi="Arial Narrow" w:cs="Arial"/>
                <w:b/>
                <w:bCs/>
                <w:sz w:val="18"/>
                <w:szCs w:val="18"/>
              </w:rPr>
              <w:t>MEDICINAL PRODUCT</w:t>
            </w:r>
          </w:p>
          <w:p w:rsidR="000C7BE2" w:rsidRPr="00632EF3" w:rsidRDefault="000C7BE2" w:rsidP="00AA291E">
            <w:pPr>
              <w:keepNext/>
              <w:ind w:left="-57"/>
              <w:rPr>
                <w:rFonts w:ascii="Arial Narrow" w:hAnsi="Arial Narrow" w:cs="Arial"/>
                <w:b/>
                <w:sz w:val="18"/>
                <w:szCs w:val="18"/>
              </w:rPr>
            </w:pPr>
            <w:r w:rsidRPr="00632EF3">
              <w:rPr>
                <w:rFonts w:ascii="Arial Narrow" w:hAnsi="Arial Narrow" w:cs="Arial"/>
                <w:b/>
                <w:bCs/>
                <w:sz w:val="18"/>
                <w:szCs w:val="18"/>
              </w:rPr>
              <w:t>medicinal product pack</w:t>
            </w:r>
          </w:p>
        </w:tc>
        <w:tc>
          <w:tcPr>
            <w:tcW w:w="851" w:type="dxa"/>
          </w:tcPr>
          <w:p w:rsidR="000C7BE2" w:rsidRPr="00632EF3" w:rsidRDefault="000C7BE2" w:rsidP="00AA291E">
            <w:pPr>
              <w:keepNext/>
              <w:ind w:left="-108"/>
              <w:jc w:val="center"/>
              <w:rPr>
                <w:rFonts w:ascii="Arial Narrow" w:hAnsi="Arial Narrow" w:cs="Arial"/>
                <w:b/>
                <w:sz w:val="18"/>
                <w:szCs w:val="18"/>
              </w:rPr>
            </w:pPr>
            <w:r w:rsidRPr="00632EF3">
              <w:rPr>
                <w:rFonts w:ascii="Arial Narrow" w:hAnsi="Arial Narrow" w:cs="Arial"/>
                <w:b/>
                <w:sz w:val="18"/>
                <w:szCs w:val="18"/>
              </w:rPr>
              <w:t>PBS item code</w:t>
            </w:r>
          </w:p>
        </w:tc>
        <w:tc>
          <w:tcPr>
            <w:tcW w:w="992" w:type="dxa"/>
          </w:tcPr>
          <w:p w:rsidR="000C7BE2" w:rsidRPr="00632EF3" w:rsidRDefault="000C7BE2" w:rsidP="00AA291E">
            <w:pPr>
              <w:keepNext/>
              <w:ind w:left="-108"/>
              <w:jc w:val="center"/>
              <w:rPr>
                <w:rFonts w:ascii="Arial Narrow" w:hAnsi="Arial Narrow" w:cs="Arial"/>
                <w:b/>
                <w:sz w:val="18"/>
                <w:szCs w:val="18"/>
              </w:rPr>
            </w:pPr>
            <w:r w:rsidRPr="00632EF3">
              <w:rPr>
                <w:rFonts w:ascii="Arial Narrow" w:hAnsi="Arial Narrow" w:cs="Arial"/>
                <w:b/>
                <w:sz w:val="18"/>
                <w:szCs w:val="18"/>
              </w:rPr>
              <w:t>Max. qty packs</w:t>
            </w:r>
          </w:p>
        </w:tc>
        <w:tc>
          <w:tcPr>
            <w:tcW w:w="850" w:type="dxa"/>
          </w:tcPr>
          <w:p w:rsidR="000C7BE2" w:rsidRPr="00632EF3" w:rsidRDefault="000C7BE2" w:rsidP="00AA291E">
            <w:pPr>
              <w:keepNext/>
              <w:ind w:left="-108"/>
              <w:jc w:val="center"/>
              <w:rPr>
                <w:rFonts w:ascii="Arial Narrow" w:hAnsi="Arial Narrow" w:cs="Arial"/>
                <w:b/>
                <w:sz w:val="18"/>
                <w:szCs w:val="18"/>
              </w:rPr>
            </w:pPr>
            <w:r w:rsidRPr="00632EF3">
              <w:rPr>
                <w:rFonts w:ascii="Arial Narrow" w:hAnsi="Arial Narrow" w:cs="Arial"/>
                <w:b/>
                <w:sz w:val="18"/>
                <w:szCs w:val="18"/>
              </w:rPr>
              <w:t>Max. qty units</w:t>
            </w:r>
          </w:p>
        </w:tc>
        <w:tc>
          <w:tcPr>
            <w:tcW w:w="709" w:type="dxa"/>
          </w:tcPr>
          <w:p w:rsidR="000C7BE2" w:rsidRPr="00632EF3" w:rsidRDefault="000C7BE2" w:rsidP="00AA291E">
            <w:pPr>
              <w:keepNext/>
              <w:ind w:left="-108"/>
              <w:jc w:val="center"/>
              <w:rPr>
                <w:rFonts w:ascii="Arial Narrow" w:hAnsi="Arial Narrow" w:cs="Arial"/>
                <w:b/>
                <w:sz w:val="18"/>
                <w:szCs w:val="18"/>
              </w:rPr>
            </w:pPr>
            <w:r w:rsidRPr="00632EF3">
              <w:rPr>
                <w:rFonts w:ascii="Arial Narrow" w:hAnsi="Arial Narrow" w:cs="Arial"/>
                <w:b/>
                <w:sz w:val="18"/>
                <w:szCs w:val="18"/>
              </w:rPr>
              <w:t>№.of</w:t>
            </w:r>
          </w:p>
          <w:p w:rsidR="000C7BE2" w:rsidRPr="00632EF3" w:rsidRDefault="000C7BE2" w:rsidP="00AA291E">
            <w:pPr>
              <w:keepNext/>
              <w:ind w:left="-108"/>
              <w:jc w:val="center"/>
              <w:rPr>
                <w:rFonts w:ascii="Arial Narrow" w:hAnsi="Arial Narrow" w:cs="Arial"/>
                <w:b/>
                <w:sz w:val="18"/>
                <w:szCs w:val="18"/>
              </w:rPr>
            </w:pPr>
            <w:r w:rsidRPr="00632EF3">
              <w:rPr>
                <w:rFonts w:ascii="Arial Narrow" w:hAnsi="Arial Narrow" w:cs="Arial"/>
                <w:b/>
                <w:sz w:val="18"/>
                <w:szCs w:val="18"/>
              </w:rPr>
              <w:t>Rpts</w:t>
            </w:r>
          </w:p>
        </w:tc>
        <w:tc>
          <w:tcPr>
            <w:tcW w:w="1134" w:type="dxa"/>
          </w:tcPr>
          <w:p w:rsidR="000C7BE2" w:rsidRPr="00632EF3" w:rsidRDefault="000C7BE2" w:rsidP="00AA291E">
            <w:pPr>
              <w:keepNext/>
              <w:rPr>
                <w:rFonts w:ascii="Arial Narrow" w:hAnsi="Arial Narrow" w:cs="Arial"/>
                <w:b/>
                <w:sz w:val="18"/>
                <w:szCs w:val="18"/>
              </w:rPr>
            </w:pPr>
            <w:r w:rsidRPr="00632EF3">
              <w:rPr>
                <w:rFonts w:ascii="Arial Narrow" w:hAnsi="Arial Narrow" w:cs="Arial"/>
                <w:b/>
                <w:sz w:val="18"/>
                <w:szCs w:val="18"/>
              </w:rPr>
              <w:t>Available brands</w:t>
            </w:r>
          </w:p>
        </w:tc>
      </w:tr>
      <w:tr w:rsidR="000C7BE2" w:rsidRPr="00632EF3" w:rsidTr="00AA291E">
        <w:trPr>
          <w:cantSplit/>
          <w:trHeight w:val="224"/>
        </w:trPr>
        <w:tc>
          <w:tcPr>
            <w:tcW w:w="9209" w:type="dxa"/>
            <w:gridSpan w:val="8"/>
          </w:tcPr>
          <w:p w:rsidR="000C7BE2" w:rsidRPr="00632EF3" w:rsidRDefault="000C7BE2" w:rsidP="00AA291E">
            <w:pPr>
              <w:keepNext/>
              <w:ind w:left="-57"/>
              <w:rPr>
                <w:rFonts w:ascii="Arial Narrow" w:hAnsi="Arial Narrow" w:cs="Arial"/>
                <w:sz w:val="18"/>
                <w:szCs w:val="18"/>
              </w:rPr>
            </w:pPr>
            <w:r w:rsidRPr="00632EF3">
              <w:rPr>
                <w:rFonts w:ascii="Arial Narrow" w:hAnsi="Arial Narrow" w:cs="Arial"/>
                <w:sz w:val="18"/>
                <w:szCs w:val="18"/>
              </w:rPr>
              <w:t xml:space="preserve">FOLLITROPIN ALFA  </w:t>
            </w:r>
          </w:p>
        </w:tc>
      </w:tr>
      <w:tr w:rsidR="000C7BE2" w:rsidRPr="00632EF3" w:rsidTr="00AA291E">
        <w:trPr>
          <w:cantSplit/>
          <w:trHeight w:val="231"/>
        </w:trPr>
        <w:tc>
          <w:tcPr>
            <w:tcW w:w="4673" w:type="dxa"/>
            <w:gridSpan w:val="3"/>
          </w:tcPr>
          <w:p w:rsidR="000C7BE2" w:rsidRPr="00632EF3" w:rsidRDefault="000C7BE2" w:rsidP="00AA291E">
            <w:pPr>
              <w:keepNext/>
              <w:ind w:left="-57"/>
              <w:rPr>
                <w:rFonts w:ascii="Arial Narrow" w:hAnsi="Arial Narrow" w:cs="Arial"/>
                <w:sz w:val="18"/>
                <w:szCs w:val="18"/>
              </w:rPr>
            </w:pPr>
            <w:r w:rsidRPr="00632EF3">
              <w:rPr>
                <w:rFonts w:ascii="Arial Narrow" w:hAnsi="Arial Narrow" w:cs="Arial"/>
                <w:sz w:val="18"/>
                <w:szCs w:val="18"/>
              </w:rPr>
              <w:t>follitropin alfa 300 units (22 microgram)/0.5 mL injection, 0.5 mL cartridge</w:t>
            </w:r>
          </w:p>
        </w:tc>
        <w:tc>
          <w:tcPr>
            <w:tcW w:w="851" w:type="dxa"/>
          </w:tcPr>
          <w:p w:rsidR="000C7BE2" w:rsidRPr="00632EF3" w:rsidRDefault="000C7BE2" w:rsidP="00AA291E">
            <w:pPr>
              <w:keepNext/>
              <w:jc w:val="center"/>
              <w:rPr>
                <w:rFonts w:ascii="Arial Narrow" w:hAnsi="Arial Narrow" w:cs="Arial"/>
                <w:sz w:val="18"/>
                <w:szCs w:val="18"/>
              </w:rPr>
            </w:pPr>
            <w:r w:rsidRPr="00632EF3">
              <w:rPr>
                <w:rFonts w:ascii="Arial Narrow" w:hAnsi="Arial Narrow" w:cs="Arial"/>
                <w:sz w:val="18"/>
                <w:szCs w:val="18"/>
              </w:rPr>
              <w:t>NEW</w:t>
            </w:r>
          </w:p>
        </w:tc>
        <w:tc>
          <w:tcPr>
            <w:tcW w:w="992" w:type="dxa"/>
          </w:tcPr>
          <w:p w:rsidR="000C7BE2" w:rsidRPr="00632EF3" w:rsidRDefault="000C7BE2" w:rsidP="00AA291E">
            <w:pPr>
              <w:keepNext/>
              <w:jc w:val="center"/>
              <w:rPr>
                <w:rFonts w:ascii="Arial Narrow" w:hAnsi="Arial Narrow" w:cs="Arial"/>
                <w:sz w:val="18"/>
                <w:szCs w:val="18"/>
              </w:rPr>
            </w:pPr>
            <w:r w:rsidRPr="00632EF3">
              <w:rPr>
                <w:rFonts w:ascii="Arial Narrow" w:hAnsi="Arial Narrow" w:cs="Arial"/>
                <w:sz w:val="18"/>
                <w:szCs w:val="18"/>
              </w:rPr>
              <w:t>3</w:t>
            </w:r>
          </w:p>
        </w:tc>
        <w:tc>
          <w:tcPr>
            <w:tcW w:w="850" w:type="dxa"/>
          </w:tcPr>
          <w:p w:rsidR="000C7BE2" w:rsidRPr="00632EF3" w:rsidRDefault="000C7BE2" w:rsidP="00AA291E">
            <w:pPr>
              <w:keepNext/>
              <w:jc w:val="center"/>
              <w:rPr>
                <w:rFonts w:ascii="Arial Narrow" w:hAnsi="Arial Narrow" w:cs="Arial"/>
                <w:sz w:val="18"/>
                <w:szCs w:val="18"/>
              </w:rPr>
            </w:pPr>
            <w:r w:rsidRPr="00632EF3">
              <w:rPr>
                <w:rFonts w:ascii="Arial Narrow" w:hAnsi="Arial Narrow" w:cs="Arial"/>
                <w:sz w:val="18"/>
                <w:szCs w:val="18"/>
              </w:rPr>
              <w:t>3</w:t>
            </w:r>
          </w:p>
        </w:tc>
        <w:tc>
          <w:tcPr>
            <w:tcW w:w="709" w:type="dxa"/>
          </w:tcPr>
          <w:p w:rsidR="000C7BE2" w:rsidRPr="00632EF3" w:rsidRDefault="000C7BE2" w:rsidP="00AA291E">
            <w:pPr>
              <w:keepNext/>
              <w:jc w:val="center"/>
              <w:rPr>
                <w:rFonts w:ascii="Arial Narrow" w:hAnsi="Arial Narrow" w:cs="Arial"/>
                <w:sz w:val="18"/>
                <w:szCs w:val="18"/>
              </w:rPr>
            </w:pPr>
            <w:r w:rsidRPr="00632EF3">
              <w:rPr>
                <w:rFonts w:ascii="Arial Narrow" w:hAnsi="Arial Narrow" w:cs="Arial"/>
                <w:sz w:val="18"/>
                <w:szCs w:val="18"/>
              </w:rPr>
              <w:t>5</w:t>
            </w:r>
          </w:p>
        </w:tc>
        <w:tc>
          <w:tcPr>
            <w:tcW w:w="1134" w:type="dxa"/>
          </w:tcPr>
          <w:p w:rsidR="000C7BE2" w:rsidRPr="00632EF3" w:rsidRDefault="000C7BE2" w:rsidP="00AA291E">
            <w:pPr>
              <w:keepNext/>
              <w:rPr>
                <w:rFonts w:ascii="Arial Narrow" w:hAnsi="Arial Narrow" w:cs="Arial"/>
                <w:sz w:val="18"/>
                <w:szCs w:val="18"/>
              </w:rPr>
            </w:pPr>
            <w:r w:rsidRPr="00632EF3">
              <w:rPr>
                <w:rFonts w:ascii="Arial Narrow" w:hAnsi="Arial Narrow" w:cs="Arial"/>
                <w:sz w:val="18"/>
                <w:szCs w:val="18"/>
                <w:vertAlign w:val="superscript"/>
              </w:rPr>
              <w:t xml:space="preserve">a </w:t>
            </w:r>
            <w:r w:rsidRPr="00632EF3">
              <w:rPr>
                <w:rFonts w:ascii="Arial Narrow" w:hAnsi="Arial Narrow" w:cs="Arial"/>
                <w:sz w:val="18"/>
                <w:szCs w:val="18"/>
              </w:rPr>
              <w:t>Ovaleap</w:t>
            </w:r>
          </w:p>
        </w:tc>
      </w:tr>
      <w:tr w:rsidR="000C7BE2" w:rsidRPr="00632EF3" w:rsidTr="00AA291E">
        <w:trPr>
          <w:cantSplit/>
          <w:trHeight w:val="231"/>
        </w:trPr>
        <w:tc>
          <w:tcPr>
            <w:tcW w:w="4673" w:type="dxa"/>
            <w:gridSpan w:val="3"/>
          </w:tcPr>
          <w:p w:rsidR="000C7BE2" w:rsidRPr="00632EF3" w:rsidRDefault="000C7BE2" w:rsidP="00AA291E">
            <w:pPr>
              <w:keepNext/>
              <w:ind w:left="-57"/>
              <w:rPr>
                <w:rFonts w:ascii="Arial Narrow" w:hAnsi="Arial Narrow" w:cs="Arial"/>
                <w:sz w:val="18"/>
                <w:szCs w:val="18"/>
              </w:rPr>
            </w:pPr>
            <w:r w:rsidRPr="00632EF3">
              <w:rPr>
                <w:rFonts w:ascii="Arial Narrow" w:hAnsi="Arial Narrow" w:cs="Arial"/>
                <w:sz w:val="18"/>
                <w:szCs w:val="18"/>
              </w:rPr>
              <w:t>follitropin alfa 300 units (21.84 microgram)/0.5 mL injection, 0.5 mL pen device</w:t>
            </w:r>
          </w:p>
        </w:tc>
        <w:tc>
          <w:tcPr>
            <w:tcW w:w="851" w:type="dxa"/>
          </w:tcPr>
          <w:p w:rsidR="000C7BE2" w:rsidRPr="00632EF3" w:rsidRDefault="000C7BE2" w:rsidP="00AA291E">
            <w:pPr>
              <w:keepNext/>
              <w:jc w:val="center"/>
              <w:rPr>
                <w:rFonts w:ascii="Arial Narrow" w:hAnsi="Arial Narrow" w:cs="Arial"/>
                <w:sz w:val="18"/>
                <w:szCs w:val="18"/>
              </w:rPr>
            </w:pPr>
            <w:r w:rsidRPr="00632EF3">
              <w:rPr>
                <w:rFonts w:ascii="Arial Narrow" w:hAnsi="Arial Narrow" w:cs="Arial"/>
                <w:sz w:val="18"/>
                <w:szCs w:val="18"/>
              </w:rPr>
              <w:t>8713N</w:t>
            </w:r>
          </w:p>
        </w:tc>
        <w:tc>
          <w:tcPr>
            <w:tcW w:w="992" w:type="dxa"/>
          </w:tcPr>
          <w:p w:rsidR="000C7BE2" w:rsidRPr="00632EF3" w:rsidRDefault="000C7BE2" w:rsidP="00AA291E">
            <w:pPr>
              <w:keepNext/>
              <w:jc w:val="center"/>
              <w:rPr>
                <w:rFonts w:ascii="Arial Narrow" w:hAnsi="Arial Narrow" w:cs="Arial"/>
                <w:sz w:val="18"/>
                <w:szCs w:val="18"/>
              </w:rPr>
            </w:pPr>
            <w:r w:rsidRPr="00632EF3">
              <w:rPr>
                <w:rFonts w:ascii="Arial Narrow" w:hAnsi="Arial Narrow" w:cs="Arial"/>
                <w:sz w:val="18"/>
                <w:szCs w:val="18"/>
              </w:rPr>
              <w:t>3</w:t>
            </w:r>
          </w:p>
        </w:tc>
        <w:tc>
          <w:tcPr>
            <w:tcW w:w="850" w:type="dxa"/>
          </w:tcPr>
          <w:p w:rsidR="000C7BE2" w:rsidRPr="00632EF3" w:rsidRDefault="000C7BE2" w:rsidP="00AA291E">
            <w:pPr>
              <w:keepNext/>
              <w:jc w:val="center"/>
              <w:rPr>
                <w:rFonts w:ascii="Arial Narrow" w:hAnsi="Arial Narrow" w:cs="Arial"/>
                <w:sz w:val="18"/>
                <w:szCs w:val="18"/>
              </w:rPr>
            </w:pPr>
            <w:r w:rsidRPr="00632EF3">
              <w:rPr>
                <w:rFonts w:ascii="Arial Narrow" w:hAnsi="Arial Narrow" w:cs="Arial"/>
                <w:sz w:val="18"/>
                <w:szCs w:val="18"/>
              </w:rPr>
              <w:t>3</w:t>
            </w:r>
          </w:p>
        </w:tc>
        <w:tc>
          <w:tcPr>
            <w:tcW w:w="709" w:type="dxa"/>
          </w:tcPr>
          <w:p w:rsidR="000C7BE2" w:rsidRPr="00632EF3" w:rsidRDefault="000C7BE2" w:rsidP="00AA291E">
            <w:pPr>
              <w:keepNext/>
              <w:jc w:val="center"/>
              <w:rPr>
                <w:rFonts w:ascii="Arial Narrow" w:hAnsi="Arial Narrow" w:cs="Arial"/>
                <w:sz w:val="18"/>
                <w:szCs w:val="18"/>
              </w:rPr>
            </w:pPr>
            <w:r w:rsidRPr="00632EF3">
              <w:rPr>
                <w:rFonts w:ascii="Arial Narrow" w:hAnsi="Arial Narrow" w:cs="Arial"/>
                <w:sz w:val="18"/>
                <w:szCs w:val="18"/>
              </w:rPr>
              <w:t>5</w:t>
            </w:r>
          </w:p>
        </w:tc>
        <w:tc>
          <w:tcPr>
            <w:tcW w:w="1134" w:type="dxa"/>
          </w:tcPr>
          <w:p w:rsidR="000C7BE2" w:rsidRPr="00632EF3" w:rsidRDefault="000C7BE2" w:rsidP="00AA291E">
            <w:pPr>
              <w:keepNext/>
              <w:rPr>
                <w:rFonts w:ascii="Arial Narrow" w:hAnsi="Arial Narrow" w:cs="Arial"/>
                <w:sz w:val="18"/>
                <w:szCs w:val="18"/>
                <w:vertAlign w:val="superscript"/>
              </w:rPr>
            </w:pPr>
            <w:r w:rsidRPr="00632EF3">
              <w:rPr>
                <w:rFonts w:ascii="Arial Narrow" w:hAnsi="Arial Narrow" w:cs="Arial"/>
                <w:sz w:val="18"/>
                <w:szCs w:val="18"/>
                <w:vertAlign w:val="superscript"/>
              </w:rPr>
              <w:t xml:space="preserve">a </w:t>
            </w:r>
            <w:r w:rsidRPr="00632EF3">
              <w:rPr>
                <w:rFonts w:ascii="Arial Narrow" w:hAnsi="Arial Narrow" w:cs="Arial"/>
                <w:sz w:val="18"/>
                <w:szCs w:val="18"/>
              </w:rPr>
              <w:t>Gonal-f Pen</w:t>
            </w:r>
          </w:p>
        </w:tc>
      </w:tr>
      <w:tr w:rsidR="000C7BE2" w:rsidRPr="00632EF3" w:rsidTr="00AA291E">
        <w:trPr>
          <w:cantSplit/>
          <w:trHeight w:val="126"/>
        </w:trPr>
        <w:tc>
          <w:tcPr>
            <w:tcW w:w="9209" w:type="dxa"/>
            <w:gridSpan w:val="8"/>
            <w:shd w:val="clear" w:color="auto" w:fill="595959" w:themeFill="text1" w:themeFillTint="A6"/>
          </w:tcPr>
          <w:p w:rsidR="000C7BE2" w:rsidRPr="00632EF3" w:rsidRDefault="000C7BE2" w:rsidP="00AA291E">
            <w:pPr>
              <w:keepNext/>
              <w:rPr>
                <w:rFonts w:ascii="Arial Narrow" w:hAnsi="Arial Narrow" w:cs="Arial"/>
                <w:sz w:val="18"/>
                <w:szCs w:val="18"/>
                <w:vertAlign w:val="superscript"/>
              </w:rPr>
            </w:pPr>
          </w:p>
        </w:tc>
      </w:tr>
      <w:tr w:rsidR="000C7BE2" w:rsidRPr="00632EF3" w:rsidTr="00AA291E">
        <w:trPr>
          <w:cantSplit/>
          <w:trHeight w:val="273"/>
        </w:trPr>
        <w:tc>
          <w:tcPr>
            <w:tcW w:w="4673" w:type="dxa"/>
            <w:gridSpan w:val="3"/>
          </w:tcPr>
          <w:p w:rsidR="000C7BE2" w:rsidRPr="00632EF3" w:rsidRDefault="000C7BE2" w:rsidP="00AA291E">
            <w:pPr>
              <w:keepNext/>
              <w:ind w:left="-57"/>
              <w:rPr>
                <w:rFonts w:ascii="Arial Narrow" w:hAnsi="Arial Narrow" w:cs="Arial"/>
                <w:sz w:val="18"/>
                <w:szCs w:val="18"/>
              </w:rPr>
            </w:pPr>
            <w:r w:rsidRPr="00632EF3">
              <w:rPr>
                <w:rFonts w:ascii="Arial Narrow" w:hAnsi="Arial Narrow" w:cs="Arial"/>
                <w:sz w:val="18"/>
                <w:szCs w:val="18"/>
              </w:rPr>
              <w:t>follitropin alfa 450 units (33 microgram)/0.75 mL injection, 0.75 mL cartridge</w:t>
            </w:r>
          </w:p>
        </w:tc>
        <w:tc>
          <w:tcPr>
            <w:tcW w:w="851" w:type="dxa"/>
          </w:tcPr>
          <w:p w:rsidR="000C7BE2" w:rsidRPr="00632EF3" w:rsidRDefault="000C7BE2" w:rsidP="00AA291E">
            <w:pPr>
              <w:keepNext/>
              <w:jc w:val="center"/>
              <w:rPr>
                <w:rFonts w:ascii="Arial Narrow" w:hAnsi="Arial Narrow" w:cs="Arial"/>
                <w:sz w:val="18"/>
                <w:szCs w:val="18"/>
              </w:rPr>
            </w:pPr>
            <w:r w:rsidRPr="00632EF3">
              <w:rPr>
                <w:rFonts w:ascii="Arial Narrow" w:hAnsi="Arial Narrow" w:cs="Arial"/>
                <w:sz w:val="18"/>
                <w:szCs w:val="18"/>
              </w:rPr>
              <w:t>NEW</w:t>
            </w:r>
          </w:p>
        </w:tc>
        <w:tc>
          <w:tcPr>
            <w:tcW w:w="992" w:type="dxa"/>
          </w:tcPr>
          <w:p w:rsidR="000C7BE2" w:rsidRPr="00632EF3" w:rsidRDefault="000C7BE2" w:rsidP="00AA291E">
            <w:pPr>
              <w:keepNext/>
              <w:jc w:val="center"/>
              <w:rPr>
                <w:rFonts w:ascii="Arial Narrow" w:hAnsi="Arial Narrow" w:cs="Arial"/>
                <w:sz w:val="18"/>
                <w:szCs w:val="18"/>
              </w:rPr>
            </w:pPr>
            <w:r w:rsidRPr="00632EF3">
              <w:rPr>
                <w:rFonts w:ascii="Arial Narrow" w:hAnsi="Arial Narrow" w:cs="Arial"/>
                <w:sz w:val="18"/>
                <w:szCs w:val="18"/>
              </w:rPr>
              <w:t>3</w:t>
            </w:r>
          </w:p>
        </w:tc>
        <w:tc>
          <w:tcPr>
            <w:tcW w:w="850" w:type="dxa"/>
          </w:tcPr>
          <w:p w:rsidR="000C7BE2" w:rsidRPr="00632EF3" w:rsidRDefault="000C7BE2" w:rsidP="00AA291E">
            <w:pPr>
              <w:keepNext/>
              <w:jc w:val="center"/>
              <w:rPr>
                <w:rFonts w:ascii="Arial Narrow" w:hAnsi="Arial Narrow" w:cs="Arial"/>
                <w:sz w:val="18"/>
                <w:szCs w:val="18"/>
              </w:rPr>
            </w:pPr>
            <w:r w:rsidRPr="00632EF3">
              <w:rPr>
                <w:rFonts w:ascii="Arial Narrow" w:hAnsi="Arial Narrow" w:cs="Arial"/>
                <w:sz w:val="18"/>
                <w:szCs w:val="18"/>
              </w:rPr>
              <w:t>3</w:t>
            </w:r>
          </w:p>
        </w:tc>
        <w:tc>
          <w:tcPr>
            <w:tcW w:w="709" w:type="dxa"/>
          </w:tcPr>
          <w:p w:rsidR="000C7BE2" w:rsidRPr="00632EF3" w:rsidRDefault="000C7BE2" w:rsidP="00AA291E">
            <w:pPr>
              <w:keepNext/>
              <w:jc w:val="center"/>
              <w:rPr>
                <w:rFonts w:ascii="Arial Narrow" w:hAnsi="Arial Narrow" w:cs="Arial"/>
                <w:sz w:val="18"/>
                <w:szCs w:val="18"/>
              </w:rPr>
            </w:pPr>
            <w:r w:rsidRPr="00632EF3">
              <w:rPr>
                <w:rFonts w:ascii="Arial Narrow" w:hAnsi="Arial Narrow" w:cs="Arial"/>
                <w:sz w:val="18"/>
                <w:szCs w:val="18"/>
              </w:rPr>
              <w:t>5</w:t>
            </w:r>
          </w:p>
        </w:tc>
        <w:tc>
          <w:tcPr>
            <w:tcW w:w="1134" w:type="dxa"/>
          </w:tcPr>
          <w:p w:rsidR="000C7BE2" w:rsidRPr="00632EF3" w:rsidRDefault="000C7BE2" w:rsidP="00AA291E">
            <w:pPr>
              <w:keepNext/>
              <w:rPr>
                <w:rFonts w:ascii="Arial Narrow" w:hAnsi="Arial Narrow" w:cs="Arial"/>
                <w:sz w:val="18"/>
                <w:szCs w:val="18"/>
              </w:rPr>
            </w:pPr>
            <w:r w:rsidRPr="00632EF3">
              <w:rPr>
                <w:rFonts w:ascii="Arial Narrow" w:hAnsi="Arial Narrow" w:cs="Arial"/>
                <w:sz w:val="18"/>
                <w:szCs w:val="18"/>
                <w:vertAlign w:val="superscript"/>
              </w:rPr>
              <w:t xml:space="preserve">a </w:t>
            </w:r>
            <w:r w:rsidRPr="00632EF3">
              <w:rPr>
                <w:rFonts w:ascii="Arial Narrow" w:hAnsi="Arial Narrow" w:cs="Arial"/>
                <w:sz w:val="18"/>
                <w:szCs w:val="18"/>
              </w:rPr>
              <w:t>Ovaleap</w:t>
            </w:r>
          </w:p>
        </w:tc>
      </w:tr>
      <w:tr w:rsidR="000C7BE2" w:rsidRPr="00632EF3" w:rsidTr="00AA291E">
        <w:trPr>
          <w:cantSplit/>
          <w:trHeight w:val="263"/>
        </w:trPr>
        <w:tc>
          <w:tcPr>
            <w:tcW w:w="4673" w:type="dxa"/>
            <w:gridSpan w:val="3"/>
          </w:tcPr>
          <w:p w:rsidR="000C7BE2" w:rsidRPr="00632EF3" w:rsidRDefault="000C7BE2" w:rsidP="00AA291E">
            <w:pPr>
              <w:keepNext/>
              <w:tabs>
                <w:tab w:val="left" w:pos="1077"/>
              </w:tabs>
              <w:ind w:left="-57"/>
              <w:rPr>
                <w:rFonts w:ascii="Arial Narrow" w:hAnsi="Arial Narrow" w:cs="Arial"/>
                <w:sz w:val="18"/>
                <w:szCs w:val="18"/>
              </w:rPr>
            </w:pPr>
            <w:r w:rsidRPr="00632EF3">
              <w:rPr>
                <w:rFonts w:ascii="Arial Narrow" w:hAnsi="Arial Narrow" w:cs="Arial"/>
                <w:sz w:val="18"/>
                <w:szCs w:val="18"/>
              </w:rPr>
              <w:t>follitropin alfa 450 units (32.76 microgram)/0.75 mL injection, 0.75 mL pen device</w:t>
            </w:r>
          </w:p>
        </w:tc>
        <w:tc>
          <w:tcPr>
            <w:tcW w:w="851" w:type="dxa"/>
          </w:tcPr>
          <w:p w:rsidR="000C7BE2" w:rsidRPr="00632EF3" w:rsidRDefault="000C7BE2" w:rsidP="00AA291E">
            <w:pPr>
              <w:keepNext/>
              <w:jc w:val="center"/>
              <w:rPr>
                <w:rFonts w:ascii="Arial Narrow" w:hAnsi="Arial Narrow" w:cs="Arial"/>
                <w:sz w:val="18"/>
                <w:szCs w:val="18"/>
              </w:rPr>
            </w:pPr>
            <w:r w:rsidRPr="00632EF3">
              <w:rPr>
                <w:rFonts w:ascii="Arial Narrow" w:hAnsi="Arial Narrow" w:cs="Arial"/>
                <w:sz w:val="18"/>
                <w:szCs w:val="18"/>
              </w:rPr>
              <w:t>8714P</w:t>
            </w:r>
          </w:p>
        </w:tc>
        <w:tc>
          <w:tcPr>
            <w:tcW w:w="992" w:type="dxa"/>
          </w:tcPr>
          <w:p w:rsidR="000C7BE2" w:rsidRPr="00632EF3" w:rsidRDefault="000C7BE2" w:rsidP="00AA291E">
            <w:pPr>
              <w:keepNext/>
              <w:jc w:val="center"/>
              <w:rPr>
                <w:rFonts w:ascii="Arial Narrow" w:hAnsi="Arial Narrow" w:cs="Arial"/>
                <w:sz w:val="18"/>
                <w:szCs w:val="18"/>
              </w:rPr>
            </w:pPr>
            <w:r w:rsidRPr="00632EF3">
              <w:rPr>
                <w:rFonts w:ascii="Arial Narrow" w:hAnsi="Arial Narrow" w:cs="Arial"/>
                <w:sz w:val="18"/>
                <w:szCs w:val="18"/>
              </w:rPr>
              <w:t>3</w:t>
            </w:r>
          </w:p>
        </w:tc>
        <w:tc>
          <w:tcPr>
            <w:tcW w:w="850" w:type="dxa"/>
          </w:tcPr>
          <w:p w:rsidR="000C7BE2" w:rsidRPr="00632EF3" w:rsidRDefault="000C7BE2" w:rsidP="00AA291E">
            <w:pPr>
              <w:keepNext/>
              <w:jc w:val="center"/>
              <w:rPr>
                <w:rFonts w:ascii="Arial Narrow" w:hAnsi="Arial Narrow" w:cs="Arial"/>
                <w:sz w:val="18"/>
                <w:szCs w:val="18"/>
              </w:rPr>
            </w:pPr>
            <w:r w:rsidRPr="00632EF3">
              <w:rPr>
                <w:rFonts w:ascii="Arial Narrow" w:hAnsi="Arial Narrow" w:cs="Arial"/>
                <w:sz w:val="18"/>
                <w:szCs w:val="18"/>
              </w:rPr>
              <w:t>3</w:t>
            </w:r>
          </w:p>
        </w:tc>
        <w:tc>
          <w:tcPr>
            <w:tcW w:w="709" w:type="dxa"/>
          </w:tcPr>
          <w:p w:rsidR="000C7BE2" w:rsidRPr="00632EF3" w:rsidRDefault="000C7BE2" w:rsidP="00AA291E">
            <w:pPr>
              <w:keepNext/>
              <w:jc w:val="center"/>
              <w:rPr>
                <w:rFonts w:ascii="Arial Narrow" w:hAnsi="Arial Narrow" w:cs="Arial"/>
                <w:sz w:val="18"/>
                <w:szCs w:val="18"/>
              </w:rPr>
            </w:pPr>
            <w:r w:rsidRPr="00632EF3">
              <w:rPr>
                <w:rFonts w:ascii="Arial Narrow" w:hAnsi="Arial Narrow" w:cs="Arial"/>
                <w:sz w:val="18"/>
                <w:szCs w:val="18"/>
              </w:rPr>
              <w:t>5</w:t>
            </w:r>
          </w:p>
        </w:tc>
        <w:tc>
          <w:tcPr>
            <w:tcW w:w="1134" w:type="dxa"/>
          </w:tcPr>
          <w:p w:rsidR="000C7BE2" w:rsidRPr="00632EF3" w:rsidRDefault="000C7BE2" w:rsidP="00AA291E">
            <w:pPr>
              <w:keepNext/>
              <w:rPr>
                <w:rFonts w:ascii="Arial Narrow" w:hAnsi="Arial Narrow" w:cs="Arial"/>
                <w:sz w:val="18"/>
                <w:szCs w:val="18"/>
              </w:rPr>
            </w:pPr>
            <w:r w:rsidRPr="00632EF3">
              <w:rPr>
                <w:rFonts w:ascii="Arial Narrow" w:hAnsi="Arial Narrow" w:cs="Arial"/>
                <w:sz w:val="18"/>
                <w:szCs w:val="18"/>
                <w:vertAlign w:val="superscript"/>
              </w:rPr>
              <w:t xml:space="preserve">a </w:t>
            </w:r>
            <w:r w:rsidRPr="00632EF3">
              <w:rPr>
                <w:rFonts w:ascii="Arial Narrow" w:hAnsi="Arial Narrow" w:cs="Arial"/>
                <w:sz w:val="18"/>
                <w:szCs w:val="18"/>
              </w:rPr>
              <w:t>Gonal-f Pen</w:t>
            </w:r>
          </w:p>
        </w:tc>
      </w:tr>
      <w:tr w:rsidR="000C7BE2" w:rsidRPr="00632EF3" w:rsidTr="00AA291E">
        <w:trPr>
          <w:cantSplit/>
          <w:trHeight w:val="56"/>
        </w:trPr>
        <w:tc>
          <w:tcPr>
            <w:tcW w:w="9209" w:type="dxa"/>
            <w:gridSpan w:val="8"/>
            <w:shd w:val="clear" w:color="auto" w:fill="595959" w:themeFill="text1" w:themeFillTint="A6"/>
          </w:tcPr>
          <w:p w:rsidR="000C7BE2" w:rsidRPr="00632EF3" w:rsidRDefault="000C7BE2" w:rsidP="00AA291E">
            <w:pPr>
              <w:keepNext/>
              <w:rPr>
                <w:rFonts w:ascii="Arial Narrow" w:hAnsi="Arial Narrow" w:cs="Arial"/>
                <w:sz w:val="18"/>
                <w:szCs w:val="18"/>
                <w:vertAlign w:val="superscript"/>
              </w:rPr>
            </w:pPr>
          </w:p>
        </w:tc>
      </w:tr>
      <w:tr w:rsidR="000C7BE2" w:rsidRPr="00632EF3" w:rsidTr="00AA291E">
        <w:trPr>
          <w:cantSplit/>
          <w:trHeight w:val="263"/>
        </w:trPr>
        <w:tc>
          <w:tcPr>
            <w:tcW w:w="4673" w:type="dxa"/>
            <w:gridSpan w:val="3"/>
          </w:tcPr>
          <w:p w:rsidR="000C7BE2" w:rsidRPr="00632EF3" w:rsidRDefault="000C7BE2" w:rsidP="00AA291E">
            <w:pPr>
              <w:keepNext/>
              <w:tabs>
                <w:tab w:val="left" w:pos="1077"/>
              </w:tabs>
              <w:ind w:left="-57"/>
              <w:rPr>
                <w:rFonts w:ascii="Arial Narrow" w:hAnsi="Arial Narrow" w:cs="Arial"/>
                <w:sz w:val="18"/>
                <w:szCs w:val="18"/>
              </w:rPr>
            </w:pPr>
            <w:r w:rsidRPr="00632EF3">
              <w:rPr>
                <w:rFonts w:ascii="Arial Narrow" w:hAnsi="Arial Narrow" w:cs="Arial"/>
                <w:sz w:val="18"/>
                <w:szCs w:val="18"/>
              </w:rPr>
              <w:t>follitropin alfa 900 units (66 microgram)/1.5 mL injection, 1.5 mL cartridge</w:t>
            </w:r>
          </w:p>
        </w:tc>
        <w:tc>
          <w:tcPr>
            <w:tcW w:w="851" w:type="dxa"/>
          </w:tcPr>
          <w:p w:rsidR="000C7BE2" w:rsidRPr="00632EF3" w:rsidRDefault="000C7BE2" w:rsidP="00AA291E">
            <w:pPr>
              <w:keepNext/>
              <w:jc w:val="center"/>
              <w:rPr>
                <w:rFonts w:ascii="Arial Narrow" w:hAnsi="Arial Narrow" w:cs="Arial"/>
                <w:sz w:val="18"/>
                <w:szCs w:val="18"/>
              </w:rPr>
            </w:pPr>
            <w:r w:rsidRPr="00632EF3">
              <w:rPr>
                <w:rFonts w:ascii="Arial Narrow" w:hAnsi="Arial Narrow" w:cs="Arial"/>
                <w:sz w:val="18"/>
                <w:szCs w:val="18"/>
              </w:rPr>
              <w:t>NEW</w:t>
            </w:r>
          </w:p>
        </w:tc>
        <w:tc>
          <w:tcPr>
            <w:tcW w:w="992" w:type="dxa"/>
          </w:tcPr>
          <w:p w:rsidR="000C7BE2" w:rsidRPr="00632EF3" w:rsidRDefault="000C7BE2" w:rsidP="00AA291E">
            <w:pPr>
              <w:keepNext/>
              <w:jc w:val="center"/>
              <w:rPr>
                <w:rFonts w:ascii="Arial Narrow" w:hAnsi="Arial Narrow" w:cs="Arial"/>
                <w:sz w:val="18"/>
                <w:szCs w:val="18"/>
              </w:rPr>
            </w:pPr>
            <w:r w:rsidRPr="00632EF3">
              <w:rPr>
                <w:rFonts w:ascii="Arial Narrow" w:hAnsi="Arial Narrow" w:cs="Arial"/>
                <w:sz w:val="18"/>
                <w:szCs w:val="18"/>
              </w:rPr>
              <w:t>2</w:t>
            </w:r>
          </w:p>
        </w:tc>
        <w:tc>
          <w:tcPr>
            <w:tcW w:w="850" w:type="dxa"/>
          </w:tcPr>
          <w:p w:rsidR="000C7BE2" w:rsidRPr="00632EF3" w:rsidRDefault="000C7BE2" w:rsidP="00AA291E">
            <w:pPr>
              <w:keepNext/>
              <w:jc w:val="center"/>
              <w:rPr>
                <w:rFonts w:ascii="Arial Narrow" w:hAnsi="Arial Narrow" w:cs="Arial"/>
                <w:sz w:val="18"/>
                <w:szCs w:val="18"/>
              </w:rPr>
            </w:pPr>
            <w:r w:rsidRPr="00632EF3">
              <w:rPr>
                <w:rFonts w:ascii="Arial Narrow" w:hAnsi="Arial Narrow" w:cs="Arial"/>
                <w:sz w:val="18"/>
                <w:szCs w:val="18"/>
              </w:rPr>
              <w:t>2</w:t>
            </w:r>
          </w:p>
        </w:tc>
        <w:tc>
          <w:tcPr>
            <w:tcW w:w="709" w:type="dxa"/>
          </w:tcPr>
          <w:p w:rsidR="000C7BE2" w:rsidRPr="00632EF3" w:rsidRDefault="000C7BE2" w:rsidP="00AA291E">
            <w:pPr>
              <w:keepNext/>
              <w:jc w:val="center"/>
              <w:rPr>
                <w:rFonts w:ascii="Arial Narrow" w:hAnsi="Arial Narrow" w:cs="Arial"/>
                <w:sz w:val="18"/>
                <w:szCs w:val="18"/>
              </w:rPr>
            </w:pPr>
            <w:r w:rsidRPr="00632EF3">
              <w:rPr>
                <w:rFonts w:ascii="Arial Narrow" w:hAnsi="Arial Narrow" w:cs="Arial"/>
                <w:sz w:val="18"/>
                <w:szCs w:val="18"/>
              </w:rPr>
              <w:t>5</w:t>
            </w:r>
          </w:p>
        </w:tc>
        <w:tc>
          <w:tcPr>
            <w:tcW w:w="1134" w:type="dxa"/>
          </w:tcPr>
          <w:p w:rsidR="000C7BE2" w:rsidRPr="00632EF3" w:rsidRDefault="000C7BE2" w:rsidP="00AA291E">
            <w:pPr>
              <w:keepNext/>
              <w:rPr>
                <w:rFonts w:ascii="Arial Narrow" w:hAnsi="Arial Narrow" w:cs="Arial"/>
                <w:sz w:val="18"/>
                <w:szCs w:val="18"/>
                <w:vertAlign w:val="superscript"/>
              </w:rPr>
            </w:pPr>
            <w:r w:rsidRPr="00632EF3">
              <w:rPr>
                <w:rFonts w:ascii="Arial Narrow" w:hAnsi="Arial Narrow" w:cs="Arial"/>
                <w:sz w:val="18"/>
                <w:szCs w:val="18"/>
                <w:vertAlign w:val="superscript"/>
              </w:rPr>
              <w:t xml:space="preserve">a </w:t>
            </w:r>
            <w:r w:rsidRPr="00632EF3">
              <w:rPr>
                <w:rFonts w:ascii="Arial Narrow" w:hAnsi="Arial Narrow" w:cs="Arial"/>
                <w:sz w:val="18"/>
                <w:szCs w:val="18"/>
              </w:rPr>
              <w:t>Ovaleap</w:t>
            </w:r>
          </w:p>
        </w:tc>
      </w:tr>
      <w:tr w:rsidR="000C7BE2" w:rsidRPr="00632EF3" w:rsidTr="00AA291E">
        <w:trPr>
          <w:cantSplit/>
          <w:trHeight w:val="263"/>
        </w:trPr>
        <w:tc>
          <w:tcPr>
            <w:tcW w:w="4673" w:type="dxa"/>
            <w:gridSpan w:val="3"/>
          </w:tcPr>
          <w:p w:rsidR="000C7BE2" w:rsidRPr="00632EF3" w:rsidRDefault="000C7BE2" w:rsidP="00AA291E">
            <w:pPr>
              <w:keepNext/>
              <w:tabs>
                <w:tab w:val="left" w:pos="1077"/>
              </w:tabs>
              <w:ind w:left="-57"/>
              <w:rPr>
                <w:rFonts w:ascii="Arial Narrow" w:hAnsi="Arial Narrow" w:cs="Arial"/>
                <w:sz w:val="18"/>
                <w:szCs w:val="18"/>
              </w:rPr>
            </w:pPr>
            <w:r w:rsidRPr="00632EF3">
              <w:rPr>
                <w:rFonts w:ascii="Arial Narrow" w:hAnsi="Arial Narrow" w:cs="Arial"/>
                <w:sz w:val="18"/>
                <w:szCs w:val="18"/>
              </w:rPr>
              <w:t>follitropin alfa 900 units (65.52 microgram)/1.5 mL injection, 1.5 mL pen device</w:t>
            </w:r>
          </w:p>
        </w:tc>
        <w:tc>
          <w:tcPr>
            <w:tcW w:w="851" w:type="dxa"/>
          </w:tcPr>
          <w:p w:rsidR="000C7BE2" w:rsidRPr="00632EF3" w:rsidRDefault="000C7BE2" w:rsidP="00AA291E">
            <w:pPr>
              <w:keepNext/>
              <w:jc w:val="center"/>
              <w:rPr>
                <w:rFonts w:ascii="Arial Narrow" w:hAnsi="Arial Narrow" w:cs="Arial"/>
                <w:sz w:val="18"/>
                <w:szCs w:val="18"/>
              </w:rPr>
            </w:pPr>
            <w:r w:rsidRPr="00632EF3">
              <w:rPr>
                <w:rFonts w:ascii="Arial Narrow" w:hAnsi="Arial Narrow" w:cs="Arial"/>
                <w:sz w:val="18"/>
                <w:szCs w:val="18"/>
              </w:rPr>
              <w:t>8715Q</w:t>
            </w:r>
          </w:p>
        </w:tc>
        <w:tc>
          <w:tcPr>
            <w:tcW w:w="992" w:type="dxa"/>
          </w:tcPr>
          <w:p w:rsidR="000C7BE2" w:rsidRPr="00632EF3" w:rsidRDefault="000C7BE2" w:rsidP="00AA291E">
            <w:pPr>
              <w:keepNext/>
              <w:jc w:val="center"/>
              <w:rPr>
                <w:rFonts w:ascii="Arial Narrow" w:hAnsi="Arial Narrow" w:cs="Arial"/>
                <w:sz w:val="18"/>
                <w:szCs w:val="18"/>
              </w:rPr>
            </w:pPr>
            <w:r w:rsidRPr="00632EF3">
              <w:rPr>
                <w:rFonts w:ascii="Arial Narrow" w:hAnsi="Arial Narrow" w:cs="Arial"/>
                <w:sz w:val="18"/>
                <w:szCs w:val="18"/>
              </w:rPr>
              <w:t>2</w:t>
            </w:r>
          </w:p>
        </w:tc>
        <w:tc>
          <w:tcPr>
            <w:tcW w:w="850" w:type="dxa"/>
          </w:tcPr>
          <w:p w:rsidR="000C7BE2" w:rsidRPr="00632EF3" w:rsidRDefault="000C7BE2" w:rsidP="00AA291E">
            <w:pPr>
              <w:keepNext/>
              <w:jc w:val="center"/>
              <w:rPr>
                <w:rFonts w:ascii="Arial Narrow" w:hAnsi="Arial Narrow" w:cs="Arial"/>
                <w:sz w:val="18"/>
                <w:szCs w:val="18"/>
              </w:rPr>
            </w:pPr>
            <w:r w:rsidRPr="00632EF3">
              <w:rPr>
                <w:rFonts w:ascii="Arial Narrow" w:hAnsi="Arial Narrow" w:cs="Arial"/>
                <w:sz w:val="18"/>
                <w:szCs w:val="18"/>
              </w:rPr>
              <w:t>2</w:t>
            </w:r>
          </w:p>
        </w:tc>
        <w:tc>
          <w:tcPr>
            <w:tcW w:w="709" w:type="dxa"/>
          </w:tcPr>
          <w:p w:rsidR="000C7BE2" w:rsidRPr="00632EF3" w:rsidRDefault="000C7BE2" w:rsidP="00AA291E">
            <w:pPr>
              <w:keepNext/>
              <w:jc w:val="center"/>
              <w:rPr>
                <w:rFonts w:ascii="Arial Narrow" w:hAnsi="Arial Narrow" w:cs="Arial"/>
                <w:sz w:val="18"/>
                <w:szCs w:val="18"/>
              </w:rPr>
            </w:pPr>
            <w:r w:rsidRPr="00632EF3">
              <w:rPr>
                <w:rFonts w:ascii="Arial Narrow" w:hAnsi="Arial Narrow" w:cs="Arial"/>
                <w:sz w:val="18"/>
                <w:szCs w:val="18"/>
              </w:rPr>
              <w:t>5</w:t>
            </w:r>
          </w:p>
        </w:tc>
        <w:tc>
          <w:tcPr>
            <w:tcW w:w="1134" w:type="dxa"/>
          </w:tcPr>
          <w:p w:rsidR="000C7BE2" w:rsidRPr="00632EF3" w:rsidRDefault="000C7BE2" w:rsidP="00AA291E">
            <w:pPr>
              <w:keepNext/>
              <w:rPr>
                <w:rFonts w:ascii="Arial Narrow" w:hAnsi="Arial Narrow" w:cs="Arial"/>
                <w:sz w:val="18"/>
                <w:szCs w:val="18"/>
                <w:vertAlign w:val="superscript"/>
              </w:rPr>
            </w:pPr>
            <w:r w:rsidRPr="00632EF3">
              <w:rPr>
                <w:rFonts w:ascii="Arial Narrow" w:hAnsi="Arial Narrow" w:cs="Arial"/>
                <w:sz w:val="18"/>
                <w:szCs w:val="18"/>
                <w:vertAlign w:val="superscript"/>
              </w:rPr>
              <w:t xml:space="preserve">a </w:t>
            </w:r>
            <w:r w:rsidRPr="00632EF3">
              <w:rPr>
                <w:rFonts w:ascii="Arial Narrow" w:hAnsi="Arial Narrow" w:cs="Arial"/>
                <w:sz w:val="18"/>
                <w:szCs w:val="18"/>
              </w:rPr>
              <w:t>Gonal-f Pen</w:t>
            </w:r>
          </w:p>
        </w:tc>
      </w:tr>
      <w:tr w:rsidR="000C7BE2" w:rsidRPr="00632EF3" w:rsidTr="00AA291E">
        <w:tblPrEx>
          <w:tblCellMar>
            <w:top w:w="15" w:type="dxa"/>
            <w:left w:w="15" w:type="dxa"/>
            <w:bottom w:w="15" w:type="dxa"/>
            <w:right w:w="15" w:type="dxa"/>
          </w:tblCellMar>
          <w:tblLook w:val="04A0" w:firstRow="1" w:lastRow="0" w:firstColumn="1" w:lastColumn="0" w:noHBand="0" w:noVBand="1"/>
        </w:tblPrEx>
        <w:tc>
          <w:tcPr>
            <w:tcW w:w="9209" w:type="dxa"/>
            <w:gridSpan w:val="8"/>
            <w:tcBorders>
              <w:top w:val="single" w:sz="4" w:space="0" w:color="auto"/>
              <w:left w:val="single" w:sz="4" w:space="0" w:color="auto"/>
              <w:right w:val="single" w:sz="4" w:space="0" w:color="auto"/>
            </w:tcBorders>
          </w:tcPr>
          <w:p w:rsidR="000C7BE2" w:rsidRPr="00632EF3" w:rsidRDefault="000C7BE2" w:rsidP="00AA291E">
            <w:pPr>
              <w:rPr>
                <w:rFonts w:ascii="Arial Narrow" w:hAnsi="Arial Narrow" w:cs="Arial"/>
                <w:b/>
                <w:sz w:val="18"/>
                <w:szCs w:val="18"/>
              </w:rPr>
            </w:pPr>
          </w:p>
        </w:tc>
      </w:tr>
      <w:tr w:rsidR="000C7BE2" w:rsidRPr="00632EF3" w:rsidTr="00AA291E">
        <w:tblPrEx>
          <w:tblCellMar>
            <w:top w:w="15" w:type="dxa"/>
            <w:left w:w="15" w:type="dxa"/>
            <w:bottom w:w="15" w:type="dxa"/>
            <w:right w:w="15" w:type="dxa"/>
          </w:tblCellMar>
          <w:tblLook w:val="04A0" w:firstRow="1" w:lastRow="0" w:firstColumn="1" w:lastColumn="0" w:noHBand="0" w:noVBand="1"/>
        </w:tblPrEx>
        <w:tc>
          <w:tcPr>
            <w:tcW w:w="9209" w:type="dxa"/>
            <w:gridSpan w:val="8"/>
            <w:tcBorders>
              <w:top w:val="single" w:sz="4" w:space="0" w:color="auto"/>
              <w:left w:val="single" w:sz="4" w:space="0" w:color="auto"/>
              <w:right w:val="single" w:sz="4" w:space="0" w:color="auto"/>
            </w:tcBorders>
          </w:tcPr>
          <w:p w:rsidR="000C7BE2" w:rsidRPr="00632EF3" w:rsidRDefault="000C7BE2" w:rsidP="00AA291E">
            <w:pPr>
              <w:ind w:left="57"/>
              <w:rPr>
                <w:rFonts w:ascii="Arial Narrow" w:hAnsi="Arial Narrow" w:cs="Arial"/>
                <w:b/>
                <w:sz w:val="18"/>
                <w:szCs w:val="18"/>
              </w:rPr>
            </w:pPr>
            <w:bookmarkStart w:id="7" w:name="_Hlk77956809"/>
            <w:r w:rsidRPr="00632EF3">
              <w:rPr>
                <w:rFonts w:ascii="Arial Narrow" w:hAnsi="Arial Narrow"/>
                <w:b/>
                <w:sz w:val="18"/>
                <w:szCs w:val="18"/>
              </w:rPr>
              <w:t>Restriction Summary</w:t>
            </w:r>
            <w:r w:rsidR="00210FAB" w:rsidRPr="00632EF3">
              <w:rPr>
                <w:rFonts w:ascii="Arial Narrow" w:hAnsi="Arial Narrow"/>
                <w:b/>
                <w:sz w:val="18"/>
                <w:szCs w:val="18"/>
              </w:rPr>
              <w:t xml:space="preserve"> </w:t>
            </w:r>
            <w:r w:rsidRPr="00632EF3">
              <w:rPr>
                <w:rFonts w:ascii="Arial Narrow" w:hAnsi="Arial Narrow"/>
                <w:b/>
                <w:sz w:val="18"/>
                <w:szCs w:val="18"/>
              </w:rPr>
              <w:t xml:space="preserve">/ Treatment of Concept: 6257 </w:t>
            </w:r>
            <w:r w:rsidRPr="00632EF3">
              <w:rPr>
                <w:rFonts w:ascii="Arial Narrow" w:hAnsi="Arial Narrow"/>
                <w:sz w:val="18"/>
                <w:szCs w:val="18"/>
              </w:rPr>
              <w:t xml:space="preserve">(as per Gonal-F brand as at 1 </w:t>
            </w:r>
            <w:r w:rsidR="00313DEE" w:rsidRPr="00632EF3">
              <w:rPr>
                <w:rFonts w:ascii="Arial Narrow" w:hAnsi="Arial Narrow"/>
                <w:sz w:val="18"/>
                <w:szCs w:val="18"/>
              </w:rPr>
              <w:t xml:space="preserve">July </w:t>
            </w:r>
            <w:r w:rsidRPr="00632EF3">
              <w:rPr>
                <w:rFonts w:ascii="Arial Narrow" w:hAnsi="Arial Narrow"/>
                <w:sz w:val="18"/>
                <w:szCs w:val="18"/>
              </w:rPr>
              <w:t>2021)</w:t>
            </w:r>
          </w:p>
        </w:tc>
      </w:tr>
      <w:tr w:rsidR="000C7BE2" w:rsidRPr="00632EF3" w:rsidTr="00AA291E">
        <w:tblPrEx>
          <w:tblCellMar>
            <w:top w:w="15" w:type="dxa"/>
            <w:left w:w="15" w:type="dxa"/>
            <w:bottom w:w="15" w:type="dxa"/>
            <w:right w:w="15" w:type="dxa"/>
          </w:tblCellMar>
          <w:tblLook w:val="04A0" w:firstRow="1" w:lastRow="0" w:firstColumn="1" w:lastColumn="0" w:noHBand="0" w:noVBand="1"/>
        </w:tblPrEx>
        <w:tc>
          <w:tcPr>
            <w:tcW w:w="1271" w:type="dxa"/>
            <w:gridSpan w:val="2"/>
            <w:vMerge w:val="restart"/>
            <w:tcBorders>
              <w:top w:val="single" w:sz="4" w:space="0" w:color="auto"/>
              <w:left w:val="single" w:sz="4" w:space="0" w:color="auto"/>
              <w:right w:val="single" w:sz="4" w:space="0" w:color="auto"/>
            </w:tcBorders>
          </w:tcPr>
          <w:p w:rsidR="000C7BE2" w:rsidRPr="00632EF3" w:rsidRDefault="000C7BE2" w:rsidP="00AA291E">
            <w:pPr>
              <w:jc w:val="center"/>
              <w:rPr>
                <w:rFonts w:ascii="Arial Narrow" w:hAnsi="Arial Narrow" w:cs="Arial"/>
                <w:sz w:val="18"/>
                <w:szCs w:val="18"/>
              </w:rPr>
            </w:pPr>
          </w:p>
        </w:tc>
        <w:tc>
          <w:tcPr>
            <w:tcW w:w="7938" w:type="dxa"/>
            <w:gridSpan w:val="6"/>
            <w:tcBorders>
              <w:top w:val="single" w:sz="4" w:space="0" w:color="auto"/>
              <w:left w:val="single" w:sz="4" w:space="0" w:color="auto"/>
              <w:bottom w:val="single" w:sz="4" w:space="0" w:color="auto"/>
              <w:right w:val="single" w:sz="4" w:space="0" w:color="auto"/>
            </w:tcBorders>
          </w:tcPr>
          <w:p w:rsidR="000C7BE2" w:rsidRPr="00632EF3" w:rsidRDefault="000C7BE2" w:rsidP="00AA291E">
            <w:pPr>
              <w:rPr>
                <w:rFonts w:ascii="Arial Narrow" w:hAnsi="Arial Narrow" w:cs="Arial"/>
                <w:sz w:val="18"/>
                <w:szCs w:val="18"/>
              </w:rPr>
            </w:pPr>
            <w:r w:rsidRPr="00632EF3">
              <w:rPr>
                <w:rFonts w:ascii="Arial Narrow" w:hAnsi="Arial Narrow" w:cs="Arial"/>
                <w:b/>
                <w:sz w:val="18"/>
                <w:szCs w:val="18"/>
              </w:rPr>
              <w:t xml:space="preserve">Category / Program:   </w:t>
            </w:r>
            <w:r w:rsidRPr="00632EF3">
              <w:rPr>
                <w:rFonts w:ascii="Arial Narrow" w:hAnsi="Arial Narrow" w:cs="Arial"/>
                <w:sz w:val="18"/>
                <w:szCs w:val="18"/>
              </w:rPr>
              <w:t>General Schedule</w:t>
            </w:r>
          </w:p>
        </w:tc>
      </w:tr>
      <w:tr w:rsidR="000C7BE2" w:rsidRPr="00632EF3" w:rsidTr="00AA291E">
        <w:tblPrEx>
          <w:tblCellMar>
            <w:top w:w="15" w:type="dxa"/>
            <w:left w:w="15" w:type="dxa"/>
            <w:bottom w:w="15" w:type="dxa"/>
            <w:right w:w="15" w:type="dxa"/>
          </w:tblCellMar>
          <w:tblLook w:val="04A0" w:firstRow="1" w:lastRow="0" w:firstColumn="1" w:lastColumn="0" w:noHBand="0" w:noVBand="1"/>
        </w:tblPrEx>
        <w:trPr>
          <w:trHeight w:val="240"/>
        </w:trPr>
        <w:tc>
          <w:tcPr>
            <w:tcW w:w="1271" w:type="dxa"/>
            <w:gridSpan w:val="2"/>
            <w:vMerge/>
            <w:tcBorders>
              <w:left w:val="single" w:sz="4" w:space="0" w:color="auto"/>
              <w:right w:val="single" w:sz="4" w:space="0" w:color="auto"/>
            </w:tcBorders>
          </w:tcPr>
          <w:p w:rsidR="000C7BE2" w:rsidRPr="00632EF3" w:rsidRDefault="000C7BE2" w:rsidP="00AA291E">
            <w:pPr>
              <w:rPr>
                <w:rFonts w:ascii="Arial Narrow" w:hAnsi="Arial Narrow" w:cs="Arial"/>
                <w:sz w:val="18"/>
                <w:szCs w:val="18"/>
              </w:rPr>
            </w:pPr>
          </w:p>
        </w:tc>
        <w:tc>
          <w:tcPr>
            <w:tcW w:w="7938" w:type="dxa"/>
            <w:gridSpan w:val="6"/>
            <w:tcBorders>
              <w:top w:val="single" w:sz="4" w:space="0" w:color="auto"/>
              <w:left w:val="single" w:sz="4" w:space="0" w:color="auto"/>
              <w:bottom w:val="single" w:sz="4" w:space="0" w:color="auto"/>
              <w:right w:val="single" w:sz="4" w:space="0" w:color="auto"/>
            </w:tcBorders>
          </w:tcPr>
          <w:p w:rsidR="000C7BE2" w:rsidRPr="00632EF3" w:rsidRDefault="000C7BE2" w:rsidP="00AA291E">
            <w:pPr>
              <w:rPr>
                <w:rFonts w:ascii="Arial Narrow" w:hAnsi="Arial Narrow" w:cs="Arial"/>
                <w:b/>
                <w:sz w:val="18"/>
                <w:szCs w:val="18"/>
              </w:rPr>
            </w:pPr>
            <w:r w:rsidRPr="00632EF3">
              <w:rPr>
                <w:rFonts w:ascii="Arial Narrow" w:hAnsi="Arial Narrow" w:cs="Arial"/>
                <w:b/>
                <w:sz w:val="18"/>
                <w:szCs w:val="18"/>
              </w:rPr>
              <w:t xml:space="preserve">Prescriber type:   </w:t>
            </w:r>
            <w:r w:rsidRPr="00DC1FDA">
              <w:rPr>
                <w:rFonts w:ascii="Arial Narrow" w:hAnsi="Arial Narrow" w:cs="Arial"/>
                <w:sz w:val="18"/>
                <w:szCs w:val="18"/>
              </w:rPr>
              <w:fldChar w:fldCharType="begin">
                <w:ffData>
                  <w:name w:val=""/>
                  <w:enabled/>
                  <w:calcOnExit w:val="0"/>
                  <w:checkBox>
                    <w:sizeAuto/>
                    <w:default w:val="1"/>
                  </w:checkBox>
                </w:ffData>
              </w:fldChar>
            </w:r>
            <w:r w:rsidRPr="00632EF3">
              <w:rPr>
                <w:rFonts w:ascii="Arial Narrow" w:hAnsi="Arial Narrow" w:cs="Arial"/>
                <w:sz w:val="18"/>
                <w:szCs w:val="18"/>
              </w:rPr>
              <w:instrText xml:space="preserve"> FORMCHECKBOX </w:instrText>
            </w:r>
            <w:r w:rsidR="00AF1922">
              <w:rPr>
                <w:rFonts w:ascii="Arial Narrow" w:hAnsi="Arial Narrow" w:cs="Arial"/>
                <w:sz w:val="18"/>
                <w:szCs w:val="18"/>
              </w:rPr>
            </w:r>
            <w:r w:rsidR="00AF1922">
              <w:rPr>
                <w:rFonts w:ascii="Arial Narrow" w:hAnsi="Arial Narrow" w:cs="Arial"/>
                <w:sz w:val="18"/>
                <w:szCs w:val="18"/>
              </w:rPr>
              <w:fldChar w:fldCharType="separate"/>
            </w:r>
            <w:r w:rsidRPr="00DC1FDA">
              <w:rPr>
                <w:rFonts w:ascii="Arial Narrow" w:hAnsi="Arial Narrow" w:cs="Arial"/>
                <w:sz w:val="18"/>
                <w:szCs w:val="18"/>
              </w:rPr>
              <w:fldChar w:fldCharType="end"/>
            </w:r>
            <w:r w:rsidRPr="00632EF3">
              <w:rPr>
                <w:rFonts w:ascii="Arial Narrow" w:hAnsi="Arial Narrow" w:cs="Arial"/>
                <w:sz w:val="18"/>
                <w:szCs w:val="18"/>
              </w:rPr>
              <w:t xml:space="preserve"> Medical Practitioners    </w:t>
            </w:r>
          </w:p>
        </w:tc>
      </w:tr>
      <w:tr w:rsidR="000C7BE2" w:rsidRPr="00632EF3" w:rsidTr="00AA291E">
        <w:tblPrEx>
          <w:tblCellMar>
            <w:top w:w="15" w:type="dxa"/>
            <w:left w:w="15" w:type="dxa"/>
            <w:bottom w:w="15" w:type="dxa"/>
            <w:right w:w="15" w:type="dxa"/>
          </w:tblCellMar>
          <w:tblLook w:val="04A0" w:firstRow="1" w:lastRow="0" w:firstColumn="1" w:lastColumn="0" w:noHBand="0" w:noVBand="1"/>
        </w:tblPrEx>
        <w:tc>
          <w:tcPr>
            <w:tcW w:w="1271" w:type="dxa"/>
            <w:gridSpan w:val="2"/>
            <w:vMerge/>
            <w:tcBorders>
              <w:left w:val="single" w:sz="4" w:space="0" w:color="auto"/>
              <w:bottom w:val="single" w:sz="4" w:space="0" w:color="auto"/>
              <w:right w:val="single" w:sz="4" w:space="0" w:color="auto"/>
            </w:tcBorders>
          </w:tcPr>
          <w:p w:rsidR="000C7BE2" w:rsidRPr="00632EF3" w:rsidRDefault="000C7BE2" w:rsidP="00AA291E">
            <w:pPr>
              <w:rPr>
                <w:rFonts w:ascii="Arial Narrow" w:hAnsi="Arial Narrow" w:cs="Arial"/>
                <w:sz w:val="18"/>
                <w:szCs w:val="18"/>
              </w:rPr>
            </w:pPr>
          </w:p>
        </w:tc>
        <w:tc>
          <w:tcPr>
            <w:tcW w:w="7938" w:type="dxa"/>
            <w:gridSpan w:val="6"/>
            <w:tcBorders>
              <w:top w:val="single" w:sz="4" w:space="0" w:color="auto"/>
              <w:left w:val="single" w:sz="4" w:space="0" w:color="auto"/>
              <w:bottom w:val="single" w:sz="4" w:space="0" w:color="auto"/>
              <w:right w:val="single" w:sz="4" w:space="0" w:color="auto"/>
            </w:tcBorders>
          </w:tcPr>
          <w:p w:rsidR="000C7BE2" w:rsidRPr="00632EF3" w:rsidRDefault="000C7BE2" w:rsidP="00AA291E">
            <w:pPr>
              <w:rPr>
                <w:rFonts w:ascii="Arial Narrow" w:eastAsia="Calibri" w:hAnsi="Arial Narrow" w:cs="Arial"/>
                <w:color w:val="FF00FF"/>
                <w:sz w:val="18"/>
                <w:szCs w:val="18"/>
              </w:rPr>
            </w:pPr>
            <w:r w:rsidRPr="00632EF3">
              <w:rPr>
                <w:rFonts w:ascii="Arial Narrow" w:hAnsi="Arial Narrow" w:cs="Arial"/>
                <w:b/>
                <w:sz w:val="18"/>
                <w:szCs w:val="18"/>
              </w:rPr>
              <w:t xml:space="preserve">Restriction type: </w:t>
            </w:r>
            <w:r w:rsidRPr="00DC1FDA">
              <w:rPr>
                <w:rFonts w:ascii="Arial Narrow" w:eastAsia="Calibri" w:hAnsi="Arial Narrow" w:cs="Arial"/>
                <w:sz w:val="18"/>
                <w:szCs w:val="18"/>
              </w:rPr>
              <w:fldChar w:fldCharType="begin">
                <w:ffData>
                  <w:name w:val=""/>
                  <w:enabled/>
                  <w:calcOnExit w:val="0"/>
                  <w:checkBox>
                    <w:sizeAuto/>
                    <w:default w:val="1"/>
                  </w:checkBox>
                </w:ffData>
              </w:fldChar>
            </w:r>
            <w:r w:rsidRPr="00632EF3">
              <w:rPr>
                <w:rFonts w:ascii="Arial Narrow" w:eastAsia="Calibri" w:hAnsi="Arial Narrow" w:cs="Arial"/>
                <w:sz w:val="18"/>
                <w:szCs w:val="18"/>
              </w:rPr>
              <w:instrText xml:space="preserve"> FORMCHECKBOX </w:instrText>
            </w:r>
            <w:r w:rsidR="00AF1922">
              <w:rPr>
                <w:rFonts w:ascii="Arial Narrow" w:eastAsia="Calibri" w:hAnsi="Arial Narrow" w:cs="Arial"/>
                <w:sz w:val="18"/>
                <w:szCs w:val="18"/>
              </w:rPr>
            </w:r>
            <w:r w:rsidR="00AF1922">
              <w:rPr>
                <w:rFonts w:ascii="Arial Narrow" w:eastAsia="Calibri" w:hAnsi="Arial Narrow" w:cs="Arial"/>
                <w:sz w:val="18"/>
                <w:szCs w:val="18"/>
              </w:rPr>
              <w:fldChar w:fldCharType="separate"/>
            </w:r>
            <w:r w:rsidRPr="00DC1FDA">
              <w:rPr>
                <w:rFonts w:ascii="Arial Narrow" w:eastAsia="Calibri" w:hAnsi="Arial Narrow" w:cs="Arial"/>
                <w:sz w:val="18"/>
                <w:szCs w:val="18"/>
              </w:rPr>
              <w:fldChar w:fldCharType="end"/>
            </w:r>
            <w:r w:rsidRPr="00632EF3">
              <w:rPr>
                <w:rFonts w:ascii="Arial Narrow" w:eastAsia="Calibri" w:hAnsi="Arial Narrow" w:cs="Arial"/>
                <w:sz w:val="18"/>
                <w:szCs w:val="18"/>
              </w:rPr>
              <w:t xml:space="preserve"> Restricted benefit</w:t>
            </w:r>
          </w:p>
        </w:tc>
      </w:tr>
      <w:tr w:rsidR="000C7BE2" w:rsidRPr="00632EF3" w:rsidTr="00AA291E">
        <w:tblPrEx>
          <w:tblCellMar>
            <w:top w:w="15" w:type="dxa"/>
            <w:left w:w="15" w:type="dxa"/>
            <w:bottom w:w="15" w:type="dxa"/>
            <w:right w:w="15" w:type="dxa"/>
          </w:tblCellMar>
          <w:tblLook w:val="04A0" w:firstRow="1" w:lastRow="0" w:firstColumn="1" w:lastColumn="0" w:noHBand="0" w:noVBand="1"/>
        </w:tblPrEx>
        <w:trPr>
          <w:trHeight w:val="1286"/>
        </w:trPr>
        <w:tc>
          <w:tcPr>
            <w:tcW w:w="279" w:type="dxa"/>
            <w:vMerge w:val="restart"/>
            <w:tcBorders>
              <w:left w:val="single" w:sz="4" w:space="0" w:color="auto"/>
              <w:right w:val="single" w:sz="4" w:space="0" w:color="auto"/>
            </w:tcBorders>
            <w:textDirection w:val="btLr"/>
          </w:tcPr>
          <w:p w:rsidR="000C7BE2" w:rsidRPr="00632EF3" w:rsidRDefault="000C7BE2" w:rsidP="00AA291E">
            <w:pPr>
              <w:ind w:left="113" w:right="113"/>
              <w:jc w:val="center"/>
              <w:rPr>
                <w:rFonts w:ascii="Arial Narrow" w:hAnsi="Arial Narrow" w:cs="Arial"/>
                <w:sz w:val="18"/>
                <w:szCs w:val="18"/>
              </w:rPr>
            </w:pPr>
          </w:p>
        </w:tc>
        <w:tc>
          <w:tcPr>
            <w:tcW w:w="992" w:type="dxa"/>
            <w:tcBorders>
              <w:left w:val="single" w:sz="4" w:space="0" w:color="auto"/>
              <w:right w:val="single" w:sz="4" w:space="0" w:color="auto"/>
            </w:tcBorders>
          </w:tcPr>
          <w:p w:rsidR="000C7BE2" w:rsidRPr="00632EF3" w:rsidRDefault="000C7BE2" w:rsidP="00AA291E">
            <w:pPr>
              <w:jc w:val="center"/>
              <w:rPr>
                <w:rFonts w:ascii="Arial Narrow" w:hAnsi="Arial Narrow" w:cs="Arial"/>
                <w:sz w:val="18"/>
                <w:szCs w:val="18"/>
              </w:rPr>
            </w:pPr>
          </w:p>
        </w:tc>
        <w:tc>
          <w:tcPr>
            <w:tcW w:w="7938" w:type="dxa"/>
            <w:gridSpan w:val="6"/>
            <w:tcBorders>
              <w:top w:val="single" w:sz="4" w:space="0" w:color="auto"/>
              <w:left w:val="single" w:sz="4" w:space="0" w:color="auto"/>
              <w:right w:val="single" w:sz="4" w:space="0" w:color="auto"/>
            </w:tcBorders>
          </w:tcPr>
          <w:p w:rsidR="000C7BE2" w:rsidRPr="00632EF3" w:rsidRDefault="000C7BE2" w:rsidP="00AA291E">
            <w:pPr>
              <w:rPr>
                <w:rFonts w:ascii="Arial Narrow" w:hAnsi="Arial Narrow"/>
                <w:bCs/>
                <w:color w:val="FF00FF"/>
                <w:sz w:val="18"/>
                <w:szCs w:val="18"/>
                <w:lang w:eastAsia="en-AU"/>
              </w:rPr>
            </w:pPr>
            <w:r w:rsidRPr="00632EF3">
              <w:rPr>
                <w:rFonts w:ascii="Arial Narrow" w:hAnsi="Arial Narrow"/>
                <w:b/>
                <w:bCs/>
                <w:color w:val="333333"/>
                <w:sz w:val="18"/>
                <w:szCs w:val="18"/>
                <w:lang w:eastAsia="en-AU"/>
              </w:rPr>
              <w:t xml:space="preserve">Administrative Advice: </w:t>
            </w:r>
          </w:p>
          <w:p w:rsidR="000C7BE2" w:rsidRPr="00632EF3" w:rsidRDefault="000C7BE2" w:rsidP="00AA291E">
            <w:pPr>
              <w:rPr>
                <w:rFonts w:ascii="Arial Narrow" w:hAnsi="Arial Narrow"/>
                <w:b/>
                <w:bCs/>
                <w:color w:val="333333"/>
                <w:sz w:val="18"/>
                <w:szCs w:val="18"/>
                <w:lang w:eastAsia="en-AU"/>
              </w:rPr>
            </w:pPr>
            <w:r w:rsidRPr="00632EF3">
              <w:rPr>
                <w:rFonts w:ascii="Arial Narrow" w:hAnsi="Arial Narrow"/>
                <w:b/>
                <w:bCs/>
                <w:color w:val="333333"/>
                <w:sz w:val="18"/>
                <w:szCs w:val="18"/>
                <w:lang w:eastAsia="en-AU"/>
              </w:rPr>
              <w:t>Biosimilar prescribing policy</w:t>
            </w:r>
          </w:p>
          <w:p w:rsidR="000C7BE2" w:rsidRPr="00632EF3" w:rsidRDefault="000C7BE2" w:rsidP="00AA291E">
            <w:pPr>
              <w:rPr>
                <w:rFonts w:ascii="Arial Narrow" w:hAnsi="Arial Narrow"/>
                <w:bCs/>
                <w:color w:val="333333"/>
                <w:sz w:val="18"/>
                <w:szCs w:val="18"/>
                <w:lang w:eastAsia="en-AU"/>
              </w:rPr>
            </w:pPr>
            <w:r w:rsidRPr="00632EF3">
              <w:rPr>
                <w:rFonts w:ascii="Arial Narrow" w:hAnsi="Arial Narrow"/>
                <w:bCs/>
                <w:color w:val="333333"/>
                <w:sz w:val="18"/>
                <w:szCs w:val="18"/>
                <w:lang w:eastAsia="en-AU"/>
              </w:rPr>
              <w:t xml:space="preserve">Prescribing of the biosimilar brand, </w:t>
            </w:r>
            <w:r w:rsidR="001B1C33" w:rsidRPr="00632EF3">
              <w:rPr>
                <w:rFonts w:ascii="Arial Narrow" w:hAnsi="Arial Narrow"/>
                <w:bCs/>
                <w:color w:val="333333"/>
                <w:sz w:val="18"/>
                <w:szCs w:val="18"/>
                <w:lang w:eastAsia="en-AU"/>
              </w:rPr>
              <w:t xml:space="preserve">Bemfola or </w:t>
            </w:r>
            <w:r w:rsidRPr="00632EF3">
              <w:rPr>
                <w:rFonts w:ascii="Arial Narrow" w:hAnsi="Arial Narrow"/>
                <w:bCs/>
                <w:color w:val="333333"/>
                <w:sz w:val="18"/>
                <w:szCs w:val="18"/>
                <w:lang w:eastAsia="en-AU"/>
              </w:rPr>
              <w:t xml:space="preserve">Ovaleap, is </w:t>
            </w:r>
            <w:r w:rsidRPr="008F214B">
              <w:rPr>
                <w:rFonts w:ascii="Arial Narrow" w:hAnsi="Arial Narrow"/>
                <w:bCs/>
                <w:color w:val="333333"/>
                <w:sz w:val="18"/>
                <w:szCs w:val="18"/>
                <w:lang w:eastAsia="en-AU"/>
              </w:rPr>
              <w:t>encouraged for treatment naive patients.</w:t>
            </w:r>
          </w:p>
          <w:p w:rsidR="000C7BE2" w:rsidRPr="00632EF3" w:rsidRDefault="000C7BE2" w:rsidP="00AA291E">
            <w:pPr>
              <w:rPr>
                <w:rFonts w:ascii="Arial Narrow" w:hAnsi="Arial Narrow" w:cs="Arial"/>
                <w:b/>
                <w:sz w:val="18"/>
                <w:szCs w:val="18"/>
              </w:rPr>
            </w:pPr>
            <w:r w:rsidRPr="00632EF3">
              <w:rPr>
                <w:rFonts w:ascii="Arial Narrow" w:hAnsi="Arial Narrow"/>
                <w:bCs/>
                <w:color w:val="333333"/>
                <w:sz w:val="18"/>
                <w:szCs w:val="18"/>
                <w:lang w:eastAsia="en-AU"/>
              </w:rPr>
              <w:t>Encouraging biosimilar prescribing for treatment naive patients is Government policy. A viable biosimilar market is expected to result in reduced costs for biological medicines, allowing the Government to reinvest in new treatments. Further information can be found on the Biosimilar Awareness Initiative webpage (www.health.gov.au/biosimilars).</w:t>
            </w:r>
          </w:p>
        </w:tc>
      </w:tr>
      <w:tr w:rsidR="000C7BE2" w:rsidRPr="00632EF3" w:rsidTr="00AA291E">
        <w:tblPrEx>
          <w:tblCellMar>
            <w:top w:w="15" w:type="dxa"/>
            <w:left w:w="15" w:type="dxa"/>
            <w:bottom w:w="15" w:type="dxa"/>
            <w:right w:w="15" w:type="dxa"/>
          </w:tblCellMar>
          <w:tblLook w:val="04A0" w:firstRow="1" w:lastRow="0" w:firstColumn="1" w:lastColumn="0" w:noHBand="0" w:noVBand="1"/>
        </w:tblPrEx>
        <w:tc>
          <w:tcPr>
            <w:tcW w:w="279" w:type="dxa"/>
            <w:vMerge/>
            <w:tcBorders>
              <w:left w:val="single" w:sz="4" w:space="0" w:color="auto"/>
              <w:right w:val="single" w:sz="4" w:space="0" w:color="auto"/>
            </w:tcBorders>
            <w:vAlign w:val="center"/>
          </w:tcPr>
          <w:p w:rsidR="000C7BE2" w:rsidRPr="00632EF3" w:rsidRDefault="000C7BE2" w:rsidP="00AA291E">
            <w:pPr>
              <w:jc w:val="center"/>
              <w:rPr>
                <w:rFonts w:ascii="Arial Narrow" w:hAnsi="Arial Narrow"/>
                <w:color w:val="333333"/>
                <w:sz w:val="18"/>
                <w:szCs w:val="18"/>
                <w:lang w:eastAsia="en-AU"/>
              </w:rPr>
            </w:pPr>
          </w:p>
        </w:tc>
        <w:tc>
          <w:tcPr>
            <w:tcW w:w="992" w:type="dxa"/>
            <w:tcBorders>
              <w:left w:val="single" w:sz="4" w:space="0" w:color="auto"/>
            </w:tcBorders>
            <w:vAlign w:val="center"/>
          </w:tcPr>
          <w:p w:rsidR="000C7BE2" w:rsidRPr="00632EF3" w:rsidRDefault="000C7BE2" w:rsidP="00AA291E">
            <w:pPr>
              <w:jc w:val="center"/>
              <w:rPr>
                <w:rFonts w:ascii="Arial Narrow" w:hAnsi="Arial Narrow"/>
                <w:color w:val="333333"/>
                <w:sz w:val="18"/>
                <w:szCs w:val="18"/>
                <w:lang w:eastAsia="en-AU"/>
              </w:rPr>
            </w:pPr>
          </w:p>
        </w:tc>
        <w:tc>
          <w:tcPr>
            <w:tcW w:w="7938" w:type="dxa"/>
            <w:gridSpan w:val="6"/>
            <w:vAlign w:val="center"/>
          </w:tcPr>
          <w:p w:rsidR="000C7BE2" w:rsidRPr="00632EF3" w:rsidRDefault="000C7BE2" w:rsidP="00AA291E">
            <w:pPr>
              <w:rPr>
                <w:rFonts w:ascii="Arial Narrow" w:hAnsi="Arial Narrow"/>
                <w:b/>
                <w:bCs/>
                <w:color w:val="333333"/>
                <w:sz w:val="18"/>
                <w:szCs w:val="18"/>
                <w:lang w:eastAsia="en-AU"/>
              </w:rPr>
            </w:pPr>
            <w:r w:rsidRPr="00632EF3">
              <w:rPr>
                <w:rFonts w:ascii="Arial Narrow" w:hAnsi="Arial Narrow"/>
                <w:b/>
                <w:bCs/>
                <w:color w:val="333333"/>
                <w:sz w:val="18"/>
                <w:szCs w:val="18"/>
                <w:lang w:eastAsia="en-AU"/>
              </w:rPr>
              <w:t>Administrative Advice:</w:t>
            </w:r>
          </w:p>
          <w:p w:rsidR="000C7BE2" w:rsidRPr="00632EF3" w:rsidRDefault="000C7BE2" w:rsidP="00AA291E">
            <w:pPr>
              <w:rPr>
                <w:rFonts w:ascii="Arial Narrow" w:hAnsi="Arial Narrow"/>
                <w:bCs/>
                <w:color w:val="333333"/>
                <w:sz w:val="18"/>
                <w:szCs w:val="18"/>
                <w:lang w:eastAsia="en-AU"/>
              </w:rPr>
            </w:pPr>
            <w:r w:rsidRPr="00632EF3">
              <w:rPr>
                <w:rFonts w:ascii="Arial Narrow" w:hAnsi="Arial Narrow"/>
                <w:bCs/>
                <w:color w:val="333333"/>
                <w:sz w:val="18"/>
                <w:szCs w:val="18"/>
                <w:lang w:eastAsia="en-AU"/>
              </w:rPr>
              <w:t>Pharmaceutical benefits that have the form follitropin alfa cartridge (Ovaleap) and pharmaceutical benefits that have the form follitropin alfa single pen device (Gonal-f Pen)</w:t>
            </w:r>
            <w:r w:rsidR="002D6346" w:rsidRPr="00632EF3">
              <w:rPr>
                <w:rFonts w:ascii="Arial Narrow" w:hAnsi="Arial Narrow"/>
                <w:bCs/>
                <w:color w:val="333333"/>
                <w:sz w:val="18"/>
                <w:szCs w:val="18"/>
                <w:lang w:eastAsia="en-AU"/>
              </w:rPr>
              <w:t>, in the same corresponding strength,</w:t>
            </w:r>
            <w:r w:rsidRPr="00632EF3">
              <w:rPr>
                <w:rFonts w:ascii="Arial Narrow" w:hAnsi="Arial Narrow"/>
                <w:bCs/>
                <w:color w:val="333333"/>
                <w:sz w:val="18"/>
                <w:szCs w:val="18"/>
                <w:lang w:eastAsia="en-AU"/>
              </w:rPr>
              <w:t xml:space="preserve"> are equivalent for the purposes of substitution.</w:t>
            </w:r>
          </w:p>
          <w:p w:rsidR="000C7BE2" w:rsidRPr="00632EF3" w:rsidRDefault="000C7BE2" w:rsidP="00AA291E">
            <w:pPr>
              <w:rPr>
                <w:rFonts w:ascii="Arial Narrow" w:hAnsi="Arial Narrow"/>
                <w:bCs/>
                <w:color w:val="333333"/>
                <w:sz w:val="18"/>
                <w:szCs w:val="18"/>
                <w:lang w:eastAsia="en-AU"/>
              </w:rPr>
            </w:pPr>
          </w:p>
          <w:p w:rsidR="000C7BE2" w:rsidRPr="00632EF3" w:rsidRDefault="000C7BE2" w:rsidP="00AA291E">
            <w:pPr>
              <w:rPr>
                <w:rFonts w:ascii="Arial Narrow" w:hAnsi="Arial Narrow"/>
                <w:bCs/>
                <w:color w:val="333333"/>
                <w:sz w:val="18"/>
                <w:szCs w:val="18"/>
                <w:lang w:eastAsia="en-AU"/>
              </w:rPr>
            </w:pPr>
            <w:r w:rsidRPr="00632EF3">
              <w:rPr>
                <w:rFonts w:ascii="Arial Narrow" w:hAnsi="Arial Narrow"/>
                <w:bCs/>
                <w:color w:val="333333"/>
                <w:sz w:val="18"/>
                <w:szCs w:val="18"/>
                <w:lang w:eastAsia="en-AU"/>
              </w:rPr>
              <w:t xml:space="preserve">Where the Ovaleap brand is supplied, the separate pen device is to be supplied </w:t>
            </w:r>
            <w:r w:rsidR="00313DEE" w:rsidRPr="00632EF3">
              <w:rPr>
                <w:rFonts w:ascii="Arial Narrow" w:hAnsi="Arial Narrow"/>
                <w:bCs/>
                <w:color w:val="333333"/>
                <w:sz w:val="18"/>
                <w:szCs w:val="18"/>
                <w:lang w:eastAsia="en-AU"/>
              </w:rPr>
              <w:t>to the patient</w:t>
            </w:r>
            <w:r w:rsidRPr="00632EF3">
              <w:rPr>
                <w:rFonts w:ascii="Arial Narrow" w:hAnsi="Arial Narrow"/>
                <w:bCs/>
                <w:color w:val="333333"/>
                <w:sz w:val="18"/>
                <w:szCs w:val="18"/>
                <w:lang w:eastAsia="en-AU"/>
              </w:rPr>
              <w:t xml:space="preserve"> where required</w:t>
            </w:r>
            <w:r w:rsidR="00313DEE" w:rsidRPr="00632EF3">
              <w:rPr>
                <w:rFonts w:ascii="Arial Narrow" w:hAnsi="Arial Narrow"/>
                <w:bCs/>
                <w:color w:val="333333"/>
                <w:sz w:val="18"/>
                <w:szCs w:val="18"/>
                <w:lang w:eastAsia="en-AU"/>
              </w:rPr>
              <w:t xml:space="preserve"> as it is not packaged with the cartridges</w:t>
            </w:r>
            <w:r w:rsidRPr="00632EF3">
              <w:rPr>
                <w:rFonts w:ascii="Arial Narrow" w:hAnsi="Arial Narrow"/>
                <w:bCs/>
                <w:color w:val="333333"/>
                <w:sz w:val="18"/>
                <w:szCs w:val="18"/>
                <w:lang w:eastAsia="en-AU"/>
              </w:rPr>
              <w:t>. The pen device for the Ovaleap brand can be obtained by contacting the pharmaceutical wholesaler, or, the sponsor directly.</w:t>
            </w:r>
          </w:p>
        </w:tc>
      </w:tr>
      <w:bookmarkEnd w:id="7"/>
      <w:tr w:rsidR="000C7BE2" w:rsidRPr="00632EF3" w:rsidTr="00AA291E">
        <w:tblPrEx>
          <w:tblCellMar>
            <w:top w:w="15" w:type="dxa"/>
            <w:left w:w="15" w:type="dxa"/>
            <w:bottom w:w="15" w:type="dxa"/>
            <w:right w:w="15" w:type="dxa"/>
          </w:tblCellMar>
          <w:tblLook w:val="04A0" w:firstRow="1" w:lastRow="0" w:firstColumn="1" w:lastColumn="0" w:noHBand="0" w:noVBand="1"/>
        </w:tblPrEx>
        <w:tc>
          <w:tcPr>
            <w:tcW w:w="1271" w:type="dxa"/>
            <w:gridSpan w:val="2"/>
            <w:vAlign w:val="center"/>
          </w:tcPr>
          <w:p w:rsidR="000C7BE2" w:rsidRPr="00632EF3" w:rsidRDefault="000C7BE2" w:rsidP="00AA291E">
            <w:pPr>
              <w:jc w:val="center"/>
              <w:rPr>
                <w:rFonts w:ascii="Arial Narrow" w:hAnsi="Arial Narrow"/>
                <w:color w:val="333333"/>
                <w:sz w:val="18"/>
                <w:szCs w:val="18"/>
                <w:lang w:eastAsia="en-AU"/>
              </w:rPr>
            </w:pPr>
          </w:p>
        </w:tc>
        <w:tc>
          <w:tcPr>
            <w:tcW w:w="7938" w:type="dxa"/>
            <w:gridSpan w:val="6"/>
            <w:vAlign w:val="center"/>
            <w:hideMark/>
          </w:tcPr>
          <w:p w:rsidR="000C7BE2" w:rsidRPr="00632EF3" w:rsidRDefault="000C7BE2" w:rsidP="00AA291E">
            <w:pPr>
              <w:rPr>
                <w:rFonts w:ascii="Arial Narrow" w:hAnsi="Arial Narrow"/>
                <w:color w:val="333333"/>
                <w:sz w:val="18"/>
                <w:szCs w:val="18"/>
                <w:lang w:eastAsia="en-AU"/>
              </w:rPr>
            </w:pPr>
            <w:r w:rsidRPr="00632EF3">
              <w:rPr>
                <w:rFonts w:ascii="Arial Narrow" w:hAnsi="Arial Narrow"/>
                <w:b/>
                <w:bCs/>
                <w:color w:val="333333"/>
                <w:sz w:val="18"/>
                <w:szCs w:val="18"/>
                <w:lang w:eastAsia="en-AU"/>
              </w:rPr>
              <w:t>Indication:</w:t>
            </w:r>
            <w:r w:rsidRPr="00632EF3">
              <w:rPr>
                <w:rFonts w:ascii="Arial Narrow" w:hAnsi="Arial Narrow"/>
                <w:color w:val="333333"/>
                <w:sz w:val="18"/>
                <w:szCs w:val="18"/>
                <w:lang w:eastAsia="en-AU"/>
              </w:rPr>
              <w:t xml:space="preserve"> Anovulatory infertility</w:t>
            </w:r>
          </w:p>
        </w:tc>
      </w:tr>
      <w:tr w:rsidR="000C7BE2" w:rsidRPr="00632EF3" w:rsidTr="00AA291E">
        <w:tblPrEx>
          <w:tblCellMar>
            <w:top w:w="15" w:type="dxa"/>
            <w:left w:w="15" w:type="dxa"/>
            <w:bottom w:w="15" w:type="dxa"/>
            <w:right w:w="15" w:type="dxa"/>
          </w:tblCellMar>
          <w:tblLook w:val="04A0" w:firstRow="1" w:lastRow="0" w:firstColumn="1" w:lastColumn="0" w:noHBand="0" w:noVBand="1"/>
        </w:tblPrEx>
        <w:tc>
          <w:tcPr>
            <w:tcW w:w="1271" w:type="dxa"/>
            <w:gridSpan w:val="2"/>
            <w:vAlign w:val="center"/>
          </w:tcPr>
          <w:p w:rsidR="000C7BE2" w:rsidRPr="00632EF3" w:rsidRDefault="000C7BE2" w:rsidP="00AA291E">
            <w:pPr>
              <w:jc w:val="center"/>
              <w:rPr>
                <w:rFonts w:ascii="Arial Narrow" w:hAnsi="Arial Narrow"/>
                <w:color w:val="333333"/>
                <w:sz w:val="18"/>
                <w:szCs w:val="18"/>
                <w:lang w:eastAsia="en-AU"/>
              </w:rPr>
            </w:pPr>
          </w:p>
        </w:tc>
        <w:tc>
          <w:tcPr>
            <w:tcW w:w="7938" w:type="dxa"/>
            <w:gridSpan w:val="6"/>
            <w:vAlign w:val="center"/>
            <w:hideMark/>
          </w:tcPr>
          <w:p w:rsidR="000C7BE2" w:rsidRPr="00632EF3" w:rsidRDefault="000C7BE2" w:rsidP="00AA291E">
            <w:pPr>
              <w:rPr>
                <w:rFonts w:ascii="Arial Narrow" w:hAnsi="Arial Narrow"/>
                <w:sz w:val="18"/>
                <w:szCs w:val="18"/>
                <w:lang w:eastAsia="en-AU"/>
              </w:rPr>
            </w:pPr>
            <w:r w:rsidRPr="00632EF3">
              <w:rPr>
                <w:rFonts w:ascii="Arial Narrow" w:hAnsi="Arial Narrow"/>
                <w:b/>
                <w:bCs/>
                <w:sz w:val="18"/>
                <w:szCs w:val="18"/>
                <w:lang w:eastAsia="en-AU"/>
              </w:rPr>
              <w:t>Administrative Advice:</w:t>
            </w:r>
          </w:p>
          <w:p w:rsidR="000C7BE2" w:rsidRPr="00632EF3" w:rsidRDefault="000C7BE2" w:rsidP="00AA291E">
            <w:pPr>
              <w:rPr>
                <w:rFonts w:ascii="Arial Narrow" w:hAnsi="Arial Narrow"/>
                <w:color w:val="FF00FF"/>
                <w:sz w:val="18"/>
                <w:szCs w:val="18"/>
                <w:lang w:eastAsia="en-AU"/>
              </w:rPr>
            </w:pPr>
            <w:r w:rsidRPr="00632EF3">
              <w:rPr>
                <w:rFonts w:ascii="Arial Narrow" w:hAnsi="Arial Narrow"/>
                <w:sz w:val="18"/>
                <w:szCs w:val="18"/>
                <w:lang w:eastAsia="en-AU"/>
              </w:rPr>
              <w:t>Except in cases of hypopituitarism or primary amenorrhoea, the patient should have been adequately treated with clomifene citrate and/or gonadorelin and failed to have conceived.</w:t>
            </w:r>
          </w:p>
        </w:tc>
      </w:tr>
      <w:tr w:rsidR="000C7BE2" w:rsidRPr="00632EF3" w:rsidTr="00AA291E">
        <w:tblPrEx>
          <w:tblCellMar>
            <w:top w:w="15" w:type="dxa"/>
            <w:left w:w="15" w:type="dxa"/>
            <w:bottom w:w="15" w:type="dxa"/>
            <w:right w:w="15" w:type="dxa"/>
          </w:tblCellMar>
          <w:tblLook w:val="04A0" w:firstRow="1" w:lastRow="0" w:firstColumn="1" w:lastColumn="0" w:noHBand="0" w:noVBand="1"/>
        </w:tblPrEx>
        <w:tc>
          <w:tcPr>
            <w:tcW w:w="1271" w:type="dxa"/>
            <w:gridSpan w:val="2"/>
            <w:vAlign w:val="center"/>
          </w:tcPr>
          <w:p w:rsidR="000C7BE2" w:rsidRPr="00632EF3" w:rsidRDefault="000C7BE2" w:rsidP="00AA291E">
            <w:pPr>
              <w:jc w:val="center"/>
              <w:rPr>
                <w:rFonts w:ascii="Arial Narrow" w:hAnsi="Arial Narrow"/>
                <w:color w:val="333333"/>
                <w:sz w:val="18"/>
                <w:szCs w:val="18"/>
                <w:lang w:eastAsia="en-AU"/>
              </w:rPr>
            </w:pPr>
          </w:p>
        </w:tc>
        <w:tc>
          <w:tcPr>
            <w:tcW w:w="7938" w:type="dxa"/>
            <w:gridSpan w:val="6"/>
            <w:vAlign w:val="center"/>
            <w:hideMark/>
          </w:tcPr>
          <w:p w:rsidR="000C7BE2" w:rsidRPr="00632EF3" w:rsidRDefault="000C7BE2" w:rsidP="00AA291E">
            <w:pPr>
              <w:rPr>
                <w:rFonts w:ascii="Arial Narrow" w:hAnsi="Arial Narrow"/>
                <w:b/>
                <w:color w:val="333333"/>
                <w:sz w:val="18"/>
                <w:szCs w:val="18"/>
                <w:lang w:eastAsia="en-AU"/>
              </w:rPr>
            </w:pPr>
            <w:r w:rsidRPr="00632EF3">
              <w:rPr>
                <w:rFonts w:ascii="Arial Narrow" w:hAnsi="Arial Narrow"/>
                <w:b/>
                <w:color w:val="333333"/>
                <w:sz w:val="18"/>
                <w:szCs w:val="18"/>
                <w:lang w:eastAsia="en-AU"/>
              </w:rPr>
              <w:t>Administrative Advice:</w:t>
            </w:r>
          </w:p>
          <w:p w:rsidR="000C7BE2" w:rsidRPr="00632EF3" w:rsidRDefault="000C7BE2" w:rsidP="00AA291E">
            <w:pPr>
              <w:rPr>
                <w:rFonts w:ascii="Arial Narrow" w:hAnsi="Arial Narrow"/>
                <w:color w:val="333333"/>
                <w:sz w:val="18"/>
                <w:szCs w:val="18"/>
                <w:lang w:eastAsia="en-AU"/>
              </w:rPr>
            </w:pPr>
            <w:r w:rsidRPr="00632EF3">
              <w:rPr>
                <w:rFonts w:ascii="Arial Narrow" w:hAnsi="Arial Narrow"/>
                <w:color w:val="333333"/>
                <w:sz w:val="18"/>
                <w:szCs w:val="18"/>
                <w:lang w:eastAsia="en-AU"/>
              </w:rPr>
              <w:t>Women who have had apparent ovulation induced by other agents and have failed to conceive should have laparoscopic evidence that there is no other impediment to conception.</w:t>
            </w:r>
          </w:p>
        </w:tc>
      </w:tr>
      <w:tr w:rsidR="000C7BE2" w:rsidRPr="00632EF3" w:rsidTr="00AA291E">
        <w:tblPrEx>
          <w:tblCellMar>
            <w:top w:w="15" w:type="dxa"/>
            <w:left w:w="15" w:type="dxa"/>
            <w:bottom w:w="15" w:type="dxa"/>
            <w:right w:w="15" w:type="dxa"/>
          </w:tblCellMar>
          <w:tblLook w:val="04A0" w:firstRow="1" w:lastRow="0" w:firstColumn="1" w:lastColumn="0" w:noHBand="0" w:noVBand="1"/>
        </w:tblPrEx>
        <w:tc>
          <w:tcPr>
            <w:tcW w:w="1271" w:type="dxa"/>
            <w:gridSpan w:val="2"/>
            <w:vAlign w:val="center"/>
          </w:tcPr>
          <w:p w:rsidR="000C7BE2" w:rsidRPr="00632EF3" w:rsidRDefault="000C7BE2" w:rsidP="00AA291E">
            <w:pPr>
              <w:jc w:val="center"/>
              <w:rPr>
                <w:rFonts w:ascii="Arial Narrow" w:hAnsi="Arial Narrow"/>
                <w:color w:val="333333"/>
                <w:sz w:val="18"/>
                <w:szCs w:val="18"/>
                <w:lang w:eastAsia="en-AU"/>
              </w:rPr>
            </w:pPr>
          </w:p>
        </w:tc>
        <w:tc>
          <w:tcPr>
            <w:tcW w:w="7938" w:type="dxa"/>
            <w:gridSpan w:val="6"/>
            <w:vAlign w:val="center"/>
          </w:tcPr>
          <w:p w:rsidR="000C7BE2" w:rsidRPr="00632EF3" w:rsidRDefault="000C7BE2" w:rsidP="00AA291E">
            <w:pPr>
              <w:rPr>
                <w:rFonts w:ascii="Arial Narrow" w:hAnsi="Arial Narrow"/>
                <w:b/>
                <w:color w:val="333333"/>
                <w:sz w:val="18"/>
                <w:szCs w:val="18"/>
                <w:lang w:eastAsia="en-AU"/>
              </w:rPr>
            </w:pPr>
            <w:r w:rsidRPr="00632EF3">
              <w:rPr>
                <w:rFonts w:ascii="Arial Narrow" w:hAnsi="Arial Narrow"/>
                <w:b/>
                <w:bCs/>
                <w:color w:val="333333"/>
                <w:sz w:val="18"/>
                <w:szCs w:val="18"/>
                <w:lang w:eastAsia="en-AU"/>
              </w:rPr>
              <w:t>Administrative Advice:</w:t>
            </w:r>
          </w:p>
          <w:p w:rsidR="000C7BE2" w:rsidRPr="00632EF3" w:rsidRDefault="000C7BE2" w:rsidP="00AA291E">
            <w:pPr>
              <w:rPr>
                <w:rFonts w:ascii="Arial Narrow" w:hAnsi="Arial Narrow"/>
                <w:color w:val="333333"/>
                <w:sz w:val="18"/>
                <w:szCs w:val="18"/>
                <w:lang w:eastAsia="en-AU"/>
              </w:rPr>
            </w:pPr>
            <w:r w:rsidRPr="00632EF3">
              <w:rPr>
                <w:rFonts w:ascii="Arial Narrow" w:hAnsi="Arial Narrow"/>
                <w:color w:val="333333"/>
                <w:sz w:val="18"/>
                <w:szCs w:val="18"/>
                <w:lang w:eastAsia="en-AU"/>
              </w:rPr>
              <w:t>Oligomenorrhoea should have been present for at least twelve months or amenorrhoea for at least six months prior to treatment.</w:t>
            </w:r>
          </w:p>
        </w:tc>
      </w:tr>
      <w:tr w:rsidR="000C7BE2" w:rsidRPr="00632EF3" w:rsidTr="00AA291E">
        <w:tblPrEx>
          <w:tblCellMar>
            <w:top w:w="15" w:type="dxa"/>
            <w:left w:w="15" w:type="dxa"/>
            <w:bottom w:w="15" w:type="dxa"/>
            <w:right w:w="15" w:type="dxa"/>
          </w:tblCellMar>
          <w:tblLook w:val="04A0" w:firstRow="1" w:lastRow="0" w:firstColumn="1" w:lastColumn="0" w:noHBand="0" w:noVBand="1"/>
        </w:tblPrEx>
        <w:tc>
          <w:tcPr>
            <w:tcW w:w="1271" w:type="dxa"/>
            <w:gridSpan w:val="2"/>
            <w:vAlign w:val="center"/>
          </w:tcPr>
          <w:p w:rsidR="000C7BE2" w:rsidRPr="00632EF3" w:rsidRDefault="000C7BE2" w:rsidP="00AA291E">
            <w:pPr>
              <w:jc w:val="center"/>
              <w:rPr>
                <w:rFonts w:ascii="Arial Narrow" w:hAnsi="Arial Narrow"/>
                <w:color w:val="333333"/>
                <w:sz w:val="18"/>
                <w:szCs w:val="18"/>
                <w:lang w:eastAsia="en-AU"/>
              </w:rPr>
            </w:pPr>
          </w:p>
        </w:tc>
        <w:tc>
          <w:tcPr>
            <w:tcW w:w="7938" w:type="dxa"/>
            <w:gridSpan w:val="6"/>
            <w:vAlign w:val="center"/>
          </w:tcPr>
          <w:p w:rsidR="000C7BE2" w:rsidRPr="00632EF3" w:rsidRDefault="000C7BE2" w:rsidP="00AA291E">
            <w:pPr>
              <w:rPr>
                <w:rFonts w:ascii="Arial Narrow" w:hAnsi="Arial Narrow"/>
                <w:b/>
                <w:color w:val="333333"/>
                <w:sz w:val="18"/>
                <w:szCs w:val="18"/>
                <w:lang w:eastAsia="en-AU"/>
              </w:rPr>
            </w:pPr>
            <w:r w:rsidRPr="00632EF3">
              <w:rPr>
                <w:rFonts w:ascii="Arial Narrow" w:hAnsi="Arial Narrow"/>
                <w:b/>
                <w:bCs/>
                <w:color w:val="333333"/>
                <w:sz w:val="18"/>
                <w:szCs w:val="18"/>
                <w:lang w:eastAsia="en-AU"/>
              </w:rPr>
              <w:t>Administrative Advice:</w:t>
            </w:r>
          </w:p>
          <w:p w:rsidR="000C7BE2" w:rsidRPr="00632EF3" w:rsidRDefault="000C7BE2" w:rsidP="00AA291E">
            <w:pPr>
              <w:rPr>
                <w:rFonts w:ascii="Arial Narrow" w:hAnsi="Arial Narrow"/>
                <w:color w:val="333333"/>
                <w:sz w:val="18"/>
                <w:szCs w:val="18"/>
                <w:lang w:eastAsia="en-AU"/>
              </w:rPr>
            </w:pPr>
            <w:r w:rsidRPr="00632EF3">
              <w:rPr>
                <w:rFonts w:ascii="Arial Narrow" w:hAnsi="Arial Narrow"/>
                <w:color w:val="333333"/>
                <w:sz w:val="18"/>
                <w:szCs w:val="18"/>
                <w:lang w:eastAsia="en-AU"/>
              </w:rPr>
              <w:t>Patients with hyperprolactinaemia should have had appropriate surgical or medical treatment prior to treatment.</w:t>
            </w:r>
          </w:p>
        </w:tc>
      </w:tr>
      <w:tr w:rsidR="000C7BE2" w:rsidRPr="00632EF3" w:rsidTr="00AA291E">
        <w:tblPrEx>
          <w:tblCellMar>
            <w:top w:w="15" w:type="dxa"/>
            <w:left w:w="15" w:type="dxa"/>
            <w:bottom w:w="15" w:type="dxa"/>
            <w:right w:w="15" w:type="dxa"/>
          </w:tblCellMar>
          <w:tblLook w:val="04A0" w:firstRow="1" w:lastRow="0" w:firstColumn="1" w:lastColumn="0" w:noHBand="0" w:noVBand="1"/>
        </w:tblPrEx>
        <w:tc>
          <w:tcPr>
            <w:tcW w:w="9209" w:type="dxa"/>
            <w:gridSpan w:val="8"/>
            <w:vAlign w:val="center"/>
          </w:tcPr>
          <w:p w:rsidR="000C7BE2" w:rsidRPr="00632EF3" w:rsidRDefault="000C7BE2" w:rsidP="00AA291E">
            <w:pPr>
              <w:rPr>
                <w:rFonts w:ascii="Arial Narrow" w:hAnsi="Arial Narrow"/>
                <w:b/>
                <w:bCs/>
                <w:color w:val="333333"/>
                <w:sz w:val="18"/>
                <w:szCs w:val="18"/>
                <w:lang w:eastAsia="en-AU"/>
              </w:rPr>
            </w:pPr>
          </w:p>
          <w:p w:rsidR="000C7BE2" w:rsidRPr="00632EF3" w:rsidRDefault="000C7BE2" w:rsidP="00AA291E">
            <w:pPr>
              <w:rPr>
                <w:rFonts w:ascii="Arial Narrow" w:hAnsi="Arial Narrow"/>
                <w:b/>
                <w:bCs/>
                <w:color w:val="333333"/>
                <w:sz w:val="18"/>
                <w:szCs w:val="18"/>
                <w:lang w:eastAsia="en-AU"/>
              </w:rPr>
            </w:pPr>
          </w:p>
        </w:tc>
      </w:tr>
      <w:tr w:rsidR="000C7BE2" w:rsidRPr="00632EF3" w:rsidTr="00AA291E">
        <w:tblPrEx>
          <w:tblCellMar>
            <w:top w:w="15" w:type="dxa"/>
            <w:left w:w="15" w:type="dxa"/>
            <w:bottom w:w="15" w:type="dxa"/>
            <w:right w:w="15" w:type="dxa"/>
          </w:tblCellMar>
          <w:tblLook w:val="04A0" w:firstRow="1" w:lastRow="0" w:firstColumn="1" w:lastColumn="0" w:noHBand="0" w:noVBand="1"/>
        </w:tblPrEx>
        <w:tc>
          <w:tcPr>
            <w:tcW w:w="9209" w:type="dxa"/>
            <w:gridSpan w:val="8"/>
            <w:vAlign w:val="center"/>
          </w:tcPr>
          <w:p w:rsidR="000C7BE2" w:rsidRPr="00632EF3" w:rsidRDefault="000C7BE2" w:rsidP="00AA291E">
            <w:pPr>
              <w:rPr>
                <w:rFonts w:ascii="Arial Narrow" w:hAnsi="Arial Narrow"/>
                <w:b/>
                <w:bCs/>
                <w:color w:val="333333"/>
                <w:sz w:val="18"/>
                <w:szCs w:val="18"/>
                <w:lang w:eastAsia="en-AU"/>
              </w:rPr>
            </w:pPr>
            <w:r w:rsidRPr="00632EF3">
              <w:rPr>
                <w:rFonts w:ascii="Arial Narrow" w:hAnsi="Arial Narrow"/>
                <w:b/>
                <w:bCs/>
                <w:color w:val="333333"/>
                <w:sz w:val="18"/>
                <w:szCs w:val="18"/>
                <w:lang w:eastAsia="en-AU"/>
              </w:rPr>
              <w:t xml:space="preserve">Restriction Summary / Treatment of Concept: 6321 Restricted benefit </w:t>
            </w:r>
            <w:r w:rsidRPr="00632EF3">
              <w:rPr>
                <w:rFonts w:ascii="Arial Narrow" w:hAnsi="Arial Narrow"/>
                <w:bCs/>
                <w:i/>
                <w:color w:val="333333"/>
                <w:sz w:val="18"/>
                <w:szCs w:val="18"/>
                <w:lang w:eastAsia="en-AU"/>
              </w:rPr>
              <w:t xml:space="preserve">(as per Gonal-F brand as at 1 </w:t>
            </w:r>
            <w:r w:rsidR="00FB41AB" w:rsidRPr="00632EF3">
              <w:rPr>
                <w:rFonts w:ascii="Arial Narrow" w:hAnsi="Arial Narrow"/>
                <w:bCs/>
                <w:i/>
                <w:color w:val="333333"/>
                <w:sz w:val="18"/>
                <w:szCs w:val="18"/>
                <w:lang w:eastAsia="en-AU"/>
              </w:rPr>
              <w:t>July</w:t>
            </w:r>
            <w:r w:rsidRPr="00632EF3">
              <w:rPr>
                <w:rFonts w:ascii="Arial Narrow" w:hAnsi="Arial Narrow"/>
                <w:bCs/>
                <w:i/>
                <w:color w:val="333333"/>
                <w:sz w:val="18"/>
                <w:szCs w:val="18"/>
                <w:lang w:eastAsia="en-AU"/>
              </w:rPr>
              <w:t xml:space="preserve"> 2021)</w:t>
            </w:r>
          </w:p>
        </w:tc>
      </w:tr>
      <w:tr w:rsidR="000C7BE2" w:rsidRPr="00632EF3" w:rsidTr="00AA291E">
        <w:tblPrEx>
          <w:tblCellMar>
            <w:top w:w="15" w:type="dxa"/>
            <w:left w:w="15" w:type="dxa"/>
            <w:bottom w:w="15" w:type="dxa"/>
            <w:right w:w="15" w:type="dxa"/>
          </w:tblCellMar>
          <w:tblLook w:val="04A0" w:firstRow="1" w:lastRow="0" w:firstColumn="1" w:lastColumn="0" w:noHBand="0" w:noVBand="1"/>
        </w:tblPrEx>
        <w:tc>
          <w:tcPr>
            <w:tcW w:w="1271" w:type="dxa"/>
            <w:gridSpan w:val="2"/>
            <w:vMerge w:val="restart"/>
            <w:tcBorders>
              <w:top w:val="single" w:sz="4" w:space="0" w:color="auto"/>
              <w:left w:val="single" w:sz="4" w:space="0" w:color="auto"/>
              <w:right w:val="single" w:sz="4" w:space="0" w:color="auto"/>
            </w:tcBorders>
          </w:tcPr>
          <w:p w:rsidR="000C7BE2" w:rsidRPr="00632EF3" w:rsidRDefault="000C7BE2" w:rsidP="00210FAB">
            <w:pPr>
              <w:jc w:val="center"/>
              <w:rPr>
                <w:rFonts w:ascii="Arial Narrow" w:hAnsi="Arial Narrow" w:cs="Arial"/>
                <w:b/>
                <w:sz w:val="18"/>
                <w:szCs w:val="18"/>
              </w:rPr>
            </w:pPr>
          </w:p>
        </w:tc>
        <w:tc>
          <w:tcPr>
            <w:tcW w:w="7938" w:type="dxa"/>
            <w:gridSpan w:val="6"/>
            <w:tcBorders>
              <w:top w:val="single" w:sz="4" w:space="0" w:color="auto"/>
              <w:left w:val="single" w:sz="4" w:space="0" w:color="auto"/>
              <w:bottom w:val="single" w:sz="4" w:space="0" w:color="auto"/>
              <w:right w:val="single" w:sz="4" w:space="0" w:color="auto"/>
            </w:tcBorders>
          </w:tcPr>
          <w:p w:rsidR="000C7BE2" w:rsidRPr="00632EF3" w:rsidRDefault="000C7BE2" w:rsidP="00AA291E">
            <w:pPr>
              <w:rPr>
                <w:rFonts w:ascii="Arial Narrow" w:hAnsi="Arial Narrow" w:cs="Arial"/>
                <w:sz w:val="18"/>
                <w:szCs w:val="18"/>
              </w:rPr>
            </w:pPr>
            <w:r w:rsidRPr="00632EF3">
              <w:rPr>
                <w:rFonts w:ascii="Arial Narrow" w:hAnsi="Arial Narrow" w:cs="Arial"/>
                <w:b/>
                <w:sz w:val="18"/>
                <w:szCs w:val="18"/>
              </w:rPr>
              <w:t xml:space="preserve">Category / Program:   </w:t>
            </w:r>
            <w:r w:rsidRPr="00632EF3">
              <w:rPr>
                <w:rFonts w:ascii="Arial Narrow" w:hAnsi="Arial Narrow" w:cs="Arial"/>
                <w:sz w:val="18"/>
                <w:szCs w:val="18"/>
              </w:rPr>
              <w:t>General Schedule</w:t>
            </w:r>
          </w:p>
        </w:tc>
      </w:tr>
      <w:tr w:rsidR="000C7BE2" w:rsidRPr="00632EF3" w:rsidTr="00AA291E">
        <w:tblPrEx>
          <w:tblCellMar>
            <w:top w:w="15" w:type="dxa"/>
            <w:left w:w="15" w:type="dxa"/>
            <w:bottom w:w="15" w:type="dxa"/>
            <w:right w:w="15" w:type="dxa"/>
          </w:tblCellMar>
          <w:tblLook w:val="04A0" w:firstRow="1" w:lastRow="0" w:firstColumn="1" w:lastColumn="0" w:noHBand="0" w:noVBand="1"/>
        </w:tblPrEx>
        <w:tc>
          <w:tcPr>
            <w:tcW w:w="1271" w:type="dxa"/>
            <w:gridSpan w:val="2"/>
            <w:vMerge/>
            <w:tcBorders>
              <w:left w:val="single" w:sz="4" w:space="0" w:color="auto"/>
              <w:right w:val="single" w:sz="4" w:space="0" w:color="auto"/>
            </w:tcBorders>
          </w:tcPr>
          <w:p w:rsidR="000C7BE2" w:rsidRPr="00632EF3" w:rsidRDefault="000C7BE2" w:rsidP="00AA291E">
            <w:pPr>
              <w:jc w:val="center"/>
              <w:rPr>
                <w:rFonts w:ascii="Arial Narrow" w:hAnsi="Arial Narrow"/>
                <w:color w:val="333333"/>
                <w:sz w:val="18"/>
                <w:szCs w:val="18"/>
                <w:lang w:eastAsia="en-AU"/>
              </w:rPr>
            </w:pPr>
          </w:p>
        </w:tc>
        <w:tc>
          <w:tcPr>
            <w:tcW w:w="7938" w:type="dxa"/>
            <w:gridSpan w:val="6"/>
            <w:tcBorders>
              <w:top w:val="single" w:sz="4" w:space="0" w:color="auto"/>
              <w:left w:val="single" w:sz="4" w:space="0" w:color="auto"/>
              <w:bottom w:val="single" w:sz="4" w:space="0" w:color="auto"/>
              <w:right w:val="single" w:sz="4" w:space="0" w:color="auto"/>
            </w:tcBorders>
          </w:tcPr>
          <w:p w:rsidR="000C7BE2" w:rsidRPr="00632EF3" w:rsidRDefault="000C7BE2" w:rsidP="00AA291E">
            <w:pPr>
              <w:rPr>
                <w:rFonts w:ascii="Arial Narrow" w:hAnsi="Arial Narrow"/>
                <w:b/>
                <w:bCs/>
                <w:color w:val="333333"/>
                <w:sz w:val="18"/>
                <w:szCs w:val="18"/>
                <w:lang w:eastAsia="en-AU"/>
              </w:rPr>
            </w:pPr>
            <w:r w:rsidRPr="00632EF3">
              <w:rPr>
                <w:rFonts w:ascii="Arial Narrow" w:hAnsi="Arial Narrow" w:cs="Arial"/>
                <w:b/>
                <w:sz w:val="18"/>
                <w:szCs w:val="18"/>
              </w:rPr>
              <w:t xml:space="preserve">Prescriber type:   </w:t>
            </w:r>
            <w:r w:rsidRPr="00EC4AD4">
              <w:rPr>
                <w:rFonts w:ascii="Arial Narrow" w:hAnsi="Arial Narrow" w:cs="Arial"/>
                <w:sz w:val="18"/>
                <w:szCs w:val="18"/>
              </w:rPr>
              <w:fldChar w:fldCharType="begin">
                <w:ffData>
                  <w:name w:val=""/>
                  <w:enabled/>
                  <w:calcOnExit w:val="0"/>
                  <w:checkBox>
                    <w:sizeAuto/>
                    <w:default w:val="1"/>
                  </w:checkBox>
                </w:ffData>
              </w:fldChar>
            </w:r>
            <w:r w:rsidRPr="00632EF3">
              <w:rPr>
                <w:rFonts w:ascii="Arial Narrow" w:hAnsi="Arial Narrow" w:cs="Arial"/>
                <w:sz w:val="18"/>
                <w:szCs w:val="18"/>
              </w:rPr>
              <w:instrText xml:space="preserve"> FORMCHECKBOX </w:instrText>
            </w:r>
            <w:r w:rsidR="00AF1922">
              <w:rPr>
                <w:rFonts w:ascii="Arial Narrow" w:hAnsi="Arial Narrow" w:cs="Arial"/>
                <w:sz w:val="18"/>
                <w:szCs w:val="18"/>
              </w:rPr>
            </w:r>
            <w:r w:rsidR="00AF1922">
              <w:rPr>
                <w:rFonts w:ascii="Arial Narrow" w:hAnsi="Arial Narrow" w:cs="Arial"/>
                <w:sz w:val="18"/>
                <w:szCs w:val="18"/>
              </w:rPr>
              <w:fldChar w:fldCharType="separate"/>
            </w:r>
            <w:r w:rsidRPr="00EC4AD4">
              <w:rPr>
                <w:rFonts w:ascii="Arial Narrow" w:hAnsi="Arial Narrow" w:cs="Arial"/>
                <w:sz w:val="18"/>
                <w:szCs w:val="18"/>
              </w:rPr>
              <w:fldChar w:fldCharType="end"/>
            </w:r>
            <w:r w:rsidRPr="00632EF3">
              <w:rPr>
                <w:rFonts w:ascii="Arial Narrow" w:hAnsi="Arial Narrow" w:cs="Arial"/>
                <w:sz w:val="18"/>
                <w:szCs w:val="18"/>
              </w:rPr>
              <w:t xml:space="preserve"> Medical Practitioners    </w:t>
            </w:r>
          </w:p>
        </w:tc>
      </w:tr>
      <w:tr w:rsidR="000C7BE2" w:rsidRPr="00632EF3" w:rsidTr="00AA291E">
        <w:tblPrEx>
          <w:tblCellMar>
            <w:top w:w="15" w:type="dxa"/>
            <w:left w:w="15" w:type="dxa"/>
            <w:bottom w:w="15" w:type="dxa"/>
            <w:right w:w="15" w:type="dxa"/>
          </w:tblCellMar>
          <w:tblLook w:val="04A0" w:firstRow="1" w:lastRow="0" w:firstColumn="1" w:lastColumn="0" w:noHBand="0" w:noVBand="1"/>
        </w:tblPrEx>
        <w:tc>
          <w:tcPr>
            <w:tcW w:w="1271" w:type="dxa"/>
            <w:gridSpan w:val="2"/>
            <w:vMerge/>
            <w:tcBorders>
              <w:left w:val="single" w:sz="4" w:space="0" w:color="auto"/>
              <w:bottom w:val="single" w:sz="4" w:space="0" w:color="auto"/>
              <w:right w:val="single" w:sz="4" w:space="0" w:color="auto"/>
            </w:tcBorders>
          </w:tcPr>
          <w:p w:rsidR="000C7BE2" w:rsidRPr="00632EF3" w:rsidRDefault="000C7BE2" w:rsidP="00AA291E">
            <w:pPr>
              <w:jc w:val="center"/>
              <w:rPr>
                <w:rFonts w:ascii="Arial Narrow" w:hAnsi="Arial Narrow"/>
                <w:color w:val="333333"/>
                <w:sz w:val="18"/>
                <w:szCs w:val="18"/>
                <w:lang w:eastAsia="en-AU"/>
              </w:rPr>
            </w:pPr>
          </w:p>
        </w:tc>
        <w:tc>
          <w:tcPr>
            <w:tcW w:w="7938" w:type="dxa"/>
            <w:gridSpan w:val="6"/>
            <w:tcBorders>
              <w:top w:val="single" w:sz="4" w:space="0" w:color="auto"/>
              <w:left w:val="single" w:sz="4" w:space="0" w:color="auto"/>
              <w:bottom w:val="single" w:sz="4" w:space="0" w:color="auto"/>
              <w:right w:val="single" w:sz="4" w:space="0" w:color="auto"/>
            </w:tcBorders>
          </w:tcPr>
          <w:p w:rsidR="000C7BE2" w:rsidRPr="00632EF3" w:rsidRDefault="000C7BE2" w:rsidP="00AA291E">
            <w:pPr>
              <w:rPr>
                <w:rFonts w:ascii="Arial Narrow" w:hAnsi="Arial Narrow"/>
                <w:b/>
                <w:bCs/>
                <w:color w:val="333333"/>
                <w:sz w:val="18"/>
                <w:szCs w:val="18"/>
                <w:lang w:eastAsia="en-AU"/>
              </w:rPr>
            </w:pPr>
            <w:r w:rsidRPr="00632EF3">
              <w:rPr>
                <w:rFonts w:ascii="Arial Narrow" w:hAnsi="Arial Narrow" w:cs="Arial"/>
                <w:b/>
                <w:sz w:val="18"/>
                <w:szCs w:val="18"/>
              </w:rPr>
              <w:t xml:space="preserve">Restriction type: </w:t>
            </w:r>
            <w:r w:rsidRPr="00EC4AD4">
              <w:rPr>
                <w:rFonts w:ascii="Arial Narrow" w:eastAsia="Calibri" w:hAnsi="Arial Narrow" w:cs="Arial"/>
                <w:sz w:val="18"/>
                <w:szCs w:val="18"/>
              </w:rPr>
              <w:fldChar w:fldCharType="begin">
                <w:ffData>
                  <w:name w:val=""/>
                  <w:enabled/>
                  <w:calcOnExit w:val="0"/>
                  <w:checkBox>
                    <w:sizeAuto/>
                    <w:default w:val="1"/>
                  </w:checkBox>
                </w:ffData>
              </w:fldChar>
            </w:r>
            <w:r w:rsidRPr="00632EF3">
              <w:rPr>
                <w:rFonts w:ascii="Arial Narrow" w:eastAsia="Calibri" w:hAnsi="Arial Narrow" w:cs="Arial"/>
                <w:sz w:val="18"/>
                <w:szCs w:val="18"/>
              </w:rPr>
              <w:instrText xml:space="preserve"> FORMCHECKBOX </w:instrText>
            </w:r>
            <w:r w:rsidR="00AF1922">
              <w:rPr>
                <w:rFonts w:ascii="Arial Narrow" w:eastAsia="Calibri" w:hAnsi="Arial Narrow" w:cs="Arial"/>
                <w:sz w:val="18"/>
                <w:szCs w:val="18"/>
              </w:rPr>
            </w:r>
            <w:r w:rsidR="00AF1922">
              <w:rPr>
                <w:rFonts w:ascii="Arial Narrow" w:eastAsia="Calibri" w:hAnsi="Arial Narrow" w:cs="Arial"/>
                <w:sz w:val="18"/>
                <w:szCs w:val="18"/>
              </w:rPr>
              <w:fldChar w:fldCharType="separate"/>
            </w:r>
            <w:r w:rsidRPr="00EC4AD4">
              <w:rPr>
                <w:rFonts w:ascii="Arial Narrow" w:eastAsia="Calibri" w:hAnsi="Arial Narrow" w:cs="Arial"/>
                <w:sz w:val="18"/>
                <w:szCs w:val="18"/>
              </w:rPr>
              <w:fldChar w:fldCharType="end"/>
            </w:r>
            <w:r w:rsidRPr="00632EF3">
              <w:rPr>
                <w:rFonts w:ascii="Arial Narrow" w:eastAsia="Calibri" w:hAnsi="Arial Narrow" w:cs="Arial"/>
                <w:sz w:val="18"/>
                <w:szCs w:val="18"/>
              </w:rPr>
              <w:t xml:space="preserve"> Restricted benefit</w:t>
            </w:r>
          </w:p>
        </w:tc>
      </w:tr>
      <w:tr w:rsidR="000C7BE2" w:rsidRPr="00632EF3" w:rsidTr="00AA291E">
        <w:tblPrEx>
          <w:tblCellMar>
            <w:top w:w="15" w:type="dxa"/>
            <w:left w:w="15" w:type="dxa"/>
            <w:bottom w:w="15" w:type="dxa"/>
            <w:right w:w="15" w:type="dxa"/>
          </w:tblCellMar>
          <w:tblLook w:val="04A0" w:firstRow="1" w:lastRow="0" w:firstColumn="1" w:lastColumn="0" w:noHBand="0" w:noVBand="1"/>
        </w:tblPrEx>
        <w:tc>
          <w:tcPr>
            <w:tcW w:w="1271" w:type="dxa"/>
            <w:gridSpan w:val="2"/>
            <w:tcBorders>
              <w:top w:val="single" w:sz="4" w:space="0" w:color="auto"/>
              <w:left w:val="single" w:sz="4" w:space="0" w:color="auto"/>
              <w:bottom w:val="single" w:sz="4" w:space="0" w:color="auto"/>
              <w:right w:val="single" w:sz="4" w:space="0" w:color="auto"/>
            </w:tcBorders>
            <w:vAlign w:val="center"/>
          </w:tcPr>
          <w:p w:rsidR="000C7BE2" w:rsidRPr="00632EF3" w:rsidRDefault="000C7BE2" w:rsidP="00AA291E">
            <w:pPr>
              <w:jc w:val="center"/>
              <w:rPr>
                <w:rFonts w:ascii="Arial Narrow" w:hAnsi="Arial Narrow"/>
                <w:color w:val="333333"/>
                <w:sz w:val="18"/>
                <w:szCs w:val="18"/>
                <w:lang w:eastAsia="en-AU"/>
              </w:rPr>
            </w:pPr>
          </w:p>
        </w:tc>
        <w:tc>
          <w:tcPr>
            <w:tcW w:w="7938" w:type="dxa"/>
            <w:gridSpan w:val="6"/>
            <w:tcBorders>
              <w:top w:val="single" w:sz="4" w:space="0" w:color="auto"/>
              <w:left w:val="single" w:sz="4" w:space="0" w:color="auto"/>
              <w:bottom w:val="single" w:sz="4" w:space="0" w:color="auto"/>
              <w:right w:val="single" w:sz="4" w:space="0" w:color="auto"/>
            </w:tcBorders>
            <w:vAlign w:val="center"/>
          </w:tcPr>
          <w:p w:rsidR="000C7BE2" w:rsidRPr="00632EF3" w:rsidRDefault="000C7BE2" w:rsidP="00AA291E">
            <w:pPr>
              <w:rPr>
                <w:rFonts w:ascii="Arial Narrow" w:hAnsi="Arial Narrow"/>
                <w:b/>
                <w:bCs/>
                <w:color w:val="333333"/>
                <w:sz w:val="18"/>
                <w:szCs w:val="18"/>
                <w:lang w:eastAsia="en-AU"/>
              </w:rPr>
            </w:pPr>
            <w:r w:rsidRPr="00632EF3">
              <w:rPr>
                <w:rFonts w:ascii="Arial Narrow" w:hAnsi="Arial Narrow"/>
                <w:b/>
                <w:bCs/>
                <w:color w:val="333333"/>
                <w:sz w:val="18"/>
                <w:szCs w:val="18"/>
                <w:lang w:eastAsia="en-AU"/>
              </w:rPr>
              <w:t xml:space="preserve">Indication: </w:t>
            </w:r>
            <w:r w:rsidRPr="00632EF3">
              <w:rPr>
                <w:rFonts w:ascii="Arial Narrow" w:hAnsi="Arial Narrow"/>
                <w:bCs/>
                <w:color w:val="333333"/>
                <w:sz w:val="18"/>
                <w:szCs w:val="18"/>
                <w:lang w:eastAsia="en-AU"/>
              </w:rPr>
              <w:t>Infertility</w:t>
            </w:r>
          </w:p>
        </w:tc>
      </w:tr>
      <w:tr w:rsidR="000C7BE2" w:rsidRPr="00632EF3" w:rsidTr="00AA291E">
        <w:tblPrEx>
          <w:tblCellMar>
            <w:top w:w="15" w:type="dxa"/>
            <w:left w:w="15" w:type="dxa"/>
            <w:bottom w:w="15" w:type="dxa"/>
            <w:right w:w="15" w:type="dxa"/>
          </w:tblCellMar>
          <w:tblLook w:val="04A0" w:firstRow="1" w:lastRow="0" w:firstColumn="1" w:lastColumn="0" w:noHBand="0" w:noVBand="1"/>
        </w:tblPrEx>
        <w:tc>
          <w:tcPr>
            <w:tcW w:w="1271" w:type="dxa"/>
            <w:gridSpan w:val="2"/>
            <w:tcBorders>
              <w:top w:val="single" w:sz="4" w:space="0" w:color="auto"/>
              <w:left w:val="single" w:sz="4" w:space="0" w:color="auto"/>
              <w:bottom w:val="single" w:sz="4" w:space="0" w:color="auto"/>
              <w:right w:val="single" w:sz="4" w:space="0" w:color="auto"/>
            </w:tcBorders>
            <w:vAlign w:val="center"/>
          </w:tcPr>
          <w:p w:rsidR="000C7BE2" w:rsidRPr="00632EF3" w:rsidRDefault="000C7BE2" w:rsidP="00AA291E">
            <w:pPr>
              <w:jc w:val="center"/>
              <w:rPr>
                <w:rFonts w:ascii="Arial Narrow" w:hAnsi="Arial Narrow"/>
                <w:color w:val="333333"/>
                <w:sz w:val="18"/>
                <w:szCs w:val="18"/>
                <w:lang w:eastAsia="en-AU"/>
              </w:rPr>
            </w:pPr>
          </w:p>
        </w:tc>
        <w:tc>
          <w:tcPr>
            <w:tcW w:w="7938" w:type="dxa"/>
            <w:gridSpan w:val="6"/>
            <w:tcBorders>
              <w:top w:val="single" w:sz="4" w:space="0" w:color="auto"/>
              <w:left w:val="single" w:sz="4" w:space="0" w:color="auto"/>
              <w:bottom w:val="single" w:sz="4" w:space="0" w:color="auto"/>
              <w:right w:val="single" w:sz="4" w:space="0" w:color="auto"/>
            </w:tcBorders>
            <w:vAlign w:val="center"/>
          </w:tcPr>
          <w:p w:rsidR="000C7BE2" w:rsidRPr="00632EF3" w:rsidRDefault="000C7BE2" w:rsidP="00AA291E">
            <w:pPr>
              <w:rPr>
                <w:rFonts w:ascii="Arial Narrow" w:hAnsi="Arial Narrow"/>
                <w:b/>
                <w:bCs/>
                <w:color w:val="333333"/>
                <w:sz w:val="18"/>
                <w:szCs w:val="18"/>
                <w:lang w:eastAsia="en-AU"/>
              </w:rPr>
            </w:pPr>
            <w:r w:rsidRPr="00632EF3">
              <w:rPr>
                <w:rFonts w:ascii="Arial Narrow" w:hAnsi="Arial Narrow"/>
                <w:b/>
                <w:bCs/>
                <w:color w:val="333333"/>
                <w:sz w:val="18"/>
                <w:szCs w:val="18"/>
                <w:lang w:eastAsia="en-AU"/>
              </w:rPr>
              <w:t>Clinical criteria:</w:t>
            </w:r>
          </w:p>
        </w:tc>
      </w:tr>
      <w:tr w:rsidR="000C7BE2" w:rsidRPr="00632EF3" w:rsidTr="00AA291E">
        <w:tblPrEx>
          <w:tblCellMar>
            <w:top w:w="15" w:type="dxa"/>
            <w:left w:w="15" w:type="dxa"/>
            <w:bottom w:w="15" w:type="dxa"/>
            <w:right w:w="15" w:type="dxa"/>
          </w:tblCellMar>
          <w:tblLook w:val="04A0" w:firstRow="1" w:lastRow="0" w:firstColumn="1" w:lastColumn="0" w:noHBand="0" w:noVBand="1"/>
        </w:tblPrEx>
        <w:tc>
          <w:tcPr>
            <w:tcW w:w="1271" w:type="dxa"/>
            <w:gridSpan w:val="2"/>
            <w:tcBorders>
              <w:top w:val="single" w:sz="4" w:space="0" w:color="auto"/>
              <w:left w:val="single" w:sz="4" w:space="0" w:color="auto"/>
              <w:bottom w:val="single" w:sz="4" w:space="0" w:color="auto"/>
              <w:right w:val="single" w:sz="4" w:space="0" w:color="auto"/>
            </w:tcBorders>
            <w:vAlign w:val="center"/>
          </w:tcPr>
          <w:p w:rsidR="000C7BE2" w:rsidRPr="00632EF3" w:rsidRDefault="000C7BE2" w:rsidP="00AA291E">
            <w:pPr>
              <w:jc w:val="center"/>
              <w:rPr>
                <w:rFonts w:ascii="Arial Narrow" w:hAnsi="Arial Narrow"/>
                <w:color w:val="333333"/>
                <w:sz w:val="18"/>
                <w:szCs w:val="18"/>
                <w:lang w:eastAsia="en-AU"/>
              </w:rPr>
            </w:pPr>
          </w:p>
        </w:tc>
        <w:tc>
          <w:tcPr>
            <w:tcW w:w="7938" w:type="dxa"/>
            <w:gridSpan w:val="6"/>
            <w:tcBorders>
              <w:top w:val="single" w:sz="4" w:space="0" w:color="auto"/>
              <w:left w:val="single" w:sz="4" w:space="0" w:color="auto"/>
              <w:bottom w:val="single" w:sz="4" w:space="0" w:color="auto"/>
              <w:right w:val="single" w:sz="4" w:space="0" w:color="auto"/>
            </w:tcBorders>
            <w:vAlign w:val="center"/>
          </w:tcPr>
          <w:p w:rsidR="000C7BE2" w:rsidRPr="00632EF3" w:rsidRDefault="000C7BE2" w:rsidP="00AA291E">
            <w:pPr>
              <w:rPr>
                <w:rFonts w:ascii="Arial Narrow" w:hAnsi="Arial Narrow"/>
                <w:bCs/>
                <w:color w:val="333333"/>
                <w:sz w:val="18"/>
                <w:szCs w:val="18"/>
                <w:lang w:eastAsia="en-AU"/>
              </w:rPr>
            </w:pPr>
            <w:r w:rsidRPr="00632EF3">
              <w:rPr>
                <w:rFonts w:ascii="Arial Narrow" w:hAnsi="Arial Narrow"/>
                <w:bCs/>
                <w:color w:val="333333"/>
                <w:sz w:val="18"/>
                <w:szCs w:val="18"/>
                <w:lang w:eastAsia="en-AU"/>
              </w:rPr>
              <w:t>The condition must be due to hypogonadotrophic hypogonadism</w:t>
            </w:r>
          </w:p>
        </w:tc>
      </w:tr>
      <w:tr w:rsidR="000C7BE2" w:rsidRPr="00632EF3" w:rsidTr="00AA291E">
        <w:tblPrEx>
          <w:tblCellMar>
            <w:top w:w="15" w:type="dxa"/>
            <w:left w:w="15" w:type="dxa"/>
            <w:bottom w:w="15" w:type="dxa"/>
            <w:right w:w="15" w:type="dxa"/>
          </w:tblCellMar>
          <w:tblLook w:val="04A0" w:firstRow="1" w:lastRow="0" w:firstColumn="1" w:lastColumn="0" w:noHBand="0" w:noVBand="1"/>
        </w:tblPrEx>
        <w:tc>
          <w:tcPr>
            <w:tcW w:w="1271" w:type="dxa"/>
            <w:gridSpan w:val="2"/>
            <w:tcBorders>
              <w:top w:val="single" w:sz="4" w:space="0" w:color="auto"/>
              <w:left w:val="single" w:sz="4" w:space="0" w:color="auto"/>
              <w:bottom w:val="single" w:sz="4" w:space="0" w:color="auto"/>
              <w:right w:val="single" w:sz="4" w:space="0" w:color="auto"/>
            </w:tcBorders>
            <w:vAlign w:val="center"/>
          </w:tcPr>
          <w:p w:rsidR="000C7BE2" w:rsidRPr="00632EF3" w:rsidRDefault="000C7BE2" w:rsidP="00AA291E">
            <w:pPr>
              <w:jc w:val="center"/>
              <w:rPr>
                <w:rFonts w:ascii="Arial Narrow" w:hAnsi="Arial Narrow"/>
                <w:color w:val="333333"/>
                <w:sz w:val="18"/>
                <w:szCs w:val="18"/>
                <w:lang w:eastAsia="en-AU"/>
              </w:rPr>
            </w:pPr>
          </w:p>
        </w:tc>
        <w:tc>
          <w:tcPr>
            <w:tcW w:w="7938" w:type="dxa"/>
            <w:gridSpan w:val="6"/>
            <w:tcBorders>
              <w:top w:val="single" w:sz="4" w:space="0" w:color="auto"/>
              <w:left w:val="single" w:sz="4" w:space="0" w:color="auto"/>
              <w:bottom w:val="single" w:sz="4" w:space="0" w:color="auto"/>
              <w:right w:val="single" w:sz="4" w:space="0" w:color="auto"/>
            </w:tcBorders>
            <w:vAlign w:val="center"/>
          </w:tcPr>
          <w:p w:rsidR="000C7BE2" w:rsidRPr="00632EF3" w:rsidRDefault="000C7BE2" w:rsidP="00AA291E">
            <w:pPr>
              <w:rPr>
                <w:rFonts w:ascii="Arial Narrow" w:hAnsi="Arial Narrow"/>
                <w:b/>
                <w:bCs/>
                <w:color w:val="333333"/>
                <w:sz w:val="18"/>
                <w:szCs w:val="18"/>
                <w:lang w:eastAsia="en-AU"/>
              </w:rPr>
            </w:pPr>
            <w:r w:rsidRPr="00632EF3">
              <w:rPr>
                <w:rFonts w:ascii="Arial Narrow" w:hAnsi="Arial Narrow"/>
                <w:b/>
                <w:bCs/>
                <w:color w:val="333333"/>
                <w:sz w:val="18"/>
                <w:szCs w:val="18"/>
                <w:lang w:eastAsia="en-AU"/>
              </w:rPr>
              <w:t>AND</w:t>
            </w:r>
          </w:p>
        </w:tc>
      </w:tr>
      <w:tr w:rsidR="000C7BE2" w:rsidRPr="00632EF3" w:rsidTr="00AA291E">
        <w:tblPrEx>
          <w:tblCellMar>
            <w:top w:w="15" w:type="dxa"/>
            <w:left w:w="15" w:type="dxa"/>
            <w:bottom w:w="15" w:type="dxa"/>
            <w:right w:w="15" w:type="dxa"/>
          </w:tblCellMar>
          <w:tblLook w:val="04A0" w:firstRow="1" w:lastRow="0" w:firstColumn="1" w:lastColumn="0" w:noHBand="0" w:noVBand="1"/>
        </w:tblPrEx>
        <w:tc>
          <w:tcPr>
            <w:tcW w:w="1271" w:type="dxa"/>
            <w:gridSpan w:val="2"/>
            <w:tcBorders>
              <w:top w:val="single" w:sz="4" w:space="0" w:color="auto"/>
              <w:left w:val="single" w:sz="4" w:space="0" w:color="auto"/>
              <w:bottom w:val="single" w:sz="4" w:space="0" w:color="auto"/>
              <w:right w:val="single" w:sz="4" w:space="0" w:color="auto"/>
            </w:tcBorders>
            <w:vAlign w:val="center"/>
          </w:tcPr>
          <w:p w:rsidR="000C7BE2" w:rsidRPr="00632EF3" w:rsidRDefault="000C7BE2" w:rsidP="00AA291E">
            <w:pPr>
              <w:jc w:val="center"/>
              <w:rPr>
                <w:rFonts w:ascii="Arial Narrow" w:hAnsi="Arial Narrow"/>
                <w:color w:val="333333"/>
                <w:sz w:val="18"/>
                <w:szCs w:val="18"/>
                <w:lang w:eastAsia="en-AU"/>
              </w:rPr>
            </w:pPr>
          </w:p>
        </w:tc>
        <w:tc>
          <w:tcPr>
            <w:tcW w:w="7938" w:type="dxa"/>
            <w:gridSpan w:val="6"/>
            <w:tcBorders>
              <w:top w:val="single" w:sz="4" w:space="0" w:color="auto"/>
              <w:left w:val="single" w:sz="4" w:space="0" w:color="auto"/>
              <w:bottom w:val="single" w:sz="4" w:space="0" w:color="auto"/>
              <w:right w:val="single" w:sz="4" w:space="0" w:color="auto"/>
            </w:tcBorders>
            <w:vAlign w:val="center"/>
          </w:tcPr>
          <w:p w:rsidR="000C7BE2" w:rsidRPr="00632EF3" w:rsidRDefault="000C7BE2" w:rsidP="00AA291E">
            <w:pPr>
              <w:rPr>
                <w:rFonts w:ascii="Arial Narrow" w:hAnsi="Arial Narrow"/>
                <w:b/>
                <w:bCs/>
                <w:color w:val="333333"/>
                <w:sz w:val="18"/>
                <w:szCs w:val="18"/>
                <w:lang w:eastAsia="en-AU"/>
              </w:rPr>
            </w:pPr>
            <w:r w:rsidRPr="00632EF3">
              <w:rPr>
                <w:rFonts w:ascii="Arial Narrow" w:hAnsi="Arial Narrow"/>
                <w:b/>
                <w:bCs/>
                <w:color w:val="333333"/>
                <w:sz w:val="18"/>
                <w:szCs w:val="18"/>
                <w:lang w:eastAsia="en-AU"/>
              </w:rPr>
              <w:t>Clinical criteria:</w:t>
            </w:r>
          </w:p>
        </w:tc>
      </w:tr>
      <w:tr w:rsidR="000C7BE2" w:rsidRPr="00632EF3" w:rsidTr="00AA291E">
        <w:tblPrEx>
          <w:tblCellMar>
            <w:top w:w="15" w:type="dxa"/>
            <w:left w:w="15" w:type="dxa"/>
            <w:bottom w:w="15" w:type="dxa"/>
            <w:right w:w="15" w:type="dxa"/>
          </w:tblCellMar>
          <w:tblLook w:val="04A0" w:firstRow="1" w:lastRow="0" w:firstColumn="1" w:lastColumn="0" w:noHBand="0" w:noVBand="1"/>
        </w:tblPrEx>
        <w:tc>
          <w:tcPr>
            <w:tcW w:w="1271" w:type="dxa"/>
            <w:gridSpan w:val="2"/>
            <w:tcBorders>
              <w:top w:val="single" w:sz="4" w:space="0" w:color="auto"/>
              <w:left w:val="single" w:sz="4" w:space="0" w:color="auto"/>
              <w:bottom w:val="single" w:sz="4" w:space="0" w:color="auto"/>
              <w:right w:val="single" w:sz="4" w:space="0" w:color="auto"/>
            </w:tcBorders>
            <w:vAlign w:val="center"/>
          </w:tcPr>
          <w:p w:rsidR="000C7BE2" w:rsidRPr="00632EF3" w:rsidRDefault="000C7BE2" w:rsidP="00AA291E">
            <w:pPr>
              <w:jc w:val="center"/>
              <w:rPr>
                <w:rFonts w:ascii="Arial Narrow" w:hAnsi="Arial Narrow"/>
                <w:color w:val="333333"/>
                <w:sz w:val="18"/>
                <w:szCs w:val="18"/>
                <w:lang w:eastAsia="en-AU"/>
              </w:rPr>
            </w:pPr>
          </w:p>
        </w:tc>
        <w:tc>
          <w:tcPr>
            <w:tcW w:w="7938" w:type="dxa"/>
            <w:gridSpan w:val="6"/>
            <w:tcBorders>
              <w:top w:val="single" w:sz="4" w:space="0" w:color="auto"/>
              <w:left w:val="single" w:sz="4" w:space="0" w:color="auto"/>
              <w:bottom w:val="single" w:sz="4" w:space="0" w:color="auto"/>
              <w:right w:val="single" w:sz="4" w:space="0" w:color="auto"/>
            </w:tcBorders>
            <w:vAlign w:val="center"/>
          </w:tcPr>
          <w:p w:rsidR="000C7BE2" w:rsidRPr="00632EF3" w:rsidRDefault="000C7BE2" w:rsidP="00AA291E">
            <w:pPr>
              <w:rPr>
                <w:rFonts w:ascii="Arial Narrow" w:hAnsi="Arial Narrow"/>
                <w:bCs/>
                <w:color w:val="333333"/>
                <w:sz w:val="18"/>
                <w:szCs w:val="18"/>
                <w:lang w:eastAsia="en-AU"/>
              </w:rPr>
            </w:pPr>
            <w:r w:rsidRPr="00632EF3">
              <w:rPr>
                <w:rFonts w:ascii="Arial Narrow" w:hAnsi="Arial Narrow"/>
                <w:bCs/>
                <w:color w:val="333333"/>
                <w:sz w:val="18"/>
                <w:szCs w:val="18"/>
                <w:lang w:eastAsia="en-AU"/>
              </w:rPr>
              <w:t>The treatment must be following failure of 6 months’ treatment with human chorionic gonadotrophin to achieve adequate spermatogenesis</w:t>
            </w:r>
          </w:p>
        </w:tc>
      </w:tr>
      <w:tr w:rsidR="000C7BE2" w:rsidRPr="00632EF3" w:rsidTr="00AA291E">
        <w:tblPrEx>
          <w:tblCellMar>
            <w:top w:w="15" w:type="dxa"/>
            <w:left w:w="15" w:type="dxa"/>
            <w:bottom w:w="15" w:type="dxa"/>
            <w:right w:w="15" w:type="dxa"/>
          </w:tblCellMar>
          <w:tblLook w:val="04A0" w:firstRow="1" w:lastRow="0" w:firstColumn="1" w:lastColumn="0" w:noHBand="0" w:noVBand="1"/>
        </w:tblPrEx>
        <w:tc>
          <w:tcPr>
            <w:tcW w:w="1271" w:type="dxa"/>
            <w:gridSpan w:val="2"/>
            <w:tcBorders>
              <w:top w:val="single" w:sz="4" w:space="0" w:color="auto"/>
              <w:left w:val="single" w:sz="4" w:space="0" w:color="auto"/>
              <w:bottom w:val="single" w:sz="4" w:space="0" w:color="auto"/>
              <w:right w:val="single" w:sz="4" w:space="0" w:color="auto"/>
            </w:tcBorders>
            <w:vAlign w:val="center"/>
          </w:tcPr>
          <w:p w:rsidR="000C7BE2" w:rsidRPr="00632EF3" w:rsidRDefault="000C7BE2" w:rsidP="00AA291E">
            <w:pPr>
              <w:jc w:val="center"/>
              <w:rPr>
                <w:rFonts w:ascii="Arial Narrow" w:hAnsi="Arial Narrow"/>
                <w:color w:val="333333"/>
                <w:sz w:val="18"/>
                <w:szCs w:val="18"/>
                <w:lang w:eastAsia="en-AU"/>
              </w:rPr>
            </w:pPr>
          </w:p>
        </w:tc>
        <w:tc>
          <w:tcPr>
            <w:tcW w:w="7938" w:type="dxa"/>
            <w:gridSpan w:val="6"/>
            <w:tcBorders>
              <w:top w:val="single" w:sz="4" w:space="0" w:color="auto"/>
              <w:left w:val="single" w:sz="4" w:space="0" w:color="auto"/>
              <w:bottom w:val="single" w:sz="4" w:space="0" w:color="auto"/>
              <w:right w:val="single" w:sz="4" w:space="0" w:color="auto"/>
            </w:tcBorders>
            <w:vAlign w:val="center"/>
          </w:tcPr>
          <w:p w:rsidR="000C7BE2" w:rsidRPr="00632EF3" w:rsidRDefault="000C7BE2" w:rsidP="00AA291E">
            <w:pPr>
              <w:rPr>
                <w:rFonts w:ascii="Arial Narrow" w:hAnsi="Arial Narrow"/>
                <w:b/>
                <w:bCs/>
                <w:color w:val="333333"/>
                <w:sz w:val="18"/>
                <w:szCs w:val="18"/>
                <w:lang w:eastAsia="en-AU"/>
              </w:rPr>
            </w:pPr>
            <w:r w:rsidRPr="00632EF3">
              <w:rPr>
                <w:rFonts w:ascii="Arial Narrow" w:hAnsi="Arial Narrow"/>
                <w:b/>
                <w:bCs/>
                <w:color w:val="333333"/>
                <w:sz w:val="18"/>
                <w:szCs w:val="18"/>
                <w:lang w:eastAsia="en-AU"/>
              </w:rPr>
              <w:t>AND</w:t>
            </w:r>
          </w:p>
        </w:tc>
      </w:tr>
      <w:tr w:rsidR="000C7BE2" w:rsidRPr="00632EF3" w:rsidTr="00AA291E">
        <w:tblPrEx>
          <w:tblCellMar>
            <w:top w:w="15" w:type="dxa"/>
            <w:left w:w="15" w:type="dxa"/>
            <w:bottom w:w="15" w:type="dxa"/>
            <w:right w:w="15" w:type="dxa"/>
          </w:tblCellMar>
          <w:tblLook w:val="04A0" w:firstRow="1" w:lastRow="0" w:firstColumn="1" w:lastColumn="0" w:noHBand="0" w:noVBand="1"/>
        </w:tblPrEx>
        <w:tc>
          <w:tcPr>
            <w:tcW w:w="1271" w:type="dxa"/>
            <w:gridSpan w:val="2"/>
            <w:tcBorders>
              <w:top w:val="single" w:sz="4" w:space="0" w:color="auto"/>
              <w:left w:val="single" w:sz="4" w:space="0" w:color="auto"/>
              <w:bottom w:val="single" w:sz="4" w:space="0" w:color="auto"/>
              <w:right w:val="single" w:sz="4" w:space="0" w:color="auto"/>
            </w:tcBorders>
            <w:vAlign w:val="center"/>
          </w:tcPr>
          <w:p w:rsidR="000C7BE2" w:rsidRPr="00632EF3" w:rsidRDefault="000C7BE2" w:rsidP="00AA291E">
            <w:pPr>
              <w:jc w:val="center"/>
              <w:rPr>
                <w:rFonts w:ascii="Arial Narrow" w:hAnsi="Arial Narrow"/>
                <w:color w:val="333333"/>
                <w:sz w:val="18"/>
                <w:szCs w:val="18"/>
                <w:lang w:eastAsia="en-AU"/>
              </w:rPr>
            </w:pPr>
          </w:p>
        </w:tc>
        <w:tc>
          <w:tcPr>
            <w:tcW w:w="7938" w:type="dxa"/>
            <w:gridSpan w:val="6"/>
            <w:tcBorders>
              <w:top w:val="single" w:sz="4" w:space="0" w:color="auto"/>
              <w:left w:val="single" w:sz="4" w:space="0" w:color="auto"/>
              <w:bottom w:val="single" w:sz="4" w:space="0" w:color="auto"/>
              <w:right w:val="single" w:sz="4" w:space="0" w:color="auto"/>
            </w:tcBorders>
            <w:vAlign w:val="center"/>
          </w:tcPr>
          <w:p w:rsidR="000C7BE2" w:rsidRPr="00632EF3" w:rsidRDefault="000C7BE2" w:rsidP="00AA291E">
            <w:pPr>
              <w:rPr>
                <w:rFonts w:ascii="Arial Narrow" w:hAnsi="Arial Narrow"/>
                <w:b/>
                <w:bCs/>
                <w:color w:val="333333"/>
                <w:sz w:val="18"/>
                <w:szCs w:val="18"/>
                <w:lang w:eastAsia="en-AU"/>
              </w:rPr>
            </w:pPr>
            <w:r w:rsidRPr="00632EF3">
              <w:rPr>
                <w:rFonts w:ascii="Arial Narrow" w:hAnsi="Arial Narrow"/>
                <w:b/>
                <w:bCs/>
                <w:color w:val="333333"/>
                <w:sz w:val="18"/>
                <w:szCs w:val="18"/>
                <w:lang w:eastAsia="en-AU"/>
              </w:rPr>
              <w:t>Clinical criteria:</w:t>
            </w:r>
          </w:p>
        </w:tc>
      </w:tr>
      <w:tr w:rsidR="000C7BE2" w:rsidRPr="00632EF3" w:rsidTr="00AA291E">
        <w:tblPrEx>
          <w:tblCellMar>
            <w:top w:w="15" w:type="dxa"/>
            <w:left w:w="15" w:type="dxa"/>
            <w:bottom w:w="15" w:type="dxa"/>
            <w:right w:w="15" w:type="dxa"/>
          </w:tblCellMar>
          <w:tblLook w:val="04A0" w:firstRow="1" w:lastRow="0" w:firstColumn="1" w:lastColumn="0" w:noHBand="0" w:noVBand="1"/>
        </w:tblPrEx>
        <w:tc>
          <w:tcPr>
            <w:tcW w:w="1271" w:type="dxa"/>
            <w:gridSpan w:val="2"/>
            <w:tcBorders>
              <w:top w:val="single" w:sz="4" w:space="0" w:color="auto"/>
              <w:left w:val="single" w:sz="4" w:space="0" w:color="auto"/>
              <w:bottom w:val="single" w:sz="4" w:space="0" w:color="auto"/>
              <w:right w:val="single" w:sz="4" w:space="0" w:color="auto"/>
            </w:tcBorders>
            <w:vAlign w:val="center"/>
          </w:tcPr>
          <w:p w:rsidR="000C7BE2" w:rsidRPr="00632EF3" w:rsidRDefault="000C7BE2" w:rsidP="00AA291E">
            <w:pPr>
              <w:jc w:val="center"/>
              <w:rPr>
                <w:rFonts w:ascii="Arial Narrow" w:hAnsi="Arial Narrow"/>
                <w:color w:val="333333"/>
                <w:sz w:val="18"/>
                <w:szCs w:val="18"/>
                <w:lang w:eastAsia="en-AU"/>
              </w:rPr>
            </w:pPr>
          </w:p>
        </w:tc>
        <w:tc>
          <w:tcPr>
            <w:tcW w:w="7938" w:type="dxa"/>
            <w:gridSpan w:val="6"/>
            <w:tcBorders>
              <w:top w:val="single" w:sz="4" w:space="0" w:color="auto"/>
              <w:left w:val="single" w:sz="4" w:space="0" w:color="auto"/>
              <w:bottom w:val="single" w:sz="4" w:space="0" w:color="auto"/>
              <w:right w:val="single" w:sz="4" w:space="0" w:color="auto"/>
            </w:tcBorders>
            <w:vAlign w:val="center"/>
          </w:tcPr>
          <w:p w:rsidR="000C7BE2" w:rsidRPr="00632EF3" w:rsidRDefault="000C7BE2" w:rsidP="00AA291E">
            <w:pPr>
              <w:rPr>
                <w:rFonts w:ascii="Arial Narrow" w:hAnsi="Arial Narrow"/>
                <w:bCs/>
                <w:color w:val="333333"/>
                <w:sz w:val="18"/>
                <w:szCs w:val="18"/>
                <w:lang w:eastAsia="en-AU"/>
              </w:rPr>
            </w:pPr>
            <w:r w:rsidRPr="00632EF3">
              <w:rPr>
                <w:rFonts w:ascii="Arial Narrow" w:hAnsi="Arial Narrow"/>
                <w:bCs/>
                <w:color w:val="333333"/>
                <w:sz w:val="18"/>
                <w:szCs w:val="18"/>
                <w:lang w:eastAsia="en-AU"/>
              </w:rPr>
              <w:t>The treatment must be administered with human chorionic gonadotrophin</w:t>
            </w:r>
          </w:p>
        </w:tc>
      </w:tr>
      <w:tr w:rsidR="000C7BE2" w:rsidRPr="00632EF3" w:rsidTr="00AA291E">
        <w:tblPrEx>
          <w:tblCellMar>
            <w:top w:w="15" w:type="dxa"/>
            <w:left w:w="15" w:type="dxa"/>
            <w:bottom w:w="15" w:type="dxa"/>
            <w:right w:w="15" w:type="dxa"/>
          </w:tblCellMar>
          <w:tblLook w:val="04A0" w:firstRow="1" w:lastRow="0" w:firstColumn="1" w:lastColumn="0" w:noHBand="0" w:noVBand="1"/>
        </w:tblPrEx>
        <w:tc>
          <w:tcPr>
            <w:tcW w:w="1271" w:type="dxa"/>
            <w:gridSpan w:val="2"/>
            <w:tcBorders>
              <w:top w:val="single" w:sz="4" w:space="0" w:color="auto"/>
              <w:left w:val="single" w:sz="4" w:space="0" w:color="auto"/>
              <w:bottom w:val="single" w:sz="4" w:space="0" w:color="auto"/>
              <w:right w:val="single" w:sz="4" w:space="0" w:color="auto"/>
            </w:tcBorders>
            <w:vAlign w:val="center"/>
          </w:tcPr>
          <w:p w:rsidR="000C7BE2" w:rsidRPr="00632EF3" w:rsidRDefault="000C7BE2" w:rsidP="00AA291E">
            <w:pPr>
              <w:jc w:val="center"/>
              <w:rPr>
                <w:rFonts w:ascii="Arial Narrow" w:hAnsi="Arial Narrow"/>
                <w:color w:val="333333"/>
                <w:sz w:val="18"/>
                <w:szCs w:val="18"/>
                <w:lang w:eastAsia="en-AU"/>
              </w:rPr>
            </w:pPr>
          </w:p>
        </w:tc>
        <w:tc>
          <w:tcPr>
            <w:tcW w:w="7938" w:type="dxa"/>
            <w:gridSpan w:val="6"/>
            <w:tcBorders>
              <w:top w:val="single" w:sz="4" w:space="0" w:color="auto"/>
              <w:left w:val="single" w:sz="4" w:space="0" w:color="auto"/>
              <w:bottom w:val="single" w:sz="4" w:space="0" w:color="auto"/>
              <w:right w:val="single" w:sz="4" w:space="0" w:color="auto"/>
            </w:tcBorders>
            <w:vAlign w:val="center"/>
          </w:tcPr>
          <w:p w:rsidR="000C7BE2" w:rsidRPr="00632EF3" w:rsidRDefault="000C7BE2" w:rsidP="00AA291E">
            <w:pPr>
              <w:rPr>
                <w:rFonts w:ascii="Arial Narrow" w:hAnsi="Arial Narrow"/>
                <w:b/>
                <w:bCs/>
                <w:color w:val="333333"/>
                <w:sz w:val="18"/>
                <w:szCs w:val="18"/>
                <w:lang w:eastAsia="en-AU"/>
              </w:rPr>
            </w:pPr>
            <w:r w:rsidRPr="00632EF3">
              <w:rPr>
                <w:rFonts w:ascii="Arial Narrow" w:hAnsi="Arial Narrow"/>
                <w:b/>
                <w:bCs/>
                <w:color w:val="333333"/>
                <w:sz w:val="18"/>
                <w:szCs w:val="18"/>
                <w:lang w:eastAsia="en-AU"/>
              </w:rPr>
              <w:t>Administrative Advice:</w:t>
            </w:r>
          </w:p>
          <w:p w:rsidR="000C7BE2" w:rsidRPr="00632EF3" w:rsidRDefault="000C7BE2" w:rsidP="00AA291E">
            <w:pPr>
              <w:rPr>
                <w:rFonts w:ascii="Arial Narrow" w:hAnsi="Arial Narrow"/>
                <w:bCs/>
                <w:color w:val="333333"/>
                <w:sz w:val="18"/>
                <w:szCs w:val="18"/>
                <w:lang w:eastAsia="en-AU"/>
              </w:rPr>
            </w:pPr>
            <w:r w:rsidRPr="00632EF3">
              <w:rPr>
                <w:rFonts w:ascii="Arial Narrow" w:hAnsi="Arial Narrow"/>
                <w:bCs/>
                <w:color w:val="333333"/>
                <w:sz w:val="18"/>
                <w:szCs w:val="18"/>
                <w:lang w:eastAsia="en-AU"/>
              </w:rPr>
              <w:t>Except in cases of hypopituitarism or primary amenorrhoea, the patient should have been adequately treated with clomifene citrate and/or gonadorelin and failed to have conceived.</w:t>
            </w:r>
          </w:p>
        </w:tc>
      </w:tr>
      <w:tr w:rsidR="000C7BE2" w:rsidRPr="00632EF3" w:rsidTr="00AA291E">
        <w:tblPrEx>
          <w:tblCellMar>
            <w:top w:w="15" w:type="dxa"/>
            <w:left w:w="15" w:type="dxa"/>
            <w:bottom w:w="15" w:type="dxa"/>
            <w:right w:w="15" w:type="dxa"/>
          </w:tblCellMar>
          <w:tblLook w:val="04A0" w:firstRow="1" w:lastRow="0" w:firstColumn="1" w:lastColumn="0" w:noHBand="0" w:noVBand="1"/>
        </w:tblPrEx>
        <w:tc>
          <w:tcPr>
            <w:tcW w:w="1271" w:type="dxa"/>
            <w:gridSpan w:val="2"/>
            <w:tcBorders>
              <w:top w:val="single" w:sz="4" w:space="0" w:color="auto"/>
              <w:left w:val="single" w:sz="4" w:space="0" w:color="auto"/>
              <w:bottom w:val="single" w:sz="4" w:space="0" w:color="auto"/>
              <w:right w:val="single" w:sz="4" w:space="0" w:color="auto"/>
            </w:tcBorders>
            <w:vAlign w:val="center"/>
          </w:tcPr>
          <w:p w:rsidR="000C7BE2" w:rsidRPr="00632EF3" w:rsidRDefault="000C7BE2" w:rsidP="00AA291E">
            <w:pPr>
              <w:jc w:val="center"/>
              <w:rPr>
                <w:rFonts w:ascii="Arial Narrow" w:hAnsi="Arial Narrow"/>
                <w:color w:val="333333"/>
                <w:sz w:val="18"/>
                <w:szCs w:val="18"/>
                <w:lang w:eastAsia="en-AU"/>
              </w:rPr>
            </w:pPr>
          </w:p>
        </w:tc>
        <w:tc>
          <w:tcPr>
            <w:tcW w:w="7938" w:type="dxa"/>
            <w:gridSpan w:val="6"/>
            <w:tcBorders>
              <w:top w:val="single" w:sz="4" w:space="0" w:color="auto"/>
              <w:left w:val="single" w:sz="4" w:space="0" w:color="auto"/>
              <w:bottom w:val="single" w:sz="4" w:space="0" w:color="auto"/>
              <w:right w:val="single" w:sz="4" w:space="0" w:color="auto"/>
            </w:tcBorders>
            <w:vAlign w:val="center"/>
          </w:tcPr>
          <w:p w:rsidR="000C7BE2" w:rsidRPr="00632EF3" w:rsidRDefault="000C7BE2" w:rsidP="00AA291E">
            <w:pPr>
              <w:rPr>
                <w:rFonts w:ascii="Arial Narrow" w:hAnsi="Arial Narrow"/>
                <w:b/>
                <w:bCs/>
                <w:color w:val="333333"/>
                <w:sz w:val="18"/>
                <w:szCs w:val="18"/>
                <w:lang w:eastAsia="en-AU"/>
              </w:rPr>
            </w:pPr>
            <w:r w:rsidRPr="00632EF3">
              <w:rPr>
                <w:rFonts w:ascii="Arial Narrow" w:hAnsi="Arial Narrow"/>
                <w:b/>
                <w:bCs/>
                <w:color w:val="333333"/>
                <w:sz w:val="18"/>
                <w:szCs w:val="18"/>
                <w:lang w:eastAsia="en-AU"/>
              </w:rPr>
              <w:t>Administrative Advice:</w:t>
            </w:r>
          </w:p>
          <w:p w:rsidR="000C7BE2" w:rsidRPr="00632EF3" w:rsidRDefault="000C7BE2" w:rsidP="00AA291E">
            <w:pPr>
              <w:rPr>
                <w:rFonts w:ascii="Arial Narrow" w:hAnsi="Arial Narrow"/>
                <w:bCs/>
                <w:color w:val="333333"/>
                <w:sz w:val="18"/>
                <w:szCs w:val="18"/>
                <w:lang w:eastAsia="en-AU"/>
              </w:rPr>
            </w:pPr>
            <w:r w:rsidRPr="00632EF3">
              <w:rPr>
                <w:rFonts w:ascii="Arial Narrow" w:hAnsi="Arial Narrow"/>
                <w:bCs/>
                <w:color w:val="333333"/>
                <w:sz w:val="18"/>
                <w:szCs w:val="18"/>
                <w:lang w:eastAsia="en-AU"/>
              </w:rPr>
              <w:t>Patients with hyperprolactinaemia should have had appropriate surgical or medical treatment prior to treatment.</w:t>
            </w:r>
          </w:p>
        </w:tc>
      </w:tr>
    </w:tbl>
    <w:p w:rsidR="00A976B0" w:rsidRPr="00632EF3" w:rsidRDefault="00A976B0" w:rsidP="00F104E2"/>
    <w:p w:rsidR="00210FAB" w:rsidRPr="00632EF3" w:rsidRDefault="00ED0DFE" w:rsidP="0003076D">
      <w:pPr>
        <w:pStyle w:val="3-BodyText"/>
      </w:pPr>
      <w:r w:rsidRPr="00632EF3">
        <w:t xml:space="preserve">Flow-on changes to Gonal-f and Bemfola to reflect the presence of </w:t>
      </w:r>
      <w:r w:rsidR="00171AB6" w:rsidRPr="00632EF3">
        <w:t xml:space="preserve">a second </w:t>
      </w:r>
      <w:r w:rsidRPr="00632EF3">
        <w:t>biosimilar brand</w:t>
      </w:r>
      <w:r w:rsidR="002D6346" w:rsidRPr="00632EF3">
        <w:t xml:space="preserve"> ,</w:t>
      </w:r>
      <w:r w:rsidR="00171AB6" w:rsidRPr="00632EF3">
        <w:t xml:space="preserve"> are summarised as follows: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88"/>
        <w:gridCol w:w="6945"/>
        <w:gridCol w:w="1276"/>
      </w:tblGrid>
      <w:tr w:rsidR="00210FAB" w:rsidRPr="00632EF3" w:rsidTr="00632EF3">
        <w:tc>
          <w:tcPr>
            <w:tcW w:w="9209" w:type="dxa"/>
            <w:gridSpan w:val="3"/>
            <w:tcBorders>
              <w:top w:val="single" w:sz="4" w:space="0" w:color="auto"/>
              <w:left w:val="single" w:sz="4" w:space="0" w:color="auto"/>
              <w:right w:val="single" w:sz="4" w:space="0" w:color="auto"/>
            </w:tcBorders>
          </w:tcPr>
          <w:p w:rsidR="00210FAB" w:rsidRPr="00632EF3" w:rsidRDefault="00210FAB" w:rsidP="00632EF3">
            <w:pPr>
              <w:ind w:left="57"/>
              <w:rPr>
                <w:rFonts w:ascii="Arial Narrow" w:hAnsi="Arial Narrow" w:cs="Arial"/>
                <w:b/>
                <w:sz w:val="18"/>
                <w:szCs w:val="18"/>
              </w:rPr>
            </w:pPr>
            <w:r w:rsidRPr="00632EF3">
              <w:rPr>
                <w:rFonts w:ascii="Arial Narrow" w:hAnsi="Arial Narrow"/>
                <w:b/>
                <w:sz w:val="18"/>
                <w:szCs w:val="18"/>
              </w:rPr>
              <w:t xml:space="preserve">Restriction Summary / Treatment of Concept: 5027 Authority Required (Streamlined) </w:t>
            </w:r>
            <w:r w:rsidRPr="00632EF3">
              <w:rPr>
                <w:rFonts w:ascii="Arial Narrow" w:hAnsi="Arial Narrow"/>
                <w:sz w:val="18"/>
                <w:szCs w:val="18"/>
              </w:rPr>
              <w:t>(current as at 1 July 2021)</w:t>
            </w:r>
          </w:p>
        </w:tc>
      </w:tr>
      <w:tr w:rsidR="00210FAB" w:rsidRPr="00632EF3" w:rsidTr="00632EF3">
        <w:tc>
          <w:tcPr>
            <w:tcW w:w="988" w:type="dxa"/>
            <w:vMerge w:val="restart"/>
            <w:tcBorders>
              <w:top w:val="single" w:sz="4" w:space="0" w:color="auto"/>
              <w:left w:val="single" w:sz="4" w:space="0" w:color="auto"/>
              <w:right w:val="single" w:sz="4" w:space="0" w:color="auto"/>
            </w:tcBorders>
          </w:tcPr>
          <w:p w:rsidR="00210FAB" w:rsidRPr="00632EF3" w:rsidRDefault="00210FAB" w:rsidP="00632EF3">
            <w:pPr>
              <w:jc w:val="center"/>
              <w:rPr>
                <w:rFonts w:ascii="Arial Narrow" w:hAnsi="Arial Narrow" w:cs="Arial"/>
                <w:b/>
                <w:sz w:val="18"/>
                <w:szCs w:val="18"/>
              </w:rPr>
            </w:pPr>
          </w:p>
        </w:tc>
        <w:tc>
          <w:tcPr>
            <w:tcW w:w="8221" w:type="dxa"/>
            <w:gridSpan w:val="2"/>
            <w:tcBorders>
              <w:top w:val="single" w:sz="4" w:space="0" w:color="auto"/>
              <w:left w:val="single" w:sz="4" w:space="0" w:color="auto"/>
              <w:bottom w:val="single" w:sz="4" w:space="0" w:color="auto"/>
              <w:right w:val="single" w:sz="4" w:space="0" w:color="auto"/>
            </w:tcBorders>
          </w:tcPr>
          <w:p w:rsidR="00210FAB" w:rsidRPr="00632EF3" w:rsidRDefault="00210FAB" w:rsidP="00632EF3">
            <w:pPr>
              <w:rPr>
                <w:rFonts w:ascii="Arial Narrow" w:hAnsi="Arial Narrow" w:cs="Arial"/>
                <w:b/>
                <w:sz w:val="18"/>
                <w:szCs w:val="18"/>
              </w:rPr>
            </w:pPr>
            <w:r w:rsidRPr="00632EF3">
              <w:rPr>
                <w:rFonts w:ascii="Arial Narrow" w:hAnsi="Arial Narrow" w:cs="Arial"/>
                <w:b/>
                <w:sz w:val="18"/>
                <w:szCs w:val="18"/>
              </w:rPr>
              <w:t xml:space="preserve">Category / Program: </w:t>
            </w:r>
            <w:r w:rsidRPr="00632EF3">
              <w:rPr>
                <w:rFonts w:ascii="Arial Narrow" w:hAnsi="Arial Narrow" w:cs="Arial"/>
                <w:bCs/>
                <w:sz w:val="18"/>
                <w:szCs w:val="18"/>
              </w:rPr>
              <w:t>Section 100 (IVF Treatment)</w:t>
            </w:r>
          </w:p>
        </w:tc>
      </w:tr>
      <w:tr w:rsidR="00210FAB" w:rsidRPr="00632EF3" w:rsidTr="00632EF3">
        <w:tc>
          <w:tcPr>
            <w:tcW w:w="988" w:type="dxa"/>
            <w:vMerge/>
            <w:tcBorders>
              <w:left w:val="single" w:sz="4" w:space="0" w:color="auto"/>
              <w:right w:val="single" w:sz="4" w:space="0" w:color="auto"/>
            </w:tcBorders>
          </w:tcPr>
          <w:p w:rsidR="00210FAB" w:rsidRPr="00632EF3" w:rsidRDefault="00210FAB" w:rsidP="00632EF3">
            <w:pPr>
              <w:jc w:val="center"/>
              <w:rPr>
                <w:rFonts w:ascii="Arial Narrow" w:hAnsi="Arial Narrow" w:cs="Arial"/>
                <w:sz w:val="18"/>
                <w:szCs w:val="18"/>
              </w:rPr>
            </w:pPr>
          </w:p>
        </w:tc>
        <w:tc>
          <w:tcPr>
            <w:tcW w:w="8221" w:type="dxa"/>
            <w:gridSpan w:val="2"/>
            <w:tcBorders>
              <w:top w:val="single" w:sz="4" w:space="0" w:color="auto"/>
              <w:left w:val="single" w:sz="4" w:space="0" w:color="auto"/>
              <w:bottom w:val="single" w:sz="4" w:space="0" w:color="auto"/>
              <w:right w:val="single" w:sz="4" w:space="0" w:color="auto"/>
            </w:tcBorders>
          </w:tcPr>
          <w:p w:rsidR="00210FAB" w:rsidRPr="00632EF3" w:rsidRDefault="00210FAB" w:rsidP="00632EF3">
            <w:pPr>
              <w:rPr>
                <w:rFonts w:ascii="Arial Narrow" w:hAnsi="Arial Narrow" w:cs="Arial"/>
                <w:sz w:val="18"/>
                <w:szCs w:val="18"/>
              </w:rPr>
            </w:pPr>
            <w:r w:rsidRPr="00632EF3">
              <w:rPr>
                <w:rFonts w:ascii="Arial Narrow" w:hAnsi="Arial Narrow" w:cs="Arial"/>
                <w:b/>
                <w:sz w:val="18"/>
                <w:szCs w:val="18"/>
              </w:rPr>
              <w:t xml:space="preserve">MEDICINAL PRODUCT:   </w:t>
            </w:r>
            <w:r w:rsidRPr="00632EF3">
              <w:rPr>
                <w:rFonts w:ascii="Arial Narrow" w:hAnsi="Arial Narrow" w:cs="Arial"/>
                <w:sz w:val="18"/>
                <w:szCs w:val="18"/>
              </w:rPr>
              <w:t>FOLLITROPIN ALFA</w:t>
            </w:r>
          </w:p>
        </w:tc>
      </w:tr>
      <w:tr w:rsidR="00210FAB" w:rsidRPr="00632EF3" w:rsidTr="00632EF3">
        <w:trPr>
          <w:trHeight w:val="260"/>
        </w:trPr>
        <w:tc>
          <w:tcPr>
            <w:tcW w:w="988" w:type="dxa"/>
            <w:vMerge/>
            <w:tcBorders>
              <w:left w:val="single" w:sz="4" w:space="0" w:color="auto"/>
              <w:right w:val="single" w:sz="4" w:space="0" w:color="auto"/>
            </w:tcBorders>
          </w:tcPr>
          <w:p w:rsidR="00210FAB" w:rsidRPr="00632EF3" w:rsidRDefault="00210FAB" w:rsidP="00632EF3">
            <w:pPr>
              <w:jc w:val="center"/>
              <w:rPr>
                <w:rFonts w:ascii="Arial Narrow" w:hAnsi="Arial Narrow" w:cs="Arial"/>
                <w:b/>
                <w:sz w:val="18"/>
                <w:szCs w:val="18"/>
              </w:rPr>
            </w:pPr>
          </w:p>
        </w:tc>
        <w:tc>
          <w:tcPr>
            <w:tcW w:w="6945" w:type="dxa"/>
            <w:tcBorders>
              <w:top w:val="single" w:sz="4" w:space="0" w:color="auto"/>
              <w:left w:val="single" w:sz="4" w:space="0" w:color="auto"/>
              <w:bottom w:val="single" w:sz="4" w:space="0" w:color="auto"/>
              <w:right w:val="single" w:sz="4" w:space="0" w:color="auto"/>
            </w:tcBorders>
          </w:tcPr>
          <w:p w:rsidR="00210FAB" w:rsidRPr="00632EF3" w:rsidRDefault="00210FAB" w:rsidP="00632EF3">
            <w:pPr>
              <w:rPr>
                <w:rFonts w:ascii="Arial Narrow" w:hAnsi="Arial Narrow" w:cs="Arial"/>
                <w:b/>
                <w:sz w:val="18"/>
                <w:szCs w:val="18"/>
              </w:rPr>
            </w:pPr>
            <w:r w:rsidRPr="00632EF3">
              <w:rPr>
                <w:rFonts w:ascii="Arial Narrow" w:hAnsi="Arial Narrow" w:cs="Arial"/>
                <w:b/>
                <w:sz w:val="18"/>
                <w:szCs w:val="18"/>
              </w:rPr>
              <w:t xml:space="preserve">medicinal product pack (Trade product): </w:t>
            </w:r>
          </w:p>
        </w:tc>
        <w:tc>
          <w:tcPr>
            <w:tcW w:w="1276" w:type="dxa"/>
            <w:tcBorders>
              <w:top w:val="single" w:sz="4" w:space="0" w:color="auto"/>
              <w:left w:val="single" w:sz="4" w:space="0" w:color="auto"/>
              <w:bottom w:val="single" w:sz="4" w:space="0" w:color="auto"/>
              <w:right w:val="single" w:sz="4" w:space="0" w:color="auto"/>
            </w:tcBorders>
          </w:tcPr>
          <w:p w:rsidR="00210FAB" w:rsidRPr="00632EF3" w:rsidRDefault="00210FAB" w:rsidP="00632EF3">
            <w:pPr>
              <w:rPr>
                <w:rFonts w:ascii="Arial Narrow" w:hAnsi="Arial Narrow" w:cs="Arial"/>
                <w:b/>
                <w:sz w:val="18"/>
                <w:szCs w:val="18"/>
              </w:rPr>
            </w:pPr>
            <w:r w:rsidRPr="00632EF3">
              <w:rPr>
                <w:rFonts w:ascii="Arial Narrow" w:hAnsi="Arial Narrow" w:cs="Arial"/>
                <w:b/>
                <w:sz w:val="18"/>
                <w:szCs w:val="18"/>
              </w:rPr>
              <w:t>PBS item code</w:t>
            </w:r>
          </w:p>
        </w:tc>
      </w:tr>
      <w:tr w:rsidR="00210FAB" w:rsidRPr="00632EF3" w:rsidTr="00210FAB">
        <w:trPr>
          <w:trHeight w:val="272"/>
        </w:trPr>
        <w:tc>
          <w:tcPr>
            <w:tcW w:w="988" w:type="dxa"/>
            <w:vMerge/>
            <w:tcBorders>
              <w:left w:val="single" w:sz="4" w:space="0" w:color="auto"/>
              <w:right w:val="single" w:sz="4" w:space="0" w:color="auto"/>
            </w:tcBorders>
          </w:tcPr>
          <w:p w:rsidR="00210FAB" w:rsidRPr="00632EF3" w:rsidRDefault="00210FAB" w:rsidP="00632EF3">
            <w:pPr>
              <w:jc w:val="center"/>
              <w:rPr>
                <w:rFonts w:ascii="Arial Narrow" w:hAnsi="Arial Narrow" w:cs="Arial"/>
                <w:b/>
                <w:sz w:val="18"/>
                <w:szCs w:val="18"/>
              </w:rPr>
            </w:pPr>
          </w:p>
        </w:tc>
        <w:tc>
          <w:tcPr>
            <w:tcW w:w="6945" w:type="dxa"/>
            <w:tcBorders>
              <w:top w:val="single" w:sz="4" w:space="0" w:color="auto"/>
              <w:left w:val="single" w:sz="4" w:space="0" w:color="auto"/>
              <w:bottom w:val="single" w:sz="4" w:space="0" w:color="auto"/>
              <w:right w:val="single" w:sz="4" w:space="0" w:color="auto"/>
            </w:tcBorders>
          </w:tcPr>
          <w:p w:rsidR="00210FAB" w:rsidRPr="00632EF3" w:rsidRDefault="00210FAB" w:rsidP="00632EF3">
            <w:pPr>
              <w:rPr>
                <w:rFonts w:ascii="Arial Narrow" w:hAnsi="Arial Narrow" w:cs="Arial"/>
                <w:bCs/>
                <w:sz w:val="18"/>
                <w:szCs w:val="18"/>
              </w:rPr>
            </w:pPr>
            <w:r w:rsidRPr="00632EF3">
              <w:rPr>
                <w:rFonts w:ascii="Arial Narrow" w:hAnsi="Arial Narrow" w:cs="Arial"/>
                <w:bCs/>
                <w:sz w:val="18"/>
                <w:szCs w:val="18"/>
              </w:rPr>
              <w:t>follitropin alfa 300 units (21.84 microgram)/0.5 mL injection, 0.5 mL pen device (Gonal F 300)</w:t>
            </w:r>
          </w:p>
          <w:p w:rsidR="00210FAB" w:rsidRPr="00632EF3" w:rsidRDefault="00210FAB" w:rsidP="00632EF3">
            <w:pPr>
              <w:rPr>
                <w:rFonts w:ascii="Arial Narrow" w:hAnsi="Arial Narrow" w:cs="Arial"/>
                <w:bCs/>
                <w:sz w:val="18"/>
                <w:szCs w:val="18"/>
              </w:rPr>
            </w:pPr>
          </w:p>
        </w:tc>
        <w:tc>
          <w:tcPr>
            <w:tcW w:w="1276" w:type="dxa"/>
            <w:tcBorders>
              <w:top w:val="single" w:sz="4" w:space="0" w:color="auto"/>
              <w:left w:val="single" w:sz="4" w:space="0" w:color="auto"/>
              <w:bottom w:val="single" w:sz="4" w:space="0" w:color="auto"/>
              <w:right w:val="single" w:sz="4" w:space="0" w:color="auto"/>
            </w:tcBorders>
          </w:tcPr>
          <w:p w:rsidR="00210FAB" w:rsidRPr="00632EF3" w:rsidRDefault="00210FAB" w:rsidP="00632EF3">
            <w:pPr>
              <w:jc w:val="center"/>
              <w:rPr>
                <w:rFonts w:ascii="Arial Narrow" w:hAnsi="Arial Narrow" w:cs="Arial"/>
                <w:bCs/>
                <w:sz w:val="18"/>
                <w:szCs w:val="18"/>
              </w:rPr>
            </w:pPr>
            <w:r w:rsidRPr="00632EF3">
              <w:rPr>
                <w:rFonts w:ascii="Arial Narrow" w:hAnsi="Arial Narrow" w:cs="Arial"/>
                <w:bCs/>
                <w:sz w:val="18"/>
                <w:szCs w:val="18"/>
              </w:rPr>
              <w:t>6431L</w:t>
            </w:r>
          </w:p>
        </w:tc>
      </w:tr>
      <w:tr w:rsidR="00210FAB" w:rsidRPr="00632EF3" w:rsidTr="00632EF3">
        <w:trPr>
          <w:trHeight w:val="216"/>
        </w:trPr>
        <w:tc>
          <w:tcPr>
            <w:tcW w:w="988" w:type="dxa"/>
            <w:vMerge/>
            <w:tcBorders>
              <w:left w:val="single" w:sz="4" w:space="0" w:color="auto"/>
              <w:right w:val="single" w:sz="4" w:space="0" w:color="auto"/>
            </w:tcBorders>
          </w:tcPr>
          <w:p w:rsidR="00210FAB" w:rsidRPr="00632EF3" w:rsidRDefault="00210FAB" w:rsidP="00632EF3">
            <w:pPr>
              <w:jc w:val="center"/>
              <w:rPr>
                <w:rFonts w:ascii="Arial Narrow" w:hAnsi="Arial Narrow" w:cs="Arial"/>
                <w:b/>
                <w:sz w:val="18"/>
                <w:szCs w:val="18"/>
              </w:rPr>
            </w:pPr>
          </w:p>
        </w:tc>
        <w:tc>
          <w:tcPr>
            <w:tcW w:w="6945" w:type="dxa"/>
            <w:tcBorders>
              <w:top w:val="single" w:sz="4" w:space="0" w:color="auto"/>
              <w:left w:val="single" w:sz="4" w:space="0" w:color="auto"/>
              <w:bottom w:val="single" w:sz="4" w:space="0" w:color="auto"/>
              <w:right w:val="single" w:sz="4" w:space="0" w:color="auto"/>
            </w:tcBorders>
          </w:tcPr>
          <w:p w:rsidR="00210FAB" w:rsidRPr="00632EF3" w:rsidRDefault="00210FAB" w:rsidP="00632EF3">
            <w:pPr>
              <w:rPr>
                <w:rFonts w:ascii="Arial Narrow" w:hAnsi="Arial Narrow" w:cs="Arial"/>
                <w:bCs/>
                <w:sz w:val="18"/>
                <w:szCs w:val="18"/>
              </w:rPr>
            </w:pPr>
            <w:r w:rsidRPr="00632EF3">
              <w:rPr>
                <w:rFonts w:ascii="Arial Narrow" w:hAnsi="Arial Narrow" w:cs="Arial"/>
                <w:bCs/>
                <w:sz w:val="18"/>
                <w:szCs w:val="18"/>
              </w:rPr>
              <w:t>follitropin alfa 450 units (32.76 microgram)/0.75 mL injection, 0.75 mL pen device (Gonal F 450)</w:t>
            </w:r>
          </w:p>
          <w:p w:rsidR="00210FAB" w:rsidRPr="00632EF3" w:rsidRDefault="00210FAB" w:rsidP="00632EF3">
            <w:pPr>
              <w:rPr>
                <w:rFonts w:ascii="Arial Narrow" w:hAnsi="Arial Narrow" w:cs="Arial"/>
                <w:bCs/>
                <w:sz w:val="18"/>
                <w:szCs w:val="18"/>
              </w:rPr>
            </w:pPr>
          </w:p>
        </w:tc>
        <w:tc>
          <w:tcPr>
            <w:tcW w:w="1276" w:type="dxa"/>
            <w:tcBorders>
              <w:top w:val="single" w:sz="4" w:space="0" w:color="auto"/>
              <w:left w:val="single" w:sz="4" w:space="0" w:color="auto"/>
              <w:bottom w:val="single" w:sz="4" w:space="0" w:color="auto"/>
              <w:right w:val="single" w:sz="4" w:space="0" w:color="auto"/>
            </w:tcBorders>
          </w:tcPr>
          <w:p w:rsidR="00210FAB" w:rsidRPr="00632EF3" w:rsidRDefault="00210FAB" w:rsidP="00632EF3">
            <w:pPr>
              <w:jc w:val="center"/>
              <w:rPr>
                <w:rFonts w:ascii="Arial Narrow" w:hAnsi="Arial Narrow" w:cs="Arial"/>
                <w:bCs/>
                <w:sz w:val="18"/>
                <w:szCs w:val="18"/>
              </w:rPr>
            </w:pPr>
            <w:r w:rsidRPr="00632EF3">
              <w:rPr>
                <w:rFonts w:ascii="Arial Narrow" w:hAnsi="Arial Narrow" w:cs="Arial"/>
                <w:bCs/>
                <w:sz w:val="18"/>
                <w:szCs w:val="18"/>
              </w:rPr>
              <w:t>6432M</w:t>
            </w:r>
          </w:p>
        </w:tc>
      </w:tr>
      <w:tr w:rsidR="00210FAB" w:rsidRPr="00632EF3" w:rsidTr="00632EF3">
        <w:trPr>
          <w:trHeight w:val="338"/>
        </w:trPr>
        <w:tc>
          <w:tcPr>
            <w:tcW w:w="988" w:type="dxa"/>
            <w:vMerge/>
            <w:tcBorders>
              <w:left w:val="single" w:sz="4" w:space="0" w:color="auto"/>
              <w:right w:val="single" w:sz="4" w:space="0" w:color="auto"/>
            </w:tcBorders>
          </w:tcPr>
          <w:p w:rsidR="00210FAB" w:rsidRPr="00632EF3" w:rsidRDefault="00210FAB" w:rsidP="00632EF3">
            <w:pPr>
              <w:jc w:val="center"/>
              <w:rPr>
                <w:rFonts w:ascii="Arial Narrow" w:hAnsi="Arial Narrow" w:cs="Arial"/>
                <w:b/>
                <w:sz w:val="18"/>
                <w:szCs w:val="18"/>
              </w:rPr>
            </w:pPr>
          </w:p>
        </w:tc>
        <w:tc>
          <w:tcPr>
            <w:tcW w:w="6945" w:type="dxa"/>
            <w:tcBorders>
              <w:top w:val="single" w:sz="4" w:space="0" w:color="auto"/>
              <w:left w:val="single" w:sz="4" w:space="0" w:color="auto"/>
              <w:bottom w:val="single" w:sz="4" w:space="0" w:color="auto"/>
              <w:right w:val="single" w:sz="4" w:space="0" w:color="auto"/>
            </w:tcBorders>
          </w:tcPr>
          <w:p w:rsidR="00210FAB" w:rsidRPr="00632EF3" w:rsidRDefault="00210FAB" w:rsidP="00632EF3">
            <w:pPr>
              <w:rPr>
                <w:rFonts w:ascii="Arial Narrow" w:hAnsi="Arial Narrow" w:cs="Arial"/>
                <w:bCs/>
                <w:sz w:val="18"/>
                <w:szCs w:val="18"/>
              </w:rPr>
            </w:pPr>
            <w:r w:rsidRPr="00632EF3">
              <w:rPr>
                <w:rFonts w:ascii="Arial Narrow" w:hAnsi="Arial Narrow" w:cs="Arial"/>
                <w:bCs/>
                <w:sz w:val="18"/>
                <w:szCs w:val="18"/>
              </w:rPr>
              <w:t>follitropin alfa 900 units (65.52 microgram)/1.5 mL injection, 1.5 mL pen device (Gonal F 900)</w:t>
            </w:r>
          </w:p>
        </w:tc>
        <w:tc>
          <w:tcPr>
            <w:tcW w:w="1276" w:type="dxa"/>
            <w:tcBorders>
              <w:top w:val="single" w:sz="4" w:space="0" w:color="auto"/>
              <w:left w:val="single" w:sz="4" w:space="0" w:color="auto"/>
              <w:bottom w:val="single" w:sz="4" w:space="0" w:color="auto"/>
              <w:right w:val="single" w:sz="4" w:space="0" w:color="auto"/>
            </w:tcBorders>
          </w:tcPr>
          <w:p w:rsidR="00210FAB" w:rsidRPr="00632EF3" w:rsidRDefault="00210FAB" w:rsidP="00632EF3">
            <w:pPr>
              <w:jc w:val="center"/>
              <w:rPr>
                <w:rFonts w:ascii="Arial Narrow" w:hAnsi="Arial Narrow" w:cs="Arial"/>
                <w:bCs/>
                <w:sz w:val="18"/>
                <w:szCs w:val="18"/>
              </w:rPr>
            </w:pPr>
            <w:r w:rsidRPr="00632EF3">
              <w:rPr>
                <w:rFonts w:ascii="Arial Narrow" w:hAnsi="Arial Narrow" w:cs="Arial"/>
                <w:bCs/>
                <w:sz w:val="18"/>
                <w:szCs w:val="18"/>
              </w:rPr>
              <w:t>6433N</w:t>
            </w:r>
          </w:p>
        </w:tc>
      </w:tr>
      <w:tr w:rsidR="00210FAB" w:rsidRPr="00632EF3" w:rsidTr="00632EF3">
        <w:trPr>
          <w:trHeight w:val="338"/>
        </w:trPr>
        <w:tc>
          <w:tcPr>
            <w:tcW w:w="988" w:type="dxa"/>
            <w:vMerge/>
            <w:tcBorders>
              <w:left w:val="single" w:sz="4" w:space="0" w:color="auto"/>
              <w:right w:val="single" w:sz="4" w:space="0" w:color="auto"/>
            </w:tcBorders>
          </w:tcPr>
          <w:p w:rsidR="00210FAB" w:rsidRPr="00632EF3" w:rsidRDefault="00210FAB" w:rsidP="00632EF3">
            <w:pPr>
              <w:jc w:val="center"/>
              <w:rPr>
                <w:rFonts w:ascii="Arial Narrow" w:hAnsi="Arial Narrow" w:cs="Arial"/>
                <w:b/>
                <w:sz w:val="18"/>
                <w:szCs w:val="18"/>
              </w:rPr>
            </w:pPr>
          </w:p>
        </w:tc>
        <w:tc>
          <w:tcPr>
            <w:tcW w:w="6945" w:type="dxa"/>
            <w:tcBorders>
              <w:top w:val="single" w:sz="4" w:space="0" w:color="auto"/>
              <w:left w:val="single" w:sz="4" w:space="0" w:color="auto"/>
              <w:bottom w:val="single" w:sz="4" w:space="0" w:color="auto"/>
              <w:right w:val="single" w:sz="4" w:space="0" w:color="auto"/>
            </w:tcBorders>
          </w:tcPr>
          <w:p w:rsidR="00210FAB" w:rsidRPr="00632EF3" w:rsidRDefault="00210FAB" w:rsidP="00632EF3">
            <w:pPr>
              <w:rPr>
                <w:rFonts w:ascii="Arial Narrow" w:hAnsi="Arial Narrow" w:cs="Arial"/>
                <w:bCs/>
                <w:sz w:val="18"/>
                <w:szCs w:val="18"/>
              </w:rPr>
            </w:pPr>
            <w:r w:rsidRPr="00632EF3">
              <w:rPr>
                <w:rFonts w:ascii="Arial Narrow" w:hAnsi="Arial Narrow" w:cs="Arial"/>
                <w:bCs/>
                <w:sz w:val="18"/>
                <w:szCs w:val="18"/>
              </w:rPr>
              <w:t>follitropin alfa 75 units (5.5 microgram)/0.125 mL injection, 5 x 0.125 mL pen devices (Bemfola 75)</w:t>
            </w:r>
          </w:p>
        </w:tc>
        <w:tc>
          <w:tcPr>
            <w:tcW w:w="1276" w:type="dxa"/>
            <w:tcBorders>
              <w:top w:val="single" w:sz="4" w:space="0" w:color="auto"/>
              <w:left w:val="single" w:sz="4" w:space="0" w:color="auto"/>
              <w:bottom w:val="single" w:sz="4" w:space="0" w:color="auto"/>
              <w:right w:val="single" w:sz="4" w:space="0" w:color="auto"/>
            </w:tcBorders>
          </w:tcPr>
          <w:p w:rsidR="00210FAB" w:rsidRPr="00632EF3" w:rsidRDefault="00210FAB" w:rsidP="00632EF3">
            <w:pPr>
              <w:jc w:val="center"/>
              <w:rPr>
                <w:rFonts w:ascii="Arial Narrow" w:hAnsi="Arial Narrow" w:cs="Arial"/>
                <w:bCs/>
                <w:sz w:val="18"/>
                <w:szCs w:val="18"/>
              </w:rPr>
            </w:pPr>
            <w:r w:rsidRPr="00632EF3">
              <w:rPr>
                <w:rFonts w:ascii="Arial Narrow" w:hAnsi="Arial Narrow" w:cs="Arial"/>
                <w:bCs/>
                <w:sz w:val="18"/>
                <w:szCs w:val="18"/>
              </w:rPr>
              <w:t>10861P</w:t>
            </w:r>
          </w:p>
        </w:tc>
      </w:tr>
      <w:tr w:rsidR="00210FAB" w:rsidRPr="00632EF3" w:rsidTr="00632EF3">
        <w:trPr>
          <w:trHeight w:val="338"/>
        </w:trPr>
        <w:tc>
          <w:tcPr>
            <w:tcW w:w="988" w:type="dxa"/>
            <w:vMerge/>
            <w:tcBorders>
              <w:left w:val="single" w:sz="4" w:space="0" w:color="auto"/>
              <w:right w:val="single" w:sz="4" w:space="0" w:color="auto"/>
            </w:tcBorders>
          </w:tcPr>
          <w:p w:rsidR="00210FAB" w:rsidRPr="00632EF3" w:rsidRDefault="00210FAB" w:rsidP="00632EF3">
            <w:pPr>
              <w:jc w:val="center"/>
              <w:rPr>
                <w:rFonts w:ascii="Arial Narrow" w:hAnsi="Arial Narrow" w:cs="Arial"/>
                <w:b/>
                <w:sz w:val="18"/>
                <w:szCs w:val="18"/>
              </w:rPr>
            </w:pPr>
          </w:p>
        </w:tc>
        <w:tc>
          <w:tcPr>
            <w:tcW w:w="6945" w:type="dxa"/>
            <w:tcBorders>
              <w:top w:val="single" w:sz="4" w:space="0" w:color="auto"/>
              <w:left w:val="single" w:sz="4" w:space="0" w:color="auto"/>
              <w:bottom w:val="single" w:sz="4" w:space="0" w:color="auto"/>
              <w:right w:val="single" w:sz="4" w:space="0" w:color="auto"/>
            </w:tcBorders>
          </w:tcPr>
          <w:p w:rsidR="00210FAB" w:rsidRPr="00632EF3" w:rsidRDefault="00210FAB" w:rsidP="00632EF3">
            <w:pPr>
              <w:rPr>
                <w:rFonts w:ascii="Arial Narrow" w:hAnsi="Arial Narrow" w:cs="Arial"/>
                <w:bCs/>
                <w:sz w:val="18"/>
                <w:szCs w:val="18"/>
              </w:rPr>
            </w:pPr>
            <w:r w:rsidRPr="00632EF3">
              <w:rPr>
                <w:rFonts w:ascii="Arial Narrow" w:hAnsi="Arial Narrow" w:cs="Arial"/>
                <w:bCs/>
                <w:sz w:val="18"/>
                <w:szCs w:val="18"/>
              </w:rPr>
              <w:t>follitropin alfa 150 units (11 microgram)/0.25 mL injection, 5 x 0.25 mL pen devices (Bemfola 150)</w:t>
            </w:r>
          </w:p>
        </w:tc>
        <w:tc>
          <w:tcPr>
            <w:tcW w:w="1276" w:type="dxa"/>
            <w:tcBorders>
              <w:top w:val="single" w:sz="4" w:space="0" w:color="auto"/>
              <w:left w:val="single" w:sz="4" w:space="0" w:color="auto"/>
              <w:bottom w:val="single" w:sz="4" w:space="0" w:color="auto"/>
              <w:right w:val="single" w:sz="4" w:space="0" w:color="auto"/>
            </w:tcBorders>
          </w:tcPr>
          <w:p w:rsidR="00210FAB" w:rsidRPr="00632EF3" w:rsidRDefault="00210FAB" w:rsidP="00632EF3">
            <w:pPr>
              <w:jc w:val="center"/>
              <w:rPr>
                <w:rFonts w:ascii="Arial Narrow" w:hAnsi="Arial Narrow" w:cs="Arial"/>
                <w:bCs/>
                <w:sz w:val="18"/>
                <w:szCs w:val="18"/>
              </w:rPr>
            </w:pPr>
            <w:r w:rsidRPr="00632EF3">
              <w:rPr>
                <w:rFonts w:ascii="Arial Narrow" w:hAnsi="Arial Narrow" w:cs="Arial"/>
                <w:bCs/>
                <w:sz w:val="18"/>
                <w:szCs w:val="18"/>
              </w:rPr>
              <w:t>10873G</w:t>
            </w:r>
          </w:p>
        </w:tc>
      </w:tr>
      <w:tr w:rsidR="00210FAB" w:rsidRPr="00632EF3" w:rsidTr="00632EF3">
        <w:trPr>
          <w:trHeight w:val="338"/>
        </w:trPr>
        <w:tc>
          <w:tcPr>
            <w:tcW w:w="988" w:type="dxa"/>
            <w:vMerge/>
            <w:tcBorders>
              <w:left w:val="single" w:sz="4" w:space="0" w:color="auto"/>
              <w:right w:val="single" w:sz="4" w:space="0" w:color="auto"/>
            </w:tcBorders>
          </w:tcPr>
          <w:p w:rsidR="00210FAB" w:rsidRPr="00632EF3" w:rsidRDefault="00210FAB" w:rsidP="00632EF3">
            <w:pPr>
              <w:jc w:val="center"/>
              <w:rPr>
                <w:rFonts w:ascii="Arial Narrow" w:hAnsi="Arial Narrow" w:cs="Arial"/>
                <w:b/>
                <w:sz w:val="18"/>
                <w:szCs w:val="18"/>
              </w:rPr>
            </w:pPr>
          </w:p>
        </w:tc>
        <w:tc>
          <w:tcPr>
            <w:tcW w:w="6945" w:type="dxa"/>
            <w:tcBorders>
              <w:top w:val="single" w:sz="4" w:space="0" w:color="auto"/>
              <w:left w:val="single" w:sz="4" w:space="0" w:color="auto"/>
              <w:bottom w:val="single" w:sz="4" w:space="0" w:color="auto"/>
              <w:right w:val="single" w:sz="4" w:space="0" w:color="auto"/>
            </w:tcBorders>
          </w:tcPr>
          <w:p w:rsidR="00210FAB" w:rsidRPr="00632EF3" w:rsidRDefault="00210FAB" w:rsidP="00632EF3">
            <w:pPr>
              <w:rPr>
                <w:rFonts w:ascii="Arial Narrow" w:hAnsi="Arial Narrow" w:cs="Arial"/>
                <w:bCs/>
                <w:sz w:val="18"/>
                <w:szCs w:val="18"/>
              </w:rPr>
            </w:pPr>
            <w:r w:rsidRPr="00632EF3">
              <w:rPr>
                <w:rFonts w:ascii="Arial Narrow" w:hAnsi="Arial Narrow" w:cs="Arial"/>
                <w:bCs/>
                <w:sz w:val="18"/>
                <w:szCs w:val="18"/>
              </w:rPr>
              <w:t>follitropin alfa 225 units (16.5 microgram)/0.375 mL injection, 5 x 0.375 mL pen devices (Bemfola 225)</w:t>
            </w:r>
          </w:p>
        </w:tc>
        <w:tc>
          <w:tcPr>
            <w:tcW w:w="1276" w:type="dxa"/>
            <w:tcBorders>
              <w:top w:val="single" w:sz="4" w:space="0" w:color="auto"/>
              <w:left w:val="single" w:sz="4" w:space="0" w:color="auto"/>
              <w:bottom w:val="single" w:sz="4" w:space="0" w:color="auto"/>
              <w:right w:val="single" w:sz="4" w:space="0" w:color="auto"/>
            </w:tcBorders>
          </w:tcPr>
          <w:p w:rsidR="00210FAB" w:rsidRPr="00632EF3" w:rsidRDefault="00210FAB" w:rsidP="00632EF3">
            <w:pPr>
              <w:jc w:val="center"/>
              <w:rPr>
                <w:rFonts w:ascii="Arial Narrow" w:hAnsi="Arial Narrow" w:cs="Arial"/>
                <w:bCs/>
                <w:sz w:val="18"/>
                <w:szCs w:val="18"/>
              </w:rPr>
            </w:pPr>
            <w:r w:rsidRPr="00632EF3">
              <w:rPr>
                <w:rFonts w:ascii="Arial Narrow" w:hAnsi="Arial Narrow" w:cs="Arial"/>
                <w:bCs/>
                <w:sz w:val="18"/>
                <w:szCs w:val="18"/>
              </w:rPr>
              <w:t>10872F</w:t>
            </w:r>
          </w:p>
        </w:tc>
      </w:tr>
      <w:tr w:rsidR="00210FAB" w:rsidRPr="00632EF3" w:rsidTr="00632EF3">
        <w:trPr>
          <w:trHeight w:val="318"/>
        </w:trPr>
        <w:tc>
          <w:tcPr>
            <w:tcW w:w="988" w:type="dxa"/>
            <w:vMerge/>
            <w:tcBorders>
              <w:left w:val="single" w:sz="4" w:space="0" w:color="auto"/>
              <w:right w:val="single" w:sz="4" w:space="0" w:color="auto"/>
            </w:tcBorders>
          </w:tcPr>
          <w:p w:rsidR="00210FAB" w:rsidRPr="00632EF3" w:rsidRDefault="00210FAB" w:rsidP="00632EF3">
            <w:pPr>
              <w:jc w:val="center"/>
              <w:rPr>
                <w:rFonts w:ascii="Arial Narrow" w:hAnsi="Arial Narrow" w:cs="Arial"/>
                <w:b/>
                <w:sz w:val="18"/>
                <w:szCs w:val="18"/>
              </w:rPr>
            </w:pPr>
          </w:p>
        </w:tc>
        <w:tc>
          <w:tcPr>
            <w:tcW w:w="6945" w:type="dxa"/>
            <w:tcBorders>
              <w:top w:val="single" w:sz="4" w:space="0" w:color="auto"/>
              <w:left w:val="single" w:sz="4" w:space="0" w:color="auto"/>
              <w:bottom w:val="single" w:sz="4" w:space="0" w:color="auto"/>
              <w:right w:val="single" w:sz="4" w:space="0" w:color="auto"/>
            </w:tcBorders>
          </w:tcPr>
          <w:p w:rsidR="00210FAB" w:rsidRPr="00632EF3" w:rsidRDefault="00210FAB" w:rsidP="00632EF3">
            <w:pPr>
              <w:rPr>
                <w:rFonts w:ascii="Arial Narrow" w:hAnsi="Arial Narrow" w:cs="Arial"/>
                <w:bCs/>
                <w:sz w:val="18"/>
                <w:szCs w:val="18"/>
              </w:rPr>
            </w:pPr>
            <w:r w:rsidRPr="00632EF3">
              <w:rPr>
                <w:rFonts w:ascii="Arial Narrow" w:hAnsi="Arial Narrow" w:cs="Arial"/>
                <w:bCs/>
                <w:sz w:val="18"/>
                <w:szCs w:val="18"/>
              </w:rPr>
              <w:t>follitropin alfa 300 units (22 microgram)/0.5 mL injection, 5 x 0.5 mL pen devices (Bemfola 300)</w:t>
            </w:r>
          </w:p>
        </w:tc>
        <w:tc>
          <w:tcPr>
            <w:tcW w:w="1276" w:type="dxa"/>
            <w:tcBorders>
              <w:top w:val="single" w:sz="4" w:space="0" w:color="auto"/>
              <w:left w:val="single" w:sz="4" w:space="0" w:color="auto"/>
              <w:bottom w:val="single" w:sz="4" w:space="0" w:color="auto"/>
              <w:right w:val="single" w:sz="4" w:space="0" w:color="auto"/>
            </w:tcBorders>
          </w:tcPr>
          <w:p w:rsidR="00210FAB" w:rsidRPr="00632EF3" w:rsidRDefault="00210FAB" w:rsidP="00632EF3">
            <w:pPr>
              <w:jc w:val="center"/>
              <w:rPr>
                <w:rFonts w:ascii="Arial Narrow" w:hAnsi="Arial Narrow" w:cs="Arial"/>
                <w:bCs/>
                <w:sz w:val="18"/>
                <w:szCs w:val="18"/>
              </w:rPr>
            </w:pPr>
            <w:r w:rsidRPr="00632EF3">
              <w:rPr>
                <w:rFonts w:ascii="Arial Narrow" w:hAnsi="Arial Narrow" w:cs="Arial"/>
                <w:bCs/>
                <w:sz w:val="18"/>
                <w:szCs w:val="18"/>
              </w:rPr>
              <w:t>10866X</w:t>
            </w:r>
          </w:p>
        </w:tc>
      </w:tr>
      <w:tr w:rsidR="00210FAB" w:rsidRPr="00632EF3" w:rsidTr="00632EF3">
        <w:trPr>
          <w:trHeight w:val="393"/>
        </w:trPr>
        <w:tc>
          <w:tcPr>
            <w:tcW w:w="988" w:type="dxa"/>
            <w:vMerge/>
            <w:tcBorders>
              <w:left w:val="single" w:sz="4" w:space="0" w:color="auto"/>
              <w:right w:val="single" w:sz="4" w:space="0" w:color="auto"/>
            </w:tcBorders>
          </w:tcPr>
          <w:p w:rsidR="00210FAB" w:rsidRPr="00632EF3" w:rsidRDefault="00210FAB" w:rsidP="00632EF3">
            <w:pPr>
              <w:jc w:val="center"/>
              <w:rPr>
                <w:rFonts w:ascii="Arial Narrow" w:hAnsi="Arial Narrow" w:cs="Arial"/>
                <w:b/>
                <w:sz w:val="18"/>
                <w:szCs w:val="18"/>
              </w:rPr>
            </w:pPr>
          </w:p>
        </w:tc>
        <w:tc>
          <w:tcPr>
            <w:tcW w:w="6945" w:type="dxa"/>
            <w:tcBorders>
              <w:top w:val="single" w:sz="4" w:space="0" w:color="auto"/>
              <w:left w:val="single" w:sz="4" w:space="0" w:color="auto"/>
              <w:bottom w:val="single" w:sz="4" w:space="0" w:color="auto"/>
              <w:right w:val="single" w:sz="4" w:space="0" w:color="auto"/>
            </w:tcBorders>
          </w:tcPr>
          <w:p w:rsidR="00210FAB" w:rsidRPr="00632EF3" w:rsidRDefault="00210FAB" w:rsidP="00632EF3">
            <w:pPr>
              <w:rPr>
                <w:rFonts w:ascii="Arial Narrow" w:hAnsi="Arial Narrow" w:cs="Arial"/>
                <w:bCs/>
                <w:sz w:val="18"/>
                <w:szCs w:val="18"/>
              </w:rPr>
            </w:pPr>
            <w:r w:rsidRPr="00632EF3">
              <w:rPr>
                <w:rFonts w:ascii="Arial Narrow" w:hAnsi="Arial Narrow" w:cs="Arial"/>
                <w:bCs/>
                <w:sz w:val="18"/>
                <w:szCs w:val="18"/>
              </w:rPr>
              <w:t>follitropin alfa 450 units (33 microgram)/0.75 mL injection, 5 x 0.75 mL pen devices (Bemfola 450)</w:t>
            </w:r>
          </w:p>
        </w:tc>
        <w:tc>
          <w:tcPr>
            <w:tcW w:w="1276" w:type="dxa"/>
            <w:tcBorders>
              <w:top w:val="single" w:sz="4" w:space="0" w:color="auto"/>
              <w:left w:val="single" w:sz="4" w:space="0" w:color="auto"/>
              <w:bottom w:val="single" w:sz="4" w:space="0" w:color="auto"/>
              <w:right w:val="single" w:sz="4" w:space="0" w:color="auto"/>
            </w:tcBorders>
          </w:tcPr>
          <w:p w:rsidR="00210FAB" w:rsidRPr="00632EF3" w:rsidRDefault="00210FAB" w:rsidP="00632EF3">
            <w:pPr>
              <w:jc w:val="center"/>
              <w:rPr>
                <w:rFonts w:ascii="Arial Narrow" w:hAnsi="Arial Narrow" w:cs="Arial"/>
                <w:bCs/>
                <w:sz w:val="18"/>
                <w:szCs w:val="18"/>
              </w:rPr>
            </w:pPr>
            <w:r w:rsidRPr="00632EF3">
              <w:rPr>
                <w:rFonts w:ascii="Arial Narrow" w:hAnsi="Arial Narrow" w:cs="Arial"/>
                <w:bCs/>
                <w:sz w:val="18"/>
                <w:szCs w:val="18"/>
              </w:rPr>
              <w:t>10867Y</w:t>
            </w:r>
          </w:p>
        </w:tc>
      </w:tr>
      <w:tr w:rsidR="00210FAB" w:rsidRPr="00632EF3" w:rsidTr="00632EF3">
        <w:tc>
          <w:tcPr>
            <w:tcW w:w="988" w:type="dxa"/>
            <w:tcBorders>
              <w:top w:val="single" w:sz="4" w:space="0" w:color="auto"/>
              <w:left w:val="single" w:sz="4" w:space="0" w:color="auto"/>
              <w:right w:val="single" w:sz="4" w:space="0" w:color="auto"/>
            </w:tcBorders>
          </w:tcPr>
          <w:p w:rsidR="00210FAB" w:rsidRPr="00632EF3" w:rsidRDefault="00210FAB" w:rsidP="00632EF3">
            <w:pPr>
              <w:jc w:val="center"/>
              <w:rPr>
                <w:rFonts w:ascii="Arial Narrow" w:hAnsi="Arial Narrow" w:cs="Arial"/>
                <w:bCs/>
                <w:sz w:val="18"/>
                <w:szCs w:val="18"/>
              </w:rPr>
            </w:pPr>
          </w:p>
        </w:tc>
        <w:tc>
          <w:tcPr>
            <w:tcW w:w="8221" w:type="dxa"/>
            <w:gridSpan w:val="2"/>
            <w:tcBorders>
              <w:top w:val="single" w:sz="4" w:space="0" w:color="auto"/>
              <w:left w:val="single" w:sz="4" w:space="0" w:color="auto"/>
              <w:bottom w:val="single" w:sz="4" w:space="0" w:color="auto"/>
              <w:right w:val="single" w:sz="4" w:space="0" w:color="auto"/>
            </w:tcBorders>
          </w:tcPr>
          <w:p w:rsidR="00210FAB" w:rsidRPr="00632EF3" w:rsidRDefault="00210FAB" w:rsidP="00632EF3">
            <w:pPr>
              <w:rPr>
                <w:rFonts w:ascii="Arial Narrow" w:hAnsi="Arial Narrow" w:cs="Arial"/>
                <w:b/>
                <w:sz w:val="18"/>
                <w:szCs w:val="18"/>
              </w:rPr>
            </w:pPr>
            <w:r w:rsidRPr="00632EF3">
              <w:rPr>
                <w:rFonts w:ascii="Arial Narrow" w:hAnsi="Arial Narrow" w:cs="Arial"/>
                <w:b/>
                <w:sz w:val="18"/>
                <w:szCs w:val="18"/>
              </w:rPr>
              <w:t xml:space="preserve">Indication: </w:t>
            </w:r>
            <w:r w:rsidRPr="00632EF3">
              <w:rPr>
                <w:rFonts w:ascii="Arial Narrow" w:hAnsi="Arial Narrow" w:cs="Arial"/>
                <w:bCs/>
                <w:sz w:val="18"/>
                <w:szCs w:val="18"/>
              </w:rPr>
              <w:t>Assisted Reproductive Technology</w:t>
            </w:r>
          </w:p>
        </w:tc>
      </w:tr>
      <w:tr w:rsidR="00210FAB" w:rsidRPr="00632EF3" w:rsidTr="00632EF3">
        <w:trPr>
          <w:trHeight w:val="1286"/>
        </w:trPr>
        <w:tc>
          <w:tcPr>
            <w:tcW w:w="988" w:type="dxa"/>
            <w:tcBorders>
              <w:left w:val="single" w:sz="4" w:space="0" w:color="auto"/>
              <w:right w:val="single" w:sz="4" w:space="0" w:color="auto"/>
            </w:tcBorders>
          </w:tcPr>
          <w:p w:rsidR="00210FAB" w:rsidRPr="00632EF3" w:rsidRDefault="00210FAB" w:rsidP="00632EF3">
            <w:pPr>
              <w:jc w:val="center"/>
              <w:rPr>
                <w:rFonts w:ascii="Arial Narrow" w:hAnsi="Arial Narrow"/>
                <w:color w:val="333333"/>
                <w:sz w:val="18"/>
                <w:szCs w:val="18"/>
                <w:lang w:eastAsia="en-AU"/>
              </w:rPr>
            </w:pPr>
          </w:p>
        </w:tc>
        <w:tc>
          <w:tcPr>
            <w:tcW w:w="8221" w:type="dxa"/>
            <w:gridSpan w:val="2"/>
            <w:tcBorders>
              <w:top w:val="single" w:sz="4" w:space="0" w:color="auto"/>
              <w:left w:val="single" w:sz="4" w:space="0" w:color="auto"/>
              <w:right w:val="single" w:sz="4" w:space="0" w:color="auto"/>
            </w:tcBorders>
          </w:tcPr>
          <w:p w:rsidR="00210FAB" w:rsidRPr="00632EF3" w:rsidRDefault="00210FAB" w:rsidP="00632EF3">
            <w:pPr>
              <w:ind w:right="57"/>
              <w:rPr>
                <w:rFonts w:ascii="Arial Narrow" w:hAnsi="Arial Narrow"/>
                <w:b/>
                <w:bCs/>
                <w:strike/>
                <w:color w:val="333333"/>
                <w:sz w:val="18"/>
                <w:szCs w:val="18"/>
                <w:lang w:eastAsia="en-AU"/>
              </w:rPr>
            </w:pPr>
            <w:r w:rsidRPr="00632EF3">
              <w:rPr>
                <w:rFonts w:ascii="Arial Narrow" w:hAnsi="Arial Narrow"/>
                <w:b/>
                <w:bCs/>
                <w:strike/>
                <w:color w:val="333333"/>
                <w:sz w:val="18"/>
                <w:szCs w:val="18"/>
                <w:lang w:eastAsia="en-AU"/>
              </w:rPr>
              <w:t>Administrative Advice:</w:t>
            </w:r>
          </w:p>
          <w:p w:rsidR="00210FAB" w:rsidRPr="00632EF3" w:rsidRDefault="00210FAB" w:rsidP="00632EF3">
            <w:pPr>
              <w:ind w:right="57"/>
              <w:rPr>
                <w:rFonts w:ascii="Arial Narrow" w:hAnsi="Arial Narrow"/>
                <w:b/>
                <w:bCs/>
                <w:strike/>
                <w:color w:val="333333"/>
                <w:sz w:val="18"/>
                <w:szCs w:val="18"/>
                <w:lang w:eastAsia="en-AU"/>
              </w:rPr>
            </w:pPr>
            <w:r w:rsidRPr="00632EF3">
              <w:rPr>
                <w:rFonts w:ascii="Arial Narrow" w:hAnsi="Arial Narrow"/>
                <w:b/>
                <w:bCs/>
                <w:strike/>
                <w:color w:val="333333"/>
                <w:sz w:val="18"/>
                <w:szCs w:val="18"/>
                <w:lang w:eastAsia="en-AU"/>
              </w:rPr>
              <w:t>Biosimilar prescribing policy</w:t>
            </w:r>
          </w:p>
          <w:p w:rsidR="00210FAB" w:rsidRPr="00632EF3" w:rsidRDefault="00210FAB" w:rsidP="00632EF3">
            <w:pPr>
              <w:ind w:right="57"/>
              <w:rPr>
                <w:rFonts w:ascii="Arial Narrow" w:hAnsi="Arial Narrow"/>
                <w:strike/>
                <w:color w:val="333333"/>
                <w:sz w:val="18"/>
                <w:szCs w:val="18"/>
                <w:lang w:eastAsia="en-AU"/>
              </w:rPr>
            </w:pPr>
            <w:r w:rsidRPr="00632EF3">
              <w:rPr>
                <w:rFonts w:ascii="Arial Narrow" w:hAnsi="Arial Narrow"/>
                <w:strike/>
                <w:color w:val="333333"/>
                <w:sz w:val="18"/>
                <w:szCs w:val="18"/>
                <w:lang w:eastAsia="en-AU"/>
              </w:rPr>
              <w:t>Prescribing of the biosimilar brand, Bemfola, is encouraged for treatment naive patients.</w:t>
            </w:r>
          </w:p>
          <w:p w:rsidR="00210FAB" w:rsidRPr="00632EF3" w:rsidRDefault="00210FAB" w:rsidP="00632EF3">
            <w:pPr>
              <w:ind w:right="57"/>
              <w:rPr>
                <w:rFonts w:ascii="Arial Narrow" w:hAnsi="Arial Narrow"/>
                <w:b/>
                <w:bCs/>
                <w:color w:val="333333"/>
                <w:sz w:val="18"/>
                <w:szCs w:val="18"/>
                <w:lang w:eastAsia="en-AU"/>
              </w:rPr>
            </w:pPr>
            <w:r w:rsidRPr="00632EF3">
              <w:rPr>
                <w:rFonts w:ascii="Arial Narrow" w:hAnsi="Arial Narrow"/>
                <w:strike/>
                <w:color w:val="333333"/>
                <w:sz w:val="18"/>
                <w:szCs w:val="18"/>
                <w:lang w:eastAsia="en-AU"/>
              </w:rPr>
              <w:t>Encouraging biosimilar prescribing for treatment naive patients is Government policy. A viable biosimilar market is expected to result in reduced costs for biological medicines, allowing the Government to reinvest in new treatments. Further information can be found on the Biosimilar Awareness Initiative webpage (www.health.gov.au/biosimilars).</w:t>
            </w:r>
          </w:p>
        </w:tc>
      </w:tr>
      <w:tr w:rsidR="00210FAB" w:rsidRPr="00632EF3" w:rsidTr="00632EF3">
        <w:trPr>
          <w:trHeight w:val="1080"/>
        </w:trPr>
        <w:tc>
          <w:tcPr>
            <w:tcW w:w="988" w:type="dxa"/>
            <w:tcBorders>
              <w:left w:val="single" w:sz="4" w:space="0" w:color="auto"/>
              <w:right w:val="single" w:sz="4" w:space="0" w:color="auto"/>
            </w:tcBorders>
          </w:tcPr>
          <w:p w:rsidR="00210FAB" w:rsidRPr="00632EF3" w:rsidRDefault="00210FAB" w:rsidP="00632EF3">
            <w:pPr>
              <w:jc w:val="center"/>
              <w:rPr>
                <w:rFonts w:ascii="Arial Narrow" w:hAnsi="Arial Narrow" w:cs="Arial"/>
                <w:sz w:val="18"/>
                <w:szCs w:val="18"/>
              </w:rPr>
            </w:pPr>
          </w:p>
        </w:tc>
        <w:tc>
          <w:tcPr>
            <w:tcW w:w="8221" w:type="dxa"/>
            <w:gridSpan w:val="2"/>
            <w:tcBorders>
              <w:top w:val="single" w:sz="4" w:space="0" w:color="auto"/>
              <w:left w:val="single" w:sz="4" w:space="0" w:color="auto"/>
              <w:right w:val="single" w:sz="4" w:space="0" w:color="auto"/>
            </w:tcBorders>
          </w:tcPr>
          <w:p w:rsidR="00210FAB" w:rsidRPr="00632EF3" w:rsidRDefault="00210FAB" w:rsidP="00632EF3">
            <w:pPr>
              <w:ind w:right="57"/>
              <w:rPr>
                <w:rFonts w:ascii="Arial Narrow" w:hAnsi="Arial Narrow"/>
                <w:bCs/>
                <w:i/>
                <w:iCs/>
                <w:color w:val="FF00FF"/>
                <w:sz w:val="18"/>
                <w:szCs w:val="18"/>
                <w:lang w:eastAsia="en-AU"/>
              </w:rPr>
            </w:pPr>
            <w:r w:rsidRPr="00632EF3">
              <w:rPr>
                <w:rFonts w:ascii="Arial Narrow" w:hAnsi="Arial Narrow"/>
                <w:b/>
                <w:bCs/>
                <w:i/>
                <w:iCs/>
                <w:color w:val="333333"/>
                <w:sz w:val="18"/>
                <w:szCs w:val="18"/>
                <w:lang w:eastAsia="en-AU"/>
              </w:rPr>
              <w:t xml:space="preserve">Administrative Advice: </w:t>
            </w:r>
          </w:p>
          <w:p w:rsidR="00210FAB" w:rsidRPr="00632EF3" w:rsidRDefault="00210FAB" w:rsidP="00632EF3">
            <w:pPr>
              <w:ind w:right="57"/>
              <w:rPr>
                <w:rFonts w:ascii="Arial Narrow" w:hAnsi="Arial Narrow" w:cs="Arial"/>
                <w:b/>
                <w:i/>
                <w:iCs/>
                <w:sz w:val="18"/>
                <w:szCs w:val="18"/>
              </w:rPr>
            </w:pPr>
            <w:r w:rsidRPr="00632EF3">
              <w:rPr>
                <w:rFonts w:ascii="Arial Narrow" w:hAnsi="Arial Narrow" w:cs="Arial"/>
                <w:b/>
                <w:i/>
                <w:iCs/>
                <w:sz w:val="18"/>
                <w:szCs w:val="18"/>
              </w:rPr>
              <w:t>Biosimilar prescribing policy</w:t>
            </w:r>
          </w:p>
          <w:p w:rsidR="00210FAB" w:rsidRPr="00632EF3" w:rsidRDefault="00210FAB" w:rsidP="00632EF3">
            <w:pPr>
              <w:ind w:right="57"/>
              <w:rPr>
                <w:rFonts w:ascii="Arial Narrow" w:hAnsi="Arial Narrow" w:cs="Arial"/>
                <w:bCs/>
                <w:i/>
                <w:iCs/>
                <w:sz w:val="18"/>
                <w:szCs w:val="18"/>
              </w:rPr>
            </w:pPr>
            <w:r w:rsidRPr="00632EF3">
              <w:rPr>
                <w:rFonts w:ascii="Arial Narrow" w:hAnsi="Arial Narrow" w:cs="Arial"/>
                <w:bCs/>
                <w:i/>
                <w:iCs/>
                <w:sz w:val="18"/>
                <w:szCs w:val="18"/>
              </w:rPr>
              <w:t>Prescribing of a biosimilar brand, Bemfola or Ovaleap, is encouraged for treatment naive patients.</w:t>
            </w:r>
          </w:p>
          <w:p w:rsidR="00210FAB" w:rsidRPr="00632EF3" w:rsidRDefault="00210FAB" w:rsidP="00632EF3">
            <w:pPr>
              <w:ind w:right="57"/>
              <w:rPr>
                <w:rFonts w:ascii="Arial Narrow" w:hAnsi="Arial Narrow" w:cs="Arial"/>
                <w:b/>
                <w:sz w:val="18"/>
                <w:szCs w:val="18"/>
              </w:rPr>
            </w:pPr>
            <w:r w:rsidRPr="00632EF3">
              <w:rPr>
                <w:rFonts w:ascii="Arial Narrow" w:hAnsi="Arial Narrow" w:cs="Arial"/>
                <w:bCs/>
                <w:i/>
                <w:iCs/>
                <w:sz w:val="18"/>
                <w:szCs w:val="18"/>
              </w:rPr>
              <w:t>Encouraging biosimilar prescribing for treatment naive patients is Government policy. A viable biosimilar market is expected to result in reduced costs for biological medicines, allowing the Government to reinvest in new treatments. Further information can be found on the Biosimilar Awareness Initiative webpage (www.health.gov.au/biosimilars).</w:t>
            </w:r>
          </w:p>
        </w:tc>
      </w:tr>
      <w:tr w:rsidR="00210FAB" w:rsidRPr="00632EF3" w:rsidTr="00632EF3">
        <w:tc>
          <w:tcPr>
            <w:tcW w:w="988" w:type="dxa"/>
            <w:tcBorders>
              <w:left w:val="single" w:sz="4" w:space="0" w:color="auto"/>
              <w:right w:val="single" w:sz="4" w:space="0" w:color="auto"/>
            </w:tcBorders>
            <w:vAlign w:val="center"/>
          </w:tcPr>
          <w:p w:rsidR="00210FAB" w:rsidRPr="00632EF3" w:rsidRDefault="00210FAB" w:rsidP="00632EF3">
            <w:pPr>
              <w:jc w:val="center"/>
              <w:rPr>
                <w:rFonts w:ascii="Arial Narrow" w:hAnsi="Arial Narrow"/>
                <w:color w:val="333333"/>
                <w:sz w:val="18"/>
                <w:szCs w:val="18"/>
                <w:lang w:eastAsia="en-AU"/>
              </w:rPr>
            </w:pPr>
          </w:p>
        </w:tc>
        <w:tc>
          <w:tcPr>
            <w:tcW w:w="8221" w:type="dxa"/>
            <w:gridSpan w:val="2"/>
            <w:vAlign w:val="center"/>
          </w:tcPr>
          <w:p w:rsidR="00210FAB" w:rsidRPr="00632EF3" w:rsidRDefault="00210FAB" w:rsidP="00632EF3">
            <w:pPr>
              <w:ind w:right="57"/>
              <w:rPr>
                <w:rFonts w:ascii="Arial Narrow" w:hAnsi="Arial Narrow"/>
                <w:b/>
                <w:bCs/>
                <w:i/>
                <w:iCs/>
                <w:color w:val="333333"/>
                <w:sz w:val="18"/>
                <w:szCs w:val="18"/>
                <w:lang w:eastAsia="en-AU"/>
              </w:rPr>
            </w:pPr>
            <w:r w:rsidRPr="00632EF3">
              <w:rPr>
                <w:rFonts w:ascii="Arial Narrow" w:hAnsi="Arial Narrow"/>
                <w:b/>
                <w:bCs/>
                <w:i/>
                <w:iCs/>
                <w:color w:val="333333"/>
                <w:sz w:val="18"/>
                <w:szCs w:val="18"/>
                <w:lang w:eastAsia="en-AU"/>
              </w:rPr>
              <w:t>Administrative Advice:</w:t>
            </w:r>
          </w:p>
          <w:p w:rsidR="00210FAB" w:rsidRPr="00632EF3" w:rsidRDefault="00210FAB" w:rsidP="00632EF3">
            <w:pPr>
              <w:ind w:right="57"/>
              <w:rPr>
                <w:rFonts w:ascii="Arial Narrow" w:hAnsi="Arial Narrow"/>
                <w:bCs/>
                <w:i/>
                <w:iCs/>
                <w:color w:val="333333"/>
                <w:sz w:val="18"/>
                <w:szCs w:val="18"/>
                <w:lang w:eastAsia="en-AU"/>
              </w:rPr>
            </w:pPr>
            <w:r w:rsidRPr="00632EF3">
              <w:rPr>
                <w:rFonts w:ascii="Arial Narrow" w:hAnsi="Arial Narrow"/>
                <w:bCs/>
                <w:i/>
                <w:iCs/>
                <w:color w:val="333333"/>
                <w:sz w:val="18"/>
                <w:szCs w:val="18"/>
                <w:lang w:eastAsia="en-AU"/>
              </w:rPr>
              <w:t>Pharmaceutical benefits that have the form follitropin alfa cartridge (Ovaleap) and pharmaceutical benefits that have the form follitropin alfa single pen device (Gonal-f Pen), in the same corresponding strength, are equivalent for the purposes of substitution.</w:t>
            </w:r>
          </w:p>
          <w:p w:rsidR="00210FAB" w:rsidRPr="00632EF3" w:rsidRDefault="00210FAB" w:rsidP="00632EF3">
            <w:pPr>
              <w:ind w:right="57"/>
              <w:rPr>
                <w:rFonts w:ascii="Arial Narrow" w:hAnsi="Arial Narrow"/>
                <w:bCs/>
                <w:i/>
                <w:iCs/>
                <w:color w:val="333333"/>
                <w:sz w:val="18"/>
                <w:szCs w:val="18"/>
                <w:lang w:eastAsia="en-AU"/>
              </w:rPr>
            </w:pPr>
          </w:p>
          <w:p w:rsidR="00210FAB" w:rsidRPr="00632EF3" w:rsidRDefault="00210FAB" w:rsidP="00632EF3">
            <w:pPr>
              <w:ind w:right="57"/>
              <w:rPr>
                <w:rFonts w:ascii="Arial Narrow" w:hAnsi="Arial Narrow"/>
                <w:bCs/>
                <w:color w:val="333333"/>
                <w:sz w:val="18"/>
                <w:szCs w:val="18"/>
                <w:lang w:eastAsia="en-AU"/>
              </w:rPr>
            </w:pPr>
            <w:r w:rsidRPr="00632EF3">
              <w:rPr>
                <w:rFonts w:ascii="Arial Narrow" w:hAnsi="Arial Narrow"/>
                <w:bCs/>
                <w:i/>
                <w:iCs/>
                <w:color w:val="333333"/>
                <w:sz w:val="18"/>
                <w:szCs w:val="18"/>
                <w:lang w:eastAsia="en-AU"/>
              </w:rPr>
              <w:t>Where the Ovaleap brand is supplied, the separate pen device is to be supplied to the patient where required as it is not packaged with the cartridges. The pen device for the Ovaleap brand can be obtained by contacting the pharmaceutical wholesaler, or, the sponsor directly.</w:t>
            </w:r>
          </w:p>
        </w:tc>
      </w:tr>
    </w:tbl>
    <w:p w:rsidR="00210FAB" w:rsidRPr="00632EF3" w:rsidRDefault="00210FAB" w:rsidP="00210FAB">
      <w:pPr>
        <w:pStyle w:val="3-BodyText"/>
        <w:numPr>
          <w:ilvl w:val="0"/>
          <w:numId w:val="0"/>
        </w:num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88"/>
        <w:gridCol w:w="5244"/>
        <w:gridCol w:w="1701"/>
        <w:gridCol w:w="1276"/>
      </w:tblGrid>
      <w:tr w:rsidR="00210FAB" w:rsidRPr="00632EF3" w:rsidTr="00632EF3">
        <w:tc>
          <w:tcPr>
            <w:tcW w:w="6232" w:type="dxa"/>
            <w:gridSpan w:val="2"/>
            <w:tcBorders>
              <w:top w:val="single" w:sz="4" w:space="0" w:color="auto"/>
              <w:left w:val="single" w:sz="4" w:space="0" w:color="auto"/>
              <w:right w:val="single" w:sz="4" w:space="0" w:color="auto"/>
            </w:tcBorders>
          </w:tcPr>
          <w:p w:rsidR="00210FAB" w:rsidRPr="00632EF3" w:rsidRDefault="00210FAB" w:rsidP="00632EF3">
            <w:pPr>
              <w:ind w:left="57"/>
              <w:rPr>
                <w:rFonts w:ascii="Arial Narrow" w:hAnsi="Arial Narrow" w:cs="Arial"/>
                <w:b/>
                <w:sz w:val="18"/>
                <w:szCs w:val="18"/>
              </w:rPr>
            </w:pPr>
            <w:r w:rsidRPr="00632EF3">
              <w:rPr>
                <w:rFonts w:ascii="Arial Narrow" w:hAnsi="Arial Narrow"/>
                <w:b/>
                <w:sz w:val="18"/>
                <w:szCs w:val="18"/>
              </w:rPr>
              <w:t xml:space="preserve">Restriction Summary / Treatment of Concept: 6257 </w:t>
            </w:r>
            <w:r w:rsidRPr="00632EF3">
              <w:rPr>
                <w:rFonts w:ascii="Arial Narrow" w:hAnsi="Arial Narrow"/>
                <w:i/>
                <w:iCs/>
                <w:sz w:val="18"/>
                <w:szCs w:val="18"/>
              </w:rPr>
              <w:t>(current as at 1 July 2021)</w:t>
            </w:r>
          </w:p>
        </w:tc>
        <w:tc>
          <w:tcPr>
            <w:tcW w:w="2977" w:type="dxa"/>
            <w:gridSpan w:val="2"/>
            <w:tcBorders>
              <w:top w:val="single" w:sz="4" w:space="0" w:color="auto"/>
              <w:left w:val="single" w:sz="4" w:space="0" w:color="auto"/>
              <w:right w:val="single" w:sz="4" w:space="0" w:color="auto"/>
            </w:tcBorders>
          </w:tcPr>
          <w:p w:rsidR="00210FAB" w:rsidRPr="00632EF3" w:rsidRDefault="00210FAB" w:rsidP="00632EF3">
            <w:pPr>
              <w:ind w:left="57"/>
              <w:rPr>
                <w:rFonts w:ascii="Arial Narrow" w:hAnsi="Arial Narrow" w:cs="Arial"/>
                <w:b/>
                <w:sz w:val="18"/>
                <w:szCs w:val="18"/>
              </w:rPr>
            </w:pPr>
            <w:r w:rsidRPr="00632EF3">
              <w:rPr>
                <w:rFonts w:ascii="Arial Narrow" w:hAnsi="Arial Narrow" w:cs="Arial"/>
                <w:b/>
                <w:sz w:val="18"/>
                <w:szCs w:val="18"/>
              </w:rPr>
              <w:t xml:space="preserve">Indication 14538: </w:t>
            </w:r>
            <w:r w:rsidRPr="00632EF3">
              <w:rPr>
                <w:rFonts w:ascii="Arial Narrow" w:hAnsi="Arial Narrow" w:cs="Arial"/>
                <w:bCs/>
                <w:sz w:val="18"/>
                <w:szCs w:val="18"/>
              </w:rPr>
              <w:t>Anovulatory infertility</w:t>
            </w:r>
          </w:p>
        </w:tc>
      </w:tr>
      <w:tr w:rsidR="00210FAB" w:rsidRPr="00632EF3" w:rsidTr="00632EF3">
        <w:tc>
          <w:tcPr>
            <w:tcW w:w="6232" w:type="dxa"/>
            <w:gridSpan w:val="2"/>
            <w:tcBorders>
              <w:top w:val="single" w:sz="4" w:space="0" w:color="auto"/>
              <w:left w:val="single" w:sz="4" w:space="0" w:color="auto"/>
              <w:right w:val="single" w:sz="4" w:space="0" w:color="auto"/>
            </w:tcBorders>
          </w:tcPr>
          <w:p w:rsidR="00210FAB" w:rsidRPr="00632EF3" w:rsidRDefault="00210FAB" w:rsidP="00632EF3">
            <w:pPr>
              <w:ind w:left="57"/>
              <w:rPr>
                <w:rFonts w:ascii="Arial Narrow" w:hAnsi="Arial Narrow"/>
                <w:b/>
                <w:sz w:val="18"/>
                <w:szCs w:val="18"/>
              </w:rPr>
            </w:pPr>
            <w:r w:rsidRPr="00632EF3">
              <w:rPr>
                <w:rFonts w:ascii="Arial Narrow" w:hAnsi="Arial Narrow"/>
                <w:b/>
                <w:sz w:val="18"/>
                <w:szCs w:val="18"/>
              </w:rPr>
              <w:t xml:space="preserve">Restriction Summary / Treatment of Concept: 6321 </w:t>
            </w:r>
            <w:r w:rsidRPr="00632EF3">
              <w:rPr>
                <w:rFonts w:ascii="Arial Narrow" w:hAnsi="Arial Narrow"/>
                <w:bCs/>
                <w:i/>
                <w:iCs/>
                <w:sz w:val="18"/>
                <w:szCs w:val="18"/>
              </w:rPr>
              <w:t>(current as at 1 July 2021)</w:t>
            </w:r>
          </w:p>
        </w:tc>
        <w:tc>
          <w:tcPr>
            <w:tcW w:w="2977" w:type="dxa"/>
            <w:gridSpan w:val="2"/>
            <w:tcBorders>
              <w:top w:val="single" w:sz="4" w:space="0" w:color="auto"/>
              <w:left w:val="single" w:sz="4" w:space="0" w:color="auto"/>
              <w:right w:val="single" w:sz="4" w:space="0" w:color="auto"/>
            </w:tcBorders>
          </w:tcPr>
          <w:p w:rsidR="00210FAB" w:rsidRPr="00632EF3" w:rsidRDefault="00210FAB" w:rsidP="00632EF3">
            <w:pPr>
              <w:ind w:left="57"/>
              <w:rPr>
                <w:rFonts w:ascii="Arial Narrow" w:hAnsi="Arial Narrow" w:cs="Arial"/>
                <w:b/>
                <w:sz w:val="18"/>
                <w:szCs w:val="18"/>
              </w:rPr>
            </w:pPr>
            <w:r w:rsidRPr="00632EF3">
              <w:rPr>
                <w:rFonts w:ascii="Arial Narrow" w:hAnsi="Arial Narrow" w:cs="Arial"/>
                <w:b/>
                <w:sz w:val="18"/>
                <w:szCs w:val="18"/>
              </w:rPr>
              <w:t xml:space="preserve">Indication 14563: </w:t>
            </w:r>
            <w:r w:rsidRPr="00632EF3">
              <w:rPr>
                <w:rFonts w:ascii="Arial Narrow" w:hAnsi="Arial Narrow" w:cs="Arial"/>
                <w:bCs/>
                <w:sz w:val="18"/>
                <w:szCs w:val="18"/>
              </w:rPr>
              <w:t>Infertility</w:t>
            </w:r>
          </w:p>
        </w:tc>
      </w:tr>
      <w:tr w:rsidR="00210FAB" w:rsidRPr="00632EF3" w:rsidTr="00632EF3">
        <w:tc>
          <w:tcPr>
            <w:tcW w:w="988" w:type="dxa"/>
            <w:vMerge w:val="restart"/>
            <w:tcBorders>
              <w:top w:val="single" w:sz="4" w:space="0" w:color="auto"/>
              <w:left w:val="single" w:sz="4" w:space="0" w:color="auto"/>
              <w:right w:val="single" w:sz="4" w:space="0" w:color="auto"/>
            </w:tcBorders>
          </w:tcPr>
          <w:p w:rsidR="00210FAB" w:rsidRPr="00632EF3" w:rsidRDefault="00210FAB" w:rsidP="00632EF3">
            <w:pPr>
              <w:jc w:val="center"/>
              <w:rPr>
                <w:rFonts w:ascii="Arial Narrow" w:hAnsi="Arial Narrow" w:cs="Arial"/>
                <w:b/>
                <w:sz w:val="18"/>
                <w:szCs w:val="18"/>
              </w:rPr>
            </w:pPr>
          </w:p>
        </w:tc>
        <w:tc>
          <w:tcPr>
            <w:tcW w:w="8221" w:type="dxa"/>
            <w:gridSpan w:val="3"/>
            <w:tcBorders>
              <w:top w:val="single" w:sz="4" w:space="0" w:color="auto"/>
              <w:left w:val="single" w:sz="4" w:space="0" w:color="auto"/>
              <w:bottom w:val="single" w:sz="4" w:space="0" w:color="auto"/>
              <w:right w:val="single" w:sz="4" w:space="0" w:color="auto"/>
            </w:tcBorders>
          </w:tcPr>
          <w:p w:rsidR="00210FAB" w:rsidRPr="00632EF3" w:rsidRDefault="00210FAB" w:rsidP="00632EF3">
            <w:pPr>
              <w:rPr>
                <w:rFonts w:ascii="Arial Narrow" w:hAnsi="Arial Narrow" w:cs="Arial"/>
                <w:b/>
                <w:sz w:val="18"/>
                <w:szCs w:val="18"/>
              </w:rPr>
            </w:pPr>
            <w:r w:rsidRPr="00632EF3">
              <w:rPr>
                <w:rFonts w:ascii="Arial Narrow" w:hAnsi="Arial Narrow" w:cs="Arial"/>
                <w:b/>
                <w:sz w:val="18"/>
                <w:szCs w:val="18"/>
              </w:rPr>
              <w:t xml:space="preserve">Category / Program: </w:t>
            </w:r>
            <w:r w:rsidRPr="00632EF3">
              <w:rPr>
                <w:rFonts w:ascii="Arial Narrow" w:hAnsi="Arial Narrow" w:cs="Arial"/>
                <w:bCs/>
                <w:sz w:val="18"/>
                <w:szCs w:val="18"/>
              </w:rPr>
              <w:t>General Schedule</w:t>
            </w:r>
          </w:p>
        </w:tc>
      </w:tr>
      <w:tr w:rsidR="00210FAB" w:rsidRPr="00632EF3" w:rsidTr="00632EF3">
        <w:tc>
          <w:tcPr>
            <w:tcW w:w="988" w:type="dxa"/>
            <w:vMerge/>
            <w:tcBorders>
              <w:left w:val="single" w:sz="4" w:space="0" w:color="auto"/>
              <w:right w:val="single" w:sz="4" w:space="0" w:color="auto"/>
            </w:tcBorders>
          </w:tcPr>
          <w:p w:rsidR="00210FAB" w:rsidRPr="00632EF3" w:rsidRDefault="00210FAB" w:rsidP="00632EF3">
            <w:pPr>
              <w:jc w:val="center"/>
              <w:rPr>
                <w:rFonts w:ascii="Arial Narrow" w:hAnsi="Arial Narrow" w:cs="Arial"/>
                <w:sz w:val="18"/>
                <w:szCs w:val="18"/>
              </w:rPr>
            </w:pPr>
          </w:p>
        </w:tc>
        <w:tc>
          <w:tcPr>
            <w:tcW w:w="8221" w:type="dxa"/>
            <w:gridSpan w:val="3"/>
            <w:tcBorders>
              <w:top w:val="single" w:sz="4" w:space="0" w:color="auto"/>
              <w:left w:val="single" w:sz="4" w:space="0" w:color="auto"/>
              <w:bottom w:val="single" w:sz="4" w:space="0" w:color="auto"/>
              <w:right w:val="single" w:sz="4" w:space="0" w:color="auto"/>
            </w:tcBorders>
          </w:tcPr>
          <w:p w:rsidR="00210FAB" w:rsidRPr="00632EF3" w:rsidRDefault="00210FAB" w:rsidP="00632EF3">
            <w:pPr>
              <w:rPr>
                <w:rFonts w:ascii="Arial Narrow" w:hAnsi="Arial Narrow" w:cs="Arial"/>
                <w:sz w:val="18"/>
                <w:szCs w:val="18"/>
              </w:rPr>
            </w:pPr>
            <w:r w:rsidRPr="00632EF3">
              <w:rPr>
                <w:rFonts w:ascii="Arial Narrow" w:hAnsi="Arial Narrow" w:cs="Arial"/>
                <w:b/>
                <w:sz w:val="18"/>
                <w:szCs w:val="18"/>
              </w:rPr>
              <w:t xml:space="preserve">MEDICINAL PRODUCT:   </w:t>
            </w:r>
            <w:r w:rsidRPr="00632EF3">
              <w:rPr>
                <w:rFonts w:ascii="Arial Narrow" w:hAnsi="Arial Narrow" w:cs="Arial"/>
                <w:sz w:val="18"/>
                <w:szCs w:val="18"/>
              </w:rPr>
              <w:t>FOLLITROPIN ALFA</w:t>
            </w:r>
          </w:p>
        </w:tc>
      </w:tr>
      <w:tr w:rsidR="00210FAB" w:rsidRPr="00632EF3" w:rsidTr="00632EF3">
        <w:tc>
          <w:tcPr>
            <w:tcW w:w="988" w:type="dxa"/>
            <w:vMerge/>
            <w:tcBorders>
              <w:left w:val="single" w:sz="4" w:space="0" w:color="auto"/>
              <w:right w:val="single" w:sz="4" w:space="0" w:color="auto"/>
            </w:tcBorders>
          </w:tcPr>
          <w:p w:rsidR="00210FAB" w:rsidRPr="00632EF3" w:rsidRDefault="00210FAB" w:rsidP="00632EF3">
            <w:pPr>
              <w:jc w:val="center"/>
              <w:rPr>
                <w:rFonts w:ascii="Arial Narrow" w:hAnsi="Arial Narrow" w:cs="Arial"/>
                <w:b/>
                <w:sz w:val="18"/>
                <w:szCs w:val="18"/>
              </w:rPr>
            </w:pPr>
          </w:p>
        </w:tc>
        <w:tc>
          <w:tcPr>
            <w:tcW w:w="6945" w:type="dxa"/>
            <w:gridSpan w:val="2"/>
            <w:tcBorders>
              <w:top w:val="single" w:sz="4" w:space="0" w:color="auto"/>
              <w:left w:val="single" w:sz="4" w:space="0" w:color="auto"/>
              <w:bottom w:val="single" w:sz="4" w:space="0" w:color="auto"/>
              <w:right w:val="single" w:sz="4" w:space="0" w:color="auto"/>
            </w:tcBorders>
          </w:tcPr>
          <w:p w:rsidR="00210FAB" w:rsidRPr="00632EF3" w:rsidRDefault="00210FAB" w:rsidP="00632EF3">
            <w:pPr>
              <w:rPr>
                <w:rFonts w:ascii="Arial Narrow" w:hAnsi="Arial Narrow" w:cs="Arial"/>
                <w:b/>
                <w:sz w:val="18"/>
                <w:szCs w:val="18"/>
              </w:rPr>
            </w:pPr>
            <w:r w:rsidRPr="00632EF3">
              <w:rPr>
                <w:rFonts w:ascii="Arial Narrow" w:hAnsi="Arial Narrow" w:cs="Arial"/>
                <w:b/>
                <w:sz w:val="18"/>
                <w:szCs w:val="18"/>
              </w:rPr>
              <w:t xml:space="preserve">medicinal product pack (Trade product): </w:t>
            </w:r>
          </w:p>
        </w:tc>
        <w:tc>
          <w:tcPr>
            <w:tcW w:w="1276" w:type="dxa"/>
            <w:tcBorders>
              <w:top w:val="single" w:sz="4" w:space="0" w:color="auto"/>
              <w:left w:val="single" w:sz="4" w:space="0" w:color="auto"/>
              <w:bottom w:val="single" w:sz="4" w:space="0" w:color="auto"/>
              <w:right w:val="single" w:sz="4" w:space="0" w:color="auto"/>
            </w:tcBorders>
          </w:tcPr>
          <w:p w:rsidR="00210FAB" w:rsidRPr="00632EF3" w:rsidRDefault="00210FAB" w:rsidP="00632EF3">
            <w:pPr>
              <w:jc w:val="center"/>
              <w:rPr>
                <w:rFonts w:ascii="Arial Narrow" w:hAnsi="Arial Narrow" w:cs="Arial"/>
                <w:b/>
                <w:sz w:val="18"/>
                <w:szCs w:val="18"/>
              </w:rPr>
            </w:pPr>
            <w:r w:rsidRPr="00632EF3">
              <w:rPr>
                <w:rFonts w:ascii="Arial Narrow" w:hAnsi="Arial Narrow" w:cs="Arial"/>
                <w:b/>
                <w:sz w:val="18"/>
                <w:szCs w:val="18"/>
              </w:rPr>
              <w:t>PBS item code</w:t>
            </w:r>
          </w:p>
        </w:tc>
      </w:tr>
      <w:tr w:rsidR="00210FAB" w:rsidRPr="00632EF3" w:rsidTr="00632EF3">
        <w:tc>
          <w:tcPr>
            <w:tcW w:w="988" w:type="dxa"/>
            <w:vMerge/>
            <w:tcBorders>
              <w:left w:val="single" w:sz="4" w:space="0" w:color="auto"/>
              <w:right w:val="single" w:sz="4" w:space="0" w:color="auto"/>
            </w:tcBorders>
          </w:tcPr>
          <w:p w:rsidR="00210FAB" w:rsidRPr="00632EF3" w:rsidRDefault="00210FAB" w:rsidP="00632EF3">
            <w:pPr>
              <w:jc w:val="center"/>
              <w:rPr>
                <w:rFonts w:ascii="Arial Narrow" w:hAnsi="Arial Narrow" w:cs="Arial"/>
                <w:b/>
                <w:sz w:val="18"/>
                <w:szCs w:val="18"/>
              </w:rPr>
            </w:pPr>
          </w:p>
        </w:tc>
        <w:tc>
          <w:tcPr>
            <w:tcW w:w="6945" w:type="dxa"/>
            <w:gridSpan w:val="2"/>
            <w:tcBorders>
              <w:top w:val="single" w:sz="4" w:space="0" w:color="auto"/>
              <w:left w:val="single" w:sz="4" w:space="0" w:color="auto"/>
              <w:bottom w:val="single" w:sz="4" w:space="0" w:color="auto"/>
              <w:right w:val="single" w:sz="4" w:space="0" w:color="auto"/>
            </w:tcBorders>
          </w:tcPr>
          <w:p w:rsidR="00210FAB" w:rsidRPr="00632EF3" w:rsidRDefault="00210FAB" w:rsidP="00632EF3">
            <w:pPr>
              <w:rPr>
                <w:rFonts w:ascii="Arial Narrow" w:hAnsi="Arial Narrow" w:cs="Arial"/>
                <w:bCs/>
                <w:sz w:val="18"/>
                <w:szCs w:val="18"/>
              </w:rPr>
            </w:pPr>
            <w:r w:rsidRPr="00632EF3">
              <w:rPr>
                <w:rFonts w:ascii="Arial Narrow" w:hAnsi="Arial Narrow" w:cs="Arial"/>
                <w:bCs/>
                <w:sz w:val="18"/>
                <w:szCs w:val="18"/>
              </w:rPr>
              <w:t>follitropin alfa 300 units (21.84 microgram)/0.5 mL injection, 0.5 mL pen device (Gonal F 300)</w:t>
            </w:r>
          </w:p>
        </w:tc>
        <w:tc>
          <w:tcPr>
            <w:tcW w:w="1276" w:type="dxa"/>
            <w:tcBorders>
              <w:top w:val="single" w:sz="4" w:space="0" w:color="auto"/>
              <w:left w:val="single" w:sz="4" w:space="0" w:color="auto"/>
              <w:bottom w:val="single" w:sz="4" w:space="0" w:color="auto"/>
              <w:right w:val="single" w:sz="4" w:space="0" w:color="auto"/>
            </w:tcBorders>
          </w:tcPr>
          <w:p w:rsidR="00210FAB" w:rsidRPr="00632EF3" w:rsidRDefault="00210FAB" w:rsidP="00632EF3">
            <w:pPr>
              <w:jc w:val="center"/>
              <w:rPr>
                <w:rFonts w:ascii="Arial Narrow" w:hAnsi="Arial Narrow" w:cs="Arial"/>
                <w:bCs/>
                <w:sz w:val="18"/>
                <w:szCs w:val="18"/>
              </w:rPr>
            </w:pPr>
            <w:r w:rsidRPr="00632EF3">
              <w:rPr>
                <w:rFonts w:ascii="Arial Narrow" w:hAnsi="Arial Narrow" w:cs="Arial"/>
                <w:bCs/>
                <w:sz w:val="18"/>
                <w:szCs w:val="18"/>
              </w:rPr>
              <w:t>8713N</w:t>
            </w:r>
          </w:p>
        </w:tc>
      </w:tr>
      <w:tr w:rsidR="00210FAB" w:rsidRPr="00632EF3" w:rsidTr="00632EF3">
        <w:tc>
          <w:tcPr>
            <w:tcW w:w="988" w:type="dxa"/>
            <w:vMerge/>
            <w:tcBorders>
              <w:left w:val="single" w:sz="4" w:space="0" w:color="auto"/>
              <w:right w:val="single" w:sz="4" w:space="0" w:color="auto"/>
            </w:tcBorders>
          </w:tcPr>
          <w:p w:rsidR="00210FAB" w:rsidRPr="00632EF3" w:rsidRDefault="00210FAB" w:rsidP="00632EF3">
            <w:pPr>
              <w:jc w:val="center"/>
              <w:rPr>
                <w:rFonts w:ascii="Arial Narrow" w:hAnsi="Arial Narrow" w:cs="Arial"/>
                <w:b/>
                <w:sz w:val="18"/>
                <w:szCs w:val="18"/>
              </w:rPr>
            </w:pPr>
          </w:p>
        </w:tc>
        <w:tc>
          <w:tcPr>
            <w:tcW w:w="6945" w:type="dxa"/>
            <w:gridSpan w:val="2"/>
            <w:tcBorders>
              <w:top w:val="single" w:sz="4" w:space="0" w:color="auto"/>
              <w:left w:val="single" w:sz="4" w:space="0" w:color="auto"/>
              <w:bottom w:val="single" w:sz="4" w:space="0" w:color="auto"/>
              <w:right w:val="single" w:sz="4" w:space="0" w:color="auto"/>
            </w:tcBorders>
          </w:tcPr>
          <w:p w:rsidR="00210FAB" w:rsidRPr="00632EF3" w:rsidRDefault="00210FAB" w:rsidP="00632EF3">
            <w:pPr>
              <w:rPr>
                <w:rFonts w:ascii="Arial Narrow" w:hAnsi="Arial Narrow" w:cs="Arial"/>
                <w:bCs/>
                <w:sz w:val="18"/>
                <w:szCs w:val="18"/>
              </w:rPr>
            </w:pPr>
            <w:r w:rsidRPr="00632EF3">
              <w:rPr>
                <w:rFonts w:ascii="Arial Narrow" w:hAnsi="Arial Narrow" w:cs="Arial"/>
                <w:bCs/>
                <w:sz w:val="18"/>
                <w:szCs w:val="18"/>
              </w:rPr>
              <w:t>follitropin alfa 450 units (32.76 microgram)/0.75 mL injection, 0.75 mL pen device (Gonal F 450)</w:t>
            </w:r>
          </w:p>
        </w:tc>
        <w:tc>
          <w:tcPr>
            <w:tcW w:w="1276" w:type="dxa"/>
            <w:tcBorders>
              <w:top w:val="single" w:sz="4" w:space="0" w:color="auto"/>
              <w:left w:val="single" w:sz="4" w:space="0" w:color="auto"/>
              <w:bottom w:val="single" w:sz="4" w:space="0" w:color="auto"/>
              <w:right w:val="single" w:sz="4" w:space="0" w:color="auto"/>
            </w:tcBorders>
          </w:tcPr>
          <w:p w:rsidR="00210FAB" w:rsidRPr="00632EF3" w:rsidRDefault="00210FAB" w:rsidP="00632EF3">
            <w:pPr>
              <w:jc w:val="center"/>
              <w:rPr>
                <w:rFonts w:ascii="Arial Narrow" w:hAnsi="Arial Narrow" w:cs="Arial"/>
                <w:bCs/>
                <w:sz w:val="18"/>
                <w:szCs w:val="18"/>
              </w:rPr>
            </w:pPr>
            <w:r w:rsidRPr="00632EF3">
              <w:rPr>
                <w:rFonts w:ascii="Arial Narrow" w:hAnsi="Arial Narrow" w:cs="Arial"/>
                <w:bCs/>
                <w:sz w:val="18"/>
                <w:szCs w:val="18"/>
              </w:rPr>
              <w:t>8714P</w:t>
            </w:r>
          </w:p>
        </w:tc>
      </w:tr>
      <w:tr w:rsidR="00210FAB" w:rsidRPr="00632EF3" w:rsidTr="00632EF3">
        <w:tc>
          <w:tcPr>
            <w:tcW w:w="988" w:type="dxa"/>
            <w:vMerge/>
            <w:tcBorders>
              <w:left w:val="single" w:sz="4" w:space="0" w:color="auto"/>
              <w:right w:val="single" w:sz="4" w:space="0" w:color="auto"/>
            </w:tcBorders>
          </w:tcPr>
          <w:p w:rsidR="00210FAB" w:rsidRPr="00632EF3" w:rsidRDefault="00210FAB" w:rsidP="00632EF3">
            <w:pPr>
              <w:jc w:val="center"/>
              <w:rPr>
                <w:rFonts w:ascii="Arial Narrow" w:hAnsi="Arial Narrow" w:cs="Arial"/>
                <w:b/>
                <w:sz w:val="18"/>
                <w:szCs w:val="18"/>
              </w:rPr>
            </w:pPr>
          </w:p>
        </w:tc>
        <w:tc>
          <w:tcPr>
            <w:tcW w:w="6945" w:type="dxa"/>
            <w:gridSpan w:val="2"/>
            <w:tcBorders>
              <w:top w:val="single" w:sz="4" w:space="0" w:color="auto"/>
              <w:left w:val="single" w:sz="4" w:space="0" w:color="auto"/>
              <w:bottom w:val="single" w:sz="4" w:space="0" w:color="auto"/>
              <w:right w:val="single" w:sz="4" w:space="0" w:color="auto"/>
            </w:tcBorders>
          </w:tcPr>
          <w:p w:rsidR="00210FAB" w:rsidRPr="00632EF3" w:rsidRDefault="00210FAB" w:rsidP="00632EF3">
            <w:pPr>
              <w:rPr>
                <w:rFonts w:ascii="Arial Narrow" w:hAnsi="Arial Narrow" w:cs="Arial"/>
                <w:bCs/>
                <w:sz w:val="18"/>
                <w:szCs w:val="18"/>
              </w:rPr>
            </w:pPr>
            <w:r w:rsidRPr="00632EF3">
              <w:rPr>
                <w:rFonts w:ascii="Arial Narrow" w:hAnsi="Arial Narrow" w:cs="Arial"/>
                <w:bCs/>
                <w:sz w:val="18"/>
                <w:szCs w:val="18"/>
              </w:rPr>
              <w:t>follitropin alfa 900 units (65.52 microgram)/1.5 mL injection, 1.5 mL pen device (Gonal F 900)</w:t>
            </w:r>
          </w:p>
        </w:tc>
        <w:tc>
          <w:tcPr>
            <w:tcW w:w="1276" w:type="dxa"/>
            <w:tcBorders>
              <w:top w:val="single" w:sz="4" w:space="0" w:color="auto"/>
              <w:left w:val="single" w:sz="4" w:space="0" w:color="auto"/>
              <w:bottom w:val="single" w:sz="4" w:space="0" w:color="auto"/>
              <w:right w:val="single" w:sz="4" w:space="0" w:color="auto"/>
            </w:tcBorders>
          </w:tcPr>
          <w:p w:rsidR="00210FAB" w:rsidRPr="00632EF3" w:rsidRDefault="00210FAB" w:rsidP="00632EF3">
            <w:pPr>
              <w:jc w:val="center"/>
              <w:rPr>
                <w:rFonts w:ascii="Arial Narrow" w:hAnsi="Arial Narrow" w:cs="Arial"/>
                <w:bCs/>
                <w:sz w:val="18"/>
                <w:szCs w:val="18"/>
              </w:rPr>
            </w:pPr>
            <w:r w:rsidRPr="00632EF3">
              <w:rPr>
                <w:rFonts w:ascii="Arial Narrow" w:hAnsi="Arial Narrow" w:cs="Arial"/>
                <w:bCs/>
                <w:sz w:val="18"/>
                <w:szCs w:val="18"/>
              </w:rPr>
              <w:t>8715Q</w:t>
            </w:r>
          </w:p>
        </w:tc>
      </w:tr>
      <w:tr w:rsidR="00210FAB" w:rsidRPr="00632EF3" w:rsidTr="00632EF3">
        <w:tc>
          <w:tcPr>
            <w:tcW w:w="988" w:type="dxa"/>
            <w:vMerge/>
            <w:tcBorders>
              <w:left w:val="single" w:sz="4" w:space="0" w:color="auto"/>
              <w:right w:val="single" w:sz="4" w:space="0" w:color="auto"/>
            </w:tcBorders>
          </w:tcPr>
          <w:p w:rsidR="00210FAB" w:rsidRPr="00632EF3" w:rsidRDefault="00210FAB" w:rsidP="00632EF3">
            <w:pPr>
              <w:jc w:val="center"/>
              <w:rPr>
                <w:rFonts w:ascii="Arial Narrow" w:hAnsi="Arial Narrow" w:cs="Arial"/>
                <w:b/>
                <w:sz w:val="18"/>
                <w:szCs w:val="18"/>
              </w:rPr>
            </w:pPr>
          </w:p>
        </w:tc>
        <w:tc>
          <w:tcPr>
            <w:tcW w:w="6945" w:type="dxa"/>
            <w:gridSpan w:val="2"/>
            <w:tcBorders>
              <w:top w:val="single" w:sz="4" w:space="0" w:color="auto"/>
              <w:left w:val="single" w:sz="4" w:space="0" w:color="auto"/>
              <w:bottom w:val="single" w:sz="4" w:space="0" w:color="auto"/>
              <w:right w:val="single" w:sz="4" w:space="0" w:color="auto"/>
            </w:tcBorders>
          </w:tcPr>
          <w:p w:rsidR="00210FAB" w:rsidRPr="00632EF3" w:rsidRDefault="00210FAB" w:rsidP="00632EF3">
            <w:pPr>
              <w:rPr>
                <w:rFonts w:ascii="Arial Narrow" w:hAnsi="Arial Narrow" w:cs="Arial"/>
                <w:bCs/>
                <w:sz w:val="18"/>
                <w:szCs w:val="18"/>
              </w:rPr>
            </w:pPr>
            <w:r w:rsidRPr="00632EF3">
              <w:rPr>
                <w:rFonts w:ascii="Arial Narrow" w:hAnsi="Arial Narrow" w:cs="Arial"/>
                <w:bCs/>
                <w:sz w:val="18"/>
                <w:szCs w:val="18"/>
              </w:rPr>
              <w:t>follitropin alfa 75 units (5.5 microgram)/0.125 mL injection, 5 x 0.125 mL pen devices (Bemfola 75)</w:t>
            </w:r>
          </w:p>
        </w:tc>
        <w:tc>
          <w:tcPr>
            <w:tcW w:w="1276" w:type="dxa"/>
            <w:tcBorders>
              <w:top w:val="single" w:sz="4" w:space="0" w:color="auto"/>
              <w:left w:val="single" w:sz="4" w:space="0" w:color="auto"/>
              <w:bottom w:val="single" w:sz="4" w:space="0" w:color="auto"/>
              <w:right w:val="single" w:sz="4" w:space="0" w:color="auto"/>
            </w:tcBorders>
          </w:tcPr>
          <w:p w:rsidR="00210FAB" w:rsidRPr="00632EF3" w:rsidRDefault="00210FAB" w:rsidP="00632EF3">
            <w:pPr>
              <w:jc w:val="center"/>
              <w:rPr>
                <w:rFonts w:ascii="Arial Narrow" w:hAnsi="Arial Narrow" w:cs="Arial"/>
                <w:bCs/>
                <w:sz w:val="18"/>
                <w:szCs w:val="18"/>
              </w:rPr>
            </w:pPr>
            <w:r w:rsidRPr="00632EF3">
              <w:rPr>
                <w:rFonts w:ascii="Arial Narrow" w:hAnsi="Arial Narrow" w:cs="Arial"/>
                <w:bCs/>
                <w:sz w:val="18"/>
                <w:szCs w:val="18"/>
              </w:rPr>
              <w:t>10865W</w:t>
            </w:r>
          </w:p>
        </w:tc>
      </w:tr>
      <w:tr w:rsidR="00210FAB" w:rsidRPr="00632EF3" w:rsidTr="00632EF3">
        <w:tc>
          <w:tcPr>
            <w:tcW w:w="988" w:type="dxa"/>
            <w:vMerge/>
            <w:tcBorders>
              <w:left w:val="single" w:sz="4" w:space="0" w:color="auto"/>
              <w:right w:val="single" w:sz="4" w:space="0" w:color="auto"/>
            </w:tcBorders>
          </w:tcPr>
          <w:p w:rsidR="00210FAB" w:rsidRPr="00632EF3" w:rsidRDefault="00210FAB" w:rsidP="00632EF3">
            <w:pPr>
              <w:jc w:val="center"/>
              <w:rPr>
                <w:rFonts w:ascii="Arial Narrow" w:hAnsi="Arial Narrow" w:cs="Arial"/>
                <w:b/>
                <w:sz w:val="18"/>
                <w:szCs w:val="18"/>
              </w:rPr>
            </w:pPr>
          </w:p>
        </w:tc>
        <w:tc>
          <w:tcPr>
            <w:tcW w:w="6945" w:type="dxa"/>
            <w:gridSpan w:val="2"/>
            <w:tcBorders>
              <w:top w:val="single" w:sz="4" w:space="0" w:color="auto"/>
              <w:left w:val="single" w:sz="4" w:space="0" w:color="auto"/>
              <w:bottom w:val="single" w:sz="4" w:space="0" w:color="auto"/>
              <w:right w:val="single" w:sz="4" w:space="0" w:color="auto"/>
            </w:tcBorders>
          </w:tcPr>
          <w:p w:rsidR="00210FAB" w:rsidRPr="00632EF3" w:rsidRDefault="00210FAB" w:rsidP="00632EF3">
            <w:pPr>
              <w:rPr>
                <w:rFonts w:ascii="Arial Narrow" w:hAnsi="Arial Narrow" w:cs="Arial"/>
                <w:bCs/>
                <w:sz w:val="18"/>
                <w:szCs w:val="18"/>
              </w:rPr>
            </w:pPr>
            <w:r w:rsidRPr="00632EF3">
              <w:rPr>
                <w:rFonts w:ascii="Arial Narrow" w:hAnsi="Arial Narrow" w:cs="Arial"/>
                <w:bCs/>
                <w:sz w:val="18"/>
                <w:szCs w:val="18"/>
              </w:rPr>
              <w:t>follitropin alfa 150 units (11 microgram)/0.25 mL injection, 5 x 0.25 mL pen devices (Bemfola 150)</w:t>
            </w:r>
          </w:p>
        </w:tc>
        <w:tc>
          <w:tcPr>
            <w:tcW w:w="1276" w:type="dxa"/>
            <w:tcBorders>
              <w:top w:val="single" w:sz="4" w:space="0" w:color="auto"/>
              <w:left w:val="single" w:sz="4" w:space="0" w:color="auto"/>
              <w:bottom w:val="single" w:sz="4" w:space="0" w:color="auto"/>
              <w:right w:val="single" w:sz="4" w:space="0" w:color="auto"/>
            </w:tcBorders>
          </w:tcPr>
          <w:p w:rsidR="00210FAB" w:rsidRPr="00632EF3" w:rsidRDefault="00210FAB" w:rsidP="00632EF3">
            <w:pPr>
              <w:jc w:val="center"/>
              <w:rPr>
                <w:rFonts w:ascii="Arial Narrow" w:hAnsi="Arial Narrow" w:cs="Arial"/>
                <w:bCs/>
                <w:sz w:val="18"/>
                <w:szCs w:val="18"/>
              </w:rPr>
            </w:pPr>
            <w:r w:rsidRPr="00632EF3">
              <w:rPr>
                <w:rFonts w:ascii="Arial Narrow" w:hAnsi="Arial Narrow" w:cs="Arial"/>
                <w:bCs/>
                <w:sz w:val="18"/>
                <w:szCs w:val="18"/>
              </w:rPr>
              <w:t>10877L</w:t>
            </w:r>
          </w:p>
        </w:tc>
      </w:tr>
      <w:tr w:rsidR="00210FAB" w:rsidRPr="00632EF3" w:rsidTr="00632EF3">
        <w:tc>
          <w:tcPr>
            <w:tcW w:w="988" w:type="dxa"/>
            <w:vMerge/>
            <w:tcBorders>
              <w:left w:val="single" w:sz="4" w:space="0" w:color="auto"/>
              <w:right w:val="single" w:sz="4" w:space="0" w:color="auto"/>
            </w:tcBorders>
          </w:tcPr>
          <w:p w:rsidR="00210FAB" w:rsidRPr="00632EF3" w:rsidRDefault="00210FAB" w:rsidP="00632EF3">
            <w:pPr>
              <w:jc w:val="center"/>
              <w:rPr>
                <w:rFonts w:ascii="Arial Narrow" w:hAnsi="Arial Narrow" w:cs="Arial"/>
                <w:b/>
                <w:sz w:val="18"/>
                <w:szCs w:val="18"/>
              </w:rPr>
            </w:pPr>
          </w:p>
        </w:tc>
        <w:tc>
          <w:tcPr>
            <w:tcW w:w="6945" w:type="dxa"/>
            <w:gridSpan w:val="2"/>
            <w:tcBorders>
              <w:top w:val="single" w:sz="4" w:space="0" w:color="auto"/>
              <w:left w:val="single" w:sz="4" w:space="0" w:color="auto"/>
              <w:bottom w:val="single" w:sz="4" w:space="0" w:color="auto"/>
              <w:right w:val="single" w:sz="4" w:space="0" w:color="auto"/>
            </w:tcBorders>
          </w:tcPr>
          <w:p w:rsidR="00210FAB" w:rsidRPr="00632EF3" w:rsidRDefault="00210FAB" w:rsidP="00632EF3">
            <w:pPr>
              <w:rPr>
                <w:rFonts w:ascii="Arial Narrow" w:hAnsi="Arial Narrow" w:cs="Arial"/>
                <w:bCs/>
                <w:sz w:val="18"/>
                <w:szCs w:val="18"/>
              </w:rPr>
            </w:pPr>
            <w:r w:rsidRPr="00632EF3">
              <w:rPr>
                <w:rFonts w:ascii="Arial Narrow" w:hAnsi="Arial Narrow" w:cs="Arial"/>
                <w:bCs/>
                <w:sz w:val="18"/>
                <w:szCs w:val="18"/>
              </w:rPr>
              <w:t>follitropin alfa 225 units (16.5 microgram)/0.375 mL injection, 5 x 0.375 mL pen devices (Bemfola 225)</w:t>
            </w:r>
          </w:p>
        </w:tc>
        <w:tc>
          <w:tcPr>
            <w:tcW w:w="1276" w:type="dxa"/>
            <w:tcBorders>
              <w:top w:val="single" w:sz="4" w:space="0" w:color="auto"/>
              <w:left w:val="single" w:sz="4" w:space="0" w:color="auto"/>
              <w:bottom w:val="single" w:sz="4" w:space="0" w:color="auto"/>
              <w:right w:val="single" w:sz="4" w:space="0" w:color="auto"/>
            </w:tcBorders>
          </w:tcPr>
          <w:p w:rsidR="00210FAB" w:rsidRPr="00632EF3" w:rsidRDefault="00210FAB" w:rsidP="00632EF3">
            <w:pPr>
              <w:jc w:val="center"/>
              <w:rPr>
                <w:rFonts w:ascii="Arial Narrow" w:hAnsi="Arial Narrow" w:cs="Arial"/>
                <w:bCs/>
                <w:sz w:val="18"/>
                <w:szCs w:val="18"/>
              </w:rPr>
            </w:pPr>
            <w:r w:rsidRPr="00632EF3">
              <w:rPr>
                <w:rFonts w:ascii="Arial Narrow" w:hAnsi="Arial Narrow" w:cs="Arial"/>
                <w:bCs/>
                <w:sz w:val="18"/>
                <w:szCs w:val="18"/>
              </w:rPr>
              <w:t>10876K</w:t>
            </w:r>
          </w:p>
        </w:tc>
      </w:tr>
      <w:tr w:rsidR="00210FAB" w:rsidRPr="00632EF3" w:rsidTr="00632EF3">
        <w:tc>
          <w:tcPr>
            <w:tcW w:w="988" w:type="dxa"/>
            <w:vMerge/>
            <w:tcBorders>
              <w:left w:val="single" w:sz="4" w:space="0" w:color="auto"/>
              <w:right w:val="single" w:sz="4" w:space="0" w:color="auto"/>
            </w:tcBorders>
          </w:tcPr>
          <w:p w:rsidR="00210FAB" w:rsidRPr="00632EF3" w:rsidRDefault="00210FAB" w:rsidP="00632EF3">
            <w:pPr>
              <w:jc w:val="center"/>
              <w:rPr>
                <w:rFonts w:ascii="Arial Narrow" w:hAnsi="Arial Narrow" w:cs="Arial"/>
                <w:b/>
                <w:sz w:val="18"/>
                <w:szCs w:val="18"/>
              </w:rPr>
            </w:pPr>
          </w:p>
        </w:tc>
        <w:tc>
          <w:tcPr>
            <w:tcW w:w="8221" w:type="dxa"/>
            <w:gridSpan w:val="3"/>
            <w:tcBorders>
              <w:top w:val="single" w:sz="4" w:space="0" w:color="auto"/>
              <w:left w:val="single" w:sz="4" w:space="0" w:color="auto"/>
              <w:bottom w:val="single" w:sz="4" w:space="0" w:color="auto"/>
              <w:right w:val="single" w:sz="4" w:space="0" w:color="auto"/>
            </w:tcBorders>
          </w:tcPr>
          <w:p w:rsidR="00210FAB" w:rsidRPr="00632EF3" w:rsidRDefault="00210FAB" w:rsidP="00632EF3">
            <w:pPr>
              <w:jc w:val="left"/>
              <w:rPr>
                <w:rFonts w:ascii="Arial Narrow" w:hAnsi="Arial Narrow" w:cs="Arial"/>
                <w:bCs/>
                <w:i/>
                <w:iCs/>
                <w:sz w:val="18"/>
                <w:szCs w:val="18"/>
              </w:rPr>
            </w:pPr>
            <w:r w:rsidRPr="00632EF3">
              <w:rPr>
                <w:rFonts w:ascii="Arial Narrow" w:hAnsi="Arial Narrow" w:cs="Arial"/>
                <w:bCs/>
                <w:i/>
                <w:iCs/>
                <w:sz w:val="18"/>
                <w:szCs w:val="18"/>
              </w:rPr>
              <w:t>Note that Bemfola 300 and Bemfola 450 are not currently PBS listed for these 2 PBS indications.</w:t>
            </w:r>
          </w:p>
        </w:tc>
      </w:tr>
      <w:tr w:rsidR="00210FAB" w:rsidRPr="00632EF3" w:rsidTr="00632EF3">
        <w:trPr>
          <w:trHeight w:val="1286"/>
        </w:trPr>
        <w:tc>
          <w:tcPr>
            <w:tcW w:w="988" w:type="dxa"/>
            <w:tcBorders>
              <w:left w:val="single" w:sz="4" w:space="0" w:color="auto"/>
              <w:right w:val="single" w:sz="4" w:space="0" w:color="auto"/>
            </w:tcBorders>
          </w:tcPr>
          <w:p w:rsidR="00210FAB" w:rsidRPr="00632EF3" w:rsidRDefault="00210FAB" w:rsidP="00632EF3">
            <w:pPr>
              <w:jc w:val="center"/>
              <w:rPr>
                <w:rFonts w:ascii="Arial Narrow" w:hAnsi="Arial Narrow"/>
                <w:color w:val="333333"/>
                <w:sz w:val="18"/>
                <w:szCs w:val="18"/>
                <w:lang w:eastAsia="en-AU"/>
              </w:rPr>
            </w:pPr>
          </w:p>
        </w:tc>
        <w:tc>
          <w:tcPr>
            <w:tcW w:w="8221" w:type="dxa"/>
            <w:gridSpan w:val="3"/>
            <w:tcBorders>
              <w:top w:val="single" w:sz="4" w:space="0" w:color="auto"/>
              <w:left w:val="single" w:sz="4" w:space="0" w:color="auto"/>
              <w:right w:val="single" w:sz="4" w:space="0" w:color="auto"/>
            </w:tcBorders>
          </w:tcPr>
          <w:p w:rsidR="00210FAB" w:rsidRPr="00632EF3" w:rsidRDefault="00210FAB" w:rsidP="00632EF3">
            <w:pPr>
              <w:ind w:right="57"/>
              <w:rPr>
                <w:rFonts w:ascii="Arial Narrow" w:hAnsi="Arial Narrow"/>
                <w:b/>
                <w:bCs/>
                <w:strike/>
                <w:color w:val="333333"/>
                <w:sz w:val="18"/>
                <w:szCs w:val="18"/>
                <w:lang w:eastAsia="en-AU"/>
              </w:rPr>
            </w:pPr>
            <w:r w:rsidRPr="00632EF3">
              <w:rPr>
                <w:rFonts w:ascii="Arial Narrow" w:hAnsi="Arial Narrow"/>
                <w:b/>
                <w:bCs/>
                <w:strike/>
                <w:color w:val="333333"/>
                <w:sz w:val="18"/>
                <w:szCs w:val="18"/>
                <w:lang w:eastAsia="en-AU"/>
              </w:rPr>
              <w:t>Administrative Advice:</w:t>
            </w:r>
          </w:p>
          <w:p w:rsidR="00210FAB" w:rsidRPr="00632EF3" w:rsidRDefault="00210FAB" w:rsidP="00632EF3">
            <w:pPr>
              <w:ind w:right="57"/>
              <w:rPr>
                <w:rFonts w:ascii="Arial Narrow" w:hAnsi="Arial Narrow"/>
                <w:b/>
                <w:bCs/>
                <w:strike/>
                <w:color w:val="333333"/>
                <w:sz w:val="18"/>
                <w:szCs w:val="18"/>
                <w:lang w:eastAsia="en-AU"/>
              </w:rPr>
            </w:pPr>
            <w:r w:rsidRPr="00632EF3">
              <w:rPr>
                <w:rFonts w:ascii="Arial Narrow" w:hAnsi="Arial Narrow"/>
                <w:b/>
                <w:bCs/>
                <w:strike/>
                <w:color w:val="333333"/>
                <w:sz w:val="18"/>
                <w:szCs w:val="18"/>
                <w:lang w:eastAsia="en-AU"/>
              </w:rPr>
              <w:t>Biosimilar prescribing policy</w:t>
            </w:r>
          </w:p>
          <w:p w:rsidR="00210FAB" w:rsidRPr="00632EF3" w:rsidRDefault="00210FAB" w:rsidP="00632EF3">
            <w:pPr>
              <w:ind w:right="57"/>
              <w:rPr>
                <w:rFonts w:ascii="Arial Narrow" w:hAnsi="Arial Narrow"/>
                <w:strike/>
                <w:color w:val="333333"/>
                <w:sz w:val="18"/>
                <w:szCs w:val="18"/>
                <w:lang w:eastAsia="en-AU"/>
              </w:rPr>
            </w:pPr>
            <w:r w:rsidRPr="00632EF3">
              <w:rPr>
                <w:rFonts w:ascii="Arial Narrow" w:hAnsi="Arial Narrow"/>
                <w:strike/>
                <w:color w:val="333333"/>
                <w:sz w:val="18"/>
                <w:szCs w:val="18"/>
                <w:lang w:eastAsia="en-AU"/>
              </w:rPr>
              <w:t>Prescribing of the biosimilar brand, Bemfola, is encouraged for treatment naive patients.</w:t>
            </w:r>
          </w:p>
          <w:p w:rsidR="00210FAB" w:rsidRPr="00632EF3" w:rsidRDefault="00210FAB" w:rsidP="00632EF3">
            <w:pPr>
              <w:ind w:right="57"/>
              <w:rPr>
                <w:rFonts w:ascii="Arial Narrow" w:hAnsi="Arial Narrow"/>
                <w:b/>
                <w:bCs/>
                <w:color w:val="333333"/>
                <w:sz w:val="18"/>
                <w:szCs w:val="18"/>
                <w:lang w:eastAsia="en-AU"/>
              </w:rPr>
            </w:pPr>
            <w:r w:rsidRPr="00632EF3">
              <w:rPr>
                <w:rFonts w:ascii="Arial Narrow" w:hAnsi="Arial Narrow"/>
                <w:strike/>
                <w:color w:val="333333"/>
                <w:sz w:val="18"/>
                <w:szCs w:val="18"/>
                <w:lang w:eastAsia="en-AU"/>
              </w:rPr>
              <w:t>Encouraging biosimilar prescribing for treatment naive patients is Government policy. A viable biosimilar market is expected to result in reduced costs for biological medicines, allowing the Government to reinvest in new treatments. Further information can be found on the Biosimilar Awareness Initiative webpage (www.health.gov.au/biosimilars).</w:t>
            </w:r>
          </w:p>
        </w:tc>
      </w:tr>
      <w:tr w:rsidR="00210FAB" w:rsidRPr="00632EF3" w:rsidTr="00632EF3">
        <w:trPr>
          <w:trHeight w:val="1286"/>
        </w:trPr>
        <w:tc>
          <w:tcPr>
            <w:tcW w:w="988" w:type="dxa"/>
            <w:tcBorders>
              <w:left w:val="single" w:sz="4" w:space="0" w:color="auto"/>
              <w:right w:val="single" w:sz="4" w:space="0" w:color="auto"/>
            </w:tcBorders>
          </w:tcPr>
          <w:p w:rsidR="00210FAB" w:rsidRPr="00632EF3" w:rsidRDefault="00210FAB" w:rsidP="00632EF3">
            <w:pPr>
              <w:jc w:val="center"/>
              <w:rPr>
                <w:rFonts w:ascii="Arial Narrow" w:hAnsi="Arial Narrow" w:cs="Arial"/>
                <w:sz w:val="18"/>
                <w:szCs w:val="18"/>
              </w:rPr>
            </w:pPr>
          </w:p>
        </w:tc>
        <w:tc>
          <w:tcPr>
            <w:tcW w:w="8221" w:type="dxa"/>
            <w:gridSpan w:val="3"/>
            <w:tcBorders>
              <w:top w:val="single" w:sz="4" w:space="0" w:color="auto"/>
              <w:left w:val="single" w:sz="4" w:space="0" w:color="auto"/>
              <w:right w:val="single" w:sz="4" w:space="0" w:color="auto"/>
            </w:tcBorders>
          </w:tcPr>
          <w:p w:rsidR="00210FAB" w:rsidRPr="00632EF3" w:rsidRDefault="00210FAB" w:rsidP="00632EF3">
            <w:pPr>
              <w:ind w:right="57"/>
              <w:rPr>
                <w:rFonts w:ascii="Arial Narrow" w:hAnsi="Arial Narrow"/>
                <w:bCs/>
                <w:i/>
                <w:iCs/>
                <w:color w:val="FF00FF"/>
                <w:sz w:val="18"/>
                <w:szCs w:val="18"/>
                <w:lang w:eastAsia="en-AU"/>
              </w:rPr>
            </w:pPr>
            <w:r w:rsidRPr="00632EF3">
              <w:rPr>
                <w:rFonts w:ascii="Arial Narrow" w:hAnsi="Arial Narrow"/>
                <w:b/>
                <w:bCs/>
                <w:i/>
                <w:iCs/>
                <w:color w:val="333333"/>
                <w:sz w:val="18"/>
                <w:szCs w:val="18"/>
                <w:lang w:eastAsia="en-AU"/>
              </w:rPr>
              <w:t xml:space="preserve">Administrative Advice: </w:t>
            </w:r>
          </w:p>
          <w:p w:rsidR="00210FAB" w:rsidRPr="00632EF3" w:rsidRDefault="00210FAB" w:rsidP="00632EF3">
            <w:pPr>
              <w:ind w:right="57"/>
              <w:rPr>
                <w:rFonts w:ascii="Arial Narrow" w:hAnsi="Arial Narrow"/>
                <w:b/>
                <w:bCs/>
                <w:i/>
                <w:iCs/>
                <w:color w:val="333333"/>
                <w:sz w:val="18"/>
                <w:szCs w:val="18"/>
                <w:lang w:eastAsia="en-AU"/>
              </w:rPr>
            </w:pPr>
            <w:r w:rsidRPr="00632EF3">
              <w:rPr>
                <w:rFonts w:ascii="Arial Narrow" w:hAnsi="Arial Narrow"/>
                <w:b/>
                <w:bCs/>
                <w:i/>
                <w:iCs/>
                <w:color w:val="333333"/>
                <w:sz w:val="18"/>
                <w:szCs w:val="18"/>
                <w:lang w:eastAsia="en-AU"/>
              </w:rPr>
              <w:t>Biosimilar prescribing policy</w:t>
            </w:r>
          </w:p>
          <w:p w:rsidR="00210FAB" w:rsidRPr="00632EF3" w:rsidRDefault="00210FAB" w:rsidP="00632EF3">
            <w:pPr>
              <w:ind w:right="57"/>
              <w:rPr>
                <w:rFonts w:ascii="Arial Narrow" w:hAnsi="Arial Narrow" w:cs="Arial"/>
                <w:bCs/>
                <w:i/>
                <w:iCs/>
                <w:sz w:val="18"/>
                <w:szCs w:val="18"/>
              </w:rPr>
            </w:pPr>
            <w:r w:rsidRPr="00632EF3">
              <w:rPr>
                <w:rFonts w:ascii="Arial Narrow" w:hAnsi="Arial Narrow" w:cs="Arial"/>
                <w:bCs/>
                <w:i/>
                <w:iCs/>
                <w:sz w:val="18"/>
                <w:szCs w:val="18"/>
              </w:rPr>
              <w:t>Prescribing of a biosimilar brand, Bemfola or Ovaleap, is encouraged for treatment naive patients.</w:t>
            </w:r>
          </w:p>
          <w:p w:rsidR="00210FAB" w:rsidRPr="00632EF3" w:rsidRDefault="00210FAB" w:rsidP="00632EF3">
            <w:pPr>
              <w:ind w:right="57"/>
              <w:rPr>
                <w:rFonts w:ascii="Arial Narrow" w:hAnsi="Arial Narrow" w:cs="Arial"/>
                <w:b/>
                <w:i/>
                <w:iCs/>
                <w:sz w:val="18"/>
                <w:szCs w:val="18"/>
              </w:rPr>
            </w:pPr>
            <w:r w:rsidRPr="00632EF3">
              <w:rPr>
                <w:rFonts w:ascii="Arial Narrow" w:hAnsi="Arial Narrow" w:cs="Arial"/>
                <w:bCs/>
                <w:i/>
                <w:iCs/>
                <w:sz w:val="18"/>
                <w:szCs w:val="18"/>
              </w:rPr>
              <w:t>Encouraging biosimilar prescribing for treatment naive patients is Government policy. A viable biosimilar market is expected to result in reduced costs for biological medicines, allowing the Government to reinvest in new treatments. Further information can be found on the Biosimilar Awareness Initiative webpage (www.health.gov.au/biosimilars).</w:t>
            </w:r>
          </w:p>
        </w:tc>
      </w:tr>
      <w:tr w:rsidR="00210FAB" w:rsidRPr="00632EF3" w:rsidTr="00632EF3">
        <w:tc>
          <w:tcPr>
            <w:tcW w:w="988" w:type="dxa"/>
            <w:tcBorders>
              <w:left w:val="single" w:sz="4" w:space="0" w:color="auto"/>
              <w:right w:val="single" w:sz="4" w:space="0" w:color="auto"/>
            </w:tcBorders>
            <w:vAlign w:val="center"/>
          </w:tcPr>
          <w:p w:rsidR="00210FAB" w:rsidRPr="00632EF3" w:rsidRDefault="00210FAB" w:rsidP="00632EF3">
            <w:pPr>
              <w:jc w:val="center"/>
              <w:rPr>
                <w:rFonts w:ascii="Arial Narrow" w:hAnsi="Arial Narrow"/>
                <w:color w:val="333333"/>
                <w:sz w:val="18"/>
                <w:szCs w:val="18"/>
                <w:lang w:eastAsia="en-AU"/>
              </w:rPr>
            </w:pPr>
          </w:p>
        </w:tc>
        <w:tc>
          <w:tcPr>
            <w:tcW w:w="8221" w:type="dxa"/>
            <w:gridSpan w:val="3"/>
            <w:vAlign w:val="center"/>
          </w:tcPr>
          <w:p w:rsidR="00210FAB" w:rsidRPr="00632EF3" w:rsidRDefault="00210FAB" w:rsidP="00632EF3">
            <w:pPr>
              <w:ind w:right="57"/>
              <w:rPr>
                <w:rFonts w:ascii="Arial Narrow" w:hAnsi="Arial Narrow"/>
                <w:b/>
                <w:bCs/>
                <w:i/>
                <w:iCs/>
                <w:color w:val="333333"/>
                <w:sz w:val="18"/>
                <w:szCs w:val="18"/>
                <w:lang w:eastAsia="en-AU"/>
              </w:rPr>
            </w:pPr>
            <w:r w:rsidRPr="00632EF3">
              <w:rPr>
                <w:rFonts w:ascii="Arial Narrow" w:hAnsi="Arial Narrow"/>
                <w:b/>
                <w:bCs/>
                <w:i/>
                <w:iCs/>
                <w:color w:val="333333"/>
                <w:sz w:val="18"/>
                <w:szCs w:val="18"/>
                <w:lang w:eastAsia="en-AU"/>
              </w:rPr>
              <w:t>Administrative Advice:</w:t>
            </w:r>
          </w:p>
          <w:p w:rsidR="00210FAB" w:rsidRPr="00632EF3" w:rsidRDefault="00210FAB" w:rsidP="00632EF3">
            <w:pPr>
              <w:ind w:right="57"/>
              <w:rPr>
                <w:rFonts w:ascii="Arial Narrow" w:hAnsi="Arial Narrow"/>
                <w:bCs/>
                <w:i/>
                <w:iCs/>
                <w:color w:val="333333"/>
                <w:sz w:val="18"/>
                <w:szCs w:val="18"/>
                <w:lang w:eastAsia="en-AU"/>
              </w:rPr>
            </w:pPr>
            <w:r w:rsidRPr="00632EF3">
              <w:rPr>
                <w:rFonts w:ascii="Arial Narrow" w:hAnsi="Arial Narrow"/>
                <w:bCs/>
                <w:i/>
                <w:iCs/>
                <w:color w:val="333333"/>
                <w:sz w:val="18"/>
                <w:szCs w:val="18"/>
                <w:lang w:eastAsia="en-AU"/>
              </w:rPr>
              <w:t>Pharmaceutical benefits that have the form follitropin alfa cartridge (Ovaleap) and pharmaceutical benefits that have the form follitropin alfa single pen device (Gonal-f Pen), in the same corresponding strength, are equivalent for the purposes of substitution.</w:t>
            </w:r>
          </w:p>
          <w:p w:rsidR="00210FAB" w:rsidRPr="00632EF3" w:rsidRDefault="00210FAB" w:rsidP="00632EF3">
            <w:pPr>
              <w:ind w:right="57"/>
              <w:rPr>
                <w:rFonts w:ascii="Arial Narrow" w:hAnsi="Arial Narrow"/>
                <w:bCs/>
                <w:i/>
                <w:iCs/>
                <w:color w:val="333333"/>
                <w:sz w:val="18"/>
                <w:szCs w:val="18"/>
                <w:lang w:eastAsia="en-AU"/>
              </w:rPr>
            </w:pPr>
          </w:p>
          <w:p w:rsidR="00210FAB" w:rsidRPr="00632EF3" w:rsidRDefault="00210FAB" w:rsidP="00632EF3">
            <w:pPr>
              <w:ind w:right="57"/>
              <w:rPr>
                <w:rFonts w:ascii="Arial Narrow" w:hAnsi="Arial Narrow"/>
                <w:bCs/>
                <w:color w:val="333333"/>
                <w:sz w:val="18"/>
                <w:szCs w:val="18"/>
                <w:lang w:eastAsia="en-AU"/>
              </w:rPr>
            </w:pPr>
            <w:r w:rsidRPr="00632EF3">
              <w:rPr>
                <w:rFonts w:ascii="Arial Narrow" w:hAnsi="Arial Narrow"/>
                <w:bCs/>
                <w:i/>
                <w:iCs/>
                <w:color w:val="333333"/>
                <w:sz w:val="18"/>
                <w:szCs w:val="18"/>
                <w:lang w:eastAsia="en-AU"/>
              </w:rPr>
              <w:t>Where the Ovaleap brand is supplied, the separate pen device is to be supplied to the patient where required as it is not packaged with the cartridges. The pen device for the Ovaleap brand can be obtained by contacting the pharmaceutical wholesaler, or, the sponsor directly.</w:t>
            </w:r>
          </w:p>
        </w:tc>
      </w:tr>
    </w:tbl>
    <w:p w:rsidR="00210FAB" w:rsidRPr="00632EF3" w:rsidRDefault="00210FAB" w:rsidP="00210FAB">
      <w:pPr>
        <w:pStyle w:val="3-BodyText"/>
        <w:numPr>
          <w:ilvl w:val="0"/>
          <w:numId w:val="0"/>
        </w:numPr>
      </w:pPr>
    </w:p>
    <w:p w:rsidR="00BF3F74" w:rsidRPr="00632EF3" w:rsidRDefault="00ED0DFE" w:rsidP="00F104E2">
      <w:pPr>
        <w:pStyle w:val="3-BodyText"/>
        <w:numPr>
          <w:ilvl w:val="0"/>
          <w:numId w:val="0"/>
        </w:numPr>
        <w:ind w:hanging="720"/>
        <w:rPr>
          <w:b/>
          <w:bCs/>
          <w:i/>
          <w:iCs/>
        </w:rPr>
      </w:pPr>
      <w:r w:rsidRPr="00632EF3">
        <w:tab/>
      </w:r>
      <w:r w:rsidRPr="00632EF3">
        <w:rPr>
          <w:b/>
          <w:bCs/>
          <w:i/>
          <w:iCs/>
        </w:rPr>
        <w:t>These restrictions may be subject to further review. Should there be any changes made to the restriction the Sponsor will be informed.</w:t>
      </w:r>
    </w:p>
    <w:p w:rsidR="00F86962" w:rsidRDefault="00F86962" w:rsidP="00F86962">
      <w:pPr>
        <w:pStyle w:val="2-SectionHeading"/>
        <w:rPr>
          <w:bCs/>
          <w:lang w:val="en-GB"/>
        </w:rPr>
      </w:pPr>
      <w:r w:rsidRPr="00C07617">
        <w:t>Context for Decision</w:t>
      </w:r>
    </w:p>
    <w:p w:rsidR="00F86962" w:rsidRPr="007129F2" w:rsidRDefault="00F86962" w:rsidP="00F86962">
      <w:pPr>
        <w:spacing w:after="120"/>
        <w:ind w:left="720"/>
        <w:rPr>
          <w:rFonts w:asciiTheme="minorHAnsi" w:hAnsiTheme="minorHAnsi" w:cs="Arial"/>
          <w:bCs/>
          <w:lang w:val="en-GB"/>
        </w:rPr>
      </w:pPr>
      <w:r w:rsidRPr="007129F2">
        <w:rPr>
          <w:rFonts w:asciiTheme="minorHAnsi" w:hAnsiTheme="minorHAnsi"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F86962" w:rsidRPr="00C07617" w:rsidRDefault="00F86962" w:rsidP="00F86962">
      <w:pPr>
        <w:pStyle w:val="2-SectionHeading"/>
        <w:rPr>
          <w:b w:val="0"/>
        </w:rPr>
      </w:pPr>
      <w:r>
        <w:t>Sponsor’s Comment</w:t>
      </w:r>
    </w:p>
    <w:p w:rsidR="00F86962" w:rsidRPr="001179AC" w:rsidRDefault="00F86962" w:rsidP="00F86962">
      <w:pPr>
        <w:spacing w:after="120"/>
        <w:ind w:left="426" w:firstLine="294"/>
        <w:rPr>
          <w:rFonts w:asciiTheme="minorHAnsi" w:hAnsiTheme="minorHAnsi" w:cs="Arial"/>
          <w:bCs/>
        </w:rPr>
      </w:pPr>
      <w:r w:rsidRPr="00C07617">
        <w:rPr>
          <w:rFonts w:asciiTheme="minorHAnsi" w:hAnsiTheme="minorHAnsi" w:cs="Arial"/>
          <w:bCs/>
        </w:rPr>
        <w:t>The sponsor had no comment.</w:t>
      </w:r>
    </w:p>
    <w:p w:rsidR="00FA54C7" w:rsidRPr="00632EF3" w:rsidRDefault="00FA54C7">
      <w:pPr>
        <w:pStyle w:val="3-BodyText"/>
        <w:numPr>
          <w:ilvl w:val="0"/>
          <w:numId w:val="0"/>
        </w:numPr>
      </w:pPr>
    </w:p>
    <w:sectPr w:rsidR="00FA54C7" w:rsidRPr="00632EF3" w:rsidSect="00C91BB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633A" w:rsidRDefault="0011633A" w:rsidP="00E26767">
      <w:r>
        <w:separator/>
      </w:r>
    </w:p>
  </w:endnote>
  <w:endnote w:type="continuationSeparator" w:id="0">
    <w:p w:rsidR="0011633A" w:rsidRDefault="0011633A" w:rsidP="00E26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33A" w:rsidRDefault="001163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10F" w:rsidRDefault="0064610F">
    <w:pPr>
      <w:pStyle w:val="Footer"/>
      <w:jc w:val="center"/>
    </w:pPr>
  </w:p>
  <w:sdt>
    <w:sdtPr>
      <w:id w:val="141781182"/>
      <w:docPartObj>
        <w:docPartGallery w:val="Page Numbers (Bottom of Page)"/>
        <w:docPartUnique/>
      </w:docPartObj>
    </w:sdtPr>
    <w:sdtEndPr>
      <w:rPr>
        <w:noProof/>
      </w:rPr>
    </w:sdtEndPr>
    <w:sdtContent>
      <w:p w:rsidR="0064610F" w:rsidRPr="00C172A9" w:rsidRDefault="0064610F" w:rsidP="00C172A9">
        <w:pPr>
          <w:pStyle w:val="PageFooter"/>
        </w:pPr>
        <w:r>
          <w:fldChar w:fldCharType="begin"/>
        </w:r>
        <w:r>
          <w:instrText xml:space="preserve"> PAGE   \* MERGEFORMAT </w:instrText>
        </w:r>
        <w:r>
          <w:fldChar w:fldCharType="separate"/>
        </w:r>
        <w:r w:rsidR="00AF1922">
          <w:rPr>
            <w:noProof/>
          </w:rPr>
          <w:t>12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33A" w:rsidRDefault="001163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633A" w:rsidRDefault="0011633A" w:rsidP="00E26767">
      <w:r>
        <w:separator/>
      </w:r>
    </w:p>
  </w:footnote>
  <w:footnote w:type="continuationSeparator" w:id="0">
    <w:p w:rsidR="0011633A" w:rsidRDefault="0011633A" w:rsidP="00E267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33A" w:rsidRDefault="001163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10F" w:rsidRDefault="0064610F" w:rsidP="00BD7F05">
    <w:pPr>
      <w:pStyle w:val="PageHeader"/>
    </w:pPr>
    <w:r>
      <w:t>Public Summary Document – J</w:t>
    </w:r>
    <w:r w:rsidRPr="00C172A9">
      <w:t>uly</w:t>
    </w:r>
    <w:r>
      <w:t xml:space="preserve"> </w:t>
    </w:r>
    <w:r w:rsidRPr="00C172A9">
      <w:t>2021 PBAC Meeting</w:t>
    </w:r>
  </w:p>
  <w:p w:rsidR="0064610F" w:rsidRDefault="0064610F" w:rsidP="00092FBA">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33A" w:rsidRDefault="001163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E52495A"/>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0C09000F"/>
    <w:lvl w:ilvl="0">
      <w:start w:val="1"/>
      <w:numFmt w:val="decimal"/>
      <w:lvlText w:val="%1."/>
      <w:lvlJc w:val="left"/>
      <w:pPr>
        <w:ind w:left="360" w:hanging="360"/>
      </w:pPr>
      <w:rPr>
        <w:rFonts w:hint="default"/>
      </w:rPr>
    </w:lvl>
  </w:abstractNum>
  <w:abstractNum w:abstractNumId="2" w15:restartNumberingAfterBreak="0">
    <w:nsid w:val="092C108E"/>
    <w:multiLevelType w:val="hybridMultilevel"/>
    <w:tmpl w:val="6794F176"/>
    <w:lvl w:ilvl="0" w:tplc="C7E2E35E">
      <w:start w:val="1"/>
      <w:numFmt w:val="upperLetter"/>
      <w:lvlText w:val="%1."/>
      <w:lvlJc w:val="left"/>
      <w:pPr>
        <w:ind w:left="1429" w:hanging="360"/>
      </w:pPr>
      <w:rPr>
        <w:i w:val="0"/>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3" w15:restartNumberingAfterBreak="0">
    <w:nsid w:val="0A587070"/>
    <w:multiLevelType w:val="hybridMultilevel"/>
    <w:tmpl w:val="5A2CD1D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0CB24414"/>
    <w:multiLevelType w:val="hybridMultilevel"/>
    <w:tmpl w:val="E08637E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136070DA"/>
    <w:multiLevelType w:val="hybridMultilevel"/>
    <w:tmpl w:val="6E20398C"/>
    <w:lvl w:ilvl="0" w:tplc="0C090001">
      <w:start w:val="1"/>
      <w:numFmt w:val="bullet"/>
      <w:lvlText w:val=""/>
      <w:lvlJc w:val="left"/>
      <w:pPr>
        <w:ind w:left="1443" w:hanging="360"/>
      </w:pPr>
      <w:rPr>
        <w:rFonts w:ascii="Symbol" w:hAnsi="Symbol" w:hint="default"/>
      </w:rPr>
    </w:lvl>
    <w:lvl w:ilvl="1" w:tplc="0C090003">
      <w:start w:val="1"/>
      <w:numFmt w:val="bullet"/>
      <w:lvlText w:val="o"/>
      <w:lvlJc w:val="left"/>
      <w:pPr>
        <w:ind w:left="2163" w:hanging="360"/>
      </w:pPr>
      <w:rPr>
        <w:rFonts w:ascii="Courier New" w:hAnsi="Courier New" w:cs="Courier New" w:hint="default"/>
      </w:rPr>
    </w:lvl>
    <w:lvl w:ilvl="2" w:tplc="0C090005" w:tentative="1">
      <w:start w:val="1"/>
      <w:numFmt w:val="bullet"/>
      <w:lvlText w:val=""/>
      <w:lvlJc w:val="left"/>
      <w:pPr>
        <w:ind w:left="2883" w:hanging="360"/>
      </w:pPr>
      <w:rPr>
        <w:rFonts w:ascii="Wingdings" w:hAnsi="Wingdings" w:hint="default"/>
      </w:rPr>
    </w:lvl>
    <w:lvl w:ilvl="3" w:tplc="0C090001" w:tentative="1">
      <w:start w:val="1"/>
      <w:numFmt w:val="bullet"/>
      <w:lvlText w:val=""/>
      <w:lvlJc w:val="left"/>
      <w:pPr>
        <w:ind w:left="3603" w:hanging="360"/>
      </w:pPr>
      <w:rPr>
        <w:rFonts w:ascii="Symbol" w:hAnsi="Symbol" w:hint="default"/>
      </w:rPr>
    </w:lvl>
    <w:lvl w:ilvl="4" w:tplc="0C090003" w:tentative="1">
      <w:start w:val="1"/>
      <w:numFmt w:val="bullet"/>
      <w:lvlText w:val="o"/>
      <w:lvlJc w:val="left"/>
      <w:pPr>
        <w:ind w:left="4323" w:hanging="360"/>
      </w:pPr>
      <w:rPr>
        <w:rFonts w:ascii="Courier New" w:hAnsi="Courier New" w:cs="Courier New" w:hint="default"/>
      </w:rPr>
    </w:lvl>
    <w:lvl w:ilvl="5" w:tplc="0C090005" w:tentative="1">
      <w:start w:val="1"/>
      <w:numFmt w:val="bullet"/>
      <w:lvlText w:val=""/>
      <w:lvlJc w:val="left"/>
      <w:pPr>
        <w:ind w:left="5043" w:hanging="360"/>
      </w:pPr>
      <w:rPr>
        <w:rFonts w:ascii="Wingdings" w:hAnsi="Wingdings" w:hint="default"/>
      </w:rPr>
    </w:lvl>
    <w:lvl w:ilvl="6" w:tplc="0C090001" w:tentative="1">
      <w:start w:val="1"/>
      <w:numFmt w:val="bullet"/>
      <w:lvlText w:val=""/>
      <w:lvlJc w:val="left"/>
      <w:pPr>
        <w:ind w:left="5763" w:hanging="360"/>
      </w:pPr>
      <w:rPr>
        <w:rFonts w:ascii="Symbol" w:hAnsi="Symbol" w:hint="default"/>
      </w:rPr>
    </w:lvl>
    <w:lvl w:ilvl="7" w:tplc="0C090003" w:tentative="1">
      <w:start w:val="1"/>
      <w:numFmt w:val="bullet"/>
      <w:lvlText w:val="o"/>
      <w:lvlJc w:val="left"/>
      <w:pPr>
        <w:ind w:left="6483" w:hanging="360"/>
      </w:pPr>
      <w:rPr>
        <w:rFonts w:ascii="Courier New" w:hAnsi="Courier New" w:cs="Courier New" w:hint="default"/>
      </w:rPr>
    </w:lvl>
    <w:lvl w:ilvl="8" w:tplc="0C090005" w:tentative="1">
      <w:start w:val="1"/>
      <w:numFmt w:val="bullet"/>
      <w:lvlText w:val=""/>
      <w:lvlJc w:val="left"/>
      <w:pPr>
        <w:ind w:left="7203" w:hanging="360"/>
      </w:pPr>
      <w:rPr>
        <w:rFonts w:ascii="Wingdings" w:hAnsi="Wingdings" w:hint="default"/>
      </w:rPr>
    </w:lvl>
  </w:abstractNum>
  <w:abstractNum w:abstractNumId="6" w15:restartNumberingAfterBreak="0">
    <w:nsid w:val="18B51BDA"/>
    <w:multiLevelType w:val="multilevel"/>
    <w:tmpl w:val="5882CB6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C632D4D"/>
    <w:multiLevelType w:val="hybridMultilevel"/>
    <w:tmpl w:val="22F69D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6A74B3"/>
    <w:multiLevelType w:val="hybridMultilevel"/>
    <w:tmpl w:val="72661DBA"/>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9" w15:restartNumberingAfterBreak="0">
    <w:nsid w:val="1F3C6C32"/>
    <w:multiLevelType w:val="hybridMultilevel"/>
    <w:tmpl w:val="2FAA0BC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55562D0"/>
    <w:multiLevelType w:val="hybridMultilevel"/>
    <w:tmpl w:val="11FEB4A8"/>
    <w:lvl w:ilvl="0" w:tplc="0C09000F">
      <w:start w:val="1"/>
      <w:numFmt w:val="decimal"/>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1" w15:restartNumberingAfterBreak="0">
    <w:nsid w:val="30346AD7"/>
    <w:multiLevelType w:val="hybridMultilevel"/>
    <w:tmpl w:val="82AC8E4A"/>
    <w:lvl w:ilvl="0" w:tplc="13ACFFE6">
      <w:start w:val="1"/>
      <w:numFmt w:val="bullet"/>
      <w:lvlText w:val=""/>
      <w:lvlJc w:val="left"/>
      <w:pPr>
        <w:ind w:left="144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45AA3CA9"/>
    <w:multiLevelType w:val="hybridMultilevel"/>
    <w:tmpl w:val="AAA88B38"/>
    <w:lvl w:ilvl="0" w:tplc="0C090001">
      <w:start w:val="1"/>
      <w:numFmt w:val="bullet"/>
      <w:lvlText w:val=""/>
      <w:lvlJc w:val="left"/>
      <w:pPr>
        <w:ind w:left="1789" w:hanging="360"/>
      </w:pPr>
      <w:rPr>
        <w:rFonts w:ascii="Symbol" w:hAnsi="Symbol" w:hint="default"/>
      </w:rPr>
    </w:lvl>
    <w:lvl w:ilvl="1" w:tplc="0C090003" w:tentative="1">
      <w:start w:val="1"/>
      <w:numFmt w:val="bullet"/>
      <w:lvlText w:val="o"/>
      <w:lvlJc w:val="left"/>
      <w:pPr>
        <w:ind w:left="2509" w:hanging="360"/>
      </w:pPr>
      <w:rPr>
        <w:rFonts w:ascii="Courier New" w:hAnsi="Courier New" w:cs="Courier New" w:hint="default"/>
      </w:rPr>
    </w:lvl>
    <w:lvl w:ilvl="2" w:tplc="0C090005" w:tentative="1">
      <w:start w:val="1"/>
      <w:numFmt w:val="bullet"/>
      <w:lvlText w:val=""/>
      <w:lvlJc w:val="left"/>
      <w:pPr>
        <w:ind w:left="3229" w:hanging="360"/>
      </w:pPr>
      <w:rPr>
        <w:rFonts w:ascii="Wingdings" w:hAnsi="Wingdings" w:hint="default"/>
      </w:rPr>
    </w:lvl>
    <w:lvl w:ilvl="3" w:tplc="0C090001" w:tentative="1">
      <w:start w:val="1"/>
      <w:numFmt w:val="bullet"/>
      <w:lvlText w:val=""/>
      <w:lvlJc w:val="left"/>
      <w:pPr>
        <w:ind w:left="3949" w:hanging="360"/>
      </w:pPr>
      <w:rPr>
        <w:rFonts w:ascii="Symbol" w:hAnsi="Symbol" w:hint="default"/>
      </w:rPr>
    </w:lvl>
    <w:lvl w:ilvl="4" w:tplc="0C090003" w:tentative="1">
      <w:start w:val="1"/>
      <w:numFmt w:val="bullet"/>
      <w:lvlText w:val="o"/>
      <w:lvlJc w:val="left"/>
      <w:pPr>
        <w:ind w:left="4669" w:hanging="360"/>
      </w:pPr>
      <w:rPr>
        <w:rFonts w:ascii="Courier New" w:hAnsi="Courier New" w:cs="Courier New" w:hint="default"/>
      </w:rPr>
    </w:lvl>
    <w:lvl w:ilvl="5" w:tplc="0C090005" w:tentative="1">
      <w:start w:val="1"/>
      <w:numFmt w:val="bullet"/>
      <w:lvlText w:val=""/>
      <w:lvlJc w:val="left"/>
      <w:pPr>
        <w:ind w:left="5389" w:hanging="360"/>
      </w:pPr>
      <w:rPr>
        <w:rFonts w:ascii="Wingdings" w:hAnsi="Wingdings" w:hint="default"/>
      </w:rPr>
    </w:lvl>
    <w:lvl w:ilvl="6" w:tplc="0C090001" w:tentative="1">
      <w:start w:val="1"/>
      <w:numFmt w:val="bullet"/>
      <w:lvlText w:val=""/>
      <w:lvlJc w:val="left"/>
      <w:pPr>
        <w:ind w:left="6109" w:hanging="360"/>
      </w:pPr>
      <w:rPr>
        <w:rFonts w:ascii="Symbol" w:hAnsi="Symbol" w:hint="default"/>
      </w:rPr>
    </w:lvl>
    <w:lvl w:ilvl="7" w:tplc="0C090003" w:tentative="1">
      <w:start w:val="1"/>
      <w:numFmt w:val="bullet"/>
      <w:lvlText w:val="o"/>
      <w:lvlJc w:val="left"/>
      <w:pPr>
        <w:ind w:left="6829" w:hanging="360"/>
      </w:pPr>
      <w:rPr>
        <w:rFonts w:ascii="Courier New" w:hAnsi="Courier New" w:cs="Courier New" w:hint="default"/>
      </w:rPr>
    </w:lvl>
    <w:lvl w:ilvl="8" w:tplc="0C090005" w:tentative="1">
      <w:start w:val="1"/>
      <w:numFmt w:val="bullet"/>
      <w:lvlText w:val=""/>
      <w:lvlJc w:val="left"/>
      <w:pPr>
        <w:ind w:left="7549" w:hanging="360"/>
      </w:pPr>
      <w:rPr>
        <w:rFonts w:ascii="Wingdings" w:hAnsi="Wingdings" w:hint="default"/>
      </w:rPr>
    </w:lvl>
  </w:abstractNum>
  <w:abstractNum w:abstractNumId="13" w15:restartNumberingAfterBreak="0">
    <w:nsid w:val="4B2105BB"/>
    <w:multiLevelType w:val="hybridMultilevel"/>
    <w:tmpl w:val="6A4685D0"/>
    <w:lvl w:ilvl="0" w:tplc="0C090003">
      <w:start w:val="1"/>
      <w:numFmt w:val="bullet"/>
      <w:lvlText w:val="o"/>
      <w:lvlJc w:val="left"/>
      <w:pPr>
        <w:ind w:left="2520" w:hanging="360"/>
      </w:pPr>
      <w:rPr>
        <w:rFonts w:ascii="Courier New" w:hAnsi="Courier New" w:cs="Courier New"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4" w15:restartNumberingAfterBreak="0">
    <w:nsid w:val="4CE710A4"/>
    <w:multiLevelType w:val="hybridMultilevel"/>
    <w:tmpl w:val="A050BB6A"/>
    <w:lvl w:ilvl="0" w:tplc="4A96AD60">
      <w:start w:val="1"/>
      <w:numFmt w:val="lowerLetter"/>
      <w:lvlText w:val="%1."/>
      <w:lvlJc w:val="left"/>
      <w:pPr>
        <w:ind w:left="1080" w:hanging="72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FA8246E"/>
    <w:multiLevelType w:val="hybridMultilevel"/>
    <w:tmpl w:val="AB208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19921C9"/>
    <w:multiLevelType w:val="hybridMultilevel"/>
    <w:tmpl w:val="3AF2B04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55F841A3"/>
    <w:multiLevelType w:val="hybridMultilevel"/>
    <w:tmpl w:val="FAF4E872"/>
    <w:lvl w:ilvl="0" w:tplc="D0748D6C">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5D1B24BB"/>
    <w:multiLevelType w:val="hybridMultilevel"/>
    <w:tmpl w:val="BD5276D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65D5758F"/>
    <w:multiLevelType w:val="hybridMultilevel"/>
    <w:tmpl w:val="2B3ACDD2"/>
    <w:lvl w:ilvl="0" w:tplc="3328052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85A185F"/>
    <w:multiLevelType w:val="hybridMultilevel"/>
    <w:tmpl w:val="9D4E4032"/>
    <w:lvl w:ilvl="0" w:tplc="0C09000F">
      <w:start w:val="1"/>
      <w:numFmt w:val="decimal"/>
      <w:lvlText w:val="%1."/>
      <w:lvlJc w:val="left"/>
      <w:pPr>
        <w:ind w:left="2160" w:hanging="360"/>
      </w:pPr>
      <w:rPr>
        <w:rFont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1" w15:restartNumberingAfterBreak="0">
    <w:nsid w:val="6945511A"/>
    <w:multiLevelType w:val="hybridMultilevel"/>
    <w:tmpl w:val="4E94D3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6E6C71D0"/>
    <w:multiLevelType w:val="hybridMultilevel"/>
    <w:tmpl w:val="0C4C2B0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6F270BCD"/>
    <w:multiLevelType w:val="hybridMultilevel"/>
    <w:tmpl w:val="E00009B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6FEC02A8"/>
    <w:multiLevelType w:val="hybridMultilevel"/>
    <w:tmpl w:val="1EF642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70373A9E"/>
    <w:multiLevelType w:val="hybridMultilevel"/>
    <w:tmpl w:val="D980875C"/>
    <w:lvl w:ilvl="0" w:tplc="6250F7E0">
      <w:start w:val="1"/>
      <w:numFmt w:val="bullet"/>
      <w:pStyle w:val="ListParagraph"/>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74B100B9"/>
    <w:multiLevelType w:val="hybridMultilevel"/>
    <w:tmpl w:val="B95E041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784D033C"/>
    <w:multiLevelType w:val="multilevel"/>
    <w:tmpl w:val="CDCC816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8CE3801"/>
    <w:multiLevelType w:val="multilevel"/>
    <w:tmpl w:val="2974C158"/>
    <w:lvl w:ilvl="0">
      <w:start w:val="1"/>
      <w:numFmt w:val="upperRoman"/>
      <w:lvlText w:val="Article %1."/>
      <w:lvlJc w:val="left"/>
      <w:pPr>
        <w:ind w:left="0" w:firstLine="0"/>
      </w:pPr>
    </w:lvl>
    <w:lvl w:ilvl="1">
      <w:start w:val="1"/>
      <w:numFmt w:val="decimalZero"/>
      <w:isLgl/>
      <w:lvlText w:val="Section %1.%2"/>
      <w:lvlJc w:val="left"/>
      <w:pPr>
        <w:ind w:left="0"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7BBB7FF1"/>
    <w:multiLevelType w:val="hybridMultilevel"/>
    <w:tmpl w:val="13B445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7EDE5444"/>
    <w:multiLevelType w:val="hybridMultilevel"/>
    <w:tmpl w:val="D514FB7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28"/>
  </w:num>
  <w:num w:numId="2">
    <w:abstractNumId w:val="27"/>
  </w:num>
  <w:num w:numId="3">
    <w:abstractNumId w:val="27"/>
  </w:num>
  <w:num w:numId="4">
    <w:abstractNumId w:val="28"/>
  </w:num>
  <w:num w:numId="5">
    <w:abstractNumId w:val="11"/>
  </w:num>
  <w:num w:numId="6">
    <w:abstractNumId w:val="11"/>
  </w:num>
  <w:num w:numId="7">
    <w:abstractNumId w:val="1"/>
  </w:num>
  <w:num w:numId="8">
    <w:abstractNumId w:val="11"/>
  </w:num>
  <w:num w:numId="9">
    <w:abstractNumId w:val="11"/>
  </w:num>
  <w:num w:numId="10">
    <w:abstractNumId w:val="27"/>
  </w:num>
  <w:num w:numId="11">
    <w:abstractNumId w:val="27"/>
  </w:num>
  <w:num w:numId="12">
    <w:abstractNumId w:val="27"/>
  </w:num>
  <w:num w:numId="13">
    <w:abstractNumId w:val="27"/>
  </w:num>
  <w:num w:numId="14">
    <w:abstractNumId w:val="11"/>
  </w:num>
  <w:num w:numId="15">
    <w:abstractNumId w:val="11"/>
  </w:num>
  <w:num w:numId="16">
    <w:abstractNumId w:val="11"/>
  </w:num>
  <w:num w:numId="17">
    <w:abstractNumId w:val="11"/>
  </w:num>
  <w:num w:numId="18">
    <w:abstractNumId w:val="11"/>
  </w:num>
  <w:num w:numId="19">
    <w:abstractNumId w:val="27"/>
  </w:num>
  <w:num w:numId="20">
    <w:abstractNumId w:val="27"/>
  </w:num>
  <w:num w:numId="21">
    <w:abstractNumId w:val="6"/>
  </w:num>
  <w:num w:numId="22">
    <w:abstractNumId w:val="15"/>
  </w:num>
  <w:num w:numId="23">
    <w:abstractNumId w:val="7"/>
  </w:num>
  <w:num w:numId="24">
    <w:abstractNumId w:val="20"/>
  </w:num>
  <w:num w:numId="25">
    <w:abstractNumId w:val="4"/>
  </w:num>
  <w:num w:numId="26">
    <w:abstractNumId w:val="13"/>
  </w:num>
  <w:num w:numId="27">
    <w:abstractNumId w:val="16"/>
  </w:num>
  <w:num w:numId="28">
    <w:abstractNumId w:val="2"/>
  </w:num>
  <w:num w:numId="29">
    <w:abstractNumId w:val="12"/>
  </w:num>
  <w:num w:numId="30">
    <w:abstractNumId w:val="10"/>
  </w:num>
  <w:num w:numId="31">
    <w:abstractNumId w:val="29"/>
  </w:num>
  <w:num w:numId="32">
    <w:abstractNumId w:val="24"/>
  </w:num>
  <w:num w:numId="33">
    <w:abstractNumId w:val="14"/>
  </w:num>
  <w:num w:numId="34">
    <w:abstractNumId w:val="21"/>
  </w:num>
  <w:num w:numId="35">
    <w:abstractNumId w:val="19"/>
  </w:num>
  <w:num w:numId="36">
    <w:abstractNumId w:val="22"/>
  </w:num>
  <w:num w:numId="37">
    <w:abstractNumId w:val="27"/>
  </w:num>
  <w:num w:numId="38">
    <w:abstractNumId w:val="25"/>
  </w:num>
  <w:num w:numId="39">
    <w:abstractNumId w:val="18"/>
  </w:num>
  <w:num w:numId="40">
    <w:abstractNumId w:val="27"/>
  </w:num>
  <w:num w:numId="41">
    <w:abstractNumId w:val="27"/>
  </w:num>
  <w:num w:numId="42">
    <w:abstractNumId w:val="27"/>
  </w:num>
  <w:num w:numId="43">
    <w:abstractNumId w:val="27"/>
  </w:num>
  <w:num w:numId="44">
    <w:abstractNumId w:val="27"/>
  </w:num>
  <w:num w:numId="45">
    <w:abstractNumId w:val="27"/>
  </w:num>
  <w:num w:numId="46">
    <w:abstractNumId w:val="27"/>
  </w:num>
  <w:num w:numId="47">
    <w:abstractNumId w:val="27"/>
  </w:num>
  <w:num w:numId="48">
    <w:abstractNumId w:val="27"/>
  </w:num>
  <w:num w:numId="49">
    <w:abstractNumId w:val="27"/>
  </w:num>
  <w:num w:numId="50">
    <w:abstractNumId w:val="27"/>
  </w:num>
  <w:num w:numId="51">
    <w:abstractNumId w:val="27"/>
  </w:num>
  <w:num w:numId="52">
    <w:abstractNumId w:val="27"/>
  </w:num>
  <w:num w:numId="53">
    <w:abstractNumId w:val="27"/>
  </w:num>
  <w:num w:numId="54">
    <w:abstractNumId w:val="27"/>
  </w:num>
  <w:num w:numId="55">
    <w:abstractNumId w:val="27"/>
  </w:num>
  <w:num w:numId="56">
    <w:abstractNumId w:val="3"/>
  </w:num>
  <w:num w:numId="57">
    <w:abstractNumId w:val="23"/>
  </w:num>
  <w:num w:numId="58">
    <w:abstractNumId w:val="0"/>
  </w:num>
  <w:num w:numId="59">
    <w:abstractNumId w:val="8"/>
  </w:num>
  <w:num w:numId="60">
    <w:abstractNumId w:val="11"/>
  </w:num>
  <w:num w:numId="61">
    <w:abstractNumId w:val="27"/>
  </w:num>
  <w:num w:numId="62">
    <w:abstractNumId w:val="27"/>
  </w:num>
  <w:num w:numId="63">
    <w:abstractNumId w:val="30"/>
  </w:num>
  <w:num w:numId="64">
    <w:abstractNumId w:val="26"/>
  </w:num>
  <w:num w:numId="65">
    <w:abstractNumId w:val="17"/>
  </w:num>
  <w:num w:numId="66">
    <w:abstractNumId w:val="5"/>
  </w:num>
  <w:num w:numId="67">
    <w:abstractNumId w:val="27"/>
  </w:num>
  <w:num w:numId="68">
    <w:abstractNumId w:val="27"/>
  </w:num>
  <w:num w:numId="69">
    <w:abstractNumId w:val="27"/>
  </w:num>
  <w:num w:numId="70">
    <w:abstractNumId w:val="27"/>
  </w:num>
  <w:num w:numId="71">
    <w:abstractNumId w:val="9"/>
  </w:num>
  <w:num w:numId="72">
    <w:abstractNumId w:val="27"/>
  </w:num>
  <w:num w:numId="73">
    <w:abstractNumId w:val="2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25F"/>
    <w:rsid w:val="00000F5C"/>
    <w:rsid w:val="00002850"/>
    <w:rsid w:val="0000462A"/>
    <w:rsid w:val="000049C4"/>
    <w:rsid w:val="00006FFC"/>
    <w:rsid w:val="000155CB"/>
    <w:rsid w:val="00020A98"/>
    <w:rsid w:val="00020F4F"/>
    <w:rsid w:val="0002638C"/>
    <w:rsid w:val="0002658F"/>
    <w:rsid w:val="0003076D"/>
    <w:rsid w:val="00030FBD"/>
    <w:rsid w:val="00041D84"/>
    <w:rsid w:val="00043B92"/>
    <w:rsid w:val="00052693"/>
    <w:rsid w:val="000618EE"/>
    <w:rsid w:val="00062A12"/>
    <w:rsid w:val="000663B9"/>
    <w:rsid w:val="00073ED0"/>
    <w:rsid w:val="00075AAD"/>
    <w:rsid w:val="00080160"/>
    <w:rsid w:val="00083856"/>
    <w:rsid w:val="00092FBA"/>
    <w:rsid w:val="0009706C"/>
    <w:rsid w:val="000A1D99"/>
    <w:rsid w:val="000A5699"/>
    <w:rsid w:val="000A6F76"/>
    <w:rsid w:val="000B36E8"/>
    <w:rsid w:val="000C7BE2"/>
    <w:rsid w:val="000D1086"/>
    <w:rsid w:val="000D6674"/>
    <w:rsid w:val="000E3965"/>
    <w:rsid w:val="000F2F12"/>
    <w:rsid w:val="000F4A8F"/>
    <w:rsid w:val="000F4E48"/>
    <w:rsid w:val="000F5688"/>
    <w:rsid w:val="00100EC5"/>
    <w:rsid w:val="00102AC8"/>
    <w:rsid w:val="00106354"/>
    <w:rsid w:val="00114161"/>
    <w:rsid w:val="0011633A"/>
    <w:rsid w:val="00126731"/>
    <w:rsid w:val="00126DB0"/>
    <w:rsid w:val="001270AF"/>
    <w:rsid w:val="0012775F"/>
    <w:rsid w:val="00133143"/>
    <w:rsid w:val="00134FFE"/>
    <w:rsid w:val="00150B66"/>
    <w:rsid w:val="001659CE"/>
    <w:rsid w:val="00171AB6"/>
    <w:rsid w:val="001727DA"/>
    <w:rsid w:val="00176A60"/>
    <w:rsid w:val="001778BA"/>
    <w:rsid w:val="001803F5"/>
    <w:rsid w:val="001822A8"/>
    <w:rsid w:val="00183E29"/>
    <w:rsid w:val="001A7552"/>
    <w:rsid w:val="001A7566"/>
    <w:rsid w:val="001B1C33"/>
    <w:rsid w:val="001B4741"/>
    <w:rsid w:val="001B5C22"/>
    <w:rsid w:val="001D18EA"/>
    <w:rsid w:val="001E2375"/>
    <w:rsid w:val="001E3CA1"/>
    <w:rsid w:val="001E7D4C"/>
    <w:rsid w:val="001F20D8"/>
    <w:rsid w:val="00201DAA"/>
    <w:rsid w:val="002034F2"/>
    <w:rsid w:val="00204554"/>
    <w:rsid w:val="00210FAB"/>
    <w:rsid w:val="00213AD8"/>
    <w:rsid w:val="002158BA"/>
    <w:rsid w:val="00220275"/>
    <w:rsid w:val="00251140"/>
    <w:rsid w:val="0025125F"/>
    <w:rsid w:val="00251973"/>
    <w:rsid w:val="00251D73"/>
    <w:rsid w:val="002531F4"/>
    <w:rsid w:val="00260D9E"/>
    <w:rsid w:val="0026752C"/>
    <w:rsid w:val="00270E9A"/>
    <w:rsid w:val="00273982"/>
    <w:rsid w:val="00280050"/>
    <w:rsid w:val="00282173"/>
    <w:rsid w:val="002951B7"/>
    <w:rsid w:val="002A10C1"/>
    <w:rsid w:val="002A2D7A"/>
    <w:rsid w:val="002A4B81"/>
    <w:rsid w:val="002B4323"/>
    <w:rsid w:val="002C1B4E"/>
    <w:rsid w:val="002D6346"/>
    <w:rsid w:val="002E4CDC"/>
    <w:rsid w:val="002F079D"/>
    <w:rsid w:val="002F3479"/>
    <w:rsid w:val="002F7F5B"/>
    <w:rsid w:val="00301F58"/>
    <w:rsid w:val="003138D0"/>
    <w:rsid w:val="00313DEE"/>
    <w:rsid w:val="00316803"/>
    <w:rsid w:val="00320566"/>
    <w:rsid w:val="00323E3B"/>
    <w:rsid w:val="00327145"/>
    <w:rsid w:val="00327A56"/>
    <w:rsid w:val="00331A34"/>
    <w:rsid w:val="00346978"/>
    <w:rsid w:val="00363CAD"/>
    <w:rsid w:val="00364679"/>
    <w:rsid w:val="00365C89"/>
    <w:rsid w:val="003843F4"/>
    <w:rsid w:val="00385C60"/>
    <w:rsid w:val="00386C00"/>
    <w:rsid w:val="00387D59"/>
    <w:rsid w:val="00396B4D"/>
    <w:rsid w:val="003A5A0F"/>
    <w:rsid w:val="003C4C16"/>
    <w:rsid w:val="003C5B56"/>
    <w:rsid w:val="003D4BC2"/>
    <w:rsid w:val="003E320D"/>
    <w:rsid w:val="003E3B79"/>
    <w:rsid w:val="003F125D"/>
    <w:rsid w:val="003F144D"/>
    <w:rsid w:val="003F1FD2"/>
    <w:rsid w:val="003F2973"/>
    <w:rsid w:val="003F2AAA"/>
    <w:rsid w:val="003F74F8"/>
    <w:rsid w:val="004003BE"/>
    <w:rsid w:val="004153CD"/>
    <w:rsid w:val="00423BCF"/>
    <w:rsid w:val="00431F2E"/>
    <w:rsid w:val="00440767"/>
    <w:rsid w:val="00444187"/>
    <w:rsid w:val="004447C4"/>
    <w:rsid w:val="00444C80"/>
    <w:rsid w:val="004458F6"/>
    <w:rsid w:val="00445A31"/>
    <w:rsid w:val="00456D7E"/>
    <w:rsid w:val="0045723C"/>
    <w:rsid w:val="00457D7E"/>
    <w:rsid w:val="00463763"/>
    <w:rsid w:val="00472AB6"/>
    <w:rsid w:val="00483DBE"/>
    <w:rsid w:val="00485D1B"/>
    <w:rsid w:val="00486113"/>
    <w:rsid w:val="0049278E"/>
    <w:rsid w:val="00493D95"/>
    <w:rsid w:val="00495D40"/>
    <w:rsid w:val="004967A9"/>
    <w:rsid w:val="004A65EC"/>
    <w:rsid w:val="004A6783"/>
    <w:rsid w:val="004B46FB"/>
    <w:rsid w:val="004E1093"/>
    <w:rsid w:val="004E57E4"/>
    <w:rsid w:val="004E5FF4"/>
    <w:rsid w:val="004F39FD"/>
    <w:rsid w:val="00502558"/>
    <w:rsid w:val="0050333F"/>
    <w:rsid w:val="00507EDE"/>
    <w:rsid w:val="00511833"/>
    <w:rsid w:val="00515891"/>
    <w:rsid w:val="00522B32"/>
    <w:rsid w:val="0052430D"/>
    <w:rsid w:val="00524E96"/>
    <w:rsid w:val="00533C74"/>
    <w:rsid w:val="00541EBD"/>
    <w:rsid w:val="0054754C"/>
    <w:rsid w:val="00555628"/>
    <w:rsid w:val="00561F85"/>
    <w:rsid w:val="00565996"/>
    <w:rsid w:val="0058155B"/>
    <w:rsid w:val="005815E0"/>
    <w:rsid w:val="005860D8"/>
    <w:rsid w:val="00593016"/>
    <w:rsid w:val="005C1AFE"/>
    <w:rsid w:val="005C39BA"/>
    <w:rsid w:val="005E1FFB"/>
    <w:rsid w:val="005E6109"/>
    <w:rsid w:val="005E7146"/>
    <w:rsid w:val="005F55FD"/>
    <w:rsid w:val="00613C8C"/>
    <w:rsid w:val="00620344"/>
    <w:rsid w:val="00620661"/>
    <w:rsid w:val="0063162E"/>
    <w:rsid w:val="00631790"/>
    <w:rsid w:val="00632EF3"/>
    <w:rsid w:val="00632F6B"/>
    <w:rsid w:val="00643722"/>
    <w:rsid w:val="0064610F"/>
    <w:rsid w:val="006535B8"/>
    <w:rsid w:val="006727FF"/>
    <w:rsid w:val="0067606D"/>
    <w:rsid w:val="00677BF0"/>
    <w:rsid w:val="006836D3"/>
    <w:rsid w:val="006900BF"/>
    <w:rsid w:val="006931FE"/>
    <w:rsid w:val="00694458"/>
    <w:rsid w:val="00694924"/>
    <w:rsid w:val="00696614"/>
    <w:rsid w:val="006C05ED"/>
    <w:rsid w:val="006C2E1C"/>
    <w:rsid w:val="006C3CBC"/>
    <w:rsid w:val="006C40B6"/>
    <w:rsid w:val="006C7311"/>
    <w:rsid w:val="006D1F6B"/>
    <w:rsid w:val="006D46E6"/>
    <w:rsid w:val="006D534D"/>
    <w:rsid w:val="006D56F2"/>
    <w:rsid w:val="006E154F"/>
    <w:rsid w:val="006E6758"/>
    <w:rsid w:val="006F5072"/>
    <w:rsid w:val="00715630"/>
    <w:rsid w:val="00721EE6"/>
    <w:rsid w:val="0073568B"/>
    <w:rsid w:val="007425F9"/>
    <w:rsid w:val="0075369C"/>
    <w:rsid w:val="00755ED5"/>
    <w:rsid w:val="00760DD7"/>
    <w:rsid w:val="0077435F"/>
    <w:rsid w:val="00775F6C"/>
    <w:rsid w:val="007915B8"/>
    <w:rsid w:val="00796961"/>
    <w:rsid w:val="007A6B37"/>
    <w:rsid w:val="007B0496"/>
    <w:rsid w:val="007B0E97"/>
    <w:rsid w:val="007B219D"/>
    <w:rsid w:val="007B7118"/>
    <w:rsid w:val="007D1DA3"/>
    <w:rsid w:val="007D2B0A"/>
    <w:rsid w:val="007E05F0"/>
    <w:rsid w:val="007E5545"/>
    <w:rsid w:val="007F3EC7"/>
    <w:rsid w:val="00801D45"/>
    <w:rsid w:val="00803395"/>
    <w:rsid w:val="008111DE"/>
    <w:rsid w:val="00815589"/>
    <w:rsid w:val="00816278"/>
    <w:rsid w:val="0082016C"/>
    <w:rsid w:val="008229FC"/>
    <w:rsid w:val="008309A2"/>
    <w:rsid w:val="008360CF"/>
    <w:rsid w:val="00842DFE"/>
    <w:rsid w:val="0084470C"/>
    <w:rsid w:val="00846943"/>
    <w:rsid w:val="00846D62"/>
    <w:rsid w:val="00853404"/>
    <w:rsid w:val="00854882"/>
    <w:rsid w:val="00861850"/>
    <w:rsid w:val="008652C0"/>
    <w:rsid w:val="00886F19"/>
    <w:rsid w:val="008A11AD"/>
    <w:rsid w:val="008A490C"/>
    <w:rsid w:val="008A5509"/>
    <w:rsid w:val="008A627A"/>
    <w:rsid w:val="008B1262"/>
    <w:rsid w:val="008B247F"/>
    <w:rsid w:val="008B6AFF"/>
    <w:rsid w:val="008C1524"/>
    <w:rsid w:val="008C350C"/>
    <w:rsid w:val="008C5827"/>
    <w:rsid w:val="008D33CA"/>
    <w:rsid w:val="008E2A4F"/>
    <w:rsid w:val="008E36C9"/>
    <w:rsid w:val="008E617A"/>
    <w:rsid w:val="008F0614"/>
    <w:rsid w:val="008F1753"/>
    <w:rsid w:val="008F214B"/>
    <w:rsid w:val="008F363E"/>
    <w:rsid w:val="00900493"/>
    <w:rsid w:val="00904261"/>
    <w:rsid w:val="00906DA7"/>
    <w:rsid w:val="009177B9"/>
    <w:rsid w:val="00924542"/>
    <w:rsid w:val="00926D24"/>
    <w:rsid w:val="009331BE"/>
    <w:rsid w:val="00942E85"/>
    <w:rsid w:val="00953053"/>
    <w:rsid w:val="00953954"/>
    <w:rsid w:val="00961324"/>
    <w:rsid w:val="00962637"/>
    <w:rsid w:val="00980FF4"/>
    <w:rsid w:val="00984E30"/>
    <w:rsid w:val="0098563B"/>
    <w:rsid w:val="009926AF"/>
    <w:rsid w:val="00997093"/>
    <w:rsid w:val="00997A8A"/>
    <w:rsid w:val="009A0AA1"/>
    <w:rsid w:val="009A1908"/>
    <w:rsid w:val="009A4D62"/>
    <w:rsid w:val="009A5F29"/>
    <w:rsid w:val="009A69E2"/>
    <w:rsid w:val="009B330B"/>
    <w:rsid w:val="009C36DC"/>
    <w:rsid w:val="009C490F"/>
    <w:rsid w:val="009E3B5D"/>
    <w:rsid w:val="009F30BF"/>
    <w:rsid w:val="00A07018"/>
    <w:rsid w:val="00A11313"/>
    <w:rsid w:val="00A114CE"/>
    <w:rsid w:val="00A11C08"/>
    <w:rsid w:val="00A11C3B"/>
    <w:rsid w:val="00A14603"/>
    <w:rsid w:val="00A147F2"/>
    <w:rsid w:val="00A20E11"/>
    <w:rsid w:val="00A240E6"/>
    <w:rsid w:val="00A24EFC"/>
    <w:rsid w:val="00A33B78"/>
    <w:rsid w:val="00A35641"/>
    <w:rsid w:val="00A44F53"/>
    <w:rsid w:val="00A474E6"/>
    <w:rsid w:val="00A4789A"/>
    <w:rsid w:val="00A5379E"/>
    <w:rsid w:val="00A7034A"/>
    <w:rsid w:val="00A718B9"/>
    <w:rsid w:val="00A764B1"/>
    <w:rsid w:val="00A76567"/>
    <w:rsid w:val="00A8280B"/>
    <w:rsid w:val="00A94D17"/>
    <w:rsid w:val="00A976B0"/>
    <w:rsid w:val="00AA291E"/>
    <w:rsid w:val="00AA5891"/>
    <w:rsid w:val="00AB48FE"/>
    <w:rsid w:val="00AC4EFA"/>
    <w:rsid w:val="00AC7245"/>
    <w:rsid w:val="00AD199A"/>
    <w:rsid w:val="00AE01BB"/>
    <w:rsid w:val="00AE2301"/>
    <w:rsid w:val="00AE2FA3"/>
    <w:rsid w:val="00AE5756"/>
    <w:rsid w:val="00AE77E8"/>
    <w:rsid w:val="00AF1922"/>
    <w:rsid w:val="00B0177E"/>
    <w:rsid w:val="00B16283"/>
    <w:rsid w:val="00B3045F"/>
    <w:rsid w:val="00B34A26"/>
    <w:rsid w:val="00B462D0"/>
    <w:rsid w:val="00B53C71"/>
    <w:rsid w:val="00B56554"/>
    <w:rsid w:val="00B5786E"/>
    <w:rsid w:val="00B6473C"/>
    <w:rsid w:val="00B71C84"/>
    <w:rsid w:val="00B76765"/>
    <w:rsid w:val="00B805DA"/>
    <w:rsid w:val="00B86517"/>
    <w:rsid w:val="00B945F5"/>
    <w:rsid w:val="00BA0BD2"/>
    <w:rsid w:val="00BA1C2D"/>
    <w:rsid w:val="00BA272B"/>
    <w:rsid w:val="00BA2DB0"/>
    <w:rsid w:val="00BA5BBB"/>
    <w:rsid w:val="00BB0EA3"/>
    <w:rsid w:val="00BB6F67"/>
    <w:rsid w:val="00BC20DD"/>
    <w:rsid w:val="00BC2EA6"/>
    <w:rsid w:val="00BC5000"/>
    <w:rsid w:val="00BD01B6"/>
    <w:rsid w:val="00BD3E6F"/>
    <w:rsid w:val="00BD7484"/>
    <w:rsid w:val="00BD7F05"/>
    <w:rsid w:val="00BF0C62"/>
    <w:rsid w:val="00BF3F74"/>
    <w:rsid w:val="00BF4950"/>
    <w:rsid w:val="00BF6355"/>
    <w:rsid w:val="00C020CC"/>
    <w:rsid w:val="00C02BD5"/>
    <w:rsid w:val="00C07A41"/>
    <w:rsid w:val="00C13B4E"/>
    <w:rsid w:val="00C14166"/>
    <w:rsid w:val="00C172A9"/>
    <w:rsid w:val="00C178DD"/>
    <w:rsid w:val="00C23EDC"/>
    <w:rsid w:val="00C2487B"/>
    <w:rsid w:val="00C33168"/>
    <w:rsid w:val="00C4081F"/>
    <w:rsid w:val="00C4193A"/>
    <w:rsid w:val="00C5027B"/>
    <w:rsid w:val="00C57395"/>
    <w:rsid w:val="00C57A23"/>
    <w:rsid w:val="00C63309"/>
    <w:rsid w:val="00C70B18"/>
    <w:rsid w:val="00C7435B"/>
    <w:rsid w:val="00C80DBF"/>
    <w:rsid w:val="00C820C8"/>
    <w:rsid w:val="00C82B68"/>
    <w:rsid w:val="00C848EE"/>
    <w:rsid w:val="00C859C5"/>
    <w:rsid w:val="00C91BBA"/>
    <w:rsid w:val="00C95FD9"/>
    <w:rsid w:val="00CA3269"/>
    <w:rsid w:val="00CA472D"/>
    <w:rsid w:val="00CB4FB8"/>
    <w:rsid w:val="00CC0D65"/>
    <w:rsid w:val="00CC327A"/>
    <w:rsid w:val="00CC4079"/>
    <w:rsid w:val="00CC660C"/>
    <w:rsid w:val="00CC6B8F"/>
    <w:rsid w:val="00CC7463"/>
    <w:rsid w:val="00CE6018"/>
    <w:rsid w:val="00CE6F49"/>
    <w:rsid w:val="00CF04FD"/>
    <w:rsid w:val="00CF4272"/>
    <w:rsid w:val="00CF51A1"/>
    <w:rsid w:val="00CF69D2"/>
    <w:rsid w:val="00D21093"/>
    <w:rsid w:val="00D47C0B"/>
    <w:rsid w:val="00D50653"/>
    <w:rsid w:val="00D51F06"/>
    <w:rsid w:val="00D56300"/>
    <w:rsid w:val="00D61BEE"/>
    <w:rsid w:val="00D644EE"/>
    <w:rsid w:val="00D65989"/>
    <w:rsid w:val="00D720B6"/>
    <w:rsid w:val="00D758D1"/>
    <w:rsid w:val="00D803CC"/>
    <w:rsid w:val="00D912A7"/>
    <w:rsid w:val="00D94AEF"/>
    <w:rsid w:val="00D97534"/>
    <w:rsid w:val="00DA4148"/>
    <w:rsid w:val="00DA465E"/>
    <w:rsid w:val="00DB1971"/>
    <w:rsid w:val="00DB5859"/>
    <w:rsid w:val="00DB67B9"/>
    <w:rsid w:val="00DC1FDA"/>
    <w:rsid w:val="00DC46E3"/>
    <w:rsid w:val="00DC5619"/>
    <w:rsid w:val="00DD3755"/>
    <w:rsid w:val="00DD61A7"/>
    <w:rsid w:val="00DD6222"/>
    <w:rsid w:val="00DE757E"/>
    <w:rsid w:val="00DF679F"/>
    <w:rsid w:val="00E110DE"/>
    <w:rsid w:val="00E1196C"/>
    <w:rsid w:val="00E1530F"/>
    <w:rsid w:val="00E17C1F"/>
    <w:rsid w:val="00E200F9"/>
    <w:rsid w:val="00E26767"/>
    <w:rsid w:val="00E26DE1"/>
    <w:rsid w:val="00E476AA"/>
    <w:rsid w:val="00E50B9E"/>
    <w:rsid w:val="00E53C41"/>
    <w:rsid w:val="00E6728D"/>
    <w:rsid w:val="00E67B70"/>
    <w:rsid w:val="00E7032D"/>
    <w:rsid w:val="00E72BCD"/>
    <w:rsid w:val="00E74E36"/>
    <w:rsid w:val="00E81892"/>
    <w:rsid w:val="00E87579"/>
    <w:rsid w:val="00E91E04"/>
    <w:rsid w:val="00EB2D4D"/>
    <w:rsid w:val="00EB50B5"/>
    <w:rsid w:val="00EC4AD4"/>
    <w:rsid w:val="00ED0DFE"/>
    <w:rsid w:val="00ED444E"/>
    <w:rsid w:val="00ED561D"/>
    <w:rsid w:val="00EE40D0"/>
    <w:rsid w:val="00EE6D1D"/>
    <w:rsid w:val="00F05340"/>
    <w:rsid w:val="00F05CB7"/>
    <w:rsid w:val="00F0709B"/>
    <w:rsid w:val="00F104D1"/>
    <w:rsid w:val="00F104E2"/>
    <w:rsid w:val="00F10EE3"/>
    <w:rsid w:val="00F14D6C"/>
    <w:rsid w:val="00F16855"/>
    <w:rsid w:val="00F37919"/>
    <w:rsid w:val="00F50007"/>
    <w:rsid w:val="00F53BF5"/>
    <w:rsid w:val="00F609BA"/>
    <w:rsid w:val="00F6462F"/>
    <w:rsid w:val="00F7161C"/>
    <w:rsid w:val="00F84958"/>
    <w:rsid w:val="00F854E1"/>
    <w:rsid w:val="00F86962"/>
    <w:rsid w:val="00F9028A"/>
    <w:rsid w:val="00F904B3"/>
    <w:rsid w:val="00F96485"/>
    <w:rsid w:val="00FA54C7"/>
    <w:rsid w:val="00FB0685"/>
    <w:rsid w:val="00FB41AB"/>
    <w:rsid w:val="00FB7A2F"/>
    <w:rsid w:val="00FC0DDC"/>
    <w:rsid w:val="00FD0FF4"/>
    <w:rsid w:val="00FD6A7F"/>
    <w:rsid w:val="00FE5091"/>
    <w:rsid w:val="00FE7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2A3E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1D73"/>
    <w:pPr>
      <w:jc w:val="both"/>
    </w:pPr>
    <w:rPr>
      <w:rFonts w:ascii="Calibri" w:hAnsi="Calibri"/>
      <w:sz w:val="24"/>
      <w:szCs w:val="24"/>
    </w:rPr>
  </w:style>
  <w:style w:type="paragraph" w:styleId="Heading2">
    <w:name w:val="heading 2"/>
    <w:aliases w:val="4-Subsection Heading"/>
    <w:basedOn w:val="Normal"/>
    <w:next w:val="3-BodyText"/>
    <w:link w:val="Heading2Char"/>
    <w:qFormat/>
    <w:rsid w:val="00D21093"/>
    <w:pPr>
      <w:keepNext/>
      <w:spacing w:before="120" w:after="120"/>
      <w:outlineLvl w:val="1"/>
    </w:pPr>
    <w:rPr>
      <w:rFonts w:asciiTheme="minorHAnsi" w:eastAsiaTheme="majorEastAsia" w:hAnsiTheme="minorHAnsi" w:cstheme="majorBidi"/>
      <w:b/>
      <w:i/>
      <w:spacing w:val="5"/>
      <w:kern w:val="28"/>
      <w:sz w:val="28"/>
      <w:szCs w:val="36"/>
    </w:rPr>
  </w:style>
  <w:style w:type="paragraph" w:styleId="Heading3">
    <w:name w:val="heading 3"/>
    <w:basedOn w:val="Normal"/>
    <w:next w:val="Normal"/>
    <w:link w:val="Heading3Char"/>
    <w:uiPriority w:val="9"/>
    <w:semiHidden/>
    <w:unhideWhenUsed/>
    <w:rsid w:val="00F84958"/>
    <w:pPr>
      <w:keepNext/>
      <w:keepLines/>
      <w:numPr>
        <w:ilvl w:val="2"/>
        <w:numId w:val="4"/>
      </w:numPr>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4-Subsection Heading Char"/>
    <w:basedOn w:val="DefaultParagraphFont"/>
    <w:link w:val="Heading2"/>
    <w:rsid w:val="00D21093"/>
    <w:rPr>
      <w:rFonts w:asciiTheme="minorHAnsi" w:eastAsiaTheme="majorEastAsia" w:hAnsiTheme="minorHAnsi" w:cstheme="majorBidi"/>
      <w:b/>
      <w:i/>
      <w:spacing w:val="5"/>
      <w:kern w:val="28"/>
      <w:sz w:val="28"/>
      <w:szCs w:val="36"/>
    </w:rPr>
  </w:style>
  <w:style w:type="paragraph" w:customStyle="1" w:styleId="1-MainHeading">
    <w:name w:val="1-Main Heading"/>
    <w:link w:val="1-MainHeadingChar"/>
    <w:qFormat/>
    <w:rsid w:val="00D21093"/>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D21093"/>
    <w:rPr>
      <w:rFonts w:asciiTheme="minorHAnsi" w:eastAsiaTheme="majorEastAsia" w:hAnsiTheme="minorHAnsi" w:cstheme="majorBidi"/>
      <w:b/>
      <w:spacing w:val="5"/>
      <w:kern w:val="28"/>
      <w:sz w:val="36"/>
      <w:szCs w:val="36"/>
    </w:rPr>
  </w:style>
  <w:style w:type="paragraph" w:customStyle="1" w:styleId="2-SectionHeading">
    <w:name w:val="2-Section Heading"/>
    <w:qFormat/>
    <w:rsid w:val="00D21093"/>
    <w:pPr>
      <w:keepNext/>
      <w:numPr>
        <w:numId w:val="62"/>
      </w:numPr>
      <w:spacing w:before="240" w:after="120"/>
      <w:outlineLvl w:val="0"/>
    </w:pPr>
    <w:rPr>
      <w:rFonts w:asciiTheme="minorHAnsi" w:hAnsiTheme="minorHAnsi" w:cs="Arial"/>
      <w:b/>
      <w:snapToGrid w:val="0"/>
      <w:sz w:val="32"/>
      <w:szCs w:val="32"/>
    </w:rPr>
  </w:style>
  <w:style w:type="paragraph" w:customStyle="1" w:styleId="3-BodyText">
    <w:name w:val="3-Body Text"/>
    <w:link w:val="3-BodyTextChar"/>
    <w:qFormat/>
    <w:rsid w:val="00D21093"/>
    <w:pPr>
      <w:numPr>
        <w:ilvl w:val="1"/>
        <w:numId w:val="62"/>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D21093"/>
    <w:rPr>
      <w:rFonts w:asciiTheme="minorHAnsi" w:eastAsiaTheme="minorHAnsi" w:hAnsiTheme="minorHAnsi" w:cstheme="minorBidi"/>
      <w:snapToGrid w:val="0"/>
      <w:sz w:val="24"/>
      <w:szCs w:val="22"/>
    </w:rPr>
  </w:style>
  <w:style w:type="paragraph" w:customStyle="1" w:styleId="GeneralHeading">
    <w:name w:val="General Heading"/>
    <w:qFormat/>
    <w:rsid w:val="00D21093"/>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D21093"/>
    <w:pPr>
      <w:keepNext/>
    </w:pPr>
    <w:rPr>
      <w:rFonts w:ascii="Arial Narrow" w:eastAsiaTheme="majorEastAsia" w:hAnsi="Arial Narrow"/>
      <w:b/>
      <w:szCs w:val="24"/>
      <w:lang w:val="en-US"/>
    </w:rPr>
  </w:style>
  <w:style w:type="paragraph" w:customStyle="1" w:styleId="PageFooter">
    <w:name w:val="Page Footer"/>
    <w:basedOn w:val="Normal"/>
    <w:link w:val="PageFooterChar"/>
    <w:qFormat/>
    <w:rsid w:val="00D21093"/>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D21093"/>
    <w:rPr>
      <w:rFonts w:ascii="Calibri" w:hAnsi="Calibri" w:cs="Arial"/>
      <w:b/>
      <w:sz w:val="24"/>
      <w:szCs w:val="24"/>
    </w:rPr>
  </w:style>
  <w:style w:type="paragraph" w:customStyle="1" w:styleId="PageHeader">
    <w:name w:val="Page Header"/>
    <w:basedOn w:val="Normal"/>
    <w:link w:val="PageHeaderChar"/>
    <w:qFormat/>
    <w:rsid w:val="00BD7F05"/>
    <w:pPr>
      <w:keepNext/>
      <w:tabs>
        <w:tab w:val="center" w:pos="4513"/>
        <w:tab w:val="right" w:pos="9026"/>
      </w:tabs>
      <w:jc w:val="center"/>
    </w:pPr>
    <w:rPr>
      <w:i/>
      <w:iCs/>
    </w:rPr>
  </w:style>
  <w:style w:type="character" w:customStyle="1" w:styleId="PageHeaderChar">
    <w:name w:val="Page Header Char"/>
    <w:basedOn w:val="DefaultParagraphFont"/>
    <w:link w:val="PageHeader"/>
    <w:rsid w:val="00BD7F05"/>
    <w:rPr>
      <w:rFonts w:ascii="Calibri" w:hAnsi="Calibri"/>
      <w:i/>
      <w:iCs/>
      <w:sz w:val="24"/>
      <w:szCs w:val="24"/>
    </w:rPr>
  </w:style>
  <w:style w:type="paragraph" w:styleId="Header">
    <w:name w:val="header"/>
    <w:basedOn w:val="Normal"/>
    <w:link w:val="HeaderChar"/>
    <w:uiPriority w:val="99"/>
    <w:unhideWhenUsed/>
    <w:rsid w:val="00F84958"/>
    <w:pPr>
      <w:tabs>
        <w:tab w:val="center" w:pos="4513"/>
        <w:tab w:val="right" w:pos="9026"/>
      </w:tabs>
    </w:pPr>
  </w:style>
  <w:style w:type="character" w:customStyle="1" w:styleId="HeaderChar">
    <w:name w:val="Header Char"/>
    <w:basedOn w:val="DefaultParagraphFont"/>
    <w:link w:val="Header"/>
    <w:uiPriority w:val="99"/>
    <w:rsid w:val="00F84958"/>
    <w:rPr>
      <w:rFonts w:ascii="Calibri" w:eastAsia="Times New Roman" w:hAnsi="Calibri"/>
      <w:sz w:val="24"/>
      <w:szCs w:val="24"/>
    </w:rPr>
  </w:style>
  <w:style w:type="paragraph" w:customStyle="1" w:styleId="TableText">
    <w:name w:val="Table Text"/>
    <w:link w:val="TableTextChar"/>
    <w:qFormat/>
    <w:rsid w:val="00D21093"/>
    <w:pPr>
      <w:keepNext/>
    </w:pPr>
    <w:rPr>
      <w:rFonts w:ascii="Arial Narrow" w:eastAsiaTheme="majorEastAsia" w:hAnsi="Arial Narrow" w:cstheme="majorBidi"/>
      <w:bCs/>
      <w:szCs w:val="24"/>
    </w:rPr>
  </w:style>
  <w:style w:type="character" w:customStyle="1" w:styleId="TableTextChar">
    <w:name w:val="Table Text Char"/>
    <w:basedOn w:val="DefaultParagraphFont"/>
    <w:link w:val="TableText"/>
    <w:rsid w:val="00D21093"/>
    <w:rPr>
      <w:rFonts w:ascii="Arial Narrow" w:eastAsiaTheme="majorEastAsia" w:hAnsi="Arial Narrow" w:cstheme="majorBidi"/>
      <w:bCs/>
      <w:szCs w:val="24"/>
    </w:rPr>
  </w:style>
  <w:style w:type="paragraph" w:customStyle="1" w:styleId="TableFigureFooter">
    <w:name w:val="Table/Figure Footer"/>
    <w:basedOn w:val="Normal"/>
    <w:link w:val="TableFigureFooterChar"/>
    <w:qFormat/>
    <w:rsid w:val="00D21093"/>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D21093"/>
    <w:rPr>
      <w:rFonts w:ascii="Arial Narrow" w:hAnsi="Arial Narrow" w:cs="Arial"/>
      <w:snapToGrid w:val="0"/>
      <w:sz w:val="18"/>
      <w:szCs w:val="22"/>
    </w:rPr>
  </w:style>
  <w:style w:type="paragraph" w:customStyle="1" w:styleId="TableFigureHeading">
    <w:name w:val="Table/Figure Heading"/>
    <w:link w:val="TableFigureHeadingChar"/>
    <w:qFormat/>
    <w:rsid w:val="00D21093"/>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D21093"/>
    <w:rPr>
      <w:rFonts w:ascii="Arial Narrow" w:eastAsiaTheme="majorEastAsia" w:hAnsi="Arial Narrow" w:cstheme="majorBidi"/>
      <w:b/>
      <w:bCs/>
      <w:szCs w:val="24"/>
    </w:rPr>
  </w:style>
  <w:style w:type="paragraph" w:customStyle="1" w:styleId="5-SubsectionSubheading">
    <w:name w:val="5-Subsection Subheading"/>
    <w:basedOn w:val="Heading3"/>
    <w:next w:val="3-BodyText"/>
    <w:link w:val="5-SubsectionSubheadingChar"/>
    <w:qFormat/>
    <w:rsid w:val="00D21093"/>
    <w:pPr>
      <w:numPr>
        <w:ilvl w:val="0"/>
        <w:numId w:val="0"/>
      </w:numPr>
    </w:pPr>
    <w:rPr>
      <w:rFonts w:asciiTheme="minorHAnsi" w:hAnsiTheme="minorHAnsi"/>
      <w:b/>
      <w:color w:val="000000" w:themeColor="text1"/>
    </w:rPr>
  </w:style>
  <w:style w:type="character" w:customStyle="1" w:styleId="5-SubsectionSubheadingChar">
    <w:name w:val="5-Subsection Subheading Char"/>
    <w:basedOn w:val="Heading3Char"/>
    <w:link w:val="5-SubsectionSubheading"/>
    <w:rsid w:val="00D21093"/>
    <w:rPr>
      <w:rFonts w:asciiTheme="minorHAnsi" w:eastAsiaTheme="majorEastAsia" w:hAnsiTheme="minorHAnsi" w:cstheme="majorBidi"/>
      <w:b/>
      <w:color w:val="000000" w:themeColor="text1"/>
      <w:sz w:val="24"/>
      <w:szCs w:val="24"/>
    </w:rPr>
  </w:style>
  <w:style w:type="character" w:customStyle="1" w:styleId="Heading3Char">
    <w:name w:val="Heading 3 Char"/>
    <w:basedOn w:val="DefaultParagraphFont"/>
    <w:link w:val="Heading3"/>
    <w:uiPriority w:val="9"/>
    <w:semiHidden/>
    <w:rsid w:val="00F84958"/>
    <w:rPr>
      <w:rFonts w:asciiTheme="majorHAnsi" w:eastAsiaTheme="majorEastAsia" w:hAnsiTheme="majorHAnsi" w:cstheme="majorBidi"/>
      <w:color w:val="1F4D78" w:themeColor="accent1" w:themeShade="7F"/>
      <w:sz w:val="24"/>
      <w:szCs w:val="24"/>
    </w:rPr>
  </w:style>
  <w:style w:type="paragraph" w:styleId="ListParagraph">
    <w:name w:val="List Paragraph"/>
    <w:aliases w:val="Body Text Bullet Points,BulletPoints,Footnote,Bullet point,List Paragraph1,List Paragraph11,Recommendation,ES Paragraph,PBAC ES Paragraph,PBAC normal points,Numbered para,Section heading"/>
    <w:basedOn w:val="3-BodyText"/>
    <w:next w:val="ListBullet"/>
    <w:link w:val="ListParagraphChar"/>
    <w:uiPriority w:val="72"/>
    <w:qFormat/>
    <w:rsid w:val="006F5072"/>
    <w:pPr>
      <w:numPr>
        <w:ilvl w:val="0"/>
        <w:numId w:val="38"/>
      </w:numPr>
    </w:pPr>
  </w:style>
  <w:style w:type="character" w:customStyle="1" w:styleId="ListParagraphChar">
    <w:name w:val="List Paragraph Char"/>
    <w:aliases w:val="Body Text Bullet Points Char,BulletPoints Char,Footnote Char,Bullet point Char,List Paragraph1 Char,List Paragraph11 Char,Recommendation Char,ES Paragraph Char,PBAC ES Paragraph Char,PBAC normal points Char,Numbered para Char"/>
    <w:basedOn w:val="DefaultParagraphFont"/>
    <w:link w:val="ListParagraph"/>
    <w:uiPriority w:val="72"/>
    <w:qFormat/>
    <w:locked/>
    <w:rsid w:val="006F5072"/>
    <w:rPr>
      <w:rFonts w:asciiTheme="minorHAnsi" w:eastAsiaTheme="minorHAnsi" w:hAnsiTheme="minorHAnsi" w:cstheme="minorBidi"/>
      <w:sz w:val="24"/>
      <w:szCs w:val="22"/>
    </w:rPr>
  </w:style>
  <w:style w:type="paragraph" w:styleId="ListContinue">
    <w:name w:val="List Continue"/>
    <w:basedOn w:val="Normal"/>
    <w:uiPriority w:val="99"/>
    <w:semiHidden/>
    <w:unhideWhenUsed/>
    <w:rsid w:val="00906DA7"/>
    <w:pPr>
      <w:spacing w:after="120"/>
      <w:ind w:left="283"/>
      <w:contextualSpacing/>
    </w:pPr>
  </w:style>
  <w:style w:type="paragraph" w:styleId="ListBullet">
    <w:name w:val="List Bullet"/>
    <w:basedOn w:val="Normal"/>
    <w:uiPriority w:val="99"/>
    <w:unhideWhenUsed/>
    <w:rsid w:val="00906DA7"/>
    <w:pPr>
      <w:contextualSpacing/>
    </w:pPr>
  </w:style>
  <w:style w:type="paragraph" w:styleId="Footer">
    <w:name w:val="footer"/>
    <w:basedOn w:val="Normal"/>
    <w:link w:val="FooterChar"/>
    <w:uiPriority w:val="99"/>
    <w:unhideWhenUsed/>
    <w:rsid w:val="00E26767"/>
    <w:pPr>
      <w:tabs>
        <w:tab w:val="center" w:pos="4513"/>
        <w:tab w:val="right" w:pos="9026"/>
      </w:tabs>
    </w:pPr>
  </w:style>
  <w:style w:type="character" w:customStyle="1" w:styleId="FooterChar">
    <w:name w:val="Footer Char"/>
    <w:basedOn w:val="DefaultParagraphFont"/>
    <w:link w:val="Footer"/>
    <w:uiPriority w:val="99"/>
    <w:rsid w:val="00E26767"/>
    <w:rPr>
      <w:rFonts w:ascii="Calibri" w:hAnsi="Calibri"/>
      <w:sz w:val="24"/>
      <w:szCs w:val="24"/>
    </w:rPr>
  </w:style>
  <w:style w:type="character" w:styleId="CommentReference">
    <w:name w:val="annotation reference"/>
    <w:aliases w:val="Table Title"/>
    <w:basedOn w:val="DefaultParagraphFont"/>
    <w:uiPriority w:val="99"/>
    <w:unhideWhenUsed/>
    <w:rsid w:val="000F5688"/>
    <w:rPr>
      <w:sz w:val="16"/>
      <w:szCs w:val="16"/>
    </w:rPr>
  </w:style>
  <w:style w:type="paragraph" w:styleId="CommentText">
    <w:name w:val="annotation text"/>
    <w:basedOn w:val="Normal"/>
    <w:link w:val="CommentTextChar"/>
    <w:uiPriority w:val="99"/>
    <w:semiHidden/>
    <w:unhideWhenUsed/>
    <w:rsid w:val="000F5688"/>
    <w:pPr>
      <w:spacing w:after="160"/>
      <w:jc w:val="left"/>
    </w:pPr>
    <w:rPr>
      <w:rFonts w:ascii="Times New Roman" w:eastAsiaTheme="minorHAnsi" w:hAnsi="Times New Roman"/>
      <w:sz w:val="20"/>
      <w:szCs w:val="20"/>
    </w:rPr>
  </w:style>
  <w:style w:type="character" w:customStyle="1" w:styleId="CommentTextChar">
    <w:name w:val="Comment Text Char"/>
    <w:basedOn w:val="DefaultParagraphFont"/>
    <w:link w:val="CommentText"/>
    <w:uiPriority w:val="99"/>
    <w:semiHidden/>
    <w:rsid w:val="000F5688"/>
    <w:rPr>
      <w:rFonts w:eastAsiaTheme="minorHAnsi"/>
    </w:rPr>
  </w:style>
  <w:style w:type="paragraph" w:styleId="BalloonText">
    <w:name w:val="Balloon Text"/>
    <w:basedOn w:val="Normal"/>
    <w:link w:val="BalloonTextChar"/>
    <w:uiPriority w:val="99"/>
    <w:semiHidden/>
    <w:unhideWhenUsed/>
    <w:rsid w:val="000F56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5688"/>
    <w:rPr>
      <w:rFonts w:ascii="Segoe UI" w:hAnsi="Segoe UI" w:cs="Segoe UI"/>
      <w:sz w:val="18"/>
      <w:szCs w:val="18"/>
    </w:rPr>
  </w:style>
  <w:style w:type="paragraph" w:styleId="BodyText">
    <w:name w:val="Body Text"/>
    <w:basedOn w:val="Normal"/>
    <w:link w:val="BodyTextChar"/>
    <w:uiPriority w:val="99"/>
    <w:semiHidden/>
    <w:unhideWhenUsed/>
    <w:rsid w:val="00102AC8"/>
    <w:pPr>
      <w:spacing w:after="120"/>
    </w:pPr>
  </w:style>
  <w:style w:type="character" w:customStyle="1" w:styleId="BodyTextChar">
    <w:name w:val="Body Text Char"/>
    <w:basedOn w:val="DefaultParagraphFont"/>
    <w:link w:val="BodyText"/>
    <w:uiPriority w:val="99"/>
    <w:semiHidden/>
    <w:rsid w:val="00102AC8"/>
    <w:rPr>
      <w:rFonts w:ascii="Calibri" w:hAnsi="Calibri"/>
      <w:sz w:val="24"/>
      <w:szCs w:val="24"/>
    </w:rPr>
  </w:style>
  <w:style w:type="paragraph" w:customStyle="1" w:styleId="3Bodytext">
    <w:name w:val="3. Body text"/>
    <w:basedOn w:val="ListParagraph"/>
    <w:link w:val="3BodytextChar"/>
    <w:rsid w:val="000F4E48"/>
    <w:pPr>
      <w:ind w:left="720" w:hanging="720"/>
    </w:pPr>
    <w:rPr>
      <w:snapToGrid w:val="0"/>
      <w:lang w:eastAsia="en-AU"/>
    </w:rPr>
  </w:style>
  <w:style w:type="character" w:customStyle="1" w:styleId="3BodytextChar">
    <w:name w:val="3. Body text Char"/>
    <w:basedOn w:val="DefaultParagraphFont"/>
    <w:link w:val="3Bodytext"/>
    <w:rsid w:val="000F4E48"/>
    <w:rPr>
      <w:rFonts w:asciiTheme="minorHAnsi" w:eastAsiaTheme="minorHAnsi" w:hAnsiTheme="minorHAnsi" w:cstheme="minorBidi"/>
      <w:sz w:val="24"/>
      <w:szCs w:val="22"/>
      <w:lang w:eastAsia="en-AU"/>
    </w:rPr>
  </w:style>
  <w:style w:type="table" w:customStyle="1" w:styleId="Submissionstandard">
    <w:name w:val="Submission standard"/>
    <w:basedOn w:val="TableNormal"/>
    <w:uiPriority w:val="99"/>
    <w:qFormat/>
    <w:rsid w:val="00631790"/>
    <w:rPr>
      <w:rFonts w:ascii="Arial Narrow" w:eastAsiaTheme="majorEastAsia" w:hAnsi="Arial Narrow" w:cstheme="majorBidi"/>
      <w:szCs w:val="22"/>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Arial Narrow" w:hAnsi="Arial Narrow"/>
        <w:b/>
        <w:sz w:val="20"/>
      </w:rPr>
      <w:tblPr/>
      <w:tcPr>
        <w:shd w:val="clear" w:color="auto" w:fill="BFBFBF" w:themeFill="background1" w:themeFillShade="BF"/>
      </w:tcPr>
    </w:tblStylePr>
  </w:style>
  <w:style w:type="paragraph" w:styleId="CommentSubject">
    <w:name w:val="annotation subject"/>
    <w:basedOn w:val="CommentText"/>
    <w:next w:val="CommentText"/>
    <w:link w:val="CommentSubjectChar"/>
    <w:uiPriority w:val="99"/>
    <w:semiHidden/>
    <w:unhideWhenUsed/>
    <w:rsid w:val="007F3EC7"/>
    <w:pPr>
      <w:spacing w:after="0"/>
      <w:jc w:val="both"/>
    </w:pPr>
    <w:rPr>
      <w:rFonts w:ascii="Calibri" w:eastAsia="Times New Roman" w:hAnsi="Calibri"/>
      <w:b/>
      <w:bCs/>
    </w:rPr>
  </w:style>
  <w:style w:type="character" w:customStyle="1" w:styleId="CommentSubjectChar">
    <w:name w:val="Comment Subject Char"/>
    <w:basedOn w:val="CommentTextChar"/>
    <w:link w:val="CommentSubject"/>
    <w:uiPriority w:val="99"/>
    <w:semiHidden/>
    <w:rsid w:val="007F3EC7"/>
    <w:rPr>
      <w:rFonts w:ascii="Calibri" w:eastAsiaTheme="minorHAnsi" w:hAnsi="Calibri"/>
      <w:b/>
      <w:bCs/>
    </w:rPr>
  </w:style>
  <w:style w:type="paragraph" w:customStyle="1" w:styleId="Tabletitles">
    <w:name w:val="Table titles"/>
    <w:basedOn w:val="NoSpacing"/>
    <w:link w:val="TabletitlesChar"/>
    <w:rsid w:val="00FA54C7"/>
    <w:pPr>
      <w:spacing w:after="60"/>
    </w:pPr>
    <w:rPr>
      <w:rFonts w:ascii="Arial Narrow" w:hAnsi="Arial Narrow"/>
      <w:b/>
      <w:sz w:val="20"/>
      <w:szCs w:val="22"/>
      <w:lang w:eastAsia="en-AU"/>
    </w:rPr>
  </w:style>
  <w:style w:type="character" w:customStyle="1" w:styleId="TabletitlesChar">
    <w:name w:val="Table titles Char"/>
    <w:basedOn w:val="DefaultParagraphFont"/>
    <w:link w:val="Tabletitles"/>
    <w:rsid w:val="00FA54C7"/>
    <w:rPr>
      <w:rFonts w:ascii="Arial Narrow" w:hAnsi="Arial Narrow"/>
      <w:b/>
      <w:szCs w:val="22"/>
      <w:lang w:eastAsia="en-AU"/>
    </w:rPr>
  </w:style>
  <w:style w:type="paragraph" w:styleId="NoSpacing">
    <w:name w:val="No Spacing"/>
    <w:uiPriority w:val="1"/>
    <w:rsid w:val="00FA54C7"/>
    <w:pPr>
      <w:jc w:val="both"/>
    </w:pPr>
    <w:rPr>
      <w:rFonts w:ascii="Calibri" w:hAnsi="Calibri"/>
      <w:sz w:val="24"/>
      <w:szCs w:val="24"/>
    </w:rPr>
  </w:style>
  <w:style w:type="paragraph" w:customStyle="1" w:styleId="2Sections">
    <w:name w:val="2. Sections"/>
    <w:rsid w:val="00C859C5"/>
    <w:pPr>
      <w:spacing w:before="240" w:after="120"/>
      <w:outlineLvl w:val="0"/>
    </w:pPr>
    <w:rPr>
      <w:rFonts w:asciiTheme="minorHAnsi" w:hAnsiTheme="minorHAnsi" w:cs="Arial"/>
      <w:b/>
      <w:snapToGrid w:val="0"/>
      <w:sz w:val="32"/>
      <w:szCs w:val="32"/>
    </w:rPr>
  </w:style>
  <w:style w:type="character" w:styleId="Hyperlink">
    <w:name w:val="Hyperlink"/>
    <w:basedOn w:val="DefaultParagraphFont"/>
    <w:uiPriority w:val="99"/>
    <w:unhideWhenUsed/>
    <w:rsid w:val="000155CB"/>
    <w:rPr>
      <w:color w:val="0563C1" w:themeColor="hyperlink"/>
      <w:u w:val="single"/>
    </w:rPr>
  </w:style>
  <w:style w:type="paragraph" w:styleId="Revision">
    <w:name w:val="Revision"/>
    <w:hidden/>
    <w:uiPriority w:val="99"/>
    <w:semiHidden/>
    <w:rsid w:val="007B219D"/>
    <w:rPr>
      <w:rFonts w:ascii="Calibri" w:hAnsi="Calibri"/>
      <w:sz w:val="24"/>
      <w:szCs w:val="24"/>
    </w:rPr>
  </w:style>
  <w:style w:type="character" w:styleId="FollowedHyperlink">
    <w:name w:val="FollowedHyperlink"/>
    <w:rsid w:val="00BF3F74"/>
    <w:rPr>
      <w:color w:val="008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599901">
      <w:bodyDiv w:val="1"/>
      <w:marLeft w:val="0"/>
      <w:marRight w:val="0"/>
      <w:marTop w:val="0"/>
      <w:marBottom w:val="0"/>
      <w:divBdr>
        <w:top w:val="none" w:sz="0" w:space="0" w:color="auto"/>
        <w:left w:val="none" w:sz="0" w:space="0" w:color="auto"/>
        <w:bottom w:val="none" w:sz="0" w:space="0" w:color="auto"/>
        <w:right w:val="none" w:sz="0" w:space="0" w:color="auto"/>
      </w:divBdr>
    </w:div>
    <w:div w:id="569193457">
      <w:bodyDiv w:val="1"/>
      <w:marLeft w:val="0"/>
      <w:marRight w:val="0"/>
      <w:marTop w:val="0"/>
      <w:marBottom w:val="0"/>
      <w:divBdr>
        <w:top w:val="none" w:sz="0" w:space="0" w:color="auto"/>
        <w:left w:val="none" w:sz="0" w:space="0" w:color="auto"/>
        <w:bottom w:val="none" w:sz="0" w:space="0" w:color="auto"/>
        <w:right w:val="none" w:sz="0" w:space="0" w:color="auto"/>
      </w:divBdr>
    </w:div>
    <w:div w:id="1153646668">
      <w:bodyDiv w:val="1"/>
      <w:marLeft w:val="0"/>
      <w:marRight w:val="0"/>
      <w:marTop w:val="0"/>
      <w:marBottom w:val="0"/>
      <w:divBdr>
        <w:top w:val="none" w:sz="0" w:space="0" w:color="auto"/>
        <w:left w:val="none" w:sz="0" w:space="0" w:color="auto"/>
        <w:bottom w:val="none" w:sz="0" w:space="0" w:color="auto"/>
        <w:right w:val="none" w:sz="0" w:space="0" w:color="auto"/>
      </w:divBdr>
      <w:divsChild>
        <w:div w:id="1247688504">
          <w:marLeft w:val="0"/>
          <w:marRight w:val="0"/>
          <w:marTop w:val="0"/>
          <w:marBottom w:val="0"/>
          <w:divBdr>
            <w:top w:val="none" w:sz="0" w:space="0" w:color="auto"/>
            <w:left w:val="none" w:sz="0" w:space="0" w:color="auto"/>
            <w:bottom w:val="none" w:sz="0" w:space="0" w:color="auto"/>
            <w:right w:val="none" w:sz="0" w:space="0" w:color="auto"/>
          </w:divBdr>
          <w:divsChild>
            <w:div w:id="262693139">
              <w:marLeft w:val="0"/>
              <w:marRight w:val="0"/>
              <w:marTop w:val="0"/>
              <w:marBottom w:val="0"/>
              <w:divBdr>
                <w:top w:val="none" w:sz="0" w:space="0" w:color="auto"/>
                <w:left w:val="none" w:sz="0" w:space="0" w:color="auto"/>
                <w:bottom w:val="none" w:sz="0" w:space="0" w:color="auto"/>
                <w:right w:val="none" w:sz="0" w:space="0" w:color="auto"/>
              </w:divBdr>
              <w:divsChild>
                <w:div w:id="198662428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135831279">
          <w:marLeft w:val="0"/>
          <w:marRight w:val="0"/>
          <w:marTop w:val="0"/>
          <w:marBottom w:val="0"/>
          <w:divBdr>
            <w:top w:val="none" w:sz="0" w:space="0" w:color="auto"/>
            <w:left w:val="none" w:sz="0" w:space="0" w:color="auto"/>
            <w:bottom w:val="none" w:sz="0" w:space="0" w:color="auto"/>
            <w:right w:val="none" w:sz="0" w:space="0" w:color="auto"/>
          </w:divBdr>
          <w:divsChild>
            <w:div w:id="1983149216">
              <w:marLeft w:val="0"/>
              <w:marRight w:val="0"/>
              <w:marTop w:val="0"/>
              <w:marBottom w:val="0"/>
              <w:divBdr>
                <w:top w:val="none" w:sz="0" w:space="0" w:color="auto"/>
                <w:left w:val="none" w:sz="0" w:space="0" w:color="auto"/>
                <w:bottom w:val="none" w:sz="0" w:space="0" w:color="auto"/>
                <w:right w:val="none" w:sz="0" w:space="0" w:color="auto"/>
              </w:divBdr>
              <w:divsChild>
                <w:div w:id="238561589">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721247034">
          <w:marLeft w:val="0"/>
          <w:marRight w:val="0"/>
          <w:marTop w:val="0"/>
          <w:marBottom w:val="0"/>
          <w:divBdr>
            <w:top w:val="none" w:sz="0" w:space="0" w:color="auto"/>
            <w:left w:val="none" w:sz="0" w:space="0" w:color="auto"/>
            <w:bottom w:val="none" w:sz="0" w:space="0" w:color="auto"/>
            <w:right w:val="none" w:sz="0" w:space="0" w:color="auto"/>
          </w:divBdr>
          <w:divsChild>
            <w:div w:id="793914063">
              <w:marLeft w:val="0"/>
              <w:marRight w:val="0"/>
              <w:marTop w:val="0"/>
              <w:marBottom w:val="0"/>
              <w:divBdr>
                <w:top w:val="none" w:sz="0" w:space="0" w:color="auto"/>
                <w:left w:val="none" w:sz="0" w:space="0" w:color="auto"/>
                <w:bottom w:val="none" w:sz="0" w:space="0" w:color="auto"/>
                <w:right w:val="none" w:sz="0" w:space="0" w:color="auto"/>
              </w:divBdr>
              <w:divsChild>
                <w:div w:id="7447671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45051382">
          <w:marLeft w:val="0"/>
          <w:marRight w:val="0"/>
          <w:marTop w:val="0"/>
          <w:marBottom w:val="0"/>
          <w:divBdr>
            <w:top w:val="none" w:sz="0" w:space="0" w:color="auto"/>
            <w:left w:val="none" w:sz="0" w:space="0" w:color="auto"/>
            <w:bottom w:val="none" w:sz="0" w:space="0" w:color="auto"/>
            <w:right w:val="none" w:sz="0" w:space="0" w:color="auto"/>
          </w:divBdr>
          <w:divsChild>
            <w:div w:id="583342872">
              <w:marLeft w:val="0"/>
              <w:marRight w:val="0"/>
              <w:marTop w:val="0"/>
              <w:marBottom w:val="0"/>
              <w:divBdr>
                <w:top w:val="none" w:sz="0" w:space="0" w:color="auto"/>
                <w:left w:val="none" w:sz="0" w:space="0" w:color="auto"/>
                <w:bottom w:val="none" w:sz="0" w:space="0" w:color="auto"/>
                <w:right w:val="none" w:sz="0" w:space="0" w:color="auto"/>
              </w:divBdr>
              <w:divsChild>
                <w:div w:id="123312567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376976560">
          <w:marLeft w:val="0"/>
          <w:marRight w:val="0"/>
          <w:marTop w:val="0"/>
          <w:marBottom w:val="0"/>
          <w:divBdr>
            <w:top w:val="none" w:sz="0" w:space="0" w:color="auto"/>
            <w:left w:val="none" w:sz="0" w:space="0" w:color="auto"/>
            <w:bottom w:val="none" w:sz="0" w:space="0" w:color="auto"/>
            <w:right w:val="none" w:sz="0" w:space="0" w:color="auto"/>
          </w:divBdr>
          <w:divsChild>
            <w:div w:id="1398169671">
              <w:marLeft w:val="0"/>
              <w:marRight w:val="0"/>
              <w:marTop w:val="0"/>
              <w:marBottom w:val="0"/>
              <w:divBdr>
                <w:top w:val="none" w:sz="0" w:space="0" w:color="auto"/>
                <w:left w:val="none" w:sz="0" w:space="0" w:color="auto"/>
                <w:bottom w:val="none" w:sz="0" w:space="0" w:color="auto"/>
                <w:right w:val="none" w:sz="0" w:space="0" w:color="auto"/>
              </w:divBdr>
              <w:divsChild>
                <w:div w:id="107185232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365595523">
          <w:marLeft w:val="0"/>
          <w:marRight w:val="0"/>
          <w:marTop w:val="0"/>
          <w:marBottom w:val="0"/>
          <w:divBdr>
            <w:top w:val="none" w:sz="0" w:space="0" w:color="auto"/>
            <w:left w:val="none" w:sz="0" w:space="0" w:color="auto"/>
            <w:bottom w:val="none" w:sz="0" w:space="0" w:color="auto"/>
            <w:right w:val="none" w:sz="0" w:space="0" w:color="auto"/>
          </w:divBdr>
          <w:divsChild>
            <w:div w:id="950937882">
              <w:marLeft w:val="0"/>
              <w:marRight w:val="0"/>
              <w:marTop w:val="0"/>
              <w:marBottom w:val="0"/>
              <w:divBdr>
                <w:top w:val="none" w:sz="0" w:space="0" w:color="auto"/>
                <w:left w:val="none" w:sz="0" w:space="0" w:color="auto"/>
                <w:bottom w:val="none" w:sz="0" w:space="0" w:color="auto"/>
                <w:right w:val="none" w:sz="0" w:space="0" w:color="auto"/>
              </w:divBdr>
              <w:divsChild>
                <w:div w:id="132928569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847598941">
          <w:marLeft w:val="0"/>
          <w:marRight w:val="0"/>
          <w:marTop w:val="0"/>
          <w:marBottom w:val="0"/>
          <w:divBdr>
            <w:top w:val="none" w:sz="0" w:space="0" w:color="auto"/>
            <w:left w:val="none" w:sz="0" w:space="0" w:color="auto"/>
            <w:bottom w:val="none" w:sz="0" w:space="0" w:color="auto"/>
            <w:right w:val="none" w:sz="0" w:space="0" w:color="auto"/>
          </w:divBdr>
          <w:divsChild>
            <w:div w:id="1935019364">
              <w:marLeft w:val="0"/>
              <w:marRight w:val="0"/>
              <w:marTop w:val="0"/>
              <w:marBottom w:val="0"/>
              <w:divBdr>
                <w:top w:val="none" w:sz="0" w:space="0" w:color="auto"/>
                <w:left w:val="none" w:sz="0" w:space="0" w:color="auto"/>
                <w:bottom w:val="none" w:sz="0" w:space="0" w:color="auto"/>
                <w:right w:val="none" w:sz="0" w:space="0" w:color="auto"/>
              </w:divBdr>
              <w:divsChild>
                <w:div w:id="377558581">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620645306">
          <w:marLeft w:val="0"/>
          <w:marRight w:val="0"/>
          <w:marTop w:val="0"/>
          <w:marBottom w:val="0"/>
          <w:divBdr>
            <w:top w:val="none" w:sz="0" w:space="0" w:color="auto"/>
            <w:left w:val="none" w:sz="0" w:space="0" w:color="auto"/>
            <w:bottom w:val="none" w:sz="0" w:space="0" w:color="auto"/>
            <w:right w:val="none" w:sz="0" w:space="0" w:color="auto"/>
          </w:divBdr>
          <w:divsChild>
            <w:div w:id="2048093728">
              <w:marLeft w:val="0"/>
              <w:marRight w:val="0"/>
              <w:marTop w:val="0"/>
              <w:marBottom w:val="0"/>
              <w:divBdr>
                <w:top w:val="none" w:sz="0" w:space="0" w:color="auto"/>
                <w:left w:val="none" w:sz="0" w:space="0" w:color="auto"/>
                <w:bottom w:val="none" w:sz="0" w:space="0" w:color="auto"/>
                <w:right w:val="none" w:sz="0" w:space="0" w:color="auto"/>
              </w:divBdr>
              <w:divsChild>
                <w:div w:id="188004759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184397301">
          <w:marLeft w:val="0"/>
          <w:marRight w:val="0"/>
          <w:marTop w:val="0"/>
          <w:marBottom w:val="0"/>
          <w:divBdr>
            <w:top w:val="none" w:sz="0" w:space="0" w:color="auto"/>
            <w:left w:val="none" w:sz="0" w:space="0" w:color="auto"/>
            <w:bottom w:val="none" w:sz="0" w:space="0" w:color="auto"/>
            <w:right w:val="none" w:sz="0" w:space="0" w:color="auto"/>
          </w:divBdr>
          <w:divsChild>
            <w:div w:id="73473838">
              <w:marLeft w:val="0"/>
              <w:marRight w:val="0"/>
              <w:marTop w:val="0"/>
              <w:marBottom w:val="0"/>
              <w:divBdr>
                <w:top w:val="none" w:sz="0" w:space="0" w:color="auto"/>
                <w:left w:val="none" w:sz="0" w:space="0" w:color="auto"/>
                <w:bottom w:val="none" w:sz="0" w:space="0" w:color="auto"/>
                <w:right w:val="none" w:sz="0" w:space="0" w:color="auto"/>
              </w:divBdr>
              <w:divsChild>
                <w:div w:id="947810959">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229537638">
          <w:marLeft w:val="0"/>
          <w:marRight w:val="0"/>
          <w:marTop w:val="0"/>
          <w:marBottom w:val="0"/>
          <w:divBdr>
            <w:top w:val="none" w:sz="0" w:space="0" w:color="auto"/>
            <w:left w:val="none" w:sz="0" w:space="0" w:color="auto"/>
            <w:bottom w:val="none" w:sz="0" w:space="0" w:color="auto"/>
            <w:right w:val="none" w:sz="0" w:space="0" w:color="auto"/>
          </w:divBdr>
          <w:divsChild>
            <w:div w:id="66733363">
              <w:marLeft w:val="0"/>
              <w:marRight w:val="0"/>
              <w:marTop w:val="0"/>
              <w:marBottom w:val="0"/>
              <w:divBdr>
                <w:top w:val="none" w:sz="0" w:space="0" w:color="auto"/>
                <w:left w:val="none" w:sz="0" w:space="0" w:color="auto"/>
                <w:bottom w:val="none" w:sz="0" w:space="0" w:color="auto"/>
                <w:right w:val="none" w:sz="0" w:space="0" w:color="auto"/>
              </w:divBdr>
              <w:divsChild>
                <w:div w:id="33652298">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312192">
      <w:bodyDiv w:val="1"/>
      <w:marLeft w:val="0"/>
      <w:marRight w:val="0"/>
      <w:marTop w:val="0"/>
      <w:marBottom w:val="0"/>
      <w:divBdr>
        <w:top w:val="none" w:sz="0" w:space="0" w:color="auto"/>
        <w:left w:val="none" w:sz="0" w:space="0" w:color="auto"/>
        <w:bottom w:val="none" w:sz="0" w:space="0" w:color="auto"/>
        <w:right w:val="none" w:sz="0" w:space="0" w:color="auto"/>
      </w:divBdr>
    </w:div>
    <w:div w:id="1431315989">
      <w:bodyDiv w:val="1"/>
      <w:marLeft w:val="0"/>
      <w:marRight w:val="0"/>
      <w:marTop w:val="0"/>
      <w:marBottom w:val="0"/>
      <w:divBdr>
        <w:top w:val="none" w:sz="0" w:space="0" w:color="auto"/>
        <w:left w:val="none" w:sz="0" w:space="0" w:color="auto"/>
        <w:bottom w:val="none" w:sz="0" w:space="0" w:color="auto"/>
        <w:right w:val="none" w:sz="0" w:space="0" w:color="auto"/>
      </w:divBdr>
    </w:div>
    <w:div w:id="1437942743">
      <w:bodyDiv w:val="1"/>
      <w:marLeft w:val="0"/>
      <w:marRight w:val="0"/>
      <w:marTop w:val="0"/>
      <w:marBottom w:val="0"/>
      <w:divBdr>
        <w:top w:val="none" w:sz="0" w:space="0" w:color="auto"/>
        <w:left w:val="none" w:sz="0" w:space="0" w:color="auto"/>
        <w:bottom w:val="none" w:sz="0" w:space="0" w:color="auto"/>
        <w:right w:val="none" w:sz="0" w:space="0" w:color="auto"/>
      </w:divBdr>
    </w:div>
    <w:div w:id="1449546676">
      <w:bodyDiv w:val="1"/>
      <w:marLeft w:val="0"/>
      <w:marRight w:val="0"/>
      <w:marTop w:val="0"/>
      <w:marBottom w:val="0"/>
      <w:divBdr>
        <w:top w:val="none" w:sz="0" w:space="0" w:color="auto"/>
        <w:left w:val="none" w:sz="0" w:space="0" w:color="auto"/>
        <w:bottom w:val="none" w:sz="0" w:space="0" w:color="auto"/>
        <w:right w:val="none" w:sz="0" w:space="0" w:color="auto"/>
      </w:divBdr>
      <w:divsChild>
        <w:div w:id="348023731">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12AA2-CD8D-4EBC-ACD6-F5D2DF3C5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5844</Words>
  <Characters>33312</Characters>
  <Application>Microsoft Office Word</Application>
  <DocSecurity>0</DocSecurity>
  <Lines>277</Lines>
  <Paragraphs>78</Paragraphs>
  <ScaleCrop>false</ScaleCrop>
  <HeadingPairs>
    <vt:vector size="4" baseType="variant">
      <vt:variant>
        <vt:lpstr>Title</vt:lpstr>
      </vt:variant>
      <vt:variant>
        <vt:i4>1</vt:i4>
      </vt:variant>
      <vt:variant>
        <vt:lpstr>Headings</vt:lpstr>
      </vt:variant>
      <vt:variant>
        <vt:i4>20</vt:i4>
      </vt:variant>
    </vt:vector>
  </HeadingPairs>
  <TitlesOfParts>
    <vt:vector size="21" baseType="lpstr">
      <vt:lpstr/>
      <vt:lpstr>6.18	FOLLITROPIN ALFA Injection 300 I.U. in 0.5 mL multi-dose cartridge Injectio</vt:lpstr>
      <vt:lpstr>Purpose of Application</vt:lpstr>
      <vt:lpstr>Background</vt:lpstr>
      <vt:lpstr>    Registration status</vt:lpstr>
      <vt:lpstr>    Previous PBAC consideration</vt:lpstr>
      <vt:lpstr>Requested listing</vt:lpstr>
      <vt:lpstr>Comparator</vt:lpstr>
      <vt:lpstr>Consideration of the Evidence</vt:lpstr>
      <vt:lpstr>    Sponsor hearing</vt:lpstr>
      <vt:lpstr>    Consumer comments</vt:lpstr>
      <vt:lpstr>    Clinical trials</vt:lpstr>
      <vt:lpstr>    Clinical claim</vt:lpstr>
      <vt:lpstr>    Economic analysis</vt:lpstr>
      <vt:lpstr>    Drug cost/patient/cycle: $688.90</vt:lpstr>
      <vt:lpstr>    Estimated PBS utilisation and financial implications</vt:lpstr>
      <vt:lpstr>    Quality Use of Medicine</vt:lpstr>
      <vt:lpstr>PBAC Outcome</vt:lpstr>
      <vt:lpstr>Recommended listing</vt:lpstr>
      <vt:lpstr>Context for Decision</vt:lpstr>
      <vt:lpstr>Sponsor’s Comment</vt:lpstr>
    </vt:vector>
  </TitlesOfParts>
  <Company/>
  <LinksUpToDate>false</LinksUpToDate>
  <CharactersWithSpaces>39078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2021-10-25T04:22:00Z</dcterms:created>
  <dcterms:modified xsi:type="dcterms:W3CDTF">2021-10-25T04:23:00Z</dcterms:modified>
</cp:coreProperties>
</file>