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0" w:rsidRPr="00DD5C8A" w:rsidRDefault="00EA6A9A" w:rsidP="00D40A02">
      <w:pPr>
        <w:pStyle w:val="1MainTitle"/>
        <w:jc w:val="left"/>
        <w:rPr>
          <w:rFonts w:eastAsia="Calibri" w:cstheme="minorHAnsi"/>
          <w:sz w:val="24"/>
          <w:szCs w:val="24"/>
          <w:lang w:eastAsia="en-US"/>
        </w:rPr>
      </w:pPr>
      <w:r w:rsidRPr="00DD5C8A">
        <w:rPr>
          <w:rFonts w:eastAsia="Calibri"/>
          <w:lang w:eastAsia="en-US"/>
        </w:rPr>
        <w:t>6.19</w:t>
      </w:r>
      <w:r w:rsidR="007E490F" w:rsidRPr="00DD5C8A">
        <w:rPr>
          <w:rFonts w:eastAsia="Calibri"/>
          <w:lang w:eastAsia="en-US"/>
        </w:rPr>
        <w:tab/>
      </w:r>
      <w:bookmarkStart w:id="0" w:name="_Hlk77236682"/>
      <w:r w:rsidRPr="00DD5C8A">
        <w:rPr>
          <w:rFonts w:eastAsia="Calibri"/>
          <w:lang w:eastAsia="en-US"/>
        </w:rPr>
        <w:t>HIGH FAT FORMULA WITH VITAMINS, MINERALS AND TRACE ELEMENTS AND LOW IN PROTEIN AND CARBOHYDRATE</w:t>
      </w:r>
      <w:bookmarkEnd w:id="0"/>
      <w:r w:rsidR="00D96768" w:rsidRPr="00DD5C8A">
        <w:rPr>
          <w:rFonts w:eastAsia="Calibri"/>
          <w:lang w:eastAsia="en-US"/>
        </w:rPr>
        <w:t>,</w:t>
      </w:r>
      <w:r w:rsidRPr="00DD5C8A">
        <w:rPr>
          <w:rFonts w:eastAsia="Calibri"/>
          <w:lang w:eastAsia="en-US"/>
        </w:rPr>
        <w:br/>
      </w:r>
      <w:r w:rsidRPr="00DD5C8A">
        <w:rPr>
          <w:rFonts w:cstheme="minorHAnsi"/>
        </w:rPr>
        <w:t>Oral liquid 250 mL, 30,</w:t>
      </w:r>
      <w:r w:rsidRPr="00DD5C8A">
        <w:rPr>
          <w:rFonts w:cstheme="minorHAnsi"/>
        </w:rPr>
        <w:br/>
        <w:t>KetoVie Peptide 4:1,</w:t>
      </w:r>
      <w:r w:rsidRPr="00DD5C8A">
        <w:rPr>
          <w:rFonts w:cstheme="minorHAnsi"/>
        </w:rPr>
        <w:br/>
        <w:t>Cortex Health Pty Ltd</w:t>
      </w:r>
    </w:p>
    <w:p w:rsidR="007E490F" w:rsidRPr="00DD5C8A" w:rsidRDefault="007E490F" w:rsidP="00856265">
      <w:pPr>
        <w:pStyle w:val="2-SectionHeading"/>
      </w:pPr>
      <w:r w:rsidRPr="00DD5C8A">
        <w:t xml:space="preserve">Purpose of Application </w:t>
      </w:r>
    </w:p>
    <w:p w:rsidR="005E2BCD" w:rsidRPr="00DD5C8A" w:rsidRDefault="005E2BCD" w:rsidP="00697D22">
      <w:pPr>
        <w:pStyle w:val="3Bodytext"/>
      </w:pPr>
      <w:r w:rsidRPr="00DD5C8A">
        <w:t xml:space="preserve">The Category 3 submission </w:t>
      </w:r>
      <w:r w:rsidR="00E10CA0" w:rsidRPr="00DD5C8A">
        <w:t xml:space="preserve">requested an amendment to the </w:t>
      </w:r>
      <w:r w:rsidR="00F8346F" w:rsidRPr="00DD5C8A">
        <w:t xml:space="preserve">November 2020 </w:t>
      </w:r>
      <w:r w:rsidR="00D70656" w:rsidRPr="00DD5C8A">
        <w:t xml:space="preserve">PBAC </w:t>
      </w:r>
      <w:r w:rsidR="00F8346F" w:rsidRPr="00DD5C8A">
        <w:t>recommend</w:t>
      </w:r>
      <w:r w:rsidR="00E10CA0" w:rsidRPr="00DD5C8A">
        <w:t xml:space="preserve">ation for </w:t>
      </w:r>
      <w:r w:rsidR="00F8346F" w:rsidRPr="00DD5C8A">
        <w:t>KetoVie Peptide 4:1</w:t>
      </w:r>
      <w:r w:rsidR="00E10CA0" w:rsidRPr="00DD5C8A">
        <w:t xml:space="preserve"> to be listed on the basis of cost-minimisation to the newly proposed comparators. </w:t>
      </w:r>
    </w:p>
    <w:p w:rsidR="007E490F" w:rsidRPr="00DD5C8A" w:rsidRDefault="007E490F" w:rsidP="00856265">
      <w:pPr>
        <w:pStyle w:val="2-SectionHeading"/>
      </w:pPr>
      <w:r w:rsidRPr="00DD5C8A">
        <w:t xml:space="preserve">Background </w:t>
      </w:r>
    </w:p>
    <w:p w:rsidR="00047D02" w:rsidRPr="00DD5C8A" w:rsidRDefault="00BB286F" w:rsidP="00304A92">
      <w:pPr>
        <w:spacing w:after="120"/>
        <w:rPr>
          <w:rFonts w:eastAsiaTheme="minorHAnsi" w:cstheme="minorBidi"/>
          <w:i/>
          <w:color w:val="000000" w:themeColor="text1"/>
          <w:lang w:eastAsia="en-US"/>
        </w:rPr>
      </w:pPr>
      <w:r w:rsidRPr="00DD5C8A">
        <w:rPr>
          <w:rFonts w:asciiTheme="minorHAnsi" w:eastAsiaTheme="minorHAnsi" w:hAnsiTheme="minorHAnsi" w:cstheme="minorBidi"/>
          <w:b/>
          <w:i/>
          <w:color w:val="000000" w:themeColor="text1"/>
          <w:lang w:eastAsia="en-US"/>
        </w:rPr>
        <w:t xml:space="preserve">Previous </w:t>
      </w:r>
      <w:r w:rsidR="00047D02" w:rsidRPr="00DD5C8A">
        <w:rPr>
          <w:rFonts w:asciiTheme="minorHAnsi" w:eastAsiaTheme="minorHAnsi" w:hAnsiTheme="minorHAnsi" w:cstheme="minorBidi"/>
          <w:b/>
          <w:i/>
          <w:color w:val="000000" w:themeColor="text1"/>
          <w:lang w:eastAsia="en-US"/>
        </w:rPr>
        <w:t>PBAC consideration</w:t>
      </w:r>
    </w:p>
    <w:p w:rsidR="00F03D7C" w:rsidRPr="00DD5C8A" w:rsidRDefault="002D13D9" w:rsidP="00F03D7C">
      <w:pPr>
        <w:pStyle w:val="3Bodytext"/>
      </w:pPr>
      <w:r w:rsidRPr="00DD5C8A">
        <w:t xml:space="preserve">At the November 2020 PBAC meeting, </w:t>
      </w:r>
      <w:r w:rsidR="00F03D7C" w:rsidRPr="00DD5C8A">
        <w:t>the PBAC recommended the General Schedule, Restricted Benefit listing of high fat formula with vitamins, minerals and trace elements and low in protein and carbohydrate (KetoVie Peptide 4:1) for ketogenic diet.</w:t>
      </w:r>
    </w:p>
    <w:p w:rsidR="00F03D7C" w:rsidRPr="00DD5C8A" w:rsidRDefault="00F03D7C" w:rsidP="00F03D7C">
      <w:pPr>
        <w:pStyle w:val="3Bodytext"/>
      </w:pPr>
      <w:r w:rsidRPr="00DD5C8A">
        <w:t xml:space="preserve">The PBAC </w:t>
      </w:r>
      <w:r w:rsidR="00AC0C53" w:rsidRPr="00DD5C8A">
        <w:t>advi</w:t>
      </w:r>
      <w:r w:rsidR="00AC0C53">
        <w:t>sed</w:t>
      </w:r>
      <w:r w:rsidR="00AC0C53" w:rsidRPr="00DD5C8A">
        <w:t xml:space="preserve"> </w:t>
      </w:r>
      <w:r w:rsidRPr="00DD5C8A">
        <w:t>that the inclusion of the cost of preparation time in the cost</w:t>
      </w:r>
      <w:r w:rsidR="00AC0C53">
        <w:t>-minimisation analysis</w:t>
      </w:r>
      <w:r w:rsidR="00AC0C53" w:rsidRPr="00DD5C8A">
        <w:t xml:space="preserve"> </w:t>
      </w:r>
      <w:r w:rsidRPr="00DD5C8A">
        <w:t>was not appropriate. The PBAC also noted the minor submission provided no clinical evidence that demonstrated superior comparative</w:t>
      </w:r>
      <w:r w:rsidR="00047D02" w:rsidRPr="00DD5C8A">
        <w:t xml:space="preserve"> </w:t>
      </w:r>
      <w:r w:rsidRPr="00DD5C8A">
        <w:t>effectiveness and safety of KetoVie Peptide 4:1 compared with the comparators.</w:t>
      </w:r>
    </w:p>
    <w:p w:rsidR="00F03D7C" w:rsidRPr="00DD5C8A" w:rsidRDefault="00F03D7C" w:rsidP="00F03D7C">
      <w:pPr>
        <w:pStyle w:val="3Bodytext"/>
      </w:pPr>
      <w:bookmarkStart w:id="1" w:name="_Hlk77079540"/>
      <w:r w:rsidRPr="00DD5C8A">
        <w:t xml:space="preserve">The PBAC considered the requested </w:t>
      </w:r>
      <w:r w:rsidR="007F70B9">
        <w:rPr>
          <w:noProof/>
          <w:color w:val="000000"/>
          <w:highlight w:val="black"/>
        </w:rPr>
        <w:t>''''''''</w:t>
      </w:r>
      <w:r w:rsidRPr="00DD5C8A">
        <w:t>% price premium for KetoVie Peptide 4:1 was not well justified and PBAC recommended listing KetoVie Peptide 4:1 with a price based on the same price per kilojoule compared to KetoCal 4:1 ($0.0042 at the AEMP), but with additional PBS-eligibility criteria</w:t>
      </w:r>
      <w:bookmarkEnd w:id="1"/>
      <w:r w:rsidRPr="00DD5C8A">
        <w:t>.</w:t>
      </w:r>
    </w:p>
    <w:p w:rsidR="00047D02" w:rsidRPr="00DD5C8A" w:rsidRDefault="00047D02" w:rsidP="00047D02">
      <w:pPr>
        <w:pStyle w:val="3Bodytext"/>
      </w:pPr>
      <w:r w:rsidRPr="00DD5C8A">
        <w:rPr>
          <w:szCs w:val="24"/>
        </w:rPr>
        <w:t>The PBAC noted the sponsor requested an Authority Required (STREAMLINED) listing. However, the PBAC advised that based on the same price per kilojoule as KetoCal 4:1, a Restricted Benefit listing would be reasonable.</w:t>
      </w:r>
    </w:p>
    <w:p w:rsidR="00047D02" w:rsidRPr="00DD5C8A" w:rsidRDefault="00047D02" w:rsidP="00047D02">
      <w:pPr>
        <w:pStyle w:val="3Bodytext"/>
      </w:pPr>
      <w:r w:rsidRPr="00DD5C8A">
        <w:t>The PBAC considered that the financial estimates were likely to be underestimated as the submission had assumed that all use of KetoVie was in place of KetoCal</w:t>
      </w:r>
      <w:r w:rsidR="00DD5C8A">
        <w:t>.</w:t>
      </w:r>
      <w:r w:rsidRPr="00DD5C8A">
        <w:t xml:space="preserve"> </w:t>
      </w:r>
      <w:r w:rsidR="00DD5C8A">
        <w:t>H</w:t>
      </w:r>
      <w:r w:rsidR="00DD5C8A" w:rsidRPr="00DD5C8A">
        <w:t>owever</w:t>
      </w:r>
      <w:r w:rsidR="00DD5C8A">
        <w:t>,</w:t>
      </w:r>
      <w:r w:rsidR="00DD5C8A" w:rsidRPr="00DD5C8A">
        <w:t xml:space="preserve"> </w:t>
      </w:r>
      <w:r w:rsidRPr="00DD5C8A">
        <w:t>the listing of KetoVie Peptide 4:1 had the potential to replace both KetoCal and amino acid based preparations and the submission provided no estimate on the number of patients who required tube feeding for ketogenic diet in the private or public hospital system.</w:t>
      </w:r>
    </w:p>
    <w:p w:rsidR="00E207D2" w:rsidRPr="00DD5C8A" w:rsidRDefault="008708F4" w:rsidP="00E207D2">
      <w:pPr>
        <w:pStyle w:val="3Bodytext"/>
        <w:jc w:val="both"/>
      </w:pPr>
      <w:r w:rsidRPr="00DD5C8A">
        <w:rPr>
          <w:rFonts w:cstheme="minorHAnsi"/>
        </w:rPr>
        <w:lastRenderedPageBreak/>
        <w:t xml:space="preserve">The </w:t>
      </w:r>
      <w:r w:rsidR="00E23D92" w:rsidRPr="00DD5C8A">
        <w:rPr>
          <w:rFonts w:cstheme="minorHAnsi"/>
        </w:rPr>
        <w:t xml:space="preserve">sponsor </w:t>
      </w:r>
      <w:r w:rsidRPr="00DD5C8A">
        <w:rPr>
          <w:rFonts w:cstheme="minorHAnsi"/>
        </w:rPr>
        <w:t>indicated in its response to the November 2020 PBAC outcome that they were unable to list KetoVie Peptide 4:1 at the same price per kilojoule as the other formulations due to a significantly high ingredient/manufacturing cost, because of the novel peptide formulation.</w:t>
      </w:r>
    </w:p>
    <w:p w:rsidR="008E3856" w:rsidRPr="00DD5C8A" w:rsidRDefault="008E3856" w:rsidP="008E3856">
      <w:pPr>
        <w:pStyle w:val="3Bodytext"/>
        <w:numPr>
          <w:ilvl w:val="0"/>
          <w:numId w:val="0"/>
        </w:numPr>
        <w:ind w:left="720"/>
        <w:rPr>
          <w:rFonts w:ascii="Calibri" w:eastAsia="Times New Roman" w:hAnsi="Calibri" w:cs="Times New Roman"/>
          <w:i/>
          <w:szCs w:val="24"/>
        </w:rPr>
      </w:pPr>
      <w:bookmarkStart w:id="2" w:name="_Hlk76982886"/>
      <w:r w:rsidRPr="00DD5C8A">
        <w:rPr>
          <w:rFonts w:ascii="Calibri" w:eastAsia="Times New Roman" w:hAnsi="Calibri" w:cs="Times New Roman"/>
          <w:i/>
          <w:szCs w:val="24"/>
        </w:rPr>
        <w:t>For more detail on PBAC’s view, see section 7 PBAC outcome</w:t>
      </w:r>
      <w:r w:rsidR="00DD5C8A">
        <w:rPr>
          <w:rFonts w:ascii="Calibri" w:eastAsia="Times New Roman" w:hAnsi="Calibri" w:cs="Times New Roman"/>
          <w:i/>
          <w:szCs w:val="24"/>
        </w:rPr>
        <w:t xml:space="preserve">. </w:t>
      </w:r>
    </w:p>
    <w:bookmarkEnd w:id="2"/>
    <w:p w:rsidR="00964A9F" w:rsidRPr="00DD5C8A" w:rsidRDefault="00964A9F" w:rsidP="00964A9F">
      <w:pPr>
        <w:pStyle w:val="2-SectionHeading"/>
      </w:pPr>
      <w:r w:rsidRPr="00DD5C8A">
        <w:t xml:space="preserve">Requested listing </w:t>
      </w:r>
    </w:p>
    <w:p w:rsidR="00352424" w:rsidRPr="00DD5C8A" w:rsidRDefault="002338CC" w:rsidP="000B5C48">
      <w:pPr>
        <w:pStyle w:val="3Bodytext"/>
      </w:pPr>
      <w:r w:rsidRPr="00DD5C8A">
        <w:t>The submission did not request any changes to the listing recommended at the November 2020 PBAC meeting</w:t>
      </w:r>
      <w:r w:rsidR="00105B35" w:rsidRPr="00DD5C8A">
        <w:t>.</w:t>
      </w:r>
      <w:r w:rsidR="00ED6C7D" w:rsidRPr="00DD5C8A">
        <w:t xml:space="preserve"> </w:t>
      </w:r>
    </w:p>
    <w:p w:rsidR="002513F5" w:rsidRPr="00DD5C8A" w:rsidRDefault="002513F5" w:rsidP="002513F5">
      <w:pPr>
        <w:pStyle w:val="3Bodytext"/>
      </w:pPr>
      <w:r w:rsidRPr="00DD5C8A">
        <w:t xml:space="preserve">Suggested additions are in </w:t>
      </w:r>
      <w:r w:rsidRPr="00DD5C8A">
        <w:rPr>
          <w:i/>
        </w:rPr>
        <w:t>italics</w:t>
      </w:r>
      <w:r w:rsidRPr="00DD5C8A">
        <w:t xml:space="preserve"> and deletions are in strikethrough.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261"/>
        <w:gridCol w:w="850"/>
        <w:gridCol w:w="851"/>
        <w:gridCol w:w="850"/>
        <w:gridCol w:w="567"/>
        <w:gridCol w:w="1560"/>
      </w:tblGrid>
      <w:tr w:rsidR="00352424" w:rsidRPr="00DD5C8A" w:rsidTr="00352424">
        <w:trPr>
          <w:cantSplit/>
          <w:trHeight w:val="471"/>
        </w:trPr>
        <w:tc>
          <w:tcPr>
            <w:tcW w:w="4248" w:type="dxa"/>
            <w:gridSpan w:val="2"/>
          </w:tcPr>
          <w:p w:rsidR="00352424" w:rsidRPr="00DD5C8A" w:rsidRDefault="00352424" w:rsidP="00352424">
            <w:pPr>
              <w:keepNext/>
              <w:rPr>
                <w:rFonts w:ascii="Arial Narrow" w:hAnsi="Arial Narrow" w:cs="Arial"/>
                <w:b/>
                <w:sz w:val="18"/>
                <w:szCs w:val="18"/>
              </w:rPr>
            </w:pPr>
            <w:bookmarkStart w:id="3" w:name="_Hlk76996460"/>
            <w:r w:rsidRPr="00DD5C8A">
              <w:rPr>
                <w:rFonts w:ascii="Arial Narrow" w:hAnsi="Arial Narrow" w:cs="Arial"/>
                <w:b/>
                <w:sz w:val="18"/>
                <w:szCs w:val="18"/>
              </w:rPr>
              <w:t>MEDICINAL PRODUCT</w:t>
            </w:r>
          </w:p>
          <w:p w:rsidR="00352424" w:rsidRPr="00DD5C8A" w:rsidRDefault="00352424" w:rsidP="00352424">
            <w:pPr>
              <w:keepNext/>
              <w:rPr>
                <w:rFonts w:ascii="Arial Narrow" w:hAnsi="Arial Narrow" w:cs="Arial"/>
                <w:b/>
                <w:sz w:val="18"/>
                <w:szCs w:val="18"/>
              </w:rPr>
            </w:pPr>
            <w:r w:rsidRPr="00DD5C8A">
              <w:rPr>
                <w:rFonts w:ascii="Arial Narrow" w:hAnsi="Arial Narrow" w:cs="Arial"/>
                <w:b/>
                <w:sz w:val="18"/>
                <w:szCs w:val="18"/>
              </w:rPr>
              <w:t>medicinal product pack</w:t>
            </w:r>
          </w:p>
        </w:tc>
        <w:tc>
          <w:tcPr>
            <w:tcW w:w="850" w:type="dxa"/>
          </w:tcPr>
          <w:p w:rsidR="00352424" w:rsidRPr="00DD5C8A" w:rsidRDefault="00352424" w:rsidP="00352424">
            <w:pPr>
              <w:keepNext/>
              <w:ind w:left="-108"/>
              <w:jc w:val="center"/>
              <w:rPr>
                <w:rFonts w:ascii="Arial Narrow" w:hAnsi="Arial Narrow" w:cs="Arial"/>
                <w:b/>
                <w:sz w:val="18"/>
                <w:szCs w:val="18"/>
              </w:rPr>
            </w:pPr>
            <w:r w:rsidRPr="00DD5C8A">
              <w:rPr>
                <w:rFonts w:ascii="Arial Narrow" w:hAnsi="Arial Narrow" w:cs="Arial"/>
                <w:b/>
                <w:sz w:val="18"/>
                <w:szCs w:val="18"/>
              </w:rPr>
              <w:t>PBS item code</w:t>
            </w:r>
          </w:p>
        </w:tc>
        <w:tc>
          <w:tcPr>
            <w:tcW w:w="851" w:type="dxa"/>
          </w:tcPr>
          <w:p w:rsidR="00352424" w:rsidRPr="00DD5C8A" w:rsidRDefault="00352424" w:rsidP="00352424">
            <w:pPr>
              <w:keepNext/>
              <w:ind w:left="-108"/>
              <w:jc w:val="center"/>
              <w:rPr>
                <w:rFonts w:ascii="Arial Narrow" w:hAnsi="Arial Narrow" w:cs="Arial"/>
                <w:b/>
                <w:sz w:val="18"/>
                <w:szCs w:val="18"/>
              </w:rPr>
            </w:pPr>
            <w:r w:rsidRPr="00DD5C8A">
              <w:rPr>
                <w:rFonts w:ascii="Arial Narrow" w:hAnsi="Arial Narrow" w:cs="Arial"/>
                <w:b/>
                <w:sz w:val="18"/>
                <w:szCs w:val="18"/>
              </w:rPr>
              <w:t>Max. qty packs</w:t>
            </w:r>
          </w:p>
        </w:tc>
        <w:tc>
          <w:tcPr>
            <w:tcW w:w="850" w:type="dxa"/>
          </w:tcPr>
          <w:p w:rsidR="00352424" w:rsidRPr="00DD5C8A" w:rsidRDefault="00352424" w:rsidP="00352424">
            <w:pPr>
              <w:keepNext/>
              <w:ind w:left="-108"/>
              <w:jc w:val="center"/>
              <w:rPr>
                <w:rFonts w:ascii="Arial Narrow" w:hAnsi="Arial Narrow" w:cs="Arial"/>
                <w:b/>
                <w:sz w:val="18"/>
                <w:szCs w:val="18"/>
              </w:rPr>
            </w:pPr>
            <w:r w:rsidRPr="00DD5C8A">
              <w:rPr>
                <w:rFonts w:ascii="Arial Narrow" w:hAnsi="Arial Narrow" w:cs="Arial"/>
                <w:b/>
                <w:sz w:val="18"/>
                <w:szCs w:val="18"/>
              </w:rPr>
              <w:t>Max. qty units</w:t>
            </w:r>
          </w:p>
        </w:tc>
        <w:tc>
          <w:tcPr>
            <w:tcW w:w="567" w:type="dxa"/>
          </w:tcPr>
          <w:p w:rsidR="00352424" w:rsidRPr="00DD5C8A" w:rsidRDefault="00352424" w:rsidP="00352424">
            <w:pPr>
              <w:keepNext/>
              <w:ind w:left="-108"/>
              <w:jc w:val="center"/>
              <w:rPr>
                <w:rFonts w:ascii="Arial Narrow" w:hAnsi="Arial Narrow" w:cs="Arial"/>
                <w:b/>
                <w:sz w:val="18"/>
                <w:szCs w:val="18"/>
              </w:rPr>
            </w:pPr>
            <w:r w:rsidRPr="00DD5C8A">
              <w:rPr>
                <w:rFonts w:ascii="Arial Narrow" w:hAnsi="Arial Narrow" w:cs="Arial"/>
                <w:b/>
                <w:sz w:val="18"/>
                <w:szCs w:val="18"/>
              </w:rPr>
              <w:t>№.of</w:t>
            </w:r>
          </w:p>
          <w:p w:rsidR="00352424" w:rsidRPr="00DD5C8A" w:rsidRDefault="00352424" w:rsidP="00352424">
            <w:pPr>
              <w:keepNext/>
              <w:ind w:left="-108"/>
              <w:jc w:val="center"/>
              <w:rPr>
                <w:rFonts w:ascii="Arial Narrow" w:hAnsi="Arial Narrow" w:cs="Arial"/>
                <w:b/>
                <w:sz w:val="18"/>
                <w:szCs w:val="18"/>
              </w:rPr>
            </w:pPr>
            <w:r w:rsidRPr="00DD5C8A">
              <w:rPr>
                <w:rFonts w:ascii="Arial Narrow" w:hAnsi="Arial Narrow" w:cs="Arial"/>
                <w:b/>
                <w:sz w:val="18"/>
                <w:szCs w:val="18"/>
              </w:rPr>
              <w:t>Rpts</w:t>
            </w:r>
          </w:p>
        </w:tc>
        <w:tc>
          <w:tcPr>
            <w:tcW w:w="1560" w:type="dxa"/>
          </w:tcPr>
          <w:p w:rsidR="00352424" w:rsidRPr="00DD5C8A" w:rsidRDefault="00352424" w:rsidP="00352424">
            <w:pPr>
              <w:keepNext/>
              <w:rPr>
                <w:rFonts w:ascii="Arial Narrow" w:hAnsi="Arial Narrow" w:cs="Arial"/>
                <w:b/>
                <w:sz w:val="18"/>
                <w:szCs w:val="18"/>
              </w:rPr>
            </w:pPr>
            <w:r w:rsidRPr="00DD5C8A">
              <w:rPr>
                <w:rFonts w:ascii="Arial Narrow" w:hAnsi="Arial Narrow" w:cs="Arial"/>
                <w:b/>
                <w:sz w:val="18"/>
                <w:szCs w:val="18"/>
              </w:rPr>
              <w:t>Available brands</w:t>
            </w:r>
          </w:p>
        </w:tc>
      </w:tr>
      <w:tr w:rsidR="00352424" w:rsidRPr="00DD5C8A" w:rsidTr="00352424">
        <w:trPr>
          <w:cantSplit/>
          <w:trHeight w:val="355"/>
        </w:trPr>
        <w:tc>
          <w:tcPr>
            <w:tcW w:w="8926" w:type="dxa"/>
            <w:gridSpan w:val="7"/>
          </w:tcPr>
          <w:p w:rsidR="00352424" w:rsidRPr="00DD5C8A" w:rsidRDefault="00352424" w:rsidP="00352424">
            <w:pPr>
              <w:keepNext/>
              <w:rPr>
                <w:rFonts w:ascii="Arial Narrow" w:hAnsi="Arial Narrow" w:cs="Arial"/>
                <w:sz w:val="18"/>
                <w:szCs w:val="18"/>
              </w:rPr>
            </w:pPr>
            <w:r w:rsidRPr="00DD5C8A">
              <w:rPr>
                <w:rFonts w:ascii="Arial Narrow" w:hAnsi="Arial Narrow" w:cs="Arial"/>
                <w:sz w:val="18"/>
                <w:szCs w:val="18"/>
              </w:rPr>
              <w:t>HIGH FAT FORMULA WITH VITAMINS, MINERALS AND TRACE ELEMENTS AND LOW IN PROTEIN AND CARBOHYDRATE</w:t>
            </w:r>
          </w:p>
        </w:tc>
      </w:tr>
      <w:tr w:rsidR="00352424" w:rsidRPr="00DD5C8A" w:rsidTr="00352424">
        <w:trPr>
          <w:cantSplit/>
          <w:trHeight w:val="686"/>
        </w:trPr>
        <w:tc>
          <w:tcPr>
            <w:tcW w:w="4248" w:type="dxa"/>
            <w:gridSpan w:val="2"/>
          </w:tcPr>
          <w:p w:rsidR="00352424" w:rsidRPr="00DD5C8A" w:rsidRDefault="00352424" w:rsidP="00352424">
            <w:pPr>
              <w:keepNext/>
              <w:rPr>
                <w:rFonts w:ascii="Arial Narrow" w:hAnsi="Arial Narrow" w:cs="Arial"/>
                <w:sz w:val="18"/>
                <w:szCs w:val="18"/>
              </w:rPr>
            </w:pPr>
            <w:r w:rsidRPr="00DD5C8A">
              <w:rPr>
                <w:rFonts w:ascii="Arial Narrow" w:hAnsi="Arial Narrow" w:cs="Arial"/>
                <w:sz w:val="18"/>
                <w:szCs w:val="18"/>
              </w:rPr>
              <w:t xml:space="preserve">high fat formula with vitamins, minerals and trace elements and low in protein and carbohydrate (4:1 ratio medium chain fat to carbohydrate plus protein) liquid, 250 mL, 30 </w:t>
            </w:r>
          </w:p>
        </w:tc>
        <w:tc>
          <w:tcPr>
            <w:tcW w:w="850" w:type="dxa"/>
            <w:vAlign w:val="center"/>
          </w:tcPr>
          <w:p w:rsidR="00352424" w:rsidRPr="00DD5C8A" w:rsidRDefault="00352424" w:rsidP="00352424">
            <w:pPr>
              <w:keepNext/>
              <w:jc w:val="center"/>
              <w:rPr>
                <w:rFonts w:ascii="Arial Narrow" w:hAnsi="Arial Narrow" w:cs="Arial"/>
                <w:sz w:val="18"/>
                <w:szCs w:val="18"/>
              </w:rPr>
            </w:pPr>
            <w:r w:rsidRPr="00DD5C8A">
              <w:rPr>
                <w:rFonts w:ascii="Arial Narrow" w:hAnsi="Arial Narrow" w:cs="Arial"/>
                <w:sz w:val="18"/>
                <w:szCs w:val="18"/>
              </w:rPr>
              <w:t>NEW</w:t>
            </w:r>
          </w:p>
        </w:tc>
        <w:tc>
          <w:tcPr>
            <w:tcW w:w="851" w:type="dxa"/>
            <w:vAlign w:val="center"/>
          </w:tcPr>
          <w:p w:rsidR="00352424" w:rsidRPr="00DD5C8A" w:rsidRDefault="00352424" w:rsidP="00352424">
            <w:pPr>
              <w:keepNext/>
              <w:jc w:val="center"/>
              <w:rPr>
                <w:rFonts w:ascii="Arial Narrow" w:hAnsi="Arial Narrow" w:cs="Arial"/>
                <w:sz w:val="18"/>
                <w:szCs w:val="18"/>
              </w:rPr>
            </w:pPr>
            <w:r w:rsidRPr="00DD5C8A">
              <w:rPr>
                <w:rFonts w:ascii="Arial Narrow" w:hAnsi="Arial Narrow" w:cs="Arial"/>
                <w:sz w:val="18"/>
                <w:szCs w:val="18"/>
              </w:rPr>
              <w:t>6</w:t>
            </w:r>
          </w:p>
        </w:tc>
        <w:tc>
          <w:tcPr>
            <w:tcW w:w="850" w:type="dxa"/>
            <w:vAlign w:val="center"/>
          </w:tcPr>
          <w:p w:rsidR="00352424" w:rsidRPr="00DD5C8A" w:rsidRDefault="00352424" w:rsidP="00352424">
            <w:pPr>
              <w:keepNext/>
              <w:jc w:val="center"/>
              <w:rPr>
                <w:rFonts w:ascii="Arial Narrow" w:hAnsi="Arial Narrow" w:cs="Arial"/>
                <w:i/>
                <w:sz w:val="18"/>
                <w:szCs w:val="18"/>
              </w:rPr>
            </w:pPr>
            <w:r w:rsidRPr="00DD5C8A">
              <w:rPr>
                <w:rFonts w:ascii="Arial Narrow" w:hAnsi="Arial Narrow" w:cs="Arial"/>
                <w:sz w:val="18"/>
                <w:szCs w:val="18"/>
              </w:rPr>
              <w:t>6</w:t>
            </w:r>
          </w:p>
        </w:tc>
        <w:tc>
          <w:tcPr>
            <w:tcW w:w="567" w:type="dxa"/>
            <w:vAlign w:val="center"/>
          </w:tcPr>
          <w:p w:rsidR="00352424" w:rsidRPr="00DD5C8A" w:rsidRDefault="00352424" w:rsidP="00352424">
            <w:pPr>
              <w:keepNext/>
              <w:jc w:val="center"/>
              <w:rPr>
                <w:rFonts w:ascii="Arial Narrow" w:hAnsi="Arial Narrow" w:cs="Arial"/>
                <w:sz w:val="18"/>
                <w:szCs w:val="18"/>
              </w:rPr>
            </w:pPr>
            <w:r w:rsidRPr="00DD5C8A">
              <w:rPr>
                <w:rFonts w:ascii="Arial Narrow" w:hAnsi="Arial Narrow" w:cs="Arial"/>
                <w:sz w:val="18"/>
                <w:szCs w:val="18"/>
              </w:rPr>
              <w:t>5</w:t>
            </w:r>
          </w:p>
        </w:tc>
        <w:tc>
          <w:tcPr>
            <w:tcW w:w="1560" w:type="dxa"/>
            <w:vAlign w:val="center"/>
          </w:tcPr>
          <w:p w:rsidR="00352424" w:rsidRPr="00DD5C8A" w:rsidRDefault="00352424" w:rsidP="00352424">
            <w:pPr>
              <w:keepNext/>
              <w:jc w:val="center"/>
              <w:rPr>
                <w:rFonts w:ascii="Arial Narrow" w:hAnsi="Arial Narrow" w:cs="Arial"/>
                <w:sz w:val="18"/>
                <w:szCs w:val="18"/>
              </w:rPr>
            </w:pPr>
            <w:r w:rsidRPr="00DD5C8A">
              <w:rPr>
                <w:rFonts w:ascii="Arial Narrow" w:hAnsi="Arial Narrow" w:cs="Arial"/>
                <w:sz w:val="18"/>
                <w:szCs w:val="18"/>
              </w:rPr>
              <w:t>KetoVie Peptide 4:1</w:t>
            </w:r>
          </w:p>
        </w:tc>
      </w:tr>
      <w:tr w:rsidR="00352424" w:rsidRPr="00DD5C8A" w:rsidTr="00352424">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rsidR="00352424" w:rsidRPr="00DD5C8A" w:rsidRDefault="00352424" w:rsidP="00352424">
            <w:pPr>
              <w:rPr>
                <w:rFonts w:ascii="Arial Narrow" w:hAnsi="Arial Narrow" w:cs="Arial"/>
                <w:b/>
                <w:sz w:val="18"/>
                <w:szCs w:val="18"/>
              </w:rPr>
            </w:pPr>
            <w:r w:rsidRPr="00DD5C8A">
              <w:rPr>
                <w:rFonts w:ascii="Arial Narrow" w:hAnsi="Arial Narrow" w:cs="Arial"/>
                <w:b/>
                <w:sz w:val="18"/>
                <w:szCs w:val="18"/>
              </w:rPr>
              <w:t xml:space="preserve">Restriction Summary [New] </w:t>
            </w:r>
          </w:p>
        </w:tc>
      </w:tr>
      <w:tr w:rsidR="00352424" w:rsidRPr="00DD5C8A" w:rsidTr="00352424">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rsidR="00352424" w:rsidRPr="00DD5C8A" w:rsidRDefault="00352424" w:rsidP="00352424">
            <w:pPr>
              <w:jc w:val="cente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rsidR="00352424" w:rsidRPr="00DD5C8A" w:rsidRDefault="00352424" w:rsidP="00352424">
            <w:pPr>
              <w:rPr>
                <w:rFonts w:ascii="Arial Narrow" w:hAnsi="Arial Narrow" w:cs="Arial"/>
                <w:sz w:val="18"/>
                <w:szCs w:val="18"/>
              </w:rPr>
            </w:pPr>
            <w:r w:rsidRPr="00DD5C8A">
              <w:rPr>
                <w:rFonts w:ascii="Arial Narrow" w:hAnsi="Arial Narrow" w:cs="Arial"/>
                <w:b/>
                <w:sz w:val="18"/>
                <w:szCs w:val="18"/>
              </w:rPr>
              <w:t xml:space="preserve">Category / Program:   </w:t>
            </w:r>
            <w:r w:rsidRPr="00DD5C8A">
              <w:rPr>
                <w:rFonts w:ascii="Arial Narrow" w:hAnsi="Arial Narrow" w:cs="Arial"/>
                <w:sz w:val="18"/>
                <w:szCs w:val="18"/>
              </w:rPr>
              <w:t xml:space="preserve">GENERAL – General Schedule (Code GE) </w:t>
            </w:r>
          </w:p>
        </w:tc>
      </w:tr>
      <w:tr w:rsidR="00352424" w:rsidRPr="00DD5C8A" w:rsidTr="00352424">
        <w:tblPrEx>
          <w:tblCellMar>
            <w:top w:w="15" w:type="dxa"/>
            <w:left w:w="15" w:type="dxa"/>
            <w:bottom w:w="15" w:type="dxa"/>
            <w:right w:w="15" w:type="dxa"/>
          </w:tblCellMar>
          <w:tblLook w:val="04A0" w:firstRow="1" w:lastRow="0" w:firstColumn="1" w:lastColumn="0" w:noHBand="0" w:noVBand="1"/>
        </w:tblPrEx>
        <w:trPr>
          <w:trHeight w:val="240"/>
        </w:trPr>
        <w:tc>
          <w:tcPr>
            <w:tcW w:w="987" w:type="dxa"/>
            <w:vMerge/>
            <w:tcBorders>
              <w:left w:val="single" w:sz="4" w:space="0" w:color="auto"/>
              <w:right w:val="single" w:sz="4" w:space="0" w:color="auto"/>
            </w:tcBorders>
          </w:tcPr>
          <w:p w:rsidR="00352424" w:rsidRPr="00DD5C8A" w:rsidRDefault="00352424" w:rsidP="00352424">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rsidR="00352424" w:rsidRPr="00DD5C8A" w:rsidRDefault="00352424" w:rsidP="00352424">
            <w:pPr>
              <w:rPr>
                <w:rFonts w:ascii="Arial Narrow" w:hAnsi="Arial Narrow" w:cs="Arial"/>
                <w:b/>
                <w:sz w:val="18"/>
                <w:szCs w:val="18"/>
              </w:rPr>
            </w:pPr>
            <w:r w:rsidRPr="00DD5C8A">
              <w:rPr>
                <w:rFonts w:ascii="Arial Narrow" w:hAnsi="Arial Narrow" w:cs="Arial"/>
                <w:b/>
                <w:sz w:val="18"/>
                <w:szCs w:val="18"/>
              </w:rPr>
              <w:t xml:space="preserve">Prescriber type:   </w:t>
            </w:r>
            <w:r w:rsidRPr="00DD5C8A">
              <w:rPr>
                <w:rFonts w:ascii="Arial Narrow" w:hAnsi="Arial Narrow" w:cs="Arial"/>
                <w:sz w:val="18"/>
                <w:szCs w:val="18"/>
              </w:rPr>
              <w:t xml:space="preserve">    </w:t>
            </w:r>
            <w:r w:rsidRPr="00DD5C8A">
              <w:rPr>
                <w:rFonts w:ascii="Arial Narrow" w:hAnsi="Arial Narrow" w:cs="Arial"/>
                <w:sz w:val="18"/>
                <w:szCs w:val="18"/>
              </w:rPr>
              <w:fldChar w:fldCharType="begin">
                <w:ffData>
                  <w:name w:val=""/>
                  <w:enabled/>
                  <w:calcOnExit w:val="0"/>
                  <w:checkBox>
                    <w:sizeAuto/>
                    <w:default w:val="1"/>
                  </w:checkBox>
                </w:ffData>
              </w:fldChar>
            </w:r>
            <w:r w:rsidRPr="00DD5C8A">
              <w:rPr>
                <w:rFonts w:ascii="Arial Narrow" w:hAnsi="Arial Narrow" w:cs="Arial"/>
                <w:sz w:val="18"/>
                <w:szCs w:val="18"/>
              </w:rPr>
              <w:instrText xml:space="preserve"> FORMCHECKBOX </w:instrText>
            </w:r>
            <w:r w:rsidR="005F4B8A">
              <w:rPr>
                <w:rFonts w:ascii="Arial Narrow" w:hAnsi="Arial Narrow" w:cs="Arial"/>
                <w:sz w:val="18"/>
                <w:szCs w:val="18"/>
              </w:rPr>
            </w:r>
            <w:r w:rsidR="005F4B8A">
              <w:rPr>
                <w:rFonts w:ascii="Arial Narrow" w:hAnsi="Arial Narrow" w:cs="Arial"/>
                <w:sz w:val="18"/>
                <w:szCs w:val="18"/>
              </w:rPr>
              <w:fldChar w:fldCharType="separate"/>
            </w:r>
            <w:r w:rsidRPr="00DD5C8A">
              <w:rPr>
                <w:rFonts w:ascii="Arial Narrow" w:hAnsi="Arial Narrow" w:cs="Arial"/>
                <w:sz w:val="18"/>
                <w:szCs w:val="18"/>
              </w:rPr>
              <w:fldChar w:fldCharType="end"/>
            </w:r>
            <w:r w:rsidRPr="00DD5C8A">
              <w:rPr>
                <w:rFonts w:ascii="Arial Narrow" w:hAnsi="Arial Narrow" w:cs="Arial"/>
                <w:sz w:val="18"/>
                <w:szCs w:val="18"/>
              </w:rPr>
              <w:t xml:space="preserve">Medical Practitioners    </w:t>
            </w:r>
            <w:r w:rsidRPr="00DD5C8A">
              <w:rPr>
                <w:rFonts w:ascii="Arial Narrow" w:hAnsi="Arial Narrow" w:cs="Arial"/>
                <w:sz w:val="18"/>
                <w:szCs w:val="18"/>
              </w:rPr>
              <w:fldChar w:fldCharType="begin">
                <w:ffData>
                  <w:name w:val="Check3"/>
                  <w:enabled/>
                  <w:calcOnExit w:val="0"/>
                  <w:checkBox>
                    <w:sizeAuto/>
                    <w:default w:val="1"/>
                  </w:checkBox>
                </w:ffData>
              </w:fldChar>
            </w:r>
            <w:r w:rsidRPr="00DD5C8A">
              <w:rPr>
                <w:rFonts w:ascii="Arial Narrow" w:hAnsi="Arial Narrow" w:cs="Arial"/>
                <w:sz w:val="18"/>
                <w:szCs w:val="18"/>
              </w:rPr>
              <w:instrText xml:space="preserve"> FORMCHECKBOX </w:instrText>
            </w:r>
            <w:r w:rsidR="005F4B8A">
              <w:rPr>
                <w:rFonts w:ascii="Arial Narrow" w:hAnsi="Arial Narrow" w:cs="Arial"/>
                <w:sz w:val="18"/>
                <w:szCs w:val="18"/>
              </w:rPr>
            </w:r>
            <w:r w:rsidR="005F4B8A">
              <w:rPr>
                <w:rFonts w:ascii="Arial Narrow" w:hAnsi="Arial Narrow" w:cs="Arial"/>
                <w:sz w:val="18"/>
                <w:szCs w:val="18"/>
              </w:rPr>
              <w:fldChar w:fldCharType="separate"/>
            </w:r>
            <w:r w:rsidRPr="00DD5C8A">
              <w:rPr>
                <w:rFonts w:ascii="Arial Narrow" w:hAnsi="Arial Narrow" w:cs="Arial"/>
                <w:sz w:val="18"/>
                <w:szCs w:val="18"/>
              </w:rPr>
              <w:fldChar w:fldCharType="end"/>
            </w:r>
            <w:r w:rsidRPr="00DD5C8A">
              <w:rPr>
                <w:rFonts w:ascii="Arial Narrow" w:hAnsi="Arial Narrow" w:cs="Arial"/>
                <w:sz w:val="18"/>
                <w:szCs w:val="18"/>
              </w:rPr>
              <w:t xml:space="preserve">Nurse practitioners     </w:t>
            </w:r>
          </w:p>
        </w:tc>
      </w:tr>
      <w:tr w:rsidR="00352424" w:rsidRPr="00DD5C8A" w:rsidTr="00352424">
        <w:tblPrEx>
          <w:tblCellMar>
            <w:top w:w="15" w:type="dxa"/>
            <w:left w:w="15" w:type="dxa"/>
            <w:bottom w:w="15" w:type="dxa"/>
            <w:right w:w="15" w:type="dxa"/>
          </w:tblCellMar>
          <w:tblLook w:val="04A0" w:firstRow="1" w:lastRow="0" w:firstColumn="1" w:lastColumn="0" w:noHBand="0" w:noVBand="1"/>
        </w:tblPrEx>
        <w:trPr>
          <w:trHeight w:val="228"/>
        </w:trPr>
        <w:tc>
          <w:tcPr>
            <w:tcW w:w="987" w:type="dxa"/>
            <w:vMerge/>
            <w:tcBorders>
              <w:left w:val="single" w:sz="4" w:space="0" w:color="auto"/>
              <w:bottom w:val="single" w:sz="4" w:space="0" w:color="auto"/>
              <w:right w:val="single" w:sz="4" w:space="0" w:color="auto"/>
            </w:tcBorders>
          </w:tcPr>
          <w:p w:rsidR="00352424" w:rsidRPr="00DD5C8A" w:rsidRDefault="00352424" w:rsidP="00352424">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rsidR="00352424" w:rsidRPr="00DD5C8A" w:rsidRDefault="00352424" w:rsidP="00352424">
            <w:pPr>
              <w:rPr>
                <w:rFonts w:ascii="Arial Narrow" w:hAnsi="Arial Narrow" w:cs="Arial"/>
                <w:b/>
                <w:sz w:val="18"/>
                <w:szCs w:val="18"/>
              </w:rPr>
            </w:pPr>
            <w:r w:rsidRPr="00DD5C8A">
              <w:rPr>
                <w:rFonts w:ascii="Arial Narrow" w:hAnsi="Arial Narrow" w:cs="Arial"/>
                <w:b/>
                <w:sz w:val="18"/>
                <w:szCs w:val="18"/>
              </w:rPr>
              <w:t>Restriction type:</w:t>
            </w:r>
            <w:r w:rsidRPr="00DD5C8A">
              <w:rPr>
                <w:rFonts w:ascii="Arial Narrow" w:hAnsi="Arial Narrow" w:cs="Arial"/>
                <w:sz w:val="18"/>
                <w:szCs w:val="18"/>
              </w:rPr>
              <w:t xml:space="preserve"> </w:t>
            </w:r>
            <w:r w:rsidRPr="00DD5C8A">
              <w:rPr>
                <w:rFonts w:ascii="Arial Narrow" w:hAnsi="Arial Narrow" w:cs="Arial"/>
                <w:sz w:val="18"/>
                <w:szCs w:val="18"/>
              </w:rPr>
              <w:fldChar w:fldCharType="begin">
                <w:ffData>
                  <w:name w:val=""/>
                  <w:enabled/>
                  <w:calcOnExit w:val="0"/>
                  <w:checkBox>
                    <w:sizeAuto/>
                    <w:default w:val="1"/>
                  </w:checkBox>
                </w:ffData>
              </w:fldChar>
            </w:r>
            <w:r w:rsidRPr="00DD5C8A">
              <w:rPr>
                <w:rFonts w:ascii="Arial Narrow" w:hAnsi="Arial Narrow" w:cs="Arial"/>
                <w:sz w:val="18"/>
                <w:szCs w:val="18"/>
              </w:rPr>
              <w:instrText xml:space="preserve"> FORMCHECKBOX </w:instrText>
            </w:r>
            <w:r w:rsidR="005F4B8A">
              <w:rPr>
                <w:rFonts w:ascii="Arial Narrow" w:hAnsi="Arial Narrow" w:cs="Arial"/>
                <w:sz w:val="18"/>
                <w:szCs w:val="18"/>
              </w:rPr>
            </w:r>
            <w:r w:rsidR="005F4B8A">
              <w:rPr>
                <w:rFonts w:ascii="Arial Narrow" w:hAnsi="Arial Narrow" w:cs="Arial"/>
                <w:sz w:val="18"/>
                <w:szCs w:val="18"/>
              </w:rPr>
              <w:fldChar w:fldCharType="separate"/>
            </w:r>
            <w:r w:rsidRPr="00DD5C8A">
              <w:rPr>
                <w:rFonts w:ascii="Arial Narrow" w:hAnsi="Arial Narrow" w:cs="Arial"/>
                <w:sz w:val="18"/>
                <w:szCs w:val="18"/>
              </w:rPr>
              <w:fldChar w:fldCharType="end"/>
            </w:r>
            <w:r w:rsidRPr="00DD5C8A">
              <w:rPr>
                <w:rFonts w:ascii="Arial Narrow" w:hAnsi="Arial Narrow" w:cs="Arial"/>
                <w:sz w:val="18"/>
                <w:szCs w:val="18"/>
              </w:rPr>
              <w:t xml:space="preserve"> Restricted benefit </w:t>
            </w:r>
          </w:p>
        </w:tc>
      </w:tr>
      <w:tr w:rsidR="007055BE" w:rsidRPr="00DD5C8A" w:rsidTr="00FB0B9B">
        <w:tblPrEx>
          <w:tblCellMar>
            <w:top w:w="15" w:type="dxa"/>
            <w:left w:w="15" w:type="dxa"/>
            <w:bottom w:w="15" w:type="dxa"/>
            <w:right w:w="15" w:type="dxa"/>
          </w:tblCellMar>
        </w:tblPrEx>
        <w:trPr>
          <w:trHeight w:val="228"/>
        </w:trPr>
        <w:tc>
          <w:tcPr>
            <w:tcW w:w="987" w:type="dxa"/>
            <w:vAlign w:val="center"/>
          </w:tcPr>
          <w:p w:rsidR="007055BE" w:rsidRPr="00DD5C8A" w:rsidRDefault="007055BE" w:rsidP="00FB0B9B">
            <w:pPr>
              <w:jc w:val="center"/>
              <w:rPr>
                <w:rFonts w:ascii="Arial Narrow" w:hAnsi="Arial Narrow" w:cs="Arial"/>
                <w:sz w:val="18"/>
                <w:szCs w:val="18"/>
              </w:rPr>
            </w:pPr>
          </w:p>
        </w:tc>
        <w:tc>
          <w:tcPr>
            <w:tcW w:w="7939" w:type="dxa"/>
            <w:gridSpan w:val="6"/>
            <w:vAlign w:val="center"/>
          </w:tcPr>
          <w:p w:rsidR="007055BE" w:rsidRPr="00DD5C8A" w:rsidRDefault="007055BE" w:rsidP="007055BE">
            <w:pPr>
              <w:rPr>
                <w:rFonts w:ascii="Arial Narrow" w:hAnsi="Arial Narrow" w:cs="Arial"/>
                <w:b/>
                <w:sz w:val="18"/>
                <w:szCs w:val="18"/>
              </w:rPr>
            </w:pPr>
            <w:r w:rsidRPr="00DD5C8A">
              <w:rPr>
                <w:rFonts w:ascii="Arial Narrow" w:hAnsi="Arial Narrow"/>
                <w:b/>
                <w:bCs/>
                <w:i/>
                <w:color w:val="333333"/>
                <w:sz w:val="18"/>
                <w:szCs w:val="18"/>
              </w:rPr>
              <w:t xml:space="preserve">Administrative Advice: </w:t>
            </w:r>
            <w:r w:rsidRPr="00DD5C8A">
              <w:rPr>
                <w:rFonts w:ascii="Arial Narrow" w:hAnsi="Arial Narrow"/>
                <w:bCs/>
                <w:i/>
                <w:color w:val="333333"/>
                <w:sz w:val="18"/>
                <w:szCs w:val="18"/>
              </w:rPr>
              <w:t>No increase in the maximum number of repeats may be authorised.</w:t>
            </w:r>
          </w:p>
        </w:tc>
      </w:tr>
      <w:tr w:rsidR="007055BE" w:rsidRPr="00DD5C8A" w:rsidTr="00D7758D">
        <w:tblPrEx>
          <w:tblCellMar>
            <w:top w:w="15" w:type="dxa"/>
            <w:left w:w="15" w:type="dxa"/>
            <w:bottom w:w="15" w:type="dxa"/>
            <w:right w:w="15" w:type="dxa"/>
          </w:tblCellMar>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hideMark/>
          </w:tcPr>
          <w:p w:rsidR="007055BE" w:rsidRPr="00DD5C8A" w:rsidRDefault="007055BE" w:rsidP="007055BE">
            <w:pPr>
              <w:rPr>
                <w:rFonts w:ascii="Arial Narrow" w:hAnsi="Arial Narrow"/>
                <w:sz w:val="18"/>
                <w:szCs w:val="18"/>
              </w:rPr>
            </w:pPr>
            <w:r w:rsidRPr="00DD5C8A">
              <w:rPr>
                <w:rFonts w:ascii="Arial Narrow" w:hAnsi="Arial Narrow"/>
                <w:b/>
                <w:bCs/>
                <w:sz w:val="18"/>
                <w:szCs w:val="18"/>
              </w:rPr>
              <w:t>Indication:</w:t>
            </w:r>
            <w:r w:rsidRPr="00DD5C8A">
              <w:rPr>
                <w:rFonts w:ascii="Arial Narrow" w:hAnsi="Arial Narrow"/>
                <w:sz w:val="18"/>
                <w:szCs w:val="18"/>
              </w:rPr>
              <w:t xml:space="preserve"> </w:t>
            </w:r>
            <w:r w:rsidRPr="00DD5C8A">
              <w:rPr>
                <w:rFonts w:ascii="Arial Narrow" w:hAnsi="Arial Narrow"/>
                <w:bCs/>
                <w:sz w:val="18"/>
                <w:szCs w:val="18"/>
              </w:rPr>
              <w:t>Ketogenic diet</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hideMark/>
          </w:tcPr>
          <w:p w:rsidR="007055BE" w:rsidRPr="00DD5C8A" w:rsidRDefault="007055BE" w:rsidP="007055BE">
            <w:pPr>
              <w:rPr>
                <w:rFonts w:ascii="Arial Narrow" w:hAnsi="Arial Narrow"/>
                <w:sz w:val="18"/>
                <w:szCs w:val="18"/>
              </w:rPr>
            </w:pPr>
            <w:r w:rsidRPr="00DD5C8A">
              <w:rPr>
                <w:rFonts w:ascii="Arial Narrow" w:hAnsi="Arial Narrow"/>
                <w:b/>
                <w:bCs/>
                <w:sz w:val="18"/>
                <w:szCs w:val="18"/>
              </w:rPr>
              <w:t>Clinical criteria:</w:t>
            </w:r>
          </w:p>
        </w:tc>
      </w:tr>
      <w:tr w:rsidR="007055BE" w:rsidRPr="00DD5C8A" w:rsidTr="00D7758D">
        <w:tblPrEx>
          <w:tblCellMar>
            <w:top w:w="15" w:type="dxa"/>
            <w:left w:w="15" w:type="dxa"/>
            <w:bottom w:w="15" w:type="dxa"/>
            <w:right w:w="15" w:type="dxa"/>
          </w:tblCellMar>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hideMark/>
          </w:tcPr>
          <w:p w:rsidR="007055BE" w:rsidRPr="00DD5C8A" w:rsidRDefault="007055BE" w:rsidP="007055BE">
            <w:pPr>
              <w:jc w:val="left"/>
              <w:rPr>
                <w:rFonts w:ascii="Arial Narrow" w:hAnsi="Arial Narrow"/>
                <w:sz w:val="18"/>
                <w:szCs w:val="18"/>
              </w:rPr>
            </w:pPr>
            <w:r w:rsidRPr="00DD5C8A">
              <w:rPr>
                <w:rFonts w:ascii="Arial Narrow" w:hAnsi="Arial Narrow"/>
                <w:sz w:val="18"/>
                <w:szCs w:val="18"/>
              </w:rPr>
              <w:t>Patient must have intractable seizures requiring treatment with a ketogenic diet; or</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rPr>
          <w:trHeight w:val="118"/>
        </w:trPr>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b/>
                <w:sz w:val="18"/>
                <w:szCs w:val="18"/>
              </w:rPr>
            </w:pPr>
            <w:r w:rsidRPr="00DD5C8A">
              <w:rPr>
                <w:rFonts w:ascii="Arial Narrow" w:hAnsi="Arial Narrow"/>
                <w:sz w:val="18"/>
                <w:szCs w:val="18"/>
              </w:rPr>
              <w:t>Patient must have a glucose transport protein defect; or</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sz w:val="18"/>
                <w:szCs w:val="18"/>
              </w:rPr>
            </w:pPr>
            <w:r w:rsidRPr="00DD5C8A">
              <w:rPr>
                <w:rFonts w:ascii="Arial Narrow" w:hAnsi="Arial Narrow"/>
                <w:sz w:val="18"/>
                <w:szCs w:val="18"/>
              </w:rPr>
              <w:t>Patient must have pyruvate dehydrogenase deficiency</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b/>
                <w:bCs/>
                <w:sz w:val="18"/>
                <w:szCs w:val="18"/>
              </w:rPr>
            </w:pPr>
            <w:r w:rsidRPr="00DD5C8A">
              <w:rPr>
                <w:rFonts w:ascii="Arial Narrow" w:hAnsi="Arial Narrow"/>
                <w:b/>
                <w:bCs/>
                <w:sz w:val="18"/>
                <w:szCs w:val="18"/>
              </w:rPr>
              <w:t>AND</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sz w:val="18"/>
                <w:szCs w:val="18"/>
              </w:rPr>
            </w:pPr>
            <w:r w:rsidRPr="00DD5C8A">
              <w:rPr>
                <w:rFonts w:ascii="Arial Narrow" w:hAnsi="Arial Narrow"/>
                <w:b/>
                <w:bCs/>
                <w:sz w:val="18"/>
                <w:szCs w:val="18"/>
              </w:rPr>
              <w:t>Clinical criteria:</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Merge/>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sz w:val="18"/>
                <w:szCs w:val="18"/>
              </w:rPr>
            </w:pPr>
            <w:r w:rsidRPr="00DD5C8A">
              <w:rPr>
                <w:rFonts w:ascii="Arial Narrow" w:hAnsi="Arial Narrow"/>
                <w:sz w:val="18"/>
                <w:szCs w:val="18"/>
              </w:rPr>
              <w:t>Patient must have severe intestinal malabsorption of whole protein ketogenic diet formula.</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b/>
                <w:sz w:val="18"/>
                <w:szCs w:val="18"/>
              </w:rPr>
            </w:pPr>
            <w:r w:rsidRPr="00DD5C8A">
              <w:rPr>
                <w:rFonts w:ascii="Arial Narrow" w:hAnsi="Arial Narrow"/>
                <w:b/>
                <w:sz w:val="18"/>
                <w:szCs w:val="18"/>
              </w:rPr>
              <w:t>AND</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sz w:val="18"/>
                <w:szCs w:val="18"/>
              </w:rPr>
            </w:pPr>
            <w:r w:rsidRPr="00DD5C8A">
              <w:rPr>
                <w:rFonts w:ascii="Arial Narrow" w:hAnsi="Arial Narrow"/>
                <w:b/>
                <w:bCs/>
                <w:sz w:val="18"/>
                <w:szCs w:val="18"/>
              </w:rPr>
              <w:t>Clinical criteria</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Merge/>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bCs/>
                <w:sz w:val="18"/>
                <w:szCs w:val="18"/>
              </w:rPr>
            </w:pPr>
            <w:r w:rsidRPr="00DD5C8A">
              <w:rPr>
                <w:rFonts w:ascii="Arial Narrow" w:hAnsi="Arial Narrow"/>
                <w:bCs/>
                <w:sz w:val="18"/>
                <w:szCs w:val="18"/>
              </w:rPr>
              <w:t>Patient must have unsuccessfully trialled at least one of the PBS-listed products with the indication of: ‘Ketogenic diet’.</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b/>
                <w:bCs/>
                <w:sz w:val="18"/>
                <w:szCs w:val="18"/>
              </w:rPr>
            </w:pPr>
            <w:r w:rsidRPr="00DD5C8A">
              <w:rPr>
                <w:rFonts w:ascii="Arial Narrow" w:hAnsi="Arial Narrow"/>
                <w:b/>
                <w:bCs/>
                <w:sz w:val="18"/>
                <w:szCs w:val="18"/>
              </w:rPr>
              <w:t>Prescribing Instructions:</w:t>
            </w:r>
          </w:p>
          <w:p w:rsidR="007055BE" w:rsidRPr="00DD5C8A" w:rsidRDefault="007055BE" w:rsidP="007055BE">
            <w:pPr>
              <w:jc w:val="left"/>
              <w:rPr>
                <w:rFonts w:ascii="Arial Narrow" w:hAnsi="Arial Narrow"/>
                <w:bCs/>
                <w:sz w:val="18"/>
                <w:szCs w:val="18"/>
              </w:rPr>
            </w:pPr>
            <w:r w:rsidRPr="00DD5C8A">
              <w:rPr>
                <w:rFonts w:ascii="Arial Narrow" w:hAnsi="Arial Narrow"/>
                <w:sz w:val="18"/>
                <w:szCs w:val="18"/>
              </w:rPr>
              <w:t>This product must only be used under strict supervision of a dietitian, together with a metabolic physician and/or neurologist.</w:t>
            </w:r>
          </w:p>
        </w:tc>
      </w:tr>
      <w:tr w:rsidR="007055BE" w:rsidRPr="00DD5C8A" w:rsidTr="00352424">
        <w:tblPrEx>
          <w:tblCellMar>
            <w:top w:w="15" w:type="dxa"/>
            <w:left w:w="15" w:type="dxa"/>
            <w:bottom w:w="15" w:type="dxa"/>
            <w:right w:w="15" w:type="dxa"/>
          </w:tblCellMar>
          <w:tblLook w:val="04A0" w:firstRow="1" w:lastRow="0" w:firstColumn="1" w:lastColumn="0" w:noHBand="0" w:noVBand="1"/>
        </w:tblPrEx>
        <w:tc>
          <w:tcPr>
            <w:tcW w:w="987" w:type="dxa"/>
            <w:vAlign w:val="center"/>
          </w:tcPr>
          <w:p w:rsidR="007055BE" w:rsidRPr="00DD5C8A" w:rsidRDefault="007055BE" w:rsidP="007055BE">
            <w:pPr>
              <w:jc w:val="center"/>
              <w:rPr>
                <w:rFonts w:ascii="Arial Narrow" w:hAnsi="Arial Narrow"/>
                <w:sz w:val="18"/>
                <w:szCs w:val="18"/>
              </w:rPr>
            </w:pPr>
          </w:p>
        </w:tc>
        <w:tc>
          <w:tcPr>
            <w:tcW w:w="7939" w:type="dxa"/>
            <w:gridSpan w:val="6"/>
            <w:vAlign w:val="center"/>
          </w:tcPr>
          <w:p w:rsidR="007055BE" w:rsidRPr="00DD5C8A" w:rsidRDefault="007055BE" w:rsidP="007055BE">
            <w:pPr>
              <w:jc w:val="left"/>
              <w:rPr>
                <w:rFonts w:ascii="Arial Narrow" w:hAnsi="Arial Narrow"/>
                <w:b/>
                <w:bCs/>
                <w:i/>
                <w:sz w:val="18"/>
                <w:szCs w:val="18"/>
              </w:rPr>
            </w:pPr>
            <w:r w:rsidRPr="00DD5C8A">
              <w:rPr>
                <w:rFonts w:ascii="Arial Narrow" w:hAnsi="Arial Narrow"/>
                <w:b/>
                <w:bCs/>
                <w:sz w:val="18"/>
                <w:szCs w:val="18"/>
              </w:rPr>
              <w:t>Administrative Advice</w:t>
            </w:r>
            <w:r w:rsidRPr="00DD5C8A">
              <w:rPr>
                <w:rFonts w:ascii="Arial Narrow" w:hAnsi="Arial Narrow"/>
                <w:b/>
                <w:bCs/>
                <w:strike/>
                <w:sz w:val="18"/>
                <w:szCs w:val="18"/>
              </w:rPr>
              <w:t xml:space="preserve">: </w:t>
            </w:r>
            <w:r w:rsidRPr="00DD5C8A">
              <w:rPr>
                <w:rFonts w:ascii="Arial Narrow" w:hAnsi="Arial Narrow"/>
                <w:bCs/>
                <w:strike/>
                <w:sz w:val="18"/>
                <w:szCs w:val="18"/>
              </w:rPr>
              <w:t>Authorities for increased maximum quantities, up to a maximum of 11, may be authorised.</w:t>
            </w:r>
            <w:r w:rsidR="00546193" w:rsidRPr="00DD5C8A">
              <w:rPr>
                <w:rFonts w:ascii="Arial Narrow" w:hAnsi="Arial Narrow"/>
                <w:bCs/>
                <w:strike/>
                <w:sz w:val="18"/>
                <w:szCs w:val="18"/>
              </w:rPr>
              <w:t xml:space="preserve"> </w:t>
            </w:r>
            <w:r w:rsidRPr="00DD5C8A">
              <w:rPr>
                <w:rFonts w:ascii="Arial Narrow" w:hAnsi="Arial Narrow"/>
                <w:i/>
                <w:sz w:val="18"/>
                <w:szCs w:val="18"/>
              </w:rPr>
              <w:t>Increases in the maximum quantity (packs) of up to twice the value stated may be sought.</w:t>
            </w:r>
          </w:p>
        </w:tc>
      </w:tr>
      <w:bookmarkEnd w:id="3"/>
    </w:tbl>
    <w:p w:rsidR="00D019E3" w:rsidRPr="00DD5C8A" w:rsidRDefault="00D019E3" w:rsidP="007A38BD">
      <w:pPr>
        <w:spacing w:after="120"/>
        <w:rPr>
          <w:rFonts w:asciiTheme="minorHAnsi" w:eastAsiaTheme="minorHAnsi" w:hAnsiTheme="minorHAnsi" w:cstheme="minorBidi"/>
          <w:b/>
          <w:i/>
          <w:color w:val="000000" w:themeColor="text1"/>
          <w:lang w:eastAsia="en-US"/>
        </w:rPr>
      </w:pPr>
    </w:p>
    <w:p w:rsidR="008E3856" w:rsidRPr="00DD5C8A" w:rsidRDefault="008E3856" w:rsidP="008E3856">
      <w:pPr>
        <w:pStyle w:val="3Bodytext"/>
        <w:numPr>
          <w:ilvl w:val="0"/>
          <w:numId w:val="0"/>
        </w:numPr>
        <w:ind w:left="720"/>
        <w:rPr>
          <w:rFonts w:ascii="Calibri" w:eastAsia="Times New Roman" w:hAnsi="Calibri" w:cs="Times New Roman"/>
          <w:i/>
          <w:szCs w:val="24"/>
        </w:rPr>
      </w:pPr>
      <w:r w:rsidRPr="00DD5C8A">
        <w:rPr>
          <w:rFonts w:ascii="Calibri" w:eastAsia="Times New Roman" w:hAnsi="Calibri" w:cs="Times New Roman"/>
          <w:i/>
          <w:szCs w:val="24"/>
        </w:rPr>
        <w:t>For more detail on PBAC’s view, see section 7 PBAC outcome</w:t>
      </w:r>
      <w:r w:rsidR="00DD5C8A">
        <w:rPr>
          <w:rFonts w:ascii="Calibri" w:eastAsia="Times New Roman" w:hAnsi="Calibri" w:cs="Times New Roman"/>
          <w:i/>
          <w:szCs w:val="24"/>
        </w:rPr>
        <w:t xml:space="preserve">. </w:t>
      </w:r>
    </w:p>
    <w:p w:rsidR="003668DD" w:rsidRPr="00DD5C8A" w:rsidRDefault="003668DD" w:rsidP="003668DD">
      <w:pPr>
        <w:pStyle w:val="2-SectionHeading"/>
      </w:pPr>
      <w:r w:rsidRPr="00DD5C8A">
        <w:t>Comparator</w:t>
      </w:r>
    </w:p>
    <w:p w:rsidR="00B15590" w:rsidRPr="00DD5C8A" w:rsidRDefault="00B15590" w:rsidP="00B15590">
      <w:pPr>
        <w:pStyle w:val="3Bodytext"/>
      </w:pPr>
      <w:bookmarkStart w:id="4" w:name="_Hlk76983906"/>
      <w:bookmarkStart w:id="5" w:name="_Hlk76983871"/>
      <w:r w:rsidRPr="00DD5C8A">
        <w:t>The submission presented two modular feeds outlined in Table 1 as comparators, namely Formulation 1 and Formulation 2.</w:t>
      </w:r>
      <w:r w:rsidR="00255AF0" w:rsidRPr="00DD5C8A">
        <w:t xml:space="preserve"> </w:t>
      </w:r>
      <w:bookmarkEnd w:id="4"/>
      <w:bookmarkEnd w:id="5"/>
    </w:p>
    <w:p w:rsidR="006011CF" w:rsidRPr="00083737" w:rsidRDefault="003668DD" w:rsidP="00D7758D">
      <w:pPr>
        <w:pStyle w:val="3Bodytext"/>
      </w:pPr>
      <w:r w:rsidRPr="00DD5C8A">
        <w:t>The submission compared the proposed daily cost of KetoVie Peptide 4:1</w:t>
      </w:r>
      <w:r w:rsidR="00B15590" w:rsidRPr="00DD5C8A">
        <w:t xml:space="preserve"> against the daily cost of the comparators</w:t>
      </w:r>
      <w:r w:rsidRPr="00DD5C8A">
        <w:t>.</w:t>
      </w:r>
    </w:p>
    <w:p w:rsidR="006011CF" w:rsidRPr="00DD5C8A" w:rsidRDefault="006011CF" w:rsidP="006011CF">
      <w:pPr>
        <w:pStyle w:val="Caption"/>
        <w:keepNext/>
        <w:keepLines/>
        <w:spacing w:after="0"/>
        <w:rPr>
          <w:rFonts w:ascii="Arial Narrow" w:hAnsi="Arial Narrow" w:cstheme="minorHAnsi"/>
          <w:b/>
          <w:i w:val="0"/>
          <w:sz w:val="20"/>
          <w:szCs w:val="20"/>
        </w:rPr>
      </w:pPr>
      <w:r w:rsidRPr="00DD5C8A">
        <w:rPr>
          <w:rFonts w:ascii="Arial Narrow" w:hAnsi="Arial Narrow"/>
          <w:b/>
          <w:i w:val="0"/>
          <w:sz w:val="20"/>
          <w:szCs w:val="20"/>
        </w:rPr>
        <w:t>Table 1:</w:t>
      </w:r>
      <w:r w:rsidRPr="00DD5C8A">
        <w:rPr>
          <w:rFonts w:ascii="Arial Narrow" w:hAnsi="Arial Narrow" w:cstheme="minorHAnsi"/>
          <w:b/>
          <w:i w:val="0"/>
          <w:sz w:val="20"/>
          <w:szCs w:val="20"/>
        </w:rPr>
        <w:t xml:space="preserve"> </w:t>
      </w:r>
      <w:r w:rsidRPr="00DD5C8A">
        <w:rPr>
          <w:rStyle w:val="TabletitlesChar"/>
          <w:i w:val="0"/>
          <w:sz w:val="20"/>
          <w:szCs w:val="20"/>
        </w:rPr>
        <w:t>Nutritional composition Formulation 1 and 2 and cost comparison of Formulation 1 and 2 and KetoVie Peptide 4:1.</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22"/>
        <w:gridCol w:w="1823"/>
        <w:gridCol w:w="1822"/>
        <w:gridCol w:w="1823"/>
      </w:tblGrid>
      <w:tr w:rsidR="006011CF" w:rsidRPr="00DD5C8A" w:rsidTr="00697D22">
        <w:tc>
          <w:tcPr>
            <w:tcW w:w="5000" w:type="pct"/>
            <w:gridSpan w:val="5"/>
          </w:tcPr>
          <w:p w:rsidR="006011CF" w:rsidRPr="00DD5C8A" w:rsidRDefault="006011CF" w:rsidP="00697D22">
            <w:pPr>
              <w:pStyle w:val="TableText0"/>
              <w:keepLines/>
              <w:rPr>
                <w:b/>
              </w:rPr>
            </w:pPr>
            <w:r w:rsidRPr="00DD5C8A">
              <w:rPr>
                <w:b/>
                <w:i/>
              </w:rPr>
              <w:t>Nutritional composition and daily comparator cost</w:t>
            </w:r>
          </w:p>
        </w:tc>
      </w:tr>
      <w:tr w:rsidR="006011CF" w:rsidRPr="00DD5C8A" w:rsidTr="00697D22">
        <w:tc>
          <w:tcPr>
            <w:tcW w:w="1042" w:type="pct"/>
          </w:tcPr>
          <w:p w:rsidR="006011CF" w:rsidRPr="00DD5C8A" w:rsidRDefault="006011CF" w:rsidP="00697D22">
            <w:pPr>
              <w:pStyle w:val="TableText0"/>
              <w:keepLines/>
            </w:pPr>
            <w:r w:rsidRPr="00DD5C8A">
              <w:rPr>
                <w:b/>
              </w:rPr>
              <w:t>Ingredient (per day)</w:t>
            </w:r>
          </w:p>
        </w:tc>
        <w:tc>
          <w:tcPr>
            <w:tcW w:w="989" w:type="pct"/>
          </w:tcPr>
          <w:p w:rsidR="006011CF" w:rsidRPr="00DD5C8A" w:rsidRDefault="006011CF" w:rsidP="00697D22">
            <w:pPr>
              <w:pStyle w:val="TableText0"/>
              <w:keepLines/>
            </w:pPr>
            <w:r w:rsidRPr="00DD5C8A">
              <w:rPr>
                <w:b/>
              </w:rPr>
              <w:t>Cost (DPMQ or to patient)</w:t>
            </w:r>
          </w:p>
        </w:tc>
        <w:tc>
          <w:tcPr>
            <w:tcW w:w="990" w:type="pct"/>
          </w:tcPr>
          <w:p w:rsidR="006011CF" w:rsidRPr="00DD5C8A" w:rsidRDefault="006011CF" w:rsidP="00697D22">
            <w:pPr>
              <w:pStyle w:val="TableText0"/>
              <w:keepLines/>
            </w:pPr>
            <w:r w:rsidRPr="00DD5C8A">
              <w:rPr>
                <w:b/>
              </w:rPr>
              <w:t>Pack (bottle/can)</w:t>
            </w:r>
          </w:p>
        </w:tc>
        <w:tc>
          <w:tcPr>
            <w:tcW w:w="989" w:type="pct"/>
          </w:tcPr>
          <w:p w:rsidR="006011CF" w:rsidRPr="00DD5C8A" w:rsidRDefault="006011CF" w:rsidP="00697D22">
            <w:pPr>
              <w:pStyle w:val="TableText0"/>
              <w:keepLines/>
            </w:pPr>
            <w:r w:rsidRPr="00DD5C8A">
              <w:rPr>
                <w:b/>
              </w:rPr>
              <w:t>Unit cost (per bottle/can)</w:t>
            </w:r>
          </w:p>
        </w:tc>
        <w:tc>
          <w:tcPr>
            <w:tcW w:w="990" w:type="pct"/>
          </w:tcPr>
          <w:p w:rsidR="006011CF" w:rsidRPr="00DD5C8A" w:rsidRDefault="006011CF" w:rsidP="00697D22">
            <w:pPr>
              <w:pStyle w:val="TableText0"/>
              <w:keepLines/>
            </w:pPr>
            <w:r w:rsidRPr="00DD5C8A">
              <w:rPr>
                <w:b/>
              </w:rPr>
              <w:t>PBS cost of constituents per day (at DPMQ)</w:t>
            </w:r>
          </w:p>
        </w:tc>
      </w:tr>
      <w:tr w:rsidR="006011CF" w:rsidRPr="00DD5C8A" w:rsidTr="00697D22">
        <w:tc>
          <w:tcPr>
            <w:tcW w:w="5000" w:type="pct"/>
            <w:gridSpan w:val="5"/>
          </w:tcPr>
          <w:p w:rsidR="006011CF" w:rsidRPr="00DD5C8A" w:rsidRDefault="006011CF" w:rsidP="00697D22">
            <w:pPr>
              <w:pStyle w:val="TableText0"/>
              <w:keepLines/>
              <w:rPr>
                <w:b/>
              </w:rPr>
            </w:pPr>
            <w:r w:rsidRPr="00DD5C8A">
              <w:rPr>
                <w:b/>
              </w:rPr>
              <w:t>Formulation 1 – (amino acid-based formula prepared from components)</w:t>
            </w:r>
          </w:p>
        </w:tc>
      </w:tr>
      <w:tr w:rsidR="006011CF" w:rsidRPr="00DD5C8A" w:rsidTr="00697D22">
        <w:tc>
          <w:tcPr>
            <w:tcW w:w="1042" w:type="pct"/>
            <w:shd w:val="clear" w:color="auto" w:fill="auto"/>
            <w:vAlign w:val="center"/>
          </w:tcPr>
          <w:p w:rsidR="006011CF" w:rsidRPr="00DD5C8A" w:rsidRDefault="006011CF" w:rsidP="00697D22">
            <w:pPr>
              <w:pStyle w:val="TableText0"/>
              <w:keepLines/>
              <w:rPr>
                <w:b/>
              </w:rPr>
            </w:pPr>
            <w:r w:rsidRPr="00DD5C8A">
              <w:rPr>
                <w:rFonts w:cstheme="minorHAnsi"/>
                <w:szCs w:val="20"/>
              </w:rPr>
              <w:t>Ross Carb-free formula (Abbott Nutrition), 384 mL</w:t>
            </w:r>
          </w:p>
        </w:tc>
        <w:tc>
          <w:tcPr>
            <w:tcW w:w="989" w:type="pct"/>
            <w:shd w:val="clear" w:color="auto" w:fill="auto"/>
          </w:tcPr>
          <w:p w:rsidR="006011CF" w:rsidRPr="00DD5C8A" w:rsidRDefault="006011CF" w:rsidP="00697D22">
            <w:pPr>
              <w:pStyle w:val="TableText0"/>
              <w:keepLines/>
              <w:rPr>
                <w:b/>
              </w:rPr>
            </w:pPr>
            <w:r w:rsidRPr="00DD5C8A">
              <w:rPr>
                <w:rFonts w:cstheme="minorHAnsi"/>
                <w:szCs w:val="20"/>
              </w:rPr>
              <w:t>$14.50</w:t>
            </w:r>
          </w:p>
        </w:tc>
        <w:tc>
          <w:tcPr>
            <w:tcW w:w="990" w:type="pct"/>
            <w:shd w:val="clear" w:color="auto" w:fill="auto"/>
          </w:tcPr>
          <w:p w:rsidR="006011CF" w:rsidRPr="00DD5C8A" w:rsidRDefault="006011CF" w:rsidP="00697D22">
            <w:pPr>
              <w:pStyle w:val="TableText0"/>
              <w:keepLines/>
              <w:rPr>
                <w:b/>
              </w:rPr>
            </w:pPr>
            <w:r w:rsidRPr="00DD5C8A">
              <w:rPr>
                <w:rFonts w:cstheme="minorHAnsi"/>
                <w:szCs w:val="20"/>
              </w:rPr>
              <w:t>384 mL</w:t>
            </w:r>
          </w:p>
        </w:tc>
        <w:tc>
          <w:tcPr>
            <w:tcW w:w="989" w:type="pct"/>
            <w:shd w:val="clear" w:color="auto" w:fill="auto"/>
          </w:tcPr>
          <w:p w:rsidR="006011CF" w:rsidRPr="00DD5C8A" w:rsidRDefault="006011CF" w:rsidP="00697D22">
            <w:pPr>
              <w:pStyle w:val="TableText0"/>
              <w:keepLines/>
              <w:rPr>
                <w:b/>
              </w:rPr>
            </w:pPr>
            <w:r w:rsidRPr="00DD5C8A">
              <w:rPr>
                <w:rFonts w:cstheme="minorHAnsi"/>
                <w:szCs w:val="20"/>
              </w:rPr>
              <w:t>$14.50</w:t>
            </w:r>
          </w:p>
        </w:tc>
        <w:tc>
          <w:tcPr>
            <w:tcW w:w="990" w:type="pct"/>
            <w:shd w:val="clear" w:color="auto" w:fill="auto"/>
          </w:tcPr>
          <w:p w:rsidR="006011CF" w:rsidRPr="00DD5C8A" w:rsidRDefault="006011CF" w:rsidP="00697D22">
            <w:pPr>
              <w:pStyle w:val="TableText0"/>
              <w:keepLines/>
              <w:rPr>
                <w:b/>
              </w:rPr>
            </w:pPr>
            <w:r w:rsidRPr="00DD5C8A">
              <w:rPr>
                <w:rFonts w:cstheme="minorHAnsi"/>
                <w:szCs w:val="20"/>
              </w:rPr>
              <w:t> </w:t>
            </w:r>
          </w:p>
        </w:tc>
      </w:tr>
      <w:tr w:rsidR="006011CF" w:rsidRPr="00DD5C8A" w:rsidTr="00697D22">
        <w:tc>
          <w:tcPr>
            <w:tcW w:w="1042" w:type="pct"/>
            <w:shd w:val="clear" w:color="auto" w:fill="auto"/>
            <w:vAlign w:val="center"/>
          </w:tcPr>
          <w:p w:rsidR="006011CF" w:rsidRPr="00DD5C8A" w:rsidRDefault="006011CF" w:rsidP="00697D22">
            <w:pPr>
              <w:pStyle w:val="TableText0"/>
              <w:keepLines/>
              <w:rPr>
                <w:rFonts w:cstheme="minorHAnsi"/>
                <w:szCs w:val="20"/>
              </w:rPr>
            </w:pPr>
            <w:r w:rsidRPr="00DD5C8A">
              <w:rPr>
                <w:rFonts w:cstheme="minorHAnsi"/>
                <w:szCs w:val="20"/>
              </w:rPr>
              <w:t>Liquigen (Nutricia), 120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$10.15</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250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$21.15</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$10.15</w:t>
            </w:r>
          </w:p>
        </w:tc>
      </w:tr>
      <w:tr w:rsidR="006011CF" w:rsidRPr="00DD5C8A" w:rsidTr="00697D22">
        <w:tc>
          <w:tcPr>
            <w:tcW w:w="1042" w:type="pct"/>
            <w:shd w:val="clear" w:color="auto" w:fill="auto"/>
            <w:vAlign w:val="center"/>
          </w:tcPr>
          <w:p w:rsidR="006011CF" w:rsidRPr="00DD5C8A" w:rsidRDefault="006011CF" w:rsidP="00697D22">
            <w:pPr>
              <w:pStyle w:val="TableText0"/>
              <w:keepLines/>
              <w:rPr>
                <w:rFonts w:cstheme="minorHAnsi"/>
                <w:szCs w:val="20"/>
              </w:rPr>
            </w:pPr>
            <w:r w:rsidRPr="00DD5C8A">
              <w:rPr>
                <w:rFonts w:cstheme="minorHAnsi"/>
                <w:szCs w:val="20"/>
              </w:rPr>
              <w:t>Essential Amino Acid Mix (Nutricia), 20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$30.73</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200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$307.30</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 </w:t>
            </w:r>
          </w:p>
        </w:tc>
      </w:tr>
      <w:tr w:rsidR="006011CF" w:rsidRPr="00DD5C8A" w:rsidTr="00697D22">
        <w:tc>
          <w:tcPr>
            <w:tcW w:w="1042" w:type="pct"/>
            <w:shd w:val="clear" w:color="auto" w:fill="auto"/>
            <w:vAlign w:val="center"/>
          </w:tcPr>
          <w:p w:rsidR="006011CF" w:rsidRPr="00DD5C8A" w:rsidRDefault="006011CF" w:rsidP="00697D22">
            <w:pPr>
              <w:pStyle w:val="TableText0"/>
              <w:keepLines/>
              <w:rPr>
                <w:rFonts w:cstheme="minorHAnsi"/>
                <w:szCs w:val="20"/>
              </w:rPr>
            </w:pPr>
            <w:r w:rsidRPr="00DD5C8A">
              <w:rPr>
                <w:rFonts w:cstheme="minorHAnsi"/>
                <w:szCs w:val="20"/>
              </w:rPr>
              <w:t>Poly-joule (Nutricia), 15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$1.10</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400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$29.21</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 </w:t>
            </w:r>
          </w:p>
        </w:tc>
      </w:tr>
      <w:tr w:rsidR="006011CF" w:rsidRPr="00DD5C8A" w:rsidTr="00697D22">
        <w:tc>
          <w:tcPr>
            <w:tcW w:w="1042" w:type="pct"/>
            <w:shd w:val="clear" w:color="auto" w:fill="auto"/>
            <w:vAlign w:val="center"/>
          </w:tcPr>
          <w:p w:rsidR="006011CF" w:rsidRPr="00DD5C8A" w:rsidRDefault="006011CF" w:rsidP="00697D22">
            <w:pPr>
              <w:pStyle w:val="TableText0"/>
              <w:keepLines/>
              <w:rPr>
                <w:rFonts w:cstheme="minorHAnsi"/>
                <w:szCs w:val="20"/>
              </w:rPr>
            </w:pPr>
            <w:r w:rsidRPr="00DD5C8A">
              <w:rPr>
                <w:rFonts w:cstheme="minorHAnsi"/>
                <w:szCs w:val="20"/>
              </w:rPr>
              <w:t>Metamucil, 35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$1.98</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283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$15.99</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theme="minorHAnsi"/>
                <w:b/>
                <w:bCs w:val="0"/>
                <w:szCs w:val="20"/>
              </w:rPr>
              <w:t>Total for ingredients:</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b/>
                <w:bCs w:val="0"/>
                <w:szCs w:val="20"/>
              </w:rPr>
              <w:t>$58.45</w:t>
            </w:r>
          </w:p>
        </w:tc>
        <w:tc>
          <w:tcPr>
            <w:tcW w:w="990" w:type="pct"/>
            <w:shd w:val="clear" w:color="auto" w:fill="auto"/>
          </w:tcPr>
          <w:p w:rsidR="006011CF" w:rsidRPr="00DD5C8A" w:rsidRDefault="006011CF" w:rsidP="00697D22">
            <w:pPr>
              <w:pStyle w:val="TableText0"/>
              <w:keepLines/>
              <w:rPr>
                <w:rFonts w:cstheme="minorHAnsi"/>
                <w:szCs w:val="20"/>
              </w:rPr>
            </w:pPr>
          </w:p>
        </w:tc>
        <w:tc>
          <w:tcPr>
            <w:tcW w:w="989" w:type="pct"/>
            <w:shd w:val="clear" w:color="auto" w:fill="auto"/>
          </w:tcPr>
          <w:p w:rsidR="006011CF" w:rsidRPr="00DD5C8A" w:rsidRDefault="006011CF" w:rsidP="00697D22">
            <w:pPr>
              <w:pStyle w:val="TableText0"/>
              <w:keepLines/>
              <w:rPr>
                <w:rFonts w:cstheme="minorHAnsi"/>
                <w:szCs w:val="20"/>
              </w:rPr>
            </w:pP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theme="minorHAnsi"/>
                <w:b/>
                <w:bCs w:val="0"/>
                <w:szCs w:val="20"/>
              </w:rPr>
              <w:t>Preparation cost</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$0.00</w:t>
            </w:r>
          </w:p>
        </w:tc>
        <w:tc>
          <w:tcPr>
            <w:tcW w:w="990" w:type="pct"/>
            <w:shd w:val="clear" w:color="auto" w:fill="auto"/>
          </w:tcPr>
          <w:p w:rsidR="006011CF" w:rsidRPr="00DD5C8A" w:rsidRDefault="006011CF" w:rsidP="00697D22">
            <w:pPr>
              <w:pStyle w:val="TableText0"/>
              <w:keepLines/>
              <w:rPr>
                <w:rFonts w:cstheme="minorHAnsi"/>
                <w:szCs w:val="20"/>
              </w:rPr>
            </w:pPr>
          </w:p>
        </w:tc>
        <w:tc>
          <w:tcPr>
            <w:tcW w:w="989" w:type="pct"/>
            <w:shd w:val="clear" w:color="auto" w:fill="auto"/>
          </w:tcPr>
          <w:p w:rsidR="006011CF" w:rsidRPr="00DD5C8A" w:rsidRDefault="006011CF" w:rsidP="00697D22">
            <w:pPr>
              <w:pStyle w:val="TableText0"/>
              <w:keepLines/>
              <w:rPr>
                <w:rFonts w:cstheme="minorHAnsi"/>
                <w:szCs w:val="20"/>
              </w:rPr>
            </w:pP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theme="minorHAnsi"/>
                <w:szCs w:val="20"/>
              </w:rPr>
              <w:t> </w:t>
            </w:r>
          </w:p>
        </w:tc>
      </w:tr>
      <w:tr w:rsidR="006011CF" w:rsidRPr="00DD5C8A" w:rsidTr="00697D22">
        <w:tc>
          <w:tcPr>
            <w:tcW w:w="1042" w:type="pct"/>
            <w:shd w:val="clear" w:color="auto" w:fill="auto"/>
          </w:tcPr>
          <w:p w:rsidR="006011CF" w:rsidRPr="00DD5C8A" w:rsidRDefault="006011CF" w:rsidP="00697D22">
            <w:pPr>
              <w:pStyle w:val="TableText0"/>
              <w:keepLines/>
              <w:rPr>
                <w:b/>
              </w:rPr>
            </w:pPr>
            <w:r w:rsidRPr="00DD5C8A">
              <w:rPr>
                <w:b/>
              </w:rPr>
              <w:t>Total</w:t>
            </w:r>
          </w:p>
        </w:tc>
        <w:tc>
          <w:tcPr>
            <w:tcW w:w="989" w:type="pct"/>
            <w:shd w:val="clear" w:color="auto" w:fill="auto"/>
          </w:tcPr>
          <w:p w:rsidR="006011CF" w:rsidRPr="00DD5C8A" w:rsidRDefault="006011CF" w:rsidP="00697D22">
            <w:pPr>
              <w:pStyle w:val="TableText0"/>
              <w:keepLines/>
              <w:rPr>
                <w:b/>
              </w:rPr>
            </w:pPr>
            <w:r w:rsidRPr="00DD5C8A">
              <w:rPr>
                <w:b/>
              </w:rPr>
              <w:t>$58.45</w:t>
            </w:r>
          </w:p>
        </w:tc>
        <w:tc>
          <w:tcPr>
            <w:tcW w:w="990" w:type="pct"/>
            <w:shd w:val="clear" w:color="auto" w:fill="auto"/>
          </w:tcPr>
          <w:p w:rsidR="006011CF" w:rsidRPr="00DD5C8A" w:rsidRDefault="006011CF" w:rsidP="00697D22">
            <w:pPr>
              <w:pStyle w:val="TableText0"/>
              <w:keepLines/>
              <w:rPr>
                <w:b/>
              </w:rPr>
            </w:pPr>
            <w:r w:rsidRPr="00DD5C8A">
              <w:rPr>
                <w:b/>
              </w:rPr>
              <w:t> </w:t>
            </w:r>
          </w:p>
        </w:tc>
        <w:tc>
          <w:tcPr>
            <w:tcW w:w="989" w:type="pct"/>
            <w:shd w:val="clear" w:color="auto" w:fill="auto"/>
          </w:tcPr>
          <w:p w:rsidR="006011CF" w:rsidRPr="00DD5C8A" w:rsidRDefault="006011CF" w:rsidP="00697D22">
            <w:pPr>
              <w:pStyle w:val="TableText0"/>
              <w:keepLines/>
              <w:rPr>
                <w:b/>
              </w:rPr>
            </w:pPr>
            <w:r w:rsidRPr="00DD5C8A">
              <w:rPr>
                <w:b/>
              </w:rPr>
              <w:t> </w:t>
            </w:r>
          </w:p>
        </w:tc>
        <w:tc>
          <w:tcPr>
            <w:tcW w:w="990" w:type="pct"/>
            <w:shd w:val="clear" w:color="auto" w:fill="auto"/>
          </w:tcPr>
          <w:p w:rsidR="006011CF" w:rsidRPr="00DD5C8A" w:rsidRDefault="006011CF" w:rsidP="00697D22">
            <w:pPr>
              <w:pStyle w:val="TableText0"/>
              <w:keepLines/>
              <w:rPr>
                <w:b/>
              </w:rPr>
            </w:pPr>
            <w:r w:rsidRPr="00DD5C8A">
              <w:rPr>
                <w:b/>
              </w:rPr>
              <w:t>$10.15</w:t>
            </w:r>
          </w:p>
        </w:tc>
      </w:tr>
      <w:tr w:rsidR="006011CF" w:rsidRPr="00DD5C8A" w:rsidTr="00697D22">
        <w:tc>
          <w:tcPr>
            <w:tcW w:w="5000" w:type="pct"/>
            <w:gridSpan w:val="5"/>
            <w:shd w:val="clear" w:color="auto" w:fill="auto"/>
          </w:tcPr>
          <w:p w:rsidR="006011CF" w:rsidRPr="00DD5C8A" w:rsidRDefault="006011CF" w:rsidP="00697D22">
            <w:pPr>
              <w:pStyle w:val="TableText0"/>
              <w:keepLines/>
              <w:rPr>
                <w:b/>
              </w:rPr>
            </w:pPr>
            <w:r w:rsidRPr="00DD5C8A">
              <w:rPr>
                <w:b/>
              </w:rPr>
              <w:t>Formulation 2 (updated, from Nov 2020 submission)</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Complete Amino Acid Mix, 40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$28.53</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200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$142.65</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PolyCal, 3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$0.20</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400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$27.27</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Benefiber, 13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$0.40</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730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$22.49</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Betaquik, 115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$4.68</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225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$9.15</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$4.68</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Microlipid, 250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$40.06</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89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$14.26</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xml:space="preserve">Water, 600 mL </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$0.00</w:t>
            </w:r>
          </w:p>
        </w:tc>
        <w:tc>
          <w:tcPr>
            <w:tcW w:w="990" w:type="pct"/>
            <w:shd w:val="clear" w:color="auto" w:fill="auto"/>
          </w:tcPr>
          <w:p w:rsidR="006011CF" w:rsidRPr="00DD5C8A" w:rsidRDefault="006011CF" w:rsidP="00697D22">
            <w:pPr>
              <w:pStyle w:val="TableText0"/>
              <w:keepLines/>
              <w:rPr>
                <w:rFonts w:cstheme="minorHAnsi"/>
                <w:szCs w:val="20"/>
              </w:rPr>
            </w:pPr>
          </w:p>
        </w:tc>
        <w:tc>
          <w:tcPr>
            <w:tcW w:w="989" w:type="pct"/>
            <w:shd w:val="clear" w:color="auto" w:fill="auto"/>
          </w:tcPr>
          <w:p w:rsidR="006011CF" w:rsidRPr="00DD5C8A" w:rsidRDefault="006011CF" w:rsidP="00697D22">
            <w:pPr>
              <w:pStyle w:val="TableText0"/>
              <w:keepLines/>
              <w:rPr>
                <w:rFonts w:cstheme="minorHAnsi"/>
                <w:szCs w:val="20"/>
              </w:rPr>
            </w:pP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NanoVM 9-18 Years, 4 scoops</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$11.33</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275 g</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$77.89</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Nordic Naturals Ultimate Omega, + ½ tsp</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$1.27</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237 mL</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$99.95</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b/>
                <w:color w:val="000000"/>
                <w:szCs w:val="22"/>
              </w:rPr>
              <w:t>Total for ingredients:</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b/>
                <w:color w:val="000000"/>
                <w:szCs w:val="22"/>
              </w:rPr>
              <w:t>$86.46</w:t>
            </w:r>
          </w:p>
        </w:tc>
        <w:tc>
          <w:tcPr>
            <w:tcW w:w="990" w:type="pct"/>
            <w:shd w:val="clear" w:color="auto" w:fill="auto"/>
          </w:tcPr>
          <w:p w:rsidR="006011CF" w:rsidRPr="00DD5C8A" w:rsidRDefault="006011CF" w:rsidP="00697D22">
            <w:pPr>
              <w:pStyle w:val="TableText0"/>
              <w:keepLines/>
              <w:rPr>
                <w:rFonts w:cstheme="minorHAnsi"/>
                <w:szCs w:val="20"/>
              </w:rPr>
            </w:pPr>
          </w:p>
        </w:tc>
        <w:tc>
          <w:tcPr>
            <w:tcW w:w="989" w:type="pct"/>
            <w:shd w:val="clear" w:color="auto" w:fill="auto"/>
          </w:tcPr>
          <w:p w:rsidR="006011CF" w:rsidRPr="00DD5C8A" w:rsidRDefault="006011CF" w:rsidP="00697D22">
            <w:pPr>
              <w:pStyle w:val="TableText0"/>
              <w:keepLines/>
              <w:rPr>
                <w:rFonts w:cstheme="minorHAnsi"/>
                <w:szCs w:val="20"/>
              </w:rPr>
            </w:pP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theme="minorHAnsi"/>
                <w:szCs w:val="20"/>
              </w:rPr>
            </w:pPr>
            <w:r w:rsidRPr="00DD5C8A">
              <w:rPr>
                <w:rFonts w:cs="Calibri"/>
                <w:b/>
                <w:color w:val="000000"/>
                <w:szCs w:val="22"/>
              </w:rPr>
              <w:t>Preparation cost</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$0.00</w:t>
            </w:r>
          </w:p>
        </w:tc>
        <w:tc>
          <w:tcPr>
            <w:tcW w:w="990" w:type="pct"/>
            <w:shd w:val="clear" w:color="auto" w:fill="auto"/>
          </w:tcPr>
          <w:p w:rsidR="006011CF" w:rsidRPr="00DD5C8A" w:rsidRDefault="006011CF" w:rsidP="00697D22">
            <w:pPr>
              <w:pStyle w:val="TableText0"/>
              <w:keepLines/>
              <w:rPr>
                <w:rFonts w:cstheme="minorHAnsi"/>
                <w:szCs w:val="20"/>
              </w:rPr>
            </w:pPr>
          </w:p>
        </w:tc>
        <w:tc>
          <w:tcPr>
            <w:tcW w:w="989" w:type="pct"/>
            <w:shd w:val="clear" w:color="auto" w:fill="auto"/>
          </w:tcPr>
          <w:p w:rsidR="006011CF" w:rsidRPr="00DD5C8A" w:rsidRDefault="006011CF" w:rsidP="00697D22">
            <w:pPr>
              <w:pStyle w:val="TableText0"/>
              <w:keepLines/>
              <w:rPr>
                <w:rFonts w:cstheme="minorHAnsi"/>
                <w:szCs w:val="20"/>
              </w:rPr>
            </w:pP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color w:val="000000"/>
                <w:szCs w:val="22"/>
              </w:rPr>
              <w:t> </w:t>
            </w:r>
          </w:p>
        </w:tc>
      </w:tr>
      <w:tr w:rsidR="006011CF" w:rsidRPr="00DD5C8A" w:rsidTr="00697D22">
        <w:tc>
          <w:tcPr>
            <w:tcW w:w="1042" w:type="pct"/>
            <w:shd w:val="clear" w:color="auto" w:fill="auto"/>
          </w:tcPr>
          <w:p w:rsidR="006011CF" w:rsidRPr="00DD5C8A" w:rsidRDefault="006011CF" w:rsidP="00697D22">
            <w:pPr>
              <w:pStyle w:val="TableText0"/>
              <w:keepLines/>
              <w:rPr>
                <w:rFonts w:cs="Calibri"/>
                <w:b/>
                <w:color w:val="000000"/>
                <w:szCs w:val="22"/>
              </w:rPr>
            </w:pPr>
            <w:r w:rsidRPr="00DD5C8A">
              <w:rPr>
                <w:rFonts w:cs="Calibri"/>
                <w:b/>
                <w:color w:val="000000"/>
                <w:szCs w:val="22"/>
              </w:rPr>
              <w:t>Total</w:t>
            </w:r>
          </w:p>
        </w:tc>
        <w:tc>
          <w:tcPr>
            <w:tcW w:w="989" w:type="pct"/>
            <w:shd w:val="clear" w:color="auto" w:fill="auto"/>
          </w:tcPr>
          <w:p w:rsidR="006011CF" w:rsidRPr="00DD5C8A" w:rsidRDefault="006011CF" w:rsidP="00697D22">
            <w:pPr>
              <w:pStyle w:val="TableText0"/>
              <w:keepLines/>
              <w:rPr>
                <w:rFonts w:cs="Calibri"/>
                <w:color w:val="000000"/>
                <w:szCs w:val="22"/>
              </w:rPr>
            </w:pPr>
            <w:r w:rsidRPr="00DD5C8A">
              <w:rPr>
                <w:rFonts w:cs="Calibri"/>
                <w:b/>
                <w:color w:val="000000"/>
                <w:szCs w:val="22"/>
              </w:rPr>
              <w:t>$86.46</w:t>
            </w:r>
          </w:p>
        </w:tc>
        <w:tc>
          <w:tcPr>
            <w:tcW w:w="990" w:type="pct"/>
            <w:shd w:val="clear" w:color="auto" w:fill="auto"/>
          </w:tcPr>
          <w:p w:rsidR="006011CF" w:rsidRPr="00DD5C8A" w:rsidRDefault="006011CF" w:rsidP="00697D22">
            <w:pPr>
              <w:pStyle w:val="TableText0"/>
              <w:keepLines/>
              <w:rPr>
                <w:rFonts w:cstheme="minorHAnsi"/>
                <w:szCs w:val="20"/>
              </w:rPr>
            </w:pPr>
            <w:r w:rsidRPr="00DD5C8A">
              <w:rPr>
                <w:rFonts w:cs="Calibri"/>
                <w:b/>
                <w:color w:val="000000"/>
                <w:szCs w:val="22"/>
              </w:rPr>
              <w:t> </w:t>
            </w:r>
          </w:p>
        </w:tc>
        <w:tc>
          <w:tcPr>
            <w:tcW w:w="989" w:type="pct"/>
            <w:shd w:val="clear" w:color="auto" w:fill="auto"/>
          </w:tcPr>
          <w:p w:rsidR="006011CF" w:rsidRPr="00DD5C8A" w:rsidRDefault="006011CF" w:rsidP="00697D22">
            <w:pPr>
              <w:pStyle w:val="TableText0"/>
              <w:keepLines/>
              <w:rPr>
                <w:rFonts w:cstheme="minorHAnsi"/>
                <w:szCs w:val="20"/>
              </w:rPr>
            </w:pPr>
            <w:r w:rsidRPr="00DD5C8A">
              <w:rPr>
                <w:rFonts w:cs="Calibri"/>
                <w:b/>
                <w:color w:val="000000"/>
                <w:szCs w:val="22"/>
              </w:rPr>
              <w:t> </w:t>
            </w:r>
          </w:p>
        </w:tc>
        <w:tc>
          <w:tcPr>
            <w:tcW w:w="990" w:type="pct"/>
            <w:shd w:val="clear" w:color="auto" w:fill="auto"/>
          </w:tcPr>
          <w:p w:rsidR="006011CF" w:rsidRPr="00DD5C8A" w:rsidRDefault="006011CF" w:rsidP="00697D22">
            <w:pPr>
              <w:pStyle w:val="TableText0"/>
              <w:keepLines/>
              <w:rPr>
                <w:rFonts w:cs="Calibri"/>
                <w:color w:val="000000"/>
                <w:szCs w:val="22"/>
              </w:rPr>
            </w:pPr>
            <w:r w:rsidRPr="00DD5C8A">
              <w:rPr>
                <w:rFonts w:cs="Calibri"/>
                <w:b/>
                <w:color w:val="000000"/>
                <w:szCs w:val="22"/>
              </w:rPr>
              <w:t>$4.68</w:t>
            </w:r>
          </w:p>
        </w:tc>
      </w:tr>
      <w:tr w:rsidR="006011CF" w:rsidRPr="00DD5C8A" w:rsidTr="009C5421">
        <w:trPr>
          <w:trHeight w:val="327"/>
        </w:trPr>
        <w:tc>
          <w:tcPr>
            <w:tcW w:w="5000" w:type="pct"/>
            <w:gridSpan w:val="5"/>
            <w:shd w:val="clear" w:color="auto" w:fill="auto"/>
          </w:tcPr>
          <w:p w:rsidR="006011CF" w:rsidRPr="00DD5C8A" w:rsidRDefault="006011CF" w:rsidP="00697D22">
            <w:pPr>
              <w:pStyle w:val="TableText0"/>
              <w:keepLines/>
              <w:rPr>
                <w:rFonts w:cs="Calibri"/>
                <w:b/>
                <w:color w:val="000000"/>
                <w:szCs w:val="22"/>
              </w:rPr>
            </w:pPr>
            <w:r w:rsidRPr="00DD5C8A">
              <w:rPr>
                <w:rFonts w:cs="Calibri"/>
                <w:b/>
                <w:color w:val="000000"/>
                <w:szCs w:val="22"/>
              </w:rPr>
              <w:t>Comparator and KetoVie Peptide 4:1 energy equivalent costs</w:t>
            </w:r>
          </w:p>
          <w:p w:rsidR="006011CF" w:rsidRPr="00DD5C8A" w:rsidRDefault="006011CF" w:rsidP="00697D22">
            <w:pPr>
              <w:pStyle w:val="TableText0"/>
              <w:keepLines/>
              <w:rPr>
                <w:rFonts w:cs="Calibri"/>
                <w:b/>
                <w:color w:val="000000"/>
                <w:szCs w:val="22"/>
              </w:rPr>
            </w:pPr>
          </w:p>
        </w:tc>
      </w:tr>
      <w:tr w:rsidR="006011CF" w:rsidRPr="00DD5C8A" w:rsidTr="00697D22">
        <w:tc>
          <w:tcPr>
            <w:tcW w:w="2031" w:type="pct"/>
            <w:gridSpan w:val="2"/>
            <w:vMerge w:val="restart"/>
            <w:shd w:val="clear" w:color="auto" w:fill="auto"/>
          </w:tcPr>
          <w:p w:rsidR="006011CF" w:rsidRPr="00DD5C8A" w:rsidRDefault="006011CF" w:rsidP="00697D22">
            <w:pPr>
              <w:pStyle w:val="TableText0"/>
              <w:keepLines/>
              <w:rPr>
                <w:rFonts w:cs="Calibri"/>
                <w:b/>
                <w:color w:val="000000"/>
                <w:szCs w:val="22"/>
              </w:rPr>
            </w:pPr>
            <w:r w:rsidRPr="00DD5C8A">
              <w:rPr>
                <w:rFonts w:cs="Calibri"/>
                <w:b/>
                <w:color w:val="000000"/>
                <w:szCs w:val="22"/>
              </w:rPr>
              <w:t>Cost comparison</w:t>
            </w:r>
          </w:p>
        </w:tc>
        <w:tc>
          <w:tcPr>
            <w:tcW w:w="2969" w:type="pct"/>
            <w:gridSpan w:val="3"/>
            <w:shd w:val="clear" w:color="auto" w:fill="FFFFFF" w:themeFill="background1"/>
          </w:tcPr>
          <w:p w:rsidR="006011CF" w:rsidRPr="00DD5C8A" w:rsidRDefault="006011CF" w:rsidP="00697D22">
            <w:pPr>
              <w:pStyle w:val="TableText0"/>
              <w:keepLines/>
              <w:jc w:val="center"/>
              <w:rPr>
                <w:rFonts w:cs="Calibri"/>
                <w:b/>
                <w:color w:val="000000"/>
                <w:szCs w:val="22"/>
              </w:rPr>
            </w:pPr>
            <w:r w:rsidRPr="00DD5C8A">
              <w:rPr>
                <w:szCs w:val="20"/>
              </w:rPr>
              <w:t>Daily cost (DPMQ for PBS, or OTC)</w:t>
            </w:r>
          </w:p>
        </w:tc>
      </w:tr>
      <w:tr w:rsidR="006011CF" w:rsidRPr="00DD5C8A" w:rsidTr="00697D22">
        <w:tc>
          <w:tcPr>
            <w:tcW w:w="2031" w:type="pct"/>
            <w:gridSpan w:val="2"/>
            <w:vMerge/>
            <w:shd w:val="clear" w:color="auto" w:fill="auto"/>
          </w:tcPr>
          <w:p w:rsidR="006011CF" w:rsidRPr="00DD5C8A" w:rsidRDefault="006011CF" w:rsidP="00697D22">
            <w:pPr>
              <w:pStyle w:val="TableText0"/>
              <w:keepLines/>
              <w:rPr>
                <w:rFonts w:cs="Calibri"/>
                <w:b/>
                <w:color w:val="000000"/>
                <w:szCs w:val="22"/>
              </w:rPr>
            </w:pPr>
          </w:p>
        </w:tc>
        <w:tc>
          <w:tcPr>
            <w:tcW w:w="990" w:type="pct"/>
            <w:shd w:val="clear" w:color="auto" w:fill="FFFFFF" w:themeFill="background1"/>
          </w:tcPr>
          <w:p w:rsidR="006011CF" w:rsidRPr="00DD5C8A" w:rsidRDefault="006011CF" w:rsidP="00697D22">
            <w:pPr>
              <w:pStyle w:val="TableText0"/>
              <w:keepLines/>
              <w:rPr>
                <w:rFonts w:cs="Calibri"/>
                <w:b/>
                <w:color w:val="000000"/>
                <w:szCs w:val="22"/>
              </w:rPr>
            </w:pPr>
            <w:r w:rsidRPr="00DD5C8A">
              <w:rPr>
                <w:szCs w:val="20"/>
              </w:rPr>
              <w:t>Vs formula 1</w:t>
            </w:r>
          </w:p>
        </w:tc>
        <w:tc>
          <w:tcPr>
            <w:tcW w:w="989" w:type="pct"/>
            <w:shd w:val="clear" w:color="auto" w:fill="FFFFFF" w:themeFill="background1"/>
          </w:tcPr>
          <w:p w:rsidR="006011CF" w:rsidRPr="00DD5C8A" w:rsidRDefault="006011CF" w:rsidP="00697D22">
            <w:pPr>
              <w:pStyle w:val="TableText0"/>
              <w:keepLines/>
              <w:rPr>
                <w:rFonts w:cs="Calibri"/>
                <w:b/>
                <w:color w:val="000000"/>
                <w:szCs w:val="22"/>
              </w:rPr>
            </w:pPr>
            <w:r w:rsidRPr="00DD5C8A">
              <w:rPr>
                <w:szCs w:val="20"/>
              </w:rPr>
              <w:t>Vs. formula 2</w:t>
            </w:r>
          </w:p>
        </w:tc>
        <w:tc>
          <w:tcPr>
            <w:tcW w:w="990" w:type="pct"/>
            <w:shd w:val="clear" w:color="auto" w:fill="FFFFFF" w:themeFill="background1"/>
          </w:tcPr>
          <w:p w:rsidR="006011CF" w:rsidRPr="00DD5C8A" w:rsidRDefault="006011CF" w:rsidP="00697D22">
            <w:pPr>
              <w:pStyle w:val="TableText0"/>
              <w:keepLines/>
              <w:rPr>
                <w:rFonts w:cs="Calibri"/>
                <w:b/>
                <w:color w:val="000000"/>
                <w:szCs w:val="22"/>
              </w:rPr>
            </w:pPr>
            <w:r w:rsidRPr="00DD5C8A">
              <w:rPr>
                <w:szCs w:val="20"/>
              </w:rPr>
              <w:t>Vs weighted formula**</w:t>
            </w:r>
          </w:p>
        </w:tc>
      </w:tr>
      <w:tr w:rsidR="006011CF" w:rsidRPr="00DD5C8A" w:rsidTr="00697D22">
        <w:tc>
          <w:tcPr>
            <w:tcW w:w="2031" w:type="pct"/>
            <w:gridSpan w:val="2"/>
          </w:tcPr>
          <w:p w:rsidR="006011CF" w:rsidRPr="00DD5C8A" w:rsidRDefault="006011CF" w:rsidP="00697D22">
            <w:pPr>
              <w:pStyle w:val="TableText0"/>
              <w:keepLines/>
              <w:rPr>
                <w:rFonts w:cs="Calibri"/>
                <w:b/>
                <w:color w:val="000000"/>
                <w:szCs w:val="22"/>
              </w:rPr>
            </w:pPr>
            <w:r w:rsidRPr="00DD5C8A">
              <w:rPr>
                <w:bCs w:val="0"/>
                <w:szCs w:val="20"/>
              </w:rPr>
              <w:t>KetoVie 4:1 Peptide (1250 mL daily)*</w:t>
            </w:r>
          </w:p>
        </w:tc>
        <w:tc>
          <w:tcPr>
            <w:tcW w:w="990" w:type="pct"/>
          </w:tcPr>
          <w:p w:rsidR="006011CF" w:rsidRPr="00DD5C8A" w:rsidRDefault="006011CF" w:rsidP="00697D22">
            <w:pPr>
              <w:pStyle w:val="TableText0"/>
              <w:keepLines/>
              <w:rPr>
                <w:rFonts w:cs="Calibri"/>
                <w:b/>
                <w:color w:val="000000"/>
                <w:szCs w:val="22"/>
              </w:rPr>
            </w:pPr>
            <w:r w:rsidRPr="00DD5C8A">
              <w:rPr>
                <w:szCs w:val="20"/>
              </w:rPr>
              <w:t>$</w:t>
            </w:r>
            <w:r w:rsidR="007F70B9">
              <w:rPr>
                <w:noProof/>
                <w:color w:val="000000"/>
                <w:szCs w:val="20"/>
                <w:highlight w:val="black"/>
              </w:rPr>
              <w:t>'''''''''''''''</w:t>
            </w:r>
          </w:p>
        </w:tc>
        <w:tc>
          <w:tcPr>
            <w:tcW w:w="989" w:type="pct"/>
          </w:tcPr>
          <w:p w:rsidR="006011CF" w:rsidRPr="00DD5C8A" w:rsidRDefault="006011CF" w:rsidP="00697D22">
            <w:pPr>
              <w:pStyle w:val="TableText0"/>
              <w:keepLines/>
              <w:rPr>
                <w:rFonts w:cs="Calibri"/>
                <w:b/>
                <w:color w:val="000000"/>
                <w:szCs w:val="22"/>
              </w:rPr>
            </w:pPr>
            <w:r w:rsidRPr="00DD5C8A">
              <w:rPr>
                <w:szCs w:val="20"/>
              </w:rPr>
              <w:t>-</w:t>
            </w:r>
          </w:p>
        </w:tc>
        <w:tc>
          <w:tcPr>
            <w:tcW w:w="990" w:type="pct"/>
            <w:vMerge w:val="restart"/>
            <w:vAlign w:val="center"/>
          </w:tcPr>
          <w:p w:rsidR="006011CF" w:rsidRPr="00DD5C8A" w:rsidRDefault="006011CF" w:rsidP="00697D22">
            <w:pPr>
              <w:pStyle w:val="TableText0"/>
              <w:keepLines/>
              <w:rPr>
                <w:rFonts w:cs="Calibri"/>
                <w:b/>
                <w:color w:val="000000"/>
                <w:szCs w:val="22"/>
              </w:rPr>
            </w:pPr>
            <w:r w:rsidRPr="00DD5C8A">
              <w:rPr>
                <w:szCs w:val="20"/>
              </w:rPr>
              <w:t>$</w:t>
            </w:r>
            <w:r w:rsidR="007F70B9">
              <w:rPr>
                <w:noProof/>
                <w:color w:val="000000"/>
                <w:szCs w:val="20"/>
                <w:highlight w:val="black"/>
              </w:rPr>
              <w:t>'''''''''''''</w:t>
            </w:r>
          </w:p>
        </w:tc>
      </w:tr>
      <w:tr w:rsidR="006011CF" w:rsidRPr="00DD5C8A" w:rsidTr="00697D22">
        <w:tc>
          <w:tcPr>
            <w:tcW w:w="2031" w:type="pct"/>
            <w:gridSpan w:val="2"/>
          </w:tcPr>
          <w:p w:rsidR="006011CF" w:rsidRPr="00DD5C8A" w:rsidRDefault="006011CF" w:rsidP="00697D22">
            <w:pPr>
              <w:pStyle w:val="TableText0"/>
              <w:keepLines/>
              <w:rPr>
                <w:rFonts w:cs="Calibri"/>
                <w:b/>
                <w:color w:val="000000"/>
                <w:szCs w:val="22"/>
              </w:rPr>
            </w:pPr>
            <w:r w:rsidRPr="00DD5C8A">
              <w:rPr>
                <w:bCs w:val="0"/>
                <w:szCs w:val="20"/>
              </w:rPr>
              <w:t>KetoVie 4:1 Peptide (1000 mL daily)*</w:t>
            </w:r>
          </w:p>
        </w:tc>
        <w:tc>
          <w:tcPr>
            <w:tcW w:w="990" w:type="pct"/>
          </w:tcPr>
          <w:p w:rsidR="006011CF" w:rsidRPr="00DD5C8A" w:rsidRDefault="006011CF" w:rsidP="00697D22">
            <w:pPr>
              <w:pStyle w:val="TableText0"/>
              <w:keepLines/>
              <w:rPr>
                <w:rFonts w:cs="Calibri"/>
                <w:b/>
                <w:color w:val="000000"/>
                <w:szCs w:val="22"/>
              </w:rPr>
            </w:pPr>
            <w:r w:rsidRPr="00DD5C8A">
              <w:rPr>
                <w:szCs w:val="20"/>
              </w:rPr>
              <w:t>-</w:t>
            </w:r>
          </w:p>
        </w:tc>
        <w:tc>
          <w:tcPr>
            <w:tcW w:w="989" w:type="pct"/>
          </w:tcPr>
          <w:p w:rsidR="006011CF" w:rsidRPr="00DD5C8A" w:rsidRDefault="006011CF" w:rsidP="00697D22">
            <w:pPr>
              <w:pStyle w:val="TableText0"/>
              <w:keepLines/>
              <w:rPr>
                <w:rFonts w:cs="Calibri"/>
                <w:b/>
                <w:color w:val="000000"/>
                <w:szCs w:val="22"/>
              </w:rPr>
            </w:pPr>
            <w:r w:rsidRPr="00DD5C8A">
              <w:rPr>
                <w:szCs w:val="20"/>
              </w:rPr>
              <w:t>$</w:t>
            </w:r>
            <w:r w:rsidR="007F70B9">
              <w:rPr>
                <w:noProof/>
                <w:color w:val="000000"/>
                <w:szCs w:val="20"/>
                <w:highlight w:val="black"/>
              </w:rPr>
              <w:t>'''''''''''''</w:t>
            </w:r>
          </w:p>
        </w:tc>
        <w:tc>
          <w:tcPr>
            <w:tcW w:w="990" w:type="pct"/>
            <w:vMerge/>
          </w:tcPr>
          <w:p w:rsidR="006011CF" w:rsidRPr="00DD5C8A" w:rsidRDefault="006011CF" w:rsidP="00697D22">
            <w:pPr>
              <w:pStyle w:val="TableText0"/>
              <w:keepLines/>
              <w:rPr>
                <w:rFonts w:cs="Calibri"/>
                <w:b/>
                <w:color w:val="000000"/>
                <w:szCs w:val="22"/>
              </w:rPr>
            </w:pPr>
          </w:p>
        </w:tc>
      </w:tr>
      <w:tr w:rsidR="006011CF" w:rsidRPr="00DD5C8A" w:rsidTr="00697D22">
        <w:tc>
          <w:tcPr>
            <w:tcW w:w="2031" w:type="pct"/>
            <w:gridSpan w:val="2"/>
          </w:tcPr>
          <w:p w:rsidR="006011CF" w:rsidRPr="00DD5C8A" w:rsidRDefault="006011CF" w:rsidP="00697D22">
            <w:pPr>
              <w:pStyle w:val="TableText0"/>
              <w:keepLines/>
              <w:rPr>
                <w:rFonts w:cs="Calibri"/>
                <w:b/>
                <w:color w:val="000000"/>
                <w:szCs w:val="22"/>
              </w:rPr>
            </w:pPr>
            <w:r w:rsidRPr="00DD5C8A">
              <w:rPr>
                <w:bCs w:val="0"/>
                <w:szCs w:val="20"/>
              </w:rPr>
              <w:t>PBS cost-offsets with amino acid-based formula</w:t>
            </w:r>
          </w:p>
        </w:tc>
        <w:tc>
          <w:tcPr>
            <w:tcW w:w="990" w:type="pct"/>
          </w:tcPr>
          <w:p w:rsidR="006011CF" w:rsidRPr="00DD5C8A" w:rsidRDefault="006011CF" w:rsidP="00697D22">
            <w:pPr>
              <w:pStyle w:val="TableText0"/>
              <w:keepLines/>
              <w:rPr>
                <w:rFonts w:cs="Calibri"/>
                <w:b/>
                <w:color w:val="000000"/>
                <w:szCs w:val="22"/>
              </w:rPr>
            </w:pPr>
            <w:r w:rsidRPr="00DD5C8A">
              <w:rPr>
                <w:szCs w:val="20"/>
              </w:rPr>
              <w:t>$10.15</w:t>
            </w:r>
          </w:p>
        </w:tc>
        <w:tc>
          <w:tcPr>
            <w:tcW w:w="989" w:type="pct"/>
          </w:tcPr>
          <w:p w:rsidR="006011CF" w:rsidRPr="00DD5C8A" w:rsidRDefault="006011CF" w:rsidP="00697D22">
            <w:pPr>
              <w:pStyle w:val="TableText0"/>
              <w:keepLines/>
              <w:rPr>
                <w:rFonts w:cs="Calibri"/>
                <w:b/>
                <w:color w:val="000000"/>
                <w:szCs w:val="22"/>
              </w:rPr>
            </w:pPr>
            <w:r w:rsidRPr="00DD5C8A">
              <w:rPr>
                <w:szCs w:val="20"/>
              </w:rPr>
              <w:t>$0.58</w:t>
            </w:r>
          </w:p>
        </w:tc>
        <w:tc>
          <w:tcPr>
            <w:tcW w:w="990" w:type="pct"/>
          </w:tcPr>
          <w:p w:rsidR="006011CF" w:rsidRPr="00DD5C8A" w:rsidRDefault="006011CF" w:rsidP="00697D22">
            <w:pPr>
              <w:pStyle w:val="TableText0"/>
              <w:keepLines/>
              <w:rPr>
                <w:rFonts w:cs="Calibri"/>
                <w:b/>
                <w:color w:val="000000"/>
                <w:szCs w:val="22"/>
              </w:rPr>
            </w:pPr>
            <w:r w:rsidRPr="00DD5C8A">
              <w:rPr>
                <w:szCs w:val="20"/>
              </w:rPr>
              <w:t>$8.78</w:t>
            </w:r>
          </w:p>
        </w:tc>
      </w:tr>
      <w:tr w:rsidR="006011CF" w:rsidRPr="00DD5C8A" w:rsidTr="00697D22">
        <w:tc>
          <w:tcPr>
            <w:tcW w:w="2031" w:type="pct"/>
            <w:gridSpan w:val="2"/>
          </w:tcPr>
          <w:p w:rsidR="006011CF" w:rsidRPr="00DD5C8A" w:rsidRDefault="006011CF" w:rsidP="00697D22">
            <w:pPr>
              <w:pStyle w:val="TableText0"/>
              <w:keepLines/>
              <w:rPr>
                <w:rFonts w:cs="Calibri"/>
                <w:b/>
                <w:color w:val="000000"/>
                <w:szCs w:val="22"/>
              </w:rPr>
            </w:pPr>
            <w:r w:rsidRPr="00DD5C8A">
              <w:rPr>
                <w:bCs w:val="0"/>
                <w:szCs w:val="20"/>
              </w:rPr>
              <w:t>Non-PBS cost-offsets  with amino acid-based formula</w:t>
            </w:r>
          </w:p>
        </w:tc>
        <w:tc>
          <w:tcPr>
            <w:tcW w:w="990" w:type="pct"/>
          </w:tcPr>
          <w:p w:rsidR="006011CF" w:rsidRPr="00DD5C8A" w:rsidRDefault="006011CF" w:rsidP="00697D22">
            <w:pPr>
              <w:pStyle w:val="TableText0"/>
              <w:keepLines/>
              <w:rPr>
                <w:rFonts w:cs="Calibri"/>
                <w:b/>
                <w:color w:val="000000"/>
                <w:szCs w:val="22"/>
              </w:rPr>
            </w:pPr>
            <w:r w:rsidRPr="00DD5C8A">
              <w:rPr>
                <w:szCs w:val="20"/>
              </w:rPr>
              <w:t>$48.30</w:t>
            </w:r>
          </w:p>
        </w:tc>
        <w:tc>
          <w:tcPr>
            <w:tcW w:w="989" w:type="pct"/>
          </w:tcPr>
          <w:p w:rsidR="006011CF" w:rsidRPr="00DD5C8A" w:rsidRDefault="006011CF" w:rsidP="00697D22">
            <w:pPr>
              <w:pStyle w:val="TableText0"/>
              <w:keepLines/>
              <w:rPr>
                <w:rFonts w:cs="Calibri"/>
                <w:b/>
                <w:color w:val="000000"/>
                <w:szCs w:val="22"/>
              </w:rPr>
            </w:pPr>
            <w:r w:rsidRPr="00DD5C8A">
              <w:rPr>
                <w:szCs w:val="20"/>
              </w:rPr>
              <w:t>$81.79</w:t>
            </w:r>
          </w:p>
        </w:tc>
        <w:tc>
          <w:tcPr>
            <w:tcW w:w="990" w:type="pct"/>
          </w:tcPr>
          <w:p w:rsidR="006011CF" w:rsidRPr="00DD5C8A" w:rsidRDefault="006011CF" w:rsidP="00697D22">
            <w:pPr>
              <w:pStyle w:val="TableText0"/>
              <w:keepLines/>
              <w:rPr>
                <w:rFonts w:cs="Calibri"/>
                <w:b/>
                <w:color w:val="000000"/>
                <w:szCs w:val="22"/>
              </w:rPr>
            </w:pPr>
            <w:r w:rsidRPr="00DD5C8A">
              <w:rPr>
                <w:szCs w:val="20"/>
              </w:rPr>
              <w:t>$56.67</w:t>
            </w:r>
          </w:p>
        </w:tc>
      </w:tr>
      <w:tr w:rsidR="006011CF" w:rsidRPr="00DD5C8A" w:rsidTr="00697D22">
        <w:tc>
          <w:tcPr>
            <w:tcW w:w="2031" w:type="pct"/>
            <w:gridSpan w:val="2"/>
            <w:shd w:val="clear" w:color="auto" w:fill="FFFFFF" w:themeFill="background1"/>
          </w:tcPr>
          <w:p w:rsidR="006011CF" w:rsidRPr="00DD5C8A" w:rsidRDefault="006011CF" w:rsidP="00697D22">
            <w:pPr>
              <w:pStyle w:val="TableText0"/>
              <w:keepLines/>
              <w:rPr>
                <w:rFonts w:cs="Calibri"/>
                <w:b/>
                <w:color w:val="000000"/>
                <w:szCs w:val="22"/>
              </w:rPr>
            </w:pPr>
            <w:r w:rsidRPr="00DD5C8A">
              <w:rPr>
                <w:bCs w:val="0"/>
                <w:szCs w:val="20"/>
              </w:rPr>
              <w:t>Extra cost with use of KetoVie Peptide (per day)</w:t>
            </w:r>
          </w:p>
        </w:tc>
        <w:tc>
          <w:tcPr>
            <w:tcW w:w="990" w:type="pct"/>
            <w:shd w:val="clear" w:color="auto" w:fill="FFFFFF" w:themeFill="background1"/>
          </w:tcPr>
          <w:p w:rsidR="006011CF" w:rsidRPr="00DD5C8A" w:rsidRDefault="006011CF" w:rsidP="00697D22">
            <w:pPr>
              <w:pStyle w:val="TableText0"/>
              <w:keepLines/>
              <w:rPr>
                <w:rFonts w:cs="Calibri"/>
                <w:b/>
                <w:color w:val="000000"/>
                <w:szCs w:val="22"/>
              </w:rPr>
            </w:pPr>
            <w:r w:rsidRPr="00DD5C8A">
              <w:rPr>
                <w:szCs w:val="20"/>
              </w:rPr>
              <w:t>$</w:t>
            </w:r>
            <w:r w:rsidR="007F70B9">
              <w:rPr>
                <w:noProof/>
                <w:color w:val="000000"/>
                <w:szCs w:val="20"/>
                <w:highlight w:val="black"/>
              </w:rPr>
              <w:t>''''''''''''''</w:t>
            </w:r>
          </w:p>
        </w:tc>
        <w:tc>
          <w:tcPr>
            <w:tcW w:w="989" w:type="pct"/>
            <w:shd w:val="clear" w:color="auto" w:fill="FFFFFF" w:themeFill="background1"/>
          </w:tcPr>
          <w:p w:rsidR="006011CF" w:rsidRPr="00DD5C8A" w:rsidRDefault="006011CF" w:rsidP="00697D22">
            <w:pPr>
              <w:pStyle w:val="TableText0"/>
              <w:keepLines/>
              <w:rPr>
                <w:rFonts w:cs="Calibri"/>
                <w:b/>
                <w:color w:val="000000"/>
                <w:szCs w:val="22"/>
              </w:rPr>
            </w:pPr>
            <w:r w:rsidRPr="00DD5C8A">
              <w:rPr>
                <w:szCs w:val="20"/>
              </w:rPr>
              <w:t>-$</w:t>
            </w:r>
            <w:r w:rsidR="007F70B9">
              <w:rPr>
                <w:noProof/>
                <w:color w:val="000000"/>
                <w:szCs w:val="20"/>
                <w:highlight w:val="black"/>
              </w:rPr>
              <w:t>''''''''''''</w:t>
            </w:r>
          </w:p>
        </w:tc>
        <w:tc>
          <w:tcPr>
            <w:tcW w:w="990" w:type="pct"/>
            <w:shd w:val="clear" w:color="auto" w:fill="FFFFFF" w:themeFill="background1"/>
          </w:tcPr>
          <w:p w:rsidR="006011CF" w:rsidRPr="00DD5C8A" w:rsidRDefault="006011CF" w:rsidP="00697D22">
            <w:pPr>
              <w:pStyle w:val="TableText0"/>
              <w:keepLines/>
              <w:rPr>
                <w:rFonts w:cs="Calibri"/>
                <w:b/>
                <w:color w:val="000000"/>
                <w:szCs w:val="22"/>
              </w:rPr>
            </w:pPr>
            <w:r w:rsidRPr="00DD5C8A">
              <w:rPr>
                <w:b/>
                <w:szCs w:val="20"/>
              </w:rPr>
              <w:t>$</w:t>
            </w:r>
            <w:r w:rsidR="007F70B9">
              <w:rPr>
                <w:b/>
                <w:noProof/>
                <w:color w:val="000000"/>
                <w:szCs w:val="20"/>
                <w:highlight w:val="black"/>
              </w:rPr>
              <w:t>''''''''''</w:t>
            </w:r>
          </w:p>
        </w:tc>
      </w:tr>
    </w:tbl>
    <w:p w:rsidR="006011CF" w:rsidRPr="00DD5C8A" w:rsidRDefault="006011CF" w:rsidP="006011CF">
      <w:pPr>
        <w:pStyle w:val="TableFigureFooter"/>
      </w:pPr>
      <w:r w:rsidRPr="00DD5C8A">
        <w:t>Source: Table 1.5 of the submission, p8 of the submission &amp; Table 3.2, p16 of the submission.</w:t>
      </w:r>
    </w:p>
    <w:p w:rsidR="006011CF" w:rsidRPr="00DD5C8A" w:rsidRDefault="006011CF" w:rsidP="006011CF">
      <w:pPr>
        <w:pStyle w:val="TableFigureFooter"/>
      </w:pPr>
      <w:r w:rsidRPr="00DD5C8A">
        <w:t>* Proposed AEMP is $</w:t>
      </w:r>
      <w:r w:rsidR="007F70B9">
        <w:rPr>
          <w:noProof/>
          <w:color w:val="000000"/>
          <w:highlight w:val="black"/>
        </w:rPr>
        <w:t>'''''''''''''''''</w:t>
      </w:r>
      <w:r w:rsidRPr="00DD5C8A">
        <w:t xml:space="preserve"> for 250 mL x 30 cartons. This equates to a DPMQ of $</w:t>
      </w:r>
      <w:r w:rsidR="007F70B9">
        <w:rPr>
          <w:noProof/>
          <w:color w:val="000000"/>
          <w:highlight w:val="black"/>
        </w:rPr>
        <w:t>''''''''''''''''''''</w:t>
      </w:r>
      <w:r w:rsidRPr="00DD5C8A">
        <w:t xml:space="preserve"> for the PBS Maximum quantity of 6. Formula 1 provides the same energy per day as 1,280 mL of KetoVie Peptide 4:1 (with assumed use 1,250 mL for practical use of 250 mL cartons), Formula 2 provides the same energy as 1000 mL per day of KetoVie Peptide 4:1.</w:t>
      </w:r>
    </w:p>
    <w:p w:rsidR="006011CF" w:rsidRPr="00DD5C8A" w:rsidRDefault="006011CF" w:rsidP="006011CF">
      <w:pPr>
        <w:pStyle w:val="TableFigureFooter"/>
      </w:pPr>
      <w:r w:rsidRPr="00DD5C8A">
        <w:t>** weighted used is 75% for Formula 1 and 25% for formula 2</w:t>
      </w:r>
    </w:p>
    <w:p w:rsidR="008E3856" w:rsidRPr="00DD5C8A" w:rsidRDefault="008E3856" w:rsidP="008E3856">
      <w:pPr>
        <w:pStyle w:val="3Bodytext"/>
        <w:numPr>
          <w:ilvl w:val="0"/>
          <w:numId w:val="0"/>
        </w:numPr>
        <w:ind w:left="720"/>
        <w:rPr>
          <w:rFonts w:ascii="Calibri" w:eastAsia="Times New Roman" w:hAnsi="Calibri" w:cs="Times New Roman"/>
          <w:i/>
          <w:szCs w:val="24"/>
        </w:rPr>
      </w:pPr>
      <w:r w:rsidRPr="00DD5C8A">
        <w:rPr>
          <w:rFonts w:ascii="Calibri" w:eastAsia="Times New Roman" w:hAnsi="Calibri" w:cs="Times New Roman"/>
          <w:i/>
          <w:szCs w:val="24"/>
        </w:rPr>
        <w:t>For more detail on PBAC’s view, see section 7 PBAC outcome</w:t>
      </w:r>
      <w:r w:rsidR="00DD5C8A">
        <w:rPr>
          <w:rFonts w:ascii="Calibri" w:eastAsia="Times New Roman" w:hAnsi="Calibri" w:cs="Times New Roman"/>
          <w:i/>
          <w:szCs w:val="24"/>
        </w:rPr>
        <w:t xml:space="preserve">. </w:t>
      </w:r>
    </w:p>
    <w:p w:rsidR="00C27C1C" w:rsidRPr="00DD5C8A" w:rsidRDefault="00C27C1C" w:rsidP="005107A3">
      <w:pPr>
        <w:pStyle w:val="2-SectionHeading"/>
      </w:pPr>
      <w:r w:rsidRPr="00DD5C8A">
        <w:t>Consideration of the evidence</w:t>
      </w:r>
    </w:p>
    <w:p w:rsidR="00DF7B81" w:rsidRPr="00DD5C8A" w:rsidRDefault="00DF7B81" w:rsidP="00DF7B81">
      <w:pPr>
        <w:pStyle w:val="4-SubsectionHeading"/>
      </w:pPr>
      <w:r w:rsidRPr="00DD5C8A">
        <w:t>Sponsor hearing</w:t>
      </w:r>
    </w:p>
    <w:p w:rsidR="00DF7B81" w:rsidRPr="00DD5C8A" w:rsidRDefault="00DF7B81" w:rsidP="00DF7B81">
      <w:pPr>
        <w:numPr>
          <w:ilvl w:val="1"/>
          <w:numId w:val="3"/>
        </w:numPr>
        <w:spacing w:after="120"/>
        <w:ind w:left="720"/>
      </w:pPr>
      <w:r w:rsidRPr="00DD5C8A">
        <w:t>There was no hearing for this item.</w:t>
      </w:r>
    </w:p>
    <w:p w:rsidR="00DF7B81" w:rsidRPr="00DD5C8A" w:rsidRDefault="00DF7B81" w:rsidP="00DF7B81">
      <w:pPr>
        <w:pStyle w:val="4-SubsectionHeading"/>
      </w:pPr>
      <w:r w:rsidRPr="00DD5C8A">
        <w:t>Consumer comments</w:t>
      </w:r>
    </w:p>
    <w:p w:rsidR="00DF7B81" w:rsidRPr="00DD5C8A" w:rsidRDefault="00DF7B81" w:rsidP="00DF7B81">
      <w:pPr>
        <w:numPr>
          <w:ilvl w:val="1"/>
          <w:numId w:val="3"/>
        </w:numPr>
        <w:spacing w:after="120"/>
        <w:ind w:left="720"/>
      </w:pPr>
      <w:r w:rsidRPr="00DD5C8A">
        <w:t xml:space="preserve">The PBAC noted that </w:t>
      </w:r>
      <w:r w:rsidR="00DD5C8A">
        <w:t xml:space="preserve">this item received </w:t>
      </w:r>
      <w:r w:rsidRPr="00DD5C8A">
        <w:t>no consumer comments.</w:t>
      </w:r>
    </w:p>
    <w:p w:rsidR="00B15590" w:rsidRPr="00DD5C8A" w:rsidRDefault="00B15590" w:rsidP="00B15590">
      <w:pPr>
        <w:pStyle w:val="4-SubsectionHeading"/>
        <w:rPr>
          <w:lang w:eastAsia="en-US"/>
        </w:rPr>
      </w:pPr>
      <w:r w:rsidRPr="00DD5C8A">
        <w:rPr>
          <w:lang w:eastAsia="en-US"/>
        </w:rPr>
        <w:t>Clinical claim</w:t>
      </w:r>
    </w:p>
    <w:p w:rsidR="00D00642" w:rsidRPr="00DD5C8A" w:rsidRDefault="00B15590" w:rsidP="00FB6BCF">
      <w:pPr>
        <w:pStyle w:val="3Bodytext"/>
        <w:rPr>
          <w:lang w:eastAsia="en-US"/>
        </w:rPr>
      </w:pPr>
      <w:r w:rsidRPr="00DD5C8A">
        <w:rPr>
          <w:snapToGrid w:val="0"/>
        </w:rPr>
        <w:t xml:space="preserve">The submission claimed non-inferior comparative effectiveness and </w:t>
      </w:r>
      <w:bookmarkStart w:id="6" w:name="_Hlk76991111"/>
      <w:r w:rsidRPr="00DD5C8A">
        <w:rPr>
          <w:snapToGrid w:val="0"/>
        </w:rPr>
        <w:t xml:space="preserve">safety of KetoVie Peptide 4:1 compared with </w:t>
      </w:r>
      <w:r w:rsidR="007660AB" w:rsidRPr="00DD5C8A">
        <w:rPr>
          <w:snapToGrid w:val="0"/>
        </w:rPr>
        <w:t>Formulation 1 and Formulation</w:t>
      </w:r>
      <w:r w:rsidR="00CF08B9" w:rsidRPr="00DD5C8A">
        <w:rPr>
          <w:snapToGrid w:val="0"/>
        </w:rPr>
        <w:t xml:space="preserve"> 2</w:t>
      </w:r>
      <w:bookmarkEnd w:id="6"/>
      <w:r w:rsidR="00DD5C8A">
        <w:rPr>
          <w:snapToGrid w:val="0"/>
        </w:rPr>
        <w:t xml:space="preserve">. </w:t>
      </w:r>
    </w:p>
    <w:p w:rsidR="00D57286" w:rsidRPr="00DD5C8A" w:rsidRDefault="00D57286" w:rsidP="00304A92">
      <w:pPr>
        <w:pStyle w:val="4-SubsectionHeading"/>
        <w:rPr>
          <w:lang w:eastAsia="en-US"/>
        </w:rPr>
      </w:pPr>
      <w:r w:rsidRPr="00DD5C8A">
        <w:rPr>
          <w:lang w:eastAsia="en-US"/>
        </w:rPr>
        <w:t>Product</w:t>
      </w:r>
      <w:r w:rsidR="00FE2BB4" w:rsidRPr="00DD5C8A">
        <w:rPr>
          <w:lang w:eastAsia="en-US"/>
        </w:rPr>
        <w:t xml:space="preserve"> cost/patient/</w:t>
      </w:r>
      <w:r w:rsidRPr="00DD5C8A">
        <w:rPr>
          <w:lang w:eastAsia="en-US"/>
        </w:rPr>
        <w:t>year: $</w:t>
      </w:r>
      <w:r w:rsidR="007F70B9">
        <w:rPr>
          <w:noProof/>
          <w:color w:val="000000"/>
          <w:highlight w:val="black"/>
          <w:lang w:eastAsia="en-US"/>
        </w:rPr>
        <w:t>'''''''''''''''''</w:t>
      </w:r>
      <w:r w:rsidRPr="00DD5C8A">
        <w:rPr>
          <w:lang w:eastAsia="en-US"/>
        </w:rPr>
        <w:t xml:space="preserve"> </w:t>
      </w:r>
    </w:p>
    <w:p w:rsidR="00B15590" w:rsidRPr="00DD5C8A" w:rsidRDefault="00B15590" w:rsidP="00FD62E8">
      <w:pPr>
        <w:pStyle w:val="3Bodytext"/>
        <w:rPr>
          <w:iCs/>
          <w:szCs w:val="24"/>
        </w:rPr>
      </w:pPr>
      <w:r w:rsidRPr="00DD5C8A">
        <w:rPr>
          <w:szCs w:val="24"/>
        </w:rPr>
        <w:t xml:space="preserve">The estimated </w:t>
      </w:r>
      <w:r w:rsidR="00D57286" w:rsidRPr="00DD5C8A">
        <w:rPr>
          <w:szCs w:val="24"/>
        </w:rPr>
        <w:t>product</w:t>
      </w:r>
      <w:r w:rsidRPr="00DD5C8A">
        <w:rPr>
          <w:szCs w:val="24"/>
        </w:rPr>
        <w:t xml:space="preserve"> cost/patient/year would be $</w:t>
      </w:r>
      <w:r w:rsidR="007F70B9">
        <w:rPr>
          <w:noProof/>
          <w:color w:val="000000"/>
          <w:szCs w:val="24"/>
          <w:highlight w:val="black"/>
        </w:rPr>
        <w:t>'''''''''''''''''''</w:t>
      </w:r>
      <w:r w:rsidRPr="00DD5C8A">
        <w:rPr>
          <w:szCs w:val="24"/>
        </w:rPr>
        <w:t xml:space="preserve"> based on 12 prescriptions per year at the </w:t>
      </w:r>
      <w:r w:rsidR="00F901EC" w:rsidRPr="00DD5C8A">
        <w:rPr>
          <w:szCs w:val="24"/>
        </w:rPr>
        <w:t>AEMP</w:t>
      </w:r>
      <w:r w:rsidRPr="00DD5C8A">
        <w:rPr>
          <w:szCs w:val="24"/>
        </w:rPr>
        <w:t xml:space="preserve"> of $</w:t>
      </w:r>
      <w:r w:rsidR="007F70B9">
        <w:rPr>
          <w:noProof/>
          <w:color w:val="000000"/>
          <w:szCs w:val="24"/>
          <w:highlight w:val="black"/>
        </w:rPr>
        <w:t>''''''''''''</w:t>
      </w:r>
      <w:r w:rsidRPr="00DD5C8A">
        <w:rPr>
          <w:szCs w:val="24"/>
        </w:rPr>
        <w:t xml:space="preserve">. </w:t>
      </w:r>
      <w:r w:rsidRPr="00DD5C8A">
        <w:rPr>
          <w:iCs/>
          <w:szCs w:val="24"/>
        </w:rPr>
        <w:t xml:space="preserve">The actual cost will vary due to variations in individual patient needs. </w:t>
      </w:r>
    </w:p>
    <w:p w:rsidR="00D57286" w:rsidRPr="00DD5C8A" w:rsidRDefault="00D57286" w:rsidP="00304A92">
      <w:pPr>
        <w:pStyle w:val="4-SubsectionHeading"/>
        <w:rPr>
          <w:lang w:eastAsia="en-US"/>
        </w:rPr>
      </w:pPr>
      <w:r w:rsidRPr="00DD5C8A">
        <w:rPr>
          <w:lang w:eastAsia="en-US"/>
        </w:rPr>
        <w:t>Estimated PBS utilisation and financial implications</w:t>
      </w:r>
    </w:p>
    <w:p w:rsidR="00FD62E8" w:rsidRPr="00DD5C8A" w:rsidRDefault="00FD62E8" w:rsidP="00FD62E8">
      <w:pPr>
        <w:pStyle w:val="3Bodytext"/>
        <w:rPr>
          <w:iCs/>
        </w:rPr>
      </w:pPr>
      <w:bookmarkStart w:id="7" w:name="_Hlk77086513"/>
      <w:r w:rsidRPr="00DD5C8A">
        <w:rPr>
          <w:iCs/>
        </w:rPr>
        <w:t xml:space="preserve">The submission no longer </w:t>
      </w:r>
      <w:r w:rsidR="00D26B77">
        <w:rPr>
          <w:iCs/>
        </w:rPr>
        <w:t xml:space="preserve">presented </w:t>
      </w:r>
      <w:r w:rsidRPr="00DD5C8A">
        <w:rPr>
          <w:iCs/>
        </w:rPr>
        <w:t>KetoCal ($0.0042 per kJ of energy) as a comparator. However, it proposed KetoVie Peptide 4:1 at a price of $</w:t>
      </w:r>
      <w:r w:rsidR="007F70B9">
        <w:rPr>
          <w:iCs/>
          <w:noProof/>
          <w:color w:val="000000"/>
          <w:highlight w:val="black"/>
        </w:rPr>
        <w:t>'''''''''''''</w:t>
      </w:r>
      <w:r w:rsidRPr="00DD5C8A">
        <w:rPr>
          <w:iCs/>
        </w:rPr>
        <w:t xml:space="preserve"> per kJ of energy that is still 100% more than the </w:t>
      </w:r>
      <w:r w:rsidR="00D26B77">
        <w:rPr>
          <w:iCs/>
        </w:rPr>
        <w:t xml:space="preserve">price based on </w:t>
      </w:r>
      <w:r w:rsidRPr="00DD5C8A">
        <w:rPr>
          <w:iCs/>
        </w:rPr>
        <w:t>PBAC</w:t>
      </w:r>
      <w:r w:rsidR="00D26B77">
        <w:rPr>
          <w:iCs/>
        </w:rPr>
        <w:t>’s</w:t>
      </w:r>
      <w:r w:rsidRPr="00DD5C8A">
        <w:rPr>
          <w:iCs/>
        </w:rPr>
        <w:t xml:space="preserve"> recommend</w:t>
      </w:r>
      <w:r w:rsidR="00D26B77">
        <w:rPr>
          <w:iCs/>
        </w:rPr>
        <w:t>ation of cost-mi</w:t>
      </w:r>
      <w:r w:rsidR="00160A1B">
        <w:rPr>
          <w:iCs/>
        </w:rPr>
        <w:t>ni</w:t>
      </w:r>
      <w:r w:rsidR="00D26B77">
        <w:rPr>
          <w:iCs/>
        </w:rPr>
        <w:t>misation to KetoCal</w:t>
      </w:r>
      <w:r w:rsidRPr="00DD5C8A">
        <w:rPr>
          <w:iCs/>
        </w:rPr>
        <w:t xml:space="preserve">. The proposed price is also significantly higher than the other peptide-based formulas on the PBS, e.g. Nutrini Peptisorb ($0.0047 per kJ) and Nestle Peptamen Junior ($0.0047 per kJ). </w:t>
      </w:r>
    </w:p>
    <w:p w:rsidR="00B15590" w:rsidRPr="00DD5C8A" w:rsidRDefault="00B15590" w:rsidP="00B15590">
      <w:pPr>
        <w:pStyle w:val="3Bodytext"/>
        <w:jc w:val="both"/>
        <w:rPr>
          <w:szCs w:val="24"/>
        </w:rPr>
      </w:pPr>
      <w:bookmarkStart w:id="8" w:name="_Hlk77086826"/>
      <w:bookmarkEnd w:id="7"/>
      <w:r w:rsidRPr="00DD5C8A">
        <w:rPr>
          <w:szCs w:val="24"/>
        </w:rPr>
        <w:t>The</w:t>
      </w:r>
      <w:r w:rsidR="00C019B9" w:rsidRPr="00DD5C8A">
        <w:rPr>
          <w:szCs w:val="24"/>
        </w:rPr>
        <w:t xml:space="preserve"> submission stated that the</w:t>
      </w:r>
      <w:r w:rsidRPr="00DD5C8A">
        <w:rPr>
          <w:szCs w:val="24"/>
        </w:rPr>
        <w:t xml:space="preserve"> estimated use and financial implications were the same as the November 2020 submission. </w:t>
      </w:r>
    </w:p>
    <w:bookmarkEnd w:id="8"/>
    <w:p w:rsidR="00C019B9" w:rsidRPr="00DD5C8A" w:rsidRDefault="00B15590" w:rsidP="00373961">
      <w:pPr>
        <w:pStyle w:val="3Bodytext"/>
        <w:rPr>
          <w:szCs w:val="24"/>
        </w:rPr>
      </w:pPr>
      <w:r w:rsidRPr="00DD5C8A">
        <w:t xml:space="preserve">The submission estimated a net cost to the PBS of </w:t>
      </w:r>
      <w:r w:rsidR="00373961" w:rsidRPr="00373961">
        <w:t>$0 to &lt; $10 million</w:t>
      </w:r>
      <w:r w:rsidR="00373961">
        <w:t xml:space="preserve"> </w:t>
      </w:r>
      <w:r w:rsidRPr="00DD5C8A">
        <w:t xml:space="preserve">in Year 6 of listing, with a total net cost to the PBS of </w:t>
      </w:r>
      <w:r w:rsidR="00373961" w:rsidRPr="00373961">
        <w:t>$0 to &lt; $10 million</w:t>
      </w:r>
      <w:r w:rsidR="00373961">
        <w:t xml:space="preserve"> </w:t>
      </w:r>
      <w:r w:rsidRPr="00DD5C8A">
        <w:t xml:space="preserve">over the first 6 years of listing. This is summarised in Table 2. </w:t>
      </w:r>
    </w:p>
    <w:p w:rsidR="00C019B9" w:rsidRPr="00DD5C8A" w:rsidRDefault="00B15590" w:rsidP="00C019B9">
      <w:pPr>
        <w:pStyle w:val="3Bodytext"/>
        <w:rPr>
          <w:iCs/>
        </w:rPr>
      </w:pPr>
      <w:r w:rsidRPr="00DD5C8A">
        <w:t xml:space="preserve">The submission considered KetoVie Peptide 4:1 would not replace KetoCal product but KetoVie Peptide 4:1 would be expected to replace use of the non-PBS amino acid-based formulations. </w:t>
      </w:r>
      <w:r w:rsidR="00DD5C8A">
        <w:t xml:space="preserve">The financial estimates in this submission do not reflect this </w:t>
      </w:r>
      <w:r w:rsidRPr="00DD5C8A">
        <w:rPr>
          <w:iCs/>
        </w:rPr>
        <w:t>consideration</w:t>
      </w:r>
      <w:r w:rsidR="00546193" w:rsidRPr="00DD5C8A">
        <w:rPr>
          <w:iCs/>
        </w:rPr>
        <w:t xml:space="preserve">. </w:t>
      </w:r>
    </w:p>
    <w:p w:rsidR="006011CF" w:rsidRPr="00DD5C8A" w:rsidRDefault="006011CF">
      <w:pPr>
        <w:jc w:val="left"/>
        <w:rPr>
          <w:rFonts w:asciiTheme="minorHAnsi" w:eastAsiaTheme="minorHAnsi" w:hAnsiTheme="minorHAnsi" w:cstheme="minorBidi"/>
          <w:szCs w:val="22"/>
        </w:rPr>
      </w:pPr>
      <w:r w:rsidRPr="00DD5C8A">
        <w:br w:type="page"/>
      </w:r>
    </w:p>
    <w:p w:rsidR="006011CF" w:rsidRPr="00DD5C8A" w:rsidRDefault="006011CF" w:rsidP="006011CF">
      <w:pPr>
        <w:pStyle w:val="TableHeading"/>
      </w:pPr>
      <w:r w:rsidRPr="00DD5C8A">
        <w:rPr>
          <w:rStyle w:val="CommentReference"/>
          <w:sz w:val="20"/>
          <w:szCs w:val="22"/>
        </w:rPr>
        <w:t>Table</w:t>
      </w:r>
      <w:r w:rsidRPr="00DD5C8A">
        <w:rPr>
          <w:rFonts w:eastAsiaTheme="majorEastAsia"/>
        </w:rPr>
        <w:t xml:space="preserve"> 2: </w:t>
      </w:r>
      <w:r w:rsidRPr="00DD5C8A">
        <w:rPr>
          <w:rStyle w:val="CommentReference"/>
          <w:sz w:val="20"/>
          <w:szCs w:val="22"/>
        </w:rPr>
        <w:t>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6011CF" w:rsidRPr="00DD5C8A" w:rsidTr="00697D22">
        <w:trPr>
          <w:tblHeader/>
          <w:jc w:val="center"/>
        </w:trPr>
        <w:tc>
          <w:tcPr>
            <w:tcW w:w="1118" w:type="pct"/>
            <w:shd w:val="clear" w:color="auto" w:fill="auto"/>
            <w:vAlign w:val="center"/>
          </w:tcPr>
          <w:p w:rsidR="006011CF" w:rsidRPr="00DD5C8A" w:rsidRDefault="006011CF" w:rsidP="00697D22">
            <w:pPr>
              <w:pStyle w:val="TableText0"/>
            </w:pPr>
          </w:p>
        </w:tc>
        <w:tc>
          <w:tcPr>
            <w:tcW w:w="647" w:type="pct"/>
            <w:shd w:val="clear" w:color="auto" w:fill="auto"/>
            <w:vAlign w:val="center"/>
          </w:tcPr>
          <w:p w:rsidR="006011CF" w:rsidRPr="00DD5C8A" w:rsidRDefault="006011CF" w:rsidP="00697D22">
            <w:pPr>
              <w:pStyle w:val="TableText0"/>
              <w:jc w:val="center"/>
              <w:rPr>
                <w:b/>
              </w:rPr>
            </w:pPr>
            <w:r w:rsidRPr="00DD5C8A">
              <w:rPr>
                <w:b/>
              </w:rPr>
              <w:t>Year 1</w:t>
            </w:r>
          </w:p>
        </w:tc>
        <w:tc>
          <w:tcPr>
            <w:tcW w:w="647" w:type="pct"/>
            <w:shd w:val="clear" w:color="auto" w:fill="auto"/>
            <w:vAlign w:val="center"/>
          </w:tcPr>
          <w:p w:rsidR="006011CF" w:rsidRPr="00DD5C8A" w:rsidRDefault="006011CF" w:rsidP="00697D22">
            <w:pPr>
              <w:pStyle w:val="TableText0"/>
              <w:jc w:val="center"/>
              <w:rPr>
                <w:b/>
              </w:rPr>
            </w:pPr>
            <w:r w:rsidRPr="00DD5C8A">
              <w:rPr>
                <w:b/>
              </w:rPr>
              <w:t>Year 2</w:t>
            </w:r>
          </w:p>
        </w:tc>
        <w:tc>
          <w:tcPr>
            <w:tcW w:w="647" w:type="pct"/>
            <w:shd w:val="clear" w:color="auto" w:fill="auto"/>
            <w:vAlign w:val="center"/>
          </w:tcPr>
          <w:p w:rsidR="006011CF" w:rsidRPr="00DD5C8A" w:rsidRDefault="006011CF" w:rsidP="00697D22">
            <w:pPr>
              <w:pStyle w:val="TableText0"/>
              <w:jc w:val="center"/>
              <w:rPr>
                <w:b/>
              </w:rPr>
            </w:pPr>
            <w:r w:rsidRPr="00DD5C8A">
              <w:rPr>
                <w:b/>
              </w:rPr>
              <w:t>Year 3</w:t>
            </w:r>
          </w:p>
        </w:tc>
        <w:tc>
          <w:tcPr>
            <w:tcW w:w="647" w:type="pct"/>
            <w:shd w:val="clear" w:color="auto" w:fill="auto"/>
            <w:vAlign w:val="center"/>
          </w:tcPr>
          <w:p w:rsidR="006011CF" w:rsidRPr="00DD5C8A" w:rsidRDefault="006011CF" w:rsidP="00697D22">
            <w:pPr>
              <w:pStyle w:val="TableText0"/>
              <w:jc w:val="center"/>
              <w:rPr>
                <w:b/>
              </w:rPr>
            </w:pPr>
            <w:r w:rsidRPr="00DD5C8A">
              <w:rPr>
                <w:b/>
              </w:rPr>
              <w:t>Year 4</w:t>
            </w:r>
          </w:p>
        </w:tc>
        <w:tc>
          <w:tcPr>
            <w:tcW w:w="647" w:type="pct"/>
            <w:shd w:val="clear" w:color="auto" w:fill="auto"/>
            <w:vAlign w:val="center"/>
          </w:tcPr>
          <w:p w:rsidR="006011CF" w:rsidRPr="00DD5C8A" w:rsidRDefault="006011CF" w:rsidP="00697D22">
            <w:pPr>
              <w:pStyle w:val="TableText0"/>
              <w:jc w:val="center"/>
              <w:rPr>
                <w:b/>
              </w:rPr>
            </w:pPr>
            <w:r w:rsidRPr="00DD5C8A">
              <w:rPr>
                <w:b/>
              </w:rPr>
              <w:t>Year 5</w:t>
            </w:r>
          </w:p>
        </w:tc>
        <w:tc>
          <w:tcPr>
            <w:tcW w:w="647" w:type="pct"/>
          </w:tcPr>
          <w:p w:rsidR="006011CF" w:rsidRPr="00DD5C8A" w:rsidRDefault="006011CF" w:rsidP="00697D22">
            <w:pPr>
              <w:pStyle w:val="TableText0"/>
              <w:jc w:val="center"/>
              <w:rPr>
                <w:b/>
              </w:rPr>
            </w:pPr>
            <w:r w:rsidRPr="00DD5C8A">
              <w:rPr>
                <w:b/>
              </w:rPr>
              <w:t>Year 6</w:t>
            </w:r>
          </w:p>
        </w:tc>
      </w:tr>
      <w:tr w:rsidR="006011CF" w:rsidRPr="00DD5C8A" w:rsidTr="00697D22">
        <w:trPr>
          <w:jc w:val="center"/>
        </w:trPr>
        <w:tc>
          <w:tcPr>
            <w:tcW w:w="5000" w:type="pct"/>
            <w:gridSpan w:val="7"/>
            <w:shd w:val="clear" w:color="auto" w:fill="auto"/>
            <w:vAlign w:val="center"/>
          </w:tcPr>
          <w:p w:rsidR="006011CF" w:rsidRPr="00DD5C8A" w:rsidRDefault="006011CF" w:rsidP="00697D22">
            <w:pPr>
              <w:pStyle w:val="TableText0"/>
              <w:rPr>
                <w:b/>
                <w:color w:val="000000"/>
              </w:rPr>
            </w:pPr>
            <w:r w:rsidRPr="00DD5C8A">
              <w:rPr>
                <w:b/>
                <w:color w:val="000000"/>
              </w:rPr>
              <w:t>Estimated extent of use</w:t>
            </w:r>
          </w:p>
        </w:tc>
      </w:tr>
      <w:tr w:rsidR="006011CF" w:rsidRPr="00DD5C8A" w:rsidTr="00697D22">
        <w:trPr>
          <w:jc w:val="center"/>
        </w:trPr>
        <w:tc>
          <w:tcPr>
            <w:tcW w:w="1118" w:type="pct"/>
            <w:shd w:val="clear" w:color="auto" w:fill="auto"/>
            <w:vAlign w:val="center"/>
          </w:tcPr>
          <w:p w:rsidR="006011CF" w:rsidRPr="00DD5C8A" w:rsidRDefault="006011CF" w:rsidP="00697D22">
            <w:pPr>
              <w:pStyle w:val="TableText0"/>
              <w:rPr>
                <w:vertAlign w:val="superscript"/>
              </w:rPr>
            </w:pPr>
            <w:r w:rsidRPr="00DD5C8A">
              <w:t>Number of scripts dispensed</w:t>
            </w:r>
            <w:r w:rsidRPr="00DD5C8A">
              <w:rPr>
                <w:vertAlign w:val="superscript"/>
              </w:rPr>
              <w:t>a</w:t>
            </w:r>
          </w:p>
        </w:tc>
        <w:tc>
          <w:tcPr>
            <w:tcW w:w="647" w:type="pct"/>
            <w:shd w:val="clear" w:color="auto" w:fill="auto"/>
            <w:vAlign w:val="center"/>
          </w:tcPr>
          <w:p w:rsidR="006011CF" w:rsidRPr="007F70B9" w:rsidRDefault="007F70B9" w:rsidP="00697D22">
            <w:pPr>
              <w:pStyle w:val="TableText0"/>
              <w:jc w:val="right"/>
              <w:rPr>
                <w:color w:val="000000"/>
              </w:rPr>
            </w:pPr>
            <w:r>
              <w:rPr>
                <w:noProof/>
                <w:color w:val="000000"/>
                <w:highlight w:val="black"/>
              </w:rPr>
              <w:t>'''</w:t>
            </w:r>
            <w:r w:rsidR="00373961">
              <w:rPr>
                <w:vertAlign w:val="superscript"/>
              </w:rPr>
              <w:t>1</w:t>
            </w:r>
          </w:p>
        </w:tc>
        <w:tc>
          <w:tcPr>
            <w:tcW w:w="647" w:type="pct"/>
            <w:shd w:val="clear" w:color="auto" w:fill="auto"/>
            <w:vAlign w:val="center"/>
          </w:tcPr>
          <w:p w:rsidR="006011CF" w:rsidRPr="007F70B9" w:rsidRDefault="007F70B9" w:rsidP="00697D22">
            <w:pPr>
              <w:pStyle w:val="TableText0"/>
              <w:jc w:val="right"/>
              <w:rPr>
                <w:color w:val="000000"/>
              </w:rPr>
            </w:pPr>
            <w:r>
              <w:rPr>
                <w:noProof/>
                <w:color w:val="000000"/>
                <w:highlight w:val="black"/>
              </w:rPr>
              <w:t>''''''</w:t>
            </w:r>
            <w:r w:rsidR="00373961">
              <w:rPr>
                <w:vertAlign w:val="superscript"/>
              </w:rPr>
              <w:t>1</w:t>
            </w:r>
          </w:p>
        </w:tc>
        <w:tc>
          <w:tcPr>
            <w:tcW w:w="647" w:type="pct"/>
            <w:shd w:val="clear" w:color="auto" w:fill="auto"/>
            <w:vAlign w:val="center"/>
          </w:tcPr>
          <w:p w:rsidR="006011CF" w:rsidRPr="007F70B9" w:rsidRDefault="007F70B9" w:rsidP="00697D22">
            <w:pPr>
              <w:pStyle w:val="TableText0"/>
              <w:jc w:val="right"/>
              <w:rPr>
                <w:color w:val="000000"/>
              </w:rPr>
            </w:pPr>
            <w:r>
              <w:rPr>
                <w:noProof/>
                <w:color w:val="000000"/>
                <w:highlight w:val="black"/>
              </w:rPr>
              <w:t>''''''</w:t>
            </w:r>
            <w:r w:rsidR="00373961">
              <w:rPr>
                <w:vertAlign w:val="superscript"/>
              </w:rPr>
              <w:t>1</w:t>
            </w:r>
          </w:p>
        </w:tc>
        <w:tc>
          <w:tcPr>
            <w:tcW w:w="647" w:type="pct"/>
            <w:shd w:val="clear" w:color="auto" w:fill="auto"/>
            <w:vAlign w:val="center"/>
          </w:tcPr>
          <w:p w:rsidR="006011CF" w:rsidRPr="007F70B9" w:rsidRDefault="007F70B9" w:rsidP="00697D22">
            <w:pPr>
              <w:pStyle w:val="TableText0"/>
              <w:jc w:val="right"/>
              <w:rPr>
                <w:color w:val="000000"/>
              </w:rPr>
            </w:pPr>
            <w:r>
              <w:rPr>
                <w:noProof/>
                <w:color w:val="000000"/>
                <w:highlight w:val="black"/>
              </w:rPr>
              <w:t>''''''</w:t>
            </w:r>
            <w:r w:rsidR="00373961">
              <w:rPr>
                <w:vertAlign w:val="superscript"/>
              </w:rPr>
              <w:t>1</w:t>
            </w:r>
          </w:p>
        </w:tc>
        <w:tc>
          <w:tcPr>
            <w:tcW w:w="647" w:type="pct"/>
            <w:shd w:val="clear" w:color="auto" w:fill="auto"/>
            <w:vAlign w:val="center"/>
          </w:tcPr>
          <w:p w:rsidR="006011CF" w:rsidRPr="007F70B9" w:rsidRDefault="007F70B9" w:rsidP="00697D22">
            <w:pPr>
              <w:pStyle w:val="TableText0"/>
              <w:jc w:val="right"/>
              <w:rPr>
                <w:color w:val="000000"/>
              </w:rPr>
            </w:pPr>
            <w:r>
              <w:rPr>
                <w:noProof/>
                <w:color w:val="000000"/>
                <w:highlight w:val="black"/>
              </w:rPr>
              <w:t>''''''</w:t>
            </w:r>
            <w:r w:rsidR="00373961">
              <w:rPr>
                <w:vertAlign w:val="superscript"/>
              </w:rPr>
              <w:t>1</w:t>
            </w:r>
          </w:p>
        </w:tc>
        <w:tc>
          <w:tcPr>
            <w:tcW w:w="647" w:type="pct"/>
            <w:vAlign w:val="center"/>
          </w:tcPr>
          <w:p w:rsidR="006011CF" w:rsidRPr="007F70B9" w:rsidRDefault="007F70B9" w:rsidP="00697D22">
            <w:pPr>
              <w:pStyle w:val="TableText0"/>
              <w:jc w:val="right"/>
              <w:rPr>
                <w:color w:val="000000"/>
              </w:rPr>
            </w:pPr>
            <w:r>
              <w:rPr>
                <w:noProof/>
                <w:color w:val="000000"/>
                <w:highlight w:val="black"/>
              </w:rPr>
              <w:t>'''''</w:t>
            </w:r>
            <w:r w:rsidR="00373961">
              <w:rPr>
                <w:vertAlign w:val="superscript"/>
              </w:rPr>
              <w:t>1</w:t>
            </w:r>
          </w:p>
        </w:tc>
      </w:tr>
      <w:tr w:rsidR="006011CF" w:rsidRPr="00DD5C8A" w:rsidTr="00697D22">
        <w:trPr>
          <w:jc w:val="center"/>
        </w:trPr>
        <w:tc>
          <w:tcPr>
            <w:tcW w:w="5000" w:type="pct"/>
            <w:gridSpan w:val="7"/>
            <w:shd w:val="clear" w:color="auto" w:fill="auto"/>
            <w:vAlign w:val="center"/>
          </w:tcPr>
          <w:p w:rsidR="006011CF" w:rsidRPr="00DD5C8A" w:rsidRDefault="006011CF" w:rsidP="00697D22">
            <w:pPr>
              <w:pStyle w:val="TableText0"/>
              <w:rPr>
                <w:b/>
                <w:color w:val="000000"/>
              </w:rPr>
            </w:pPr>
            <w:r w:rsidRPr="00DD5C8A">
              <w:rPr>
                <w:b/>
                <w:color w:val="000000"/>
              </w:rPr>
              <w:t>Nutritional product costs</w:t>
            </w:r>
          </w:p>
        </w:tc>
      </w:tr>
      <w:tr w:rsidR="006011CF" w:rsidRPr="00DD5C8A" w:rsidTr="00697D22">
        <w:trPr>
          <w:jc w:val="center"/>
        </w:trPr>
        <w:tc>
          <w:tcPr>
            <w:tcW w:w="1118" w:type="pct"/>
            <w:shd w:val="clear" w:color="auto" w:fill="auto"/>
            <w:vAlign w:val="center"/>
          </w:tcPr>
          <w:p w:rsidR="006011CF" w:rsidRPr="00DD5C8A" w:rsidRDefault="006011CF">
            <w:pPr>
              <w:pStyle w:val="TableText0"/>
            </w:pPr>
            <w:r w:rsidRPr="00DD5C8A">
              <w:t xml:space="preserve">Cost of nutritional product to PBS </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r>
      <w:tr w:rsidR="006011CF" w:rsidRPr="00DD5C8A" w:rsidTr="00697D22">
        <w:trPr>
          <w:jc w:val="center"/>
        </w:trPr>
        <w:tc>
          <w:tcPr>
            <w:tcW w:w="1118" w:type="pct"/>
            <w:shd w:val="clear" w:color="auto" w:fill="auto"/>
            <w:vAlign w:val="center"/>
          </w:tcPr>
          <w:p w:rsidR="006011CF" w:rsidRPr="00DD5C8A" w:rsidRDefault="006011CF" w:rsidP="00697D22">
            <w:pPr>
              <w:pStyle w:val="TableText0"/>
            </w:pPr>
            <w:r w:rsidRPr="00DD5C8A">
              <w:t>Less patient co-payments</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r>
      <w:tr w:rsidR="006011CF" w:rsidRPr="00DD5C8A" w:rsidTr="00697D22">
        <w:trPr>
          <w:jc w:val="center"/>
        </w:trPr>
        <w:tc>
          <w:tcPr>
            <w:tcW w:w="5000" w:type="pct"/>
            <w:gridSpan w:val="7"/>
            <w:shd w:val="clear" w:color="auto" w:fill="auto"/>
            <w:vAlign w:val="center"/>
          </w:tcPr>
          <w:p w:rsidR="006011CF" w:rsidRPr="00DD5C8A" w:rsidRDefault="006011CF" w:rsidP="00697D22">
            <w:pPr>
              <w:pStyle w:val="TableText0"/>
              <w:rPr>
                <w:b/>
                <w:color w:val="000000"/>
              </w:rPr>
            </w:pPr>
            <w:r w:rsidRPr="00DD5C8A">
              <w:rPr>
                <w:b/>
                <w:color w:val="000000"/>
              </w:rPr>
              <w:t>Estimated net financial implications</w:t>
            </w:r>
          </w:p>
        </w:tc>
      </w:tr>
      <w:tr w:rsidR="006011CF" w:rsidRPr="00DD5C8A" w:rsidTr="00697D22">
        <w:trPr>
          <w:jc w:val="center"/>
        </w:trPr>
        <w:tc>
          <w:tcPr>
            <w:tcW w:w="1118" w:type="pct"/>
            <w:shd w:val="clear" w:color="auto" w:fill="auto"/>
            <w:vAlign w:val="center"/>
          </w:tcPr>
          <w:p w:rsidR="006011CF" w:rsidRPr="00DD5C8A" w:rsidRDefault="006011CF" w:rsidP="00697D22">
            <w:pPr>
              <w:pStyle w:val="TableText0"/>
            </w:pPr>
            <w:r w:rsidRPr="00DD5C8A">
              <w:t>Net cost to PBS</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shd w:val="clear" w:color="auto" w:fill="auto"/>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c>
          <w:tcPr>
            <w:tcW w:w="647" w:type="pct"/>
            <w:vAlign w:val="center"/>
          </w:tcPr>
          <w:p w:rsidR="006011CF" w:rsidRPr="00DD5C8A" w:rsidRDefault="006011CF" w:rsidP="00697D22">
            <w:pPr>
              <w:pStyle w:val="TableText0"/>
              <w:jc w:val="right"/>
              <w:rPr>
                <w:color w:val="000000"/>
              </w:rPr>
            </w:pPr>
            <w:r w:rsidRPr="00DD5C8A">
              <w:t>$</w:t>
            </w:r>
            <w:r w:rsidR="007F70B9">
              <w:rPr>
                <w:noProof/>
                <w:color w:val="000000"/>
                <w:highlight w:val="black"/>
              </w:rPr>
              <w:t>'''''''''''''''</w:t>
            </w:r>
            <w:r w:rsidR="00373961">
              <w:rPr>
                <w:vertAlign w:val="superscript"/>
              </w:rPr>
              <w:t>2</w:t>
            </w:r>
          </w:p>
        </w:tc>
      </w:tr>
    </w:tbl>
    <w:p w:rsidR="006011CF" w:rsidRPr="00DD5C8A" w:rsidRDefault="006011CF" w:rsidP="006011CF">
      <w:pPr>
        <w:pStyle w:val="TableFigureFooter"/>
        <w:keepNext/>
        <w:jc w:val="left"/>
      </w:pPr>
      <w:r w:rsidRPr="00DD5C8A">
        <w:rPr>
          <w:vertAlign w:val="superscript"/>
        </w:rPr>
        <w:t>a</w:t>
      </w:r>
      <w:r w:rsidRPr="00DD5C8A">
        <w:t xml:space="preserve"> Based on past and projected future use of KetoCal, usage of KetoVie Peptide 4:1 has been estimated. It is assumed that all use of KetoVie is adjunctive, i.e. no reduced use of any existing PBS products.</w:t>
      </w:r>
    </w:p>
    <w:p w:rsidR="006011CF" w:rsidRDefault="006011CF" w:rsidP="006011CF">
      <w:pPr>
        <w:pStyle w:val="TableFigureFooter"/>
        <w:keepNext/>
        <w:rPr>
          <w:color w:val="FF0000"/>
        </w:rPr>
      </w:pPr>
      <w:r w:rsidRPr="00DD5C8A">
        <w:t xml:space="preserve">Source: Table 4.7 &amp; Table 4.8 of the submission, p22 of the </w:t>
      </w:r>
      <w:r w:rsidRPr="00373961">
        <w:t>submission</w:t>
      </w:r>
      <w:r w:rsidRPr="00D7758D">
        <w:t>.</w:t>
      </w:r>
    </w:p>
    <w:p w:rsidR="00373961" w:rsidRDefault="00373961" w:rsidP="00373961">
      <w:pPr>
        <w:pStyle w:val="TableFigureFooter"/>
        <w:spacing w:after="0"/>
        <w:contextualSpacing w:val="0"/>
        <w:rPr>
          <w:i/>
        </w:rPr>
      </w:pPr>
      <w:r w:rsidRPr="009868C4">
        <w:rPr>
          <w:i/>
        </w:rPr>
        <w:t>The redacted values correspond to the following ranges</w:t>
      </w:r>
      <w:r>
        <w:rPr>
          <w:i/>
        </w:rPr>
        <w:t xml:space="preserve">: </w:t>
      </w:r>
    </w:p>
    <w:p w:rsidR="00373961" w:rsidRPr="00870C5D" w:rsidRDefault="00373961" w:rsidP="00373961">
      <w:pPr>
        <w:pStyle w:val="TableFigureFooter"/>
        <w:spacing w:after="0"/>
        <w:contextualSpacing w:val="0"/>
      </w:pPr>
      <w:r>
        <w:rPr>
          <w:i/>
          <w:vertAlign w:val="superscript"/>
        </w:rPr>
        <w:t>1</w:t>
      </w:r>
      <w:r>
        <w:rPr>
          <w:i/>
        </w:rPr>
        <w:t xml:space="preserve"> </w:t>
      </w:r>
      <w:r w:rsidRPr="00373961">
        <w:rPr>
          <w:i/>
        </w:rPr>
        <w:t>&lt; 500</w:t>
      </w:r>
    </w:p>
    <w:p w:rsidR="00373961" w:rsidRPr="00870C5D" w:rsidRDefault="00373961" w:rsidP="00373961">
      <w:pPr>
        <w:pStyle w:val="TableFigureFooter"/>
        <w:spacing w:after="0"/>
        <w:contextualSpacing w:val="0"/>
      </w:pPr>
      <w:r>
        <w:rPr>
          <w:i/>
          <w:vertAlign w:val="superscript"/>
        </w:rPr>
        <w:t>2</w:t>
      </w:r>
      <w:r>
        <w:rPr>
          <w:i/>
        </w:rPr>
        <w:t xml:space="preserve"> $</w:t>
      </w:r>
      <w:r w:rsidRPr="00373961">
        <w:rPr>
          <w:i/>
        </w:rPr>
        <w:t>0 to &lt; $10 million</w:t>
      </w:r>
    </w:p>
    <w:p w:rsidR="00373961" w:rsidRPr="00DD5C8A" w:rsidRDefault="00373961" w:rsidP="006011CF">
      <w:pPr>
        <w:pStyle w:val="TableFigureFooter"/>
        <w:keepNext/>
        <w:rPr>
          <w:color w:val="FF0000"/>
        </w:rPr>
      </w:pPr>
    </w:p>
    <w:p w:rsidR="006011CF" w:rsidRPr="00DD5C8A" w:rsidRDefault="008E3856" w:rsidP="0016299A">
      <w:pPr>
        <w:pStyle w:val="3Bodytext"/>
        <w:numPr>
          <w:ilvl w:val="0"/>
          <w:numId w:val="0"/>
        </w:numPr>
        <w:ind w:firstLine="720"/>
        <w:rPr>
          <w:i/>
          <w:iCs/>
        </w:rPr>
      </w:pPr>
      <w:bookmarkStart w:id="9" w:name="_Hlk76983087"/>
      <w:r w:rsidRPr="00DD5C8A">
        <w:rPr>
          <w:i/>
          <w:iCs/>
        </w:rPr>
        <w:t>For more detail on PBAC’s view, see section 7 PBAC outcome</w:t>
      </w:r>
      <w:r w:rsidR="00DD5C8A">
        <w:rPr>
          <w:i/>
          <w:iCs/>
        </w:rPr>
        <w:t xml:space="preserve">. </w:t>
      </w:r>
    </w:p>
    <w:bookmarkEnd w:id="9"/>
    <w:p w:rsidR="00B15590" w:rsidRPr="00DD5C8A" w:rsidRDefault="00B15590" w:rsidP="00B15590">
      <w:pPr>
        <w:pStyle w:val="2-SectionHeading"/>
      </w:pPr>
      <w:r w:rsidRPr="00DD5C8A">
        <w:t>NPWP Consideration</w:t>
      </w:r>
    </w:p>
    <w:p w:rsidR="00CF08B9" w:rsidRPr="00DD5C8A" w:rsidRDefault="00CF08B9" w:rsidP="00CF08B9">
      <w:pPr>
        <w:pStyle w:val="3Bodytext"/>
      </w:pPr>
      <w:bookmarkStart w:id="10" w:name="_Hlk76992549"/>
      <w:r w:rsidRPr="00DD5C8A">
        <w:t xml:space="preserve">The </w:t>
      </w:r>
      <w:r w:rsidR="003B029B" w:rsidRPr="00DD5C8A">
        <w:rPr>
          <w:bCs/>
        </w:rPr>
        <w:t>Nutritional Products Working Party (NPWP)</w:t>
      </w:r>
      <w:r w:rsidRPr="00DD5C8A">
        <w:t xml:space="preserve"> maintained its support for listing KetoVie Peptide 4:1 to address clinical need for a small number of patients. </w:t>
      </w:r>
      <w:bookmarkEnd w:id="10"/>
      <w:r w:rsidRPr="00DD5C8A">
        <w:t>However, the NPWP advised that the revised comparators may not be applicable to the requested population, such that the cost-minimisation calculation and proposed price were not supported. The NPWP suggested that the sponsor provide a revised cost-minimisation calculation using the Australian products and peptide-based formula as outlined.</w:t>
      </w:r>
    </w:p>
    <w:p w:rsidR="00391DD3" w:rsidRPr="00DD5C8A" w:rsidRDefault="00391DD3" w:rsidP="00391DD3">
      <w:pPr>
        <w:pStyle w:val="3Bodytext"/>
      </w:pPr>
      <w:r w:rsidRPr="00C04A64">
        <w:rPr>
          <w:color w:val="000000"/>
        </w:rPr>
        <w:t>With respect to the clinical need of KetoVie Peptide 4:1, the NPWP considered that:</w:t>
      </w:r>
    </w:p>
    <w:p w:rsidR="00391DD3" w:rsidRPr="00C04A64" w:rsidRDefault="00391DD3" w:rsidP="00391DD3">
      <w:pPr>
        <w:pStyle w:val="ListParagraph"/>
        <w:numPr>
          <w:ilvl w:val="0"/>
          <w:numId w:val="43"/>
        </w:numPr>
        <w:spacing w:after="160" w:line="259" w:lineRule="auto"/>
        <w:contextualSpacing/>
        <w:jc w:val="both"/>
        <w:rPr>
          <w:color w:val="000000"/>
        </w:rPr>
      </w:pPr>
      <w:bookmarkStart w:id="11" w:name="_Hlk76995863"/>
      <w:r w:rsidRPr="00C04A64">
        <w:rPr>
          <w:color w:val="000000"/>
        </w:rPr>
        <w:t>The product would provide a clinical benefit to a small cohort of patients because there is nothing similar on the PBS for children with epileptic conditions who experience gastrointestinal tract intolerance to other products or those who are intolerant to both cow’s milk and soy milk protein</w:t>
      </w:r>
      <w:bookmarkEnd w:id="11"/>
      <w:r w:rsidRPr="00C04A64">
        <w:rPr>
          <w:color w:val="000000"/>
        </w:rPr>
        <w:t xml:space="preserve">. </w:t>
      </w:r>
    </w:p>
    <w:p w:rsidR="00391DD3" w:rsidRPr="00C04A64" w:rsidRDefault="00391DD3" w:rsidP="00391DD3">
      <w:pPr>
        <w:pStyle w:val="ListParagraph"/>
        <w:numPr>
          <w:ilvl w:val="0"/>
          <w:numId w:val="43"/>
        </w:numPr>
        <w:spacing w:after="160" w:line="259" w:lineRule="auto"/>
        <w:contextualSpacing/>
        <w:jc w:val="both"/>
        <w:rPr>
          <w:color w:val="000000"/>
        </w:rPr>
      </w:pPr>
      <w:r w:rsidRPr="00C04A64">
        <w:t>The estimated number of scripts is likely an underestimate of the true uptake.</w:t>
      </w:r>
    </w:p>
    <w:p w:rsidR="00391DD3" w:rsidRPr="00C04A64" w:rsidRDefault="00391DD3" w:rsidP="00391DD3">
      <w:pPr>
        <w:pStyle w:val="ListParagraph"/>
        <w:numPr>
          <w:ilvl w:val="0"/>
          <w:numId w:val="43"/>
        </w:numPr>
        <w:spacing w:after="160" w:line="259" w:lineRule="auto"/>
        <w:contextualSpacing/>
        <w:jc w:val="both"/>
        <w:rPr>
          <w:color w:val="000000"/>
        </w:rPr>
      </w:pPr>
      <w:bookmarkStart w:id="12" w:name="_Hlk76996058"/>
      <w:r w:rsidRPr="00C04A64">
        <w:rPr>
          <w:color w:val="000000"/>
        </w:rPr>
        <w:t>The product would provide significant convenience and reduction in risk of contamination compared to the burden from the complex regimen and hygiene considerations required to make up a modular feed from a number of ingredients</w:t>
      </w:r>
      <w:bookmarkEnd w:id="12"/>
      <w:r w:rsidRPr="00C04A64">
        <w:rPr>
          <w:color w:val="000000"/>
        </w:rPr>
        <w:t>.</w:t>
      </w:r>
    </w:p>
    <w:p w:rsidR="00391DD3" w:rsidRPr="00C04A64" w:rsidRDefault="00391DD3" w:rsidP="00391DD3">
      <w:pPr>
        <w:pStyle w:val="3Bodytext"/>
      </w:pPr>
      <w:r w:rsidRPr="00C04A64">
        <w:t>With respect to the appropriateness of the comparators, the NPWP considered that:</w:t>
      </w:r>
    </w:p>
    <w:p w:rsidR="00391DD3" w:rsidRPr="00C04A64" w:rsidRDefault="00391DD3" w:rsidP="00391DD3">
      <w:pPr>
        <w:pStyle w:val="ListParagraph"/>
        <w:numPr>
          <w:ilvl w:val="0"/>
          <w:numId w:val="44"/>
        </w:numPr>
        <w:spacing w:after="160" w:line="259" w:lineRule="auto"/>
        <w:contextualSpacing/>
      </w:pPr>
      <w:r w:rsidRPr="00C04A64">
        <w:t>In practice, most patients with gastrointestinal tract intolerance would currently be using modular feed, which can be composed in a variety of ways and tends to vary by hospital.</w:t>
      </w:r>
    </w:p>
    <w:p w:rsidR="00391DD3" w:rsidRPr="00C04A64" w:rsidRDefault="00391DD3" w:rsidP="00391DD3">
      <w:pPr>
        <w:pStyle w:val="ListParagraph"/>
        <w:numPr>
          <w:ilvl w:val="0"/>
          <w:numId w:val="44"/>
        </w:numPr>
        <w:spacing w:after="160" w:line="259" w:lineRule="auto"/>
        <w:contextualSpacing/>
        <w:jc w:val="both"/>
      </w:pPr>
      <w:r w:rsidRPr="00C04A64">
        <w:t>KetoVie Peptide 4:1 would most likely replace modular feed but may also replace peptide-based formula</w:t>
      </w:r>
      <w:r w:rsidR="00DD5C8A">
        <w:t xml:space="preserve">. </w:t>
      </w:r>
      <w:r w:rsidRPr="00C04A64">
        <w:t xml:space="preserve"> </w:t>
      </w:r>
    </w:p>
    <w:p w:rsidR="00391DD3" w:rsidRPr="00C04A64" w:rsidRDefault="00391DD3" w:rsidP="00391DD3">
      <w:pPr>
        <w:pStyle w:val="ListParagraph"/>
        <w:numPr>
          <w:ilvl w:val="0"/>
          <w:numId w:val="44"/>
        </w:numPr>
        <w:spacing w:after="160" w:line="259" w:lineRule="auto"/>
        <w:contextualSpacing/>
        <w:jc w:val="both"/>
      </w:pPr>
      <w:bookmarkStart w:id="13" w:name="_Hlk76984639"/>
      <w:r w:rsidRPr="00C04A64">
        <w:t>The newly proposed comparators (Formulation 1 and Formulation 2) are inappropriate</w:t>
      </w:r>
      <w:r w:rsidR="00DD5C8A">
        <w:t xml:space="preserve">. </w:t>
      </w:r>
    </w:p>
    <w:bookmarkEnd w:id="13"/>
    <w:p w:rsidR="00391DD3" w:rsidRPr="00C04A64" w:rsidRDefault="00391DD3" w:rsidP="00391DD3">
      <w:pPr>
        <w:pStyle w:val="ListParagraph"/>
        <w:numPr>
          <w:ilvl w:val="0"/>
          <w:numId w:val="44"/>
        </w:numPr>
        <w:spacing w:after="160" w:line="259" w:lineRule="auto"/>
        <w:contextualSpacing/>
        <w:jc w:val="both"/>
      </w:pPr>
      <w:r w:rsidRPr="00C04A64">
        <w:t xml:space="preserve">Formulation 1 is soy-based (intact protein) rather than peptide-based and may not be suitable for all targeted patients. </w:t>
      </w:r>
    </w:p>
    <w:p w:rsidR="00391DD3" w:rsidRPr="00C04A64" w:rsidRDefault="00391DD3" w:rsidP="00391DD3">
      <w:pPr>
        <w:pStyle w:val="ListParagraph"/>
        <w:numPr>
          <w:ilvl w:val="0"/>
          <w:numId w:val="44"/>
        </w:numPr>
        <w:spacing w:after="160" w:line="259" w:lineRule="auto"/>
        <w:contextualSpacing/>
        <w:jc w:val="both"/>
      </w:pPr>
      <w:r w:rsidRPr="00C04A64">
        <w:t>Formulation 2 contains American products that are not readily available in Australia.</w:t>
      </w:r>
    </w:p>
    <w:p w:rsidR="00391DD3" w:rsidRPr="00C04A64" w:rsidRDefault="00391DD3" w:rsidP="00391DD3">
      <w:pPr>
        <w:pStyle w:val="ListParagraph"/>
        <w:numPr>
          <w:ilvl w:val="0"/>
          <w:numId w:val="44"/>
        </w:numPr>
        <w:spacing w:after="160" w:line="259" w:lineRule="auto"/>
        <w:contextualSpacing/>
        <w:jc w:val="both"/>
      </w:pPr>
      <w:bookmarkStart w:id="14" w:name="_Hlk76984914"/>
      <w:r w:rsidRPr="00C04A64">
        <w:t>Formulation 2 could be an appropriate comparator if it was modified with Australian ingredient</w:t>
      </w:r>
      <w:bookmarkEnd w:id="14"/>
      <w:r w:rsidRPr="00C04A64">
        <w:t>s such that:</w:t>
      </w:r>
    </w:p>
    <w:p w:rsidR="00391DD3" w:rsidRPr="00C04A64" w:rsidRDefault="00391DD3" w:rsidP="00391DD3">
      <w:pPr>
        <w:pStyle w:val="ListParagraph"/>
        <w:numPr>
          <w:ilvl w:val="0"/>
          <w:numId w:val="36"/>
        </w:numPr>
        <w:spacing w:after="160" w:line="259" w:lineRule="auto"/>
        <w:contextualSpacing/>
        <w:jc w:val="both"/>
      </w:pPr>
      <w:r w:rsidRPr="00DD5C8A">
        <w:rPr>
          <w:color w:val="000000"/>
        </w:rPr>
        <w:t>Carb Plus or Polyjoule be used instead of Polycal</w:t>
      </w:r>
    </w:p>
    <w:p w:rsidR="00391DD3" w:rsidRPr="00C04A64" w:rsidRDefault="00391DD3" w:rsidP="00391DD3">
      <w:pPr>
        <w:pStyle w:val="ListParagraph"/>
        <w:numPr>
          <w:ilvl w:val="0"/>
          <w:numId w:val="36"/>
        </w:numPr>
        <w:spacing w:after="160" w:line="259" w:lineRule="auto"/>
        <w:contextualSpacing/>
        <w:jc w:val="both"/>
      </w:pPr>
      <w:r w:rsidRPr="00DD5C8A">
        <w:rPr>
          <w:color w:val="000000"/>
        </w:rPr>
        <w:t>Calogen be used instead of Microlipid</w:t>
      </w:r>
    </w:p>
    <w:p w:rsidR="00391DD3" w:rsidRPr="00C04A64" w:rsidRDefault="00391DD3" w:rsidP="00391DD3">
      <w:pPr>
        <w:pStyle w:val="ListParagraph"/>
        <w:numPr>
          <w:ilvl w:val="0"/>
          <w:numId w:val="36"/>
        </w:numPr>
        <w:spacing w:after="160" w:line="259" w:lineRule="auto"/>
        <w:contextualSpacing/>
        <w:jc w:val="both"/>
      </w:pPr>
      <w:r w:rsidRPr="00DD5C8A">
        <w:rPr>
          <w:color w:val="000000"/>
        </w:rPr>
        <w:t>FruityVits be used instead of NanoVM.</w:t>
      </w:r>
      <w:r w:rsidRPr="00C04A64">
        <w:t xml:space="preserve"> </w:t>
      </w:r>
    </w:p>
    <w:p w:rsidR="00391DD3" w:rsidRPr="00C04A64" w:rsidRDefault="00391DD3" w:rsidP="00391DD3">
      <w:pPr>
        <w:pStyle w:val="ListParagraph"/>
        <w:numPr>
          <w:ilvl w:val="0"/>
          <w:numId w:val="44"/>
        </w:numPr>
        <w:spacing w:after="160" w:line="259" w:lineRule="auto"/>
        <w:contextualSpacing/>
        <w:jc w:val="both"/>
      </w:pPr>
      <w:bookmarkStart w:id="15" w:name="_Hlk76985011"/>
      <w:r w:rsidRPr="00DD5C8A">
        <w:rPr>
          <w:color w:val="000000"/>
        </w:rPr>
        <w:t xml:space="preserve">Peptide-based formula (not ketogenic but containing medium chain triglyceride), such as Nutrini Peptisorb and Nestle Peptamen Junior, may be appropriate comparators. </w:t>
      </w:r>
    </w:p>
    <w:p w:rsidR="00391DD3" w:rsidRPr="00C04A64" w:rsidRDefault="00391DD3" w:rsidP="00391DD3">
      <w:pPr>
        <w:pStyle w:val="ListParagraph"/>
        <w:numPr>
          <w:ilvl w:val="0"/>
          <w:numId w:val="44"/>
        </w:numPr>
        <w:spacing w:after="160" w:line="259" w:lineRule="auto"/>
        <w:contextualSpacing/>
        <w:jc w:val="both"/>
      </w:pPr>
      <w:bookmarkStart w:id="16" w:name="_Hlk76989326"/>
      <w:bookmarkEnd w:id="15"/>
      <w:r w:rsidRPr="00C04A64">
        <w:t>A revised cost-minimisation calculation from the sponsor with calculation of Australian ingredients used in Formulation 2 and relevant peptide-based formula would be useful to inform further consideration of the proposed price.</w:t>
      </w:r>
    </w:p>
    <w:bookmarkEnd w:id="16"/>
    <w:p w:rsidR="00391DD3" w:rsidRPr="00C04A64" w:rsidRDefault="00391DD3" w:rsidP="00391DD3">
      <w:pPr>
        <w:pStyle w:val="3Bodytext"/>
      </w:pPr>
      <w:r w:rsidRPr="00C04A64">
        <w:t xml:space="preserve">With respect to the revised cost-minimisation calculation, the NPWP considered that the method used to determine the price of KetoVie Peptide 4:1 </w:t>
      </w:r>
      <w:r w:rsidR="00F84C4C" w:rsidRPr="00C04A64">
        <w:t>wa</w:t>
      </w:r>
      <w:r w:rsidRPr="00C04A64">
        <w:t xml:space="preserve">s not appropriate because the newly proposed comparators </w:t>
      </w:r>
      <w:r w:rsidR="00F84C4C" w:rsidRPr="00C04A64">
        <w:t>were</w:t>
      </w:r>
      <w:r w:rsidRPr="00C04A64">
        <w:t xml:space="preserve"> not appropriate. </w:t>
      </w:r>
    </w:p>
    <w:p w:rsidR="00844FF3" w:rsidRPr="00C04A64" w:rsidRDefault="00CF08B9" w:rsidP="00391DD3">
      <w:pPr>
        <w:pStyle w:val="3Bodytext"/>
      </w:pPr>
      <w:r w:rsidRPr="00DD5C8A">
        <w:rPr>
          <w:color w:val="000000"/>
        </w:rPr>
        <w:t xml:space="preserve">With respect to the restrictions, </w:t>
      </w:r>
      <w:bookmarkStart w:id="17" w:name="_Hlk76989500"/>
      <w:r w:rsidRPr="00C04A64">
        <w:t>the NPWP considered that</w:t>
      </w:r>
      <w:r w:rsidR="00391DD3" w:rsidRPr="00C04A64">
        <w:t xml:space="preserve"> </w:t>
      </w:r>
      <w:r w:rsidR="00DD5C8A" w:rsidRPr="00DD5C8A">
        <w:t>STREAMLINED</w:t>
      </w:r>
      <w:r w:rsidR="00391DD3" w:rsidRPr="00C04A64">
        <w:t xml:space="preserve"> or A</w:t>
      </w:r>
      <w:r w:rsidRPr="00C04A64">
        <w:t xml:space="preserve">uthority </w:t>
      </w:r>
      <w:r w:rsidR="00391DD3" w:rsidRPr="00C04A64">
        <w:t>R</w:t>
      </w:r>
      <w:r w:rsidRPr="00C04A64">
        <w:t xml:space="preserve">equired (telephone/electronic) restriction would be appropriate to minimise use outside the restriction </w:t>
      </w:r>
      <w:r w:rsidRPr="00DD5C8A">
        <w:t>if KetoVie Peptide 4:1 was recommended at the proposed price</w:t>
      </w:r>
      <w:r w:rsidRPr="00C04A64">
        <w:t>, for example, in patients without intolerance to intact protein</w:t>
      </w:r>
      <w:bookmarkEnd w:id="17"/>
      <w:r w:rsidRPr="00C04A64">
        <w:t>.</w:t>
      </w:r>
    </w:p>
    <w:p w:rsidR="0016299A" w:rsidRPr="00DD5C8A" w:rsidRDefault="0016299A" w:rsidP="0016299A">
      <w:pPr>
        <w:pStyle w:val="3Bodytext"/>
        <w:numPr>
          <w:ilvl w:val="0"/>
          <w:numId w:val="0"/>
        </w:numPr>
        <w:ind w:firstLine="720"/>
        <w:rPr>
          <w:i/>
          <w:iCs/>
        </w:rPr>
      </w:pPr>
      <w:r w:rsidRPr="00DD5C8A">
        <w:rPr>
          <w:i/>
          <w:iCs/>
        </w:rPr>
        <w:t>For more detail on PBAC’s view, see section 7 PBAC outcome</w:t>
      </w:r>
      <w:r w:rsidR="00DD5C8A">
        <w:rPr>
          <w:i/>
          <w:iCs/>
        </w:rPr>
        <w:t xml:space="preserve">. </w:t>
      </w:r>
    </w:p>
    <w:p w:rsidR="0016299A" w:rsidRPr="00DD5C8A" w:rsidRDefault="0016299A" w:rsidP="0016299A">
      <w:pPr>
        <w:keepNext/>
        <w:numPr>
          <w:ilvl w:val="0"/>
          <w:numId w:val="3"/>
        </w:numPr>
        <w:spacing w:before="240" w:after="120"/>
        <w:jc w:val="left"/>
        <w:outlineLvl w:val="0"/>
        <w:rPr>
          <w:rFonts w:asciiTheme="minorHAnsi" w:hAnsiTheme="minorHAnsi" w:cs="Arial"/>
          <w:b/>
          <w:bCs/>
          <w:snapToGrid w:val="0"/>
          <w:sz w:val="32"/>
          <w:szCs w:val="32"/>
        </w:rPr>
      </w:pPr>
      <w:r w:rsidRPr="00DD5C8A">
        <w:rPr>
          <w:rFonts w:asciiTheme="minorHAnsi" w:hAnsiTheme="minorHAnsi" w:cs="Arial"/>
          <w:b/>
          <w:snapToGrid w:val="0"/>
          <w:sz w:val="32"/>
          <w:szCs w:val="32"/>
        </w:rPr>
        <w:t>PBAC Outcome</w:t>
      </w:r>
    </w:p>
    <w:p w:rsidR="00616CF4" w:rsidRPr="00E330D3" w:rsidRDefault="0016299A" w:rsidP="00D62B40">
      <w:pPr>
        <w:numPr>
          <w:ilvl w:val="1"/>
          <w:numId w:val="3"/>
        </w:numPr>
        <w:spacing w:after="120"/>
        <w:ind w:left="720"/>
        <w:rPr>
          <w:bCs/>
        </w:rPr>
      </w:pPr>
      <w:r w:rsidRPr="00DD5C8A">
        <w:rPr>
          <w:rFonts w:asciiTheme="minorHAnsi" w:eastAsiaTheme="minorHAnsi" w:hAnsiTheme="minorHAnsi" w:cstheme="minorBidi"/>
          <w:bCs/>
          <w:szCs w:val="22"/>
        </w:rPr>
        <w:t xml:space="preserve">The PBAC </w:t>
      </w:r>
      <w:r w:rsidR="00411FDE" w:rsidRPr="00DD5C8A">
        <w:rPr>
          <w:rFonts w:asciiTheme="minorHAnsi" w:eastAsiaTheme="minorHAnsi" w:hAnsiTheme="minorHAnsi" w:cstheme="minorBidi"/>
          <w:bCs/>
          <w:szCs w:val="22"/>
        </w:rPr>
        <w:t>recommended</w:t>
      </w:r>
      <w:r w:rsidR="002904F3" w:rsidRPr="00DD5C8A">
        <w:rPr>
          <w:rFonts w:asciiTheme="minorHAnsi" w:eastAsiaTheme="minorHAnsi" w:hAnsiTheme="minorHAnsi" w:cstheme="minorBidi"/>
          <w:bCs/>
          <w:szCs w:val="22"/>
        </w:rPr>
        <w:t xml:space="preserve"> </w:t>
      </w:r>
      <w:r w:rsidR="00411FDE" w:rsidRPr="00DD5C8A">
        <w:rPr>
          <w:rFonts w:asciiTheme="minorHAnsi" w:eastAsiaTheme="minorHAnsi" w:hAnsiTheme="minorHAnsi" w:cstheme="minorBidi"/>
          <w:bCs/>
          <w:szCs w:val="22"/>
        </w:rPr>
        <w:t>the</w:t>
      </w:r>
      <w:r w:rsidR="000A76CB" w:rsidRPr="00DD5C8A">
        <w:rPr>
          <w:rFonts w:asciiTheme="minorHAnsi" w:eastAsiaTheme="minorHAnsi" w:hAnsiTheme="minorHAnsi" w:cstheme="minorBidi"/>
          <w:bCs/>
          <w:szCs w:val="22"/>
        </w:rPr>
        <w:t xml:space="preserve"> Authority Required </w:t>
      </w:r>
      <w:r w:rsidR="000A76CB" w:rsidRPr="00C04A64">
        <w:t>(</w:t>
      </w:r>
      <w:r w:rsidR="006C4FC9">
        <w:t>telephone/electronic</w:t>
      </w:r>
      <w:r w:rsidR="000A76CB" w:rsidRPr="00C04A64">
        <w:t>)</w:t>
      </w:r>
      <w:r w:rsidR="00411FDE" w:rsidRPr="00DD5C8A">
        <w:rPr>
          <w:rFonts w:asciiTheme="minorHAnsi" w:eastAsiaTheme="minorHAnsi" w:hAnsiTheme="minorHAnsi" w:cstheme="minorBidi"/>
          <w:bCs/>
          <w:szCs w:val="22"/>
        </w:rPr>
        <w:t xml:space="preserve"> </w:t>
      </w:r>
      <w:r w:rsidR="002904F3" w:rsidRPr="00DD5C8A">
        <w:rPr>
          <w:rFonts w:asciiTheme="minorHAnsi" w:eastAsiaTheme="minorHAnsi" w:hAnsiTheme="minorHAnsi" w:cstheme="minorBidi"/>
          <w:bCs/>
          <w:szCs w:val="22"/>
        </w:rPr>
        <w:t>list</w:t>
      </w:r>
      <w:r w:rsidR="00411FDE" w:rsidRPr="00DD5C8A">
        <w:rPr>
          <w:rFonts w:asciiTheme="minorHAnsi" w:eastAsiaTheme="minorHAnsi" w:hAnsiTheme="minorHAnsi" w:cstheme="minorBidi"/>
          <w:bCs/>
          <w:szCs w:val="22"/>
        </w:rPr>
        <w:t>ing of</w:t>
      </w:r>
      <w:r w:rsidR="00E90701" w:rsidRPr="00DD5C8A">
        <w:rPr>
          <w:rFonts w:asciiTheme="minorHAnsi" w:eastAsiaTheme="minorHAnsi" w:hAnsiTheme="minorHAnsi" w:cstheme="minorBidi"/>
          <w:bCs/>
          <w:szCs w:val="22"/>
        </w:rPr>
        <w:t xml:space="preserve"> high fat formula with vitamins, minerals and trace elements and low in protein and carbohydrate (KetoVie Peptide 4:1) fo</w:t>
      </w:r>
      <w:r w:rsidRPr="00E330D3">
        <w:rPr>
          <w:rFonts w:asciiTheme="minorHAnsi" w:eastAsiaTheme="minorHAnsi" w:hAnsiTheme="minorHAnsi" w:cstheme="minorBidi"/>
          <w:bCs/>
          <w:szCs w:val="22"/>
        </w:rPr>
        <w:t>r ketogenic diet</w:t>
      </w:r>
      <w:r w:rsidR="00616CF4" w:rsidRPr="00E330D3">
        <w:rPr>
          <w:bCs/>
        </w:rPr>
        <w:t xml:space="preserve">. </w:t>
      </w:r>
      <w:r w:rsidR="00A73BFD">
        <w:rPr>
          <w:bCs/>
        </w:rPr>
        <w:t xml:space="preserve">The PBAC’s recommendation for listing was based on, among other matters, its assessment that </w:t>
      </w:r>
      <w:r w:rsidR="00BA26E6">
        <w:rPr>
          <w:bCs/>
        </w:rPr>
        <w:t>the cost-</w:t>
      </w:r>
      <w:r w:rsidR="00160A1B">
        <w:rPr>
          <w:bCs/>
        </w:rPr>
        <w:t>effectiveness</w:t>
      </w:r>
      <w:r w:rsidR="00BA26E6">
        <w:rPr>
          <w:bCs/>
        </w:rPr>
        <w:t xml:space="preserve"> of KetoVie would be acceptable if it were cost-minimised against KetoCal 4:1 with </w:t>
      </w:r>
      <w:r w:rsidR="00BA26E6" w:rsidRPr="00BA26E6">
        <w:rPr>
          <w:bCs/>
        </w:rPr>
        <w:t xml:space="preserve">approximately </w:t>
      </w:r>
      <w:r w:rsidR="007F70B9">
        <w:rPr>
          <w:bCs/>
          <w:noProof/>
          <w:color w:val="000000"/>
          <w:highlight w:val="black"/>
        </w:rPr>
        <w:t>'''''</w:t>
      </w:r>
      <w:r w:rsidR="00BA26E6" w:rsidRPr="00BA26E6">
        <w:rPr>
          <w:bCs/>
        </w:rPr>
        <w:t>% premium over KetoCal 4:1</w:t>
      </w:r>
      <w:r w:rsidR="00BA26E6">
        <w:rPr>
          <w:bCs/>
        </w:rPr>
        <w:t>.</w:t>
      </w:r>
    </w:p>
    <w:p w:rsidR="006636EE" w:rsidRPr="00DD5C8A" w:rsidRDefault="00616CF4" w:rsidP="00024949">
      <w:pPr>
        <w:pStyle w:val="3Bodytext"/>
        <w:rPr>
          <w:bCs/>
        </w:rPr>
      </w:pPr>
      <w:r w:rsidRPr="00DD5C8A">
        <w:rPr>
          <w:bCs/>
        </w:rPr>
        <w:t>The PBAC</w:t>
      </w:r>
      <w:r w:rsidR="00024949" w:rsidRPr="00DD5C8A">
        <w:rPr>
          <w:bCs/>
        </w:rPr>
        <w:t xml:space="preserve"> </w:t>
      </w:r>
      <w:r w:rsidR="00E56701" w:rsidRPr="00DD5C8A">
        <w:rPr>
          <w:bCs/>
        </w:rPr>
        <w:t>noted and agreed with the advice of the</w:t>
      </w:r>
      <w:r w:rsidR="003B029B" w:rsidRPr="00DD5C8A">
        <w:rPr>
          <w:bCs/>
        </w:rPr>
        <w:t xml:space="preserve"> NPWP</w:t>
      </w:r>
      <w:r w:rsidR="006636EE" w:rsidRPr="00DD5C8A">
        <w:rPr>
          <w:bCs/>
        </w:rPr>
        <w:t xml:space="preserve">. </w:t>
      </w:r>
    </w:p>
    <w:p w:rsidR="000A72B9" w:rsidRDefault="00151003" w:rsidP="00151003">
      <w:pPr>
        <w:numPr>
          <w:ilvl w:val="1"/>
          <w:numId w:val="3"/>
        </w:numPr>
        <w:spacing w:after="120"/>
        <w:ind w:left="720"/>
        <w:rPr>
          <w:rFonts w:asciiTheme="minorHAnsi" w:eastAsiaTheme="minorHAnsi" w:hAnsiTheme="minorHAnsi" w:cstheme="minorBidi"/>
          <w:bCs/>
          <w:szCs w:val="22"/>
        </w:rPr>
      </w:pPr>
      <w:r w:rsidRPr="00DD5C8A">
        <w:rPr>
          <w:rFonts w:asciiTheme="minorHAnsi" w:eastAsiaTheme="minorHAnsi" w:hAnsiTheme="minorHAnsi" w:cstheme="minorBidi"/>
          <w:bCs/>
          <w:szCs w:val="22"/>
        </w:rPr>
        <w:t xml:space="preserve">The PBAC recalled its November 2020 recommendation for KetoVie Peptide 4:1 </w:t>
      </w:r>
      <w:r w:rsidR="00110CB6">
        <w:rPr>
          <w:rFonts w:asciiTheme="minorHAnsi" w:eastAsiaTheme="minorHAnsi" w:hAnsiTheme="minorHAnsi" w:cstheme="minorBidi"/>
          <w:bCs/>
          <w:szCs w:val="22"/>
        </w:rPr>
        <w:t>at</w:t>
      </w:r>
      <w:r w:rsidR="000A72B9">
        <w:rPr>
          <w:rFonts w:asciiTheme="minorHAnsi" w:eastAsiaTheme="minorHAnsi" w:hAnsiTheme="minorHAnsi" w:cstheme="minorBidi"/>
          <w:bCs/>
          <w:szCs w:val="22"/>
        </w:rPr>
        <w:t xml:space="preserve"> the</w:t>
      </w:r>
      <w:r w:rsidRPr="00DD5C8A">
        <w:rPr>
          <w:rFonts w:asciiTheme="minorHAnsi" w:eastAsiaTheme="minorHAnsi" w:hAnsiTheme="minorHAnsi" w:cstheme="minorBidi"/>
          <w:bCs/>
          <w:szCs w:val="22"/>
        </w:rPr>
        <w:t xml:space="preserve"> same price per kilojoule </w:t>
      </w:r>
      <w:r w:rsidR="000A72B9">
        <w:rPr>
          <w:rFonts w:asciiTheme="minorHAnsi" w:eastAsiaTheme="minorHAnsi" w:hAnsiTheme="minorHAnsi" w:cstheme="minorBidi"/>
          <w:bCs/>
          <w:szCs w:val="22"/>
        </w:rPr>
        <w:t>as</w:t>
      </w:r>
      <w:r w:rsidRPr="00DD5C8A">
        <w:rPr>
          <w:rFonts w:asciiTheme="minorHAnsi" w:eastAsiaTheme="minorHAnsi" w:hAnsiTheme="minorHAnsi" w:cstheme="minorBidi"/>
          <w:bCs/>
          <w:szCs w:val="22"/>
        </w:rPr>
        <w:t xml:space="preserve"> KetoCal 4:1 ($0.0042 per kJ)</w:t>
      </w:r>
      <w:r w:rsidR="00DD5C8A">
        <w:rPr>
          <w:rFonts w:asciiTheme="minorHAnsi" w:eastAsiaTheme="minorHAnsi" w:hAnsiTheme="minorHAnsi" w:cstheme="minorBidi"/>
          <w:bCs/>
          <w:szCs w:val="22"/>
        </w:rPr>
        <w:t xml:space="preserve">. The PBAC </w:t>
      </w:r>
      <w:r w:rsidRPr="00DD5C8A">
        <w:rPr>
          <w:rFonts w:asciiTheme="minorHAnsi" w:eastAsiaTheme="minorHAnsi" w:hAnsiTheme="minorHAnsi" w:cstheme="minorBidi"/>
          <w:bCs/>
          <w:szCs w:val="22"/>
        </w:rPr>
        <w:t xml:space="preserve">did not accept </w:t>
      </w:r>
      <w:r w:rsidR="000A72B9">
        <w:rPr>
          <w:rFonts w:asciiTheme="minorHAnsi" w:eastAsiaTheme="minorHAnsi" w:hAnsiTheme="minorHAnsi" w:cstheme="minorBidi"/>
          <w:bCs/>
          <w:szCs w:val="22"/>
        </w:rPr>
        <w:t xml:space="preserve">the applicant’s </w:t>
      </w:r>
      <w:r w:rsidRPr="00DD5C8A">
        <w:rPr>
          <w:rFonts w:asciiTheme="minorHAnsi" w:eastAsiaTheme="minorHAnsi" w:hAnsiTheme="minorHAnsi" w:cstheme="minorBidi"/>
          <w:bCs/>
          <w:szCs w:val="22"/>
        </w:rPr>
        <w:t>request for a price of $</w:t>
      </w:r>
      <w:r w:rsidR="007F70B9">
        <w:rPr>
          <w:rFonts w:asciiTheme="minorHAnsi" w:eastAsiaTheme="minorHAnsi" w:hAnsiTheme="minorHAnsi" w:cstheme="minorBidi"/>
          <w:bCs/>
          <w:noProof/>
          <w:color w:val="000000"/>
          <w:szCs w:val="22"/>
          <w:highlight w:val="black"/>
        </w:rPr>
        <w:t>''''''''''''</w:t>
      </w:r>
      <w:r w:rsidRPr="00DD5C8A">
        <w:rPr>
          <w:rFonts w:asciiTheme="minorHAnsi" w:eastAsiaTheme="minorHAnsi" w:hAnsiTheme="minorHAnsi" w:cstheme="minorBidi"/>
          <w:bCs/>
          <w:szCs w:val="22"/>
        </w:rPr>
        <w:t xml:space="preserve"> per kJ, as </w:t>
      </w:r>
      <w:r w:rsidR="00DD5C8A">
        <w:rPr>
          <w:rFonts w:asciiTheme="minorHAnsi" w:eastAsiaTheme="minorHAnsi" w:hAnsiTheme="minorHAnsi" w:cstheme="minorBidi"/>
          <w:bCs/>
          <w:szCs w:val="22"/>
        </w:rPr>
        <w:t xml:space="preserve">the submission did not demonstrate </w:t>
      </w:r>
      <w:r w:rsidRPr="00DD5C8A">
        <w:rPr>
          <w:rFonts w:asciiTheme="minorHAnsi" w:eastAsiaTheme="minorHAnsi" w:hAnsiTheme="minorHAnsi" w:cstheme="minorBidi"/>
          <w:bCs/>
          <w:szCs w:val="22"/>
        </w:rPr>
        <w:t>superior efficacy and safety compared with comparators</w:t>
      </w:r>
      <w:r w:rsidR="000A72B9">
        <w:rPr>
          <w:rFonts w:asciiTheme="minorHAnsi" w:eastAsiaTheme="minorHAnsi" w:hAnsiTheme="minorHAnsi" w:cstheme="minorBidi"/>
          <w:bCs/>
          <w:szCs w:val="22"/>
        </w:rPr>
        <w:t>,</w:t>
      </w:r>
      <w:r w:rsidRPr="00DD5C8A">
        <w:rPr>
          <w:rFonts w:asciiTheme="minorHAnsi" w:eastAsiaTheme="minorHAnsi" w:hAnsiTheme="minorHAnsi" w:cstheme="minorBidi"/>
          <w:bCs/>
          <w:szCs w:val="22"/>
        </w:rPr>
        <w:t xml:space="preserve"> nor the </w:t>
      </w:r>
      <w:r w:rsidR="000A72B9">
        <w:rPr>
          <w:rFonts w:asciiTheme="minorHAnsi" w:eastAsiaTheme="minorHAnsi" w:hAnsiTheme="minorHAnsi" w:cstheme="minorBidi"/>
          <w:bCs/>
          <w:szCs w:val="22"/>
        </w:rPr>
        <w:t xml:space="preserve">cost </w:t>
      </w:r>
      <w:r w:rsidRPr="00DD5C8A">
        <w:rPr>
          <w:rFonts w:asciiTheme="minorHAnsi" w:eastAsiaTheme="minorHAnsi" w:hAnsiTheme="minorHAnsi" w:cstheme="minorBidi"/>
          <w:bCs/>
          <w:szCs w:val="22"/>
        </w:rPr>
        <w:t xml:space="preserve">offset claimed </w:t>
      </w:r>
      <w:r w:rsidR="00E330D3">
        <w:rPr>
          <w:rFonts w:asciiTheme="minorHAnsi" w:eastAsiaTheme="minorHAnsi" w:hAnsiTheme="minorHAnsi" w:cstheme="minorBidi"/>
          <w:bCs/>
          <w:szCs w:val="22"/>
        </w:rPr>
        <w:t xml:space="preserve">for </w:t>
      </w:r>
      <w:r w:rsidRPr="00DD5C8A">
        <w:rPr>
          <w:rFonts w:asciiTheme="minorHAnsi" w:eastAsiaTheme="minorHAnsi" w:hAnsiTheme="minorHAnsi" w:cstheme="minorBidi"/>
          <w:bCs/>
          <w:szCs w:val="22"/>
        </w:rPr>
        <w:t>preparation time.</w:t>
      </w:r>
      <w:r w:rsidR="00BD235C" w:rsidRPr="00DD5C8A">
        <w:rPr>
          <w:rFonts w:asciiTheme="minorHAnsi" w:eastAsiaTheme="minorHAnsi" w:hAnsiTheme="minorHAnsi" w:cstheme="minorBidi"/>
          <w:bCs/>
          <w:szCs w:val="22"/>
        </w:rPr>
        <w:t xml:space="preserve"> </w:t>
      </w:r>
    </w:p>
    <w:p w:rsidR="00151003" w:rsidRPr="00110CB6" w:rsidRDefault="00BD235C" w:rsidP="00F55E75">
      <w:pPr>
        <w:numPr>
          <w:ilvl w:val="1"/>
          <w:numId w:val="3"/>
        </w:numPr>
        <w:spacing w:after="120"/>
        <w:ind w:left="720"/>
      </w:pPr>
      <w:r w:rsidRPr="000A72B9">
        <w:rPr>
          <w:rFonts w:asciiTheme="minorHAnsi" w:eastAsiaTheme="minorHAnsi" w:hAnsiTheme="minorHAnsi" w:cstheme="minorBidi"/>
          <w:bCs/>
          <w:szCs w:val="22"/>
        </w:rPr>
        <w:t>The PBAC noted that</w:t>
      </w:r>
      <w:r w:rsidR="00F84C4C" w:rsidRPr="000A72B9">
        <w:rPr>
          <w:rFonts w:asciiTheme="minorHAnsi" w:eastAsiaTheme="minorHAnsi" w:hAnsiTheme="minorHAnsi" w:cstheme="minorBidi"/>
          <w:bCs/>
          <w:szCs w:val="22"/>
        </w:rPr>
        <w:t xml:space="preserve"> this</w:t>
      </w:r>
      <w:r w:rsidR="00F84C4C" w:rsidRPr="003C06D6">
        <w:rPr>
          <w:rFonts w:asciiTheme="minorHAnsi" w:eastAsiaTheme="minorHAnsi" w:hAnsiTheme="minorHAnsi" w:cstheme="minorBidi"/>
          <w:bCs/>
          <w:szCs w:val="22"/>
        </w:rPr>
        <w:t xml:space="preserve"> </w:t>
      </w:r>
      <w:r w:rsidR="000A72B9" w:rsidRPr="003C06D6">
        <w:rPr>
          <w:rFonts w:asciiTheme="minorHAnsi" w:eastAsiaTheme="minorHAnsi" w:hAnsiTheme="minorHAnsi" w:cstheme="minorBidi"/>
          <w:bCs/>
          <w:szCs w:val="22"/>
        </w:rPr>
        <w:t>re</w:t>
      </w:r>
      <w:r w:rsidR="00F84C4C" w:rsidRPr="003C06D6">
        <w:rPr>
          <w:rFonts w:asciiTheme="minorHAnsi" w:eastAsiaTheme="minorHAnsi" w:hAnsiTheme="minorHAnsi" w:cstheme="minorBidi"/>
          <w:bCs/>
          <w:szCs w:val="22"/>
        </w:rPr>
        <w:t xml:space="preserve">submission presented a revised cost minimisation calculation to support </w:t>
      </w:r>
      <w:r w:rsidR="000A72B9" w:rsidRPr="000A72B9">
        <w:rPr>
          <w:rFonts w:asciiTheme="minorHAnsi" w:eastAsiaTheme="minorHAnsi" w:hAnsiTheme="minorHAnsi" w:cstheme="minorBidi"/>
          <w:bCs/>
          <w:szCs w:val="22"/>
        </w:rPr>
        <w:t xml:space="preserve">the </w:t>
      </w:r>
      <w:r w:rsidR="00F84C4C" w:rsidRPr="000A72B9">
        <w:rPr>
          <w:rFonts w:asciiTheme="minorHAnsi" w:eastAsiaTheme="minorHAnsi" w:hAnsiTheme="minorHAnsi" w:cstheme="minorBidi"/>
          <w:bCs/>
          <w:szCs w:val="22"/>
        </w:rPr>
        <w:t>requested price ($</w:t>
      </w:r>
      <w:r w:rsidR="007F70B9">
        <w:rPr>
          <w:rFonts w:asciiTheme="minorHAnsi" w:eastAsiaTheme="minorHAnsi" w:hAnsiTheme="minorHAnsi" w:cstheme="minorBidi"/>
          <w:bCs/>
          <w:noProof/>
          <w:color w:val="000000"/>
          <w:szCs w:val="22"/>
          <w:highlight w:val="black"/>
        </w:rPr>
        <w:t>''''''''''''''</w:t>
      </w:r>
      <w:r w:rsidR="00F84C4C" w:rsidRPr="000A72B9">
        <w:rPr>
          <w:rFonts w:asciiTheme="minorHAnsi" w:eastAsiaTheme="minorHAnsi" w:hAnsiTheme="minorHAnsi" w:cstheme="minorBidi"/>
          <w:bCs/>
          <w:szCs w:val="22"/>
        </w:rPr>
        <w:t xml:space="preserve"> per kJ) based on two new proposed comparators</w:t>
      </w:r>
      <w:r w:rsidR="004F3ED6" w:rsidRPr="000A72B9">
        <w:rPr>
          <w:rFonts w:asciiTheme="minorHAnsi" w:eastAsiaTheme="minorHAnsi" w:hAnsiTheme="minorHAnsi" w:cstheme="minorBidi"/>
          <w:bCs/>
          <w:szCs w:val="22"/>
        </w:rPr>
        <w:t xml:space="preserve"> </w:t>
      </w:r>
      <w:r w:rsidR="004F3ED6" w:rsidRPr="00DD5C8A">
        <w:t>(Formulation 1 and Formulation 2)</w:t>
      </w:r>
      <w:r w:rsidR="00F84C4C" w:rsidRPr="000A72B9">
        <w:rPr>
          <w:rFonts w:asciiTheme="minorHAnsi" w:eastAsiaTheme="minorHAnsi" w:hAnsiTheme="minorHAnsi" w:cstheme="minorBidi"/>
          <w:bCs/>
          <w:szCs w:val="22"/>
        </w:rPr>
        <w:t>.</w:t>
      </w:r>
      <w:r w:rsidRPr="000A72B9">
        <w:rPr>
          <w:rFonts w:asciiTheme="minorHAnsi" w:eastAsiaTheme="minorHAnsi" w:hAnsiTheme="minorHAnsi" w:cstheme="minorBidi"/>
          <w:bCs/>
          <w:szCs w:val="22"/>
        </w:rPr>
        <w:t xml:space="preserve"> </w:t>
      </w:r>
      <w:r w:rsidR="00151003" w:rsidRPr="00E330D3">
        <w:t xml:space="preserve">The PBAC </w:t>
      </w:r>
      <w:r w:rsidR="000A72B9">
        <w:t>agreed with the NPWP that</w:t>
      </w:r>
      <w:r w:rsidR="00151003" w:rsidRPr="000A72B9">
        <w:t xml:space="preserve"> the </w:t>
      </w:r>
      <w:r w:rsidR="00931718" w:rsidRPr="000A72B9">
        <w:t xml:space="preserve">new </w:t>
      </w:r>
      <w:r w:rsidR="00151003" w:rsidRPr="003C06D6">
        <w:t>proposed comparators</w:t>
      </w:r>
      <w:r w:rsidR="00931718" w:rsidRPr="003C06D6">
        <w:t xml:space="preserve"> </w:t>
      </w:r>
      <w:r w:rsidR="00151003" w:rsidRPr="003C06D6">
        <w:t xml:space="preserve">were not appropriate. </w:t>
      </w:r>
    </w:p>
    <w:p w:rsidR="00024949" w:rsidRPr="00DD5C8A" w:rsidRDefault="006636EE" w:rsidP="00024949">
      <w:pPr>
        <w:pStyle w:val="3Bodytext"/>
        <w:rPr>
          <w:bCs/>
        </w:rPr>
      </w:pPr>
      <w:r w:rsidRPr="00DD5C8A">
        <w:rPr>
          <w:bCs/>
        </w:rPr>
        <w:t>The PBAC</w:t>
      </w:r>
      <w:r w:rsidR="00705C91" w:rsidRPr="00DD5C8A">
        <w:rPr>
          <w:bCs/>
        </w:rPr>
        <w:t xml:space="preserve"> noted the submission claimed non-inferior efficacy over the newly proposed comparators and</w:t>
      </w:r>
      <w:r w:rsidRPr="00DD5C8A">
        <w:rPr>
          <w:bCs/>
        </w:rPr>
        <w:t xml:space="preserve"> considered that KetoVie Peptide 4:1 provide</w:t>
      </w:r>
      <w:r w:rsidR="005A444E" w:rsidRPr="00DD5C8A">
        <w:rPr>
          <w:bCs/>
        </w:rPr>
        <w:t>s</w:t>
      </w:r>
      <w:r w:rsidR="00024949" w:rsidRPr="00DD5C8A">
        <w:rPr>
          <w:bCs/>
        </w:rPr>
        <w:t>:</w:t>
      </w:r>
    </w:p>
    <w:p w:rsidR="00024949" w:rsidRPr="00DD5C8A" w:rsidRDefault="00024949" w:rsidP="00024949">
      <w:pPr>
        <w:numPr>
          <w:ilvl w:val="0"/>
          <w:numId w:val="46"/>
        </w:numPr>
        <w:spacing w:after="120"/>
        <w:jc w:val="left"/>
        <w:rPr>
          <w:rFonts w:asciiTheme="minorHAnsi" w:eastAsiaTheme="minorHAnsi" w:hAnsiTheme="minorHAnsi" w:cstheme="minorBidi"/>
          <w:bCs/>
          <w:szCs w:val="22"/>
        </w:rPr>
      </w:pPr>
      <w:r w:rsidRPr="00DD5C8A">
        <w:rPr>
          <w:rFonts w:asciiTheme="minorHAnsi" w:eastAsiaTheme="minorHAnsi" w:hAnsiTheme="minorHAnsi" w:cstheme="minorBidi"/>
          <w:bCs/>
          <w:szCs w:val="22"/>
        </w:rPr>
        <w:t>significant convenience and reduction in risk of contamination compared to the burden from the complex regimen and hygiene considerations required to make up a modular feed from a number of ingredients</w:t>
      </w:r>
    </w:p>
    <w:p w:rsidR="00024949" w:rsidRPr="00DD5C8A" w:rsidRDefault="00024949" w:rsidP="00024949">
      <w:pPr>
        <w:numPr>
          <w:ilvl w:val="0"/>
          <w:numId w:val="46"/>
        </w:numPr>
        <w:spacing w:after="120"/>
        <w:jc w:val="left"/>
        <w:rPr>
          <w:rFonts w:asciiTheme="minorHAnsi" w:eastAsiaTheme="minorHAnsi" w:hAnsiTheme="minorHAnsi" w:cstheme="minorBidi"/>
          <w:bCs/>
          <w:szCs w:val="22"/>
        </w:rPr>
      </w:pPr>
      <w:r w:rsidRPr="00DD5C8A">
        <w:rPr>
          <w:rFonts w:asciiTheme="minorHAnsi" w:eastAsiaTheme="minorHAnsi" w:hAnsiTheme="minorHAnsi" w:cstheme="minorBidi"/>
          <w:bCs/>
          <w:szCs w:val="22"/>
        </w:rPr>
        <w:t>a clinical benefit to a small cohort of patients because there was nothing similar on the PBS for children with epileptic conditions who experienced gastrointestinal tract intolerance to other products or those who were intolerant to both cow’s milk and soy milk protein.</w:t>
      </w:r>
    </w:p>
    <w:p w:rsidR="00F42926" w:rsidRPr="00DD5C8A" w:rsidRDefault="00BF660D" w:rsidP="00251E58">
      <w:pPr>
        <w:pStyle w:val="3Bodytext"/>
        <w:rPr>
          <w:bCs/>
        </w:rPr>
      </w:pPr>
      <w:r w:rsidRPr="00DD5C8A">
        <w:rPr>
          <w:iCs/>
        </w:rPr>
        <w:t>The PBAC noted that the pre-PBAC response provided a revised calculation with Australian ingredients in Formulation 2</w:t>
      </w:r>
      <w:r w:rsidR="000A72B9">
        <w:rPr>
          <w:iCs/>
        </w:rPr>
        <w:t xml:space="preserve"> in response to the NPWP advice</w:t>
      </w:r>
      <w:r w:rsidR="00B64B9A" w:rsidRPr="00DD5C8A">
        <w:rPr>
          <w:iCs/>
        </w:rPr>
        <w:t xml:space="preserve">. </w:t>
      </w:r>
      <w:r w:rsidRPr="00DD5C8A">
        <w:rPr>
          <w:bCs/>
        </w:rPr>
        <w:t>The PBAC considered the</w:t>
      </w:r>
      <w:r w:rsidR="00280C1F" w:rsidRPr="00DD5C8A">
        <w:rPr>
          <w:bCs/>
        </w:rPr>
        <w:t xml:space="preserve"> revised calculation did not justify the</w:t>
      </w:r>
      <w:r w:rsidRPr="00DD5C8A">
        <w:rPr>
          <w:bCs/>
        </w:rPr>
        <w:t xml:space="preserve"> requested price for KetoVie Peptide 4:1</w:t>
      </w:r>
      <w:r w:rsidR="009A7558" w:rsidRPr="00DD5C8A">
        <w:rPr>
          <w:bCs/>
        </w:rPr>
        <w:t>, which</w:t>
      </w:r>
      <w:r w:rsidRPr="00DD5C8A">
        <w:rPr>
          <w:bCs/>
        </w:rPr>
        <w:t xml:space="preserve"> was significantly higher than the other PBS-listed peptide-based </w:t>
      </w:r>
      <w:r w:rsidR="00D34C79" w:rsidRPr="00DD5C8A">
        <w:rPr>
          <w:bCs/>
        </w:rPr>
        <w:t>formula</w:t>
      </w:r>
      <w:r w:rsidRPr="00DD5C8A">
        <w:rPr>
          <w:bCs/>
        </w:rPr>
        <w:t xml:space="preserve">s such as </w:t>
      </w:r>
      <w:bookmarkStart w:id="18" w:name="_Hlk78196764"/>
      <w:r w:rsidRPr="00DD5C8A">
        <w:rPr>
          <w:bCs/>
        </w:rPr>
        <w:t>Nutrini Peptisorb ($0.0047 per kJ) and Nestle Peptamen Junior ($0.0047 per kJ)</w:t>
      </w:r>
      <w:bookmarkEnd w:id="18"/>
      <w:r w:rsidRPr="00DD5C8A">
        <w:rPr>
          <w:bCs/>
        </w:rPr>
        <w:t>.</w:t>
      </w:r>
      <w:r w:rsidR="00D62B40" w:rsidRPr="00DD5C8A">
        <w:rPr>
          <w:bCs/>
        </w:rPr>
        <w:t xml:space="preserve"> </w:t>
      </w:r>
    </w:p>
    <w:p w:rsidR="00D34C79" w:rsidRPr="00DD5C8A" w:rsidRDefault="00AC6E3D" w:rsidP="00BA3CA4">
      <w:pPr>
        <w:pStyle w:val="3Bodytext"/>
        <w:rPr>
          <w:rFonts w:ascii="Calibri" w:eastAsia="Times New Roman" w:hAnsi="Calibri" w:cs="Times New Roman"/>
          <w:szCs w:val="24"/>
        </w:rPr>
      </w:pPr>
      <w:r w:rsidRPr="00DD5C8A">
        <w:rPr>
          <w:rFonts w:ascii="Calibri" w:eastAsia="Times New Roman" w:hAnsi="Calibri" w:cs="Times New Roman"/>
          <w:szCs w:val="24"/>
        </w:rPr>
        <w:t xml:space="preserve">The PBAC noted that the </w:t>
      </w:r>
      <w:r w:rsidR="00D34C79" w:rsidRPr="00DD5C8A">
        <w:t xml:space="preserve">financial estimates </w:t>
      </w:r>
      <w:r w:rsidR="000A72B9">
        <w:t>were unchanged from</w:t>
      </w:r>
      <w:r w:rsidRPr="00DD5C8A">
        <w:rPr>
          <w:rFonts w:ascii="Calibri" w:eastAsia="Times New Roman" w:hAnsi="Calibri" w:cs="Times New Roman"/>
          <w:szCs w:val="24"/>
        </w:rPr>
        <w:t xml:space="preserve"> the November</w:t>
      </w:r>
      <w:r w:rsidR="00251E58" w:rsidRPr="00DD5C8A">
        <w:rPr>
          <w:rFonts w:ascii="Calibri" w:eastAsia="Times New Roman" w:hAnsi="Calibri" w:cs="Times New Roman"/>
          <w:szCs w:val="24"/>
        </w:rPr>
        <w:t> </w:t>
      </w:r>
      <w:r w:rsidRPr="00DD5C8A">
        <w:rPr>
          <w:rFonts w:ascii="Calibri" w:eastAsia="Times New Roman" w:hAnsi="Calibri" w:cs="Times New Roman"/>
          <w:szCs w:val="24"/>
        </w:rPr>
        <w:t xml:space="preserve">2020 submission. </w:t>
      </w:r>
      <w:r w:rsidR="00251E58" w:rsidRPr="00DD5C8A">
        <w:rPr>
          <w:rFonts w:ascii="Calibri" w:eastAsia="Times New Roman" w:hAnsi="Calibri" w:cs="Times New Roman"/>
          <w:szCs w:val="24"/>
        </w:rPr>
        <w:t>T</w:t>
      </w:r>
      <w:r w:rsidR="00251E58" w:rsidRPr="00DD5C8A">
        <w:t xml:space="preserve">he PBAC reaffirmed its </w:t>
      </w:r>
      <w:r w:rsidR="003C06D6">
        <w:t>advice</w:t>
      </w:r>
      <w:r w:rsidR="003C06D6" w:rsidRPr="00DD5C8A">
        <w:t xml:space="preserve"> </w:t>
      </w:r>
      <w:r w:rsidR="00251E58" w:rsidRPr="00DD5C8A">
        <w:t>that the financial estimates were likely to be underestimated</w:t>
      </w:r>
      <w:r w:rsidR="003C06D6">
        <w:t>.</w:t>
      </w:r>
      <w:r w:rsidR="00251E58" w:rsidRPr="00DD5C8A">
        <w:t xml:space="preserve"> </w:t>
      </w:r>
      <w:r w:rsidR="003C06D6">
        <w:t>T</w:t>
      </w:r>
      <w:r w:rsidR="00251E58" w:rsidRPr="00DD5C8A">
        <w:t>he submission assumed all use of KetoVie was in place of KetoCal</w:t>
      </w:r>
      <w:r w:rsidR="00E330D3">
        <w:t>. H</w:t>
      </w:r>
      <w:r w:rsidR="00251E58" w:rsidRPr="00E330D3">
        <w:t>owever</w:t>
      </w:r>
      <w:r w:rsidR="003C06D6">
        <w:t>,</w:t>
      </w:r>
      <w:r w:rsidR="00251E58" w:rsidRPr="00E330D3">
        <w:t xml:space="preserve"> the listing of KetoVie Peptide 4:1 </w:t>
      </w:r>
      <w:r w:rsidR="003C06D6">
        <w:t>may</w:t>
      </w:r>
      <w:r w:rsidR="00251E58" w:rsidRPr="00E330D3">
        <w:t xml:space="preserve"> replace both KetoCal and amino acid based preparations</w:t>
      </w:r>
      <w:r w:rsidR="003C06D6">
        <w:t>. Additionally,</w:t>
      </w:r>
      <w:r w:rsidR="00251E58" w:rsidRPr="00E330D3">
        <w:t xml:space="preserve"> the submission provided no estimate </w:t>
      </w:r>
      <w:r w:rsidR="003C06D6">
        <w:t>of</w:t>
      </w:r>
      <w:r w:rsidR="003C06D6" w:rsidRPr="00E330D3">
        <w:t xml:space="preserve"> </w:t>
      </w:r>
      <w:r w:rsidR="00251E58" w:rsidRPr="00E330D3">
        <w:t>the number of patients who required tube feeding for ketogenic diet in the private or public hospital system.</w:t>
      </w:r>
    </w:p>
    <w:p w:rsidR="009A7558" w:rsidRPr="00DD5C8A" w:rsidRDefault="00110CB6" w:rsidP="00373961">
      <w:pPr>
        <w:pStyle w:val="3Bodytext"/>
        <w:rPr>
          <w:rFonts w:ascii="Calibri" w:eastAsia="Times New Roman" w:hAnsi="Calibri" w:cs="Times New Roman"/>
          <w:szCs w:val="24"/>
        </w:rPr>
      </w:pPr>
      <w:r>
        <w:t xml:space="preserve">The PBAC recognised a small </w:t>
      </w:r>
      <w:r w:rsidRPr="00110CB6">
        <w:t>a</w:t>
      </w:r>
      <w:r>
        <w:t>dditional</w:t>
      </w:r>
      <w:r w:rsidRPr="00110CB6">
        <w:t xml:space="preserve"> clinical benefit</w:t>
      </w:r>
      <w:r>
        <w:t xml:space="preserve"> of KetoVie Peptide 4:1 over KetoCal 4:1 for</w:t>
      </w:r>
      <w:r w:rsidRPr="00110CB6">
        <w:t xml:space="preserve"> a small cohort of patients with epileptic conditions who experienced gastrointestinal tract intolerance to other products or those who were intolerant to both cow’s milk and soy milk protein.</w:t>
      </w:r>
      <w:r>
        <w:t xml:space="preserve"> The PBAC recommended KetoVie Peptide 4:1 at a price </w:t>
      </w:r>
      <w:r w:rsidR="009A7558" w:rsidRPr="00DD5C8A">
        <w:t>no more than $</w:t>
      </w:r>
      <w:r w:rsidR="007F70B9">
        <w:rPr>
          <w:noProof/>
          <w:color w:val="000000"/>
          <w:highlight w:val="black"/>
        </w:rPr>
        <w:t>''''''''''''</w:t>
      </w:r>
      <w:r w:rsidR="009A7558" w:rsidRPr="00DD5C8A">
        <w:t xml:space="preserve"> per kJ (</w:t>
      </w:r>
      <w:bookmarkStart w:id="19" w:name="_Hlk78197159"/>
      <w:r w:rsidR="009A7558" w:rsidRPr="00DD5C8A">
        <w:t xml:space="preserve">approximately </w:t>
      </w:r>
      <w:r w:rsidR="007F70B9">
        <w:rPr>
          <w:noProof/>
          <w:color w:val="000000"/>
          <w:highlight w:val="black"/>
        </w:rPr>
        <w:t>'''''</w:t>
      </w:r>
      <w:r w:rsidR="009A7558" w:rsidRPr="00DD5C8A">
        <w:t>% premium over KetoCal 4:1</w:t>
      </w:r>
      <w:bookmarkEnd w:id="19"/>
      <w:r w:rsidR="009A7558" w:rsidRPr="00DD5C8A">
        <w:t>)</w:t>
      </w:r>
      <w:r w:rsidR="00EA599F" w:rsidRPr="00DD5C8A">
        <w:t xml:space="preserve">. </w:t>
      </w:r>
      <w:r>
        <w:t xml:space="preserve">At </w:t>
      </w:r>
      <w:r w:rsidR="00EA599F" w:rsidRPr="00DD5C8A">
        <w:t xml:space="preserve">this price, the PBAC estimated a net cost to the PBS of </w:t>
      </w:r>
      <w:r w:rsidR="00373961" w:rsidRPr="00373961">
        <w:t>$0 to &lt; $10 million</w:t>
      </w:r>
      <w:r w:rsidR="00373961">
        <w:t xml:space="preserve"> </w:t>
      </w:r>
      <w:r w:rsidR="00EA599F" w:rsidRPr="00DD5C8A">
        <w:t xml:space="preserve">in Year 6 of listing, with a total net cost to the PBS of </w:t>
      </w:r>
      <w:r w:rsidR="00373961" w:rsidRPr="00373961">
        <w:t>$0 to &lt; $10 million</w:t>
      </w:r>
      <w:r w:rsidR="00373961">
        <w:t xml:space="preserve"> </w:t>
      </w:r>
      <w:r w:rsidR="00EA599F" w:rsidRPr="00DD5C8A">
        <w:t>over the first 6 years of listing</w:t>
      </w:r>
      <w:r w:rsidR="00DD5C8A">
        <w:t xml:space="preserve">. </w:t>
      </w:r>
      <w:r w:rsidR="009A7558" w:rsidRPr="00DD5C8A">
        <w:t xml:space="preserve"> </w:t>
      </w:r>
    </w:p>
    <w:p w:rsidR="008C17F0" w:rsidRPr="00C04A64" w:rsidRDefault="00D34C79" w:rsidP="008C17F0">
      <w:pPr>
        <w:pStyle w:val="3Bodytext"/>
        <w:rPr>
          <w:rFonts w:ascii="Calibri" w:hAnsi="Calibri"/>
        </w:rPr>
      </w:pPr>
      <w:r w:rsidRPr="00C04A64">
        <w:rPr>
          <w:rFonts w:ascii="Calibri" w:hAnsi="Calibri"/>
        </w:rPr>
        <w:t>The PBAC recalled the sponsor requested an Authority Required (STREAMLINED) listing</w:t>
      </w:r>
      <w:r w:rsidR="00617C4B">
        <w:rPr>
          <w:rFonts w:ascii="Calibri" w:hAnsi="Calibri"/>
        </w:rPr>
        <w:t>.</w:t>
      </w:r>
      <w:r w:rsidRPr="00C04A64">
        <w:rPr>
          <w:rFonts w:ascii="Calibri" w:hAnsi="Calibri"/>
        </w:rPr>
        <w:t xml:space="preserve"> </w:t>
      </w:r>
      <w:r w:rsidR="00617C4B">
        <w:rPr>
          <w:rFonts w:ascii="Calibri" w:hAnsi="Calibri"/>
        </w:rPr>
        <w:t>The PBAC</w:t>
      </w:r>
      <w:r w:rsidR="00617C4B" w:rsidRPr="00C04A64">
        <w:rPr>
          <w:rFonts w:ascii="Calibri" w:hAnsi="Calibri"/>
        </w:rPr>
        <w:t xml:space="preserve"> </w:t>
      </w:r>
      <w:r w:rsidR="00E70947" w:rsidRPr="00C04A64">
        <w:rPr>
          <w:rFonts w:ascii="Calibri" w:hAnsi="Calibri"/>
        </w:rPr>
        <w:t>considered</w:t>
      </w:r>
      <w:r w:rsidR="008C17F0" w:rsidRPr="00C04A64">
        <w:rPr>
          <w:rFonts w:ascii="Calibri" w:hAnsi="Calibri"/>
        </w:rPr>
        <w:t xml:space="preserve"> </w:t>
      </w:r>
      <w:r w:rsidR="00617C4B">
        <w:rPr>
          <w:rFonts w:ascii="Calibri" w:hAnsi="Calibri"/>
        </w:rPr>
        <w:t xml:space="preserve">an </w:t>
      </w:r>
      <w:r w:rsidR="008C17F0" w:rsidRPr="00C04A64">
        <w:rPr>
          <w:rFonts w:ascii="Calibri" w:hAnsi="Calibri"/>
        </w:rPr>
        <w:t>Authority Required (</w:t>
      </w:r>
      <w:r w:rsidR="002D28ED" w:rsidRPr="002D28ED">
        <w:rPr>
          <w:rFonts w:ascii="Calibri" w:hAnsi="Calibri"/>
        </w:rPr>
        <w:t>telephone/online PBS Authorities system)</w:t>
      </w:r>
      <w:r w:rsidR="008C17F0" w:rsidRPr="00C04A64">
        <w:rPr>
          <w:rFonts w:ascii="Calibri" w:hAnsi="Calibri"/>
        </w:rPr>
        <w:t xml:space="preserve"> restriction would be appropriate to minimise use outside the recommended </w:t>
      </w:r>
      <w:r w:rsidR="00A20988" w:rsidRPr="00C04A64">
        <w:rPr>
          <w:rFonts w:ascii="Calibri" w:hAnsi="Calibri"/>
        </w:rPr>
        <w:t>population</w:t>
      </w:r>
      <w:r w:rsidR="00294F34">
        <w:rPr>
          <w:rFonts w:ascii="Calibri" w:hAnsi="Calibri"/>
        </w:rPr>
        <w:t>,</w:t>
      </w:r>
      <w:r w:rsidR="00A20988" w:rsidRPr="00C04A64">
        <w:rPr>
          <w:rFonts w:ascii="Calibri" w:hAnsi="Calibri"/>
        </w:rPr>
        <w:t xml:space="preserve"> such as</w:t>
      </w:r>
      <w:r w:rsidR="008C17F0" w:rsidRPr="00C04A64">
        <w:rPr>
          <w:rFonts w:ascii="Calibri" w:hAnsi="Calibri"/>
        </w:rPr>
        <w:t xml:space="preserve"> </w:t>
      </w:r>
      <w:r w:rsidR="00294F34">
        <w:rPr>
          <w:rFonts w:ascii="Calibri" w:hAnsi="Calibri"/>
        </w:rPr>
        <w:t xml:space="preserve">in </w:t>
      </w:r>
      <w:r w:rsidR="008C17F0" w:rsidRPr="00C04A64">
        <w:rPr>
          <w:rFonts w:ascii="Calibri" w:hAnsi="Calibri"/>
        </w:rPr>
        <w:t>patients without intolerance to intact protein.</w:t>
      </w:r>
      <w:r w:rsidR="00E70947" w:rsidRPr="00C04A64">
        <w:rPr>
          <w:rFonts w:ascii="Calibri" w:hAnsi="Calibri"/>
        </w:rPr>
        <w:t xml:space="preserve"> </w:t>
      </w:r>
    </w:p>
    <w:p w:rsidR="00251E58" w:rsidRPr="00C04A64" w:rsidRDefault="00251E58" w:rsidP="008C17F0">
      <w:pPr>
        <w:pStyle w:val="3Bodytext"/>
        <w:rPr>
          <w:rFonts w:ascii="Calibri" w:hAnsi="Calibri"/>
        </w:rPr>
      </w:pPr>
      <w:r w:rsidRPr="00DD5C8A">
        <w:t>The PBAC advised that KetoVie products are suitable for prescribing by nurse practitioners.</w:t>
      </w:r>
    </w:p>
    <w:p w:rsidR="00251E58" w:rsidRPr="00C04A64" w:rsidRDefault="00251E58" w:rsidP="008C17F0">
      <w:pPr>
        <w:pStyle w:val="3Bodytext"/>
        <w:rPr>
          <w:rFonts w:ascii="Calibri" w:hAnsi="Calibri"/>
        </w:rPr>
      </w:pPr>
      <w:r w:rsidRPr="00DD5C8A">
        <w:t>The PBAC recommended that the Early Supply Rule should not apply.</w:t>
      </w:r>
    </w:p>
    <w:p w:rsidR="008C17F0" w:rsidRPr="00C04A64" w:rsidRDefault="008C17F0" w:rsidP="008C17F0">
      <w:pPr>
        <w:pStyle w:val="3Bodytext"/>
        <w:rPr>
          <w:rFonts w:ascii="Calibri" w:hAnsi="Calibri"/>
        </w:rPr>
      </w:pPr>
      <w:r w:rsidRPr="00C04A64">
        <w:rPr>
          <w:rFonts w:ascii="Calibri" w:hAnsi="Calibri"/>
        </w:rPr>
        <w:t xml:space="preserve">The PBAC </w:t>
      </w:r>
      <w:r w:rsidR="00853B05" w:rsidRPr="00C04A64">
        <w:rPr>
          <w:rFonts w:ascii="Calibri" w:hAnsi="Calibri"/>
        </w:rPr>
        <w:t xml:space="preserve">considered it appropriate that </w:t>
      </w:r>
      <w:r w:rsidRPr="00C04A64">
        <w:rPr>
          <w:rFonts w:ascii="Calibri" w:hAnsi="Calibri"/>
        </w:rPr>
        <w:t>administrative advice</w:t>
      </w:r>
      <w:r w:rsidR="00853B05" w:rsidRPr="00C04A64">
        <w:rPr>
          <w:rFonts w:ascii="Calibri" w:hAnsi="Calibri"/>
        </w:rPr>
        <w:t xml:space="preserve"> be</w:t>
      </w:r>
      <w:r w:rsidRPr="00C04A64">
        <w:rPr>
          <w:rFonts w:ascii="Calibri" w:hAnsi="Calibri"/>
        </w:rPr>
        <w:t xml:space="preserve"> include</w:t>
      </w:r>
      <w:r w:rsidR="00853B05" w:rsidRPr="00C04A64">
        <w:rPr>
          <w:rFonts w:ascii="Calibri" w:hAnsi="Calibri"/>
        </w:rPr>
        <w:t>d in the restriction</w:t>
      </w:r>
      <w:r w:rsidRPr="00C04A64">
        <w:rPr>
          <w:rFonts w:ascii="Calibri" w:hAnsi="Calibri"/>
        </w:rPr>
        <w:t xml:space="preserve"> to </w:t>
      </w:r>
      <w:r w:rsidR="00AA6E9A" w:rsidRPr="00C04A64">
        <w:rPr>
          <w:rFonts w:ascii="Calibri" w:hAnsi="Calibri"/>
        </w:rPr>
        <w:t>enable approval</w:t>
      </w:r>
      <w:r w:rsidRPr="00C04A64">
        <w:rPr>
          <w:rFonts w:ascii="Calibri" w:hAnsi="Calibri"/>
        </w:rPr>
        <w:t xml:space="preserve"> for</w:t>
      </w:r>
      <w:r w:rsidR="00294F34">
        <w:rPr>
          <w:rFonts w:ascii="Calibri" w:hAnsi="Calibri"/>
        </w:rPr>
        <w:t xml:space="preserve"> </w:t>
      </w:r>
      <w:r w:rsidR="00F55E75">
        <w:rPr>
          <w:rFonts w:ascii="Calibri" w:hAnsi="Calibri"/>
        </w:rPr>
        <w:t xml:space="preserve">an </w:t>
      </w:r>
      <w:r w:rsidR="00294F34">
        <w:rPr>
          <w:rFonts w:ascii="Calibri" w:hAnsi="Calibri"/>
        </w:rPr>
        <w:t>increase</w:t>
      </w:r>
      <w:r w:rsidR="00F55E75">
        <w:rPr>
          <w:rFonts w:ascii="Calibri" w:hAnsi="Calibri"/>
        </w:rPr>
        <w:t xml:space="preserve"> in the maximum quantity </w:t>
      </w:r>
      <w:r w:rsidR="00F55E75" w:rsidRPr="00F55E75">
        <w:rPr>
          <w:rFonts w:ascii="Calibri" w:hAnsi="Calibri"/>
        </w:rPr>
        <w:t>(packs) of up to twice the value</w:t>
      </w:r>
      <w:r w:rsidR="00F55E75">
        <w:rPr>
          <w:rFonts w:ascii="Calibri" w:hAnsi="Calibri"/>
        </w:rPr>
        <w:t xml:space="preserve"> </w:t>
      </w:r>
      <w:r w:rsidRPr="00C04A64">
        <w:rPr>
          <w:rFonts w:ascii="Calibri" w:hAnsi="Calibri"/>
        </w:rPr>
        <w:t xml:space="preserve">through Services Australia. </w:t>
      </w:r>
    </w:p>
    <w:p w:rsidR="00251E58" w:rsidRPr="00C04A64" w:rsidRDefault="00251E58" w:rsidP="008C17F0">
      <w:pPr>
        <w:pStyle w:val="3Bodytext"/>
        <w:rPr>
          <w:rFonts w:ascii="Calibri" w:hAnsi="Calibri"/>
        </w:rPr>
      </w:pPr>
      <w:r w:rsidRPr="00DD5C8A">
        <w:t>The PBAC advised that, because KetoVie products are not expected address a high and urgent unmet clinical need given the presence of alternative therapies, the criteria prescribed by the National Health (Pharmaceuticals and Vaccines – Cost Recovery) Regulations 2009 for Pricing Pathway A were not met.</w:t>
      </w:r>
    </w:p>
    <w:p w:rsidR="0016299A" w:rsidRPr="00DD5C8A" w:rsidRDefault="0016299A" w:rsidP="0016299A">
      <w:pPr>
        <w:numPr>
          <w:ilvl w:val="1"/>
          <w:numId w:val="3"/>
        </w:numPr>
        <w:spacing w:after="120"/>
        <w:ind w:left="720"/>
        <w:rPr>
          <w:rFonts w:asciiTheme="minorHAnsi" w:eastAsiaTheme="minorHAnsi" w:hAnsiTheme="minorHAnsi" w:cstheme="minorBidi"/>
          <w:bCs/>
          <w:szCs w:val="22"/>
        </w:rPr>
      </w:pPr>
      <w:r w:rsidRPr="00DD5C8A">
        <w:rPr>
          <w:rFonts w:asciiTheme="minorHAnsi" w:eastAsiaTheme="minorHAnsi" w:hAnsiTheme="minorHAnsi" w:cstheme="minorBidi"/>
          <w:bCs/>
          <w:szCs w:val="22"/>
        </w:rPr>
        <w:t xml:space="preserve">The PBAC noted that this submission is not eligible for an Independent Review as it received a positive recommendation. </w:t>
      </w:r>
    </w:p>
    <w:p w:rsidR="0016299A" w:rsidRPr="00C04A64" w:rsidRDefault="0016299A" w:rsidP="0016299A">
      <w:pPr>
        <w:rPr>
          <w:b/>
          <w:bCs/>
        </w:rPr>
      </w:pPr>
      <w:r w:rsidRPr="00C04A64">
        <w:rPr>
          <w:b/>
          <w:bCs/>
        </w:rPr>
        <w:t>Outcome:</w:t>
      </w:r>
    </w:p>
    <w:p w:rsidR="0016299A" w:rsidRPr="00C04A64" w:rsidRDefault="0016299A" w:rsidP="0016299A">
      <w:pPr>
        <w:rPr>
          <w:bCs/>
        </w:rPr>
      </w:pPr>
      <w:r w:rsidRPr="00C04A64">
        <w:rPr>
          <w:bCs/>
        </w:rPr>
        <w:t xml:space="preserve">Recommended </w:t>
      </w:r>
    </w:p>
    <w:p w:rsidR="00BA3CA4" w:rsidRPr="00C04A64" w:rsidRDefault="00BA3CA4" w:rsidP="0016299A">
      <w:pPr>
        <w:rPr>
          <w:bCs/>
        </w:rPr>
      </w:pPr>
    </w:p>
    <w:p w:rsidR="00697D22" w:rsidRPr="00DD5C8A" w:rsidRDefault="00697D22" w:rsidP="00697D22">
      <w:pPr>
        <w:pStyle w:val="2-SectionHeading"/>
      </w:pPr>
      <w:r w:rsidRPr="00DD5C8A">
        <w:t>Recommended listing:</w:t>
      </w:r>
    </w:p>
    <w:p w:rsidR="00697D22" w:rsidRPr="00E330D3" w:rsidRDefault="00070F5F" w:rsidP="00697D22">
      <w:pPr>
        <w:pStyle w:val="3Bodytext"/>
        <w:keepNext/>
        <w:rPr>
          <w:bCs/>
        </w:rPr>
      </w:pPr>
      <w:r w:rsidRPr="00DD5C8A">
        <w:rPr>
          <w:bCs/>
        </w:rPr>
        <w:t>Add new</w:t>
      </w:r>
      <w:r w:rsidR="00697D22" w:rsidRPr="00E330D3">
        <w:rPr>
          <w:bCs/>
        </w:rPr>
        <w:t xml:space="preserve"> medicinal product packs as follows:</w:t>
      </w:r>
    </w:p>
    <w:p w:rsidR="009C5421" w:rsidRDefault="009C5421">
      <w:pPr>
        <w:jc w:val="left"/>
        <w:rPr>
          <w:bCs/>
        </w:rPr>
      </w:pPr>
      <w:r>
        <w:rPr>
          <w:bCs/>
        </w:rPr>
        <w:br w:type="page"/>
      </w:r>
    </w:p>
    <w:p w:rsidR="00697D22" w:rsidRPr="00C04A64" w:rsidRDefault="00697D22" w:rsidP="0016299A">
      <w:pPr>
        <w:rPr>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261"/>
        <w:gridCol w:w="850"/>
        <w:gridCol w:w="851"/>
        <w:gridCol w:w="850"/>
        <w:gridCol w:w="567"/>
        <w:gridCol w:w="1560"/>
      </w:tblGrid>
      <w:tr w:rsidR="00697D22" w:rsidRPr="00DD5C8A" w:rsidTr="00697D22">
        <w:trPr>
          <w:cantSplit/>
          <w:trHeight w:val="471"/>
        </w:trPr>
        <w:tc>
          <w:tcPr>
            <w:tcW w:w="4248" w:type="dxa"/>
            <w:gridSpan w:val="2"/>
          </w:tcPr>
          <w:p w:rsidR="00697D22" w:rsidRPr="00DD5C8A" w:rsidRDefault="00697D22" w:rsidP="00697D22">
            <w:pPr>
              <w:keepNext/>
              <w:rPr>
                <w:rFonts w:ascii="Arial Narrow" w:hAnsi="Arial Narrow" w:cs="Arial"/>
                <w:b/>
                <w:sz w:val="18"/>
                <w:szCs w:val="18"/>
              </w:rPr>
            </w:pPr>
            <w:r w:rsidRPr="00DD5C8A">
              <w:rPr>
                <w:rFonts w:ascii="Arial Narrow" w:hAnsi="Arial Narrow" w:cs="Arial"/>
                <w:b/>
                <w:sz w:val="18"/>
                <w:szCs w:val="18"/>
              </w:rPr>
              <w:t>MEDICINAL PRODUCT</w:t>
            </w:r>
          </w:p>
          <w:p w:rsidR="00697D22" w:rsidRPr="00DD5C8A" w:rsidRDefault="00697D22" w:rsidP="00697D22">
            <w:pPr>
              <w:keepNext/>
              <w:rPr>
                <w:rFonts w:ascii="Arial Narrow" w:hAnsi="Arial Narrow" w:cs="Arial"/>
                <w:b/>
                <w:sz w:val="18"/>
                <w:szCs w:val="18"/>
              </w:rPr>
            </w:pPr>
            <w:r w:rsidRPr="00DD5C8A">
              <w:rPr>
                <w:rFonts w:ascii="Arial Narrow" w:hAnsi="Arial Narrow" w:cs="Arial"/>
                <w:b/>
                <w:sz w:val="18"/>
                <w:szCs w:val="18"/>
              </w:rPr>
              <w:t>medicinal product pack</w:t>
            </w:r>
          </w:p>
        </w:tc>
        <w:tc>
          <w:tcPr>
            <w:tcW w:w="850" w:type="dxa"/>
          </w:tcPr>
          <w:p w:rsidR="00697D22" w:rsidRPr="00E330D3" w:rsidRDefault="00697D22" w:rsidP="00697D22">
            <w:pPr>
              <w:keepNext/>
              <w:ind w:left="-108"/>
              <w:jc w:val="center"/>
              <w:rPr>
                <w:rFonts w:ascii="Arial Narrow" w:hAnsi="Arial Narrow" w:cs="Arial"/>
                <w:b/>
                <w:sz w:val="18"/>
                <w:szCs w:val="18"/>
              </w:rPr>
            </w:pPr>
            <w:r w:rsidRPr="00E330D3">
              <w:rPr>
                <w:rFonts w:ascii="Arial Narrow" w:hAnsi="Arial Narrow" w:cs="Arial"/>
                <w:b/>
                <w:sz w:val="18"/>
                <w:szCs w:val="18"/>
              </w:rPr>
              <w:t>PBS item code</w:t>
            </w:r>
          </w:p>
        </w:tc>
        <w:tc>
          <w:tcPr>
            <w:tcW w:w="851" w:type="dxa"/>
          </w:tcPr>
          <w:p w:rsidR="00697D22" w:rsidRPr="00DD5C8A" w:rsidRDefault="00697D22" w:rsidP="00697D22">
            <w:pPr>
              <w:keepNext/>
              <w:ind w:left="-108"/>
              <w:jc w:val="center"/>
              <w:rPr>
                <w:rFonts w:ascii="Arial Narrow" w:hAnsi="Arial Narrow" w:cs="Arial"/>
                <w:b/>
                <w:sz w:val="18"/>
                <w:szCs w:val="18"/>
              </w:rPr>
            </w:pPr>
            <w:r w:rsidRPr="00DD5C8A">
              <w:rPr>
                <w:rFonts w:ascii="Arial Narrow" w:hAnsi="Arial Narrow" w:cs="Arial"/>
                <w:b/>
                <w:sz w:val="18"/>
                <w:szCs w:val="18"/>
              </w:rPr>
              <w:t>Max. qty packs</w:t>
            </w:r>
          </w:p>
        </w:tc>
        <w:tc>
          <w:tcPr>
            <w:tcW w:w="850" w:type="dxa"/>
          </w:tcPr>
          <w:p w:rsidR="00697D22" w:rsidRPr="00DD5C8A" w:rsidRDefault="00697D22" w:rsidP="00697D22">
            <w:pPr>
              <w:keepNext/>
              <w:ind w:left="-108"/>
              <w:jc w:val="center"/>
              <w:rPr>
                <w:rFonts w:ascii="Arial Narrow" w:hAnsi="Arial Narrow" w:cs="Arial"/>
                <w:b/>
                <w:sz w:val="18"/>
                <w:szCs w:val="18"/>
              </w:rPr>
            </w:pPr>
            <w:r w:rsidRPr="00DD5C8A">
              <w:rPr>
                <w:rFonts w:ascii="Arial Narrow" w:hAnsi="Arial Narrow" w:cs="Arial"/>
                <w:b/>
                <w:sz w:val="18"/>
                <w:szCs w:val="18"/>
              </w:rPr>
              <w:t>Max. qty units</w:t>
            </w:r>
          </w:p>
        </w:tc>
        <w:tc>
          <w:tcPr>
            <w:tcW w:w="567" w:type="dxa"/>
          </w:tcPr>
          <w:p w:rsidR="00697D22" w:rsidRPr="00DD5C8A" w:rsidRDefault="00697D22" w:rsidP="00697D22">
            <w:pPr>
              <w:keepNext/>
              <w:ind w:left="-108"/>
              <w:jc w:val="center"/>
              <w:rPr>
                <w:rFonts w:ascii="Arial Narrow" w:hAnsi="Arial Narrow" w:cs="Arial"/>
                <w:b/>
                <w:sz w:val="18"/>
                <w:szCs w:val="18"/>
              </w:rPr>
            </w:pPr>
            <w:r w:rsidRPr="00DD5C8A">
              <w:rPr>
                <w:rFonts w:ascii="Arial Narrow" w:hAnsi="Arial Narrow" w:cs="Arial"/>
                <w:b/>
                <w:sz w:val="18"/>
                <w:szCs w:val="18"/>
              </w:rPr>
              <w:t>№.of</w:t>
            </w:r>
          </w:p>
          <w:p w:rsidR="00697D22" w:rsidRPr="00DD5C8A" w:rsidRDefault="00697D22" w:rsidP="00697D22">
            <w:pPr>
              <w:keepNext/>
              <w:ind w:left="-108"/>
              <w:jc w:val="center"/>
              <w:rPr>
                <w:rFonts w:ascii="Arial Narrow" w:hAnsi="Arial Narrow" w:cs="Arial"/>
                <w:b/>
                <w:sz w:val="18"/>
                <w:szCs w:val="18"/>
              </w:rPr>
            </w:pPr>
            <w:r w:rsidRPr="00DD5C8A">
              <w:rPr>
                <w:rFonts w:ascii="Arial Narrow" w:hAnsi="Arial Narrow" w:cs="Arial"/>
                <w:b/>
                <w:sz w:val="18"/>
                <w:szCs w:val="18"/>
              </w:rPr>
              <w:t>Rpts</w:t>
            </w:r>
          </w:p>
        </w:tc>
        <w:tc>
          <w:tcPr>
            <w:tcW w:w="1560" w:type="dxa"/>
          </w:tcPr>
          <w:p w:rsidR="00697D22" w:rsidRPr="00DD5C8A" w:rsidRDefault="00697D22" w:rsidP="00697D22">
            <w:pPr>
              <w:keepNext/>
              <w:rPr>
                <w:rFonts w:ascii="Arial Narrow" w:hAnsi="Arial Narrow" w:cs="Arial"/>
                <w:b/>
                <w:sz w:val="18"/>
                <w:szCs w:val="18"/>
              </w:rPr>
            </w:pPr>
            <w:r w:rsidRPr="00DD5C8A">
              <w:rPr>
                <w:rFonts w:ascii="Arial Narrow" w:hAnsi="Arial Narrow" w:cs="Arial"/>
                <w:b/>
                <w:sz w:val="18"/>
                <w:szCs w:val="18"/>
              </w:rPr>
              <w:t>Available brands</w:t>
            </w:r>
          </w:p>
        </w:tc>
      </w:tr>
      <w:tr w:rsidR="00697D22" w:rsidRPr="00DD5C8A" w:rsidTr="00697D22">
        <w:trPr>
          <w:cantSplit/>
          <w:trHeight w:val="355"/>
        </w:trPr>
        <w:tc>
          <w:tcPr>
            <w:tcW w:w="8926" w:type="dxa"/>
            <w:gridSpan w:val="7"/>
          </w:tcPr>
          <w:p w:rsidR="00697D22" w:rsidRPr="00DD5C8A" w:rsidRDefault="00697D22" w:rsidP="00697D22">
            <w:pPr>
              <w:keepNext/>
              <w:rPr>
                <w:rFonts w:ascii="Arial Narrow" w:hAnsi="Arial Narrow" w:cs="Arial"/>
                <w:sz w:val="18"/>
                <w:szCs w:val="18"/>
              </w:rPr>
            </w:pPr>
            <w:r w:rsidRPr="00DD5C8A">
              <w:rPr>
                <w:rFonts w:ascii="Arial Narrow" w:hAnsi="Arial Narrow" w:cs="Arial"/>
                <w:sz w:val="18"/>
                <w:szCs w:val="18"/>
              </w:rPr>
              <w:t>HIGH FAT FORMULA WITH VITAMINS, MINERALS AND TRACE ELEMENTS AND LOW IN PROTEIN AND CARBOHYDRATE</w:t>
            </w:r>
          </w:p>
        </w:tc>
      </w:tr>
      <w:tr w:rsidR="00697D22" w:rsidRPr="00DD5C8A" w:rsidTr="00697D22">
        <w:trPr>
          <w:cantSplit/>
          <w:trHeight w:val="686"/>
        </w:trPr>
        <w:tc>
          <w:tcPr>
            <w:tcW w:w="4248" w:type="dxa"/>
            <w:gridSpan w:val="2"/>
          </w:tcPr>
          <w:p w:rsidR="00697D22" w:rsidRPr="00DD5C8A" w:rsidRDefault="00697D22" w:rsidP="00697D22">
            <w:pPr>
              <w:keepNext/>
              <w:rPr>
                <w:rFonts w:ascii="Arial Narrow" w:hAnsi="Arial Narrow" w:cs="Arial"/>
                <w:sz w:val="18"/>
                <w:szCs w:val="18"/>
              </w:rPr>
            </w:pPr>
            <w:r w:rsidRPr="00DD5C8A">
              <w:rPr>
                <w:rFonts w:ascii="Arial Narrow" w:hAnsi="Arial Narrow" w:cs="Arial"/>
                <w:sz w:val="18"/>
                <w:szCs w:val="18"/>
              </w:rPr>
              <w:t xml:space="preserve">high fat formula with vitamins, minerals and trace elements and low in protein and carbohydrate (4:1 ratio medium chain fat to carbohydrate plus protein) liquid, 250 mL, 30 </w:t>
            </w:r>
          </w:p>
        </w:tc>
        <w:tc>
          <w:tcPr>
            <w:tcW w:w="850" w:type="dxa"/>
            <w:vAlign w:val="center"/>
          </w:tcPr>
          <w:p w:rsidR="00697D22" w:rsidRPr="00DD5C8A" w:rsidRDefault="00697D22" w:rsidP="00697D22">
            <w:pPr>
              <w:keepNext/>
              <w:jc w:val="center"/>
              <w:rPr>
                <w:rFonts w:ascii="Arial Narrow" w:hAnsi="Arial Narrow" w:cs="Arial"/>
                <w:sz w:val="18"/>
                <w:szCs w:val="18"/>
              </w:rPr>
            </w:pPr>
            <w:r w:rsidRPr="00DD5C8A">
              <w:rPr>
                <w:rFonts w:ascii="Arial Narrow" w:hAnsi="Arial Narrow" w:cs="Arial"/>
                <w:sz w:val="18"/>
                <w:szCs w:val="18"/>
              </w:rPr>
              <w:t>NEW</w:t>
            </w:r>
          </w:p>
        </w:tc>
        <w:tc>
          <w:tcPr>
            <w:tcW w:w="851" w:type="dxa"/>
            <w:vAlign w:val="center"/>
          </w:tcPr>
          <w:p w:rsidR="00697D22" w:rsidRPr="00DD5C8A" w:rsidRDefault="00697D22" w:rsidP="00697D22">
            <w:pPr>
              <w:keepNext/>
              <w:jc w:val="center"/>
              <w:rPr>
                <w:rFonts w:ascii="Arial Narrow" w:hAnsi="Arial Narrow" w:cs="Arial"/>
                <w:sz w:val="18"/>
                <w:szCs w:val="18"/>
              </w:rPr>
            </w:pPr>
            <w:r w:rsidRPr="00DD5C8A">
              <w:rPr>
                <w:rFonts w:ascii="Arial Narrow" w:hAnsi="Arial Narrow" w:cs="Arial"/>
                <w:sz w:val="18"/>
                <w:szCs w:val="18"/>
              </w:rPr>
              <w:t>6</w:t>
            </w:r>
          </w:p>
        </w:tc>
        <w:tc>
          <w:tcPr>
            <w:tcW w:w="850" w:type="dxa"/>
            <w:vAlign w:val="center"/>
          </w:tcPr>
          <w:p w:rsidR="00697D22" w:rsidRPr="00DD5C8A" w:rsidRDefault="00697D22" w:rsidP="00697D22">
            <w:pPr>
              <w:keepNext/>
              <w:jc w:val="center"/>
              <w:rPr>
                <w:rFonts w:ascii="Arial Narrow" w:hAnsi="Arial Narrow" w:cs="Arial"/>
                <w:sz w:val="18"/>
                <w:szCs w:val="18"/>
              </w:rPr>
            </w:pPr>
            <w:r w:rsidRPr="00DD5C8A">
              <w:rPr>
                <w:rFonts w:ascii="Arial Narrow" w:hAnsi="Arial Narrow" w:cs="Arial"/>
                <w:sz w:val="18"/>
                <w:szCs w:val="18"/>
              </w:rPr>
              <w:t>6</w:t>
            </w:r>
          </w:p>
        </w:tc>
        <w:tc>
          <w:tcPr>
            <w:tcW w:w="567" w:type="dxa"/>
            <w:vAlign w:val="center"/>
          </w:tcPr>
          <w:p w:rsidR="00697D22" w:rsidRPr="00DD5C8A" w:rsidRDefault="00697D22" w:rsidP="00697D22">
            <w:pPr>
              <w:keepNext/>
              <w:jc w:val="center"/>
              <w:rPr>
                <w:rFonts w:ascii="Arial Narrow" w:hAnsi="Arial Narrow" w:cs="Arial"/>
                <w:sz w:val="18"/>
                <w:szCs w:val="18"/>
              </w:rPr>
            </w:pPr>
            <w:r w:rsidRPr="00DD5C8A">
              <w:rPr>
                <w:rFonts w:ascii="Arial Narrow" w:hAnsi="Arial Narrow" w:cs="Arial"/>
                <w:sz w:val="18"/>
                <w:szCs w:val="18"/>
              </w:rPr>
              <w:t>5</w:t>
            </w:r>
          </w:p>
        </w:tc>
        <w:tc>
          <w:tcPr>
            <w:tcW w:w="1560" w:type="dxa"/>
            <w:vAlign w:val="center"/>
          </w:tcPr>
          <w:p w:rsidR="00697D22" w:rsidRPr="00DD5C8A" w:rsidRDefault="00697D22" w:rsidP="00697D22">
            <w:pPr>
              <w:keepNext/>
              <w:jc w:val="center"/>
              <w:rPr>
                <w:rFonts w:ascii="Arial Narrow" w:hAnsi="Arial Narrow" w:cs="Arial"/>
                <w:sz w:val="18"/>
                <w:szCs w:val="18"/>
              </w:rPr>
            </w:pPr>
            <w:r w:rsidRPr="00DD5C8A">
              <w:rPr>
                <w:rFonts w:ascii="Arial Narrow" w:hAnsi="Arial Narrow" w:cs="Arial"/>
                <w:sz w:val="18"/>
                <w:szCs w:val="18"/>
              </w:rPr>
              <w:t>KetoVie Peptide 4:1</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rsidR="00697D22" w:rsidRPr="00DD5C8A" w:rsidRDefault="00697D22" w:rsidP="00697D22">
            <w:pPr>
              <w:rPr>
                <w:rFonts w:ascii="Arial Narrow" w:hAnsi="Arial Narrow" w:cs="Arial"/>
                <w:b/>
                <w:sz w:val="18"/>
                <w:szCs w:val="18"/>
              </w:rPr>
            </w:pPr>
            <w:r w:rsidRPr="00DD5C8A">
              <w:rPr>
                <w:rFonts w:ascii="Arial Narrow" w:hAnsi="Arial Narrow" w:cs="Arial"/>
                <w:b/>
                <w:sz w:val="18"/>
                <w:szCs w:val="18"/>
              </w:rPr>
              <w:t xml:space="preserve">Restriction Summary [New] </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Merge w:val="restart"/>
            <w:tcBorders>
              <w:top w:val="single" w:sz="4" w:space="0" w:color="auto"/>
              <w:left w:val="single" w:sz="4" w:space="0" w:color="auto"/>
              <w:right w:val="single" w:sz="4" w:space="0" w:color="auto"/>
            </w:tcBorders>
          </w:tcPr>
          <w:p w:rsidR="00697D22" w:rsidRPr="00DD5C8A" w:rsidRDefault="00697D22" w:rsidP="00697D22">
            <w:pPr>
              <w:jc w:val="cente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rsidR="00697D22" w:rsidRPr="00DD5C8A" w:rsidRDefault="00697D22" w:rsidP="00697D22">
            <w:pPr>
              <w:rPr>
                <w:rFonts w:ascii="Arial Narrow" w:hAnsi="Arial Narrow" w:cs="Arial"/>
                <w:sz w:val="18"/>
                <w:szCs w:val="18"/>
              </w:rPr>
            </w:pPr>
            <w:r w:rsidRPr="00DD5C8A">
              <w:rPr>
                <w:rFonts w:ascii="Arial Narrow" w:hAnsi="Arial Narrow" w:cs="Arial"/>
                <w:b/>
                <w:sz w:val="18"/>
                <w:szCs w:val="18"/>
              </w:rPr>
              <w:t xml:space="preserve">Category / Program:   </w:t>
            </w:r>
            <w:r w:rsidRPr="00DD5C8A">
              <w:rPr>
                <w:rFonts w:ascii="Arial Narrow" w:hAnsi="Arial Narrow" w:cs="Arial"/>
                <w:sz w:val="18"/>
                <w:szCs w:val="18"/>
              </w:rPr>
              <w:t xml:space="preserve">GENERAL – General Schedule (Code GE) </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rPr>
          <w:trHeight w:val="240"/>
        </w:trPr>
        <w:tc>
          <w:tcPr>
            <w:tcW w:w="987" w:type="dxa"/>
            <w:vMerge/>
            <w:tcBorders>
              <w:left w:val="single" w:sz="4" w:space="0" w:color="auto"/>
              <w:right w:val="single" w:sz="4" w:space="0" w:color="auto"/>
            </w:tcBorders>
          </w:tcPr>
          <w:p w:rsidR="00697D22" w:rsidRPr="00DD5C8A" w:rsidRDefault="00697D22" w:rsidP="00697D22">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rsidR="00697D22" w:rsidRPr="00DD5C8A" w:rsidRDefault="00697D22" w:rsidP="00697D22">
            <w:pPr>
              <w:rPr>
                <w:rFonts w:ascii="Arial Narrow" w:hAnsi="Arial Narrow" w:cs="Arial"/>
                <w:b/>
                <w:sz w:val="18"/>
                <w:szCs w:val="18"/>
              </w:rPr>
            </w:pPr>
            <w:r w:rsidRPr="00DD5C8A">
              <w:rPr>
                <w:rFonts w:ascii="Arial Narrow" w:hAnsi="Arial Narrow" w:cs="Arial"/>
                <w:b/>
                <w:sz w:val="18"/>
                <w:szCs w:val="18"/>
              </w:rPr>
              <w:t xml:space="preserve">Prescriber type:   </w:t>
            </w:r>
            <w:r w:rsidRPr="00DD5C8A">
              <w:rPr>
                <w:rFonts w:ascii="Arial Narrow" w:hAnsi="Arial Narrow" w:cs="Arial"/>
                <w:sz w:val="18"/>
                <w:szCs w:val="18"/>
              </w:rPr>
              <w:t xml:space="preserve">    </w:t>
            </w:r>
            <w:r w:rsidRPr="00C04A64">
              <w:rPr>
                <w:rFonts w:ascii="Arial Narrow" w:hAnsi="Arial Narrow" w:cs="Arial"/>
                <w:sz w:val="18"/>
                <w:szCs w:val="18"/>
              </w:rPr>
              <w:fldChar w:fldCharType="begin">
                <w:ffData>
                  <w:name w:val=""/>
                  <w:enabled/>
                  <w:calcOnExit w:val="0"/>
                  <w:checkBox>
                    <w:sizeAuto/>
                    <w:default w:val="1"/>
                  </w:checkBox>
                </w:ffData>
              </w:fldChar>
            </w:r>
            <w:r w:rsidRPr="00DD5C8A">
              <w:rPr>
                <w:rFonts w:ascii="Arial Narrow" w:hAnsi="Arial Narrow" w:cs="Arial"/>
                <w:sz w:val="18"/>
                <w:szCs w:val="18"/>
              </w:rPr>
              <w:instrText xml:space="preserve"> FORMCHECKBOX </w:instrText>
            </w:r>
            <w:r w:rsidR="005F4B8A">
              <w:rPr>
                <w:rFonts w:ascii="Arial Narrow" w:hAnsi="Arial Narrow" w:cs="Arial"/>
                <w:sz w:val="18"/>
                <w:szCs w:val="18"/>
              </w:rPr>
            </w:r>
            <w:r w:rsidR="005F4B8A">
              <w:rPr>
                <w:rFonts w:ascii="Arial Narrow" w:hAnsi="Arial Narrow" w:cs="Arial"/>
                <w:sz w:val="18"/>
                <w:szCs w:val="18"/>
              </w:rPr>
              <w:fldChar w:fldCharType="separate"/>
            </w:r>
            <w:r w:rsidRPr="00C04A64">
              <w:rPr>
                <w:rFonts w:ascii="Arial Narrow" w:hAnsi="Arial Narrow" w:cs="Arial"/>
                <w:sz w:val="18"/>
                <w:szCs w:val="18"/>
              </w:rPr>
              <w:fldChar w:fldCharType="end"/>
            </w:r>
            <w:r w:rsidRPr="00DD5C8A">
              <w:rPr>
                <w:rFonts w:ascii="Arial Narrow" w:hAnsi="Arial Narrow" w:cs="Arial"/>
                <w:sz w:val="18"/>
                <w:szCs w:val="18"/>
              </w:rPr>
              <w:t xml:space="preserve">Medical Practitioners    </w:t>
            </w:r>
            <w:r w:rsidRPr="00C04A64">
              <w:rPr>
                <w:rFonts w:ascii="Arial Narrow" w:hAnsi="Arial Narrow" w:cs="Arial"/>
                <w:sz w:val="18"/>
                <w:szCs w:val="18"/>
              </w:rPr>
              <w:fldChar w:fldCharType="begin">
                <w:ffData>
                  <w:name w:val="Check3"/>
                  <w:enabled/>
                  <w:calcOnExit w:val="0"/>
                  <w:checkBox>
                    <w:sizeAuto/>
                    <w:default w:val="1"/>
                  </w:checkBox>
                </w:ffData>
              </w:fldChar>
            </w:r>
            <w:r w:rsidRPr="00DD5C8A">
              <w:rPr>
                <w:rFonts w:ascii="Arial Narrow" w:hAnsi="Arial Narrow" w:cs="Arial"/>
                <w:sz w:val="18"/>
                <w:szCs w:val="18"/>
              </w:rPr>
              <w:instrText xml:space="preserve"> FORMCHECKBOX </w:instrText>
            </w:r>
            <w:r w:rsidR="005F4B8A">
              <w:rPr>
                <w:rFonts w:ascii="Arial Narrow" w:hAnsi="Arial Narrow" w:cs="Arial"/>
                <w:sz w:val="18"/>
                <w:szCs w:val="18"/>
              </w:rPr>
            </w:r>
            <w:r w:rsidR="005F4B8A">
              <w:rPr>
                <w:rFonts w:ascii="Arial Narrow" w:hAnsi="Arial Narrow" w:cs="Arial"/>
                <w:sz w:val="18"/>
                <w:szCs w:val="18"/>
              </w:rPr>
              <w:fldChar w:fldCharType="separate"/>
            </w:r>
            <w:r w:rsidRPr="00C04A64">
              <w:rPr>
                <w:rFonts w:ascii="Arial Narrow" w:hAnsi="Arial Narrow" w:cs="Arial"/>
                <w:sz w:val="18"/>
                <w:szCs w:val="18"/>
              </w:rPr>
              <w:fldChar w:fldCharType="end"/>
            </w:r>
            <w:r w:rsidRPr="00DD5C8A">
              <w:rPr>
                <w:rFonts w:ascii="Arial Narrow" w:hAnsi="Arial Narrow" w:cs="Arial"/>
                <w:sz w:val="18"/>
                <w:szCs w:val="18"/>
              </w:rPr>
              <w:t xml:space="preserve">Nurse practitioners     </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rPr>
          <w:trHeight w:val="228"/>
        </w:trPr>
        <w:tc>
          <w:tcPr>
            <w:tcW w:w="987" w:type="dxa"/>
            <w:vMerge/>
            <w:tcBorders>
              <w:left w:val="single" w:sz="4" w:space="0" w:color="auto"/>
              <w:bottom w:val="single" w:sz="4" w:space="0" w:color="auto"/>
              <w:right w:val="single" w:sz="4" w:space="0" w:color="auto"/>
            </w:tcBorders>
          </w:tcPr>
          <w:p w:rsidR="00697D22" w:rsidRPr="00DD5C8A" w:rsidRDefault="00697D22" w:rsidP="00697D22">
            <w:pPr>
              <w:rPr>
                <w:rFonts w:ascii="Arial Narrow" w:hAnsi="Arial Narrow" w:cs="Arial"/>
                <w:sz w:val="18"/>
                <w:szCs w:val="18"/>
              </w:rPr>
            </w:pPr>
          </w:p>
        </w:tc>
        <w:tc>
          <w:tcPr>
            <w:tcW w:w="7939" w:type="dxa"/>
            <w:gridSpan w:val="6"/>
            <w:tcBorders>
              <w:top w:val="single" w:sz="4" w:space="0" w:color="auto"/>
              <w:left w:val="single" w:sz="4" w:space="0" w:color="auto"/>
              <w:bottom w:val="single" w:sz="4" w:space="0" w:color="auto"/>
              <w:right w:val="single" w:sz="4" w:space="0" w:color="auto"/>
            </w:tcBorders>
          </w:tcPr>
          <w:p w:rsidR="00697D22" w:rsidRPr="00DD5C8A" w:rsidRDefault="00697D22" w:rsidP="00697D22">
            <w:pPr>
              <w:rPr>
                <w:rFonts w:ascii="Arial Narrow" w:hAnsi="Arial Narrow" w:cs="Arial"/>
                <w:b/>
                <w:sz w:val="18"/>
                <w:szCs w:val="18"/>
              </w:rPr>
            </w:pPr>
            <w:r w:rsidRPr="00DD5C8A">
              <w:rPr>
                <w:rFonts w:ascii="Arial Narrow" w:hAnsi="Arial Narrow" w:cs="Arial"/>
                <w:b/>
                <w:sz w:val="18"/>
                <w:szCs w:val="18"/>
              </w:rPr>
              <w:t>Restriction type:</w:t>
            </w:r>
            <w:r w:rsidRPr="00DD5C8A">
              <w:rPr>
                <w:rFonts w:ascii="Arial Narrow" w:hAnsi="Arial Narrow" w:cs="Arial"/>
                <w:sz w:val="18"/>
                <w:szCs w:val="18"/>
              </w:rPr>
              <w:t xml:space="preserve"> </w:t>
            </w:r>
            <w:r w:rsidRPr="00C04A64">
              <w:rPr>
                <w:rFonts w:ascii="Arial Narrow" w:hAnsi="Arial Narrow" w:cs="Arial"/>
                <w:sz w:val="18"/>
                <w:szCs w:val="18"/>
              </w:rPr>
              <w:fldChar w:fldCharType="begin">
                <w:ffData>
                  <w:name w:val=""/>
                  <w:enabled/>
                  <w:calcOnExit w:val="0"/>
                  <w:checkBox>
                    <w:sizeAuto/>
                    <w:default w:val="1"/>
                  </w:checkBox>
                </w:ffData>
              </w:fldChar>
            </w:r>
            <w:r w:rsidRPr="00DD5C8A">
              <w:rPr>
                <w:rFonts w:ascii="Arial Narrow" w:hAnsi="Arial Narrow" w:cs="Arial"/>
                <w:sz w:val="18"/>
                <w:szCs w:val="18"/>
              </w:rPr>
              <w:instrText xml:space="preserve"> FORMCHECKBOX </w:instrText>
            </w:r>
            <w:r w:rsidR="005F4B8A">
              <w:rPr>
                <w:rFonts w:ascii="Arial Narrow" w:hAnsi="Arial Narrow" w:cs="Arial"/>
                <w:sz w:val="18"/>
                <w:szCs w:val="18"/>
              </w:rPr>
            </w:r>
            <w:r w:rsidR="005F4B8A">
              <w:rPr>
                <w:rFonts w:ascii="Arial Narrow" w:hAnsi="Arial Narrow" w:cs="Arial"/>
                <w:sz w:val="18"/>
                <w:szCs w:val="18"/>
              </w:rPr>
              <w:fldChar w:fldCharType="separate"/>
            </w:r>
            <w:r w:rsidRPr="00C04A64">
              <w:rPr>
                <w:rFonts w:ascii="Arial Narrow" w:hAnsi="Arial Narrow" w:cs="Arial"/>
                <w:sz w:val="18"/>
                <w:szCs w:val="18"/>
              </w:rPr>
              <w:fldChar w:fldCharType="end"/>
            </w:r>
            <w:r w:rsidRPr="00DD5C8A">
              <w:rPr>
                <w:rFonts w:ascii="Arial Narrow" w:hAnsi="Arial Narrow" w:cs="Arial"/>
                <w:sz w:val="18"/>
                <w:szCs w:val="18"/>
              </w:rPr>
              <w:t xml:space="preserve"> </w:t>
            </w:r>
            <w:bookmarkStart w:id="20" w:name="_Hlk78379706"/>
            <w:r w:rsidR="002D28ED" w:rsidRPr="002D28ED">
              <w:rPr>
                <w:rFonts w:ascii="Arial Narrow" w:hAnsi="Arial Narrow" w:cs="Arial"/>
                <w:sz w:val="18"/>
                <w:szCs w:val="18"/>
              </w:rPr>
              <w:t>Authority Required - (telephone/online PBS Authorities system)</w:t>
            </w:r>
            <w:bookmarkEnd w:id="20"/>
          </w:p>
        </w:tc>
      </w:tr>
      <w:tr w:rsidR="00697D22" w:rsidRPr="00DD5C8A" w:rsidTr="00697D22">
        <w:tblPrEx>
          <w:tblCellMar>
            <w:top w:w="15" w:type="dxa"/>
            <w:left w:w="15" w:type="dxa"/>
            <w:bottom w:w="15" w:type="dxa"/>
            <w:right w:w="15" w:type="dxa"/>
          </w:tblCellMar>
        </w:tblPrEx>
        <w:trPr>
          <w:trHeight w:val="228"/>
        </w:trPr>
        <w:tc>
          <w:tcPr>
            <w:tcW w:w="987" w:type="dxa"/>
            <w:vAlign w:val="center"/>
          </w:tcPr>
          <w:p w:rsidR="00697D22" w:rsidRPr="00DD5C8A" w:rsidRDefault="00697D22" w:rsidP="00697D22">
            <w:pPr>
              <w:jc w:val="center"/>
              <w:rPr>
                <w:rFonts w:ascii="Arial Narrow" w:hAnsi="Arial Narrow" w:cs="Arial"/>
                <w:sz w:val="18"/>
                <w:szCs w:val="18"/>
              </w:rPr>
            </w:pPr>
          </w:p>
        </w:tc>
        <w:tc>
          <w:tcPr>
            <w:tcW w:w="7939" w:type="dxa"/>
            <w:gridSpan w:val="6"/>
            <w:vAlign w:val="center"/>
          </w:tcPr>
          <w:p w:rsidR="00697D22" w:rsidRPr="00DD5C8A" w:rsidRDefault="00697D22" w:rsidP="00697D22">
            <w:pPr>
              <w:rPr>
                <w:rFonts w:ascii="Arial Narrow" w:hAnsi="Arial Narrow" w:cs="Arial"/>
                <w:b/>
                <w:sz w:val="18"/>
                <w:szCs w:val="18"/>
              </w:rPr>
            </w:pPr>
            <w:r w:rsidRPr="00DD5C8A">
              <w:rPr>
                <w:rFonts w:ascii="Arial Narrow" w:hAnsi="Arial Narrow"/>
                <w:b/>
                <w:bCs/>
                <w:color w:val="333333"/>
                <w:sz w:val="18"/>
                <w:szCs w:val="18"/>
              </w:rPr>
              <w:t xml:space="preserve">Administrative Advice: </w:t>
            </w:r>
            <w:r w:rsidRPr="00DD5C8A">
              <w:rPr>
                <w:rFonts w:ascii="Arial Narrow" w:hAnsi="Arial Narrow"/>
                <w:bCs/>
                <w:color w:val="333333"/>
                <w:sz w:val="18"/>
                <w:szCs w:val="18"/>
              </w:rPr>
              <w:t>No increase in the maximum number of repeats may be authorised.</w:t>
            </w:r>
          </w:p>
        </w:tc>
      </w:tr>
      <w:tr w:rsidR="00697D22" w:rsidRPr="00DD5C8A" w:rsidTr="00D7758D">
        <w:tblPrEx>
          <w:tblCellMar>
            <w:top w:w="15" w:type="dxa"/>
            <w:left w:w="15" w:type="dxa"/>
            <w:bottom w:w="15" w:type="dxa"/>
            <w:right w:w="15" w:type="dxa"/>
          </w:tblCellMar>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hideMark/>
          </w:tcPr>
          <w:p w:rsidR="00697D22" w:rsidRPr="00DD5C8A" w:rsidRDefault="00697D22" w:rsidP="00697D22">
            <w:pPr>
              <w:rPr>
                <w:rFonts w:ascii="Arial Narrow" w:hAnsi="Arial Narrow"/>
                <w:sz w:val="18"/>
                <w:szCs w:val="18"/>
              </w:rPr>
            </w:pPr>
            <w:r w:rsidRPr="00DD5C8A">
              <w:rPr>
                <w:rFonts w:ascii="Arial Narrow" w:hAnsi="Arial Narrow"/>
                <w:b/>
                <w:bCs/>
                <w:sz w:val="18"/>
                <w:szCs w:val="18"/>
              </w:rPr>
              <w:t>Indication:</w:t>
            </w:r>
            <w:r w:rsidRPr="00DD5C8A">
              <w:rPr>
                <w:rFonts w:ascii="Arial Narrow" w:hAnsi="Arial Narrow"/>
                <w:sz w:val="18"/>
                <w:szCs w:val="18"/>
              </w:rPr>
              <w:t xml:space="preserve"> </w:t>
            </w:r>
            <w:r w:rsidRPr="00DD5C8A">
              <w:rPr>
                <w:rFonts w:ascii="Arial Narrow" w:hAnsi="Arial Narrow"/>
                <w:bCs/>
                <w:sz w:val="18"/>
                <w:szCs w:val="18"/>
              </w:rPr>
              <w:t>Ketogenic diet</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hideMark/>
          </w:tcPr>
          <w:p w:rsidR="00697D22" w:rsidRPr="00DD5C8A" w:rsidRDefault="00697D22" w:rsidP="00697D22">
            <w:pPr>
              <w:rPr>
                <w:rFonts w:ascii="Arial Narrow" w:hAnsi="Arial Narrow"/>
                <w:sz w:val="18"/>
                <w:szCs w:val="18"/>
              </w:rPr>
            </w:pPr>
            <w:r w:rsidRPr="00DD5C8A">
              <w:rPr>
                <w:rFonts w:ascii="Arial Narrow" w:hAnsi="Arial Narrow"/>
                <w:b/>
                <w:bCs/>
                <w:sz w:val="18"/>
                <w:szCs w:val="18"/>
              </w:rPr>
              <w:t>Clinical criteria:</w:t>
            </w:r>
          </w:p>
        </w:tc>
      </w:tr>
      <w:tr w:rsidR="00697D22" w:rsidRPr="00DD5C8A" w:rsidTr="00D7758D">
        <w:tblPrEx>
          <w:tblCellMar>
            <w:top w:w="15" w:type="dxa"/>
            <w:left w:w="15" w:type="dxa"/>
            <w:bottom w:w="15" w:type="dxa"/>
            <w:right w:w="15" w:type="dxa"/>
          </w:tblCellMar>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hideMark/>
          </w:tcPr>
          <w:p w:rsidR="00697D22" w:rsidRPr="00DD5C8A" w:rsidRDefault="00697D22" w:rsidP="00697D22">
            <w:pPr>
              <w:jc w:val="left"/>
              <w:rPr>
                <w:rFonts w:ascii="Arial Narrow" w:hAnsi="Arial Narrow"/>
                <w:sz w:val="18"/>
                <w:szCs w:val="18"/>
              </w:rPr>
            </w:pPr>
            <w:r w:rsidRPr="00DD5C8A">
              <w:rPr>
                <w:rFonts w:ascii="Arial Narrow" w:hAnsi="Arial Narrow"/>
                <w:sz w:val="18"/>
                <w:szCs w:val="18"/>
              </w:rPr>
              <w:t>Patient must have intractable seizures requiring treatment with a ketogenic diet; or</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rPr>
          <w:trHeight w:val="118"/>
        </w:trPr>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b/>
                <w:sz w:val="18"/>
                <w:szCs w:val="18"/>
              </w:rPr>
            </w:pPr>
            <w:r w:rsidRPr="00DD5C8A">
              <w:rPr>
                <w:rFonts w:ascii="Arial Narrow" w:hAnsi="Arial Narrow"/>
                <w:sz w:val="18"/>
                <w:szCs w:val="18"/>
              </w:rPr>
              <w:t>Patient must have a glucose transport protein defect; or</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sz w:val="18"/>
                <w:szCs w:val="18"/>
              </w:rPr>
            </w:pPr>
            <w:r w:rsidRPr="00DD5C8A">
              <w:rPr>
                <w:rFonts w:ascii="Arial Narrow" w:hAnsi="Arial Narrow"/>
                <w:sz w:val="18"/>
                <w:szCs w:val="18"/>
              </w:rPr>
              <w:t>Patient must have pyruvate dehydrogenase deficiency</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b/>
                <w:bCs/>
                <w:sz w:val="18"/>
                <w:szCs w:val="18"/>
              </w:rPr>
            </w:pPr>
            <w:r w:rsidRPr="00DD5C8A">
              <w:rPr>
                <w:rFonts w:ascii="Arial Narrow" w:hAnsi="Arial Narrow"/>
                <w:b/>
                <w:bCs/>
                <w:sz w:val="18"/>
                <w:szCs w:val="18"/>
              </w:rPr>
              <w:t>AND</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sz w:val="18"/>
                <w:szCs w:val="18"/>
              </w:rPr>
            </w:pPr>
            <w:r w:rsidRPr="00DD5C8A">
              <w:rPr>
                <w:rFonts w:ascii="Arial Narrow" w:hAnsi="Arial Narrow"/>
                <w:b/>
                <w:bCs/>
                <w:sz w:val="18"/>
                <w:szCs w:val="18"/>
              </w:rPr>
              <w:t>Clinical criteria:</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Merge/>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sz w:val="18"/>
                <w:szCs w:val="18"/>
              </w:rPr>
            </w:pPr>
            <w:r w:rsidRPr="00DD5C8A">
              <w:rPr>
                <w:rFonts w:ascii="Arial Narrow" w:hAnsi="Arial Narrow"/>
                <w:sz w:val="18"/>
                <w:szCs w:val="18"/>
              </w:rPr>
              <w:t>Patient must have severe intestinal malabsorption of whole protein ketogenic diet formula.</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b/>
                <w:sz w:val="18"/>
                <w:szCs w:val="18"/>
              </w:rPr>
            </w:pPr>
            <w:r w:rsidRPr="00DD5C8A">
              <w:rPr>
                <w:rFonts w:ascii="Arial Narrow" w:hAnsi="Arial Narrow"/>
                <w:b/>
                <w:sz w:val="18"/>
                <w:szCs w:val="18"/>
              </w:rPr>
              <w:t>AND</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Merge w:val="restart"/>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sz w:val="18"/>
                <w:szCs w:val="18"/>
              </w:rPr>
            </w:pPr>
            <w:r w:rsidRPr="00DD5C8A">
              <w:rPr>
                <w:rFonts w:ascii="Arial Narrow" w:hAnsi="Arial Narrow"/>
                <w:b/>
                <w:bCs/>
                <w:sz w:val="18"/>
                <w:szCs w:val="18"/>
              </w:rPr>
              <w:t>Clinical criteria</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Merge/>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bCs/>
                <w:sz w:val="18"/>
                <w:szCs w:val="18"/>
              </w:rPr>
            </w:pPr>
            <w:r w:rsidRPr="00DD5C8A">
              <w:rPr>
                <w:rFonts w:ascii="Arial Narrow" w:hAnsi="Arial Narrow"/>
                <w:bCs/>
                <w:sz w:val="18"/>
                <w:szCs w:val="18"/>
              </w:rPr>
              <w:t>Patient must have unsuccessfully trialled at least one of the PBS-listed products with the indication of: ‘Ketogenic diet’.</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b/>
                <w:bCs/>
                <w:sz w:val="18"/>
                <w:szCs w:val="18"/>
              </w:rPr>
            </w:pPr>
            <w:r w:rsidRPr="00DD5C8A">
              <w:rPr>
                <w:rFonts w:ascii="Arial Narrow" w:hAnsi="Arial Narrow"/>
                <w:b/>
                <w:bCs/>
                <w:sz w:val="18"/>
                <w:szCs w:val="18"/>
              </w:rPr>
              <w:t>Prescribing Instructions:</w:t>
            </w:r>
          </w:p>
          <w:p w:rsidR="00697D22" w:rsidRPr="00DD5C8A" w:rsidRDefault="00697D22" w:rsidP="00697D22">
            <w:pPr>
              <w:jc w:val="left"/>
              <w:rPr>
                <w:rFonts w:ascii="Arial Narrow" w:hAnsi="Arial Narrow"/>
                <w:bCs/>
                <w:sz w:val="18"/>
                <w:szCs w:val="18"/>
              </w:rPr>
            </w:pPr>
            <w:r w:rsidRPr="00DD5C8A">
              <w:rPr>
                <w:rFonts w:ascii="Arial Narrow" w:hAnsi="Arial Narrow"/>
                <w:sz w:val="18"/>
                <w:szCs w:val="18"/>
              </w:rPr>
              <w:t>This product must only be used under strict supervision of a dietitian, together with a metabolic physician and/or neurologist.</w:t>
            </w:r>
          </w:p>
        </w:tc>
      </w:tr>
      <w:tr w:rsidR="00697D22" w:rsidRPr="00DD5C8A" w:rsidTr="00697D22">
        <w:tblPrEx>
          <w:tblCellMar>
            <w:top w:w="15" w:type="dxa"/>
            <w:left w:w="15" w:type="dxa"/>
            <w:bottom w:w="15" w:type="dxa"/>
            <w:right w:w="15" w:type="dxa"/>
          </w:tblCellMar>
          <w:tblLook w:val="04A0" w:firstRow="1" w:lastRow="0" w:firstColumn="1" w:lastColumn="0" w:noHBand="0" w:noVBand="1"/>
        </w:tblPrEx>
        <w:tc>
          <w:tcPr>
            <w:tcW w:w="987" w:type="dxa"/>
            <w:vAlign w:val="center"/>
          </w:tcPr>
          <w:p w:rsidR="00697D22" w:rsidRPr="00DD5C8A" w:rsidRDefault="00697D22" w:rsidP="00697D22">
            <w:pPr>
              <w:jc w:val="center"/>
              <w:rPr>
                <w:rFonts w:ascii="Arial Narrow" w:hAnsi="Arial Narrow"/>
                <w:sz w:val="18"/>
                <w:szCs w:val="18"/>
              </w:rPr>
            </w:pPr>
          </w:p>
        </w:tc>
        <w:tc>
          <w:tcPr>
            <w:tcW w:w="7939" w:type="dxa"/>
            <w:gridSpan w:val="6"/>
            <w:vAlign w:val="center"/>
          </w:tcPr>
          <w:p w:rsidR="00697D22" w:rsidRPr="00DD5C8A" w:rsidRDefault="00697D22" w:rsidP="00697D22">
            <w:pPr>
              <w:jc w:val="left"/>
              <w:rPr>
                <w:rFonts w:ascii="Arial Narrow" w:hAnsi="Arial Narrow"/>
                <w:b/>
                <w:bCs/>
                <w:sz w:val="18"/>
                <w:szCs w:val="18"/>
              </w:rPr>
            </w:pPr>
            <w:r w:rsidRPr="00DD5C8A">
              <w:rPr>
                <w:rFonts w:ascii="Arial Narrow" w:hAnsi="Arial Narrow"/>
                <w:b/>
                <w:bCs/>
                <w:sz w:val="18"/>
                <w:szCs w:val="18"/>
              </w:rPr>
              <w:t xml:space="preserve">Administrative Advice: </w:t>
            </w:r>
            <w:r w:rsidRPr="00DD5C8A">
              <w:rPr>
                <w:rFonts w:ascii="Arial Narrow" w:hAnsi="Arial Narrow"/>
                <w:sz w:val="18"/>
                <w:szCs w:val="18"/>
              </w:rPr>
              <w:t>Increases in the maximum quantity (packs) of up to twice the value stated may be sought.</w:t>
            </w:r>
          </w:p>
        </w:tc>
      </w:tr>
    </w:tbl>
    <w:p w:rsidR="00B422AD" w:rsidRPr="00DD5C8A" w:rsidRDefault="00B422AD" w:rsidP="00000D34">
      <w:pPr>
        <w:pStyle w:val="3Bodytext"/>
        <w:numPr>
          <w:ilvl w:val="0"/>
          <w:numId w:val="0"/>
        </w:numPr>
        <w:ind w:left="720"/>
      </w:pPr>
    </w:p>
    <w:p w:rsidR="00C63C70" w:rsidRDefault="00E204AF" w:rsidP="006E380E">
      <w:pPr>
        <w:jc w:val="left"/>
        <w:rPr>
          <w:rFonts w:asciiTheme="minorHAnsi" w:hAnsiTheme="minorHAnsi"/>
          <w:b/>
          <w:bCs/>
          <w:i/>
        </w:rPr>
      </w:pPr>
      <w:r w:rsidRPr="00DD5C8A">
        <w:rPr>
          <w:rFonts w:asciiTheme="minorHAnsi" w:hAnsiTheme="minorHAnsi"/>
          <w:b/>
          <w:bCs/>
          <w:i/>
        </w:rPr>
        <w:t>This restriction may be subject to further review. Should there be any changes made to the restriction the Sponsor will be informed.</w:t>
      </w:r>
    </w:p>
    <w:p w:rsidR="00CD619D" w:rsidRPr="00DD5C8A" w:rsidRDefault="00CD619D" w:rsidP="006E380E">
      <w:pPr>
        <w:jc w:val="left"/>
      </w:pPr>
    </w:p>
    <w:p w:rsidR="00CD619D" w:rsidRPr="00D7758D" w:rsidRDefault="00CD619D" w:rsidP="00D7758D">
      <w:pPr>
        <w:pStyle w:val="2-SectionHeading"/>
      </w:pPr>
      <w:r w:rsidRPr="00C07617">
        <w:t>Context for Decision</w:t>
      </w:r>
    </w:p>
    <w:p w:rsidR="00CD619D" w:rsidRPr="007129F2" w:rsidRDefault="00CD619D" w:rsidP="00D7758D">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D619D" w:rsidRPr="00D7758D" w:rsidRDefault="00CD619D" w:rsidP="00D7758D">
      <w:pPr>
        <w:pStyle w:val="2-SectionHeading"/>
        <w:rPr>
          <w:b w:val="0"/>
        </w:rPr>
      </w:pPr>
      <w:r>
        <w:t>Sponsor’s Comment</w:t>
      </w:r>
    </w:p>
    <w:p w:rsidR="00201FB8" w:rsidRPr="009C5421" w:rsidRDefault="00CD619D" w:rsidP="009C5421">
      <w:pPr>
        <w:spacing w:after="120"/>
        <w:ind w:left="426" w:firstLine="294"/>
        <w:rPr>
          <w:rFonts w:cs="Arial"/>
          <w:bCs/>
        </w:rPr>
      </w:pPr>
      <w:r w:rsidRPr="00C07617">
        <w:rPr>
          <w:rFonts w:cs="Arial"/>
          <w:bCs/>
        </w:rPr>
        <w:t>The sponsor had no comment.</w:t>
      </w:r>
      <w:bookmarkStart w:id="21" w:name="_GoBack"/>
      <w:bookmarkEnd w:id="21"/>
    </w:p>
    <w:sectPr w:rsidR="00201FB8" w:rsidRPr="009C5421"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B9" w:rsidRDefault="007F70B9">
      <w:r>
        <w:separator/>
      </w:r>
    </w:p>
    <w:p w:rsidR="007F70B9" w:rsidRDefault="007F70B9"/>
  </w:endnote>
  <w:endnote w:type="continuationSeparator" w:id="0">
    <w:p w:rsidR="007F70B9" w:rsidRDefault="007F70B9">
      <w:r>
        <w:continuationSeparator/>
      </w:r>
    </w:p>
    <w:p w:rsidR="007F70B9" w:rsidRDefault="007F70B9"/>
  </w:endnote>
  <w:endnote w:type="continuationNotice" w:id="1">
    <w:p w:rsidR="007F70B9" w:rsidRDefault="007F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73BFD" w:rsidTr="005A3173">
      <w:trPr>
        <w:trHeight w:val="151"/>
      </w:trPr>
      <w:tc>
        <w:tcPr>
          <w:tcW w:w="2250" w:type="pct"/>
          <w:tcBorders>
            <w:top w:val="nil"/>
            <w:left w:val="nil"/>
            <w:bottom w:val="single" w:sz="4" w:space="0" w:color="4F81BD"/>
            <w:right w:val="nil"/>
          </w:tcBorders>
        </w:tcPr>
        <w:p w:rsidR="00A73BFD" w:rsidRPr="005A3173" w:rsidRDefault="00A73BFD" w:rsidP="005A3173">
          <w:pPr>
            <w:pStyle w:val="Header"/>
            <w:spacing w:line="276" w:lineRule="auto"/>
            <w:rPr>
              <w:rFonts w:eastAsia="MS Gothic"/>
              <w:b/>
              <w:bCs/>
              <w:color w:val="4F81BD"/>
            </w:rPr>
          </w:pPr>
        </w:p>
      </w:tc>
      <w:tc>
        <w:tcPr>
          <w:tcW w:w="500" w:type="pct"/>
          <w:vMerge w:val="restart"/>
          <w:noWrap/>
          <w:vAlign w:val="center"/>
          <w:hideMark/>
        </w:tcPr>
        <w:p w:rsidR="00A73BFD" w:rsidRPr="005A3173" w:rsidRDefault="00A73BF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73BFD" w:rsidRPr="005A3173" w:rsidRDefault="00A73BFD" w:rsidP="005A3173">
          <w:pPr>
            <w:pStyle w:val="Header"/>
            <w:spacing w:line="276" w:lineRule="auto"/>
            <w:rPr>
              <w:rFonts w:eastAsia="MS Gothic"/>
              <w:b/>
              <w:bCs/>
              <w:color w:val="4F81BD"/>
            </w:rPr>
          </w:pPr>
        </w:p>
      </w:tc>
    </w:tr>
    <w:tr w:rsidR="00A73BFD" w:rsidTr="005A3173">
      <w:trPr>
        <w:trHeight w:val="150"/>
      </w:trPr>
      <w:tc>
        <w:tcPr>
          <w:tcW w:w="2250" w:type="pct"/>
          <w:tcBorders>
            <w:top w:val="single" w:sz="4" w:space="0" w:color="4F81BD"/>
            <w:left w:val="nil"/>
            <w:bottom w:val="nil"/>
            <w:right w:val="nil"/>
          </w:tcBorders>
        </w:tcPr>
        <w:p w:rsidR="00A73BFD" w:rsidRPr="005A3173" w:rsidRDefault="00A73BFD" w:rsidP="005A3173">
          <w:pPr>
            <w:pStyle w:val="Header"/>
            <w:spacing w:line="276" w:lineRule="auto"/>
            <w:rPr>
              <w:rFonts w:eastAsia="MS Gothic"/>
              <w:b/>
              <w:bCs/>
              <w:color w:val="4F81BD"/>
            </w:rPr>
          </w:pPr>
        </w:p>
      </w:tc>
      <w:tc>
        <w:tcPr>
          <w:tcW w:w="0" w:type="auto"/>
          <w:vMerge/>
          <w:vAlign w:val="center"/>
          <w:hideMark/>
        </w:tcPr>
        <w:p w:rsidR="00A73BFD" w:rsidRPr="005A3173" w:rsidRDefault="00A73BFD" w:rsidP="005A3173">
          <w:pPr>
            <w:rPr>
              <w:color w:val="365F91"/>
              <w:sz w:val="22"/>
              <w:szCs w:val="22"/>
            </w:rPr>
          </w:pPr>
        </w:p>
      </w:tc>
      <w:tc>
        <w:tcPr>
          <w:tcW w:w="2250" w:type="pct"/>
          <w:tcBorders>
            <w:top w:val="single" w:sz="4" w:space="0" w:color="4F81BD"/>
            <w:left w:val="nil"/>
            <w:bottom w:val="nil"/>
            <w:right w:val="nil"/>
          </w:tcBorders>
        </w:tcPr>
        <w:p w:rsidR="00A73BFD" w:rsidRPr="005A3173" w:rsidRDefault="00A73BFD" w:rsidP="005A3173">
          <w:pPr>
            <w:pStyle w:val="Header"/>
            <w:spacing w:line="276" w:lineRule="auto"/>
            <w:rPr>
              <w:rFonts w:eastAsia="MS Gothic"/>
              <w:b/>
              <w:bCs/>
              <w:color w:val="4F81BD"/>
            </w:rPr>
          </w:pPr>
        </w:p>
      </w:tc>
    </w:tr>
  </w:tbl>
  <w:p w:rsidR="00A73BFD" w:rsidRDefault="00A73BF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D" w:rsidRDefault="00A73BFD">
    <w:pPr>
      <w:pStyle w:val="Footer"/>
    </w:pPr>
  </w:p>
  <w:p w:rsidR="00A73BFD" w:rsidRDefault="00A73B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FD" w:rsidRPr="00D429EC" w:rsidRDefault="00A73BFD" w:rsidP="00E27234">
    <w:pPr>
      <w:pStyle w:val="PBACFooter"/>
      <w:rPr>
        <w:rFonts w:asciiTheme="minorHAnsi" w:hAnsiTheme="minorHAnsi" w:cstheme="minorHAnsi"/>
        <w:sz w:val="24"/>
      </w:rPr>
    </w:pPr>
  </w:p>
  <w:p w:rsidR="00A73BFD" w:rsidRPr="0037015C" w:rsidRDefault="00A73BFD" w:rsidP="008E3856">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5F4B8A">
      <w:rPr>
        <w:b/>
        <w:caps/>
        <w:noProof/>
      </w:rPr>
      <w:t>1</w:t>
    </w:r>
    <w:r w:rsidRPr="0037015C">
      <w:rPr>
        <w:b/>
        <w:caps/>
        <w:noProof/>
      </w:rPr>
      <w:fldChar w:fldCharType="end"/>
    </w:r>
  </w:p>
  <w:p w:rsidR="00A73BFD" w:rsidRPr="00D429EC" w:rsidRDefault="00A73BFD" w:rsidP="008E3856">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73BFD" w:rsidTr="005A3173">
      <w:trPr>
        <w:trHeight w:val="151"/>
      </w:trPr>
      <w:tc>
        <w:tcPr>
          <w:tcW w:w="2250" w:type="pct"/>
          <w:tcBorders>
            <w:top w:val="nil"/>
            <w:left w:val="nil"/>
            <w:bottom w:val="single" w:sz="4" w:space="0" w:color="4F81BD"/>
            <w:right w:val="nil"/>
          </w:tcBorders>
        </w:tcPr>
        <w:p w:rsidR="00A73BFD" w:rsidRPr="005A3173" w:rsidRDefault="00A73BFD" w:rsidP="005A3173">
          <w:pPr>
            <w:pStyle w:val="Header"/>
            <w:spacing w:line="276" w:lineRule="auto"/>
            <w:rPr>
              <w:rFonts w:eastAsia="MS Gothic"/>
              <w:b/>
              <w:bCs/>
              <w:color w:val="4F81BD"/>
            </w:rPr>
          </w:pPr>
        </w:p>
      </w:tc>
      <w:tc>
        <w:tcPr>
          <w:tcW w:w="500" w:type="pct"/>
          <w:vMerge w:val="restart"/>
          <w:noWrap/>
          <w:vAlign w:val="center"/>
          <w:hideMark/>
        </w:tcPr>
        <w:p w:rsidR="00A73BFD" w:rsidRPr="005A3173" w:rsidRDefault="00A73BF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73BFD" w:rsidRPr="005A3173" w:rsidRDefault="00A73BFD" w:rsidP="005A3173">
          <w:pPr>
            <w:pStyle w:val="Header"/>
            <w:spacing w:line="276" w:lineRule="auto"/>
            <w:rPr>
              <w:rFonts w:eastAsia="MS Gothic"/>
              <w:b/>
              <w:bCs/>
              <w:color w:val="4F81BD"/>
            </w:rPr>
          </w:pPr>
        </w:p>
      </w:tc>
    </w:tr>
    <w:tr w:rsidR="00A73BFD" w:rsidTr="005A3173">
      <w:trPr>
        <w:trHeight w:val="150"/>
      </w:trPr>
      <w:tc>
        <w:tcPr>
          <w:tcW w:w="2250" w:type="pct"/>
          <w:tcBorders>
            <w:top w:val="single" w:sz="4" w:space="0" w:color="4F81BD"/>
            <w:left w:val="nil"/>
            <w:bottom w:val="nil"/>
            <w:right w:val="nil"/>
          </w:tcBorders>
        </w:tcPr>
        <w:p w:rsidR="00A73BFD" w:rsidRPr="005A3173" w:rsidRDefault="00A73BFD" w:rsidP="005A3173">
          <w:pPr>
            <w:pStyle w:val="Header"/>
            <w:spacing w:line="276" w:lineRule="auto"/>
            <w:rPr>
              <w:rFonts w:eastAsia="MS Gothic"/>
              <w:b/>
              <w:bCs/>
              <w:color w:val="4F81BD"/>
            </w:rPr>
          </w:pPr>
        </w:p>
      </w:tc>
      <w:tc>
        <w:tcPr>
          <w:tcW w:w="0" w:type="auto"/>
          <w:vMerge/>
          <w:vAlign w:val="center"/>
          <w:hideMark/>
        </w:tcPr>
        <w:p w:rsidR="00A73BFD" w:rsidRPr="005A3173" w:rsidRDefault="00A73BFD" w:rsidP="005A3173">
          <w:pPr>
            <w:rPr>
              <w:color w:val="365F91"/>
              <w:sz w:val="22"/>
              <w:szCs w:val="22"/>
            </w:rPr>
          </w:pPr>
        </w:p>
      </w:tc>
      <w:tc>
        <w:tcPr>
          <w:tcW w:w="2250" w:type="pct"/>
          <w:tcBorders>
            <w:top w:val="single" w:sz="4" w:space="0" w:color="4F81BD"/>
            <w:left w:val="nil"/>
            <w:bottom w:val="nil"/>
            <w:right w:val="nil"/>
          </w:tcBorders>
        </w:tcPr>
        <w:p w:rsidR="00A73BFD" w:rsidRPr="005A3173" w:rsidRDefault="00A73BFD"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73BFD" w:rsidTr="005A3173">
      <w:trPr>
        <w:trHeight w:val="151"/>
      </w:trPr>
      <w:tc>
        <w:tcPr>
          <w:tcW w:w="2250" w:type="pct"/>
          <w:tcBorders>
            <w:top w:val="nil"/>
            <w:left w:val="nil"/>
            <w:bottom w:val="single" w:sz="4" w:space="0" w:color="4F81BD"/>
            <w:right w:val="nil"/>
          </w:tcBorders>
        </w:tcPr>
        <w:p w:rsidR="00A73BFD" w:rsidRPr="005A3173" w:rsidRDefault="00A73BFD" w:rsidP="005A3173">
          <w:pPr>
            <w:pStyle w:val="Header"/>
            <w:spacing w:line="276" w:lineRule="auto"/>
            <w:rPr>
              <w:rFonts w:eastAsia="MS Gothic"/>
              <w:b/>
              <w:bCs/>
              <w:color w:val="4F81BD"/>
            </w:rPr>
          </w:pPr>
        </w:p>
      </w:tc>
      <w:tc>
        <w:tcPr>
          <w:tcW w:w="500" w:type="pct"/>
          <w:vMerge w:val="restart"/>
          <w:noWrap/>
          <w:vAlign w:val="center"/>
          <w:hideMark/>
        </w:tcPr>
        <w:p w:rsidR="00A73BFD" w:rsidRPr="005A3173" w:rsidRDefault="00A73BF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73BFD" w:rsidRPr="005A3173" w:rsidRDefault="00A73BFD" w:rsidP="005A3173">
          <w:pPr>
            <w:pStyle w:val="Header"/>
            <w:spacing w:line="276" w:lineRule="auto"/>
            <w:rPr>
              <w:rFonts w:eastAsia="MS Gothic"/>
              <w:b/>
              <w:bCs/>
              <w:color w:val="4F81BD"/>
            </w:rPr>
          </w:pPr>
        </w:p>
      </w:tc>
    </w:tr>
    <w:tr w:rsidR="00A73BFD" w:rsidTr="005A3173">
      <w:trPr>
        <w:trHeight w:val="150"/>
      </w:trPr>
      <w:tc>
        <w:tcPr>
          <w:tcW w:w="2250" w:type="pct"/>
          <w:tcBorders>
            <w:top w:val="single" w:sz="4" w:space="0" w:color="4F81BD"/>
            <w:left w:val="nil"/>
            <w:bottom w:val="nil"/>
            <w:right w:val="nil"/>
          </w:tcBorders>
        </w:tcPr>
        <w:p w:rsidR="00A73BFD" w:rsidRPr="005A3173" w:rsidRDefault="00A73BFD" w:rsidP="005A3173">
          <w:pPr>
            <w:pStyle w:val="Header"/>
            <w:spacing w:line="276" w:lineRule="auto"/>
            <w:rPr>
              <w:rFonts w:eastAsia="MS Gothic"/>
              <w:b/>
              <w:bCs/>
              <w:color w:val="4F81BD"/>
            </w:rPr>
          </w:pPr>
        </w:p>
      </w:tc>
      <w:tc>
        <w:tcPr>
          <w:tcW w:w="0" w:type="auto"/>
          <w:vMerge/>
          <w:vAlign w:val="center"/>
          <w:hideMark/>
        </w:tcPr>
        <w:p w:rsidR="00A73BFD" w:rsidRPr="005A3173" w:rsidRDefault="00A73BFD" w:rsidP="005A3173">
          <w:pPr>
            <w:rPr>
              <w:color w:val="365F91"/>
              <w:sz w:val="22"/>
              <w:szCs w:val="22"/>
            </w:rPr>
          </w:pPr>
        </w:p>
      </w:tc>
      <w:tc>
        <w:tcPr>
          <w:tcW w:w="2250" w:type="pct"/>
          <w:tcBorders>
            <w:top w:val="single" w:sz="4" w:space="0" w:color="4F81BD"/>
            <w:left w:val="nil"/>
            <w:bottom w:val="nil"/>
            <w:right w:val="nil"/>
          </w:tcBorders>
        </w:tcPr>
        <w:p w:rsidR="00A73BFD" w:rsidRPr="005A3173" w:rsidRDefault="00A73BFD" w:rsidP="005A3173">
          <w:pPr>
            <w:pStyle w:val="Header"/>
            <w:spacing w:line="276" w:lineRule="auto"/>
            <w:rPr>
              <w:rFonts w:eastAsia="MS Gothic"/>
              <w:b/>
              <w:bCs/>
              <w:color w:val="4F81BD"/>
            </w:rPr>
          </w:pPr>
        </w:p>
      </w:tc>
    </w:tr>
  </w:tbl>
  <w:p w:rsidR="00A73BFD" w:rsidRPr="007C0F57" w:rsidRDefault="00A73BF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373961">
      <w:rPr>
        <w:rStyle w:val="PageNumber"/>
        <w:noProof/>
      </w:rPr>
      <w:t>1</w:t>
    </w:r>
    <w:r>
      <w:rPr>
        <w:rStyle w:val="PageNumber"/>
      </w:rPr>
      <w:fldChar w:fldCharType="end"/>
    </w:r>
    <w:r w:rsidRPr="007C0F57">
      <w:rPr>
        <w:b/>
        <w:i/>
        <w:sz w:val="20"/>
        <w:szCs w:val="20"/>
      </w:rPr>
      <w:t>BAC Meeting</w:t>
    </w:r>
  </w:p>
  <w:p w:rsidR="00A73BFD" w:rsidRPr="007C0F57" w:rsidRDefault="00A73BFD" w:rsidP="007C0F57">
    <w:pPr>
      <w:pStyle w:val="Footer"/>
      <w:jc w:val="center"/>
      <w:rPr>
        <w:b/>
        <w:i/>
        <w:sz w:val="20"/>
        <w:szCs w:val="20"/>
      </w:rPr>
    </w:pPr>
    <w:r w:rsidRPr="007C0F57">
      <w:rPr>
        <w:b/>
        <w:i/>
        <w:sz w:val="20"/>
        <w:szCs w:val="20"/>
      </w:rPr>
      <w:t>Commercial-in-Confidence</w:t>
    </w:r>
  </w:p>
  <w:p w:rsidR="00A73BFD" w:rsidRDefault="00A73B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B9" w:rsidRDefault="007F70B9">
      <w:r>
        <w:separator/>
      </w:r>
    </w:p>
    <w:p w:rsidR="007F70B9" w:rsidRDefault="007F70B9"/>
  </w:footnote>
  <w:footnote w:type="continuationSeparator" w:id="0">
    <w:p w:rsidR="007F70B9" w:rsidRDefault="007F70B9">
      <w:r>
        <w:continuationSeparator/>
      </w:r>
    </w:p>
    <w:p w:rsidR="007F70B9" w:rsidRDefault="007F70B9"/>
  </w:footnote>
  <w:footnote w:type="continuationNotice" w:id="1">
    <w:p w:rsidR="007F70B9" w:rsidRDefault="007F70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73BFD" w:rsidRPr="008E0D90" w:rsidTr="00A06225">
      <w:trPr>
        <w:trHeight w:val="151"/>
      </w:trPr>
      <w:tc>
        <w:tcPr>
          <w:tcW w:w="2389" w:type="pct"/>
          <w:tcBorders>
            <w:top w:val="nil"/>
            <w:left w:val="nil"/>
            <w:bottom w:val="single" w:sz="4" w:space="0" w:color="4F81BD"/>
            <w:right w:val="nil"/>
          </w:tcBorders>
        </w:tcPr>
        <w:p w:rsidR="00A73BFD" w:rsidRPr="00A06225" w:rsidRDefault="00A73BFD">
          <w:pPr>
            <w:pStyle w:val="Header"/>
            <w:spacing w:line="276" w:lineRule="auto"/>
            <w:rPr>
              <w:rFonts w:ascii="Cambria" w:eastAsia="MS Gothic" w:hAnsi="Cambria"/>
              <w:b/>
              <w:bCs/>
              <w:color w:val="4F81BD"/>
            </w:rPr>
          </w:pPr>
        </w:p>
      </w:tc>
      <w:tc>
        <w:tcPr>
          <w:tcW w:w="333" w:type="pct"/>
          <w:vMerge w:val="restart"/>
          <w:noWrap/>
          <w:vAlign w:val="center"/>
          <w:hideMark/>
        </w:tcPr>
        <w:p w:rsidR="00A73BFD" w:rsidRPr="00A06225" w:rsidRDefault="00A73BF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73BFD" w:rsidRPr="00A06225" w:rsidRDefault="00A73BFD">
          <w:pPr>
            <w:pStyle w:val="Header"/>
            <w:spacing w:line="276" w:lineRule="auto"/>
            <w:rPr>
              <w:rFonts w:ascii="Cambria" w:eastAsia="MS Gothic" w:hAnsi="Cambria"/>
              <w:b/>
              <w:bCs/>
              <w:color w:val="4F81BD"/>
            </w:rPr>
          </w:pPr>
        </w:p>
      </w:tc>
    </w:tr>
    <w:tr w:rsidR="00A73BFD" w:rsidRPr="008E0D90" w:rsidTr="00A06225">
      <w:trPr>
        <w:trHeight w:val="150"/>
      </w:trPr>
      <w:tc>
        <w:tcPr>
          <w:tcW w:w="2389" w:type="pct"/>
          <w:tcBorders>
            <w:top w:val="single" w:sz="4" w:space="0" w:color="4F81BD"/>
            <w:left w:val="nil"/>
            <w:bottom w:val="nil"/>
            <w:right w:val="nil"/>
          </w:tcBorders>
        </w:tcPr>
        <w:p w:rsidR="00A73BFD" w:rsidRPr="00A06225" w:rsidRDefault="00A73BFD">
          <w:pPr>
            <w:pStyle w:val="Header"/>
            <w:spacing w:line="276" w:lineRule="auto"/>
            <w:rPr>
              <w:rFonts w:ascii="Cambria" w:eastAsia="MS Gothic" w:hAnsi="Cambria"/>
              <w:b/>
              <w:bCs/>
              <w:color w:val="4F81BD"/>
            </w:rPr>
          </w:pPr>
        </w:p>
      </w:tc>
      <w:tc>
        <w:tcPr>
          <w:tcW w:w="0" w:type="auto"/>
          <w:vMerge/>
          <w:vAlign w:val="center"/>
          <w:hideMark/>
        </w:tcPr>
        <w:p w:rsidR="00A73BFD" w:rsidRPr="00A06225" w:rsidRDefault="00A73BFD">
          <w:pPr>
            <w:rPr>
              <w:rFonts w:ascii="Cambria" w:hAnsi="Cambria"/>
              <w:color w:val="4F81BD"/>
              <w:sz w:val="22"/>
              <w:szCs w:val="22"/>
            </w:rPr>
          </w:pPr>
        </w:p>
      </w:tc>
      <w:tc>
        <w:tcPr>
          <w:tcW w:w="2278" w:type="pct"/>
          <w:tcBorders>
            <w:top w:val="single" w:sz="4" w:space="0" w:color="4F81BD"/>
            <w:left w:val="nil"/>
            <w:bottom w:val="nil"/>
            <w:right w:val="nil"/>
          </w:tcBorders>
        </w:tcPr>
        <w:p w:rsidR="00A73BFD" w:rsidRPr="00A06225" w:rsidRDefault="00A73BFD">
          <w:pPr>
            <w:pStyle w:val="Header"/>
            <w:spacing w:line="276" w:lineRule="auto"/>
            <w:rPr>
              <w:rFonts w:ascii="Cambria" w:eastAsia="MS Gothic" w:hAnsi="Cambria"/>
              <w:b/>
              <w:bCs/>
              <w:color w:val="4F81BD"/>
            </w:rPr>
          </w:pPr>
        </w:p>
      </w:tc>
    </w:tr>
  </w:tbl>
  <w:p w:rsidR="00A73BFD" w:rsidRDefault="00A73BFD">
    <w:pPr>
      <w:pStyle w:val="Header"/>
    </w:pPr>
  </w:p>
  <w:p w:rsidR="00A73BFD" w:rsidRDefault="00A73BF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FD" w:rsidRDefault="00CD619D" w:rsidP="008E3856">
    <w:pPr>
      <w:pStyle w:val="MinorOVRHeader"/>
      <w:jc w:val="center"/>
      <w:rPr>
        <w:i/>
      </w:rPr>
    </w:pPr>
    <w:r w:rsidRPr="00CD619D">
      <w:rPr>
        <w:i/>
      </w:rPr>
      <w:t xml:space="preserve">Public Summary Document </w:t>
    </w:r>
    <w:r w:rsidR="00A73BFD">
      <w:rPr>
        <w:i/>
      </w:rPr>
      <w:t>– July 2021 PBAC Meeting</w:t>
    </w:r>
  </w:p>
  <w:p w:rsidR="00A73BFD" w:rsidRDefault="00A73BFD"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27" w:rsidRDefault="00E72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1B7A782E"/>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6DE1581"/>
    <w:multiLevelType w:val="hybridMultilevel"/>
    <w:tmpl w:val="C9B0DE8E"/>
    <w:lvl w:ilvl="0" w:tplc="0C09000F">
      <w:start w:val="1"/>
      <w:numFmt w:val="decimal"/>
      <w:lvlText w:val="%1."/>
      <w:lvlJc w:val="left"/>
      <w:pPr>
        <w:ind w:left="778" w:hanging="360"/>
      </w:pPr>
      <w:rPr>
        <w:rFonts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084C01A0"/>
    <w:multiLevelType w:val="hybridMultilevel"/>
    <w:tmpl w:val="140213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371DCC"/>
    <w:multiLevelType w:val="hybridMultilevel"/>
    <w:tmpl w:val="8C482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DC14872"/>
    <w:multiLevelType w:val="hybridMultilevel"/>
    <w:tmpl w:val="28FA72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133902"/>
    <w:multiLevelType w:val="hybridMultilevel"/>
    <w:tmpl w:val="98C2D2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4770AB"/>
    <w:multiLevelType w:val="hybridMultilevel"/>
    <w:tmpl w:val="65E6B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63DAA"/>
    <w:multiLevelType w:val="hybridMultilevel"/>
    <w:tmpl w:val="49B068D0"/>
    <w:lvl w:ilvl="0" w:tplc="0C090019">
      <w:start w:val="1"/>
      <w:numFmt w:val="lowerLetter"/>
      <w:lvlText w:val="%1."/>
      <w:lvlJc w:val="left"/>
      <w:pPr>
        <w:ind w:left="1440" w:hanging="360"/>
      </w:pPr>
    </w:lvl>
    <w:lvl w:ilvl="1" w:tplc="78049CA2">
      <w:numFmt w:val="bullet"/>
      <w:lvlText w:val=""/>
      <w:lvlJc w:val="left"/>
      <w:pPr>
        <w:ind w:left="2520" w:hanging="720"/>
      </w:pPr>
      <w:rPr>
        <w:rFonts w:ascii="Symbol" w:eastAsiaTheme="minorHAnsi" w:hAnsi="Symbol" w:cstheme="minorBid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5429A"/>
    <w:multiLevelType w:val="hybridMultilevel"/>
    <w:tmpl w:val="A584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B842B0"/>
    <w:multiLevelType w:val="hybridMultilevel"/>
    <w:tmpl w:val="1AD01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51357F8"/>
    <w:multiLevelType w:val="hybridMultilevel"/>
    <w:tmpl w:val="3D2C1C06"/>
    <w:lvl w:ilvl="0" w:tplc="0F604748">
      <w:start w:val="1"/>
      <w:numFmt w:val="upperLetter"/>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5B17876"/>
    <w:multiLevelType w:val="hybridMultilevel"/>
    <w:tmpl w:val="3376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44933"/>
    <w:multiLevelType w:val="hybridMultilevel"/>
    <w:tmpl w:val="A6C0A58E"/>
    <w:lvl w:ilvl="0" w:tplc="0F604748">
      <w:start w:val="1"/>
      <w:numFmt w:val="upperLetter"/>
      <w:lvlText w:val="%1."/>
      <w:lvlJc w:val="left"/>
      <w:pPr>
        <w:ind w:left="720" w:hanging="360"/>
      </w:pPr>
      <w:rPr>
        <w:i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37FA3DAC"/>
    <w:multiLevelType w:val="hybridMultilevel"/>
    <w:tmpl w:val="3EE425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3315E9A"/>
    <w:multiLevelType w:val="hybridMultilevel"/>
    <w:tmpl w:val="9E2A5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CE623E"/>
    <w:multiLevelType w:val="hybridMultilevel"/>
    <w:tmpl w:val="7E5E411A"/>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1E74C4"/>
    <w:multiLevelType w:val="hybridMultilevel"/>
    <w:tmpl w:val="F9B8C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35830"/>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3" w15:restartNumberingAfterBreak="0">
    <w:nsid w:val="54870EF9"/>
    <w:multiLevelType w:val="hybridMultilevel"/>
    <w:tmpl w:val="14A2FDC6"/>
    <w:lvl w:ilvl="0" w:tplc="0C090003">
      <w:start w:val="1"/>
      <w:numFmt w:val="bullet"/>
      <w:lvlText w:val="o"/>
      <w:lvlJc w:val="left"/>
      <w:pPr>
        <w:ind w:left="1498" w:hanging="360"/>
      </w:pPr>
      <w:rPr>
        <w:rFonts w:ascii="Courier New" w:hAnsi="Courier New" w:cs="Courier New" w:hint="default"/>
      </w:rPr>
    </w:lvl>
    <w:lvl w:ilvl="1" w:tplc="0C090003" w:tentative="1">
      <w:start w:val="1"/>
      <w:numFmt w:val="bullet"/>
      <w:lvlText w:val="o"/>
      <w:lvlJc w:val="left"/>
      <w:pPr>
        <w:ind w:left="2218" w:hanging="360"/>
      </w:pPr>
      <w:rPr>
        <w:rFonts w:ascii="Courier New" w:hAnsi="Courier New" w:cs="Courier New" w:hint="default"/>
      </w:rPr>
    </w:lvl>
    <w:lvl w:ilvl="2" w:tplc="0C090005" w:tentative="1">
      <w:start w:val="1"/>
      <w:numFmt w:val="bullet"/>
      <w:lvlText w:val=""/>
      <w:lvlJc w:val="left"/>
      <w:pPr>
        <w:ind w:left="2938" w:hanging="360"/>
      </w:pPr>
      <w:rPr>
        <w:rFonts w:ascii="Wingdings" w:hAnsi="Wingdings" w:hint="default"/>
      </w:rPr>
    </w:lvl>
    <w:lvl w:ilvl="3" w:tplc="0C090001" w:tentative="1">
      <w:start w:val="1"/>
      <w:numFmt w:val="bullet"/>
      <w:lvlText w:val=""/>
      <w:lvlJc w:val="left"/>
      <w:pPr>
        <w:ind w:left="3658" w:hanging="360"/>
      </w:pPr>
      <w:rPr>
        <w:rFonts w:ascii="Symbol" w:hAnsi="Symbol" w:hint="default"/>
      </w:rPr>
    </w:lvl>
    <w:lvl w:ilvl="4" w:tplc="0C090003" w:tentative="1">
      <w:start w:val="1"/>
      <w:numFmt w:val="bullet"/>
      <w:lvlText w:val="o"/>
      <w:lvlJc w:val="left"/>
      <w:pPr>
        <w:ind w:left="4378" w:hanging="360"/>
      </w:pPr>
      <w:rPr>
        <w:rFonts w:ascii="Courier New" w:hAnsi="Courier New" w:cs="Courier New" w:hint="default"/>
      </w:rPr>
    </w:lvl>
    <w:lvl w:ilvl="5" w:tplc="0C090005" w:tentative="1">
      <w:start w:val="1"/>
      <w:numFmt w:val="bullet"/>
      <w:lvlText w:val=""/>
      <w:lvlJc w:val="left"/>
      <w:pPr>
        <w:ind w:left="5098" w:hanging="360"/>
      </w:pPr>
      <w:rPr>
        <w:rFonts w:ascii="Wingdings" w:hAnsi="Wingdings" w:hint="default"/>
      </w:rPr>
    </w:lvl>
    <w:lvl w:ilvl="6" w:tplc="0C090001" w:tentative="1">
      <w:start w:val="1"/>
      <w:numFmt w:val="bullet"/>
      <w:lvlText w:val=""/>
      <w:lvlJc w:val="left"/>
      <w:pPr>
        <w:ind w:left="5818" w:hanging="360"/>
      </w:pPr>
      <w:rPr>
        <w:rFonts w:ascii="Symbol" w:hAnsi="Symbol" w:hint="default"/>
      </w:rPr>
    </w:lvl>
    <w:lvl w:ilvl="7" w:tplc="0C090003" w:tentative="1">
      <w:start w:val="1"/>
      <w:numFmt w:val="bullet"/>
      <w:lvlText w:val="o"/>
      <w:lvlJc w:val="left"/>
      <w:pPr>
        <w:ind w:left="6538" w:hanging="360"/>
      </w:pPr>
      <w:rPr>
        <w:rFonts w:ascii="Courier New" w:hAnsi="Courier New" w:cs="Courier New" w:hint="default"/>
      </w:rPr>
    </w:lvl>
    <w:lvl w:ilvl="8" w:tplc="0C090005" w:tentative="1">
      <w:start w:val="1"/>
      <w:numFmt w:val="bullet"/>
      <w:lvlText w:val=""/>
      <w:lvlJc w:val="left"/>
      <w:pPr>
        <w:ind w:left="7258" w:hanging="360"/>
      </w:pPr>
      <w:rPr>
        <w:rFonts w:ascii="Wingdings" w:hAnsi="Wingdings" w:hint="default"/>
      </w:rPr>
    </w:lvl>
  </w:abstractNum>
  <w:abstractNum w:abstractNumId="24" w15:restartNumberingAfterBreak="0">
    <w:nsid w:val="54AD3335"/>
    <w:multiLevelType w:val="hybridMultilevel"/>
    <w:tmpl w:val="78B6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C73A3F"/>
    <w:multiLevelType w:val="multilevel"/>
    <w:tmpl w:val="9EE648E2"/>
    <w:lvl w:ilvl="0">
      <w:start w:val="1"/>
      <w:numFmt w:val="decimal"/>
      <w:lvlText w:val="%1"/>
      <w:lvlJc w:val="left"/>
      <w:pPr>
        <w:ind w:left="720" w:hanging="720"/>
      </w:pPr>
      <w:rPr>
        <w:b/>
        <w:color w:val="auto"/>
      </w:rPr>
    </w:lvl>
    <w:lvl w:ilvl="1">
      <w:start w:val="1"/>
      <w:numFmt w:val="decimal"/>
      <w:lvlText w:val="%1.%2"/>
      <w:lvlJc w:val="left"/>
      <w:pPr>
        <w:ind w:left="880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F1608A7"/>
    <w:multiLevelType w:val="hybridMultilevel"/>
    <w:tmpl w:val="2D3837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3A57F88"/>
    <w:multiLevelType w:val="hybridMultilevel"/>
    <w:tmpl w:val="97DA05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48166A1"/>
    <w:multiLevelType w:val="hybridMultilevel"/>
    <w:tmpl w:val="D2DA9B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33173D1"/>
    <w:multiLevelType w:val="hybridMultilevel"/>
    <w:tmpl w:val="BB8A1620"/>
    <w:lvl w:ilvl="0" w:tplc="489AC878">
      <w:start w:val="1"/>
      <w:numFmt w:val="lowerLetter"/>
      <w:lvlText w:val="%1."/>
      <w:lvlJc w:val="left"/>
      <w:pPr>
        <w:ind w:left="1440" w:hanging="360"/>
      </w:pPr>
      <w:rPr>
        <w:rFonts w:asciiTheme="minorHAnsi" w:eastAsiaTheme="minorHAnsi" w:hAnsiTheme="minorHAnsi" w:cstheme="minorHAnsi"/>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4D033C"/>
    <w:multiLevelType w:val="multilevel"/>
    <w:tmpl w:val="7FEE34EE"/>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880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C39617B"/>
    <w:multiLevelType w:val="hybridMultilevel"/>
    <w:tmpl w:val="FDC64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33"/>
  </w:num>
  <w:num w:numId="4">
    <w:abstractNumId w:val="0"/>
  </w:num>
  <w:num w:numId="5">
    <w:abstractNumId w:val="26"/>
  </w:num>
  <w:num w:numId="6">
    <w:abstractNumId w:val="34"/>
  </w:num>
  <w:num w:numId="7">
    <w:abstractNumId w:val="31"/>
  </w:num>
  <w:num w:numId="8">
    <w:abstractNumId w:val="20"/>
  </w:num>
  <w:num w:numId="9">
    <w:abstractNumId w:val="17"/>
  </w:num>
  <w:num w:numId="10">
    <w:abstractNumId w:val="1"/>
  </w:num>
  <w:num w:numId="11">
    <w:abstractNumId w:val="33"/>
  </w:num>
  <w:num w:numId="12">
    <w:abstractNumId w:val="30"/>
  </w:num>
  <w:num w:numId="13">
    <w:abstractNumId w:val="11"/>
  </w:num>
  <w:num w:numId="14">
    <w:abstractNumId w:val="18"/>
  </w:num>
  <w:num w:numId="15">
    <w:abstractNumId w:val="24"/>
  </w:num>
  <w:num w:numId="16">
    <w:abstractNumId w:val="33"/>
  </w:num>
  <w:num w:numId="17">
    <w:abstractNumId w:val="33"/>
  </w:num>
  <w:num w:numId="18">
    <w:abstractNumId w:val="33"/>
  </w:num>
  <w:num w:numId="19">
    <w:abstractNumId w:val="33"/>
  </w:num>
  <w:num w:numId="20">
    <w:abstractNumId w:val="10"/>
  </w:num>
  <w:num w:numId="21">
    <w:abstractNumId w:val="21"/>
  </w:num>
  <w:num w:numId="22">
    <w:abstractNumId w:val="22"/>
  </w:num>
  <w:num w:numId="23">
    <w:abstractNumId w:val="33"/>
  </w:num>
  <w:num w:numId="24">
    <w:abstractNumId w:val="29"/>
  </w:num>
  <w:num w:numId="25">
    <w:abstractNumId w:val="7"/>
  </w:num>
  <w:num w:numId="26">
    <w:abstractNumId w:val="33"/>
  </w:num>
  <w:num w:numId="27">
    <w:abstractNumId w:val="33"/>
  </w:num>
  <w:num w:numId="28">
    <w:abstractNumId w:val="33"/>
  </w:num>
  <w:num w:numId="29">
    <w:abstractNumId w:val="33"/>
  </w:num>
  <w:num w:numId="30">
    <w:abstractNumId w:val="8"/>
  </w:num>
  <w:num w:numId="31">
    <w:abstractNumId w:val="2"/>
  </w:num>
  <w:num w:numId="32">
    <w:abstractNumId w:val="5"/>
  </w:num>
  <w:num w:numId="33">
    <w:abstractNumId w:val="14"/>
  </w:num>
  <w:num w:numId="34">
    <w:abstractNumId w:val="3"/>
  </w:num>
  <w:num w:numId="35">
    <w:abstractNumId w:val="23"/>
  </w:num>
  <w:num w:numId="36">
    <w:abstractNumId w:val="27"/>
  </w:num>
  <w:num w:numId="37">
    <w:abstractNumId w:val="35"/>
  </w:num>
  <w:num w:numId="38">
    <w:abstractNumId w:val="19"/>
  </w:num>
  <w:num w:numId="39">
    <w:abstractNumId w:val="25"/>
  </w:num>
  <w:num w:numId="40">
    <w:abstractNumId w:val="16"/>
  </w:num>
  <w:num w:numId="41">
    <w:abstractNumId w:val="32"/>
  </w:num>
  <w:num w:numId="42">
    <w:abstractNumId w:val="13"/>
  </w:num>
  <w:num w:numId="43">
    <w:abstractNumId w:val="12"/>
  </w:num>
  <w:num w:numId="44">
    <w:abstractNumId w:val="28"/>
  </w:num>
  <w:num w:numId="45">
    <w:abstractNumId w:val="4"/>
  </w:num>
  <w:num w:numId="46">
    <w:abstractNumId w:val="6"/>
  </w:num>
  <w:num w:numId="47">
    <w:abstractNumId w:val="33"/>
  </w:num>
  <w:num w:numId="48">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0D34"/>
    <w:rsid w:val="0000119C"/>
    <w:rsid w:val="00001663"/>
    <w:rsid w:val="000025AD"/>
    <w:rsid w:val="0000335D"/>
    <w:rsid w:val="00006782"/>
    <w:rsid w:val="000078E4"/>
    <w:rsid w:val="00011A59"/>
    <w:rsid w:val="00013E2E"/>
    <w:rsid w:val="00013FDD"/>
    <w:rsid w:val="00014686"/>
    <w:rsid w:val="00015C82"/>
    <w:rsid w:val="00016455"/>
    <w:rsid w:val="00016A41"/>
    <w:rsid w:val="00016AD8"/>
    <w:rsid w:val="000214D1"/>
    <w:rsid w:val="0002464A"/>
    <w:rsid w:val="00024949"/>
    <w:rsid w:val="00025A04"/>
    <w:rsid w:val="0002675B"/>
    <w:rsid w:val="00027880"/>
    <w:rsid w:val="0003050E"/>
    <w:rsid w:val="0003106B"/>
    <w:rsid w:val="0003156A"/>
    <w:rsid w:val="00034905"/>
    <w:rsid w:val="00034F24"/>
    <w:rsid w:val="00040BB4"/>
    <w:rsid w:val="0004110C"/>
    <w:rsid w:val="0004190B"/>
    <w:rsid w:val="000421A1"/>
    <w:rsid w:val="0004240E"/>
    <w:rsid w:val="000442FB"/>
    <w:rsid w:val="00044EC4"/>
    <w:rsid w:val="00045E26"/>
    <w:rsid w:val="000469A3"/>
    <w:rsid w:val="00047D02"/>
    <w:rsid w:val="000514B5"/>
    <w:rsid w:val="0005322E"/>
    <w:rsid w:val="00054B82"/>
    <w:rsid w:val="00054E2B"/>
    <w:rsid w:val="00060E64"/>
    <w:rsid w:val="00066193"/>
    <w:rsid w:val="00066755"/>
    <w:rsid w:val="00070F5F"/>
    <w:rsid w:val="00071914"/>
    <w:rsid w:val="00071A5B"/>
    <w:rsid w:val="00072730"/>
    <w:rsid w:val="0007337F"/>
    <w:rsid w:val="000763D5"/>
    <w:rsid w:val="00076C38"/>
    <w:rsid w:val="00076E6B"/>
    <w:rsid w:val="00077143"/>
    <w:rsid w:val="00077DF7"/>
    <w:rsid w:val="0008050C"/>
    <w:rsid w:val="00082169"/>
    <w:rsid w:val="0008219F"/>
    <w:rsid w:val="000834BE"/>
    <w:rsid w:val="00083737"/>
    <w:rsid w:val="00083F01"/>
    <w:rsid w:val="00087C4C"/>
    <w:rsid w:val="00091659"/>
    <w:rsid w:val="000918CB"/>
    <w:rsid w:val="00091B06"/>
    <w:rsid w:val="0009408D"/>
    <w:rsid w:val="000951C4"/>
    <w:rsid w:val="00095ADA"/>
    <w:rsid w:val="000969AD"/>
    <w:rsid w:val="000975FB"/>
    <w:rsid w:val="000A0BC6"/>
    <w:rsid w:val="000A0DAC"/>
    <w:rsid w:val="000A1A8B"/>
    <w:rsid w:val="000A3AA2"/>
    <w:rsid w:val="000A44B2"/>
    <w:rsid w:val="000A52F6"/>
    <w:rsid w:val="000A546C"/>
    <w:rsid w:val="000A72B9"/>
    <w:rsid w:val="000A76CB"/>
    <w:rsid w:val="000B0916"/>
    <w:rsid w:val="000B1A07"/>
    <w:rsid w:val="000B44C3"/>
    <w:rsid w:val="000B4AB3"/>
    <w:rsid w:val="000B558D"/>
    <w:rsid w:val="000B5A89"/>
    <w:rsid w:val="000B5C48"/>
    <w:rsid w:val="000B65F6"/>
    <w:rsid w:val="000B7767"/>
    <w:rsid w:val="000C2873"/>
    <w:rsid w:val="000C5F95"/>
    <w:rsid w:val="000C6996"/>
    <w:rsid w:val="000C7C46"/>
    <w:rsid w:val="000D09E9"/>
    <w:rsid w:val="000D113F"/>
    <w:rsid w:val="000D23BA"/>
    <w:rsid w:val="000E19B7"/>
    <w:rsid w:val="000E20FC"/>
    <w:rsid w:val="000E3888"/>
    <w:rsid w:val="000E3DFB"/>
    <w:rsid w:val="000E4B86"/>
    <w:rsid w:val="000E5EA1"/>
    <w:rsid w:val="000E681E"/>
    <w:rsid w:val="000E7E52"/>
    <w:rsid w:val="000F0003"/>
    <w:rsid w:val="000F04B0"/>
    <w:rsid w:val="000F185D"/>
    <w:rsid w:val="000F3384"/>
    <w:rsid w:val="000F4E6A"/>
    <w:rsid w:val="000F7354"/>
    <w:rsid w:val="0010199B"/>
    <w:rsid w:val="00101ABE"/>
    <w:rsid w:val="00102202"/>
    <w:rsid w:val="00102700"/>
    <w:rsid w:val="00102A78"/>
    <w:rsid w:val="00103118"/>
    <w:rsid w:val="00104227"/>
    <w:rsid w:val="001052E1"/>
    <w:rsid w:val="00105B35"/>
    <w:rsid w:val="00107441"/>
    <w:rsid w:val="001107BF"/>
    <w:rsid w:val="00110CB6"/>
    <w:rsid w:val="00113649"/>
    <w:rsid w:val="00113D5C"/>
    <w:rsid w:val="00114B56"/>
    <w:rsid w:val="00115E2B"/>
    <w:rsid w:val="00123774"/>
    <w:rsid w:val="0012417C"/>
    <w:rsid w:val="00124BF2"/>
    <w:rsid w:val="00125827"/>
    <w:rsid w:val="0012597F"/>
    <w:rsid w:val="0012749D"/>
    <w:rsid w:val="001306A5"/>
    <w:rsid w:val="001311AE"/>
    <w:rsid w:val="00131736"/>
    <w:rsid w:val="00131E61"/>
    <w:rsid w:val="0013369E"/>
    <w:rsid w:val="00140B74"/>
    <w:rsid w:val="00140D94"/>
    <w:rsid w:val="0014193F"/>
    <w:rsid w:val="00142395"/>
    <w:rsid w:val="00142714"/>
    <w:rsid w:val="00144D09"/>
    <w:rsid w:val="001452ED"/>
    <w:rsid w:val="00147D84"/>
    <w:rsid w:val="00150D90"/>
    <w:rsid w:val="00151003"/>
    <w:rsid w:val="00153C76"/>
    <w:rsid w:val="001549C1"/>
    <w:rsid w:val="00154D72"/>
    <w:rsid w:val="00156C8D"/>
    <w:rsid w:val="0016043D"/>
    <w:rsid w:val="00160A1B"/>
    <w:rsid w:val="00160CCD"/>
    <w:rsid w:val="00160F4D"/>
    <w:rsid w:val="001610B3"/>
    <w:rsid w:val="00161B88"/>
    <w:rsid w:val="0016299A"/>
    <w:rsid w:val="00162BDD"/>
    <w:rsid w:val="00162D4E"/>
    <w:rsid w:val="00163329"/>
    <w:rsid w:val="00164196"/>
    <w:rsid w:val="00164623"/>
    <w:rsid w:val="001652DE"/>
    <w:rsid w:val="00165B64"/>
    <w:rsid w:val="00176B9D"/>
    <w:rsid w:val="00177F22"/>
    <w:rsid w:val="00180713"/>
    <w:rsid w:val="00180720"/>
    <w:rsid w:val="00181BC0"/>
    <w:rsid w:val="001821D5"/>
    <w:rsid w:val="001830CE"/>
    <w:rsid w:val="001836E3"/>
    <w:rsid w:val="0018643B"/>
    <w:rsid w:val="00187C68"/>
    <w:rsid w:val="001916E7"/>
    <w:rsid w:val="00196307"/>
    <w:rsid w:val="001975BA"/>
    <w:rsid w:val="00197F03"/>
    <w:rsid w:val="001A0D10"/>
    <w:rsid w:val="001A33EA"/>
    <w:rsid w:val="001A4413"/>
    <w:rsid w:val="001A4606"/>
    <w:rsid w:val="001A4C4F"/>
    <w:rsid w:val="001A5A2B"/>
    <w:rsid w:val="001A76FB"/>
    <w:rsid w:val="001B017F"/>
    <w:rsid w:val="001B0B79"/>
    <w:rsid w:val="001B2BBC"/>
    <w:rsid w:val="001B3A40"/>
    <w:rsid w:val="001B3FFE"/>
    <w:rsid w:val="001B5129"/>
    <w:rsid w:val="001B69D7"/>
    <w:rsid w:val="001B7898"/>
    <w:rsid w:val="001C0B4C"/>
    <w:rsid w:val="001C0EC4"/>
    <w:rsid w:val="001C0F85"/>
    <w:rsid w:val="001C1195"/>
    <w:rsid w:val="001C12AE"/>
    <w:rsid w:val="001C1E84"/>
    <w:rsid w:val="001C2E42"/>
    <w:rsid w:val="001C582D"/>
    <w:rsid w:val="001D1F5F"/>
    <w:rsid w:val="001D3BB6"/>
    <w:rsid w:val="001D790F"/>
    <w:rsid w:val="001D7B37"/>
    <w:rsid w:val="001E06D2"/>
    <w:rsid w:val="001E17C4"/>
    <w:rsid w:val="001E1F67"/>
    <w:rsid w:val="001E6AF2"/>
    <w:rsid w:val="001F005B"/>
    <w:rsid w:val="001F16EF"/>
    <w:rsid w:val="001F1850"/>
    <w:rsid w:val="001F199A"/>
    <w:rsid w:val="001F1FBF"/>
    <w:rsid w:val="001F2B80"/>
    <w:rsid w:val="001F2F1C"/>
    <w:rsid w:val="001F3189"/>
    <w:rsid w:val="00200B27"/>
    <w:rsid w:val="00201FB8"/>
    <w:rsid w:val="00203DAA"/>
    <w:rsid w:val="00203FAC"/>
    <w:rsid w:val="00207698"/>
    <w:rsid w:val="002138EB"/>
    <w:rsid w:val="00213CFB"/>
    <w:rsid w:val="0021553C"/>
    <w:rsid w:val="0021557B"/>
    <w:rsid w:val="00215D2B"/>
    <w:rsid w:val="00216D10"/>
    <w:rsid w:val="002174FD"/>
    <w:rsid w:val="00217BE1"/>
    <w:rsid w:val="0022059E"/>
    <w:rsid w:val="002214B9"/>
    <w:rsid w:val="0022242C"/>
    <w:rsid w:val="002252BD"/>
    <w:rsid w:val="00230F63"/>
    <w:rsid w:val="00231CEE"/>
    <w:rsid w:val="00232FDB"/>
    <w:rsid w:val="00233590"/>
    <w:rsid w:val="002338CC"/>
    <w:rsid w:val="00234252"/>
    <w:rsid w:val="0023466E"/>
    <w:rsid w:val="00237AC6"/>
    <w:rsid w:val="00242036"/>
    <w:rsid w:val="00243FD8"/>
    <w:rsid w:val="00244139"/>
    <w:rsid w:val="00244490"/>
    <w:rsid w:val="00245B9C"/>
    <w:rsid w:val="002513F5"/>
    <w:rsid w:val="00251E58"/>
    <w:rsid w:val="00253499"/>
    <w:rsid w:val="002551A4"/>
    <w:rsid w:val="00255AF0"/>
    <w:rsid w:val="00257664"/>
    <w:rsid w:val="00265151"/>
    <w:rsid w:val="00265842"/>
    <w:rsid w:val="00265C2C"/>
    <w:rsid w:val="00266509"/>
    <w:rsid w:val="00271BA1"/>
    <w:rsid w:val="00273AC5"/>
    <w:rsid w:val="00276262"/>
    <w:rsid w:val="002762FA"/>
    <w:rsid w:val="00276E68"/>
    <w:rsid w:val="00277505"/>
    <w:rsid w:val="00280C1F"/>
    <w:rsid w:val="0028158C"/>
    <w:rsid w:val="002823B6"/>
    <w:rsid w:val="00284C03"/>
    <w:rsid w:val="002904F3"/>
    <w:rsid w:val="00290C03"/>
    <w:rsid w:val="00291567"/>
    <w:rsid w:val="00292389"/>
    <w:rsid w:val="00294274"/>
    <w:rsid w:val="0029458F"/>
    <w:rsid w:val="00294F34"/>
    <w:rsid w:val="002A018F"/>
    <w:rsid w:val="002A0E04"/>
    <w:rsid w:val="002A104C"/>
    <w:rsid w:val="002A1EF7"/>
    <w:rsid w:val="002A35C0"/>
    <w:rsid w:val="002A494D"/>
    <w:rsid w:val="002A4960"/>
    <w:rsid w:val="002A636A"/>
    <w:rsid w:val="002A78CE"/>
    <w:rsid w:val="002B0AE0"/>
    <w:rsid w:val="002B1AE6"/>
    <w:rsid w:val="002B1D51"/>
    <w:rsid w:val="002B2DE8"/>
    <w:rsid w:val="002B30F8"/>
    <w:rsid w:val="002B388A"/>
    <w:rsid w:val="002B5596"/>
    <w:rsid w:val="002B77D7"/>
    <w:rsid w:val="002C212F"/>
    <w:rsid w:val="002C2F35"/>
    <w:rsid w:val="002C6AA9"/>
    <w:rsid w:val="002C7485"/>
    <w:rsid w:val="002D13D9"/>
    <w:rsid w:val="002D20F3"/>
    <w:rsid w:val="002D2641"/>
    <w:rsid w:val="002D283A"/>
    <w:rsid w:val="002D28ED"/>
    <w:rsid w:val="002D2D54"/>
    <w:rsid w:val="002D4543"/>
    <w:rsid w:val="002E3153"/>
    <w:rsid w:val="002E3DA3"/>
    <w:rsid w:val="002E3E3A"/>
    <w:rsid w:val="002E45A1"/>
    <w:rsid w:val="002E4A02"/>
    <w:rsid w:val="002E5292"/>
    <w:rsid w:val="002E72CA"/>
    <w:rsid w:val="002F12A1"/>
    <w:rsid w:val="002F19FE"/>
    <w:rsid w:val="002F1D07"/>
    <w:rsid w:val="002F38DC"/>
    <w:rsid w:val="002F4FE9"/>
    <w:rsid w:val="002F600D"/>
    <w:rsid w:val="002F6F0F"/>
    <w:rsid w:val="002F7E47"/>
    <w:rsid w:val="00300AD6"/>
    <w:rsid w:val="00300B1B"/>
    <w:rsid w:val="003019D0"/>
    <w:rsid w:val="003022C9"/>
    <w:rsid w:val="00304A92"/>
    <w:rsid w:val="003064A2"/>
    <w:rsid w:val="003064AF"/>
    <w:rsid w:val="00306EEF"/>
    <w:rsid w:val="00310A8B"/>
    <w:rsid w:val="00310B68"/>
    <w:rsid w:val="0031150B"/>
    <w:rsid w:val="00313014"/>
    <w:rsid w:val="003160D2"/>
    <w:rsid w:val="00316806"/>
    <w:rsid w:val="00317090"/>
    <w:rsid w:val="003173FC"/>
    <w:rsid w:val="00317ADD"/>
    <w:rsid w:val="00317C6C"/>
    <w:rsid w:val="00320B80"/>
    <w:rsid w:val="00320CD3"/>
    <w:rsid w:val="00326C50"/>
    <w:rsid w:val="00326E79"/>
    <w:rsid w:val="0032748A"/>
    <w:rsid w:val="003301B1"/>
    <w:rsid w:val="00330A10"/>
    <w:rsid w:val="00331189"/>
    <w:rsid w:val="00331DB8"/>
    <w:rsid w:val="0033263D"/>
    <w:rsid w:val="00334F83"/>
    <w:rsid w:val="0033518A"/>
    <w:rsid w:val="00335535"/>
    <w:rsid w:val="003367EF"/>
    <w:rsid w:val="00340CB4"/>
    <w:rsid w:val="00341AE4"/>
    <w:rsid w:val="00341CEA"/>
    <w:rsid w:val="003476EE"/>
    <w:rsid w:val="00347ED9"/>
    <w:rsid w:val="0035106B"/>
    <w:rsid w:val="00352424"/>
    <w:rsid w:val="003541DD"/>
    <w:rsid w:val="00354D64"/>
    <w:rsid w:val="00356E5B"/>
    <w:rsid w:val="00357BF0"/>
    <w:rsid w:val="003607D4"/>
    <w:rsid w:val="00366810"/>
    <w:rsid w:val="003668DD"/>
    <w:rsid w:val="003702A1"/>
    <w:rsid w:val="00370386"/>
    <w:rsid w:val="003710F1"/>
    <w:rsid w:val="003736C9"/>
    <w:rsid w:val="00373961"/>
    <w:rsid w:val="00377A8E"/>
    <w:rsid w:val="00377D25"/>
    <w:rsid w:val="0038363F"/>
    <w:rsid w:val="00383B77"/>
    <w:rsid w:val="00384988"/>
    <w:rsid w:val="003872CF"/>
    <w:rsid w:val="003879F4"/>
    <w:rsid w:val="00391B2E"/>
    <w:rsid w:val="00391DD3"/>
    <w:rsid w:val="003953F1"/>
    <w:rsid w:val="0039641A"/>
    <w:rsid w:val="0039782C"/>
    <w:rsid w:val="003A0C78"/>
    <w:rsid w:val="003A13A6"/>
    <w:rsid w:val="003A2165"/>
    <w:rsid w:val="003A3829"/>
    <w:rsid w:val="003A5B4A"/>
    <w:rsid w:val="003A5D95"/>
    <w:rsid w:val="003A7592"/>
    <w:rsid w:val="003B029B"/>
    <w:rsid w:val="003B0D3A"/>
    <w:rsid w:val="003B2302"/>
    <w:rsid w:val="003B23C5"/>
    <w:rsid w:val="003B2939"/>
    <w:rsid w:val="003B2A75"/>
    <w:rsid w:val="003B49B2"/>
    <w:rsid w:val="003B6124"/>
    <w:rsid w:val="003B7960"/>
    <w:rsid w:val="003B7E28"/>
    <w:rsid w:val="003C06D6"/>
    <w:rsid w:val="003C093A"/>
    <w:rsid w:val="003C1ECF"/>
    <w:rsid w:val="003C2FB5"/>
    <w:rsid w:val="003C48E8"/>
    <w:rsid w:val="003C4E81"/>
    <w:rsid w:val="003D24C5"/>
    <w:rsid w:val="003D2718"/>
    <w:rsid w:val="003D31F4"/>
    <w:rsid w:val="003D4594"/>
    <w:rsid w:val="003D4AC4"/>
    <w:rsid w:val="003D63B7"/>
    <w:rsid w:val="003D74C5"/>
    <w:rsid w:val="003E4374"/>
    <w:rsid w:val="003E45F8"/>
    <w:rsid w:val="003E468B"/>
    <w:rsid w:val="003E62BD"/>
    <w:rsid w:val="003F044F"/>
    <w:rsid w:val="003F0C3A"/>
    <w:rsid w:val="003F15F0"/>
    <w:rsid w:val="003F2398"/>
    <w:rsid w:val="003F3228"/>
    <w:rsid w:val="003F5C8C"/>
    <w:rsid w:val="003F63CE"/>
    <w:rsid w:val="003F775A"/>
    <w:rsid w:val="00400E55"/>
    <w:rsid w:val="0040128E"/>
    <w:rsid w:val="0040216B"/>
    <w:rsid w:val="00402B01"/>
    <w:rsid w:val="00404B8D"/>
    <w:rsid w:val="004108B4"/>
    <w:rsid w:val="00411672"/>
    <w:rsid w:val="00411FDE"/>
    <w:rsid w:val="00416457"/>
    <w:rsid w:val="004165AE"/>
    <w:rsid w:val="00416629"/>
    <w:rsid w:val="00420400"/>
    <w:rsid w:val="004252EC"/>
    <w:rsid w:val="004274B6"/>
    <w:rsid w:val="00427DDE"/>
    <w:rsid w:val="00430D39"/>
    <w:rsid w:val="00430D8B"/>
    <w:rsid w:val="00432EE7"/>
    <w:rsid w:val="004348B2"/>
    <w:rsid w:val="00434D24"/>
    <w:rsid w:val="00435F34"/>
    <w:rsid w:val="004360CC"/>
    <w:rsid w:val="0043638A"/>
    <w:rsid w:val="00442C91"/>
    <w:rsid w:val="0044301F"/>
    <w:rsid w:val="004441ED"/>
    <w:rsid w:val="004465BD"/>
    <w:rsid w:val="00446938"/>
    <w:rsid w:val="004517B8"/>
    <w:rsid w:val="00451B68"/>
    <w:rsid w:val="004528FA"/>
    <w:rsid w:val="00457B9E"/>
    <w:rsid w:val="00460AAD"/>
    <w:rsid w:val="00461A44"/>
    <w:rsid w:val="00462D26"/>
    <w:rsid w:val="0046385A"/>
    <w:rsid w:val="00466ADA"/>
    <w:rsid w:val="00467444"/>
    <w:rsid w:val="004702BB"/>
    <w:rsid w:val="0047494B"/>
    <w:rsid w:val="00476245"/>
    <w:rsid w:val="00476B15"/>
    <w:rsid w:val="00477A9B"/>
    <w:rsid w:val="00480D33"/>
    <w:rsid w:val="00481BD6"/>
    <w:rsid w:val="00481EEB"/>
    <w:rsid w:val="00482FF2"/>
    <w:rsid w:val="00483035"/>
    <w:rsid w:val="0048584B"/>
    <w:rsid w:val="00485940"/>
    <w:rsid w:val="00486C95"/>
    <w:rsid w:val="004877C2"/>
    <w:rsid w:val="00487C42"/>
    <w:rsid w:val="004904B9"/>
    <w:rsid w:val="00494A22"/>
    <w:rsid w:val="00494B3D"/>
    <w:rsid w:val="00494FCC"/>
    <w:rsid w:val="00496662"/>
    <w:rsid w:val="004A2484"/>
    <w:rsid w:val="004A4A99"/>
    <w:rsid w:val="004A52DA"/>
    <w:rsid w:val="004A5A85"/>
    <w:rsid w:val="004A6503"/>
    <w:rsid w:val="004A71D1"/>
    <w:rsid w:val="004A7C5B"/>
    <w:rsid w:val="004B1845"/>
    <w:rsid w:val="004B2348"/>
    <w:rsid w:val="004B2E01"/>
    <w:rsid w:val="004B2E98"/>
    <w:rsid w:val="004B311D"/>
    <w:rsid w:val="004B5640"/>
    <w:rsid w:val="004B6084"/>
    <w:rsid w:val="004BCF29"/>
    <w:rsid w:val="004C03D0"/>
    <w:rsid w:val="004C1BD7"/>
    <w:rsid w:val="004C1F5E"/>
    <w:rsid w:val="004C2108"/>
    <w:rsid w:val="004C21F8"/>
    <w:rsid w:val="004C239C"/>
    <w:rsid w:val="004C31FE"/>
    <w:rsid w:val="004C38C0"/>
    <w:rsid w:val="004C524C"/>
    <w:rsid w:val="004C5FFA"/>
    <w:rsid w:val="004C691D"/>
    <w:rsid w:val="004C6B5A"/>
    <w:rsid w:val="004C6C07"/>
    <w:rsid w:val="004C7CD6"/>
    <w:rsid w:val="004C7E15"/>
    <w:rsid w:val="004D2CD1"/>
    <w:rsid w:val="004D325D"/>
    <w:rsid w:val="004D4FF6"/>
    <w:rsid w:val="004D5795"/>
    <w:rsid w:val="004D5ADD"/>
    <w:rsid w:val="004E0F1B"/>
    <w:rsid w:val="004E28CE"/>
    <w:rsid w:val="004E3FC7"/>
    <w:rsid w:val="004E692D"/>
    <w:rsid w:val="004E7230"/>
    <w:rsid w:val="004E7D87"/>
    <w:rsid w:val="004E7E55"/>
    <w:rsid w:val="004F2553"/>
    <w:rsid w:val="004F306A"/>
    <w:rsid w:val="004F3ED6"/>
    <w:rsid w:val="004F53E6"/>
    <w:rsid w:val="004F6D5F"/>
    <w:rsid w:val="00500BEF"/>
    <w:rsid w:val="00501554"/>
    <w:rsid w:val="00502AFE"/>
    <w:rsid w:val="00502E64"/>
    <w:rsid w:val="00503AD7"/>
    <w:rsid w:val="00504E0C"/>
    <w:rsid w:val="00504E13"/>
    <w:rsid w:val="00506888"/>
    <w:rsid w:val="005071A9"/>
    <w:rsid w:val="005107A3"/>
    <w:rsid w:val="005109D4"/>
    <w:rsid w:val="005110B8"/>
    <w:rsid w:val="00514CD7"/>
    <w:rsid w:val="005167EC"/>
    <w:rsid w:val="005170DA"/>
    <w:rsid w:val="00517662"/>
    <w:rsid w:val="005209B7"/>
    <w:rsid w:val="00520D6A"/>
    <w:rsid w:val="005212B6"/>
    <w:rsid w:val="00521681"/>
    <w:rsid w:val="00522DB6"/>
    <w:rsid w:val="00523A86"/>
    <w:rsid w:val="005264A7"/>
    <w:rsid w:val="0052792D"/>
    <w:rsid w:val="005319B2"/>
    <w:rsid w:val="00532402"/>
    <w:rsid w:val="00532C74"/>
    <w:rsid w:val="00534E2E"/>
    <w:rsid w:val="00537C4B"/>
    <w:rsid w:val="0054064C"/>
    <w:rsid w:val="00544552"/>
    <w:rsid w:val="00545130"/>
    <w:rsid w:val="00546193"/>
    <w:rsid w:val="00547971"/>
    <w:rsid w:val="0055286A"/>
    <w:rsid w:val="00555745"/>
    <w:rsid w:val="00557D4F"/>
    <w:rsid w:val="0056122E"/>
    <w:rsid w:val="00562DFE"/>
    <w:rsid w:val="005632C9"/>
    <w:rsid w:val="00563AFF"/>
    <w:rsid w:val="0056440A"/>
    <w:rsid w:val="0056484E"/>
    <w:rsid w:val="00567D8A"/>
    <w:rsid w:val="00571210"/>
    <w:rsid w:val="005764CD"/>
    <w:rsid w:val="00577C4D"/>
    <w:rsid w:val="0058000B"/>
    <w:rsid w:val="00580532"/>
    <w:rsid w:val="00581932"/>
    <w:rsid w:val="00583043"/>
    <w:rsid w:val="00587617"/>
    <w:rsid w:val="0058798A"/>
    <w:rsid w:val="005879CA"/>
    <w:rsid w:val="00587C04"/>
    <w:rsid w:val="00587CCE"/>
    <w:rsid w:val="00587FE7"/>
    <w:rsid w:val="0059005F"/>
    <w:rsid w:val="00594864"/>
    <w:rsid w:val="005963BB"/>
    <w:rsid w:val="00597EF2"/>
    <w:rsid w:val="005A3173"/>
    <w:rsid w:val="005A3223"/>
    <w:rsid w:val="005A3DA3"/>
    <w:rsid w:val="005A444E"/>
    <w:rsid w:val="005A52C4"/>
    <w:rsid w:val="005A59B2"/>
    <w:rsid w:val="005A63A1"/>
    <w:rsid w:val="005B1548"/>
    <w:rsid w:val="005B2CBB"/>
    <w:rsid w:val="005B353B"/>
    <w:rsid w:val="005C1345"/>
    <w:rsid w:val="005C3A22"/>
    <w:rsid w:val="005C4F73"/>
    <w:rsid w:val="005D03AB"/>
    <w:rsid w:val="005D1D60"/>
    <w:rsid w:val="005D2C98"/>
    <w:rsid w:val="005D401D"/>
    <w:rsid w:val="005D4228"/>
    <w:rsid w:val="005D4733"/>
    <w:rsid w:val="005D5017"/>
    <w:rsid w:val="005D63FA"/>
    <w:rsid w:val="005D73C7"/>
    <w:rsid w:val="005D7843"/>
    <w:rsid w:val="005D7EFF"/>
    <w:rsid w:val="005E0C2D"/>
    <w:rsid w:val="005E0D82"/>
    <w:rsid w:val="005E0F59"/>
    <w:rsid w:val="005E1333"/>
    <w:rsid w:val="005E1C50"/>
    <w:rsid w:val="005E2396"/>
    <w:rsid w:val="005E28A3"/>
    <w:rsid w:val="005E2BCD"/>
    <w:rsid w:val="005E306F"/>
    <w:rsid w:val="005E3136"/>
    <w:rsid w:val="005E4F5F"/>
    <w:rsid w:val="005E507D"/>
    <w:rsid w:val="005E5786"/>
    <w:rsid w:val="005F0AD0"/>
    <w:rsid w:val="005F2F82"/>
    <w:rsid w:val="005F4B8A"/>
    <w:rsid w:val="005F4BD1"/>
    <w:rsid w:val="005F5556"/>
    <w:rsid w:val="005F577B"/>
    <w:rsid w:val="006011CF"/>
    <w:rsid w:val="00601A91"/>
    <w:rsid w:val="00602BA3"/>
    <w:rsid w:val="00605B63"/>
    <w:rsid w:val="00605F9A"/>
    <w:rsid w:val="00606442"/>
    <w:rsid w:val="00606EED"/>
    <w:rsid w:val="00607DE2"/>
    <w:rsid w:val="00610894"/>
    <w:rsid w:val="00612A95"/>
    <w:rsid w:val="00612E34"/>
    <w:rsid w:val="00612F1B"/>
    <w:rsid w:val="00614159"/>
    <w:rsid w:val="006158A3"/>
    <w:rsid w:val="00616C5F"/>
    <w:rsid w:val="00616CF4"/>
    <w:rsid w:val="00616DAC"/>
    <w:rsid w:val="00617035"/>
    <w:rsid w:val="00617725"/>
    <w:rsid w:val="00617C00"/>
    <w:rsid w:val="00617C4B"/>
    <w:rsid w:val="006263BF"/>
    <w:rsid w:val="006273DB"/>
    <w:rsid w:val="0062748A"/>
    <w:rsid w:val="00630A2C"/>
    <w:rsid w:val="00632ECE"/>
    <w:rsid w:val="00633F89"/>
    <w:rsid w:val="0063682E"/>
    <w:rsid w:val="00636A76"/>
    <w:rsid w:val="0063787F"/>
    <w:rsid w:val="00640088"/>
    <w:rsid w:val="00640760"/>
    <w:rsid w:val="00640D48"/>
    <w:rsid w:val="00642672"/>
    <w:rsid w:val="00642DA8"/>
    <w:rsid w:val="006436CD"/>
    <w:rsid w:val="0064549C"/>
    <w:rsid w:val="006461F5"/>
    <w:rsid w:val="00651169"/>
    <w:rsid w:val="006525C2"/>
    <w:rsid w:val="00653CFE"/>
    <w:rsid w:val="00653D69"/>
    <w:rsid w:val="006552E6"/>
    <w:rsid w:val="00655390"/>
    <w:rsid w:val="00655794"/>
    <w:rsid w:val="006563B7"/>
    <w:rsid w:val="00656974"/>
    <w:rsid w:val="00657C63"/>
    <w:rsid w:val="00661CBC"/>
    <w:rsid w:val="00662671"/>
    <w:rsid w:val="00662B85"/>
    <w:rsid w:val="006636EE"/>
    <w:rsid w:val="006658D3"/>
    <w:rsid w:val="00666738"/>
    <w:rsid w:val="006670BE"/>
    <w:rsid w:val="006670D9"/>
    <w:rsid w:val="00670A76"/>
    <w:rsid w:val="006711AA"/>
    <w:rsid w:val="00672B57"/>
    <w:rsid w:val="00673F1F"/>
    <w:rsid w:val="00675622"/>
    <w:rsid w:val="00675CE2"/>
    <w:rsid w:val="00676222"/>
    <w:rsid w:val="006771D2"/>
    <w:rsid w:val="0067747D"/>
    <w:rsid w:val="006818D5"/>
    <w:rsid w:val="00681CA4"/>
    <w:rsid w:val="0069039D"/>
    <w:rsid w:val="006906DB"/>
    <w:rsid w:val="00691900"/>
    <w:rsid w:val="00691E6C"/>
    <w:rsid w:val="006921D3"/>
    <w:rsid w:val="0069342D"/>
    <w:rsid w:val="0069351A"/>
    <w:rsid w:val="0069354C"/>
    <w:rsid w:val="00693DFB"/>
    <w:rsid w:val="0069501D"/>
    <w:rsid w:val="00696129"/>
    <w:rsid w:val="00697CF2"/>
    <w:rsid w:val="00697D22"/>
    <w:rsid w:val="006A12A5"/>
    <w:rsid w:val="006A2515"/>
    <w:rsid w:val="006A3E5E"/>
    <w:rsid w:val="006A4FCF"/>
    <w:rsid w:val="006A56F6"/>
    <w:rsid w:val="006A5E20"/>
    <w:rsid w:val="006A7E9E"/>
    <w:rsid w:val="006B0D94"/>
    <w:rsid w:val="006B336E"/>
    <w:rsid w:val="006B3AF7"/>
    <w:rsid w:val="006B481A"/>
    <w:rsid w:val="006B485D"/>
    <w:rsid w:val="006B5297"/>
    <w:rsid w:val="006B69CB"/>
    <w:rsid w:val="006C014C"/>
    <w:rsid w:val="006C0C45"/>
    <w:rsid w:val="006C1C16"/>
    <w:rsid w:val="006C334C"/>
    <w:rsid w:val="006C4FC9"/>
    <w:rsid w:val="006C5E7B"/>
    <w:rsid w:val="006C6C10"/>
    <w:rsid w:val="006C708E"/>
    <w:rsid w:val="006D14E7"/>
    <w:rsid w:val="006D1964"/>
    <w:rsid w:val="006D4444"/>
    <w:rsid w:val="006D56CC"/>
    <w:rsid w:val="006D6493"/>
    <w:rsid w:val="006D6973"/>
    <w:rsid w:val="006D6EC7"/>
    <w:rsid w:val="006E1BCD"/>
    <w:rsid w:val="006E2732"/>
    <w:rsid w:val="006E380E"/>
    <w:rsid w:val="006E59CD"/>
    <w:rsid w:val="006F0A71"/>
    <w:rsid w:val="006F40C2"/>
    <w:rsid w:val="006F5125"/>
    <w:rsid w:val="006F733D"/>
    <w:rsid w:val="006F752D"/>
    <w:rsid w:val="00700765"/>
    <w:rsid w:val="00702B6F"/>
    <w:rsid w:val="00704069"/>
    <w:rsid w:val="00704C6B"/>
    <w:rsid w:val="00704D78"/>
    <w:rsid w:val="007055BE"/>
    <w:rsid w:val="00705C91"/>
    <w:rsid w:val="00706A2F"/>
    <w:rsid w:val="0070718E"/>
    <w:rsid w:val="00707E52"/>
    <w:rsid w:val="00707EAC"/>
    <w:rsid w:val="00710259"/>
    <w:rsid w:val="0071031F"/>
    <w:rsid w:val="0071340B"/>
    <w:rsid w:val="007137DF"/>
    <w:rsid w:val="0071436D"/>
    <w:rsid w:val="00715BBB"/>
    <w:rsid w:val="007174BB"/>
    <w:rsid w:val="0072025D"/>
    <w:rsid w:val="007222EA"/>
    <w:rsid w:val="00722C51"/>
    <w:rsid w:val="00723328"/>
    <w:rsid w:val="007243E7"/>
    <w:rsid w:val="00726B97"/>
    <w:rsid w:val="0073137C"/>
    <w:rsid w:val="007340B9"/>
    <w:rsid w:val="007343B7"/>
    <w:rsid w:val="007353D3"/>
    <w:rsid w:val="0074156B"/>
    <w:rsid w:val="00741619"/>
    <w:rsid w:val="0074190E"/>
    <w:rsid w:val="0074702C"/>
    <w:rsid w:val="00747092"/>
    <w:rsid w:val="00747FB3"/>
    <w:rsid w:val="007526E6"/>
    <w:rsid w:val="00754DF9"/>
    <w:rsid w:val="007555E8"/>
    <w:rsid w:val="00755CC5"/>
    <w:rsid w:val="00756096"/>
    <w:rsid w:val="0076420C"/>
    <w:rsid w:val="007660AB"/>
    <w:rsid w:val="00771D07"/>
    <w:rsid w:val="00773BE3"/>
    <w:rsid w:val="007743DD"/>
    <w:rsid w:val="00774E2C"/>
    <w:rsid w:val="0077518D"/>
    <w:rsid w:val="007753C2"/>
    <w:rsid w:val="00777D03"/>
    <w:rsid w:val="00781D1B"/>
    <w:rsid w:val="00782B55"/>
    <w:rsid w:val="007838B8"/>
    <w:rsid w:val="0078760A"/>
    <w:rsid w:val="007915BA"/>
    <w:rsid w:val="00791844"/>
    <w:rsid w:val="00795EED"/>
    <w:rsid w:val="007979BD"/>
    <w:rsid w:val="00797A24"/>
    <w:rsid w:val="007A38BD"/>
    <w:rsid w:val="007A6A2F"/>
    <w:rsid w:val="007B024E"/>
    <w:rsid w:val="007B0987"/>
    <w:rsid w:val="007B0C00"/>
    <w:rsid w:val="007B3DDC"/>
    <w:rsid w:val="007B4117"/>
    <w:rsid w:val="007B49B3"/>
    <w:rsid w:val="007B545A"/>
    <w:rsid w:val="007B6706"/>
    <w:rsid w:val="007B6974"/>
    <w:rsid w:val="007B72A6"/>
    <w:rsid w:val="007C06D2"/>
    <w:rsid w:val="007C08E0"/>
    <w:rsid w:val="007C0F57"/>
    <w:rsid w:val="007C1AEF"/>
    <w:rsid w:val="007C1B34"/>
    <w:rsid w:val="007C40B6"/>
    <w:rsid w:val="007C729F"/>
    <w:rsid w:val="007D503D"/>
    <w:rsid w:val="007D59E7"/>
    <w:rsid w:val="007D5F2A"/>
    <w:rsid w:val="007D62FC"/>
    <w:rsid w:val="007E083F"/>
    <w:rsid w:val="007E1D28"/>
    <w:rsid w:val="007E490F"/>
    <w:rsid w:val="007F0021"/>
    <w:rsid w:val="007F2641"/>
    <w:rsid w:val="007F2822"/>
    <w:rsid w:val="007F618A"/>
    <w:rsid w:val="007F70B9"/>
    <w:rsid w:val="007F773F"/>
    <w:rsid w:val="007F7C36"/>
    <w:rsid w:val="008004DE"/>
    <w:rsid w:val="00800AA5"/>
    <w:rsid w:val="008055AF"/>
    <w:rsid w:val="008057CD"/>
    <w:rsid w:val="00806796"/>
    <w:rsid w:val="0080725F"/>
    <w:rsid w:val="00810167"/>
    <w:rsid w:val="00810E1A"/>
    <w:rsid w:val="00811CC0"/>
    <w:rsid w:val="00812030"/>
    <w:rsid w:val="008146BD"/>
    <w:rsid w:val="00814AA6"/>
    <w:rsid w:val="008151D6"/>
    <w:rsid w:val="00817609"/>
    <w:rsid w:val="00821527"/>
    <w:rsid w:val="00822696"/>
    <w:rsid w:val="00825A6C"/>
    <w:rsid w:val="0082617E"/>
    <w:rsid w:val="008268BB"/>
    <w:rsid w:val="00826F6D"/>
    <w:rsid w:val="00827407"/>
    <w:rsid w:val="00830266"/>
    <w:rsid w:val="00830278"/>
    <w:rsid w:val="008306F3"/>
    <w:rsid w:val="00830E40"/>
    <w:rsid w:val="00832B1B"/>
    <w:rsid w:val="00832D9A"/>
    <w:rsid w:val="00833A66"/>
    <w:rsid w:val="00835C62"/>
    <w:rsid w:val="008368A1"/>
    <w:rsid w:val="00840EF7"/>
    <w:rsid w:val="00841404"/>
    <w:rsid w:val="00844C0A"/>
    <w:rsid w:val="00844FF3"/>
    <w:rsid w:val="00846056"/>
    <w:rsid w:val="0084681F"/>
    <w:rsid w:val="00847EC0"/>
    <w:rsid w:val="00852232"/>
    <w:rsid w:val="00852AF7"/>
    <w:rsid w:val="00853724"/>
    <w:rsid w:val="00853B05"/>
    <w:rsid w:val="00855FD6"/>
    <w:rsid w:val="00856265"/>
    <w:rsid w:val="00856DDD"/>
    <w:rsid w:val="00861C5E"/>
    <w:rsid w:val="00862824"/>
    <w:rsid w:val="00863E68"/>
    <w:rsid w:val="008647B5"/>
    <w:rsid w:val="00867694"/>
    <w:rsid w:val="00867A55"/>
    <w:rsid w:val="00867D64"/>
    <w:rsid w:val="008708F4"/>
    <w:rsid w:val="008718C4"/>
    <w:rsid w:val="008736C0"/>
    <w:rsid w:val="00875DCB"/>
    <w:rsid w:val="00876521"/>
    <w:rsid w:val="0087755A"/>
    <w:rsid w:val="00881C17"/>
    <w:rsid w:val="00882085"/>
    <w:rsid w:val="00883188"/>
    <w:rsid w:val="00884A0C"/>
    <w:rsid w:val="00886ACA"/>
    <w:rsid w:val="00887A2A"/>
    <w:rsid w:val="0089031E"/>
    <w:rsid w:val="00892439"/>
    <w:rsid w:val="0089460B"/>
    <w:rsid w:val="0089650A"/>
    <w:rsid w:val="00897812"/>
    <w:rsid w:val="00897D58"/>
    <w:rsid w:val="00897F22"/>
    <w:rsid w:val="008A0B39"/>
    <w:rsid w:val="008A17A3"/>
    <w:rsid w:val="008A1956"/>
    <w:rsid w:val="008A1E85"/>
    <w:rsid w:val="008A2419"/>
    <w:rsid w:val="008A4937"/>
    <w:rsid w:val="008A50F1"/>
    <w:rsid w:val="008A59D9"/>
    <w:rsid w:val="008A643E"/>
    <w:rsid w:val="008A6819"/>
    <w:rsid w:val="008B2EC0"/>
    <w:rsid w:val="008B3F94"/>
    <w:rsid w:val="008B699B"/>
    <w:rsid w:val="008B6DCF"/>
    <w:rsid w:val="008C17F0"/>
    <w:rsid w:val="008C3E2B"/>
    <w:rsid w:val="008D0945"/>
    <w:rsid w:val="008D1409"/>
    <w:rsid w:val="008D15CC"/>
    <w:rsid w:val="008D1729"/>
    <w:rsid w:val="008D1B5C"/>
    <w:rsid w:val="008D3C82"/>
    <w:rsid w:val="008D447E"/>
    <w:rsid w:val="008D6ACF"/>
    <w:rsid w:val="008D7A41"/>
    <w:rsid w:val="008E2C72"/>
    <w:rsid w:val="008E3680"/>
    <w:rsid w:val="008E3856"/>
    <w:rsid w:val="008E5870"/>
    <w:rsid w:val="008E77D5"/>
    <w:rsid w:val="008E77E4"/>
    <w:rsid w:val="008F0213"/>
    <w:rsid w:val="008F07ED"/>
    <w:rsid w:val="008F1150"/>
    <w:rsid w:val="008F11F8"/>
    <w:rsid w:val="008F1434"/>
    <w:rsid w:val="008F2BB9"/>
    <w:rsid w:val="008F3D6A"/>
    <w:rsid w:val="008F547D"/>
    <w:rsid w:val="008F54C3"/>
    <w:rsid w:val="008F702B"/>
    <w:rsid w:val="008F7355"/>
    <w:rsid w:val="009023DC"/>
    <w:rsid w:val="009027C5"/>
    <w:rsid w:val="00904413"/>
    <w:rsid w:val="009067B7"/>
    <w:rsid w:val="0090751F"/>
    <w:rsid w:val="0090775A"/>
    <w:rsid w:val="00907DFD"/>
    <w:rsid w:val="00913C99"/>
    <w:rsid w:val="009153CF"/>
    <w:rsid w:val="0091628A"/>
    <w:rsid w:val="00917D69"/>
    <w:rsid w:val="00920B6D"/>
    <w:rsid w:val="009215A8"/>
    <w:rsid w:val="009244CA"/>
    <w:rsid w:val="00926560"/>
    <w:rsid w:val="00926B15"/>
    <w:rsid w:val="00930291"/>
    <w:rsid w:val="00930937"/>
    <w:rsid w:val="00931718"/>
    <w:rsid w:val="009324A6"/>
    <w:rsid w:val="00933E6C"/>
    <w:rsid w:val="00935A6E"/>
    <w:rsid w:val="00937958"/>
    <w:rsid w:val="009406E5"/>
    <w:rsid w:val="00941602"/>
    <w:rsid w:val="00942160"/>
    <w:rsid w:val="0094295B"/>
    <w:rsid w:val="00943593"/>
    <w:rsid w:val="00946921"/>
    <w:rsid w:val="009473BF"/>
    <w:rsid w:val="00950449"/>
    <w:rsid w:val="0095146F"/>
    <w:rsid w:val="00951F26"/>
    <w:rsid w:val="00952BC1"/>
    <w:rsid w:val="00953781"/>
    <w:rsid w:val="00955E88"/>
    <w:rsid w:val="00957944"/>
    <w:rsid w:val="009602C5"/>
    <w:rsid w:val="00962223"/>
    <w:rsid w:val="0096252B"/>
    <w:rsid w:val="00964A9F"/>
    <w:rsid w:val="00966BEC"/>
    <w:rsid w:val="00966D0D"/>
    <w:rsid w:val="00967732"/>
    <w:rsid w:val="0096783C"/>
    <w:rsid w:val="0097124E"/>
    <w:rsid w:val="00971ACD"/>
    <w:rsid w:val="009722B3"/>
    <w:rsid w:val="00973E24"/>
    <w:rsid w:val="00974C21"/>
    <w:rsid w:val="00975948"/>
    <w:rsid w:val="00977BF3"/>
    <w:rsid w:val="00977F46"/>
    <w:rsid w:val="009803E4"/>
    <w:rsid w:val="00980B0E"/>
    <w:rsid w:val="009816D7"/>
    <w:rsid w:val="00982B39"/>
    <w:rsid w:val="009836A3"/>
    <w:rsid w:val="0098391E"/>
    <w:rsid w:val="009855A8"/>
    <w:rsid w:val="00985D1A"/>
    <w:rsid w:val="00986E81"/>
    <w:rsid w:val="009876A7"/>
    <w:rsid w:val="00990680"/>
    <w:rsid w:val="009913F4"/>
    <w:rsid w:val="00991782"/>
    <w:rsid w:val="009937F7"/>
    <w:rsid w:val="0099465B"/>
    <w:rsid w:val="0099467F"/>
    <w:rsid w:val="009951A1"/>
    <w:rsid w:val="00997A44"/>
    <w:rsid w:val="009A0CDD"/>
    <w:rsid w:val="009A3168"/>
    <w:rsid w:val="009A4BDF"/>
    <w:rsid w:val="009A59CF"/>
    <w:rsid w:val="009A5D04"/>
    <w:rsid w:val="009A61CA"/>
    <w:rsid w:val="009A7558"/>
    <w:rsid w:val="009B0410"/>
    <w:rsid w:val="009B0C64"/>
    <w:rsid w:val="009B0F67"/>
    <w:rsid w:val="009B3F8C"/>
    <w:rsid w:val="009B7CB7"/>
    <w:rsid w:val="009C350B"/>
    <w:rsid w:val="009C5421"/>
    <w:rsid w:val="009C703C"/>
    <w:rsid w:val="009C75BB"/>
    <w:rsid w:val="009C7D47"/>
    <w:rsid w:val="009D206E"/>
    <w:rsid w:val="009D2948"/>
    <w:rsid w:val="009D3863"/>
    <w:rsid w:val="009D3CAA"/>
    <w:rsid w:val="009D4A80"/>
    <w:rsid w:val="009D507A"/>
    <w:rsid w:val="009D6532"/>
    <w:rsid w:val="009D71FD"/>
    <w:rsid w:val="009E2588"/>
    <w:rsid w:val="009E2709"/>
    <w:rsid w:val="009E2E8E"/>
    <w:rsid w:val="009E2F30"/>
    <w:rsid w:val="009E40E1"/>
    <w:rsid w:val="009E72E9"/>
    <w:rsid w:val="009F0EFA"/>
    <w:rsid w:val="009F1EEA"/>
    <w:rsid w:val="009F4E46"/>
    <w:rsid w:val="009F5108"/>
    <w:rsid w:val="009F5B65"/>
    <w:rsid w:val="009F5F2E"/>
    <w:rsid w:val="00A01432"/>
    <w:rsid w:val="00A04859"/>
    <w:rsid w:val="00A06225"/>
    <w:rsid w:val="00A1104E"/>
    <w:rsid w:val="00A110D1"/>
    <w:rsid w:val="00A11942"/>
    <w:rsid w:val="00A12587"/>
    <w:rsid w:val="00A128E6"/>
    <w:rsid w:val="00A143D1"/>
    <w:rsid w:val="00A144D3"/>
    <w:rsid w:val="00A14A8C"/>
    <w:rsid w:val="00A20988"/>
    <w:rsid w:val="00A22AC3"/>
    <w:rsid w:val="00A23858"/>
    <w:rsid w:val="00A23F3F"/>
    <w:rsid w:val="00A24067"/>
    <w:rsid w:val="00A24A4B"/>
    <w:rsid w:val="00A2541C"/>
    <w:rsid w:val="00A261C6"/>
    <w:rsid w:val="00A26DAF"/>
    <w:rsid w:val="00A2744D"/>
    <w:rsid w:val="00A30D16"/>
    <w:rsid w:val="00A34AF2"/>
    <w:rsid w:val="00A34E6C"/>
    <w:rsid w:val="00A34FD0"/>
    <w:rsid w:val="00A356FE"/>
    <w:rsid w:val="00A36398"/>
    <w:rsid w:val="00A37C8D"/>
    <w:rsid w:val="00A4020E"/>
    <w:rsid w:val="00A404A8"/>
    <w:rsid w:val="00A40FB5"/>
    <w:rsid w:val="00A41A94"/>
    <w:rsid w:val="00A4258B"/>
    <w:rsid w:val="00A42826"/>
    <w:rsid w:val="00A429B3"/>
    <w:rsid w:val="00A42A82"/>
    <w:rsid w:val="00A44106"/>
    <w:rsid w:val="00A44EC1"/>
    <w:rsid w:val="00A510E4"/>
    <w:rsid w:val="00A5177B"/>
    <w:rsid w:val="00A52717"/>
    <w:rsid w:val="00A5273B"/>
    <w:rsid w:val="00A53A9D"/>
    <w:rsid w:val="00A55E98"/>
    <w:rsid w:val="00A55FEE"/>
    <w:rsid w:val="00A57422"/>
    <w:rsid w:val="00A574C8"/>
    <w:rsid w:val="00A62C1A"/>
    <w:rsid w:val="00A6426D"/>
    <w:rsid w:val="00A665C1"/>
    <w:rsid w:val="00A673A4"/>
    <w:rsid w:val="00A67514"/>
    <w:rsid w:val="00A7001A"/>
    <w:rsid w:val="00A70622"/>
    <w:rsid w:val="00A70977"/>
    <w:rsid w:val="00A70D58"/>
    <w:rsid w:val="00A710EA"/>
    <w:rsid w:val="00A724E7"/>
    <w:rsid w:val="00A7376E"/>
    <w:rsid w:val="00A73BFD"/>
    <w:rsid w:val="00A744F9"/>
    <w:rsid w:val="00A754D4"/>
    <w:rsid w:val="00A77613"/>
    <w:rsid w:val="00A77B87"/>
    <w:rsid w:val="00A81851"/>
    <w:rsid w:val="00A81F6C"/>
    <w:rsid w:val="00A8390C"/>
    <w:rsid w:val="00A86456"/>
    <w:rsid w:val="00A86AE0"/>
    <w:rsid w:val="00A91362"/>
    <w:rsid w:val="00A9151C"/>
    <w:rsid w:val="00A919C6"/>
    <w:rsid w:val="00A928BD"/>
    <w:rsid w:val="00A969C8"/>
    <w:rsid w:val="00A97DE9"/>
    <w:rsid w:val="00AA08B2"/>
    <w:rsid w:val="00AA12CD"/>
    <w:rsid w:val="00AA293F"/>
    <w:rsid w:val="00AA4A21"/>
    <w:rsid w:val="00AA4D1C"/>
    <w:rsid w:val="00AA52FD"/>
    <w:rsid w:val="00AA60FC"/>
    <w:rsid w:val="00AA6E9A"/>
    <w:rsid w:val="00AA7006"/>
    <w:rsid w:val="00AA7948"/>
    <w:rsid w:val="00AB178E"/>
    <w:rsid w:val="00AB196A"/>
    <w:rsid w:val="00AB5856"/>
    <w:rsid w:val="00AC0C53"/>
    <w:rsid w:val="00AC193C"/>
    <w:rsid w:val="00AC2EB1"/>
    <w:rsid w:val="00AC30C1"/>
    <w:rsid w:val="00AC4DE5"/>
    <w:rsid w:val="00AC5206"/>
    <w:rsid w:val="00AC6E3D"/>
    <w:rsid w:val="00AD3106"/>
    <w:rsid w:val="00AD4322"/>
    <w:rsid w:val="00AD79BE"/>
    <w:rsid w:val="00AE11A5"/>
    <w:rsid w:val="00AE13E2"/>
    <w:rsid w:val="00AE22D3"/>
    <w:rsid w:val="00AE5A49"/>
    <w:rsid w:val="00AE68AE"/>
    <w:rsid w:val="00AE68E6"/>
    <w:rsid w:val="00AF11D8"/>
    <w:rsid w:val="00AF3F13"/>
    <w:rsid w:val="00AF5867"/>
    <w:rsid w:val="00AF62DF"/>
    <w:rsid w:val="00AF68CC"/>
    <w:rsid w:val="00AF70D7"/>
    <w:rsid w:val="00B01FF4"/>
    <w:rsid w:val="00B0326D"/>
    <w:rsid w:val="00B05697"/>
    <w:rsid w:val="00B06478"/>
    <w:rsid w:val="00B07183"/>
    <w:rsid w:val="00B07533"/>
    <w:rsid w:val="00B07CFB"/>
    <w:rsid w:val="00B102FB"/>
    <w:rsid w:val="00B1059E"/>
    <w:rsid w:val="00B14A36"/>
    <w:rsid w:val="00B15590"/>
    <w:rsid w:val="00B16273"/>
    <w:rsid w:val="00B170A5"/>
    <w:rsid w:val="00B176C8"/>
    <w:rsid w:val="00B17EE5"/>
    <w:rsid w:val="00B205AA"/>
    <w:rsid w:val="00B20A0F"/>
    <w:rsid w:val="00B22E84"/>
    <w:rsid w:val="00B233AD"/>
    <w:rsid w:val="00B237F4"/>
    <w:rsid w:val="00B23E25"/>
    <w:rsid w:val="00B25F75"/>
    <w:rsid w:val="00B26B3F"/>
    <w:rsid w:val="00B2778F"/>
    <w:rsid w:val="00B30347"/>
    <w:rsid w:val="00B320A2"/>
    <w:rsid w:val="00B327E2"/>
    <w:rsid w:val="00B33635"/>
    <w:rsid w:val="00B37A73"/>
    <w:rsid w:val="00B420DA"/>
    <w:rsid w:val="00B422AD"/>
    <w:rsid w:val="00B42AF4"/>
    <w:rsid w:val="00B43E90"/>
    <w:rsid w:val="00B467DC"/>
    <w:rsid w:val="00B47005"/>
    <w:rsid w:val="00B5392A"/>
    <w:rsid w:val="00B53A87"/>
    <w:rsid w:val="00B56118"/>
    <w:rsid w:val="00B566E1"/>
    <w:rsid w:val="00B617E0"/>
    <w:rsid w:val="00B64B9A"/>
    <w:rsid w:val="00B6712F"/>
    <w:rsid w:val="00B6773F"/>
    <w:rsid w:val="00B70EB3"/>
    <w:rsid w:val="00B72906"/>
    <w:rsid w:val="00B7525E"/>
    <w:rsid w:val="00B7528B"/>
    <w:rsid w:val="00B760FB"/>
    <w:rsid w:val="00B767AB"/>
    <w:rsid w:val="00B801BA"/>
    <w:rsid w:val="00B812D6"/>
    <w:rsid w:val="00B8230D"/>
    <w:rsid w:val="00B826D3"/>
    <w:rsid w:val="00B84424"/>
    <w:rsid w:val="00B84D5C"/>
    <w:rsid w:val="00B85866"/>
    <w:rsid w:val="00B85AF6"/>
    <w:rsid w:val="00B86610"/>
    <w:rsid w:val="00B905E6"/>
    <w:rsid w:val="00B93625"/>
    <w:rsid w:val="00B94402"/>
    <w:rsid w:val="00B956ED"/>
    <w:rsid w:val="00BA0E17"/>
    <w:rsid w:val="00BA26E6"/>
    <w:rsid w:val="00BA2DA8"/>
    <w:rsid w:val="00BA347C"/>
    <w:rsid w:val="00BA3CA4"/>
    <w:rsid w:val="00BB17EC"/>
    <w:rsid w:val="00BB286F"/>
    <w:rsid w:val="00BB3469"/>
    <w:rsid w:val="00BB5C49"/>
    <w:rsid w:val="00BB6240"/>
    <w:rsid w:val="00BB6285"/>
    <w:rsid w:val="00BB69F5"/>
    <w:rsid w:val="00BB7EC3"/>
    <w:rsid w:val="00BC470E"/>
    <w:rsid w:val="00BC4B9A"/>
    <w:rsid w:val="00BD02C3"/>
    <w:rsid w:val="00BD235C"/>
    <w:rsid w:val="00BD51F5"/>
    <w:rsid w:val="00BD7483"/>
    <w:rsid w:val="00BD784C"/>
    <w:rsid w:val="00BE020A"/>
    <w:rsid w:val="00BE13DF"/>
    <w:rsid w:val="00BE25D7"/>
    <w:rsid w:val="00BE2FBE"/>
    <w:rsid w:val="00BE4620"/>
    <w:rsid w:val="00BF092C"/>
    <w:rsid w:val="00BF27A0"/>
    <w:rsid w:val="00BF403E"/>
    <w:rsid w:val="00BF4217"/>
    <w:rsid w:val="00BF4B3B"/>
    <w:rsid w:val="00BF4CB6"/>
    <w:rsid w:val="00BF6506"/>
    <w:rsid w:val="00BF660D"/>
    <w:rsid w:val="00C00DA7"/>
    <w:rsid w:val="00C01371"/>
    <w:rsid w:val="00C019B9"/>
    <w:rsid w:val="00C0274F"/>
    <w:rsid w:val="00C03D13"/>
    <w:rsid w:val="00C04A64"/>
    <w:rsid w:val="00C04CDE"/>
    <w:rsid w:val="00C059CF"/>
    <w:rsid w:val="00C05FAD"/>
    <w:rsid w:val="00C068A6"/>
    <w:rsid w:val="00C11086"/>
    <w:rsid w:val="00C12768"/>
    <w:rsid w:val="00C12D70"/>
    <w:rsid w:val="00C158C9"/>
    <w:rsid w:val="00C16724"/>
    <w:rsid w:val="00C21B09"/>
    <w:rsid w:val="00C230C8"/>
    <w:rsid w:val="00C25D9E"/>
    <w:rsid w:val="00C2673A"/>
    <w:rsid w:val="00C27B58"/>
    <w:rsid w:val="00C27C1C"/>
    <w:rsid w:val="00C3031D"/>
    <w:rsid w:val="00C33186"/>
    <w:rsid w:val="00C34AFF"/>
    <w:rsid w:val="00C35996"/>
    <w:rsid w:val="00C36664"/>
    <w:rsid w:val="00C37708"/>
    <w:rsid w:val="00C41D3B"/>
    <w:rsid w:val="00C43F03"/>
    <w:rsid w:val="00C443B6"/>
    <w:rsid w:val="00C463AD"/>
    <w:rsid w:val="00C4747E"/>
    <w:rsid w:val="00C5151E"/>
    <w:rsid w:val="00C51A83"/>
    <w:rsid w:val="00C5342C"/>
    <w:rsid w:val="00C53B2B"/>
    <w:rsid w:val="00C558BE"/>
    <w:rsid w:val="00C57465"/>
    <w:rsid w:val="00C60272"/>
    <w:rsid w:val="00C603D4"/>
    <w:rsid w:val="00C609F9"/>
    <w:rsid w:val="00C6256A"/>
    <w:rsid w:val="00C63C70"/>
    <w:rsid w:val="00C64EBC"/>
    <w:rsid w:val="00C664D2"/>
    <w:rsid w:val="00C710E2"/>
    <w:rsid w:val="00C71C3F"/>
    <w:rsid w:val="00C71F91"/>
    <w:rsid w:val="00C73F01"/>
    <w:rsid w:val="00C7409E"/>
    <w:rsid w:val="00C74D6D"/>
    <w:rsid w:val="00C76E76"/>
    <w:rsid w:val="00C77891"/>
    <w:rsid w:val="00C821E4"/>
    <w:rsid w:val="00C829A9"/>
    <w:rsid w:val="00C84285"/>
    <w:rsid w:val="00C87B80"/>
    <w:rsid w:val="00C91449"/>
    <w:rsid w:val="00C92A4A"/>
    <w:rsid w:val="00C92D10"/>
    <w:rsid w:val="00C93491"/>
    <w:rsid w:val="00CA15AF"/>
    <w:rsid w:val="00CA48D9"/>
    <w:rsid w:val="00CB1193"/>
    <w:rsid w:val="00CB2421"/>
    <w:rsid w:val="00CB4767"/>
    <w:rsid w:val="00CB493D"/>
    <w:rsid w:val="00CC266D"/>
    <w:rsid w:val="00CC3B97"/>
    <w:rsid w:val="00CC79DF"/>
    <w:rsid w:val="00CD21D8"/>
    <w:rsid w:val="00CD619D"/>
    <w:rsid w:val="00CD66DC"/>
    <w:rsid w:val="00CD7C0B"/>
    <w:rsid w:val="00CE0EBC"/>
    <w:rsid w:val="00CE10C4"/>
    <w:rsid w:val="00CE1AE3"/>
    <w:rsid w:val="00CE27B5"/>
    <w:rsid w:val="00CE6DAF"/>
    <w:rsid w:val="00CF08B9"/>
    <w:rsid w:val="00CF1DDF"/>
    <w:rsid w:val="00CF2726"/>
    <w:rsid w:val="00CF410A"/>
    <w:rsid w:val="00D00642"/>
    <w:rsid w:val="00D006F8"/>
    <w:rsid w:val="00D019E3"/>
    <w:rsid w:val="00D03075"/>
    <w:rsid w:val="00D0321E"/>
    <w:rsid w:val="00D038F6"/>
    <w:rsid w:val="00D069EB"/>
    <w:rsid w:val="00D07A8A"/>
    <w:rsid w:val="00D101E0"/>
    <w:rsid w:val="00D11199"/>
    <w:rsid w:val="00D1455A"/>
    <w:rsid w:val="00D14A70"/>
    <w:rsid w:val="00D21B50"/>
    <w:rsid w:val="00D22093"/>
    <w:rsid w:val="00D22B34"/>
    <w:rsid w:val="00D26B77"/>
    <w:rsid w:val="00D31150"/>
    <w:rsid w:val="00D3138B"/>
    <w:rsid w:val="00D31FCE"/>
    <w:rsid w:val="00D327F8"/>
    <w:rsid w:val="00D3280C"/>
    <w:rsid w:val="00D32DE5"/>
    <w:rsid w:val="00D3406A"/>
    <w:rsid w:val="00D34C79"/>
    <w:rsid w:val="00D350C6"/>
    <w:rsid w:val="00D37936"/>
    <w:rsid w:val="00D40A02"/>
    <w:rsid w:val="00D40B11"/>
    <w:rsid w:val="00D429EC"/>
    <w:rsid w:val="00D42BB5"/>
    <w:rsid w:val="00D43F3C"/>
    <w:rsid w:val="00D441F1"/>
    <w:rsid w:val="00D4572C"/>
    <w:rsid w:val="00D45E7F"/>
    <w:rsid w:val="00D4600A"/>
    <w:rsid w:val="00D469B2"/>
    <w:rsid w:val="00D54B09"/>
    <w:rsid w:val="00D55043"/>
    <w:rsid w:val="00D57286"/>
    <w:rsid w:val="00D6243E"/>
    <w:rsid w:val="00D62B40"/>
    <w:rsid w:val="00D65658"/>
    <w:rsid w:val="00D67EB2"/>
    <w:rsid w:val="00D70656"/>
    <w:rsid w:val="00D70C68"/>
    <w:rsid w:val="00D72B6F"/>
    <w:rsid w:val="00D72E1E"/>
    <w:rsid w:val="00D730A5"/>
    <w:rsid w:val="00D741EB"/>
    <w:rsid w:val="00D74431"/>
    <w:rsid w:val="00D75F70"/>
    <w:rsid w:val="00D7679C"/>
    <w:rsid w:val="00D7758D"/>
    <w:rsid w:val="00D820F3"/>
    <w:rsid w:val="00D8273E"/>
    <w:rsid w:val="00D83605"/>
    <w:rsid w:val="00D84934"/>
    <w:rsid w:val="00D866EB"/>
    <w:rsid w:val="00D87D1A"/>
    <w:rsid w:val="00D91271"/>
    <w:rsid w:val="00D919F5"/>
    <w:rsid w:val="00D945F6"/>
    <w:rsid w:val="00D94998"/>
    <w:rsid w:val="00D94F03"/>
    <w:rsid w:val="00D95161"/>
    <w:rsid w:val="00D96768"/>
    <w:rsid w:val="00D97785"/>
    <w:rsid w:val="00DA0A82"/>
    <w:rsid w:val="00DA0D14"/>
    <w:rsid w:val="00DA1683"/>
    <w:rsid w:val="00DA1FC9"/>
    <w:rsid w:val="00DA2CB5"/>
    <w:rsid w:val="00DA4BAC"/>
    <w:rsid w:val="00DB0151"/>
    <w:rsid w:val="00DB1D31"/>
    <w:rsid w:val="00DB3BBF"/>
    <w:rsid w:val="00DB50E1"/>
    <w:rsid w:val="00DB6AD2"/>
    <w:rsid w:val="00DC0566"/>
    <w:rsid w:val="00DC1499"/>
    <w:rsid w:val="00DC2C3E"/>
    <w:rsid w:val="00DC30F3"/>
    <w:rsid w:val="00DC3137"/>
    <w:rsid w:val="00DC3902"/>
    <w:rsid w:val="00DC4880"/>
    <w:rsid w:val="00DC6F65"/>
    <w:rsid w:val="00DD131E"/>
    <w:rsid w:val="00DD42AB"/>
    <w:rsid w:val="00DD5C8A"/>
    <w:rsid w:val="00DE06AF"/>
    <w:rsid w:val="00DE3405"/>
    <w:rsid w:val="00DE35BE"/>
    <w:rsid w:val="00DE6D27"/>
    <w:rsid w:val="00DF01F8"/>
    <w:rsid w:val="00DF021D"/>
    <w:rsid w:val="00DF1ACD"/>
    <w:rsid w:val="00DF217D"/>
    <w:rsid w:val="00DF26A7"/>
    <w:rsid w:val="00DF3277"/>
    <w:rsid w:val="00DF38DC"/>
    <w:rsid w:val="00DF77A1"/>
    <w:rsid w:val="00DF7919"/>
    <w:rsid w:val="00DF7B81"/>
    <w:rsid w:val="00E0207E"/>
    <w:rsid w:val="00E02AE6"/>
    <w:rsid w:val="00E034B8"/>
    <w:rsid w:val="00E03912"/>
    <w:rsid w:val="00E04748"/>
    <w:rsid w:val="00E060AB"/>
    <w:rsid w:val="00E078D9"/>
    <w:rsid w:val="00E10293"/>
    <w:rsid w:val="00E103A0"/>
    <w:rsid w:val="00E1090F"/>
    <w:rsid w:val="00E10CA0"/>
    <w:rsid w:val="00E1191B"/>
    <w:rsid w:val="00E13E60"/>
    <w:rsid w:val="00E14338"/>
    <w:rsid w:val="00E15627"/>
    <w:rsid w:val="00E164B3"/>
    <w:rsid w:val="00E16910"/>
    <w:rsid w:val="00E204AF"/>
    <w:rsid w:val="00E207D2"/>
    <w:rsid w:val="00E2146F"/>
    <w:rsid w:val="00E21BAE"/>
    <w:rsid w:val="00E239E2"/>
    <w:rsid w:val="00E23D92"/>
    <w:rsid w:val="00E2467D"/>
    <w:rsid w:val="00E24B8C"/>
    <w:rsid w:val="00E24DC4"/>
    <w:rsid w:val="00E24E09"/>
    <w:rsid w:val="00E26DC0"/>
    <w:rsid w:val="00E27234"/>
    <w:rsid w:val="00E30BB6"/>
    <w:rsid w:val="00E32165"/>
    <w:rsid w:val="00E330D3"/>
    <w:rsid w:val="00E3495C"/>
    <w:rsid w:val="00E42BDB"/>
    <w:rsid w:val="00E46214"/>
    <w:rsid w:val="00E5175E"/>
    <w:rsid w:val="00E55EBB"/>
    <w:rsid w:val="00E56701"/>
    <w:rsid w:val="00E5726D"/>
    <w:rsid w:val="00E57EEB"/>
    <w:rsid w:val="00E62D94"/>
    <w:rsid w:val="00E62ECC"/>
    <w:rsid w:val="00E6323C"/>
    <w:rsid w:val="00E64F37"/>
    <w:rsid w:val="00E65091"/>
    <w:rsid w:val="00E65E54"/>
    <w:rsid w:val="00E661C7"/>
    <w:rsid w:val="00E67606"/>
    <w:rsid w:val="00E70947"/>
    <w:rsid w:val="00E721C4"/>
    <w:rsid w:val="00E72527"/>
    <w:rsid w:val="00E732C4"/>
    <w:rsid w:val="00E7416C"/>
    <w:rsid w:val="00E74E41"/>
    <w:rsid w:val="00E77F5D"/>
    <w:rsid w:val="00E80155"/>
    <w:rsid w:val="00E8134B"/>
    <w:rsid w:val="00E817DF"/>
    <w:rsid w:val="00E81E0D"/>
    <w:rsid w:val="00E81F28"/>
    <w:rsid w:val="00E848C0"/>
    <w:rsid w:val="00E84974"/>
    <w:rsid w:val="00E86F92"/>
    <w:rsid w:val="00E90701"/>
    <w:rsid w:val="00E91B96"/>
    <w:rsid w:val="00E91C30"/>
    <w:rsid w:val="00E927B7"/>
    <w:rsid w:val="00E935DA"/>
    <w:rsid w:val="00E93D1E"/>
    <w:rsid w:val="00E941A1"/>
    <w:rsid w:val="00E95CE3"/>
    <w:rsid w:val="00EA0856"/>
    <w:rsid w:val="00EA1CED"/>
    <w:rsid w:val="00EA252F"/>
    <w:rsid w:val="00EA2776"/>
    <w:rsid w:val="00EA2825"/>
    <w:rsid w:val="00EA599F"/>
    <w:rsid w:val="00EA5DA1"/>
    <w:rsid w:val="00EA6518"/>
    <w:rsid w:val="00EA6A9A"/>
    <w:rsid w:val="00EA6E42"/>
    <w:rsid w:val="00EA71A2"/>
    <w:rsid w:val="00EA7466"/>
    <w:rsid w:val="00EA7EDE"/>
    <w:rsid w:val="00EB0A1E"/>
    <w:rsid w:val="00EB0B63"/>
    <w:rsid w:val="00EB1554"/>
    <w:rsid w:val="00EB1936"/>
    <w:rsid w:val="00EB2476"/>
    <w:rsid w:val="00EB3545"/>
    <w:rsid w:val="00EB37BE"/>
    <w:rsid w:val="00EB4BAE"/>
    <w:rsid w:val="00EB5088"/>
    <w:rsid w:val="00EB688B"/>
    <w:rsid w:val="00EB6B00"/>
    <w:rsid w:val="00EC0A7E"/>
    <w:rsid w:val="00EC2726"/>
    <w:rsid w:val="00EC7118"/>
    <w:rsid w:val="00ED1644"/>
    <w:rsid w:val="00ED2593"/>
    <w:rsid w:val="00ED3AAF"/>
    <w:rsid w:val="00ED4C61"/>
    <w:rsid w:val="00ED6C7D"/>
    <w:rsid w:val="00ED7D55"/>
    <w:rsid w:val="00ED7D9C"/>
    <w:rsid w:val="00EE31A2"/>
    <w:rsid w:val="00EE3748"/>
    <w:rsid w:val="00EE3891"/>
    <w:rsid w:val="00EE5B65"/>
    <w:rsid w:val="00EF0069"/>
    <w:rsid w:val="00EF21ED"/>
    <w:rsid w:val="00EF409A"/>
    <w:rsid w:val="00EF44A0"/>
    <w:rsid w:val="00EF4580"/>
    <w:rsid w:val="00EF4FED"/>
    <w:rsid w:val="00EF5F45"/>
    <w:rsid w:val="00EF6843"/>
    <w:rsid w:val="00EF6FB3"/>
    <w:rsid w:val="00F007C6"/>
    <w:rsid w:val="00F0172E"/>
    <w:rsid w:val="00F033F0"/>
    <w:rsid w:val="00F03D7C"/>
    <w:rsid w:val="00F050BD"/>
    <w:rsid w:val="00F05657"/>
    <w:rsid w:val="00F05AB0"/>
    <w:rsid w:val="00F114DD"/>
    <w:rsid w:val="00F12C74"/>
    <w:rsid w:val="00F1373F"/>
    <w:rsid w:val="00F14778"/>
    <w:rsid w:val="00F1559A"/>
    <w:rsid w:val="00F17ED6"/>
    <w:rsid w:val="00F20676"/>
    <w:rsid w:val="00F209E2"/>
    <w:rsid w:val="00F25578"/>
    <w:rsid w:val="00F258E5"/>
    <w:rsid w:val="00F25B9C"/>
    <w:rsid w:val="00F2675A"/>
    <w:rsid w:val="00F26CC6"/>
    <w:rsid w:val="00F27FF0"/>
    <w:rsid w:val="00F300BC"/>
    <w:rsid w:val="00F3112B"/>
    <w:rsid w:val="00F3263C"/>
    <w:rsid w:val="00F32A21"/>
    <w:rsid w:val="00F3334E"/>
    <w:rsid w:val="00F342DE"/>
    <w:rsid w:val="00F35876"/>
    <w:rsid w:val="00F3651F"/>
    <w:rsid w:val="00F36CCB"/>
    <w:rsid w:val="00F374E5"/>
    <w:rsid w:val="00F37B93"/>
    <w:rsid w:val="00F37BAD"/>
    <w:rsid w:val="00F37D7E"/>
    <w:rsid w:val="00F37ECA"/>
    <w:rsid w:val="00F40253"/>
    <w:rsid w:val="00F4034A"/>
    <w:rsid w:val="00F40A1C"/>
    <w:rsid w:val="00F42926"/>
    <w:rsid w:val="00F43AF2"/>
    <w:rsid w:val="00F45216"/>
    <w:rsid w:val="00F47AAC"/>
    <w:rsid w:val="00F5007E"/>
    <w:rsid w:val="00F50EC4"/>
    <w:rsid w:val="00F52232"/>
    <w:rsid w:val="00F52DC2"/>
    <w:rsid w:val="00F54ECD"/>
    <w:rsid w:val="00F550CF"/>
    <w:rsid w:val="00F553D2"/>
    <w:rsid w:val="00F55E75"/>
    <w:rsid w:val="00F56C5F"/>
    <w:rsid w:val="00F57A6D"/>
    <w:rsid w:val="00F61DFB"/>
    <w:rsid w:val="00F62F19"/>
    <w:rsid w:val="00F638CC"/>
    <w:rsid w:val="00F64C9E"/>
    <w:rsid w:val="00F64CC1"/>
    <w:rsid w:val="00F654A0"/>
    <w:rsid w:val="00F67A10"/>
    <w:rsid w:val="00F72317"/>
    <w:rsid w:val="00F73DC1"/>
    <w:rsid w:val="00F75BB8"/>
    <w:rsid w:val="00F80475"/>
    <w:rsid w:val="00F80AE0"/>
    <w:rsid w:val="00F80E6E"/>
    <w:rsid w:val="00F81390"/>
    <w:rsid w:val="00F81F7A"/>
    <w:rsid w:val="00F8247A"/>
    <w:rsid w:val="00F82E5C"/>
    <w:rsid w:val="00F8346F"/>
    <w:rsid w:val="00F83F58"/>
    <w:rsid w:val="00F84C4C"/>
    <w:rsid w:val="00F85206"/>
    <w:rsid w:val="00F85A5E"/>
    <w:rsid w:val="00F87CEA"/>
    <w:rsid w:val="00F901EC"/>
    <w:rsid w:val="00F91810"/>
    <w:rsid w:val="00F95B82"/>
    <w:rsid w:val="00F95E62"/>
    <w:rsid w:val="00F9629A"/>
    <w:rsid w:val="00F9646D"/>
    <w:rsid w:val="00F97EFC"/>
    <w:rsid w:val="00F97FAD"/>
    <w:rsid w:val="00FA017E"/>
    <w:rsid w:val="00FA0789"/>
    <w:rsid w:val="00FA0C7C"/>
    <w:rsid w:val="00FA1BDD"/>
    <w:rsid w:val="00FA305C"/>
    <w:rsid w:val="00FA346B"/>
    <w:rsid w:val="00FA462E"/>
    <w:rsid w:val="00FA4DD5"/>
    <w:rsid w:val="00FA5645"/>
    <w:rsid w:val="00FA5883"/>
    <w:rsid w:val="00FA6055"/>
    <w:rsid w:val="00FB0343"/>
    <w:rsid w:val="00FB0B39"/>
    <w:rsid w:val="00FB0B9B"/>
    <w:rsid w:val="00FB322F"/>
    <w:rsid w:val="00FB442F"/>
    <w:rsid w:val="00FB6BCF"/>
    <w:rsid w:val="00FC118C"/>
    <w:rsid w:val="00FC1929"/>
    <w:rsid w:val="00FC2F95"/>
    <w:rsid w:val="00FC5B46"/>
    <w:rsid w:val="00FD1D4F"/>
    <w:rsid w:val="00FD24BF"/>
    <w:rsid w:val="00FD3B6E"/>
    <w:rsid w:val="00FD57EB"/>
    <w:rsid w:val="00FD62E8"/>
    <w:rsid w:val="00FD6D8E"/>
    <w:rsid w:val="00FE0663"/>
    <w:rsid w:val="00FE0E94"/>
    <w:rsid w:val="00FE2BB4"/>
    <w:rsid w:val="00FE369C"/>
    <w:rsid w:val="00FE3CD9"/>
    <w:rsid w:val="00FF00BD"/>
    <w:rsid w:val="00FF0B13"/>
    <w:rsid w:val="00FF1ED4"/>
    <w:rsid w:val="00FF2801"/>
    <w:rsid w:val="00FF4EEF"/>
    <w:rsid w:val="00FF650F"/>
    <w:rsid w:val="00FF65DE"/>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16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4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D45E7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ind w:left="72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SR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customStyle="1" w:styleId="PBSNormal">
    <w:name w:val="PBS Normal"/>
    <w:basedOn w:val="Normal"/>
    <w:link w:val="PBSNormalChar1"/>
    <w:rsid w:val="005E306F"/>
    <w:pPr>
      <w:spacing w:before="120" w:after="120" w:line="360" w:lineRule="auto"/>
    </w:pPr>
    <w:rPr>
      <w:rFonts w:ascii="Arial" w:hAnsi="Arial"/>
      <w:sz w:val="22"/>
      <w:szCs w:val="20"/>
    </w:rPr>
  </w:style>
  <w:style w:type="character" w:customStyle="1" w:styleId="PBSNormalChar1">
    <w:name w:val="PBS Normal Char1"/>
    <w:basedOn w:val="DefaultParagraphFont"/>
    <w:link w:val="PBSNormal"/>
    <w:rsid w:val="005E306F"/>
    <w:rPr>
      <w:rFonts w:ascii="Arial" w:hAnsi="Arial"/>
      <w:sz w:val="22"/>
    </w:rPr>
  </w:style>
  <w:style w:type="character" w:customStyle="1" w:styleId="TableTextChar1">
    <w:name w:val="Table Text Char1"/>
    <w:basedOn w:val="DefaultParagraphFont"/>
    <w:rsid w:val="005E306F"/>
    <w:rPr>
      <w:rFonts w:ascii="Arial Narrow" w:hAnsi="Arial Narrow"/>
      <w:color w:val="000000"/>
      <w:lang w:val="en-US"/>
    </w:rPr>
  </w:style>
  <w:style w:type="character" w:customStyle="1" w:styleId="CaptionChar">
    <w:name w:val="Caption Char"/>
    <w:aliases w:val="CSR Caption Char"/>
    <w:basedOn w:val="DefaultParagraphFont"/>
    <w:link w:val="Caption"/>
    <w:rsid w:val="005E306F"/>
    <w:rPr>
      <w:rFonts w:ascii="Calibri" w:hAnsi="Calibri"/>
      <w:i/>
      <w:iCs/>
      <w:color w:val="000000" w:themeColor="text1"/>
      <w:sz w:val="18"/>
      <w:szCs w:val="18"/>
    </w:rPr>
  </w:style>
  <w:style w:type="character" w:customStyle="1" w:styleId="tablenotesChar">
    <w:name w:val="table notes Char"/>
    <w:basedOn w:val="PBSNormalChar1"/>
    <w:link w:val="tablenotes"/>
    <w:rsid w:val="00500BEF"/>
    <w:rPr>
      <w:rFonts w:ascii="Arial" w:hAnsi="Arial"/>
      <w:snapToGrid w:val="0"/>
      <w:sz w:val="22"/>
      <w:lang w:eastAsia="en-US"/>
    </w:rPr>
  </w:style>
  <w:style w:type="paragraph" w:customStyle="1" w:styleId="TableTextCA">
    <w:name w:val="Table Text CA"/>
    <w:basedOn w:val="TableText0"/>
    <w:qFormat/>
    <w:rsid w:val="0035106B"/>
    <w:pPr>
      <w:keepNext w:val="0"/>
      <w:spacing w:before="40" w:after="40"/>
    </w:pPr>
    <w:rPr>
      <w:rFonts w:eastAsiaTheme="minorHAnsi" w:cstheme="minorBidi"/>
      <w:color w:val="000000"/>
      <w:szCs w:val="22"/>
      <w:lang w:val="en-US" w:eastAsia="en-US"/>
    </w:rPr>
  </w:style>
  <w:style w:type="paragraph" w:customStyle="1" w:styleId="PBSnormal0">
    <w:name w:val="PBS normal"/>
    <w:basedOn w:val="PBSNormal"/>
    <w:link w:val="PBSnormalChar"/>
    <w:qFormat/>
    <w:rsid w:val="003B7E28"/>
  </w:style>
  <w:style w:type="character" w:customStyle="1" w:styleId="PBSnormalChar">
    <w:name w:val="PBS normal Char"/>
    <w:basedOn w:val="PBSNormalChar1"/>
    <w:link w:val="PBSnormal0"/>
    <w:rsid w:val="003B7E28"/>
    <w:rPr>
      <w:rFonts w:ascii="Arial" w:hAnsi="Arial"/>
      <w:sz w:val="22"/>
    </w:rPr>
  </w:style>
  <w:style w:type="character" w:customStyle="1" w:styleId="Heading4Char">
    <w:name w:val="Heading 4 Char"/>
    <w:basedOn w:val="DefaultParagraphFont"/>
    <w:link w:val="Heading4"/>
    <w:semiHidden/>
    <w:rsid w:val="00D45E7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3720715">
      <w:bodyDiv w:val="1"/>
      <w:marLeft w:val="0"/>
      <w:marRight w:val="0"/>
      <w:marTop w:val="0"/>
      <w:marBottom w:val="0"/>
      <w:divBdr>
        <w:top w:val="none" w:sz="0" w:space="0" w:color="auto"/>
        <w:left w:val="none" w:sz="0" w:space="0" w:color="auto"/>
        <w:bottom w:val="none" w:sz="0" w:space="0" w:color="auto"/>
        <w:right w:val="none" w:sz="0" w:space="0" w:color="auto"/>
      </w:divBdr>
    </w:div>
    <w:div w:id="39258789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2962660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073101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8486275">
      <w:bodyDiv w:val="1"/>
      <w:marLeft w:val="0"/>
      <w:marRight w:val="0"/>
      <w:marTop w:val="0"/>
      <w:marBottom w:val="0"/>
      <w:divBdr>
        <w:top w:val="none" w:sz="0" w:space="0" w:color="auto"/>
        <w:left w:val="none" w:sz="0" w:space="0" w:color="auto"/>
        <w:bottom w:val="none" w:sz="0" w:space="0" w:color="auto"/>
        <w:right w:val="none" w:sz="0" w:space="0" w:color="auto"/>
      </w:divBdr>
    </w:div>
    <w:div w:id="1969510345">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2B8F-51BD-4DA5-92C2-0678FF19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2986</Words>
  <Characters>16615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2021-10-25T04:03:00Z</dcterms:created>
  <dcterms:modified xsi:type="dcterms:W3CDTF">2021-10-25T04:03:00Z</dcterms:modified>
</cp:coreProperties>
</file>