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161" w:rsidRPr="00C96594" w:rsidRDefault="00325803" w:rsidP="001D3161">
      <w:pPr>
        <w:pStyle w:val="1-MainHeading"/>
        <w:spacing w:before="0" w:after="0"/>
      </w:pPr>
      <w:bookmarkStart w:id="0" w:name="_Toc72307073"/>
      <w:r w:rsidRPr="00C96594">
        <w:t>6.04</w:t>
      </w:r>
      <w:r w:rsidR="001D3161" w:rsidRPr="00C96594">
        <w:tab/>
      </w:r>
      <w:r w:rsidR="00747B08" w:rsidRPr="00C96594">
        <w:t xml:space="preserve">LORLATINIB, </w:t>
      </w:r>
    </w:p>
    <w:p w:rsidR="001D3161" w:rsidRPr="00C96594" w:rsidRDefault="001D3161" w:rsidP="001D3161">
      <w:pPr>
        <w:ind w:firstLine="720"/>
        <w:rPr>
          <w:b/>
          <w:sz w:val="36"/>
          <w:szCs w:val="36"/>
        </w:rPr>
      </w:pPr>
      <w:r w:rsidRPr="00C96594">
        <w:rPr>
          <w:b/>
          <w:sz w:val="36"/>
          <w:szCs w:val="36"/>
        </w:rPr>
        <w:t>T</w:t>
      </w:r>
      <w:r w:rsidR="00747B08" w:rsidRPr="00C96594">
        <w:rPr>
          <w:b/>
          <w:sz w:val="36"/>
          <w:szCs w:val="36"/>
        </w:rPr>
        <w:t xml:space="preserve">ablet 25 mg, </w:t>
      </w:r>
    </w:p>
    <w:p w:rsidR="001D3161" w:rsidRPr="00C96594" w:rsidRDefault="001D3161" w:rsidP="001D3161">
      <w:pPr>
        <w:ind w:firstLine="720"/>
        <w:rPr>
          <w:b/>
          <w:sz w:val="36"/>
          <w:szCs w:val="36"/>
        </w:rPr>
      </w:pPr>
      <w:r w:rsidRPr="00C96594">
        <w:rPr>
          <w:b/>
          <w:sz w:val="36"/>
          <w:szCs w:val="36"/>
        </w:rPr>
        <w:t xml:space="preserve">Tablet </w:t>
      </w:r>
      <w:r w:rsidR="00747B08" w:rsidRPr="00C96594">
        <w:rPr>
          <w:b/>
          <w:sz w:val="36"/>
          <w:szCs w:val="36"/>
        </w:rPr>
        <w:t xml:space="preserve">100 mg, </w:t>
      </w:r>
    </w:p>
    <w:p w:rsidR="001D3161" w:rsidRPr="00C96594" w:rsidRDefault="00747B08" w:rsidP="001D3161">
      <w:pPr>
        <w:ind w:firstLine="720"/>
        <w:rPr>
          <w:b/>
          <w:sz w:val="36"/>
          <w:szCs w:val="36"/>
        </w:rPr>
      </w:pPr>
      <w:r w:rsidRPr="00C96594">
        <w:rPr>
          <w:b/>
          <w:sz w:val="36"/>
          <w:szCs w:val="36"/>
        </w:rPr>
        <w:t xml:space="preserve">Lorviqua®, </w:t>
      </w:r>
    </w:p>
    <w:p w:rsidR="00B60939" w:rsidRPr="00C96594" w:rsidRDefault="00747B08" w:rsidP="001D3161">
      <w:pPr>
        <w:ind w:firstLine="720"/>
        <w:rPr>
          <w:b/>
          <w:sz w:val="36"/>
          <w:szCs w:val="36"/>
        </w:rPr>
      </w:pPr>
      <w:r w:rsidRPr="00C96594">
        <w:rPr>
          <w:b/>
          <w:sz w:val="36"/>
          <w:szCs w:val="36"/>
        </w:rPr>
        <w:t>Pfizer Australia Pty Ltd</w:t>
      </w:r>
      <w:r w:rsidR="00B60939" w:rsidRPr="00C96594">
        <w:rPr>
          <w:b/>
          <w:sz w:val="36"/>
          <w:szCs w:val="36"/>
        </w:rPr>
        <w:t>.</w:t>
      </w:r>
      <w:bookmarkEnd w:id="0"/>
    </w:p>
    <w:p w:rsidR="00F420BC" w:rsidRPr="00C96594" w:rsidRDefault="00F420BC" w:rsidP="00F420BC">
      <w:pPr>
        <w:pStyle w:val="2-SectionHeading"/>
        <w:numPr>
          <w:ilvl w:val="0"/>
          <w:numId w:val="1"/>
        </w:numPr>
      </w:pPr>
      <w:bookmarkStart w:id="1" w:name="_Toc72307075"/>
      <w:r w:rsidRPr="00C96594">
        <w:t>Purpose of submission</w:t>
      </w:r>
      <w:bookmarkEnd w:id="1"/>
    </w:p>
    <w:p w:rsidR="00F420BC" w:rsidRPr="00C96594" w:rsidRDefault="00F420BC" w:rsidP="00F420BC">
      <w:pPr>
        <w:pStyle w:val="3-BodyText"/>
      </w:pPr>
      <w:r w:rsidRPr="00C96594">
        <w:t xml:space="preserve">The </w:t>
      </w:r>
      <w:r w:rsidR="008B2F20" w:rsidRPr="00C96594">
        <w:t xml:space="preserve">Category 2 </w:t>
      </w:r>
      <w:r w:rsidRPr="00C96594">
        <w:t>submission requested General Schedule, Authority Required (Telephone/Electronic) listing of lorlatinib for the treatment of patients with Stage IIIB (locally advanced) or Stage IV (metastatic) non-small cell lung cancer (NSCLC) with evidence of an anaplastic lymphoma kinase (ALK) gene rearrangement in tumour material.</w:t>
      </w:r>
    </w:p>
    <w:p w:rsidR="00F420BC" w:rsidRPr="00C96594" w:rsidRDefault="00F420BC" w:rsidP="00F420BC">
      <w:pPr>
        <w:pStyle w:val="3-BodyText"/>
      </w:pPr>
      <w:r w:rsidRPr="00C96594">
        <w:t>Listing was requested on the basis of a cost-minimisation analysis versus alectinib. The key components of the clinical issues addressed by the submission are summarised below.</w:t>
      </w:r>
    </w:p>
    <w:p w:rsidR="00F420BC" w:rsidRPr="00C96594" w:rsidRDefault="00F420BC" w:rsidP="008E6971">
      <w:pPr>
        <w:pStyle w:val="TableFigureHeading"/>
        <w:keepLines/>
      </w:pPr>
      <w:r w:rsidRPr="00C96594">
        <w:t xml:space="preserve">Table </w:t>
      </w:r>
      <w:r w:rsidR="007E358B" w:rsidRPr="00C96594">
        <w:t>1</w:t>
      </w:r>
      <w:r w:rsidRPr="00C96594">
        <w:t xml:space="preserve">: </w:t>
      </w:r>
      <w:r w:rsidRPr="00C96594">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F420BC" w:rsidRPr="00C96594" w:rsidTr="00F420BC">
        <w:trPr>
          <w:tblHeader/>
        </w:trPr>
        <w:tc>
          <w:tcPr>
            <w:tcW w:w="1271" w:type="dxa"/>
            <w:vAlign w:val="center"/>
          </w:tcPr>
          <w:p w:rsidR="00F420BC" w:rsidRPr="00C96594" w:rsidRDefault="00F420BC" w:rsidP="008E6971">
            <w:pPr>
              <w:pStyle w:val="Tabletext"/>
              <w:keepNext/>
              <w:keepLines/>
              <w:rPr>
                <w:b/>
              </w:rPr>
            </w:pPr>
            <w:r w:rsidRPr="00C96594">
              <w:rPr>
                <w:b/>
              </w:rPr>
              <w:t>Component</w:t>
            </w:r>
          </w:p>
        </w:tc>
        <w:tc>
          <w:tcPr>
            <w:tcW w:w="7885" w:type="dxa"/>
            <w:vAlign w:val="center"/>
          </w:tcPr>
          <w:p w:rsidR="00F420BC" w:rsidRPr="00C96594" w:rsidRDefault="00F420BC" w:rsidP="008E6971">
            <w:pPr>
              <w:pStyle w:val="Tabletext"/>
              <w:keepNext/>
              <w:keepLines/>
              <w:jc w:val="center"/>
              <w:rPr>
                <w:b/>
              </w:rPr>
            </w:pPr>
            <w:r w:rsidRPr="00C96594">
              <w:rPr>
                <w:b/>
              </w:rPr>
              <w:t>Description</w:t>
            </w:r>
          </w:p>
        </w:tc>
      </w:tr>
      <w:tr w:rsidR="00F420BC" w:rsidRPr="00C96594" w:rsidTr="00F420BC">
        <w:tc>
          <w:tcPr>
            <w:tcW w:w="1271" w:type="dxa"/>
            <w:vAlign w:val="center"/>
          </w:tcPr>
          <w:p w:rsidR="00F420BC" w:rsidRPr="00C96594" w:rsidRDefault="00F420BC" w:rsidP="008E6971">
            <w:pPr>
              <w:pStyle w:val="Tabletext"/>
              <w:keepNext/>
              <w:keepLines/>
            </w:pPr>
            <w:r w:rsidRPr="00C96594">
              <w:t>Population</w:t>
            </w:r>
          </w:p>
        </w:tc>
        <w:tc>
          <w:tcPr>
            <w:tcW w:w="7885" w:type="dxa"/>
          </w:tcPr>
          <w:p w:rsidR="00F420BC" w:rsidRPr="00C96594" w:rsidRDefault="00F420BC" w:rsidP="008E6971">
            <w:pPr>
              <w:pStyle w:val="Tabletext"/>
              <w:keepNext/>
              <w:keepLines/>
            </w:pPr>
            <w:r w:rsidRPr="00C96594">
              <w:t>Patients with locally advanced (stage IIIB) or metastatic (Stage IV) anaplastic lymphoma kinase (ALK)-positive non-small cell lung cancer (NSCLC) who have not previously been treated with an ALK tyrosine kinase inhibitor (TKI).</w:t>
            </w:r>
          </w:p>
        </w:tc>
      </w:tr>
      <w:tr w:rsidR="00F420BC" w:rsidRPr="00C96594" w:rsidTr="00F420BC">
        <w:tc>
          <w:tcPr>
            <w:tcW w:w="1271" w:type="dxa"/>
            <w:vAlign w:val="center"/>
          </w:tcPr>
          <w:p w:rsidR="00F420BC" w:rsidRPr="00C96594" w:rsidRDefault="00F420BC" w:rsidP="008E6971">
            <w:pPr>
              <w:pStyle w:val="Tabletext"/>
              <w:keepNext/>
              <w:keepLines/>
            </w:pPr>
            <w:r w:rsidRPr="00C96594">
              <w:t>Intervention</w:t>
            </w:r>
          </w:p>
        </w:tc>
        <w:tc>
          <w:tcPr>
            <w:tcW w:w="7885" w:type="dxa"/>
          </w:tcPr>
          <w:p w:rsidR="00F420BC" w:rsidRPr="00C96594" w:rsidRDefault="00F420BC" w:rsidP="008E6971">
            <w:pPr>
              <w:pStyle w:val="Tabletext"/>
              <w:keepNext/>
              <w:keepLines/>
            </w:pPr>
            <w:r w:rsidRPr="00C96594">
              <w:t>Lorlatinib 100 mg and 25 mg film-coated tablets. Recommended dosage: 100 mg orally once daily.</w:t>
            </w:r>
          </w:p>
        </w:tc>
      </w:tr>
      <w:tr w:rsidR="00F420BC" w:rsidRPr="00C96594" w:rsidTr="00F420BC">
        <w:tc>
          <w:tcPr>
            <w:tcW w:w="1271" w:type="dxa"/>
            <w:vAlign w:val="center"/>
          </w:tcPr>
          <w:p w:rsidR="00F420BC" w:rsidRPr="00C96594" w:rsidRDefault="00F420BC" w:rsidP="008E6971">
            <w:pPr>
              <w:pStyle w:val="Tabletext"/>
              <w:keepNext/>
              <w:keepLines/>
            </w:pPr>
            <w:r w:rsidRPr="00C96594">
              <w:t>Comparator</w:t>
            </w:r>
          </w:p>
        </w:tc>
        <w:tc>
          <w:tcPr>
            <w:tcW w:w="7885" w:type="dxa"/>
          </w:tcPr>
          <w:p w:rsidR="00F420BC" w:rsidRPr="00C96594" w:rsidRDefault="00F420BC" w:rsidP="008E6971">
            <w:pPr>
              <w:pStyle w:val="Tabletext"/>
              <w:keepNext/>
              <w:keepLines/>
            </w:pPr>
            <w:r w:rsidRPr="00C96594">
              <w:t>Main: Alectinib; Supplementary: Brigatinib</w:t>
            </w:r>
            <w:r w:rsidRPr="00C96594">
              <w:rPr>
                <w:i/>
                <w:iCs/>
              </w:rPr>
              <w:t xml:space="preserve"> </w:t>
            </w:r>
          </w:p>
        </w:tc>
      </w:tr>
      <w:tr w:rsidR="00F420BC" w:rsidRPr="00C96594" w:rsidTr="00F420BC">
        <w:tc>
          <w:tcPr>
            <w:tcW w:w="1271" w:type="dxa"/>
            <w:vAlign w:val="center"/>
          </w:tcPr>
          <w:p w:rsidR="00F420BC" w:rsidRPr="00C96594" w:rsidRDefault="00F420BC" w:rsidP="008E6971">
            <w:pPr>
              <w:pStyle w:val="Tabletext"/>
              <w:keepNext/>
              <w:keepLines/>
            </w:pPr>
            <w:r w:rsidRPr="00C96594">
              <w:t>Outcomes</w:t>
            </w:r>
          </w:p>
        </w:tc>
        <w:tc>
          <w:tcPr>
            <w:tcW w:w="7885" w:type="dxa"/>
          </w:tcPr>
          <w:p w:rsidR="00F420BC" w:rsidRPr="00C96594" w:rsidRDefault="00F420BC" w:rsidP="008E6971">
            <w:pPr>
              <w:pStyle w:val="Tabletext"/>
              <w:keepNext/>
              <w:keepLines/>
            </w:pPr>
            <w:r w:rsidRPr="00C96594">
              <w:t xml:space="preserve">Objective tumour response rates (ORR); intracranial objective response rate, time to progression, and time to response (IC-ORR, IC-TTP, IC-TTR); duration of response (DOR); intracranial duration of response (IC-DOR); progression-free survival (PFS); overall survival (OS); patient reported outcomes (PROs); safety. </w:t>
            </w:r>
          </w:p>
        </w:tc>
      </w:tr>
      <w:tr w:rsidR="00F420BC" w:rsidRPr="00C96594" w:rsidTr="00F420BC">
        <w:tc>
          <w:tcPr>
            <w:tcW w:w="1271" w:type="dxa"/>
            <w:vAlign w:val="center"/>
          </w:tcPr>
          <w:p w:rsidR="00F420BC" w:rsidRPr="00C96594" w:rsidRDefault="00F420BC" w:rsidP="008E6971">
            <w:pPr>
              <w:pStyle w:val="Tabletext"/>
              <w:keepNext/>
              <w:keepLines/>
            </w:pPr>
            <w:r w:rsidRPr="00C96594">
              <w:t>Clinical claim</w:t>
            </w:r>
          </w:p>
        </w:tc>
        <w:tc>
          <w:tcPr>
            <w:tcW w:w="7885" w:type="dxa"/>
          </w:tcPr>
          <w:p w:rsidR="00F420BC" w:rsidRPr="00C96594" w:rsidRDefault="008540E7" w:rsidP="008E6971">
            <w:pPr>
              <w:pStyle w:val="Tabletext"/>
              <w:keepNext/>
              <w:keepLines/>
              <w:rPr>
                <w:i/>
                <w:iCs/>
              </w:rPr>
            </w:pPr>
            <w:r w:rsidRPr="00C96594">
              <w:t>The overall clinical claim was that lorlatinib is non-inferior to the main comparator, alectinib, in terms of efficacy and safety</w:t>
            </w:r>
            <w:r w:rsidR="00F420BC" w:rsidRPr="00C96594">
              <w:t>.</w:t>
            </w:r>
            <w:r w:rsidR="00F420BC" w:rsidRPr="00C96594">
              <w:rPr>
                <w:i/>
                <w:iCs/>
              </w:rPr>
              <w:t xml:space="preserve"> </w:t>
            </w:r>
          </w:p>
        </w:tc>
      </w:tr>
    </w:tbl>
    <w:p w:rsidR="004E43B2" w:rsidRPr="00C96594" w:rsidRDefault="00F420BC" w:rsidP="008E6971">
      <w:pPr>
        <w:pStyle w:val="TableFigureFooter"/>
        <w:keepNext/>
        <w:keepLines/>
      </w:pPr>
      <w:r w:rsidRPr="00C96594">
        <w:rPr>
          <w:rFonts w:eastAsiaTheme="majorEastAsia"/>
        </w:rPr>
        <w:t>Source: Table 1.1.1 of the submission</w:t>
      </w:r>
      <w:r w:rsidR="008B1757" w:rsidRPr="00C96594">
        <w:t>.</w:t>
      </w:r>
    </w:p>
    <w:p w:rsidR="008F6589" w:rsidRPr="00C96594" w:rsidRDefault="008F6589" w:rsidP="004A6040">
      <w:pPr>
        <w:pStyle w:val="TableFigureFooter"/>
        <w:rPr>
          <w:sz w:val="20"/>
        </w:rPr>
      </w:pPr>
    </w:p>
    <w:p w:rsidR="005C25FF" w:rsidRPr="00C96594" w:rsidRDefault="005C25FF" w:rsidP="004A6040">
      <w:pPr>
        <w:pStyle w:val="2-SectionHeading"/>
      </w:pPr>
      <w:bookmarkStart w:id="2" w:name="_Toc72307076"/>
      <w:r w:rsidRPr="00C96594">
        <w:t>Background</w:t>
      </w:r>
      <w:bookmarkEnd w:id="2"/>
    </w:p>
    <w:p w:rsidR="00F420BC" w:rsidRPr="00C96594" w:rsidRDefault="00F420BC" w:rsidP="00F420BC">
      <w:pPr>
        <w:pStyle w:val="4-SubsectionHeading"/>
      </w:pPr>
      <w:bookmarkStart w:id="3" w:name="_Toc22897638"/>
      <w:bookmarkStart w:id="4" w:name="_Toc72307077"/>
      <w:r w:rsidRPr="00C96594">
        <w:t>Registration status</w:t>
      </w:r>
      <w:bookmarkEnd w:id="3"/>
      <w:bookmarkEnd w:id="4"/>
    </w:p>
    <w:p w:rsidR="006A2AFF" w:rsidRPr="00C96594" w:rsidRDefault="00C84A88" w:rsidP="00C84A88">
      <w:pPr>
        <w:pStyle w:val="3-BodyText"/>
      </w:pPr>
      <w:r w:rsidRPr="00C96594">
        <w:t>TGA status at time of</w:t>
      </w:r>
      <w:r w:rsidR="008B2F20" w:rsidRPr="00C96594">
        <w:t xml:space="preserve"> PBAC consideration</w:t>
      </w:r>
      <w:r w:rsidRPr="00C96594">
        <w:t xml:space="preserve">: </w:t>
      </w:r>
      <w:r w:rsidR="008B2F20" w:rsidRPr="00C96594">
        <w:t>the submission was made under the TGA/PBAC Parallel Process. At the time of PBAC consideration the Clinical Evaluation Report (Round 1) was available</w:t>
      </w:r>
      <w:r w:rsidR="000423E4" w:rsidRPr="00C96594">
        <w:t xml:space="preserve"> and the Delegate’s Overview was expected Q3 2021</w:t>
      </w:r>
      <w:r w:rsidRPr="00C96594">
        <w:t>.</w:t>
      </w:r>
      <w:r w:rsidR="008B2F20" w:rsidRPr="00C96594">
        <w:t xml:space="preserve"> </w:t>
      </w:r>
      <w:r w:rsidR="000423E4" w:rsidRPr="00C96594">
        <w:t xml:space="preserve">The sponsor’s pre-PBAC response </w:t>
      </w:r>
      <w:r w:rsidR="00737E3C" w:rsidRPr="00C96594">
        <w:t>noted</w:t>
      </w:r>
      <w:r w:rsidR="000423E4" w:rsidRPr="00C96594">
        <w:t xml:space="preserve"> </w:t>
      </w:r>
      <w:r w:rsidR="00B86212" w:rsidRPr="00C96594">
        <w:t xml:space="preserve">brigatinib was </w:t>
      </w:r>
      <w:r w:rsidR="000423E4" w:rsidRPr="00C96594">
        <w:t xml:space="preserve">recommended by the PBAC for </w:t>
      </w:r>
      <w:r w:rsidR="00B86212" w:rsidRPr="00C96594">
        <w:t xml:space="preserve">a </w:t>
      </w:r>
      <w:r w:rsidR="000423E4" w:rsidRPr="00C96594">
        <w:t>line agnostic listing</w:t>
      </w:r>
      <w:r w:rsidR="00B86212" w:rsidRPr="00C96594">
        <w:t xml:space="preserve">, despite no </w:t>
      </w:r>
      <w:r w:rsidR="000423E4" w:rsidRPr="00C96594">
        <w:t xml:space="preserve">TGA application </w:t>
      </w:r>
      <w:r w:rsidR="00B86212" w:rsidRPr="00C96594">
        <w:t xml:space="preserve">for </w:t>
      </w:r>
      <w:r w:rsidR="000423E4" w:rsidRPr="00C96594">
        <w:t>the first line indication underway at the time of PBAC consideration.</w:t>
      </w:r>
    </w:p>
    <w:p w:rsidR="00F420BC" w:rsidRPr="00C96594" w:rsidRDefault="00F420BC" w:rsidP="0032778D">
      <w:pPr>
        <w:pStyle w:val="3-BodyText"/>
        <w:spacing w:after="0"/>
      </w:pPr>
      <w:r w:rsidRPr="00C96594">
        <w:t>Lorlatinib has provisional TGA approval for the treatment of patients with ALK positive advanced NSCLC whose disease has progressed on:</w:t>
      </w:r>
    </w:p>
    <w:p w:rsidR="00F420BC" w:rsidRPr="00C96594" w:rsidRDefault="00F420BC" w:rsidP="00560E94">
      <w:pPr>
        <w:pStyle w:val="ListParagraph"/>
        <w:numPr>
          <w:ilvl w:val="0"/>
          <w:numId w:val="9"/>
        </w:numPr>
        <w:spacing w:after="0"/>
        <w:ind w:left="1080"/>
      </w:pPr>
      <w:r w:rsidRPr="00C96594">
        <w:lastRenderedPageBreak/>
        <w:t>Crizotinib and at least one other ALK inhibitor; or</w:t>
      </w:r>
    </w:p>
    <w:p w:rsidR="00F420BC" w:rsidRPr="00C96594" w:rsidRDefault="00F420BC" w:rsidP="00560E94">
      <w:pPr>
        <w:pStyle w:val="ListParagraph"/>
        <w:numPr>
          <w:ilvl w:val="0"/>
          <w:numId w:val="9"/>
        </w:numPr>
        <w:spacing w:after="0"/>
        <w:ind w:left="1080"/>
      </w:pPr>
      <w:r w:rsidRPr="00C96594">
        <w:t>Alectinib as the first ALK inhibitor therapy; or</w:t>
      </w:r>
    </w:p>
    <w:p w:rsidR="00F420BC" w:rsidRPr="00C96594" w:rsidRDefault="00F420BC" w:rsidP="00560E94">
      <w:pPr>
        <w:pStyle w:val="ListParagraph"/>
        <w:numPr>
          <w:ilvl w:val="0"/>
          <w:numId w:val="9"/>
        </w:numPr>
        <w:spacing w:after="0"/>
        <w:ind w:left="1080"/>
      </w:pPr>
      <w:r w:rsidRPr="00C96594">
        <w:t>Ceritinib as the first ALK inhibitor therapy.</w:t>
      </w:r>
    </w:p>
    <w:p w:rsidR="0032778D" w:rsidRPr="00C96594" w:rsidRDefault="0032778D" w:rsidP="0032778D">
      <w:pPr>
        <w:pStyle w:val="ListBullet"/>
        <w:numPr>
          <w:ilvl w:val="0"/>
          <w:numId w:val="0"/>
        </w:numPr>
        <w:ind w:left="360"/>
      </w:pPr>
    </w:p>
    <w:p w:rsidR="00F420BC" w:rsidRPr="00C96594" w:rsidRDefault="00486687" w:rsidP="00F420BC">
      <w:pPr>
        <w:pStyle w:val="3-BodyText"/>
      </w:pPr>
      <w:r w:rsidRPr="00C96594">
        <w:t>A</w:t>
      </w:r>
      <w:r w:rsidR="00F420BC" w:rsidRPr="00C96594">
        <w:t xml:space="preserve"> </w:t>
      </w:r>
      <w:r w:rsidRPr="00C96594">
        <w:t xml:space="preserve">TGA </w:t>
      </w:r>
      <w:r w:rsidR="00F420BC" w:rsidRPr="00C96594">
        <w:t xml:space="preserve">application </w:t>
      </w:r>
      <w:r w:rsidR="008B2F20" w:rsidRPr="00C96594">
        <w:t xml:space="preserve">was lodged on the </w:t>
      </w:r>
      <w:r w:rsidRPr="00C96594">
        <w:t>23 December 2020</w:t>
      </w:r>
      <w:r w:rsidR="00F420BC" w:rsidRPr="00C96594">
        <w:t xml:space="preserve"> </w:t>
      </w:r>
      <w:r w:rsidR="00DD1BE6" w:rsidRPr="00C96594">
        <w:t xml:space="preserve">to convert the current provisional registration for second-line treatment of ALK positive advanced NSCLC to full registration for the </w:t>
      </w:r>
      <w:r w:rsidR="00F420BC" w:rsidRPr="00C96594">
        <w:t>first</w:t>
      </w:r>
      <w:r w:rsidRPr="00C96594">
        <w:t xml:space="preserve"> </w:t>
      </w:r>
      <w:r w:rsidR="00F420BC" w:rsidRPr="00C96594">
        <w:t xml:space="preserve">line treatment of patients with ALK positive advanced NSCLC. </w:t>
      </w:r>
      <w:r w:rsidR="00210C2D" w:rsidRPr="00C96594">
        <w:t>The TGA application is being evaluated under Project Orbis, in collaboration with the United States Food and Drug Administration and other participating regulatory agencies, including Health Canada, and United Kingdom’s Medicines and Healthcare products Regulatory Agency.</w:t>
      </w:r>
    </w:p>
    <w:p w:rsidR="000423E4" w:rsidRPr="00C96594" w:rsidRDefault="000423E4" w:rsidP="000423E4">
      <w:pPr>
        <w:pStyle w:val="3-BodyText"/>
        <w:numPr>
          <w:ilvl w:val="0"/>
          <w:numId w:val="0"/>
        </w:numPr>
        <w:ind w:firstLine="720"/>
      </w:pPr>
      <w:bookmarkStart w:id="5" w:name="_Toc22897639"/>
      <w:bookmarkStart w:id="6" w:name="_Toc72307078"/>
      <w:r w:rsidRPr="00C96594">
        <w:rPr>
          <w:i/>
        </w:rPr>
        <w:t>For more detail on PBAC’s view, see section 7 PBAC outcome</w:t>
      </w:r>
      <w:r w:rsidRPr="00C96594">
        <w:t>.</w:t>
      </w:r>
    </w:p>
    <w:p w:rsidR="00F420BC" w:rsidRPr="00C96594" w:rsidRDefault="00F420BC" w:rsidP="000423E4">
      <w:pPr>
        <w:pStyle w:val="4-SubsectionHeading"/>
      </w:pPr>
      <w:r w:rsidRPr="00C96594">
        <w:t>Previous PBAC consideration</w:t>
      </w:r>
      <w:bookmarkEnd w:id="5"/>
      <w:bookmarkEnd w:id="6"/>
    </w:p>
    <w:p w:rsidR="00F420BC" w:rsidRPr="00C96594" w:rsidRDefault="00F420BC" w:rsidP="00C92406">
      <w:pPr>
        <w:pStyle w:val="3-BodyText"/>
      </w:pPr>
      <w:r w:rsidRPr="00C96594">
        <w:t xml:space="preserve">Lorlatinib was listed on the PBS on 1 August 2020 for the treatment of patients with ALK positive metastatic (Stage IV) NSCLC </w:t>
      </w:r>
      <w:r w:rsidR="00C92406" w:rsidRPr="00C96594">
        <w:t>following treatment with an ALK</w:t>
      </w:r>
      <w:r w:rsidR="008E6971" w:rsidRPr="00C96594">
        <w:t xml:space="preserve"> tyrosine kinase </w:t>
      </w:r>
      <w:r w:rsidR="00C92406" w:rsidRPr="00C96594">
        <w:t xml:space="preserve">inhibitor </w:t>
      </w:r>
      <w:r w:rsidR="008E6971" w:rsidRPr="00C96594">
        <w:t xml:space="preserve">(TKI) </w:t>
      </w:r>
      <w:r w:rsidR="00C92406" w:rsidRPr="00C96594">
        <w:t>other than crizotinib.</w:t>
      </w:r>
    </w:p>
    <w:p w:rsidR="00F420BC" w:rsidRPr="00C96594" w:rsidRDefault="00F420BC" w:rsidP="00F420BC">
      <w:pPr>
        <w:pStyle w:val="2-SectionHeading"/>
        <w:numPr>
          <w:ilvl w:val="0"/>
          <w:numId w:val="1"/>
        </w:numPr>
      </w:pPr>
      <w:bookmarkStart w:id="7" w:name="_Toc72307079"/>
      <w:r w:rsidRPr="00C96594">
        <w:t>Requested listing</w:t>
      </w:r>
      <w:bookmarkEnd w:id="7"/>
    </w:p>
    <w:p w:rsidR="0008575E" w:rsidRPr="00C96594" w:rsidRDefault="0008575E" w:rsidP="0008575E">
      <w:pPr>
        <w:pStyle w:val="3-BodyText"/>
        <w:numPr>
          <w:ilvl w:val="0"/>
          <w:numId w:val="0"/>
        </w:numPr>
        <w:spacing w:after="0"/>
        <w:ind w:left="720"/>
      </w:pPr>
    </w:p>
    <w:tbl>
      <w:tblPr>
        <w:tblW w:w="92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67"/>
        <w:gridCol w:w="1350"/>
        <w:gridCol w:w="1328"/>
        <w:gridCol w:w="947"/>
        <w:gridCol w:w="1680"/>
        <w:gridCol w:w="1764"/>
      </w:tblGrid>
      <w:tr w:rsidR="00F420BC" w:rsidRPr="00C96594" w:rsidTr="00F420BC">
        <w:tc>
          <w:tcPr>
            <w:tcW w:w="2167" w:type="dxa"/>
          </w:tcPr>
          <w:p w:rsidR="00F420BC" w:rsidRPr="00C96594" w:rsidRDefault="00F420BC" w:rsidP="00F420BC">
            <w:pPr>
              <w:pStyle w:val="Tabletext"/>
              <w:rPr>
                <w:b/>
                <w:bCs/>
              </w:rPr>
            </w:pPr>
            <w:r w:rsidRPr="00C96594">
              <w:rPr>
                <w:b/>
              </w:rPr>
              <w:t>Name, restriction, manner of administration, form</w:t>
            </w:r>
          </w:p>
        </w:tc>
        <w:tc>
          <w:tcPr>
            <w:tcW w:w="1350" w:type="dxa"/>
          </w:tcPr>
          <w:p w:rsidR="00F420BC" w:rsidRPr="00C96594" w:rsidRDefault="00F420BC" w:rsidP="00F420BC">
            <w:pPr>
              <w:pStyle w:val="Tabletext"/>
              <w:jc w:val="center"/>
              <w:rPr>
                <w:b/>
                <w:bCs/>
              </w:rPr>
            </w:pPr>
            <w:r w:rsidRPr="00C96594">
              <w:rPr>
                <w:b/>
              </w:rPr>
              <w:t>Maximum quantity (packs)</w:t>
            </w:r>
          </w:p>
        </w:tc>
        <w:tc>
          <w:tcPr>
            <w:tcW w:w="1328" w:type="dxa"/>
          </w:tcPr>
          <w:p w:rsidR="00F420BC" w:rsidRPr="00C96594" w:rsidRDefault="00F420BC" w:rsidP="00F420BC">
            <w:pPr>
              <w:pStyle w:val="Tabletext"/>
              <w:jc w:val="center"/>
              <w:rPr>
                <w:b/>
                <w:bCs/>
              </w:rPr>
            </w:pPr>
            <w:r w:rsidRPr="00C96594">
              <w:rPr>
                <w:b/>
              </w:rPr>
              <w:t>Maximum quantity (units)</w:t>
            </w:r>
          </w:p>
        </w:tc>
        <w:tc>
          <w:tcPr>
            <w:tcW w:w="947" w:type="dxa"/>
          </w:tcPr>
          <w:p w:rsidR="00F420BC" w:rsidRPr="00C96594" w:rsidRDefault="00F420BC" w:rsidP="00F420BC">
            <w:pPr>
              <w:pStyle w:val="Tabletext"/>
              <w:rPr>
                <w:b/>
                <w:bCs/>
              </w:rPr>
            </w:pPr>
            <w:r w:rsidRPr="00C96594">
              <w:rPr>
                <w:b/>
              </w:rPr>
              <w:t>No. of repeats</w:t>
            </w:r>
          </w:p>
        </w:tc>
        <w:tc>
          <w:tcPr>
            <w:tcW w:w="1680" w:type="dxa"/>
          </w:tcPr>
          <w:p w:rsidR="00F420BC" w:rsidRPr="00C96594" w:rsidRDefault="00F420BC" w:rsidP="00F420BC">
            <w:pPr>
              <w:pStyle w:val="Tabletext"/>
              <w:rPr>
                <w:b/>
                <w:bCs/>
              </w:rPr>
            </w:pPr>
            <w:r w:rsidRPr="00C96594">
              <w:rPr>
                <w:b/>
              </w:rPr>
              <w:t>Dispensed price for maximum quantity</w:t>
            </w:r>
          </w:p>
        </w:tc>
        <w:tc>
          <w:tcPr>
            <w:tcW w:w="1764" w:type="dxa"/>
          </w:tcPr>
          <w:p w:rsidR="00F420BC" w:rsidRPr="00C96594" w:rsidRDefault="00F420BC" w:rsidP="00F420BC">
            <w:pPr>
              <w:pStyle w:val="Tabletext"/>
              <w:rPr>
                <w:b/>
                <w:bCs/>
              </w:rPr>
            </w:pPr>
            <w:r w:rsidRPr="00C96594">
              <w:rPr>
                <w:b/>
              </w:rPr>
              <w:t>Proprietary name and manufacturer</w:t>
            </w:r>
          </w:p>
        </w:tc>
      </w:tr>
      <w:tr w:rsidR="00F420BC" w:rsidRPr="00C96594" w:rsidTr="00F420BC">
        <w:tc>
          <w:tcPr>
            <w:tcW w:w="2167" w:type="dxa"/>
            <w:tcBorders>
              <w:bottom w:val="nil"/>
            </w:tcBorders>
          </w:tcPr>
          <w:p w:rsidR="00F420BC" w:rsidRPr="00C96594" w:rsidRDefault="00F420BC" w:rsidP="00F420BC">
            <w:pPr>
              <w:pStyle w:val="Tabletext"/>
              <w:rPr>
                <w:iCs/>
              </w:rPr>
            </w:pPr>
            <w:r w:rsidRPr="00C96594">
              <w:rPr>
                <w:iCs/>
                <w:smallCaps/>
              </w:rPr>
              <w:t>Lorlatinib</w:t>
            </w:r>
          </w:p>
          <w:p w:rsidR="00F420BC" w:rsidRPr="00C96594" w:rsidRDefault="00F420BC" w:rsidP="00F420BC">
            <w:pPr>
              <w:pStyle w:val="Tabletext"/>
              <w:rPr>
                <w:b/>
                <w:bCs/>
              </w:rPr>
            </w:pPr>
            <w:r w:rsidRPr="00C96594">
              <w:rPr>
                <w:iCs/>
              </w:rPr>
              <w:t>Tablets 100 mg</w:t>
            </w:r>
          </w:p>
        </w:tc>
        <w:tc>
          <w:tcPr>
            <w:tcW w:w="1350" w:type="dxa"/>
            <w:tcBorders>
              <w:bottom w:val="nil"/>
            </w:tcBorders>
          </w:tcPr>
          <w:p w:rsidR="00F420BC" w:rsidRPr="00C96594" w:rsidRDefault="00F420BC" w:rsidP="00F420BC">
            <w:pPr>
              <w:pStyle w:val="Tabletext"/>
              <w:jc w:val="center"/>
              <w:rPr>
                <w:rFonts w:ascii="Times" w:hAnsi="Times"/>
              </w:rPr>
            </w:pPr>
            <w:r w:rsidRPr="00C96594">
              <w:rPr>
                <w:iCs/>
              </w:rPr>
              <w:t>1</w:t>
            </w:r>
          </w:p>
        </w:tc>
        <w:tc>
          <w:tcPr>
            <w:tcW w:w="1328" w:type="dxa"/>
            <w:tcBorders>
              <w:bottom w:val="nil"/>
            </w:tcBorders>
          </w:tcPr>
          <w:p w:rsidR="00F420BC" w:rsidRPr="00C96594" w:rsidRDefault="00F420BC" w:rsidP="00F420BC">
            <w:pPr>
              <w:pStyle w:val="Tabletext"/>
              <w:jc w:val="center"/>
              <w:rPr>
                <w:rFonts w:ascii="Times" w:hAnsi="Times"/>
              </w:rPr>
            </w:pPr>
            <w:r w:rsidRPr="00C96594">
              <w:rPr>
                <w:iCs/>
              </w:rPr>
              <w:t>30</w:t>
            </w:r>
          </w:p>
        </w:tc>
        <w:tc>
          <w:tcPr>
            <w:tcW w:w="947" w:type="dxa"/>
            <w:tcBorders>
              <w:bottom w:val="nil"/>
            </w:tcBorders>
          </w:tcPr>
          <w:p w:rsidR="00F420BC" w:rsidRPr="00C96594" w:rsidRDefault="00F420BC" w:rsidP="00F420BC">
            <w:pPr>
              <w:pStyle w:val="Tabletext"/>
              <w:jc w:val="center"/>
              <w:rPr>
                <w:rFonts w:ascii="Times" w:hAnsi="Times"/>
              </w:rPr>
            </w:pPr>
            <w:r w:rsidRPr="00C96594">
              <w:rPr>
                <w:iCs/>
              </w:rPr>
              <w:t>3</w:t>
            </w:r>
          </w:p>
        </w:tc>
        <w:tc>
          <w:tcPr>
            <w:tcW w:w="1680" w:type="dxa"/>
            <w:tcBorders>
              <w:bottom w:val="nil"/>
            </w:tcBorders>
          </w:tcPr>
          <w:p w:rsidR="00F420BC" w:rsidRPr="00C96594" w:rsidRDefault="00F420BC" w:rsidP="00F420BC">
            <w:pPr>
              <w:pStyle w:val="Tabletext"/>
              <w:rPr>
                <w:iCs/>
              </w:rPr>
            </w:pPr>
            <w:r w:rsidRPr="00C96594">
              <w:rPr>
                <w:iCs/>
              </w:rPr>
              <w:t>$7,289.46 (published)</w:t>
            </w:r>
          </w:p>
          <w:p w:rsidR="00F420BC" w:rsidRPr="00C96594" w:rsidRDefault="00F420BC" w:rsidP="00F420BC">
            <w:pPr>
              <w:pStyle w:val="Tabletext"/>
              <w:rPr>
                <w:iCs/>
                <w:vertAlign w:val="superscript"/>
              </w:rPr>
            </w:pPr>
            <w:r w:rsidRPr="00C96594">
              <w:rPr>
                <w:iCs/>
              </w:rPr>
              <w:t>$</w:t>
            </w:r>
            <w:r w:rsidR="00B04959">
              <w:rPr>
                <w:iCs/>
                <w:noProof/>
                <w:color w:val="000000"/>
                <w:highlight w:val="black"/>
              </w:rPr>
              <w:t>''''''''''''''''''''</w:t>
            </w:r>
          </w:p>
          <w:p w:rsidR="00F420BC" w:rsidRPr="00C96594" w:rsidRDefault="00F420BC" w:rsidP="00F420BC">
            <w:pPr>
              <w:pStyle w:val="Tabletext"/>
              <w:rPr>
                <w:rFonts w:ascii="Times" w:hAnsi="Times"/>
              </w:rPr>
            </w:pPr>
            <w:r w:rsidRPr="00C96594">
              <w:rPr>
                <w:iCs/>
              </w:rPr>
              <w:t>(effective)</w:t>
            </w:r>
          </w:p>
        </w:tc>
        <w:tc>
          <w:tcPr>
            <w:tcW w:w="1764" w:type="dxa"/>
            <w:tcBorders>
              <w:bottom w:val="nil"/>
            </w:tcBorders>
          </w:tcPr>
          <w:p w:rsidR="00F420BC" w:rsidRPr="00C96594" w:rsidRDefault="00F420BC" w:rsidP="00F420BC">
            <w:pPr>
              <w:pStyle w:val="Tabletext"/>
              <w:jc w:val="center"/>
              <w:rPr>
                <w:rFonts w:ascii="Times" w:hAnsi="Times"/>
              </w:rPr>
            </w:pPr>
            <w:r w:rsidRPr="00C96594">
              <w:rPr>
                <w:szCs w:val="20"/>
              </w:rPr>
              <w:t>Lorviqua®</w:t>
            </w:r>
            <w:r w:rsidRPr="00C96594">
              <w:rPr>
                <w:iCs/>
              </w:rPr>
              <w:t>, Pfizer Australia Pty Ltd</w:t>
            </w:r>
          </w:p>
        </w:tc>
      </w:tr>
      <w:tr w:rsidR="00F420BC" w:rsidRPr="00C96594" w:rsidTr="00F420BC">
        <w:tc>
          <w:tcPr>
            <w:tcW w:w="2167" w:type="dxa"/>
            <w:tcBorders>
              <w:top w:val="nil"/>
            </w:tcBorders>
          </w:tcPr>
          <w:p w:rsidR="00F420BC" w:rsidRPr="00C96594" w:rsidRDefault="00F420BC" w:rsidP="00F420BC">
            <w:pPr>
              <w:pStyle w:val="Tabletext"/>
              <w:rPr>
                <w:iCs/>
              </w:rPr>
            </w:pPr>
            <w:r w:rsidRPr="00C96594">
              <w:rPr>
                <w:iCs/>
                <w:smallCaps/>
              </w:rPr>
              <w:t>Lorlatinib</w:t>
            </w:r>
          </w:p>
          <w:p w:rsidR="00F420BC" w:rsidRPr="00C96594" w:rsidRDefault="00F420BC" w:rsidP="00F420BC">
            <w:pPr>
              <w:pStyle w:val="Tabletext"/>
              <w:rPr>
                <w:iCs/>
                <w:smallCaps/>
              </w:rPr>
            </w:pPr>
            <w:r w:rsidRPr="00C96594">
              <w:rPr>
                <w:iCs/>
              </w:rPr>
              <w:t>Tablets 25 mg</w:t>
            </w:r>
          </w:p>
        </w:tc>
        <w:tc>
          <w:tcPr>
            <w:tcW w:w="1350" w:type="dxa"/>
            <w:tcBorders>
              <w:top w:val="nil"/>
            </w:tcBorders>
          </w:tcPr>
          <w:p w:rsidR="00F420BC" w:rsidRPr="00C96594" w:rsidRDefault="00F420BC" w:rsidP="00F420BC">
            <w:pPr>
              <w:pStyle w:val="Tabletext"/>
              <w:jc w:val="center"/>
              <w:rPr>
                <w:iCs/>
              </w:rPr>
            </w:pPr>
            <w:r w:rsidRPr="00C96594">
              <w:rPr>
                <w:iCs/>
              </w:rPr>
              <w:t>1</w:t>
            </w:r>
          </w:p>
        </w:tc>
        <w:tc>
          <w:tcPr>
            <w:tcW w:w="1328" w:type="dxa"/>
            <w:tcBorders>
              <w:top w:val="nil"/>
            </w:tcBorders>
          </w:tcPr>
          <w:p w:rsidR="00F420BC" w:rsidRPr="00C96594" w:rsidRDefault="00F420BC" w:rsidP="00F420BC">
            <w:pPr>
              <w:pStyle w:val="Tabletext"/>
              <w:jc w:val="center"/>
              <w:rPr>
                <w:iCs/>
              </w:rPr>
            </w:pPr>
            <w:r w:rsidRPr="00C96594">
              <w:rPr>
                <w:iCs/>
              </w:rPr>
              <w:t>90</w:t>
            </w:r>
          </w:p>
        </w:tc>
        <w:tc>
          <w:tcPr>
            <w:tcW w:w="947" w:type="dxa"/>
            <w:tcBorders>
              <w:top w:val="nil"/>
            </w:tcBorders>
          </w:tcPr>
          <w:p w:rsidR="00F420BC" w:rsidRPr="00C96594" w:rsidRDefault="00F420BC" w:rsidP="00F420BC">
            <w:pPr>
              <w:pStyle w:val="Tabletext"/>
              <w:jc w:val="center"/>
              <w:rPr>
                <w:iCs/>
              </w:rPr>
            </w:pPr>
            <w:r w:rsidRPr="00C96594">
              <w:rPr>
                <w:iCs/>
              </w:rPr>
              <w:t>3</w:t>
            </w:r>
          </w:p>
        </w:tc>
        <w:tc>
          <w:tcPr>
            <w:tcW w:w="1680" w:type="dxa"/>
            <w:tcBorders>
              <w:top w:val="nil"/>
            </w:tcBorders>
          </w:tcPr>
          <w:p w:rsidR="00F420BC" w:rsidRPr="00C96594" w:rsidRDefault="00F420BC" w:rsidP="00F420BC">
            <w:pPr>
              <w:pStyle w:val="Tabletext"/>
              <w:rPr>
                <w:iCs/>
              </w:rPr>
            </w:pPr>
            <w:r w:rsidRPr="00C96594">
              <w:rPr>
                <w:iCs/>
              </w:rPr>
              <w:t>$7,289.46 (published)</w:t>
            </w:r>
          </w:p>
          <w:p w:rsidR="00F420BC" w:rsidRPr="00C96594" w:rsidRDefault="00F420BC" w:rsidP="00F420BC">
            <w:pPr>
              <w:pStyle w:val="Tabletext"/>
              <w:rPr>
                <w:iCs/>
                <w:vertAlign w:val="superscript"/>
              </w:rPr>
            </w:pPr>
            <w:r w:rsidRPr="00C96594">
              <w:rPr>
                <w:iCs/>
              </w:rPr>
              <w:t>$</w:t>
            </w:r>
            <w:r w:rsidR="00B04959">
              <w:rPr>
                <w:iCs/>
                <w:noProof/>
                <w:color w:val="000000"/>
                <w:highlight w:val="black"/>
              </w:rPr>
              <w:t>'''''''''''''''''''''</w:t>
            </w:r>
          </w:p>
          <w:p w:rsidR="00F420BC" w:rsidRPr="00C96594" w:rsidRDefault="00F420BC" w:rsidP="00F420BC">
            <w:pPr>
              <w:pStyle w:val="Tabletext"/>
              <w:rPr>
                <w:iCs/>
                <w:highlight w:val="yellow"/>
              </w:rPr>
            </w:pPr>
            <w:r w:rsidRPr="00C96594">
              <w:rPr>
                <w:iCs/>
              </w:rPr>
              <w:t>(effective)</w:t>
            </w:r>
          </w:p>
        </w:tc>
        <w:tc>
          <w:tcPr>
            <w:tcW w:w="1764" w:type="dxa"/>
            <w:tcBorders>
              <w:top w:val="nil"/>
            </w:tcBorders>
          </w:tcPr>
          <w:p w:rsidR="00F420BC" w:rsidRPr="00C96594" w:rsidRDefault="00F420BC" w:rsidP="00F420BC">
            <w:pPr>
              <w:pStyle w:val="Tabletext"/>
              <w:jc w:val="center"/>
              <w:rPr>
                <w:iCs/>
                <w:highlight w:val="yellow"/>
              </w:rPr>
            </w:pPr>
          </w:p>
        </w:tc>
      </w:tr>
    </w:tbl>
    <w:p w:rsidR="00F420BC" w:rsidRPr="00C96594" w:rsidRDefault="00F420BC" w:rsidP="00F420BC"/>
    <w:tbl>
      <w:tblPr>
        <w:tblStyle w:val="TableGrid"/>
        <w:tblW w:w="0" w:type="auto"/>
        <w:tblLook w:val="04A0" w:firstRow="1" w:lastRow="0" w:firstColumn="1" w:lastColumn="0" w:noHBand="0" w:noVBand="1"/>
      </w:tblPr>
      <w:tblGrid>
        <w:gridCol w:w="2830"/>
        <w:gridCol w:w="6187"/>
      </w:tblGrid>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Category / Program:</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GENERAL – General Schedule (Code GE)</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Prescriber type:</w:t>
            </w:r>
          </w:p>
          <w:p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Dental  </w:t>
            </w:r>
            <w:r w:rsidRPr="00C96594">
              <w:rPr>
                <w:rFonts w:ascii="Arial Narrow" w:hAnsi="Arial Narrow"/>
                <w:sz w:val="20"/>
                <w:szCs w:val="20"/>
              </w:rPr>
              <w:fldChar w:fldCharType="begin">
                <w:ffData>
                  <w:name w:val=""/>
                  <w:enabled/>
                  <w:calcOnExit w:val="0"/>
                  <w:checkBox>
                    <w:sizeAuto/>
                    <w:default w:val="1"/>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Medical Practitioners  </w:t>
            </w:r>
            <w:r w:rsidRPr="00C96594">
              <w:rPr>
                <w:rFonts w:ascii="Arial Narrow" w:hAnsi="Arial Narrow"/>
                <w:sz w:val="20"/>
                <w:szCs w:val="20"/>
              </w:rPr>
              <w:fldChar w:fldCharType="begin">
                <w:ffData>
                  <w:name w:val="Check3"/>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Nurse practitioners  </w:t>
            </w: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Optometrists</w:t>
            </w:r>
          </w:p>
          <w:p w:rsidR="00F420BC" w:rsidRPr="00C96594" w:rsidRDefault="00F420BC" w:rsidP="00F420BC">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Midwives</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Severity:</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Stage IIIB (locally advanced) or Stage IV (metastatic)</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Condition:</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Non-small cell lung cancer (NSCLC)</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PBS Indication:</w:t>
            </w:r>
          </w:p>
          <w:p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Stage IIIB (locally advanced) or Stage IV (metastatic) non-small cell lung cancer (NSCLC)</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Treatment phase:</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Initial treatment</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Restriction Level / Method:</w:t>
            </w:r>
          </w:p>
          <w:p w:rsidR="00F420BC" w:rsidRPr="00C96594" w:rsidRDefault="00F420BC" w:rsidP="00F420BC">
            <w:pPr>
              <w:rPr>
                <w:rFonts w:ascii="Arial Narrow" w:hAnsi="Arial Narrow"/>
                <w:i/>
                <w:sz w:val="20"/>
                <w:szCs w:val="20"/>
              </w:rPr>
            </w:pPr>
          </w:p>
          <w:p w:rsidR="00F420BC" w:rsidRPr="00C96594" w:rsidRDefault="00F420BC" w:rsidP="00F420BC">
            <w:pPr>
              <w:rPr>
                <w:rFonts w:ascii="Arial Narrow" w:hAnsi="Arial Narrow"/>
                <w:i/>
                <w:sz w:val="20"/>
                <w:szCs w:val="20"/>
              </w:rPr>
            </w:pPr>
          </w:p>
          <w:p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Restricted benefit</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In Writing</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3"/>
                  <w:enabled/>
                  <w:calcOnExit w:val="0"/>
                  <w:checkBox>
                    <w:sizeAuto/>
                    <w:default w:val="1"/>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Telephone/Electronic</w:t>
            </w:r>
          </w:p>
          <w:p w:rsidR="00F420BC" w:rsidRPr="00C96594" w:rsidRDefault="00F420BC" w:rsidP="00F420BC">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Streamlined</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Clinical criteria:</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 xml:space="preserve">The treatment must be as monotherapy, </w:t>
            </w:r>
          </w:p>
          <w:p w:rsidR="00F420BC" w:rsidRPr="00C96594" w:rsidRDefault="00F420BC" w:rsidP="00F420BC">
            <w:pPr>
              <w:rPr>
                <w:rFonts w:ascii="Arial Narrow" w:hAnsi="Arial Narrow"/>
                <w:sz w:val="20"/>
                <w:szCs w:val="20"/>
              </w:rPr>
            </w:pPr>
            <w:r w:rsidRPr="00C96594">
              <w:rPr>
                <w:rFonts w:ascii="Arial Narrow" w:hAnsi="Arial Narrow"/>
                <w:sz w:val="20"/>
                <w:szCs w:val="20"/>
              </w:rPr>
              <w:t>AND</w:t>
            </w:r>
          </w:p>
          <w:p w:rsidR="00F420BC" w:rsidRPr="00C96594" w:rsidRDefault="00F420BC" w:rsidP="00F420BC">
            <w:pPr>
              <w:rPr>
                <w:rFonts w:ascii="Arial Narrow" w:hAnsi="Arial Narrow"/>
                <w:sz w:val="20"/>
                <w:szCs w:val="20"/>
              </w:rPr>
            </w:pPr>
            <w:r w:rsidRPr="00C96594">
              <w:rPr>
                <w:rFonts w:ascii="Arial Narrow" w:hAnsi="Arial Narrow"/>
                <w:sz w:val="20"/>
                <w:szCs w:val="20"/>
              </w:rPr>
              <w:t xml:space="preserve">The condition must be non-squamous type non-small cell lung cancer (NSCLC) or not otherwise specified type NSCLC, </w:t>
            </w:r>
          </w:p>
          <w:p w:rsidR="00F420BC" w:rsidRPr="00C96594" w:rsidRDefault="00F420BC" w:rsidP="00F420BC">
            <w:pPr>
              <w:rPr>
                <w:rFonts w:ascii="Arial Narrow" w:hAnsi="Arial Narrow"/>
                <w:sz w:val="20"/>
                <w:szCs w:val="20"/>
              </w:rPr>
            </w:pPr>
            <w:r w:rsidRPr="00C96594">
              <w:rPr>
                <w:rFonts w:ascii="Arial Narrow" w:hAnsi="Arial Narrow"/>
                <w:sz w:val="20"/>
                <w:szCs w:val="20"/>
              </w:rPr>
              <w:t>AND</w:t>
            </w:r>
          </w:p>
          <w:p w:rsidR="00F420BC" w:rsidRPr="00C96594" w:rsidRDefault="00F420BC" w:rsidP="00F420BC">
            <w:pPr>
              <w:rPr>
                <w:rFonts w:ascii="Arial Narrow" w:hAnsi="Arial Narrow"/>
                <w:sz w:val="20"/>
                <w:szCs w:val="20"/>
              </w:rPr>
            </w:pPr>
            <w:r w:rsidRPr="00C96594">
              <w:rPr>
                <w:rFonts w:ascii="Arial Narrow" w:hAnsi="Arial Narrow"/>
                <w:sz w:val="20"/>
                <w:szCs w:val="20"/>
              </w:rPr>
              <w:t>Patient must have a WHO performance s</w:t>
            </w:r>
            <w:r w:rsidR="00257512" w:rsidRPr="00C96594">
              <w:rPr>
                <w:rFonts w:ascii="Arial Narrow" w:hAnsi="Arial Narrow"/>
                <w:sz w:val="20"/>
                <w:szCs w:val="20"/>
              </w:rPr>
              <w:t>tatus of 2 or less.</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b/>
                <w:sz w:val="20"/>
                <w:szCs w:val="20"/>
              </w:rPr>
              <w:t>Population criteria:</w:t>
            </w:r>
          </w:p>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r w:rsidRPr="00C96594">
              <w:rPr>
                <w:rFonts w:ascii="Arial Narrow" w:hAnsi="Arial Narrow"/>
                <w:sz w:val="20"/>
                <w:szCs w:val="20"/>
              </w:rPr>
              <w:t>Patient must have evidence of an anaplastic lymphoma kinase (ALK) gene rearrangement in tumour material, defined as 15% (or greater) positive cells by fluorescence in situ hybridisation (FISH) testing</w:t>
            </w:r>
          </w:p>
        </w:tc>
      </w:tr>
      <w:tr w:rsidR="00F420BC" w:rsidRPr="00C96594" w:rsidTr="007366D0">
        <w:tc>
          <w:tcPr>
            <w:tcW w:w="2830"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Administrative Advice:</w:t>
            </w:r>
          </w:p>
          <w:p w:rsidR="00F420BC" w:rsidRPr="00C96594" w:rsidRDefault="00F420BC" w:rsidP="00F420BC"/>
        </w:tc>
        <w:tc>
          <w:tcPr>
            <w:tcW w:w="6187"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No increase in the maximum quantity or number of units may be authorised.</w:t>
            </w:r>
          </w:p>
          <w:p w:rsidR="00F420BC" w:rsidRPr="00C96594" w:rsidRDefault="00F420BC" w:rsidP="00F420BC">
            <w:pPr>
              <w:rPr>
                <w:rFonts w:ascii="Arial Narrow" w:hAnsi="Arial Narrow"/>
                <w:sz w:val="20"/>
                <w:szCs w:val="20"/>
              </w:rPr>
            </w:pPr>
            <w:r w:rsidRPr="00C96594">
              <w:rPr>
                <w:rFonts w:ascii="Arial Narrow" w:hAnsi="Arial Narrow"/>
                <w:sz w:val="20"/>
                <w:szCs w:val="20"/>
              </w:rPr>
              <w:t xml:space="preserve">No increase in the maximum number of repeats may be authorised. </w:t>
            </w:r>
          </w:p>
          <w:p w:rsidR="00F420BC" w:rsidRPr="00C96594" w:rsidRDefault="00F420BC" w:rsidP="00F420BC">
            <w:r w:rsidRPr="00C96594">
              <w:rPr>
                <w:rFonts w:ascii="Arial Narrow" w:hAnsi="Arial Narrow"/>
                <w:sz w:val="20"/>
                <w:szCs w:val="20"/>
              </w:rPr>
              <w:t xml:space="preserve">Special Pricing Arrangements apply. </w:t>
            </w:r>
          </w:p>
        </w:tc>
      </w:tr>
    </w:tbl>
    <w:p w:rsidR="00F420BC" w:rsidRPr="00C96594" w:rsidRDefault="00F420BC" w:rsidP="00F420BC"/>
    <w:tbl>
      <w:tblPr>
        <w:tblW w:w="5000" w:type="pct"/>
        <w:tblLayout w:type="fixed"/>
        <w:tblLook w:val="0000" w:firstRow="0" w:lastRow="0" w:firstColumn="0" w:lastColumn="0" w:noHBand="0" w:noVBand="0"/>
      </w:tblPr>
      <w:tblGrid>
        <w:gridCol w:w="2820"/>
        <w:gridCol w:w="6197"/>
      </w:tblGrid>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Category / Program:</w:t>
            </w: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GENERAL – General Schedule (Code GE)</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Prescriber type:</w:t>
            </w:r>
          </w:p>
          <w:p w:rsidR="00F420BC" w:rsidRPr="00C96594" w:rsidRDefault="00F420BC" w:rsidP="00F420BC">
            <w:pPr>
              <w:rPr>
                <w:rFonts w:ascii="Arial Narrow" w:hAnsi="Arial Narrow"/>
                <w:b/>
                <w:sz w:val="20"/>
                <w:szCs w:val="20"/>
              </w:rPr>
            </w:pP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Dental  </w:t>
            </w:r>
            <w:r w:rsidRPr="00C96594">
              <w:rPr>
                <w:rFonts w:ascii="Arial Narrow" w:hAnsi="Arial Narrow"/>
                <w:sz w:val="20"/>
                <w:szCs w:val="20"/>
              </w:rPr>
              <w:fldChar w:fldCharType="begin">
                <w:ffData>
                  <w:name w:val=""/>
                  <w:enabled/>
                  <w:calcOnExit w:val="0"/>
                  <w:checkBox>
                    <w:sizeAuto/>
                    <w:default w:val="1"/>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Medical Practitioners  </w:t>
            </w:r>
            <w:r w:rsidRPr="00C96594">
              <w:rPr>
                <w:rFonts w:ascii="Arial Narrow" w:hAnsi="Arial Narrow"/>
                <w:sz w:val="20"/>
                <w:szCs w:val="20"/>
              </w:rPr>
              <w:fldChar w:fldCharType="begin">
                <w:ffData>
                  <w:name w:val="Check3"/>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 xml:space="preserve">Nurse practitioners  </w:t>
            </w: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Optometrists</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Midwives</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Severity:</w:t>
            </w: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Stage IIIB (locally advanced) or Stage IV (metastatic)</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Condition:</w:t>
            </w: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Non-small cell lung cancer (NSCLC)</w:t>
            </w:r>
          </w:p>
        </w:tc>
      </w:tr>
      <w:tr w:rsidR="00F420BC" w:rsidRPr="00C96594" w:rsidTr="0085686D">
        <w:trPr>
          <w:trHeight w:val="369"/>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PBS Indication:</w:t>
            </w:r>
          </w:p>
          <w:p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Stage IIIB (locally advanced) or Stage IV (metastatic) non-small cell lung cancer (NSCLC)</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Treatment phase:</w:t>
            </w: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Continuing treatment</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Restriction Level / Method:</w:t>
            </w:r>
          </w:p>
          <w:p w:rsidR="00F420BC" w:rsidRPr="00C96594" w:rsidRDefault="00F420BC" w:rsidP="00F420BC">
            <w:pPr>
              <w:rPr>
                <w:rFonts w:ascii="Arial Narrow" w:hAnsi="Arial Narrow"/>
                <w:i/>
                <w:sz w:val="20"/>
                <w:szCs w:val="20"/>
              </w:rPr>
            </w:pPr>
          </w:p>
          <w:p w:rsidR="00F420BC" w:rsidRPr="00C96594" w:rsidRDefault="00F420BC" w:rsidP="00F420BC">
            <w:pPr>
              <w:rPr>
                <w:rFonts w:ascii="Arial Narrow" w:hAnsi="Arial Narrow"/>
                <w:i/>
                <w:sz w:val="20"/>
                <w:szCs w:val="20"/>
              </w:rPr>
            </w:pPr>
          </w:p>
          <w:p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1"/>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Restricted benefit</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In Writing</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3"/>
                  <w:enabled/>
                  <w:calcOnExit w:val="0"/>
                  <w:checkBox>
                    <w:sizeAuto/>
                    <w:default w:val="1"/>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Authority Required – Telephone/Electronic</w:t>
            </w:r>
          </w:p>
          <w:p w:rsidR="00F420BC" w:rsidRPr="00C96594" w:rsidRDefault="00F420BC" w:rsidP="00F420BC">
            <w:pPr>
              <w:rPr>
                <w:rFonts w:ascii="Arial Narrow" w:hAnsi="Arial Narrow"/>
                <w:sz w:val="20"/>
                <w:szCs w:val="20"/>
              </w:rPr>
            </w:pPr>
            <w:r w:rsidRPr="00C96594">
              <w:rPr>
                <w:rFonts w:ascii="Arial Narrow" w:hAnsi="Arial Narrow"/>
                <w:sz w:val="20"/>
                <w:szCs w:val="20"/>
              </w:rPr>
              <w:fldChar w:fldCharType="begin">
                <w:ffData>
                  <w:name w:val="Check5"/>
                  <w:enabled/>
                  <w:calcOnExit w:val="0"/>
                  <w:checkBox>
                    <w:sizeAuto/>
                    <w:default w:val="0"/>
                  </w:checkBox>
                </w:ffData>
              </w:fldChar>
            </w:r>
            <w:r w:rsidRPr="00C96594">
              <w:rPr>
                <w:rFonts w:ascii="Arial Narrow" w:hAnsi="Arial Narrow"/>
                <w:sz w:val="20"/>
                <w:szCs w:val="20"/>
              </w:rPr>
              <w:instrText xml:space="preserve"> FORMCHECKBOX </w:instrText>
            </w:r>
            <w:r w:rsidR="00B75782">
              <w:rPr>
                <w:rFonts w:ascii="Arial Narrow" w:hAnsi="Arial Narrow"/>
                <w:sz w:val="20"/>
                <w:szCs w:val="20"/>
              </w:rPr>
            </w:r>
            <w:r w:rsidR="00B75782">
              <w:rPr>
                <w:rFonts w:ascii="Arial Narrow" w:hAnsi="Arial Narrow"/>
                <w:sz w:val="20"/>
                <w:szCs w:val="20"/>
              </w:rPr>
              <w:fldChar w:fldCharType="separate"/>
            </w:r>
            <w:r w:rsidRPr="00C96594">
              <w:rPr>
                <w:rFonts w:ascii="Arial Narrow" w:hAnsi="Arial Narrow"/>
                <w:sz w:val="20"/>
                <w:szCs w:val="20"/>
              </w:rPr>
              <w:fldChar w:fldCharType="end"/>
            </w:r>
            <w:r w:rsidRPr="00C96594">
              <w:rPr>
                <w:rFonts w:ascii="Arial Narrow" w:hAnsi="Arial Narrow"/>
                <w:sz w:val="20"/>
                <w:szCs w:val="20"/>
              </w:rPr>
              <w:t>Streamlined</w:t>
            </w:r>
          </w:p>
        </w:tc>
      </w:tr>
      <w:tr w:rsidR="00F420BC" w:rsidRPr="00C96594" w:rsidTr="0085686D">
        <w:trPr>
          <w:trHeight w:val="1267"/>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Clinical criteria:</w:t>
            </w: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The treatment must be as monotherapy</w:t>
            </w:r>
          </w:p>
          <w:p w:rsidR="00F420BC" w:rsidRPr="00C96594" w:rsidRDefault="00F420BC" w:rsidP="00F420BC">
            <w:pPr>
              <w:rPr>
                <w:rFonts w:ascii="Arial Narrow" w:hAnsi="Arial Narrow"/>
                <w:sz w:val="20"/>
                <w:szCs w:val="20"/>
              </w:rPr>
            </w:pPr>
            <w:r w:rsidRPr="00C96594">
              <w:rPr>
                <w:rFonts w:ascii="Arial Narrow" w:hAnsi="Arial Narrow"/>
                <w:sz w:val="20"/>
                <w:szCs w:val="20"/>
              </w:rPr>
              <w:t>AND</w:t>
            </w:r>
          </w:p>
          <w:p w:rsidR="00F420BC" w:rsidRPr="00C96594" w:rsidRDefault="00F420BC" w:rsidP="00F420BC">
            <w:pPr>
              <w:rPr>
                <w:rFonts w:ascii="Arial Narrow" w:hAnsi="Arial Narrow"/>
                <w:sz w:val="20"/>
                <w:szCs w:val="20"/>
              </w:rPr>
            </w:pPr>
            <w:r w:rsidRPr="00C96594">
              <w:rPr>
                <w:rFonts w:ascii="Arial Narrow" w:hAnsi="Arial Narrow"/>
                <w:sz w:val="20"/>
                <w:szCs w:val="20"/>
              </w:rPr>
              <w:t>Patient must have previously received PBS-subsidised treatment with this drug for this condition</w:t>
            </w:r>
          </w:p>
          <w:p w:rsidR="00F420BC" w:rsidRPr="00C96594" w:rsidRDefault="00F420BC" w:rsidP="00F420BC">
            <w:pPr>
              <w:rPr>
                <w:rFonts w:ascii="Arial Narrow" w:hAnsi="Arial Narrow"/>
                <w:sz w:val="20"/>
                <w:szCs w:val="20"/>
              </w:rPr>
            </w:pPr>
            <w:r w:rsidRPr="00C96594">
              <w:rPr>
                <w:rFonts w:ascii="Arial Narrow" w:hAnsi="Arial Narrow"/>
                <w:sz w:val="20"/>
                <w:szCs w:val="20"/>
              </w:rPr>
              <w:t>AND</w:t>
            </w:r>
          </w:p>
          <w:p w:rsidR="00F420BC" w:rsidRPr="00C96594" w:rsidRDefault="00F420BC" w:rsidP="00F420BC">
            <w:pPr>
              <w:rPr>
                <w:rFonts w:ascii="Arial Narrow" w:hAnsi="Arial Narrow"/>
                <w:sz w:val="20"/>
                <w:szCs w:val="20"/>
              </w:rPr>
            </w:pPr>
            <w:r w:rsidRPr="00C96594">
              <w:rPr>
                <w:rFonts w:ascii="Arial Narrow" w:hAnsi="Arial Narrow"/>
                <w:sz w:val="20"/>
                <w:szCs w:val="20"/>
              </w:rPr>
              <w:t>Patient must not develop disease progression while receiving PBS-subsidised treatment with this drug for this condition.</w:t>
            </w:r>
          </w:p>
        </w:tc>
      </w:tr>
      <w:tr w:rsidR="00F420BC" w:rsidRPr="00C96594" w:rsidTr="0085686D">
        <w:trPr>
          <w:trHeight w:val="360"/>
        </w:trPr>
        <w:tc>
          <w:tcPr>
            <w:tcW w:w="2835"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b/>
                <w:sz w:val="20"/>
                <w:szCs w:val="20"/>
              </w:rPr>
            </w:pPr>
            <w:r w:rsidRPr="00C96594">
              <w:rPr>
                <w:rFonts w:ascii="Arial Narrow" w:hAnsi="Arial Narrow"/>
                <w:b/>
                <w:sz w:val="20"/>
                <w:szCs w:val="20"/>
              </w:rPr>
              <w:t>Administrative Advice:</w:t>
            </w:r>
          </w:p>
          <w:p w:rsidR="00F420BC" w:rsidRPr="00C96594" w:rsidRDefault="00F420BC" w:rsidP="00F420BC">
            <w:pPr>
              <w:rPr>
                <w:rFonts w:ascii="Arial Narrow" w:hAnsi="Arial Narrow"/>
                <w:i/>
                <w:sz w:val="20"/>
                <w:szCs w:val="20"/>
              </w:rPr>
            </w:pPr>
          </w:p>
        </w:tc>
        <w:tc>
          <w:tcPr>
            <w:tcW w:w="6232" w:type="dxa"/>
            <w:tcBorders>
              <w:top w:val="single" w:sz="4" w:space="0" w:color="auto"/>
              <w:left w:val="single" w:sz="4" w:space="0" w:color="auto"/>
              <w:bottom w:val="single" w:sz="4" w:space="0" w:color="auto"/>
              <w:right w:val="single" w:sz="4" w:space="0" w:color="auto"/>
            </w:tcBorders>
          </w:tcPr>
          <w:p w:rsidR="00F420BC" w:rsidRPr="00C96594" w:rsidRDefault="00F420BC" w:rsidP="00F420BC">
            <w:pPr>
              <w:rPr>
                <w:rFonts w:ascii="Arial Narrow" w:hAnsi="Arial Narrow"/>
                <w:sz w:val="20"/>
                <w:szCs w:val="20"/>
              </w:rPr>
            </w:pPr>
            <w:r w:rsidRPr="00C96594">
              <w:rPr>
                <w:rFonts w:ascii="Arial Narrow" w:hAnsi="Arial Narrow"/>
                <w:sz w:val="20"/>
                <w:szCs w:val="20"/>
              </w:rPr>
              <w:t>No increase in the maximum quantity or number of units may be authorised.</w:t>
            </w:r>
          </w:p>
          <w:p w:rsidR="00F420BC" w:rsidRPr="00C96594" w:rsidRDefault="00F420BC" w:rsidP="00F420BC">
            <w:pPr>
              <w:rPr>
                <w:rFonts w:ascii="Arial Narrow" w:hAnsi="Arial Narrow"/>
                <w:sz w:val="20"/>
                <w:szCs w:val="20"/>
              </w:rPr>
            </w:pPr>
            <w:r w:rsidRPr="00C96594">
              <w:rPr>
                <w:rFonts w:ascii="Arial Narrow" w:hAnsi="Arial Narrow"/>
                <w:sz w:val="20"/>
                <w:szCs w:val="20"/>
              </w:rPr>
              <w:t xml:space="preserve">No increase in the maximum number of repeats may be authorised. </w:t>
            </w:r>
          </w:p>
          <w:p w:rsidR="00F420BC" w:rsidRPr="00C96594" w:rsidRDefault="00F420BC" w:rsidP="00F420BC">
            <w:pPr>
              <w:rPr>
                <w:rFonts w:ascii="Arial Narrow" w:hAnsi="Arial Narrow"/>
                <w:sz w:val="20"/>
                <w:szCs w:val="20"/>
              </w:rPr>
            </w:pPr>
            <w:r w:rsidRPr="00C96594">
              <w:rPr>
                <w:rFonts w:ascii="Arial Narrow" w:hAnsi="Arial Narrow"/>
                <w:sz w:val="20"/>
                <w:szCs w:val="20"/>
              </w:rPr>
              <w:t xml:space="preserve">Special Pricing Arrangements apply. </w:t>
            </w:r>
          </w:p>
        </w:tc>
      </w:tr>
    </w:tbl>
    <w:p w:rsidR="00F420BC" w:rsidRPr="00C96594" w:rsidRDefault="00F420BC" w:rsidP="00F420BC"/>
    <w:p w:rsidR="00F420BC" w:rsidRPr="00C96594" w:rsidRDefault="00F420BC" w:rsidP="00F420BC">
      <w:pPr>
        <w:pStyle w:val="3-BodyText"/>
      </w:pPr>
      <w:r w:rsidRPr="00C96594">
        <w:t xml:space="preserve">The submission proposed a special pricing arrangement (SPA). </w:t>
      </w:r>
      <w:r w:rsidR="008540E7" w:rsidRPr="00C96594">
        <w:t xml:space="preserve">The proposed </w:t>
      </w:r>
      <w:r w:rsidR="007366D0" w:rsidRPr="00C96594">
        <w:t xml:space="preserve">published and </w:t>
      </w:r>
      <w:r w:rsidR="008540E7" w:rsidRPr="00C96594">
        <w:t xml:space="preserve">effective </w:t>
      </w:r>
      <w:r w:rsidR="008E6971" w:rsidRPr="00C96594">
        <w:t>dispensed price for maximum quantity (</w:t>
      </w:r>
      <w:r w:rsidR="007366D0" w:rsidRPr="00C96594">
        <w:t>DPMQ</w:t>
      </w:r>
      <w:r w:rsidR="008E6971" w:rsidRPr="00C96594">
        <w:t>)</w:t>
      </w:r>
      <w:r w:rsidR="008540E7" w:rsidRPr="00C96594">
        <w:t xml:space="preserve"> for the requested restriction is the same as that for the current listing of lorlatinib in the refractory setting.</w:t>
      </w:r>
    </w:p>
    <w:p w:rsidR="001D60B8" w:rsidRPr="00C96594" w:rsidRDefault="00F420BC" w:rsidP="001D60B8">
      <w:pPr>
        <w:pStyle w:val="3-BodyText"/>
      </w:pPr>
      <w:r w:rsidRPr="00C96594">
        <w:rPr>
          <w:rFonts w:cstheme="minorHAnsi"/>
        </w:rPr>
        <w:t>The submission requested a</w:t>
      </w:r>
      <w:r w:rsidR="00C72BBF" w:rsidRPr="00C96594">
        <w:rPr>
          <w:rFonts w:cstheme="minorHAnsi"/>
        </w:rPr>
        <w:t xml:space="preserve"> line agnostic </w:t>
      </w:r>
      <w:r w:rsidRPr="00C96594">
        <w:rPr>
          <w:rFonts w:cstheme="minorHAnsi"/>
        </w:rPr>
        <w:t xml:space="preserve">PBS listing </w:t>
      </w:r>
      <w:r w:rsidR="00C72BBF" w:rsidRPr="00C96594">
        <w:rPr>
          <w:rFonts w:cstheme="minorHAnsi"/>
        </w:rPr>
        <w:t xml:space="preserve">for </w:t>
      </w:r>
      <w:r w:rsidRPr="00C96594">
        <w:rPr>
          <w:rFonts w:cstheme="minorHAnsi"/>
        </w:rPr>
        <w:t>lorlatinib</w:t>
      </w:r>
      <w:r w:rsidR="00C72BBF" w:rsidRPr="00C96594">
        <w:rPr>
          <w:rFonts w:cstheme="minorHAnsi"/>
        </w:rPr>
        <w:t xml:space="preserve"> consistent with current listings for other ALK TKIs such as alectinib, brigatinib</w:t>
      </w:r>
      <w:r w:rsidRPr="00C96594">
        <w:rPr>
          <w:rFonts w:cstheme="minorHAnsi"/>
        </w:rPr>
        <w:t xml:space="preserve">, </w:t>
      </w:r>
      <w:r w:rsidR="00C72BBF" w:rsidRPr="00C96594">
        <w:rPr>
          <w:rFonts w:cstheme="minorHAnsi"/>
        </w:rPr>
        <w:t>and ceritinib.</w:t>
      </w:r>
      <w:r w:rsidRPr="00C96594">
        <w:rPr>
          <w:rFonts w:cstheme="minorHAnsi"/>
        </w:rPr>
        <w:t xml:space="preserve"> </w:t>
      </w:r>
      <w:r w:rsidR="00C72BBF" w:rsidRPr="00C96594">
        <w:rPr>
          <w:rFonts w:cstheme="minorHAnsi"/>
        </w:rPr>
        <w:t xml:space="preserve">The proposed listing </w:t>
      </w:r>
      <w:r w:rsidRPr="00C96594">
        <w:rPr>
          <w:rFonts w:cstheme="minorHAnsi"/>
        </w:rPr>
        <w:t xml:space="preserve">allows lorlatinib to be used as either a first- or later-line </w:t>
      </w:r>
      <w:r w:rsidR="00C72BBF" w:rsidRPr="00C96594">
        <w:rPr>
          <w:rFonts w:cstheme="minorHAnsi"/>
        </w:rPr>
        <w:t>therapy in advanced ALK positive NSCLC</w:t>
      </w:r>
      <w:r w:rsidRPr="00C96594">
        <w:rPr>
          <w:rFonts w:cstheme="minorHAnsi"/>
        </w:rPr>
        <w:t>.</w:t>
      </w:r>
    </w:p>
    <w:p w:rsidR="00C57C67" w:rsidRPr="00C96594" w:rsidRDefault="00C57C67" w:rsidP="00C57C67">
      <w:pPr>
        <w:pStyle w:val="2-SectionHeading"/>
        <w:numPr>
          <w:ilvl w:val="0"/>
          <w:numId w:val="1"/>
        </w:numPr>
      </w:pPr>
      <w:bookmarkStart w:id="8" w:name="_Toc72307080"/>
      <w:r w:rsidRPr="00C96594">
        <w:t>Population and disease</w:t>
      </w:r>
      <w:bookmarkEnd w:id="8"/>
    </w:p>
    <w:p w:rsidR="00C57C67" w:rsidRPr="00C96594" w:rsidRDefault="00C57C67" w:rsidP="00C57C67">
      <w:pPr>
        <w:pStyle w:val="3-BodyText"/>
      </w:pPr>
      <w:r w:rsidRPr="00C96594">
        <w:t>NSCLC accounts for around 80%-90% of all lung cancers with 3-5% of these cases being associated with ALK gene rearrangements. About 70% of NSCLC patients have advanced (Stage IIIB/IV) disease at diagnosis. Patients with ALK-positive NSCLC typically present with more metastatic sites than those with other disease subtypes. Central nervous system (CNS) involvement in ALK-positive NSCLC is common, with 20%-40% of patients having brain metastases at diagnosis (NCI, 2019).</w:t>
      </w:r>
    </w:p>
    <w:p w:rsidR="00C57C67" w:rsidRPr="00C96594" w:rsidRDefault="00C57C67" w:rsidP="008E3DC5">
      <w:pPr>
        <w:pStyle w:val="3-BodyText"/>
      </w:pPr>
      <w:r w:rsidRPr="00C96594">
        <w:t xml:space="preserve">Lorlatinib is a third generation, selective adenosine triphosphate (ATP)-competitive, brain-penetrant small-molecule inhibitor of ALK and ROS1 </w:t>
      </w:r>
      <w:r w:rsidR="00733A36" w:rsidRPr="00C96594">
        <w:t>TKI</w:t>
      </w:r>
      <w:r w:rsidRPr="00C96594">
        <w:t xml:space="preserve">. </w:t>
      </w:r>
    </w:p>
    <w:p w:rsidR="00C57C67" w:rsidRPr="00C96594" w:rsidRDefault="00C57C67" w:rsidP="00C57C67">
      <w:pPr>
        <w:pStyle w:val="2-SectionHeading"/>
        <w:numPr>
          <w:ilvl w:val="0"/>
          <w:numId w:val="1"/>
        </w:numPr>
      </w:pPr>
      <w:bookmarkStart w:id="9" w:name="_Toc72307081"/>
      <w:r w:rsidRPr="00C96594">
        <w:t>Comparator</w:t>
      </w:r>
      <w:bookmarkEnd w:id="9"/>
    </w:p>
    <w:p w:rsidR="00C57C67" w:rsidRPr="00C96594" w:rsidRDefault="00C57C67" w:rsidP="00C57C67">
      <w:pPr>
        <w:pStyle w:val="3-BodyText"/>
        <w:rPr>
          <w:snapToGrid/>
        </w:rPr>
      </w:pPr>
      <w:r w:rsidRPr="00C96594">
        <w:t xml:space="preserve">The submission nominated alectinib as the main comparator and brigatinib as a supplementary comparator. The main argument provided in support of this nomination was that alectinib is the treatment that is most likely to be substituted for the proposed extension to the lorlatinib PBS listing. Brigatinib, is expected to be substituted to a much lesser extent over time given its limited share of prescribing for this population. </w:t>
      </w:r>
    </w:p>
    <w:p w:rsidR="00B50DB8" w:rsidRPr="00C96594" w:rsidRDefault="002C23D6" w:rsidP="00C57C67">
      <w:pPr>
        <w:pStyle w:val="3-BodyText"/>
        <w:rPr>
          <w:snapToGrid/>
        </w:rPr>
      </w:pPr>
      <w:r w:rsidRPr="00C96594">
        <w:t xml:space="preserve">The </w:t>
      </w:r>
      <w:r w:rsidR="00C57C67" w:rsidRPr="00C96594">
        <w:t xml:space="preserve">nominated comparators </w:t>
      </w:r>
      <w:r w:rsidR="00F4222F" w:rsidRPr="00C96594">
        <w:t xml:space="preserve">were </w:t>
      </w:r>
      <w:r w:rsidRPr="00C96594">
        <w:t>reasonable.</w:t>
      </w:r>
      <w:r w:rsidR="00C57C67" w:rsidRPr="00C96594">
        <w:t xml:space="preserve"> </w:t>
      </w:r>
      <w:r w:rsidRPr="00C96594">
        <w:t xml:space="preserve">The proposed line agnostic listing of lorlatinib will allow its use in the first line setting </w:t>
      </w:r>
      <w:r w:rsidR="00483236" w:rsidRPr="00C96594">
        <w:t xml:space="preserve">which will displace </w:t>
      </w:r>
      <w:r w:rsidRPr="00C96594">
        <w:t>alectinib/brigatinib to subsequent treatment lines</w:t>
      </w:r>
      <w:r w:rsidR="00A2510E" w:rsidRPr="00C96594">
        <w:t xml:space="preserve">. </w:t>
      </w:r>
      <w:r w:rsidRPr="00C96594">
        <w:t xml:space="preserve">The treatment sequence in current Australian clinical practice is essentially </w:t>
      </w:r>
      <w:r w:rsidR="00A2510E" w:rsidRPr="00C96594">
        <w:t xml:space="preserve">first line </w:t>
      </w:r>
      <w:r w:rsidRPr="00C96594">
        <w:t>alectinib (to a smaller extent brigatinib) followed by lorlatinib</w:t>
      </w:r>
      <w:r w:rsidR="00A2510E" w:rsidRPr="00C96594">
        <w:t xml:space="preserve"> upon progression</w:t>
      </w:r>
      <w:r w:rsidRPr="00C96594">
        <w:t xml:space="preserve">. </w:t>
      </w:r>
      <w:r w:rsidR="00F4222F" w:rsidRPr="00C96594">
        <w:t xml:space="preserve">The ESC noted the </w:t>
      </w:r>
      <w:r w:rsidR="002114EC" w:rsidRPr="00C96594">
        <w:t xml:space="preserve">clinical </w:t>
      </w:r>
      <w:r w:rsidR="003D4A5E" w:rsidRPr="00C96594">
        <w:t xml:space="preserve">benefit of using </w:t>
      </w:r>
      <w:r w:rsidR="00F4222F" w:rsidRPr="00C96594">
        <w:t xml:space="preserve">a second-generation ALK TKI </w:t>
      </w:r>
      <w:r w:rsidR="003D4A5E" w:rsidRPr="00C96594">
        <w:t xml:space="preserve">(i.e., alectinib or brigatinib) </w:t>
      </w:r>
      <w:r w:rsidR="00F4222F" w:rsidRPr="00C96594">
        <w:t xml:space="preserve">after a third-generation ALK TKI </w:t>
      </w:r>
      <w:r w:rsidR="003D4A5E" w:rsidRPr="00C96594">
        <w:t>(i.e., lorlatinib) was uncertain but acknowledged it reflected clinical guidelines and was likely to happen in clinical practice.</w:t>
      </w:r>
      <w:r w:rsidR="003D4A5E" w:rsidRPr="00C96594">
        <w:rPr>
          <w:i/>
        </w:rPr>
        <w:t xml:space="preserve"> </w:t>
      </w:r>
    </w:p>
    <w:p w:rsidR="00FD3230" w:rsidRPr="00C96594" w:rsidRDefault="00FD3230" w:rsidP="00FD3230">
      <w:pPr>
        <w:pStyle w:val="3-BodyText"/>
        <w:rPr>
          <w:snapToGrid/>
        </w:rPr>
      </w:pPr>
      <w:bookmarkStart w:id="10" w:name="_Toc22897640"/>
      <w:r w:rsidRPr="00C96594">
        <w:rPr>
          <w:snapToGrid/>
        </w:rPr>
        <w:t>Under Section 101(3B) of the National Health Act (1953)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improvement in efficacy or reduction of toxicity over the alternative therapy or therapies. Alternative therapies to lorlatinib include alectinib, brigatinib and ceritinib.</w:t>
      </w:r>
    </w:p>
    <w:p w:rsidR="00C31A06" w:rsidRPr="00C96594" w:rsidRDefault="00C31A06" w:rsidP="00C31A06">
      <w:pPr>
        <w:pStyle w:val="3-BodyText"/>
        <w:numPr>
          <w:ilvl w:val="0"/>
          <w:numId w:val="0"/>
        </w:numPr>
        <w:ind w:left="720"/>
        <w:rPr>
          <w:i/>
          <w:snapToGrid/>
        </w:rPr>
      </w:pPr>
      <w:r w:rsidRPr="00C96594">
        <w:rPr>
          <w:i/>
          <w:snapToGrid/>
        </w:rPr>
        <w:t>For more detail on PBAC’s view, see section 7 PBAC outcome.</w:t>
      </w:r>
    </w:p>
    <w:p w:rsidR="00223D5A" w:rsidRPr="00C96594" w:rsidRDefault="00223D5A" w:rsidP="00223D5A">
      <w:pPr>
        <w:pStyle w:val="2-SectionHeading"/>
        <w:numPr>
          <w:ilvl w:val="0"/>
          <w:numId w:val="1"/>
        </w:numPr>
      </w:pPr>
      <w:bookmarkStart w:id="11" w:name="_Toc72307082"/>
      <w:r w:rsidRPr="00C96594">
        <w:t>Consideration of the evidence</w:t>
      </w:r>
      <w:bookmarkEnd w:id="11"/>
    </w:p>
    <w:p w:rsidR="00C31A06" w:rsidRPr="00C96594" w:rsidRDefault="00C31A06" w:rsidP="00C31A06">
      <w:pPr>
        <w:pStyle w:val="4-SubsectionHeading"/>
      </w:pPr>
      <w:bookmarkStart w:id="12" w:name="_Toc72307083"/>
      <w:bookmarkEnd w:id="10"/>
      <w:r w:rsidRPr="00C96594">
        <w:t>Sponsor hearing</w:t>
      </w:r>
    </w:p>
    <w:p w:rsidR="00C31A06" w:rsidRPr="00C96594" w:rsidRDefault="00C31A06" w:rsidP="00C31A06">
      <w:pPr>
        <w:pStyle w:val="3-BodyText"/>
      </w:pPr>
      <w:r w:rsidRPr="00C96594">
        <w:t>There was no hearing for this item.</w:t>
      </w:r>
    </w:p>
    <w:p w:rsidR="00C31A06" w:rsidRPr="00C96594" w:rsidRDefault="00C31A06" w:rsidP="00A2510E">
      <w:pPr>
        <w:pStyle w:val="4-SubsectionHeading"/>
      </w:pPr>
      <w:r w:rsidRPr="00C96594">
        <w:t>Consumer comments</w:t>
      </w:r>
    </w:p>
    <w:p w:rsidR="00C31A06" w:rsidRPr="00C96594" w:rsidRDefault="00806E07" w:rsidP="00806E07">
      <w:pPr>
        <w:pStyle w:val="3-BodyText"/>
      </w:pPr>
      <w:r w:rsidRPr="00C96594">
        <w:t xml:space="preserve">The PBAC noted and welcomed the input from organisations (2) via the Consumer Comments facility on the PBS website. The comments </w:t>
      </w:r>
      <w:r w:rsidR="00CE5833" w:rsidRPr="00C96594">
        <w:t xml:space="preserve">noted </w:t>
      </w:r>
      <w:r w:rsidR="00343C66" w:rsidRPr="00C96594">
        <w:t>the importance of</w:t>
      </w:r>
      <w:r w:rsidR="001A093C" w:rsidRPr="00C96594">
        <w:t xml:space="preserve"> targeted therapies and indicat</w:t>
      </w:r>
      <w:r w:rsidR="00343C66" w:rsidRPr="00C96594">
        <w:t xml:space="preserve">ed </w:t>
      </w:r>
      <w:r w:rsidR="00CE5833" w:rsidRPr="00C96594">
        <w:t xml:space="preserve">patients value additional treatment options even if there is no clinical difference between treatments. </w:t>
      </w:r>
      <w:r w:rsidR="009F1D32" w:rsidRPr="00C96594">
        <w:t xml:space="preserve">One organisation provided results of a patient survey that indicated the adverse events of most to least concern were hypertriglyceridemia, weight gain, fatigue, vision disorders, oedema, anaemia and cognitive effects. </w:t>
      </w:r>
    </w:p>
    <w:p w:rsidR="005C6CC9" w:rsidRPr="00C96594" w:rsidRDefault="005C6CC9" w:rsidP="005C6CC9">
      <w:pPr>
        <w:pStyle w:val="3-BodyText"/>
      </w:pPr>
      <w:r w:rsidRPr="00C96594">
        <w:t xml:space="preserve">The Medical Oncology Group of Australia (MOGA) also expressed its strong support for the </w:t>
      </w:r>
      <w:r w:rsidR="00446027" w:rsidRPr="00C96594">
        <w:t xml:space="preserve">lorlatinib </w:t>
      </w:r>
      <w:r w:rsidRPr="00C96594">
        <w:t>submission, categorising it as one of the therapies of “highest priority for PBS listing” on the basis of the</w:t>
      </w:r>
      <w:r w:rsidR="00446027" w:rsidRPr="00C96594">
        <w:t xml:space="preserve"> CROWN</w:t>
      </w:r>
      <w:r w:rsidRPr="00C96594">
        <w:t xml:space="preserve"> trial. The PBAC noted that the MOGA presented a European Society for Medical Oncology Magnitude of Clinical Be</w:t>
      </w:r>
      <w:r w:rsidR="00446027" w:rsidRPr="00C96594">
        <w:t>nefit Scale (ESMO-MCBS) for lorlatinib, which was limited to 4</w:t>
      </w:r>
      <w:r w:rsidRPr="00C96594">
        <w:t xml:space="preserve"> (out of a maximum of 5, where 5 and 4 represent the grades with substantial improvement)</w:t>
      </w:r>
      <w:r w:rsidR="00446027" w:rsidRPr="00C96594">
        <w:rPr>
          <w:rStyle w:val="FootnoteReference"/>
        </w:rPr>
        <w:footnoteReference w:id="1"/>
      </w:r>
      <w:r w:rsidRPr="00C96594">
        <w:t>,</w:t>
      </w:r>
      <w:r w:rsidR="00446027" w:rsidRPr="00C96594">
        <w:t xml:space="preserve"> based on a comparison with crizotinib.</w:t>
      </w:r>
    </w:p>
    <w:p w:rsidR="00A2510E" w:rsidRPr="00C96594" w:rsidRDefault="00A2510E" w:rsidP="00A2510E">
      <w:pPr>
        <w:pStyle w:val="4-SubsectionHeading"/>
      </w:pPr>
      <w:r w:rsidRPr="00C96594">
        <w:t>Clinical studies</w:t>
      </w:r>
      <w:bookmarkEnd w:id="12"/>
    </w:p>
    <w:p w:rsidR="00A2510E" w:rsidRPr="00C96594" w:rsidRDefault="00EA74DE" w:rsidP="00A2510E">
      <w:pPr>
        <w:pStyle w:val="3-BodyText"/>
      </w:pPr>
      <w:r w:rsidRPr="00C96594">
        <w:t>T</w:t>
      </w:r>
      <w:r w:rsidR="00A2510E" w:rsidRPr="00C96594">
        <w:t>he submission was based on an indirect treatment comparison (ITC) between lorlatinib and alectinib, using crizotinib as a common reference. This was informed by two trials in locally advanced or metastatic ALK positive NSCLC patients in the first line setting: One Phase III randomised controlled trial (RCT) of lorlatinib</w:t>
      </w:r>
      <w:r w:rsidR="00B95D1C" w:rsidRPr="00C96594">
        <w:t xml:space="preserve"> 100</w:t>
      </w:r>
      <w:r w:rsidR="00754DF7" w:rsidRPr="00C96594">
        <w:t xml:space="preserve"> </w:t>
      </w:r>
      <w:r w:rsidR="00B95D1C" w:rsidRPr="00C96594">
        <w:t xml:space="preserve">mg daily </w:t>
      </w:r>
      <w:r w:rsidR="00A2510E" w:rsidRPr="00C96594">
        <w:t>versus crizotinib</w:t>
      </w:r>
      <w:r w:rsidR="00B95D1C" w:rsidRPr="00C96594">
        <w:t xml:space="preserve"> 250 mg twice daily</w:t>
      </w:r>
      <w:r w:rsidR="00A2510E" w:rsidRPr="00C96594">
        <w:t xml:space="preserve"> (CROWN; N=296) and one Phase III RCT of alectinib</w:t>
      </w:r>
      <w:r w:rsidR="00B95D1C" w:rsidRPr="00C96594">
        <w:t xml:space="preserve"> 600 mg twice daily</w:t>
      </w:r>
      <w:r w:rsidR="00A2510E" w:rsidRPr="00C96594">
        <w:t xml:space="preserve"> versus crizotinib</w:t>
      </w:r>
      <w:r w:rsidR="00B95D1C" w:rsidRPr="00C96594">
        <w:t xml:space="preserve"> 250 mg twice daily</w:t>
      </w:r>
      <w:r w:rsidR="00A2510E" w:rsidRPr="00C96594">
        <w:t xml:space="preserve"> (ALEX; N=303).</w:t>
      </w:r>
    </w:p>
    <w:p w:rsidR="00A2510E" w:rsidRPr="00C96594" w:rsidRDefault="00EA74DE" w:rsidP="00DD1BE6">
      <w:pPr>
        <w:pStyle w:val="3-BodyText"/>
      </w:pPr>
      <w:r w:rsidRPr="00C96594">
        <w:t>T</w:t>
      </w:r>
      <w:r w:rsidR="00A2510E" w:rsidRPr="00C96594">
        <w:t xml:space="preserve">he submission </w:t>
      </w:r>
      <w:r w:rsidRPr="00C96594">
        <w:t xml:space="preserve">also presented </w:t>
      </w:r>
      <w:r w:rsidR="00A2510E" w:rsidRPr="00C96594">
        <w:t>an ITC between lorlatinib and brigatinib, using crizotinib as a common reference. This was informed by two trials in locally advanced or metastatic ALK positive NSCLC patients in the first line setting: lorlatinib versus crizotinib first line CROWN RCT (N=296) and one Phase III RCT of brigatinib versus crizotinib in the first line setting (ALTA-1L; N=275) comparing brigatinib 180</w:t>
      </w:r>
      <w:r w:rsidR="000A0D60" w:rsidRPr="00C96594">
        <w:t xml:space="preserve"> </w:t>
      </w:r>
      <w:r w:rsidR="00A2510E" w:rsidRPr="00C96594">
        <w:t>mg once daily or crizotinib 250</w:t>
      </w:r>
      <w:r w:rsidR="000A0D60" w:rsidRPr="00C96594">
        <w:t xml:space="preserve"> </w:t>
      </w:r>
      <w:r w:rsidR="00A2510E" w:rsidRPr="00C96594">
        <w:t xml:space="preserve">mg twice daily. The PBAC previously recommended </w:t>
      </w:r>
      <w:r w:rsidR="008540E7" w:rsidRPr="00C96594">
        <w:t xml:space="preserve">brigatinib on a cost-minimisation basis compared to alectinib </w:t>
      </w:r>
      <w:r w:rsidR="00A2510E" w:rsidRPr="00C96594">
        <w:t>(</w:t>
      </w:r>
      <w:r w:rsidRPr="00C96594">
        <w:t>p</w:t>
      </w:r>
      <w:r w:rsidR="00A2510E" w:rsidRPr="00C96594">
        <w:t xml:space="preserve">aragraph 7.1, </w:t>
      </w:r>
      <w:r w:rsidRPr="00C96594">
        <w:t>b</w:t>
      </w:r>
      <w:r w:rsidR="00A2510E" w:rsidRPr="00C96594">
        <w:t>rigatinib Public Summary Document</w:t>
      </w:r>
      <w:r w:rsidRPr="00C96594">
        <w:t xml:space="preserve"> (PSD)</w:t>
      </w:r>
      <w:r w:rsidR="00A2510E" w:rsidRPr="00C96594">
        <w:t xml:space="preserve">, November 2019 PBAC </w:t>
      </w:r>
      <w:r w:rsidRPr="00C96594">
        <w:t>m</w:t>
      </w:r>
      <w:r w:rsidR="00A2510E" w:rsidRPr="00C96594">
        <w:t xml:space="preserve">eeting). </w:t>
      </w:r>
      <w:r w:rsidR="00DD1BE6" w:rsidRPr="00C96594">
        <w:t xml:space="preserve">The submission described lorlatinib as non-inferior to brigatinib in terms of both effectiveness and safety. The claim of non-inferiority was reasonable in terms of PFS but OS data remain insufficiently mature to substantiate any non-inferiority claim. No formal indirect comparisons between lorlatinib and brigatinib were presented to support a non-inferiority claim for </w:t>
      </w:r>
      <w:r w:rsidR="001D3161" w:rsidRPr="00C96594">
        <w:t>safety. The</w:t>
      </w:r>
      <w:r w:rsidR="00A2510E" w:rsidRPr="00C96594">
        <w:t xml:space="preserve"> results of indirect comparison between lorlatinib and brigatinib </w:t>
      </w:r>
      <w:r w:rsidR="00833960" w:rsidRPr="00C96594">
        <w:t xml:space="preserve">are </w:t>
      </w:r>
      <w:r w:rsidR="002114EC" w:rsidRPr="00C96594">
        <w:t xml:space="preserve">not </w:t>
      </w:r>
      <w:r w:rsidR="00833960" w:rsidRPr="00C96594">
        <w:t xml:space="preserve">presented </w:t>
      </w:r>
      <w:r w:rsidRPr="00C96594">
        <w:t xml:space="preserve">herein. </w:t>
      </w:r>
      <w:r w:rsidR="00833960" w:rsidRPr="00C96594">
        <w:t>.</w:t>
      </w:r>
    </w:p>
    <w:p w:rsidR="00A2510E" w:rsidRPr="00C96594" w:rsidRDefault="008540E7" w:rsidP="00A2510E">
      <w:pPr>
        <w:pStyle w:val="3-BodyText"/>
      </w:pPr>
      <w:r w:rsidRPr="00C96594">
        <w:rPr>
          <w:snapToGrid/>
        </w:rPr>
        <w:t xml:space="preserve">Details of the studies </w:t>
      </w:r>
      <w:r w:rsidR="00A2510E" w:rsidRPr="00C96594">
        <w:rPr>
          <w:snapToGrid/>
        </w:rPr>
        <w:t xml:space="preserve">presented in the submission are provided in the table below. </w:t>
      </w:r>
    </w:p>
    <w:p w:rsidR="00A2510E" w:rsidRPr="00C96594" w:rsidRDefault="00A2510E" w:rsidP="00A2510E">
      <w:pPr>
        <w:pStyle w:val="TableFigureHeading"/>
        <w:rPr>
          <w:rStyle w:val="CommentReference"/>
          <w:b/>
          <w:szCs w:val="24"/>
        </w:rPr>
      </w:pPr>
      <w:r w:rsidRPr="00C96594">
        <w:t xml:space="preserve">Table </w:t>
      </w:r>
      <w:r w:rsidR="007E358B" w:rsidRPr="00C96594">
        <w:t>2</w:t>
      </w:r>
      <w:r w:rsidRPr="00C96594">
        <w:t xml:space="preserve">: </w:t>
      </w:r>
      <w:r w:rsidRPr="00C96594">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2510E" w:rsidRPr="00C96594" w:rsidTr="00213A38">
        <w:trPr>
          <w:tblHeader/>
        </w:trPr>
        <w:tc>
          <w:tcPr>
            <w:tcW w:w="796" w:type="pct"/>
            <w:vAlign w:val="center"/>
          </w:tcPr>
          <w:p w:rsidR="00A2510E" w:rsidRPr="00C96594" w:rsidRDefault="00A2510E" w:rsidP="00213A38">
            <w:pPr>
              <w:pStyle w:val="In-tableHeading"/>
              <w:rPr>
                <w:lang w:val="en-AU"/>
              </w:rPr>
            </w:pPr>
            <w:r w:rsidRPr="00C96594">
              <w:rPr>
                <w:lang w:val="en-AU"/>
              </w:rPr>
              <w:t>Trial ID</w:t>
            </w:r>
          </w:p>
        </w:tc>
        <w:tc>
          <w:tcPr>
            <w:tcW w:w="3027" w:type="pct"/>
            <w:vAlign w:val="center"/>
          </w:tcPr>
          <w:p w:rsidR="00A2510E" w:rsidRPr="00C96594" w:rsidRDefault="00A2510E" w:rsidP="00213A38">
            <w:pPr>
              <w:pStyle w:val="In-tableHeading"/>
              <w:rPr>
                <w:lang w:val="en-AU"/>
              </w:rPr>
            </w:pPr>
            <w:r w:rsidRPr="00C96594">
              <w:rPr>
                <w:lang w:val="en-AU"/>
              </w:rPr>
              <w:t>Protocol title/ Publication title</w:t>
            </w:r>
          </w:p>
        </w:tc>
        <w:tc>
          <w:tcPr>
            <w:tcW w:w="1177" w:type="pct"/>
            <w:vAlign w:val="center"/>
          </w:tcPr>
          <w:p w:rsidR="00A2510E" w:rsidRPr="00C96594" w:rsidRDefault="00A2510E" w:rsidP="00213A38">
            <w:pPr>
              <w:pStyle w:val="In-tableHeading"/>
              <w:rPr>
                <w:lang w:val="en-AU"/>
              </w:rPr>
            </w:pPr>
            <w:r w:rsidRPr="00C96594">
              <w:rPr>
                <w:lang w:val="en-AU"/>
              </w:rPr>
              <w:t>Publication citation</w:t>
            </w:r>
          </w:p>
        </w:tc>
      </w:tr>
      <w:tr w:rsidR="00A2510E" w:rsidRPr="00C96594" w:rsidTr="00213A38">
        <w:trPr>
          <w:tblHeader/>
        </w:trPr>
        <w:tc>
          <w:tcPr>
            <w:tcW w:w="5000" w:type="pct"/>
            <w:gridSpan w:val="3"/>
            <w:vAlign w:val="center"/>
          </w:tcPr>
          <w:p w:rsidR="00A2510E" w:rsidRPr="00C96594" w:rsidRDefault="00A2510E" w:rsidP="00213A38">
            <w:pPr>
              <w:pStyle w:val="In-tableHeading"/>
              <w:rPr>
                <w:lang w:val="en-AU"/>
              </w:rPr>
            </w:pPr>
            <w:r w:rsidRPr="00C96594">
              <w:rPr>
                <w:lang w:val="en-AU"/>
              </w:rPr>
              <w:t>Lorlatinib</w:t>
            </w:r>
          </w:p>
        </w:tc>
      </w:tr>
      <w:tr w:rsidR="00A2510E" w:rsidRPr="00C96594" w:rsidTr="00213A38">
        <w:tc>
          <w:tcPr>
            <w:tcW w:w="796" w:type="pct"/>
            <w:vMerge w:val="restart"/>
            <w:vAlign w:val="center"/>
          </w:tcPr>
          <w:p w:rsidR="00A2510E" w:rsidRPr="00C96594" w:rsidRDefault="00A2510E" w:rsidP="00213A38">
            <w:pPr>
              <w:pStyle w:val="TableText0"/>
            </w:pPr>
            <w:r w:rsidRPr="00C96594">
              <w:t>CROWN</w:t>
            </w:r>
          </w:p>
          <w:p w:rsidR="00A2510E" w:rsidRPr="00C96594" w:rsidRDefault="00A2510E" w:rsidP="00213A38">
            <w:pPr>
              <w:pStyle w:val="TableText0"/>
            </w:pPr>
            <w:r w:rsidRPr="00C96594">
              <w:t xml:space="preserve">(Study B7461006 </w:t>
            </w:r>
          </w:p>
          <w:p w:rsidR="00A2510E" w:rsidRPr="00C96594" w:rsidRDefault="00A2510E" w:rsidP="00213A38">
            <w:pPr>
              <w:pStyle w:val="TableText0"/>
            </w:pPr>
          </w:p>
        </w:tc>
        <w:tc>
          <w:tcPr>
            <w:tcW w:w="3027" w:type="pct"/>
            <w:vMerge w:val="restart"/>
            <w:vAlign w:val="center"/>
          </w:tcPr>
          <w:p w:rsidR="00A2510E" w:rsidRPr="00C96594" w:rsidRDefault="00A2510E" w:rsidP="00213A38">
            <w:pPr>
              <w:pStyle w:val="TableText0"/>
            </w:pPr>
            <w:r w:rsidRPr="00C96594">
              <w:t>A Phase 3, Randomized, Open Label Study of Lorlatinib (PF-06463922) Monotherapy Versus Crizotinib Monotherapy in the First Line Treatment of Patients with Advanced ALK-Positive Non-Small Cell Lung Cancer</w:t>
            </w:r>
          </w:p>
          <w:p w:rsidR="00A2510E" w:rsidRPr="00C96594" w:rsidRDefault="00A2510E" w:rsidP="00213A38">
            <w:pPr>
              <w:pStyle w:val="TableText0"/>
            </w:pPr>
            <w:r w:rsidRPr="00C96594">
              <w:t xml:space="preserve">Protocol: A phase 3, randomised, open label study of lorlatinib (PF-06463922) monotherapy versus crizotinib monotherapy in the first-line treatment of patients with advanced ALK-positive non-small cell lung cancer. B7461006. Final Protocol Amendment 4. </w:t>
            </w:r>
          </w:p>
          <w:p w:rsidR="00A2510E" w:rsidRPr="00C96594" w:rsidRDefault="00A2510E" w:rsidP="00213A38">
            <w:pPr>
              <w:pStyle w:val="TableText0"/>
            </w:pPr>
          </w:p>
          <w:p w:rsidR="00A2510E" w:rsidRPr="00C96594" w:rsidRDefault="00A2510E" w:rsidP="00213A38">
            <w:pPr>
              <w:pStyle w:val="TableText0"/>
            </w:pPr>
            <w:r w:rsidRPr="00C96594">
              <w:t>Shaw AT, et al. 2020. First-Line Lorlatinib or Crizotinib in Advanced ALK-Positive Lung Cancer.</w:t>
            </w:r>
          </w:p>
        </w:tc>
        <w:tc>
          <w:tcPr>
            <w:tcW w:w="1177" w:type="pct"/>
            <w:tcBorders>
              <w:bottom w:val="nil"/>
            </w:tcBorders>
            <w:vAlign w:val="center"/>
          </w:tcPr>
          <w:p w:rsidR="00A2510E" w:rsidRPr="00C96594" w:rsidRDefault="00A2510E" w:rsidP="00213A38">
            <w:pPr>
              <w:pStyle w:val="TableText0"/>
            </w:pPr>
            <w:r w:rsidRPr="00C96594">
              <w:rPr>
                <w:szCs w:val="18"/>
              </w:rPr>
              <w:t>October 2019</w:t>
            </w:r>
          </w:p>
        </w:tc>
      </w:tr>
      <w:tr w:rsidR="00A2510E" w:rsidRPr="00C96594" w:rsidTr="00213A38">
        <w:trPr>
          <w:trHeight w:val="1616"/>
        </w:trPr>
        <w:tc>
          <w:tcPr>
            <w:tcW w:w="796" w:type="pct"/>
            <w:vMerge/>
            <w:vAlign w:val="center"/>
          </w:tcPr>
          <w:p w:rsidR="00A2510E" w:rsidRPr="00C96594" w:rsidRDefault="00A2510E" w:rsidP="00213A38">
            <w:pPr>
              <w:pStyle w:val="TableText0"/>
            </w:pPr>
          </w:p>
        </w:tc>
        <w:tc>
          <w:tcPr>
            <w:tcW w:w="3027" w:type="pct"/>
            <w:vMerge/>
          </w:tcPr>
          <w:p w:rsidR="00A2510E" w:rsidRPr="00C96594" w:rsidRDefault="00A2510E" w:rsidP="00213A38">
            <w:pPr>
              <w:pStyle w:val="TableText0"/>
              <w:rPr>
                <w:szCs w:val="18"/>
              </w:rPr>
            </w:pPr>
          </w:p>
        </w:tc>
        <w:tc>
          <w:tcPr>
            <w:tcW w:w="1177" w:type="pct"/>
            <w:tcBorders>
              <w:top w:val="nil"/>
            </w:tcBorders>
            <w:vAlign w:val="center"/>
          </w:tcPr>
          <w:p w:rsidR="00A2510E" w:rsidRPr="00C96594" w:rsidRDefault="00A2510E" w:rsidP="00213A38">
            <w:pPr>
              <w:pStyle w:val="TableText0"/>
              <w:rPr>
                <w:i/>
                <w:szCs w:val="18"/>
              </w:rPr>
            </w:pPr>
          </w:p>
          <w:p w:rsidR="00A2510E" w:rsidRPr="00C96594" w:rsidRDefault="00A2510E" w:rsidP="00213A38">
            <w:pPr>
              <w:pStyle w:val="TableText0"/>
              <w:rPr>
                <w:i/>
                <w:szCs w:val="18"/>
              </w:rPr>
            </w:pPr>
          </w:p>
          <w:p w:rsidR="00A2510E" w:rsidRPr="00C96594" w:rsidRDefault="00A2510E" w:rsidP="00213A38">
            <w:pPr>
              <w:pStyle w:val="TableText0"/>
              <w:rPr>
                <w:i/>
                <w:szCs w:val="18"/>
              </w:rPr>
            </w:pPr>
          </w:p>
          <w:p w:rsidR="00A2510E" w:rsidRPr="00C96594" w:rsidRDefault="00A2510E" w:rsidP="00213A38">
            <w:pPr>
              <w:pStyle w:val="TableText0"/>
              <w:rPr>
                <w:i/>
                <w:szCs w:val="18"/>
              </w:rPr>
            </w:pPr>
          </w:p>
          <w:p w:rsidR="00A2510E" w:rsidRPr="00C96594" w:rsidRDefault="00A2510E" w:rsidP="00213A38">
            <w:pPr>
              <w:pStyle w:val="TableText0"/>
              <w:rPr>
                <w:i/>
                <w:szCs w:val="18"/>
              </w:rPr>
            </w:pPr>
          </w:p>
          <w:p w:rsidR="00A2510E" w:rsidRPr="00C96594" w:rsidRDefault="00A2510E" w:rsidP="00213A38">
            <w:pPr>
              <w:pStyle w:val="TableText0"/>
              <w:rPr>
                <w:i/>
                <w:szCs w:val="18"/>
              </w:rPr>
            </w:pPr>
          </w:p>
          <w:p w:rsidR="00A2510E" w:rsidRPr="00C96594" w:rsidRDefault="00A2510E" w:rsidP="00213A38">
            <w:pPr>
              <w:pStyle w:val="TableText0"/>
              <w:rPr>
                <w:szCs w:val="18"/>
              </w:rPr>
            </w:pPr>
            <w:r w:rsidRPr="00C96594">
              <w:rPr>
                <w:i/>
                <w:szCs w:val="18"/>
              </w:rPr>
              <w:t>NEJM</w:t>
            </w:r>
            <w:r w:rsidRPr="00C96594">
              <w:rPr>
                <w:szCs w:val="18"/>
              </w:rPr>
              <w:t xml:space="preserve"> 2020; 383:2018-2029</w:t>
            </w:r>
          </w:p>
        </w:tc>
      </w:tr>
      <w:tr w:rsidR="00A2510E" w:rsidRPr="00C96594" w:rsidTr="00213A38">
        <w:tc>
          <w:tcPr>
            <w:tcW w:w="5000" w:type="pct"/>
            <w:gridSpan w:val="3"/>
            <w:tcBorders>
              <w:bottom w:val="nil"/>
            </w:tcBorders>
            <w:vAlign w:val="center"/>
          </w:tcPr>
          <w:p w:rsidR="00A2510E" w:rsidRPr="00C96594" w:rsidRDefault="00A2510E" w:rsidP="00213A38">
            <w:pPr>
              <w:pStyle w:val="In-tableHeading"/>
              <w:rPr>
                <w:lang w:val="en-AU"/>
              </w:rPr>
            </w:pPr>
            <w:r w:rsidRPr="00C96594">
              <w:rPr>
                <w:lang w:val="en-AU"/>
              </w:rPr>
              <w:t xml:space="preserve">Main comparator alectinib </w:t>
            </w:r>
          </w:p>
        </w:tc>
      </w:tr>
      <w:tr w:rsidR="00A2510E" w:rsidRPr="00C96594" w:rsidTr="00213A38">
        <w:tc>
          <w:tcPr>
            <w:tcW w:w="796" w:type="pct"/>
            <w:vMerge w:val="restart"/>
            <w:vAlign w:val="center"/>
          </w:tcPr>
          <w:p w:rsidR="00A2510E" w:rsidRPr="00C96594" w:rsidRDefault="00A2510E" w:rsidP="00213A38">
            <w:pPr>
              <w:pStyle w:val="TableText0"/>
            </w:pPr>
            <w:r w:rsidRPr="00C96594">
              <w:t>ALEX</w:t>
            </w:r>
          </w:p>
          <w:p w:rsidR="00A2510E" w:rsidRPr="00C96594" w:rsidRDefault="00A2510E" w:rsidP="00213A38">
            <w:pPr>
              <w:pStyle w:val="TableText0"/>
            </w:pPr>
            <w:r w:rsidRPr="00C96594">
              <w:t>(NCT02075840)</w:t>
            </w:r>
          </w:p>
          <w:p w:rsidR="00A2510E" w:rsidRPr="00C96594" w:rsidRDefault="00A2510E" w:rsidP="00213A38">
            <w:pPr>
              <w:pStyle w:val="TableText0"/>
            </w:pPr>
          </w:p>
        </w:tc>
        <w:tc>
          <w:tcPr>
            <w:tcW w:w="3027" w:type="pct"/>
            <w:tcBorders>
              <w:bottom w:val="nil"/>
            </w:tcBorders>
            <w:vAlign w:val="center"/>
          </w:tcPr>
          <w:p w:rsidR="00A2510E" w:rsidRPr="00C96594" w:rsidRDefault="00A2510E" w:rsidP="00213A38">
            <w:pPr>
              <w:pStyle w:val="TableText0"/>
            </w:pPr>
            <w:r w:rsidRPr="00C96594">
              <w:t>A Study Comparing Alectinib With Crizotinib in Treatment-Naive Anaplastic Lymphoma Kinase-Positive Advanced Non-Small Cell Lung Cancer Participants. https://clinicaltrials.gov/show/NCT02075840</w:t>
            </w:r>
          </w:p>
        </w:tc>
        <w:tc>
          <w:tcPr>
            <w:tcW w:w="1177" w:type="pct"/>
            <w:tcBorders>
              <w:bottom w:val="nil"/>
            </w:tcBorders>
            <w:vAlign w:val="center"/>
          </w:tcPr>
          <w:p w:rsidR="00A2510E" w:rsidRPr="00C96594" w:rsidRDefault="00A2510E" w:rsidP="00213A38">
            <w:pPr>
              <w:pStyle w:val="TableText0"/>
            </w:pPr>
            <w:r w:rsidRPr="00C96594">
              <w:t>March 2014.</w:t>
            </w:r>
          </w:p>
        </w:tc>
      </w:tr>
      <w:tr w:rsidR="00A2510E" w:rsidRPr="00C96594" w:rsidTr="00213A38">
        <w:tc>
          <w:tcPr>
            <w:tcW w:w="796" w:type="pct"/>
            <w:vMerge/>
            <w:vAlign w:val="center"/>
          </w:tcPr>
          <w:p w:rsidR="00A2510E" w:rsidRPr="00C96594" w:rsidRDefault="00A2510E" w:rsidP="00213A38">
            <w:pPr>
              <w:pStyle w:val="TableText0"/>
            </w:pPr>
          </w:p>
        </w:tc>
        <w:tc>
          <w:tcPr>
            <w:tcW w:w="3027" w:type="pct"/>
            <w:tcBorders>
              <w:top w:val="nil"/>
              <w:bottom w:val="nil"/>
            </w:tcBorders>
            <w:vAlign w:val="center"/>
          </w:tcPr>
          <w:p w:rsidR="00A2510E" w:rsidRPr="00C96594" w:rsidRDefault="00A2510E" w:rsidP="00213A38">
            <w:pPr>
              <w:pStyle w:val="TableText0"/>
            </w:pPr>
            <w:r w:rsidRPr="00C96594">
              <w:t>Peters, S, et al. Alectinib versus Crizotinib in Untreated ALK-Positive Non-Small-Cell Lung Cancer.</w:t>
            </w:r>
          </w:p>
        </w:tc>
        <w:tc>
          <w:tcPr>
            <w:tcW w:w="1177" w:type="pct"/>
            <w:tcBorders>
              <w:top w:val="nil"/>
              <w:bottom w:val="nil"/>
            </w:tcBorders>
            <w:vAlign w:val="center"/>
          </w:tcPr>
          <w:p w:rsidR="00A2510E" w:rsidRPr="00C96594" w:rsidRDefault="00A2510E" w:rsidP="00213A38">
            <w:pPr>
              <w:pStyle w:val="TableText0"/>
              <w:rPr>
                <w:i/>
                <w:szCs w:val="18"/>
              </w:rPr>
            </w:pPr>
          </w:p>
          <w:p w:rsidR="00A2510E" w:rsidRPr="00C96594" w:rsidRDefault="00A2510E" w:rsidP="00213A38">
            <w:pPr>
              <w:pStyle w:val="TableText0"/>
              <w:rPr>
                <w:i/>
              </w:rPr>
            </w:pPr>
            <w:r w:rsidRPr="00C96594">
              <w:rPr>
                <w:i/>
                <w:szCs w:val="18"/>
              </w:rPr>
              <w:t xml:space="preserve">New England Journal of Medicine </w:t>
            </w:r>
            <w:r w:rsidRPr="00C96594">
              <w:rPr>
                <w:szCs w:val="18"/>
              </w:rPr>
              <w:t>2017; 377(9): 829-838.</w:t>
            </w:r>
          </w:p>
        </w:tc>
      </w:tr>
      <w:tr w:rsidR="00A2510E" w:rsidRPr="00C96594" w:rsidTr="00213A38">
        <w:trPr>
          <w:trHeight w:val="80"/>
        </w:trPr>
        <w:tc>
          <w:tcPr>
            <w:tcW w:w="796" w:type="pct"/>
            <w:vMerge/>
            <w:vAlign w:val="center"/>
          </w:tcPr>
          <w:p w:rsidR="00A2510E" w:rsidRPr="00C96594" w:rsidRDefault="00A2510E" w:rsidP="00213A38">
            <w:pPr>
              <w:pStyle w:val="TableText0"/>
            </w:pPr>
          </w:p>
        </w:tc>
        <w:tc>
          <w:tcPr>
            <w:tcW w:w="3027" w:type="pct"/>
            <w:tcBorders>
              <w:top w:val="nil"/>
              <w:bottom w:val="nil"/>
            </w:tcBorders>
            <w:vAlign w:val="center"/>
          </w:tcPr>
          <w:p w:rsidR="00A2510E" w:rsidRPr="00C96594" w:rsidRDefault="00A2510E" w:rsidP="00213A38">
            <w:pPr>
              <w:pStyle w:val="TableText0"/>
            </w:pPr>
          </w:p>
          <w:p w:rsidR="00A2510E" w:rsidRPr="00C96594" w:rsidRDefault="00A2510E" w:rsidP="00213A38">
            <w:pPr>
              <w:pStyle w:val="TableText0"/>
            </w:pPr>
            <w:r w:rsidRPr="00C96594">
              <w:t>Camidge, D, et al. Updated efficacy and safety data and impact of the EML4-ALK fusion variant on the efficacy of alectinib in untreated ALK-positive advanced non–small cell lung cancer in the global phase III ALEX study.</w:t>
            </w:r>
          </w:p>
        </w:tc>
        <w:tc>
          <w:tcPr>
            <w:tcW w:w="1177" w:type="pct"/>
            <w:tcBorders>
              <w:top w:val="nil"/>
              <w:bottom w:val="nil"/>
            </w:tcBorders>
            <w:vAlign w:val="center"/>
          </w:tcPr>
          <w:p w:rsidR="00A2510E" w:rsidRPr="00C96594" w:rsidRDefault="00A2510E" w:rsidP="00213A38">
            <w:pPr>
              <w:pStyle w:val="TableText0"/>
            </w:pPr>
            <w:r w:rsidRPr="00C96594">
              <w:rPr>
                <w:i/>
                <w:szCs w:val="18"/>
              </w:rPr>
              <w:t xml:space="preserve">Journal of Thoracic Oncology </w:t>
            </w:r>
            <w:r w:rsidRPr="00C96594">
              <w:rPr>
                <w:szCs w:val="18"/>
              </w:rPr>
              <w:t>2019;</w:t>
            </w:r>
            <w:r w:rsidRPr="00C96594">
              <w:t>14 (7): 1233-1243</w:t>
            </w:r>
            <w:r w:rsidRPr="00C96594">
              <w:rPr>
                <w:szCs w:val="18"/>
              </w:rPr>
              <w:t>.</w:t>
            </w:r>
          </w:p>
        </w:tc>
      </w:tr>
      <w:tr w:rsidR="00A2510E" w:rsidRPr="00C96594" w:rsidTr="00213A38">
        <w:tc>
          <w:tcPr>
            <w:tcW w:w="796" w:type="pct"/>
            <w:vMerge/>
            <w:tcBorders>
              <w:bottom w:val="nil"/>
            </w:tcBorders>
            <w:vAlign w:val="center"/>
          </w:tcPr>
          <w:p w:rsidR="00A2510E" w:rsidRPr="00C96594" w:rsidRDefault="00A2510E" w:rsidP="00213A38">
            <w:pPr>
              <w:pStyle w:val="TableText0"/>
            </w:pPr>
          </w:p>
        </w:tc>
        <w:tc>
          <w:tcPr>
            <w:tcW w:w="3027" w:type="pct"/>
            <w:tcBorders>
              <w:top w:val="nil"/>
              <w:bottom w:val="nil"/>
            </w:tcBorders>
            <w:vAlign w:val="center"/>
          </w:tcPr>
          <w:p w:rsidR="00A2510E" w:rsidRPr="00C96594" w:rsidRDefault="00A2510E" w:rsidP="00213A38">
            <w:pPr>
              <w:pStyle w:val="TableText0"/>
            </w:pPr>
          </w:p>
          <w:p w:rsidR="00A2510E" w:rsidRPr="00C96594" w:rsidRDefault="00A2510E" w:rsidP="00213A38">
            <w:pPr>
              <w:pStyle w:val="TableText0"/>
            </w:pPr>
            <w:r w:rsidRPr="00C96594">
              <w:t xml:space="preserve">Mok, T. et al. Updated overall survival and final progression-free survival data for patients with treatment-naïve advanced ALK-positive non-small-cell lung cancer in the ALEX study. </w:t>
            </w:r>
          </w:p>
        </w:tc>
        <w:tc>
          <w:tcPr>
            <w:tcW w:w="1177" w:type="pct"/>
            <w:tcBorders>
              <w:top w:val="nil"/>
              <w:bottom w:val="nil"/>
            </w:tcBorders>
            <w:vAlign w:val="center"/>
          </w:tcPr>
          <w:p w:rsidR="00A2510E" w:rsidRPr="00C96594" w:rsidRDefault="00A2510E" w:rsidP="00213A38">
            <w:pPr>
              <w:pStyle w:val="TableText0"/>
              <w:rPr>
                <w:i/>
                <w:szCs w:val="18"/>
              </w:rPr>
            </w:pPr>
            <w:r w:rsidRPr="00C96594">
              <w:rPr>
                <w:i/>
              </w:rPr>
              <w:t>Annals of oncology</w:t>
            </w:r>
            <w:r w:rsidRPr="00C96594">
              <w:t xml:space="preserve"> 2020; 31(8): 1056-64</w:t>
            </w:r>
          </w:p>
        </w:tc>
      </w:tr>
      <w:tr w:rsidR="00A2510E" w:rsidRPr="00C96594" w:rsidTr="00213A38">
        <w:tc>
          <w:tcPr>
            <w:tcW w:w="796" w:type="pct"/>
            <w:tcBorders>
              <w:top w:val="nil"/>
              <w:bottom w:val="single" w:sz="4" w:space="0" w:color="auto"/>
            </w:tcBorders>
            <w:vAlign w:val="center"/>
          </w:tcPr>
          <w:p w:rsidR="00A2510E" w:rsidRPr="00C96594" w:rsidRDefault="00A2510E" w:rsidP="00213A38">
            <w:pPr>
              <w:pStyle w:val="TableText0"/>
            </w:pPr>
          </w:p>
        </w:tc>
        <w:tc>
          <w:tcPr>
            <w:tcW w:w="3027" w:type="pct"/>
            <w:tcBorders>
              <w:top w:val="nil"/>
              <w:bottom w:val="single" w:sz="4" w:space="0" w:color="auto"/>
            </w:tcBorders>
            <w:vAlign w:val="center"/>
          </w:tcPr>
          <w:p w:rsidR="00A2510E" w:rsidRPr="00C96594" w:rsidRDefault="00A2510E" w:rsidP="00213A38">
            <w:pPr>
              <w:pStyle w:val="TableText0"/>
            </w:pPr>
          </w:p>
          <w:p w:rsidR="00A2510E" w:rsidRPr="00C96594" w:rsidRDefault="00A2510E" w:rsidP="00213A38">
            <w:pPr>
              <w:pStyle w:val="TableText0"/>
            </w:pPr>
            <w:r w:rsidRPr="00C96594">
              <w:t xml:space="preserve">Perol, M. et al. Patient-reported outcomes from the randomised phase III ALEX study of alectinib vs crizotinib in patients with ALK-positive non-small-cell lung cancer. </w:t>
            </w:r>
          </w:p>
        </w:tc>
        <w:tc>
          <w:tcPr>
            <w:tcW w:w="1177" w:type="pct"/>
            <w:tcBorders>
              <w:top w:val="nil"/>
              <w:bottom w:val="single" w:sz="4" w:space="0" w:color="auto"/>
            </w:tcBorders>
            <w:vAlign w:val="center"/>
          </w:tcPr>
          <w:p w:rsidR="00A2510E" w:rsidRPr="00C96594" w:rsidRDefault="00A2510E" w:rsidP="00213A38">
            <w:pPr>
              <w:pStyle w:val="TableText0"/>
              <w:rPr>
                <w:i/>
              </w:rPr>
            </w:pPr>
            <w:r w:rsidRPr="00C96594">
              <w:rPr>
                <w:i/>
              </w:rPr>
              <w:t>Lung Cancer</w:t>
            </w:r>
            <w:r w:rsidRPr="00C96594">
              <w:t xml:space="preserve"> 2019; 138: 79–87</w:t>
            </w:r>
          </w:p>
        </w:tc>
      </w:tr>
      <w:tr w:rsidR="00A2510E" w:rsidRPr="00C96594" w:rsidTr="00213A38">
        <w:tc>
          <w:tcPr>
            <w:tcW w:w="5000" w:type="pct"/>
            <w:gridSpan w:val="3"/>
            <w:tcBorders>
              <w:top w:val="single" w:sz="4" w:space="0" w:color="auto"/>
              <w:bottom w:val="nil"/>
            </w:tcBorders>
            <w:vAlign w:val="center"/>
          </w:tcPr>
          <w:p w:rsidR="00A2510E" w:rsidRPr="00C96594" w:rsidRDefault="00A2510E" w:rsidP="00213A38">
            <w:pPr>
              <w:pStyle w:val="TableText0"/>
              <w:rPr>
                <w:b/>
                <w:szCs w:val="18"/>
              </w:rPr>
            </w:pPr>
            <w:r w:rsidRPr="00C96594">
              <w:rPr>
                <w:b/>
                <w:szCs w:val="18"/>
              </w:rPr>
              <w:t>Supplementary comparator brigatinib</w:t>
            </w:r>
          </w:p>
        </w:tc>
      </w:tr>
      <w:tr w:rsidR="00A2510E" w:rsidRPr="00C96594" w:rsidTr="00213A38">
        <w:tc>
          <w:tcPr>
            <w:tcW w:w="796" w:type="pct"/>
            <w:vMerge w:val="restart"/>
            <w:vAlign w:val="center"/>
          </w:tcPr>
          <w:p w:rsidR="00A2510E" w:rsidRPr="00C96594" w:rsidRDefault="00A2510E" w:rsidP="00213A38">
            <w:pPr>
              <w:pStyle w:val="TableText0"/>
            </w:pPr>
            <w:r w:rsidRPr="00C96594">
              <w:t>ALTA-1L</w:t>
            </w:r>
          </w:p>
          <w:p w:rsidR="00A2510E" w:rsidRPr="00C96594" w:rsidRDefault="00A2510E" w:rsidP="00213A38">
            <w:pPr>
              <w:pStyle w:val="TableText0"/>
            </w:pPr>
            <w:r w:rsidRPr="00C96594">
              <w:t>(NCT02737501)</w:t>
            </w:r>
          </w:p>
        </w:tc>
        <w:tc>
          <w:tcPr>
            <w:tcW w:w="3027" w:type="pct"/>
            <w:tcBorders>
              <w:bottom w:val="nil"/>
            </w:tcBorders>
            <w:vAlign w:val="center"/>
          </w:tcPr>
          <w:p w:rsidR="00A2510E" w:rsidRPr="00C96594" w:rsidRDefault="00A2510E" w:rsidP="00213A38">
            <w:pPr>
              <w:pStyle w:val="TableText0"/>
            </w:pPr>
            <w:r w:rsidRPr="00C96594">
              <w:rPr>
                <w:szCs w:val="18"/>
              </w:rPr>
              <w:t>ALTA-1L Study: A Phase 3 Study of Brigatinib Versus Crizotinib in Anaplastic Lymphoma Kinase Positive (ALK+) Advanced Non-small Cell Lung Cancer (NSCLC) Participants (ALTA-1L): https://clinicaltrials.gov/ct2/show/NCT02737501</w:t>
            </w:r>
          </w:p>
        </w:tc>
        <w:tc>
          <w:tcPr>
            <w:tcW w:w="1177" w:type="pct"/>
            <w:tcBorders>
              <w:bottom w:val="nil"/>
            </w:tcBorders>
            <w:vAlign w:val="center"/>
          </w:tcPr>
          <w:p w:rsidR="00A2510E" w:rsidRPr="00C96594" w:rsidRDefault="00A2510E" w:rsidP="00213A38">
            <w:pPr>
              <w:pStyle w:val="TableText0"/>
            </w:pPr>
            <w:r w:rsidRPr="00C96594">
              <w:t>December 2020</w:t>
            </w:r>
          </w:p>
        </w:tc>
      </w:tr>
      <w:tr w:rsidR="00A2510E" w:rsidRPr="00C96594" w:rsidTr="00213A38">
        <w:tc>
          <w:tcPr>
            <w:tcW w:w="796" w:type="pct"/>
            <w:vMerge/>
            <w:tcBorders>
              <w:bottom w:val="nil"/>
            </w:tcBorders>
            <w:vAlign w:val="center"/>
          </w:tcPr>
          <w:p w:rsidR="00A2510E" w:rsidRPr="00C96594" w:rsidRDefault="00A2510E" w:rsidP="00213A38">
            <w:pPr>
              <w:pStyle w:val="TableText0"/>
            </w:pPr>
          </w:p>
        </w:tc>
        <w:tc>
          <w:tcPr>
            <w:tcW w:w="3027" w:type="pct"/>
            <w:tcBorders>
              <w:top w:val="nil"/>
              <w:bottom w:val="nil"/>
            </w:tcBorders>
            <w:vAlign w:val="center"/>
          </w:tcPr>
          <w:p w:rsidR="00A2510E" w:rsidRPr="00C96594" w:rsidRDefault="00A2510E" w:rsidP="00213A38">
            <w:pPr>
              <w:pStyle w:val="TableText0"/>
              <w:rPr>
                <w:szCs w:val="18"/>
              </w:rPr>
            </w:pPr>
          </w:p>
          <w:p w:rsidR="00A2510E" w:rsidRPr="00C96594" w:rsidRDefault="00A2510E" w:rsidP="00213A38">
            <w:pPr>
              <w:pStyle w:val="TableText0"/>
              <w:rPr>
                <w:szCs w:val="18"/>
              </w:rPr>
            </w:pPr>
            <w:r w:rsidRPr="00C96594">
              <w:rPr>
                <w:szCs w:val="18"/>
              </w:rPr>
              <w:t xml:space="preserve">Camidge, D. et al. Brigatinib Versus Crizotinib in Advanced ALK Inhibitor-Naive ALK-Positive Non-Small Cell Lung Cancer: second Interim Analysis of the Phase III ALTA-1L Trial. </w:t>
            </w:r>
          </w:p>
        </w:tc>
        <w:tc>
          <w:tcPr>
            <w:tcW w:w="1177" w:type="pct"/>
            <w:tcBorders>
              <w:top w:val="nil"/>
              <w:bottom w:val="nil"/>
            </w:tcBorders>
            <w:vAlign w:val="center"/>
          </w:tcPr>
          <w:p w:rsidR="00A2510E" w:rsidRPr="00C96594" w:rsidRDefault="00A2510E" w:rsidP="00213A38">
            <w:pPr>
              <w:pStyle w:val="TableText0"/>
            </w:pPr>
            <w:r w:rsidRPr="00C96594">
              <w:rPr>
                <w:i/>
                <w:szCs w:val="18"/>
              </w:rPr>
              <w:t>Journal of Clinical Oncology</w:t>
            </w:r>
            <w:r w:rsidRPr="00C96594">
              <w:rPr>
                <w:szCs w:val="18"/>
              </w:rPr>
              <w:t xml:space="preserve"> 38:3592-3603.</w:t>
            </w:r>
          </w:p>
        </w:tc>
      </w:tr>
      <w:tr w:rsidR="00A2510E" w:rsidRPr="00C96594" w:rsidTr="00213A38">
        <w:tc>
          <w:tcPr>
            <w:tcW w:w="796" w:type="pct"/>
            <w:tcBorders>
              <w:top w:val="nil"/>
              <w:bottom w:val="single" w:sz="4" w:space="0" w:color="auto"/>
            </w:tcBorders>
            <w:vAlign w:val="center"/>
          </w:tcPr>
          <w:p w:rsidR="00A2510E" w:rsidRPr="00C96594" w:rsidRDefault="00A2510E" w:rsidP="00213A38">
            <w:pPr>
              <w:pStyle w:val="TableText0"/>
            </w:pPr>
          </w:p>
        </w:tc>
        <w:tc>
          <w:tcPr>
            <w:tcW w:w="3027" w:type="pct"/>
            <w:tcBorders>
              <w:top w:val="nil"/>
              <w:bottom w:val="single" w:sz="4" w:space="0" w:color="auto"/>
            </w:tcBorders>
            <w:vAlign w:val="center"/>
          </w:tcPr>
          <w:p w:rsidR="00A2510E" w:rsidRPr="00C96594" w:rsidRDefault="00A2510E" w:rsidP="00213A38">
            <w:pPr>
              <w:pStyle w:val="TableText0"/>
              <w:rPr>
                <w:szCs w:val="18"/>
              </w:rPr>
            </w:pPr>
            <w:r w:rsidRPr="00C96594">
              <w:rPr>
                <w:szCs w:val="18"/>
              </w:rPr>
              <w:t xml:space="preserve">Camidge, R. et al. Brigatinib versus Crizotinib in ALK positive non-small-cell lung cancer. </w:t>
            </w:r>
          </w:p>
        </w:tc>
        <w:tc>
          <w:tcPr>
            <w:tcW w:w="1177" w:type="pct"/>
            <w:tcBorders>
              <w:top w:val="nil"/>
              <w:bottom w:val="single" w:sz="4" w:space="0" w:color="auto"/>
            </w:tcBorders>
            <w:vAlign w:val="center"/>
          </w:tcPr>
          <w:p w:rsidR="00A2510E" w:rsidRPr="00C96594" w:rsidRDefault="00A2510E" w:rsidP="00213A38">
            <w:pPr>
              <w:pStyle w:val="TableText0"/>
              <w:rPr>
                <w:i/>
                <w:szCs w:val="18"/>
              </w:rPr>
            </w:pPr>
            <w:r w:rsidRPr="00C96594">
              <w:rPr>
                <w:i/>
                <w:szCs w:val="18"/>
              </w:rPr>
              <w:t xml:space="preserve">New England Journal of Medicine 2018; </w:t>
            </w:r>
            <w:r w:rsidRPr="00C96594">
              <w:rPr>
                <w:szCs w:val="18"/>
              </w:rPr>
              <w:t>379: 2027-39</w:t>
            </w:r>
          </w:p>
        </w:tc>
      </w:tr>
    </w:tbl>
    <w:p w:rsidR="00A2510E" w:rsidRPr="00C96594" w:rsidRDefault="00A2510E" w:rsidP="00A2510E">
      <w:pPr>
        <w:pStyle w:val="TableFigureFooter"/>
      </w:pPr>
      <w:r w:rsidRPr="00C96594">
        <w:t>Source: Table 2.2.1of the submission</w:t>
      </w:r>
    </w:p>
    <w:p w:rsidR="00A2510E" w:rsidRPr="00C96594" w:rsidRDefault="00A2510E" w:rsidP="00710E5A">
      <w:pPr>
        <w:pStyle w:val="3-BodyText"/>
        <w:keepNext/>
        <w:rPr>
          <w:color w:val="0066FF"/>
        </w:rPr>
      </w:pPr>
      <w:r w:rsidRPr="00C96594">
        <w:t xml:space="preserve">The key features of the included evidence are summarised in the table below. </w:t>
      </w:r>
    </w:p>
    <w:p w:rsidR="00A2510E" w:rsidRPr="00C96594" w:rsidRDefault="00A2510E" w:rsidP="00A2510E">
      <w:pPr>
        <w:pStyle w:val="TableFigureHeading"/>
        <w:rPr>
          <w:rStyle w:val="CommentReference"/>
          <w:b/>
          <w:szCs w:val="24"/>
        </w:rPr>
      </w:pPr>
      <w:r w:rsidRPr="00C96594">
        <w:t xml:space="preserve">Table </w:t>
      </w:r>
      <w:r w:rsidR="007E358B" w:rsidRPr="00C96594">
        <w:t>3</w:t>
      </w:r>
      <w:r w:rsidRPr="00C96594">
        <w:t xml:space="preserve">: </w:t>
      </w:r>
      <w:r w:rsidRPr="00C96594">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0"/>
        <w:gridCol w:w="1096"/>
        <w:gridCol w:w="1558"/>
        <w:gridCol w:w="1134"/>
        <w:gridCol w:w="2126"/>
        <w:gridCol w:w="1793"/>
      </w:tblGrid>
      <w:tr w:rsidR="00A2510E" w:rsidRPr="00C96594" w:rsidTr="00213A38">
        <w:trPr>
          <w:tblHeader/>
        </w:trPr>
        <w:tc>
          <w:tcPr>
            <w:tcW w:w="726" w:type="pct"/>
            <w:shd w:val="clear" w:color="auto" w:fill="auto"/>
            <w:vAlign w:val="center"/>
          </w:tcPr>
          <w:p w:rsidR="00A2510E" w:rsidRPr="00C96594" w:rsidRDefault="00A2510E" w:rsidP="00213A38">
            <w:pPr>
              <w:pStyle w:val="In-tableHeading"/>
              <w:rPr>
                <w:lang w:val="en-AU"/>
              </w:rPr>
            </w:pPr>
            <w:r w:rsidRPr="00C96594">
              <w:rPr>
                <w:lang w:val="en-AU"/>
              </w:rPr>
              <w:t>Trial</w:t>
            </w:r>
          </w:p>
        </w:tc>
        <w:tc>
          <w:tcPr>
            <w:tcW w:w="608" w:type="pct"/>
            <w:shd w:val="clear" w:color="auto" w:fill="auto"/>
            <w:vAlign w:val="center"/>
          </w:tcPr>
          <w:p w:rsidR="00A2510E" w:rsidRPr="00C96594" w:rsidRDefault="00A2510E" w:rsidP="00213A38">
            <w:pPr>
              <w:pStyle w:val="In-tableHeading"/>
              <w:jc w:val="center"/>
              <w:rPr>
                <w:lang w:val="en-AU"/>
              </w:rPr>
            </w:pPr>
            <w:r w:rsidRPr="00C96594">
              <w:rPr>
                <w:lang w:val="en-AU"/>
              </w:rPr>
              <w:t>N</w:t>
            </w:r>
          </w:p>
        </w:tc>
        <w:tc>
          <w:tcPr>
            <w:tcW w:w="864" w:type="pct"/>
            <w:shd w:val="clear" w:color="auto" w:fill="auto"/>
            <w:vAlign w:val="center"/>
          </w:tcPr>
          <w:p w:rsidR="00A2510E" w:rsidRPr="00C96594" w:rsidRDefault="00A2510E" w:rsidP="00213A38">
            <w:pPr>
              <w:pStyle w:val="In-tableHeading"/>
              <w:jc w:val="center"/>
              <w:rPr>
                <w:lang w:val="en-AU"/>
              </w:rPr>
            </w:pPr>
            <w:r w:rsidRPr="00C96594">
              <w:rPr>
                <w:lang w:val="en-AU"/>
              </w:rPr>
              <w:t>Design/ duration</w:t>
            </w:r>
          </w:p>
        </w:tc>
        <w:tc>
          <w:tcPr>
            <w:tcW w:w="629" w:type="pct"/>
            <w:shd w:val="clear" w:color="auto" w:fill="auto"/>
            <w:vAlign w:val="center"/>
          </w:tcPr>
          <w:p w:rsidR="00A2510E" w:rsidRPr="00C96594" w:rsidRDefault="00A2510E" w:rsidP="00213A38">
            <w:pPr>
              <w:pStyle w:val="In-tableHeading"/>
              <w:jc w:val="center"/>
              <w:rPr>
                <w:lang w:val="en-AU"/>
              </w:rPr>
            </w:pPr>
            <w:r w:rsidRPr="00C96594">
              <w:rPr>
                <w:lang w:val="en-AU"/>
              </w:rPr>
              <w:t>Risk of bias</w:t>
            </w:r>
          </w:p>
        </w:tc>
        <w:tc>
          <w:tcPr>
            <w:tcW w:w="1179" w:type="pct"/>
            <w:shd w:val="clear" w:color="auto" w:fill="auto"/>
            <w:vAlign w:val="center"/>
          </w:tcPr>
          <w:p w:rsidR="00A2510E" w:rsidRPr="00C96594" w:rsidRDefault="00A2510E" w:rsidP="00213A38">
            <w:pPr>
              <w:pStyle w:val="In-tableHeading"/>
              <w:jc w:val="center"/>
              <w:rPr>
                <w:lang w:val="en-AU"/>
              </w:rPr>
            </w:pPr>
            <w:r w:rsidRPr="00C96594">
              <w:rPr>
                <w:lang w:val="en-AU"/>
              </w:rPr>
              <w:t>Patient population</w:t>
            </w:r>
          </w:p>
        </w:tc>
        <w:tc>
          <w:tcPr>
            <w:tcW w:w="994" w:type="pct"/>
            <w:shd w:val="clear" w:color="auto" w:fill="auto"/>
            <w:vAlign w:val="center"/>
          </w:tcPr>
          <w:p w:rsidR="00A2510E" w:rsidRPr="00C96594" w:rsidRDefault="00A2510E" w:rsidP="00213A38">
            <w:pPr>
              <w:pStyle w:val="In-tableHeading"/>
              <w:jc w:val="center"/>
              <w:rPr>
                <w:lang w:val="en-AU"/>
              </w:rPr>
            </w:pPr>
            <w:r w:rsidRPr="00C96594">
              <w:rPr>
                <w:lang w:val="en-AU"/>
              </w:rPr>
              <w:t>Outcome(s)</w:t>
            </w:r>
          </w:p>
        </w:tc>
      </w:tr>
      <w:tr w:rsidR="00A2510E" w:rsidRPr="00C96594" w:rsidTr="00213A38">
        <w:tc>
          <w:tcPr>
            <w:tcW w:w="5000" w:type="pct"/>
            <w:gridSpan w:val="6"/>
            <w:shd w:val="clear" w:color="auto" w:fill="auto"/>
            <w:vAlign w:val="center"/>
          </w:tcPr>
          <w:p w:rsidR="00A2510E" w:rsidRPr="00C96594" w:rsidRDefault="00A2510E" w:rsidP="00213A38">
            <w:pPr>
              <w:pStyle w:val="In-tableHeading"/>
              <w:rPr>
                <w:lang w:val="en-AU"/>
              </w:rPr>
            </w:pPr>
            <w:r w:rsidRPr="00C96594">
              <w:rPr>
                <w:lang w:val="en-AU"/>
              </w:rPr>
              <w:t>Lorlatinib vs. crizotinib</w:t>
            </w:r>
          </w:p>
        </w:tc>
      </w:tr>
      <w:tr w:rsidR="00A2510E" w:rsidRPr="00C96594" w:rsidTr="00213A38">
        <w:tc>
          <w:tcPr>
            <w:tcW w:w="726" w:type="pct"/>
            <w:shd w:val="clear" w:color="auto" w:fill="auto"/>
            <w:vAlign w:val="center"/>
          </w:tcPr>
          <w:p w:rsidR="00A2510E" w:rsidRPr="00C96594" w:rsidRDefault="00A2510E" w:rsidP="00213A38">
            <w:pPr>
              <w:pStyle w:val="TableText0"/>
            </w:pPr>
            <w:r w:rsidRPr="00C96594">
              <w:t>CROWN</w:t>
            </w:r>
          </w:p>
        </w:tc>
        <w:tc>
          <w:tcPr>
            <w:tcW w:w="608" w:type="pct"/>
            <w:shd w:val="clear" w:color="auto" w:fill="auto"/>
            <w:vAlign w:val="center"/>
          </w:tcPr>
          <w:p w:rsidR="00A2510E" w:rsidRPr="00C96594" w:rsidRDefault="00A2510E" w:rsidP="00213A38">
            <w:pPr>
              <w:pStyle w:val="TableText0"/>
              <w:jc w:val="center"/>
            </w:pPr>
            <w:r w:rsidRPr="00C96594">
              <w:t>296</w:t>
            </w:r>
          </w:p>
        </w:tc>
        <w:tc>
          <w:tcPr>
            <w:tcW w:w="864" w:type="pct"/>
            <w:shd w:val="clear" w:color="auto" w:fill="auto"/>
            <w:vAlign w:val="center"/>
          </w:tcPr>
          <w:p w:rsidR="00A2510E" w:rsidRPr="00C96594" w:rsidRDefault="00A2510E" w:rsidP="00213A38">
            <w:pPr>
              <w:pStyle w:val="TableText0"/>
              <w:jc w:val="center"/>
            </w:pPr>
            <w:r w:rsidRPr="00C96594">
              <w:t>R, OL</w:t>
            </w:r>
          </w:p>
          <w:p w:rsidR="00A2510E" w:rsidRPr="00C96594" w:rsidRDefault="00A2510E" w:rsidP="00213A38">
            <w:pPr>
              <w:pStyle w:val="TableText0"/>
              <w:jc w:val="center"/>
            </w:pPr>
            <w:r w:rsidRPr="00C96594">
              <w:t>20 mths*</w:t>
            </w:r>
          </w:p>
        </w:tc>
        <w:tc>
          <w:tcPr>
            <w:tcW w:w="629" w:type="pct"/>
            <w:shd w:val="clear" w:color="auto" w:fill="auto"/>
            <w:vAlign w:val="center"/>
          </w:tcPr>
          <w:p w:rsidR="00A2510E" w:rsidRPr="00C96594" w:rsidRDefault="00A2510E" w:rsidP="00213A38">
            <w:pPr>
              <w:pStyle w:val="TableText0"/>
              <w:jc w:val="center"/>
            </w:pPr>
            <w:r w:rsidRPr="00C96594">
              <w:t>Low</w:t>
            </w:r>
          </w:p>
        </w:tc>
        <w:tc>
          <w:tcPr>
            <w:tcW w:w="1179" w:type="pct"/>
            <w:shd w:val="clear" w:color="auto" w:fill="auto"/>
            <w:vAlign w:val="center"/>
          </w:tcPr>
          <w:p w:rsidR="00A2510E" w:rsidRPr="00C96594" w:rsidRDefault="00A2510E" w:rsidP="00213A38">
            <w:pPr>
              <w:pStyle w:val="TableText0"/>
              <w:jc w:val="center"/>
            </w:pPr>
            <w:r w:rsidRPr="00C96594">
              <w:t>Locally advanced or metastatic ALK-positive NSCLC</w:t>
            </w:r>
          </w:p>
        </w:tc>
        <w:tc>
          <w:tcPr>
            <w:tcW w:w="994" w:type="pct"/>
            <w:shd w:val="clear" w:color="auto" w:fill="auto"/>
            <w:vAlign w:val="center"/>
          </w:tcPr>
          <w:p w:rsidR="00A2510E" w:rsidRPr="00C96594" w:rsidRDefault="00A2510E" w:rsidP="00213A38">
            <w:pPr>
              <w:pStyle w:val="TableText0"/>
              <w:jc w:val="center"/>
            </w:pPr>
            <w:r w:rsidRPr="00C96594">
              <w:t>OS, PFS, QoL and AEs</w:t>
            </w:r>
          </w:p>
        </w:tc>
      </w:tr>
      <w:tr w:rsidR="00A2510E" w:rsidRPr="00C96594" w:rsidTr="00213A38">
        <w:tc>
          <w:tcPr>
            <w:tcW w:w="5000" w:type="pct"/>
            <w:gridSpan w:val="6"/>
            <w:shd w:val="clear" w:color="auto" w:fill="auto"/>
            <w:vAlign w:val="center"/>
          </w:tcPr>
          <w:p w:rsidR="00A2510E" w:rsidRPr="00C96594" w:rsidRDefault="00A2510E" w:rsidP="00213A38">
            <w:pPr>
              <w:pStyle w:val="In-tableHeading"/>
              <w:rPr>
                <w:lang w:val="en-AU"/>
              </w:rPr>
            </w:pPr>
            <w:r w:rsidRPr="00C96594">
              <w:rPr>
                <w:lang w:val="en-AU"/>
              </w:rPr>
              <w:t>Alectinib vs. crizotinib</w:t>
            </w:r>
          </w:p>
        </w:tc>
      </w:tr>
      <w:tr w:rsidR="00A2510E" w:rsidRPr="00C96594" w:rsidTr="00213A38">
        <w:tc>
          <w:tcPr>
            <w:tcW w:w="726" w:type="pct"/>
            <w:shd w:val="clear" w:color="auto" w:fill="auto"/>
            <w:vAlign w:val="center"/>
          </w:tcPr>
          <w:p w:rsidR="00A2510E" w:rsidRPr="00C96594" w:rsidRDefault="00A2510E" w:rsidP="00213A38">
            <w:pPr>
              <w:pStyle w:val="TableText0"/>
              <w:rPr>
                <w:vertAlign w:val="superscript"/>
              </w:rPr>
            </w:pPr>
            <w:r w:rsidRPr="00C96594">
              <w:t>ALEX</w:t>
            </w:r>
          </w:p>
        </w:tc>
        <w:tc>
          <w:tcPr>
            <w:tcW w:w="608" w:type="pct"/>
            <w:shd w:val="clear" w:color="auto" w:fill="auto"/>
            <w:vAlign w:val="center"/>
          </w:tcPr>
          <w:p w:rsidR="00A2510E" w:rsidRPr="00C96594" w:rsidRDefault="00A2510E" w:rsidP="00213A38">
            <w:pPr>
              <w:pStyle w:val="TableText0"/>
              <w:jc w:val="center"/>
            </w:pPr>
            <w:r w:rsidRPr="00C96594">
              <w:t>303</w:t>
            </w:r>
          </w:p>
        </w:tc>
        <w:tc>
          <w:tcPr>
            <w:tcW w:w="864" w:type="pct"/>
            <w:shd w:val="clear" w:color="auto" w:fill="auto"/>
            <w:vAlign w:val="center"/>
          </w:tcPr>
          <w:p w:rsidR="00A2510E" w:rsidRPr="00C96594" w:rsidRDefault="00A2510E" w:rsidP="00213A38">
            <w:pPr>
              <w:pStyle w:val="TableText0"/>
              <w:jc w:val="center"/>
            </w:pPr>
            <w:r w:rsidRPr="00C96594">
              <w:t>R, OL</w:t>
            </w:r>
          </w:p>
          <w:p w:rsidR="00A2510E" w:rsidRPr="00C96594" w:rsidRDefault="00A2510E" w:rsidP="00213A38">
            <w:pPr>
              <w:pStyle w:val="TableText0"/>
              <w:jc w:val="center"/>
            </w:pPr>
            <w:r w:rsidRPr="00C96594">
              <w:t>48.2 mths**</w:t>
            </w:r>
          </w:p>
        </w:tc>
        <w:tc>
          <w:tcPr>
            <w:tcW w:w="629" w:type="pct"/>
            <w:shd w:val="clear" w:color="auto" w:fill="auto"/>
            <w:vAlign w:val="center"/>
          </w:tcPr>
          <w:p w:rsidR="00A2510E" w:rsidRPr="00C96594" w:rsidRDefault="00A2510E" w:rsidP="00213A38">
            <w:pPr>
              <w:pStyle w:val="TableText0"/>
              <w:jc w:val="center"/>
            </w:pPr>
            <w:r w:rsidRPr="00C96594">
              <w:t>Low</w:t>
            </w:r>
          </w:p>
        </w:tc>
        <w:tc>
          <w:tcPr>
            <w:tcW w:w="1179" w:type="pct"/>
            <w:shd w:val="clear" w:color="auto" w:fill="auto"/>
            <w:vAlign w:val="center"/>
          </w:tcPr>
          <w:p w:rsidR="00A2510E" w:rsidRPr="00C96594" w:rsidRDefault="00A2510E" w:rsidP="00213A38">
            <w:pPr>
              <w:pStyle w:val="TableText0"/>
              <w:jc w:val="center"/>
            </w:pPr>
            <w:r w:rsidRPr="00C96594">
              <w:t>Locally advanced or metastatic ALK-positive NSCLC</w:t>
            </w:r>
          </w:p>
        </w:tc>
        <w:tc>
          <w:tcPr>
            <w:tcW w:w="994" w:type="pct"/>
            <w:shd w:val="clear" w:color="auto" w:fill="auto"/>
            <w:vAlign w:val="center"/>
          </w:tcPr>
          <w:p w:rsidR="00A2510E" w:rsidRPr="00C96594" w:rsidRDefault="00A2510E" w:rsidP="00213A38">
            <w:pPr>
              <w:pStyle w:val="TableText0"/>
              <w:jc w:val="center"/>
            </w:pPr>
            <w:r w:rsidRPr="00C96594">
              <w:t>OS, PFS, QoL and AEs</w:t>
            </w:r>
          </w:p>
        </w:tc>
      </w:tr>
    </w:tbl>
    <w:p w:rsidR="00A2510E" w:rsidRPr="00C96594" w:rsidRDefault="00A2510E" w:rsidP="00A2510E">
      <w:pPr>
        <w:pStyle w:val="TableFigureFooter"/>
      </w:pPr>
      <w:r w:rsidRPr="00C96594">
        <w:t>Source: Sections 2.3-2.4 of the submission.</w:t>
      </w:r>
    </w:p>
    <w:p w:rsidR="00A2510E" w:rsidRPr="00C96594" w:rsidRDefault="00A2510E" w:rsidP="00A2510E">
      <w:pPr>
        <w:pStyle w:val="TableFigureFooter"/>
      </w:pPr>
      <w:r w:rsidRPr="00C96594">
        <w:t>R = randomised; OL = open label; mths = months; OS = overall survival; PFS = progression-free survival; QoL = quality of life; AE = adverse events.</w:t>
      </w:r>
    </w:p>
    <w:p w:rsidR="00833960" w:rsidRPr="00C96594" w:rsidRDefault="00833960" w:rsidP="00A2510E">
      <w:pPr>
        <w:pStyle w:val="TableFigureFooter"/>
      </w:pPr>
      <w:r w:rsidRPr="00C96594">
        <w:t>*The ALEX trial has previously been considered by the PBAC (</w:t>
      </w:r>
      <w:r w:rsidR="00EA74DE" w:rsidRPr="00C96594">
        <w:t>b</w:t>
      </w:r>
      <w:r w:rsidRPr="00C96594">
        <w:t>rigatinib</w:t>
      </w:r>
      <w:r w:rsidR="00E022A8" w:rsidRPr="00C96594">
        <w:t xml:space="preserve"> </w:t>
      </w:r>
      <w:r w:rsidRPr="00C96594">
        <w:t>PSD, November 2019 PBAC Meeting)</w:t>
      </w:r>
    </w:p>
    <w:p w:rsidR="00A2510E" w:rsidRPr="00C96594" w:rsidRDefault="00A2510E" w:rsidP="00A2510E">
      <w:pPr>
        <w:pStyle w:val="TableFigureFooter"/>
      </w:pPr>
      <w:r w:rsidRPr="00C96594">
        <w:t>*</w:t>
      </w:r>
      <w:r w:rsidR="00833960" w:rsidRPr="00C96594">
        <w:t xml:space="preserve">*CROWN - </w:t>
      </w:r>
      <w:r w:rsidRPr="00C96594">
        <w:t>the median durations of follow-up for OS were 20 months in the lorlatinib arm and 19.8 months in the crizotinib arm.</w:t>
      </w:r>
    </w:p>
    <w:p w:rsidR="00A2510E" w:rsidRPr="00C96594" w:rsidRDefault="00A2510E" w:rsidP="00A2510E">
      <w:pPr>
        <w:pStyle w:val="TableFigureFooter"/>
      </w:pPr>
      <w:r w:rsidRPr="00C96594">
        <w:t>**</w:t>
      </w:r>
      <w:r w:rsidR="00833960" w:rsidRPr="00C96594">
        <w:t xml:space="preserve">*ALEX - </w:t>
      </w:r>
      <w:r w:rsidRPr="00C96594">
        <w:t xml:space="preserve">the median durations of follow-up for OS were 48.2 months in the </w:t>
      </w:r>
      <w:r w:rsidR="00EA74DE" w:rsidRPr="00C96594">
        <w:t>a</w:t>
      </w:r>
      <w:r w:rsidRPr="00C96594">
        <w:t>lectinib arm and 23.3 months in the crizotinib arm.</w:t>
      </w:r>
      <w:r w:rsidR="00833960" w:rsidRPr="00C96594">
        <w:t xml:space="preserve"> </w:t>
      </w:r>
    </w:p>
    <w:p w:rsidR="00A2510E" w:rsidRPr="00C96594" w:rsidRDefault="00A2510E" w:rsidP="00A2510E">
      <w:pPr>
        <w:pStyle w:val="3-BodyText"/>
      </w:pPr>
      <w:r w:rsidRPr="00C96594">
        <w:t xml:space="preserve">Both the CROWN and ALEX trials had </w:t>
      </w:r>
      <w:r w:rsidR="00BD38EA" w:rsidRPr="00C96594">
        <w:t xml:space="preserve">progression-free survival (PFS) </w:t>
      </w:r>
      <w:r w:rsidRPr="00C96594">
        <w:t>as the primary outcome</w:t>
      </w:r>
      <w:r w:rsidR="00A85FEF" w:rsidRPr="00C96594">
        <w:t xml:space="preserve"> with</w:t>
      </w:r>
      <w:r w:rsidR="00BD38EA" w:rsidRPr="00C96594">
        <w:t xml:space="preserve"> PFS</w:t>
      </w:r>
      <w:r w:rsidR="00E022A8" w:rsidRPr="00C96594">
        <w:t xml:space="preserve"> </w:t>
      </w:r>
      <w:r w:rsidR="0085686D" w:rsidRPr="00C96594">
        <w:t>assessed</w:t>
      </w:r>
      <w:r w:rsidRPr="00C96594">
        <w:t xml:space="preserve"> by a blinded independent review committee (IRC) in CROWN and by investigators in ALEX</w:t>
      </w:r>
      <w:r w:rsidRPr="00C96594">
        <w:rPr>
          <w:i/>
          <w:iCs/>
        </w:rPr>
        <w:t xml:space="preserve">. </w:t>
      </w:r>
      <w:r w:rsidRPr="00C96594">
        <w:t>In ALEX, PFS was also assessed by an IRC</w:t>
      </w:r>
      <w:r w:rsidR="00833960" w:rsidRPr="00C96594">
        <w:t xml:space="preserve"> as a secondary outcome</w:t>
      </w:r>
      <w:r w:rsidRPr="00C96594">
        <w:t>.</w:t>
      </w:r>
    </w:p>
    <w:p w:rsidR="00A2510E" w:rsidRPr="00C96594" w:rsidRDefault="00A2510E" w:rsidP="00A2510E">
      <w:pPr>
        <w:pStyle w:val="3-BodyText"/>
      </w:pPr>
      <w:r w:rsidRPr="00C96594">
        <w:t>For the individual studies CROWN and ALEX, the risk of bias was generally low, although, due to the non-blinded nature of the studies, the risk of bias was high for the primary outcome of investigator assessed PFS in ALEX, and high for quality of life (QoL) and adverse events (AEs) in both studies.</w:t>
      </w:r>
    </w:p>
    <w:p w:rsidR="00A2510E" w:rsidRPr="00C96594" w:rsidRDefault="00A2510E" w:rsidP="00A2510E">
      <w:pPr>
        <w:pStyle w:val="3-BodyText"/>
      </w:pPr>
      <w:r w:rsidRPr="00C96594">
        <w:t xml:space="preserve">For the indirect comparison between the two studies, the risk of bias was considered high. The cumulative effect of some dissimilarities in baseline characteristics between the two studies, in terms of metastases involving the CNS, </w:t>
      </w:r>
      <w:r w:rsidR="004D064A" w:rsidRPr="00C96594">
        <w:t>Eastern Cooperative Oncology Group (</w:t>
      </w:r>
      <w:r w:rsidRPr="00C96594">
        <w:t>ECOG</w:t>
      </w:r>
      <w:r w:rsidR="004D064A" w:rsidRPr="00C96594">
        <w:t>)</w:t>
      </w:r>
      <w:r w:rsidRPr="00C96594">
        <w:t xml:space="preserve"> performance status (PS), and disease stage, may have favoured lorlatinib over alectinib in the indirect comparison of effectiveness. </w:t>
      </w:r>
    </w:p>
    <w:p w:rsidR="00A2510E" w:rsidRPr="00C96594" w:rsidRDefault="00A2510E" w:rsidP="00A2510E">
      <w:pPr>
        <w:pStyle w:val="3-BodyText"/>
      </w:pPr>
      <w:r w:rsidRPr="00C96594">
        <w:rPr>
          <w:iCs/>
        </w:rPr>
        <w:t>Common reference adjusted indirect comparisons between lorlatinib and alectinib in the submission were based on the standard Bucher frequentist approach</w:t>
      </w:r>
      <w:r w:rsidR="00241244" w:rsidRPr="00C96594">
        <w:rPr>
          <w:rStyle w:val="FootnoteReference"/>
          <w:iCs/>
        </w:rPr>
        <w:footnoteReference w:id="2"/>
      </w:r>
      <w:r w:rsidRPr="00C96594">
        <w:rPr>
          <w:iCs/>
        </w:rPr>
        <w:t>. For the outcome of PFS, indirect comparisons were conducted for either the IRC, or investigator-based assessment, which should have mitigated the risk of bias resulting from different assessors and methods of assessment between the two studies. The submission did not provide a non-inferiority margin to assess non-inferiority.</w:t>
      </w:r>
    </w:p>
    <w:p w:rsidR="00A2510E" w:rsidRPr="00C96594" w:rsidRDefault="00A2510E" w:rsidP="00710E5A">
      <w:pPr>
        <w:pStyle w:val="4-SubsectionHeading"/>
      </w:pPr>
      <w:bookmarkStart w:id="13" w:name="_Toc22897641"/>
      <w:bookmarkStart w:id="14" w:name="_Toc72307084"/>
      <w:r w:rsidRPr="00C96594">
        <w:t>Comparative effectiveness</w:t>
      </w:r>
      <w:bookmarkEnd w:id="13"/>
      <w:bookmarkEnd w:id="14"/>
    </w:p>
    <w:p w:rsidR="00A2510E" w:rsidRPr="00C96594" w:rsidRDefault="00A2510E" w:rsidP="00710E5A">
      <w:pPr>
        <w:pStyle w:val="3-BodyText"/>
        <w:keepNext/>
      </w:pPr>
      <w:r w:rsidRPr="00C96594">
        <w:t>The results of indirect comparison in terms of PFS and OS are presented below.</w:t>
      </w:r>
    </w:p>
    <w:p w:rsidR="00B774D6" w:rsidRPr="00C96594" w:rsidRDefault="00B774D6" w:rsidP="00B774D6">
      <w:pPr>
        <w:keepNext/>
        <w:keepLines/>
        <w:rPr>
          <w:rFonts w:ascii="Arial Narrow" w:eastAsiaTheme="majorEastAsia" w:hAnsi="Arial Narrow" w:cstheme="majorBidi"/>
          <w:b/>
          <w:bCs/>
          <w:sz w:val="20"/>
        </w:rPr>
      </w:pPr>
      <w:r w:rsidRPr="00C96594">
        <w:rPr>
          <w:rFonts w:ascii="Arial Narrow" w:eastAsiaTheme="majorEastAsia" w:hAnsi="Arial Narrow" w:cstheme="majorBidi"/>
          <w:b/>
          <w:bCs/>
          <w:sz w:val="20"/>
        </w:rPr>
        <w:t xml:space="preserve">Table 4: Lorlatinib versus alectinib via crizotinib as the common reference arm – PFS </w:t>
      </w:r>
    </w:p>
    <w:tbl>
      <w:tblPr>
        <w:tblStyle w:val="TableGrid"/>
        <w:tblW w:w="0" w:type="auto"/>
        <w:tblLook w:val="04A0" w:firstRow="1" w:lastRow="0" w:firstColumn="1" w:lastColumn="0" w:noHBand="0" w:noVBand="1"/>
        <w:tblCaption w:val="Table 4: Lorlatinib versus alectinib via crizotinib as the common reference arm – PFS "/>
      </w:tblPr>
      <w:tblGrid>
        <w:gridCol w:w="2405"/>
        <w:gridCol w:w="2551"/>
        <w:gridCol w:w="2552"/>
        <w:gridCol w:w="1509"/>
      </w:tblGrid>
      <w:tr w:rsidR="00160253" w:rsidRPr="00C96594" w:rsidTr="00CA41D0">
        <w:trPr>
          <w:tblHeader/>
        </w:trPr>
        <w:tc>
          <w:tcPr>
            <w:tcW w:w="2405" w:type="dxa"/>
          </w:tcPr>
          <w:p w:rsidR="00160253" w:rsidRPr="00C96594" w:rsidRDefault="00160253" w:rsidP="00B774D6">
            <w:pPr>
              <w:pStyle w:val="In-tableHeading"/>
              <w:keepLines/>
              <w:rPr>
                <w:lang w:val="en-AU"/>
              </w:rPr>
            </w:pPr>
            <w:r w:rsidRPr="00C96594">
              <w:rPr>
                <w:lang w:val="en-AU"/>
              </w:rPr>
              <w:t>Study (treatment)</w:t>
            </w:r>
          </w:p>
        </w:tc>
        <w:tc>
          <w:tcPr>
            <w:tcW w:w="2551" w:type="dxa"/>
          </w:tcPr>
          <w:p w:rsidR="00160253" w:rsidRPr="00C96594" w:rsidRDefault="00160253" w:rsidP="00B774D6">
            <w:pPr>
              <w:pStyle w:val="In-tableHeading"/>
              <w:keepLines/>
              <w:jc w:val="center"/>
              <w:rPr>
                <w:lang w:val="en-AU"/>
              </w:rPr>
            </w:pPr>
            <w:r w:rsidRPr="00C96594">
              <w:rPr>
                <w:lang w:val="en-AU"/>
              </w:rPr>
              <w:t>Treatment</w:t>
            </w:r>
          </w:p>
        </w:tc>
        <w:tc>
          <w:tcPr>
            <w:tcW w:w="2552" w:type="dxa"/>
          </w:tcPr>
          <w:p w:rsidR="00160253" w:rsidRPr="00C96594" w:rsidRDefault="00160253" w:rsidP="00B774D6">
            <w:pPr>
              <w:pStyle w:val="In-tableHeading"/>
              <w:keepLines/>
              <w:jc w:val="center"/>
              <w:rPr>
                <w:lang w:val="en-AU"/>
              </w:rPr>
            </w:pPr>
            <w:r w:rsidRPr="00C96594">
              <w:rPr>
                <w:lang w:val="en-AU"/>
              </w:rPr>
              <w:t>Crizotinib</w:t>
            </w:r>
          </w:p>
        </w:tc>
        <w:tc>
          <w:tcPr>
            <w:tcW w:w="1509" w:type="dxa"/>
          </w:tcPr>
          <w:p w:rsidR="00160253" w:rsidRPr="00C96594" w:rsidRDefault="00160253" w:rsidP="00B774D6">
            <w:pPr>
              <w:pStyle w:val="In-tableHeading"/>
              <w:keepLines/>
              <w:rPr>
                <w:lang w:val="en-AU"/>
              </w:rPr>
            </w:pPr>
            <w:r w:rsidRPr="00C96594">
              <w:rPr>
                <w:lang w:val="en-AU"/>
              </w:rPr>
              <w:t>HR</w:t>
            </w:r>
          </w:p>
        </w:tc>
      </w:tr>
      <w:tr w:rsidR="00B774D6" w:rsidRPr="00C96594" w:rsidTr="00765199">
        <w:tc>
          <w:tcPr>
            <w:tcW w:w="9017" w:type="dxa"/>
            <w:gridSpan w:val="4"/>
            <w:vAlign w:val="center"/>
          </w:tcPr>
          <w:p w:rsidR="00B774D6" w:rsidRPr="00C96594" w:rsidRDefault="00B774D6" w:rsidP="00B774D6">
            <w:pPr>
              <w:pStyle w:val="In-tableHeading"/>
              <w:keepLines/>
              <w:rPr>
                <w:lang w:val="en-AU"/>
              </w:rPr>
            </w:pPr>
            <w:r w:rsidRPr="00C96594">
              <w:rPr>
                <w:rFonts w:cstheme="majorBidi"/>
                <w:bCs/>
                <w:lang w:val="en-AU"/>
              </w:rPr>
              <w:t>Progression-free survival - independent review assessment</w:t>
            </w:r>
          </w:p>
        </w:tc>
      </w:tr>
      <w:tr w:rsidR="00160253" w:rsidRPr="00C96594" w:rsidTr="00765199">
        <w:tc>
          <w:tcPr>
            <w:tcW w:w="9017" w:type="dxa"/>
            <w:gridSpan w:val="4"/>
            <w:vAlign w:val="center"/>
          </w:tcPr>
          <w:p w:rsidR="00160253" w:rsidRPr="00C96594" w:rsidRDefault="00160253" w:rsidP="00B774D6">
            <w:pPr>
              <w:pStyle w:val="In-tableHeading"/>
              <w:keepLines/>
              <w:rPr>
                <w:lang w:val="en-AU"/>
              </w:rPr>
            </w:pPr>
            <w:r w:rsidRPr="00C96594">
              <w:rPr>
                <w:lang w:val="en-AU"/>
              </w:rPr>
              <w:t>CROWN</w:t>
            </w:r>
            <w:r w:rsidRPr="00C96594">
              <w:rPr>
                <w:vertAlign w:val="superscript"/>
                <w:lang w:val="en-AU"/>
              </w:rPr>
              <w:t>a</w:t>
            </w:r>
            <w:r w:rsidRPr="00C96594">
              <w:rPr>
                <w:lang w:val="en-AU"/>
              </w:rPr>
              <w:t xml:space="preserve"> (lorlatinib)</w:t>
            </w:r>
          </w:p>
        </w:tc>
      </w:tr>
      <w:tr w:rsidR="00160253" w:rsidRPr="00C96594" w:rsidTr="00160253">
        <w:tc>
          <w:tcPr>
            <w:tcW w:w="2405" w:type="dxa"/>
            <w:vAlign w:val="center"/>
          </w:tcPr>
          <w:p w:rsidR="00160253" w:rsidRPr="00C96594" w:rsidRDefault="00160253" w:rsidP="00B774D6">
            <w:pPr>
              <w:pStyle w:val="In-tableHeading"/>
              <w:keepLines/>
              <w:rPr>
                <w:b w:val="0"/>
                <w:lang w:val="en-AU"/>
              </w:rPr>
            </w:pPr>
            <w:r w:rsidRPr="00C96594">
              <w:rPr>
                <w:b w:val="0"/>
                <w:lang w:val="en-AU"/>
              </w:rPr>
              <w:t>Events, n/N (%)</w:t>
            </w:r>
          </w:p>
        </w:tc>
        <w:tc>
          <w:tcPr>
            <w:tcW w:w="2551" w:type="dxa"/>
          </w:tcPr>
          <w:p w:rsidR="00160253" w:rsidRPr="00C96594" w:rsidRDefault="00160253" w:rsidP="00B774D6">
            <w:pPr>
              <w:pStyle w:val="In-tableHeading"/>
              <w:keepLines/>
              <w:jc w:val="center"/>
              <w:rPr>
                <w:b w:val="0"/>
                <w:lang w:val="en-AU"/>
              </w:rPr>
            </w:pPr>
            <w:r w:rsidRPr="00C96594">
              <w:rPr>
                <w:b w:val="0"/>
                <w:lang w:val="en-AU"/>
              </w:rPr>
              <w:t>41/149 (27.5)</w:t>
            </w:r>
          </w:p>
        </w:tc>
        <w:tc>
          <w:tcPr>
            <w:tcW w:w="2552" w:type="dxa"/>
          </w:tcPr>
          <w:p w:rsidR="00160253" w:rsidRPr="00C96594" w:rsidRDefault="00160253" w:rsidP="00B774D6">
            <w:pPr>
              <w:pStyle w:val="In-tableHeading"/>
              <w:keepLines/>
              <w:jc w:val="center"/>
              <w:rPr>
                <w:b w:val="0"/>
                <w:lang w:val="en-AU"/>
              </w:rPr>
            </w:pPr>
            <w:r w:rsidRPr="00C96594">
              <w:rPr>
                <w:b w:val="0"/>
                <w:lang w:val="en-AU"/>
              </w:rPr>
              <w:t>86/147 (58.5)</w:t>
            </w:r>
          </w:p>
        </w:tc>
        <w:tc>
          <w:tcPr>
            <w:tcW w:w="1509" w:type="dxa"/>
          </w:tcPr>
          <w:p w:rsidR="00160253" w:rsidRPr="00C96594" w:rsidRDefault="00160253" w:rsidP="00B774D6">
            <w:pPr>
              <w:pStyle w:val="In-tableHeading"/>
              <w:keepLines/>
              <w:rPr>
                <w:b w:val="0"/>
                <w:lang w:val="en-AU"/>
              </w:rPr>
            </w:pPr>
            <w:r w:rsidRPr="00C96594">
              <w:rPr>
                <w:b w:val="0"/>
                <w:lang w:val="en-AU"/>
              </w:rPr>
              <w:t>-</w:t>
            </w:r>
          </w:p>
        </w:tc>
      </w:tr>
      <w:tr w:rsidR="00160253" w:rsidRPr="00C96594" w:rsidTr="00160253">
        <w:tc>
          <w:tcPr>
            <w:tcW w:w="2405" w:type="dxa"/>
            <w:vAlign w:val="center"/>
          </w:tcPr>
          <w:p w:rsidR="00160253" w:rsidRPr="00C96594" w:rsidRDefault="00160253" w:rsidP="00B774D6">
            <w:pPr>
              <w:pStyle w:val="In-tableHeading"/>
              <w:keepLines/>
              <w:rPr>
                <w:b w:val="0"/>
                <w:lang w:val="en-AU"/>
              </w:rPr>
            </w:pPr>
            <w:r w:rsidRPr="00C96594">
              <w:rPr>
                <w:b w:val="0"/>
                <w:lang w:val="en-AU"/>
              </w:rPr>
              <w:t>Median PFS, months (95%CI)</w:t>
            </w:r>
          </w:p>
        </w:tc>
        <w:tc>
          <w:tcPr>
            <w:tcW w:w="2551" w:type="dxa"/>
          </w:tcPr>
          <w:p w:rsidR="00160253" w:rsidRPr="00C96594" w:rsidRDefault="00160253" w:rsidP="00B774D6">
            <w:pPr>
              <w:pStyle w:val="In-tableHeading"/>
              <w:keepLines/>
              <w:jc w:val="center"/>
              <w:rPr>
                <w:b w:val="0"/>
                <w:lang w:val="en-AU"/>
              </w:rPr>
            </w:pPr>
            <w:r w:rsidRPr="00C96594">
              <w:rPr>
                <w:b w:val="0"/>
                <w:lang w:val="en-AU"/>
              </w:rPr>
              <w:t>NE (NE, NE)</w:t>
            </w:r>
          </w:p>
        </w:tc>
        <w:tc>
          <w:tcPr>
            <w:tcW w:w="2552" w:type="dxa"/>
          </w:tcPr>
          <w:p w:rsidR="00160253" w:rsidRPr="00C96594" w:rsidRDefault="00160253" w:rsidP="00B774D6">
            <w:pPr>
              <w:pStyle w:val="In-tableHeading"/>
              <w:keepLines/>
              <w:jc w:val="center"/>
              <w:rPr>
                <w:b w:val="0"/>
                <w:lang w:val="en-AU"/>
              </w:rPr>
            </w:pPr>
            <w:r w:rsidRPr="00C96594">
              <w:rPr>
                <w:b w:val="0"/>
                <w:lang w:val="en-AU"/>
              </w:rPr>
              <w:t>9.3 (7.6, 11.1)</w:t>
            </w:r>
          </w:p>
        </w:tc>
        <w:tc>
          <w:tcPr>
            <w:tcW w:w="1509" w:type="dxa"/>
            <w:vAlign w:val="center"/>
          </w:tcPr>
          <w:p w:rsidR="00160253" w:rsidRPr="00C96594" w:rsidRDefault="00160253" w:rsidP="00B774D6">
            <w:pPr>
              <w:pStyle w:val="In-tableHeading"/>
              <w:keepLines/>
              <w:rPr>
                <w:lang w:val="en-AU"/>
              </w:rPr>
            </w:pPr>
            <w:r w:rsidRPr="00C96594">
              <w:rPr>
                <w:lang w:val="en-AU"/>
              </w:rPr>
              <w:t>0.28 (0.19, 0.41)</w:t>
            </w:r>
          </w:p>
        </w:tc>
      </w:tr>
      <w:tr w:rsidR="00160253" w:rsidRPr="00C96594" w:rsidTr="00765199">
        <w:tc>
          <w:tcPr>
            <w:tcW w:w="9017" w:type="dxa"/>
            <w:gridSpan w:val="4"/>
            <w:vAlign w:val="center"/>
          </w:tcPr>
          <w:p w:rsidR="00160253" w:rsidRPr="00C96594" w:rsidRDefault="00160253" w:rsidP="00B774D6">
            <w:pPr>
              <w:pStyle w:val="In-tableHeading"/>
              <w:keepLines/>
              <w:rPr>
                <w:lang w:val="en-AU"/>
              </w:rPr>
            </w:pPr>
            <w:r w:rsidRPr="00C96594">
              <w:rPr>
                <w:lang w:val="en-AU"/>
              </w:rPr>
              <w:t>ALEX</w:t>
            </w:r>
            <w:r w:rsidRPr="00C96594">
              <w:rPr>
                <w:vertAlign w:val="superscript"/>
                <w:lang w:val="en-AU"/>
              </w:rPr>
              <w:t>b</w:t>
            </w:r>
            <w:r w:rsidRPr="00C96594">
              <w:rPr>
                <w:lang w:val="en-AU"/>
              </w:rPr>
              <w:t xml:space="preserve"> (alectinib)</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b w:val="0"/>
                <w:lang w:val="en-AU"/>
              </w:rPr>
              <w:t>Events, n/N (%)</w:t>
            </w:r>
          </w:p>
        </w:tc>
        <w:tc>
          <w:tcPr>
            <w:tcW w:w="2551" w:type="dxa"/>
          </w:tcPr>
          <w:p w:rsidR="00160253" w:rsidRPr="00C96594" w:rsidRDefault="00160253" w:rsidP="00B774D6">
            <w:pPr>
              <w:pStyle w:val="In-tableHeading"/>
              <w:keepLines/>
              <w:jc w:val="center"/>
              <w:rPr>
                <w:b w:val="0"/>
                <w:lang w:val="en-AU"/>
              </w:rPr>
            </w:pPr>
            <w:r w:rsidRPr="00C96594">
              <w:rPr>
                <w:b w:val="0"/>
                <w:lang w:val="en-AU"/>
              </w:rPr>
              <w:t>NR</w:t>
            </w:r>
          </w:p>
        </w:tc>
        <w:tc>
          <w:tcPr>
            <w:tcW w:w="2552" w:type="dxa"/>
          </w:tcPr>
          <w:p w:rsidR="00160253" w:rsidRPr="00C96594" w:rsidRDefault="00160253" w:rsidP="00B774D6">
            <w:pPr>
              <w:pStyle w:val="In-tableHeading"/>
              <w:keepLines/>
              <w:jc w:val="center"/>
              <w:rPr>
                <w:b w:val="0"/>
                <w:lang w:val="en-AU"/>
              </w:rPr>
            </w:pPr>
            <w:r w:rsidRPr="00C96594">
              <w:rPr>
                <w:b w:val="0"/>
                <w:lang w:val="en-AU"/>
              </w:rPr>
              <w:t>NR</w:t>
            </w:r>
          </w:p>
        </w:tc>
        <w:tc>
          <w:tcPr>
            <w:tcW w:w="1509" w:type="dxa"/>
          </w:tcPr>
          <w:p w:rsidR="00160253" w:rsidRPr="00C96594" w:rsidRDefault="00160253" w:rsidP="00B774D6">
            <w:pPr>
              <w:pStyle w:val="In-tableHeading"/>
              <w:keepLines/>
              <w:rPr>
                <w:b w:val="0"/>
                <w:lang w:val="en-AU"/>
              </w:rPr>
            </w:pPr>
            <w:r w:rsidRPr="00C96594">
              <w:rPr>
                <w:b w:val="0"/>
                <w:lang w:val="en-AU"/>
              </w:rPr>
              <w:t>-</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b w:val="0"/>
                <w:lang w:val="en-AU"/>
              </w:rPr>
              <w:t>Median PFS, months (95%CI)</w:t>
            </w:r>
          </w:p>
        </w:tc>
        <w:tc>
          <w:tcPr>
            <w:tcW w:w="2551" w:type="dxa"/>
          </w:tcPr>
          <w:p w:rsidR="00160253" w:rsidRPr="00C96594" w:rsidRDefault="00160253" w:rsidP="00B774D6">
            <w:pPr>
              <w:pStyle w:val="In-tableHeading"/>
              <w:keepLines/>
              <w:jc w:val="center"/>
              <w:rPr>
                <w:b w:val="0"/>
                <w:lang w:val="en-AU"/>
              </w:rPr>
            </w:pPr>
            <w:r w:rsidRPr="00C96594">
              <w:rPr>
                <w:b w:val="0"/>
                <w:lang w:val="en-AU"/>
              </w:rPr>
              <w:t>25.7 (19.9, NE)</w:t>
            </w:r>
          </w:p>
        </w:tc>
        <w:tc>
          <w:tcPr>
            <w:tcW w:w="2552" w:type="dxa"/>
          </w:tcPr>
          <w:p w:rsidR="00160253" w:rsidRPr="00C96594" w:rsidRDefault="00160253" w:rsidP="00B774D6">
            <w:pPr>
              <w:pStyle w:val="In-tableHeading"/>
              <w:keepLines/>
              <w:jc w:val="center"/>
              <w:rPr>
                <w:lang w:val="en-AU"/>
              </w:rPr>
            </w:pPr>
            <w:r w:rsidRPr="00C96594">
              <w:rPr>
                <w:b w:val="0"/>
                <w:lang w:val="en-AU"/>
              </w:rPr>
              <w:t>10.4 (7.7, 14.6)</w:t>
            </w:r>
          </w:p>
        </w:tc>
        <w:tc>
          <w:tcPr>
            <w:tcW w:w="1509" w:type="dxa"/>
          </w:tcPr>
          <w:p w:rsidR="00160253" w:rsidRPr="00C96594" w:rsidRDefault="00160253" w:rsidP="00B774D6">
            <w:pPr>
              <w:pStyle w:val="In-tableHeading"/>
              <w:keepLines/>
              <w:rPr>
                <w:lang w:val="en-AU"/>
              </w:rPr>
            </w:pPr>
            <w:r w:rsidRPr="00C96594">
              <w:rPr>
                <w:lang w:val="en-AU"/>
              </w:rPr>
              <w:t>0.50 (0.36, 0.70)</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lang w:val="en-AU"/>
              </w:rPr>
              <w:t>CROWN vs. ALEX</w:t>
            </w:r>
          </w:p>
        </w:tc>
        <w:tc>
          <w:tcPr>
            <w:tcW w:w="5103" w:type="dxa"/>
            <w:gridSpan w:val="2"/>
          </w:tcPr>
          <w:p w:rsidR="00160253" w:rsidRPr="00C96594" w:rsidRDefault="00160253" w:rsidP="00B774D6">
            <w:pPr>
              <w:pStyle w:val="In-tableHeading"/>
              <w:keepLines/>
              <w:rPr>
                <w:lang w:val="en-AU"/>
              </w:rPr>
            </w:pPr>
            <w:r w:rsidRPr="00C96594">
              <w:rPr>
                <w:b w:val="0"/>
                <w:lang w:val="en-AU"/>
              </w:rPr>
              <w:t>Lorlatinib vs. alectinib (indirect)</w:t>
            </w:r>
          </w:p>
        </w:tc>
        <w:tc>
          <w:tcPr>
            <w:tcW w:w="1509" w:type="dxa"/>
          </w:tcPr>
          <w:p w:rsidR="00160253" w:rsidRPr="00C96594" w:rsidRDefault="00160253" w:rsidP="00B774D6">
            <w:pPr>
              <w:pStyle w:val="In-tableHeading"/>
              <w:keepLines/>
              <w:rPr>
                <w:lang w:val="en-AU"/>
              </w:rPr>
            </w:pPr>
            <w:r w:rsidRPr="00C96594">
              <w:rPr>
                <w:lang w:val="en-AU"/>
              </w:rPr>
              <w:t>0.56 (0.34, 0.93)</w:t>
            </w:r>
          </w:p>
        </w:tc>
      </w:tr>
      <w:tr w:rsidR="00160253" w:rsidRPr="00C96594" w:rsidTr="00160253">
        <w:tc>
          <w:tcPr>
            <w:tcW w:w="7508" w:type="dxa"/>
            <w:gridSpan w:val="3"/>
            <w:vAlign w:val="center"/>
          </w:tcPr>
          <w:p w:rsidR="00160253" w:rsidRPr="00C96594" w:rsidRDefault="00160253" w:rsidP="00B774D6">
            <w:pPr>
              <w:pStyle w:val="In-tableHeading"/>
              <w:keepLines/>
              <w:rPr>
                <w:lang w:val="en-AU"/>
              </w:rPr>
            </w:pPr>
            <w:r w:rsidRPr="00C96594">
              <w:rPr>
                <w:lang w:val="en-AU"/>
              </w:rPr>
              <w:t>Progression-free survival - investigator assessment</w:t>
            </w:r>
          </w:p>
        </w:tc>
        <w:tc>
          <w:tcPr>
            <w:tcW w:w="1509" w:type="dxa"/>
          </w:tcPr>
          <w:p w:rsidR="00160253" w:rsidRPr="00C96594" w:rsidRDefault="00160253" w:rsidP="00B774D6">
            <w:pPr>
              <w:pStyle w:val="In-tableHeading"/>
              <w:keepLines/>
              <w:rPr>
                <w:b w:val="0"/>
                <w:lang w:val="en-AU"/>
              </w:rPr>
            </w:pPr>
          </w:p>
        </w:tc>
      </w:tr>
      <w:tr w:rsidR="00160253" w:rsidRPr="00C96594" w:rsidTr="00160253">
        <w:tc>
          <w:tcPr>
            <w:tcW w:w="2405" w:type="dxa"/>
          </w:tcPr>
          <w:p w:rsidR="00160253" w:rsidRPr="00C96594" w:rsidRDefault="00160253" w:rsidP="00B774D6">
            <w:pPr>
              <w:pStyle w:val="In-tableHeading"/>
              <w:keepLines/>
              <w:rPr>
                <w:lang w:val="en-AU"/>
              </w:rPr>
            </w:pPr>
            <w:r w:rsidRPr="00C96594">
              <w:rPr>
                <w:lang w:val="en-AU"/>
              </w:rPr>
              <w:t>Study</w:t>
            </w:r>
            <w:r w:rsidR="00040E18" w:rsidRPr="00C96594">
              <w:rPr>
                <w:lang w:val="en-AU"/>
              </w:rPr>
              <w:t xml:space="preserve"> (treatment)</w:t>
            </w:r>
          </w:p>
        </w:tc>
        <w:tc>
          <w:tcPr>
            <w:tcW w:w="2551" w:type="dxa"/>
          </w:tcPr>
          <w:p w:rsidR="00160253" w:rsidRPr="00C96594" w:rsidRDefault="00160253" w:rsidP="00B774D6">
            <w:pPr>
              <w:pStyle w:val="In-tableHeading"/>
              <w:keepLines/>
              <w:jc w:val="center"/>
              <w:rPr>
                <w:lang w:val="en-AU"/>
              </w:rPr>
            </w:pPr>
            <w:r w:rsidRPr="00C96594">
              <w:rPr>
                <w:lang w:val="en-AU"/>
              </w:rPr>
              <w:t>Treatment</w:t>
            </w:r>
          </w:p>
        </w:tc>
        <w:tc>
          <w:tcPr>
            <w:tcW w:w="2552" w:type="dxa"/>
          </w:tcPr>
          <w:p w:rsidR="00160253" w:rsidRPr="00C96594" w:rsidRDefault="00160253" w:rsidP="00B774D6">
            <w:pPr>
              <w:pStyle w:val="In-tableHeading"/>
              <w:keepLines/>
              <w:jc w:val="center"/>
              <w:rPr>
                <w:lang w:val="en-AU"/>
              </w:rPr>
            </w:pPr>
            <w:r w:rsidRPr="00C96594">
              <w:rPr>
                <w:lang w:val="en-AU"/>
              </w:rPr>
              <w:t>Crizotinib</w:t>
            </w:r>
          </w:p>
        </w:tc>
        <w:tc>
          <w:tcPr>
            <w:tcW w:w="1509" w:type="dxa"/>
          </w:tcPr>
          <w:p w:rsidR="00160253" w:rsidRPr="00C96594" w:rsidRDefault="00160253" w:rsidP="00B774D6">
            <w:pPr>
              <w:pStyle w:val="In-tableHeading"/>
              <w:keepLines/>
              <w:rPr>
                <w:lang w:val="en-AU"/>
              </w:rPr>
            </w:pPr>
            <w:r w:rsidRPr="00C96594">
              <w:rPr>
                <w:lang w:val="en-AU"/>
              </w:rPr>
              <w:t>HR</w:t>
            </w:r>
          </w:p>
        </w:tc>
      </w:tr>
      <w:tr w:rsidR="00160253" w:rsidRPr="00C96594" w:rsidTr="00765199">
        <w:tc>
          <w:tcPr>
            <w:tcW w:w="9017" w:type="dxa"/>
            <w:gridSpan w:val="4"/>
            <w:vAlign w:val="center"/>
          </w:tcPr>
          <w:p w:rsidR="00160253" w:rsidRPr="00C96594" w:rsidRDefault="00160253" w:rsidP="00B774D6">
            <w:pPr>
              <w:pStyle w:val="In-tableHeading"/>
              <w:keepLines/>
              <w:rPr>
                <w:lang w:val="en-AU"/>
              </w:rPr>
            </w:pPr>
            <w:r w:rsidRPr="00C96594">
              <w:rPr>
                <w:lang w:val="en-AU"/>
              </w:rPr>
              <w:t>CROWN</w:t>
            </w:r>
            <w:r w:rsidRPr="00C96594">
              <w:rPr>
                <w:vertAlign w:val="superscript"/>
                <w:lang w:val="en-AU"/>
              </w:rPr>
              <w:t xml:space="preserve">a </w:t>
            </w:r>
            <w:r w:rsidRPr="00C96594">
              <w:rPr>
                <w:lang w:val="en-AU"/>
              </w:rPr>
              <w:t>(lorlatinib)</w:t>
            </w:r>
          </w:p>
        </w:tc>
      </w:tr>
      <w:tr w:rsidR="00160253" w:rsidRPr="00C96594" w:rsidTr="00160253">
        <w:tc>
          <w:tcPr>
            <w:tcW w:w="2405" w:type="dxa"/>
            <w:vAlign w:val="center"/>
          </w:tcPr>
          <w:p w:rsidR="00160253" w:rsidRPr="00C96594" w:rsidRDefault="00160253" w:rsidP="00B774D6">
            <w:pPr>
              <w:pStyle w:val="In-tableHeading"/>
              <w:keepLines/>
              <w:rPr>
                <w:b w:val="0"/>
                <w:lang w:val="en-AU"/>
              </w:rPr>
            </w:pPr>
            <w:r w:rsidRPr="00C96594">
              <w:rPr>
                <w:b w:val="0"/>
                <w:lang w:val="en-AU"/>
              </w:rPr>
              <w:t>Events, n/N (%)</w:t>
            </w:r>
          </w:p>
        </w:tc>
        <w:tc>
          <w:tcPr>
            <w:tcW w:w="2551" w:type="dxa"/>
          </w:tcPr>
          <w:p w:rsidR="00160253" w:rsidRPr="00C96594" w:rsidRDefault="000279BD" w:rsidP="00B774D6">
            <w:pPr>
              <w:pStyle w:val="In-tableHeading"/>
              <w:keepLines/>
              <w:jc w:val="center"/>
              <w:rPr>
                <w:b w:val="0"/>
                <w:lang w:val="en-AU"/>
              </w:rPr>
            </w:pPr>
            <w:r w:rsidRPr="00C96594">
              <w:rPr>
                <w:b w:val="0"/>
                <w:lang w:val="en-AU"/>
              </w:rPr>
              <w:t>40/149 (26.8)</w:t>
            </w:r>
          </w:p>
        </w:tc>
        <w:tc>
          <w:tcPr>
            <w:tcW w:w="2552" w:type="dxa"/>
          </w:tcPr>
          <w:p w:rsidR="00160253" w:rsidRPr="00C96594" w:rsidRDefault="000279BD" w:rsidP="00B774D6">
            <w:pPr>
              <w:pStyle w:val="In-tableHeading"/>
              <w:keepLines/>
              <w:jc w:val="center"/>
              <w:rPr>
                <w:b w:val="0"/>
                <w:lang w:val="en-AU"/>
              </w:rPr>
            </w:pPr>
            <w:r w:rsidRPr="00C96594">
              <w:rPr>
                <w:b w:val="0"/>
                <w:lang w:val="en-AU"/>
              </w:rPr>
              <w:t>104</w:t>
            </w:r>
            <w:r w:rsidR="00B12F4E" w:rsidRPr="00C96594">
              <w:rPr>
                <w:b w:val="0"/>
                <w:lang w:val="en-AU"/>
              </w:rPr>
              <w:t>/</w:t>
            </w:r>
            <w:r w:rsidRPr="00C96594">
              <w:rPr>
                <w:b w:val="0"/>
                <w:lang w:val="en-AU"/>
              </w:rPr>
              <w:t>147 (70.7)</w:t>
            </w:r>
          </w:p>
        </w:tc>
        <w:tc>
          <w:tcPr>
            <w:tcW w:w="1509" w:type="dxa"/>
          </w:tcPr>
          <w:p w:rsidR="00160253" w:rsidRPr="00C96594" w:rsidRDefault="00160253" w:rsidP="00B774D6">
            <w:pPr>
              <w:pStyle w:val="In-tableHeading"/>
              <w:keepLines/>
              <w:rPr>
                <w:b w:val="0"/>
                <w:lang w:val="en-AU"/>
              </w:rPr>
            </w:pPr>
            <w:r w:rsidRPr="00C96594">
              <w:rPr>
                <w:b w:val="0"/>
                <w:lang w:val="en-AU"/>
              </w:rPr>
              <w:t>-</w:t>
            </w:r>
          </w:p>
        </w:tc>
      </w:tr>
      <w:tr w:rsidR="00160253" w:rsidRPr="00C96594" w:rsidTr="00160253">
        <w:tc>
          <w:tcPr>
            <w:tcW w:w="2405" w:type="dxa"/>
            <w:vAlign w:val="center"/>
          </w:tcPr>
          <w:p w:rsidR="00160253" w:rsidRPr="00C96594" w:rsidRDefault="00160253" w:rsidP="00B774D6">
            <w:pPr>
              <w:pStyle w:val="In-tableHeading"/>
              <w:keepLines/>
              <w:rPr>
                <w:b w:val="0"/>
                <w:lang w:val="en-AU"/>
              </w:rPr>
            </w:pPr>
            <w:r w:rsidRPr="00C96594">
              <w:rPr>
                <w:b w:val="0"/>
                <w:lang w:val="en-AU"/>
              </w:rPr>
              <w:t>Median PFS, months (95%CI)</w:t>
            </w:r>
          </w:p>
        </w:tc>
        <w:tc>
          <w:tcPr>
            <w:tcW w:w="2551" w:type="dxa"/>
          </w:tcPr>
          <w:p w:rsidR="00160253" w:rsidRPr="00C96594" w:rsidRDefault="00160253" w:rsidP="00B774D6">
            <w:pPr>
              <w:pStyle w:val="In-tableHeading"/>
              <w:keepLines/>
              <w:jc w:val="center"/>
              <w:rPr>
                <w:b w:val="0"/>
                <w:lang w:val="en-AU"/>
              </w:rPr>
            </w:pPr>
            <w:r w:rsidRPr="00C96594">
              <w:rPr>
                <w:b w:val="0"/>
                <w:lang w:val="en-AU"/>
              </w:rPr>
              <w:t>NE (NE, NE)</w:t>
            </w:r>
          </w:p>
        </w:tc>
        <w:tc>
          <w:tcPr>
            <w:tcW w:w="2552" w:type="dxa"/>
          </w:tcPr>
          <w:p w:rsidR="00160253" w:rsidRPr="00C96594" w:rsidRDefault="00160253" w:rsidP="00B774D6">
            <w:pPr>
              <w:pStyle w:val="In-tableHeading"/>
              <w:keepLines/>
              <w:jc w:val="center"/>
              <w:rPr>
                <w:lang w:val="en-AU"/>
              </w:rPr>
            </w:pPr>
            <w:r w:rsidRPr="00C96594">
              <w:rPr>
                <w:b w:val="0"/>
                <w:lang w:val="en-AU"/>
              </w:rPr>
              <w:t>9.1 (7.4, 10.9)</w:t>
            </w:r>
          </w:p>
        </w:tc>
        <w:tc>
          <w:tcPr>
            <w:tcW w:w="1509" w:type="dxa"/>
            <w:vAlign w:val="center"/>
          </w:tcPr>
          <w:p w:rsidR="00160253" w:rsidRPr="00C96594" w:rsidRDefault="00160253" w:rsidP="00B774D6">
            <w:pPr>
              <w:pStyle w:val="In-tableHeading"/>
              <w:keepLines/>
              <w:rPr>
                <w:lang w:val="en-AU"/>
              </w:rPr>
            </w:pPr>
            <w:r w:rsidRPr="00C96594">
              <w:rPr>
                <w:lang w:val="en-AU"/>
              </w:rPr>
              <w:t>0.21 (0.14, 0.31)</w:t>
            </w:r>
          </w:p>
        </w:tc>
      </w:tr>
      <w:tr w:rsidR="00160253" w:rsidRPr="00C96594" w:rsidTr="00765199">
        <w:tc>
          <w:tcPr>
            <w:tcW w:w="9017" w:type="dxa"/>
            <w:gridSpan w:val="4"/>
            <w:vAlign w:val="center"/>
          </w:tcPr>
          <w:p w:rsidR="00160253" w:rsidRPr="00C96594" w:rsidRDefault="00160253" w:rsidP="00B774D6">
            <w:pPr>
              <w:pStyle w:val="In-tableHeading"/>
              <w:keepLines/>
              <w:rPr>
                <w:lang w:val="en-AU"/>
              </w:rPr>
            </w:pPr>
            <w:r w:rsidRPr="00C96594">
              <w:rPr>
                <w:lang w:val="en-AU"/>
              </w:rPr>
              <w:t>ALEX</w:t>
            </w:r>
            <w:r w:rsidRPr="00C96594">
              <w:rPr>
                <w:vertAlign w:val="superscript"/>
                <w:lang w:val="en-AU"/>
              </w:rPr>
              <w:t xml:space="preserve">b </w:t>
            </w:r>
            <w:r w:rsidRPr="00C96594">
              <w:rPr>
                <w:lang w:val="en-AU"/>
              </w:rPr>
              <w:t>(alectinib)</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b w:val="0"/>
                <w:lang w:val="en-AU"/>
              </w:rPr>
              <w:t>Events, n/N (%)</w:t>
            </w:r>
          </w:p>
        </w:tc>
        <w:tc>
          <w:tcPr>
            <w:tcW w:w="2551" w:type="dxa"/>
          </w:tcPr>
          <w:p w:rsidR="00160253" w:rsidRPr="00C96594" w:rsidRDefault="00160253" w:rsidP="00B774D6">
            <w:pPr>
              <w:pStyle w:val="In-tableHeading"/>
              <w:keepLines/>
              <w:jc w:val="center"/>
              <w:rPr>
                <w:b w:val="0"/>
                <w:lang w:val="en-AU"/>
              </w:rPr>
            </w:pPr>
            <w:r w:rsidRPr="00C96594">
              <w:rPr>
                <w:b w:val="0"/>
                <w:lang w:val="en-AU"/>
              </w:rPr>
              <w:t>62/152 (41)</w:t>
            </w:r>
          </w:p>
        </w:tc>
        <w:tc>
          <w:tcPr>
            <w:tcW w:w="2552" w:type="dxa"/>
          </w:tcPr>
          <w:p w:rsidR="00160253" w:rsidRPr="00C96594" w:rsidRDefault="00160253" w:rsidP="00B774D6">
            <w:pPr>
              <w:pStyle w:val="In-tableHeading"/>
              <w:keepLines/>
              <w:jc w:val="center"/>
              <w:rPr>
                <w:b w:val="0"/>
                <w:lang w:val="en-AU"/>
              </w:rPr>
            </w:pPr>
            <w:r w:rsidRPr="00C96594">
              <w:rPr>
                <w:b w:val="0"/>
                <w:lang w:val="en-AU"/>
              </w:rPr>
              <w:t>102/151 (68)</w:t>
            </w:r>
          </w:p>
        </w:tc>
        <w:tc>
          <w:tcPr>
            <w:tcW w:w="1509" w:type="dxa"/>
          </w:tcPr>
          <w:p w:rsidR="00160253" w:rsidRPr="00C96594" w:rsidRDefault="00160253" w:rsidP="00B774D6">
            <w:pPr>
              <w:pStyle w:val="In-tableHeading"/>
              <w:keepLines/>
              <w:rPr>
                <w:b w:val="0"/>
                <w:lang w:val="en-AU"/>
              </w:rPr>
            </w:pPr>
            <w:r w:rsidRPr="00C96594">
              <w:rPr>
                <w:b w:val="0"/>
                <w:lang w:val="en-AU"/>
              </w:rPr>
              <w:t>-</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b w:val="0"/>
                <w:lang w:val="en-AU"/>
              </w:rPr>
              <w:t>Median PFS, months (95%CI)</w:t>
            </w:r>
          </w:p>
        </w:tc>
        <w:tc>
          <w:tcPr>
            <w:tcW w:w="2551" w:type="dxa"/>
          </w:tcPr>
          <w:p w:rsidR="00160253" w:rsidRPr="00C96594" w:rsidRDefault="00160253" w:rsidP="00B774D6">
            <w:pPr>
              <w:pStyle w:val="In-tableHeading"/>
              <w:keepLines/>
              <w:jc w:val="center"/>
              <w:rPr>
                <w:b w:val="0"/>
                <w:lang w:val="en-AU"/>
              </w:rPr>
            </w:pPr>
            <w:r w:rsidRPr="00C96594">
              <w:rPr>
                <w:b w:val="0"/>
                <w:lang w:val="en-AU"/>
              </w:rPr>
              <w:t>NE (17.7, NE)</w:t>
            </w:r>
          </w:p>
        </w:tc>
        <w:tc>
          <w:tcPr>
            <w:tcW w:w="2552" w:type="dxa"/>
          </w:tcPr>
          <w:p w:rsidR="00160253" w:rsidRPr="00C96594" w:rsidRDefault="00160253" w:rsidP="00B774D6">
            <w:pPr>
              <w:pStyle w:val="In-tableHeading"/>
              <w:keepLines/>
              <w:jc w:val="center"/>
              <w:rPr>
                <w:b w:val="0"/>
                <w:lang w:val="en-AU"/>
              </w:rPr>
            </w:pPr>
            <w:r w:rsidRPr="00C96594">
              <w:rPr>
                <w:b w:val="0"/>
                <w:lang w:val="en-AU"/>
              </w:rPr>
              <w:t>11.1 (9.1, 13.1)</w:t>
            </w:r>
          </w:p>
        </w:tc>
        <w:tc>
          <w:tcPr>
            <w:tcW w:w="1509" w:type="dxa"/>
          </w:tcPr>
          <w:p w:rsidR="00160253" w:rsidRPr="00C96594" w:rsidRDefault="00160253" w:rsidP="00B774D6">
            <w:pPr>
              <w:pStyle w:val="In-tableHeading"/>
              <w:keepLines/>
              <w:rPr>
                <w:lang w:val="en-AU"/>
              </w:rPr>
            </w:pPr>
            <w:r w:rsidRPr="00C96594">
              <w:rPr>
                <w:lang w:val="en-AU"/>
              </w:rPr>
              <w:t>0.47 (0.34, 0.65)</w:t>
            </w:r>
          </w:p>
        </w:tc>
      </w:tr>
      <w:tr w:rsidR="00160253" w:rsidRPr="00C96594" w:rsidTr="00160253">
        <w:tc>
          <w:tcPr>
            <w:tcW w:w="2405" w:type="dxa"/>
            <w:vAlign w:val="center"/>
          </w:tcPr>
          <w:p w:rsidR="00160253" w:rsidRPr="00C96594" w:rsidRDefault="00160253" w:rsidP="00B774D6">
            <w:pPr>
              <w:pStyle w:val="In-tableHeading"/>
              <w:keepLines/>
              <w:rPr>
                <w:lang w:val="en-AU"/>
              </w:rPr>
            </w:pPr>
            <w:r w:rsidRPr="00C96594">
              <w:rPr>
                <w:lang w:val="en-AU"/>
              </w:rPr>
              <w:t>CROWN vs. ALEX</w:t>
            </w:r>
          </w:p>
        </w:tc>
        <w:tc>
          <w:tcPr>
            <w:tcW w:w="5103" w:type="dxa"/>
            <w:gridSpan w:val="2"/>
          </w:tcPr>
          <w:p w:rsidR="00160253" w:rsidRPr="00C96594" w:rsidRDefault="00160253" w:rsidP="00B774D6">
            <w:pPr>
              <w:pStyle w:val="In-tableHeading"/>
              <w:keepLines/>
              <w:rPr>
                <w:lang w:val="en-AU"/>
              </w:rPr>
            </w:pPr>
            <w:r w:rsidRPr="00C96594">
              <w:rPr>
                <w:b w:val="0"/>
                <w:lang w:val="en-AU"/>
              </w:rPr>
              <w:t>Lorlatinib vs. alectinib (indirect)</w:t>
            </w:r>
          </w:p>
        </w:tc>
        <w:tc>
          <w:tcPr>
            <w:tcW w:w="1509" w:type="dxa"/>
          </w:tcPr>
          <w:p w:rsidR="00160253" w:rsidRPr="00C96594" w:rsidRDefault="00160253" w:rsidP="00B774D6">
            <w:pPr>
              <w:pStyle w:val="In-tableHeading"/>
              <w:keepLines/>
              <w:rPr>
                <w:lang w:val="en-AU"/>
              </w:rPr>
            </w:pPr>
            <w:r w:rsidRPr="00C96594">
              <w:rPr>
                <w:lang w:val="en-AU"/>
              </w:rPr>
              <w:t>0.45 (0.27, 0.75)</w:t>
            </w:r>
          </w:p>
        </w:tc>
      </w:tr>
    </w:tbl>
    <w:p w:rsidR="002340EE" w:rsidRPr="00C96594" w:rsidRDefault="002340EE" w:rsidP="00B774D6">
      <w:pPr>
        <w:pStyle w:val="TableFigureFooter"/>
        <w:keepNext/>
        <w:keepLines/>
      </w:pPr>
      <w:r w:rsidRPr="00C96594">
        <w:t xml:space="preserve">Source: Tables </w:t>
      </w:r>
      <w:r w:rsidR="00B12F4E" w:rsidRPr="00C96594">
        <w:t>2.5.1</w:t>
      </w:r>
      <w:r w:rsidR="007B0A66">
        <w:t>,</w:t>
      </w:r>
      <w:r w:rsidR="00B12F4E" w:rsidRPr="00C96594">
        <w:t xml:space="preserve"> 2.5.2,  </w:t>
      </w:r>
      <w:r w:rsidRPr="00C96594">
        <w:t>2.6.4-5 of the submission</w:t>
      </w:r>
      <w:r w:rsidR="00B12F4E" w:rsidRPr="00C96594">
        <w:t>; Peters 2017</w:t>
      </w:r>
    </w:p>
    <w:p w:rsidR="002340EE" w:rsidRPr="00C96594" w:rsidRDefault="002340EE" w:rsidP="00B774D6">
      <w:pPr>
        <w:pStyle w:val="TableFigureFooter"/>
        <w:keepNext/>
        <w:keepLines/>
        <w:rPr>
          <w:b/>
        </w:rPr>
      </w:pPr>
      <w:r w:rsidRPr="00C96594">
        <w:rPr>
          <w:b/>
        </w:rPr>
        <w:t>Statistically significant results bolded.</w:t>
      </w:r>
    </w:p>
    <w:p w:rsidR="002340EE" w:rsidRPr="00C96594" w:rsidRDefault="002340EE" w:rsidP="00B774D6">
      <w:pPr>
        <w:pStyle w:val="TableFigureFooter"/>
        <w:keepNext/>
        <w:keepLines/>
      </w:pPr>
      <w:r w:rsidRPr="00C96594">
        <w:rPr>
          <w:vertAlign w:val="superscript"/>
        </w:rPr>
        <w:t>a</w:t>
      </w:r>
      <w:r w:rsidRPr="00C96594">
        <w:t>Median duration of follow up for PFS: 18.3 months for lorlatinib and 14.8 months for crizotinib. Data cut-off = March 2020</w:t>
      </w:r>
    </w:p>
    <w:p w:rsidR="002340EE" w:rsidRPr="00C96594" w:rsidRDefault="002340EE" w:rsidP="00B774D6">
      <w:pPr>
        <w:pStyle w:val="TableFigureFooter"/>
        <w:keepNext/>
        <w:keepLines/>
      </w:pPr>
      <w:r w:rsidRPr="00C96594">
        <w:rPr>
          <w:vertAlign w:val="superscript"/>
        </w:rPr>
        <w:t>b</w:t>
      </w:r>
      <w:r w:rsidRPr="00C96594">
        <w:t>Median duration of follow up for PFS: 18.6 months for alectinib and 17.6 months for crizotinib. Data cut-off = February 2017</w:t>
      </w:r>
    </w:p>
    <w:p w:rsidR="002340EE" w:rsidRPr="00C96594" w:rsidRDefault="002340EE" w:rsidP="00B774D6">
      <w:pPr>
        <w:pStyle w:val="TableFigureFooter"/>
        <w:keepNext/>
        <w:keepLines/>
      </w:pPr>
      <w:r w:rsidRPr="00C96594">
        <w:t>NE = Not estimable as median not reached; HR=Hazard ratio; CI=Confidence interval</w:t>
      </w:r>
    </w:p>
    <w:p w:rsidR="00E30838" w:rsidRPr="00C96594" w:rsidRDefault="00E30838" w:rsidP="00E30838">
      <w:pPr>
        <w:pStyle w:val="In-tableHeading"/>
        <w:rPr>
          <w:lang w:val="en-AU"/>
        </w:rPr>
      </w:pPr>
    </w:p>
    <w:p w:rsidR="00A2510E" w:rsidRPr="00C96594" w:rsidRDefault="00A2510E" w:rsidP="00A2510E">
      <w:pPr>
        <w:pStyle w:val="TableFigureHeading"/>
      </w:pPr>
      <w:r w:rsidRPr="00C96594">
        <w:t xml:space="preserve">Table </w:t>
      </w:r>
      <w:r w:rsidR="007E358B" w:rsidRPr="00C96594">
        <w:t>5</w:t>
      </w:r>
      <w:r w:rsidRPr="00C96594">
        <w:t>: Lorlatinib versus alectinib via crizotinib as the common reference arm – OS</w:t>
      </w:r>
    </w:p>
    <w:tbl>
      <w:tblPr>
        <w:tblStyle w:val="TableGrid"/>
        <w:tblW w:w="0" w:type="auto"/>
        <w:tblLook w:val="04A0" w:firstRow="1" w:lastRow="0" w:firstColumn="1" w:lastColumn="0" w:noHBand="0" w:noVBand="1"/>
        <w:tblCaption w:val="Table 5: Lorlatinib versus alectinib via crizotinib as the common reference arm – OS"/>
      </w:tblPr>
      <w:tblGrid>
        <w:gridCol w:w="2405"/>
        <w:gridCol w:w="2551"/>
        <w:gridCol w:w="2552"/>
        <w:gridCol w:w="1509"/>
      </w:tblGrid>
      <w:tr w:rsidR="00040E18" w:rsidRPr="00C96594" w:rsidTr="00CA41D0">
        <w:trPr>
          <w:tblHeader/>
        </w:trPr>
        <w:tc>
          <w:tcPr>
            <w:tcW w:w="2405" w:type="dxa"/>
          </w:tcPr>
          <w:p w:rsidR="00040E18" w:rsidRPr="00C96594" w:rsidRDefault="00040E18" w:rsidP="00765199">
            <w:pPr>
              <w:pStyle w:val="In-tableHeading"/>
              <w:rPr>
                <w:lang w:val="en-AU"/>
              </w:rPr>
            </w:pPr>
            <w:r w:rsidRPr="00C96594">
              <w:rPr>
                <w:lang w:val="en-AU"/>
              </w:rPr>
              <w:t>Study (treatment)</w:t>
            </w:r>
          </w:p>
        </w:tc>
        <w:tc>
          <w:tcPr>
            <w:tcW w:w="2551" w:type="dxa"/>
          </w:tcPr>
          <w:p w:rsidR="00040E18" w:rsidRPr="00C96594" w:rsidRDefault="00040E18" w:rsidP="00765199">
            <w:pPr>
              <w:pStyle w:val="In-tableHeading"/>
              <w:jc w:val="center"/>
              <w:rPr>
                <w:lang w:val="en-AU"/>
              </w:rPr>
            </w:pPr>
            <w:r w:rsidRPr="00C96594">
              <w:rPr>
                <w:lang w:val="en-AU"/>
              </w:rPr>
              <w:t>Treatment</w:t>
            </w:r>
          </w:p>
        </w:tc>
        <w:tc>
          <w:tcPr>
            <w:tcW w:w="2552" w:type="dxa"/>
          </w:tcPr>
          <w:p w:rsidR="00040E18" w:rsidRPr="00C96594" w:rsidRDefault="00040E18" w:rsidP="00765199">
            <w:pPr>
              <w:pStyle w:val="In-tableHeading"/>
              <w:jc w:val="center"/>
              <w:rPr>
                <w:lang w:val="en-AU"/>
              </w:rPr>
            </w:pPr>
            <w:r w:rsidRPr="00C96594">
              <w:rPr>
                <w:lang w:val="en-AU"/>
              </w:rPr>
              <w:t>Crizotinib</w:t>
            </w:r>
          </w:p>
        </w:tc>
        <w:tc>
          <w:tcPr>
            <w:tcW w:w="1509" w:type="dxa"/>
          </w:tcPr>
          <w:p w:rsidR="00040E18" w:rsidRPr="00C96594" w:rsidRDefault="00040E18" w:rsidP="00765199">
            <w:pPr>
              <w:pStyle w:val="In-tableHeading"/>
              <w:rPr>
                <w:lang w:val="en-AU"/>
              </w:rPr>
            </w:pPr>
            <w:r w:rsidRPr="00C96594">
              <w:rPr>
                <w:lang w:val="en-AU"/>
              </w:rPr>
              <w:t>HR</w:t>
            </w:r>
          </w:p>
        </w:tc>
      </w:tr>
      <w:tr w:rsidR="00040E18" w:rsidRPr="00C96594" w:rsidTr="00765199">
        <w:tc>
          <w:tcPr>
            <w:tcW w:w="9017" w:type="dxa"/>
            <w:gridSpan w:val="4"/>
            <w:vAlign w:val="center"/>
          </w:tcPr>
          <w:p w:rsidR="00040E18" w:rsidRPr="00C96594" w:rsidRDefault="00040E18" w:rsidP="00765199">
            <w:pPr>
              <w:pStyle w:val="In-tableHeading"/>
              <w:rPr>
                <w:lang w:val="en-AU"/>
              </w:rPr>
            </w:pPr>
            <w:r w:rsidRPr="00C96594">
              <w:rPr>
                <w:lang w:val="en-AU"/>
              </w:rPr>
              <w:t>CROWN</w:t>
            </w:r>
            <w:r w:rsidRPr="00C96594">
              <w:rPr>
                <w:vertAlign w:val="superscript"/>
                <w:lang w:val="en-AU"/>
              </w:rPr>
              <w:t>a</w:t>
            </w:r>
            <w:r w:rsidRPr="00C96594">
              <w:rPr>
                <w:lang w:val="en-AU"/>
              </w:rPr>
              <w:t xml:space="preserve"> (lorlatinib)</w:t>
            </w:r>
          </w:p>
        </w:tc>
      </w:tr>
      <w:tr w:rsidR="00220FB0" w:rsidRPr="00C96594" w:rsidTr="00765199">
        <w:tc>
          <w:tcPr>
            <w:tcW w:w="2405" w:type="dxa"/>
            <w:vAlign w:val="center"/>
          </w:tcPr>
          <w:p w:rsidR="00220FB0" w:rsidRPr="00C96594" w:rsidRDefault="00220FB0" w:rsidP="00220FB0">
            <w:pPr>
              <w:pStyle w:val="In-tableHeading"/>
              <w:rPr>
                <w:b w:val="0"/>
                <w:lang w:val="en-AU"/>
              </w:rPr>
            </w:pPr>
            <w:r w:rsidRPr="00C96594">
              <w:rPr>
                <w:b w:val="0"/>
                <w:lang w:val="en-AU"/>
              </w:rPr>
              <w:t>Events, n/N (%)</w:t>
            </w:r>
          </w:p>
        </w:tc>
        <w:tc>
          <w:tcPr>
            <w:tcW w:w="2551" w:type="dxa"/>
          </w:tcPr>
          <w:p w:rsidR="00220FB0" w:rsidRPr="00C96594" w:rsidRDefault="00220FB0" w:rsidP="00220FB0">
            <w:pPr>
              <w:pStyle w:val="In-tableHeading"/>
              <w:jc w:val="center"/>
              <w:rPr>
                <w:b w:val="0"/>
                <w:lang w:val="en-AU"/>
              </w:rPr>
            </w:pPr>
            <w:r w:rsidRPr="00C96594">
              <w:rPr>
                <w:b w:val="0"/>
                <w:lang w:val="en-AU"/>
              </w:rPr>
              <w:t>23/149 (15.4)</w:t>
            </w:r>
          </w:p>
        </w:tc>
        <w:tc>
          <w:tcPr>
            <w:tcW w:w="2552" w:type="dxa"/>
          </w:tcPr>
          <w:p w:rsidR="00220FB0" w:rsidRPr="00C96594" w:rsidRDefault="00220FB0" w:rsidP="00220FB0">
            <w:pPr>
              <w:pStyle w:val="In-tableHeading"/>
              <w:jc w:val="center"/>
              <w:rPr>
                <w:b w:val="0"/>
                <w:lang w:val="en-AU"/>
              </w:rPr>
            </w:pPr>
            <w:r w:rsidRPr="00C96594">
              <w:rPr>
                <w:b w:val="0"/>
                <w:lang w:val="en-AU"/>
              </w:rPr>
              <w:t>28/147 (19.0)</w:t>
            </w:r>
          </w:p>
        </w:tc>
        <w:tc>
          <w:tcPr>
            <w:tcW w:w="1509" w:type="dxa"/>
          </w:tcPr>
          <w:p w:rsidR="00220FB0" w:rsidRPr="00C96594" w:rsidRDefault="00220FB0" w:rsidP="00220FB0">
            <w:pPr>
              <w:pStyle w:val="In-tableHeading"/>
              <w:rPr>
                <w:b w:val="0"/>
                <w:lang w:val="en-AU"/>
              </w:rPr>
            </w:pPr>
            <w:r w:rsidRPr="00C96594">
              <w:rPr>
                <w:b w:val="0"/>
                <w:lang w:val="en-AU"/>
              </w:rPr>
              <w:t>-</w:t>
            </w:r>
          </w:p>
        </w:tc>
      </w:tr>
      <w:tr w:rsidR="00220FB0" w:rsidRPr="00C96594" w:rsidTr="00765199">
        <w:tc>
          <w:tcPr>
            <w:tcW w:w="2405" w:type="dxa"/>
            <w:vAlign w:val="center"/>
          </w:tcPr>
          <w:p w:rsidR="00220FB0" w:rsidRPr="00C96594" w:rsidRDefault="00220FB0" w:rsidP="00220FB0">
            <w:pPr>
              <w:pStyle w:val="In-tableHeading"/>
              <w:rPr>
                <w:b w:val="0"/>
                <w:lang w:val="en-AU"/>
              </w:rPr>
            </w:pPr>
            <w:r w:rsidRPr="00C96594">
              <w:rPr>
                <w:b w:val="0"/>
                <w:lang w:val="en-AU"/>
              </w:rPr>
              <w:t>Median OS, months (95%CI)</w:t>
            </w:r>
          </w:p>
        </w:tc>
        <w:tc>
          <w:tcPr>
            <w:tcW w:w="2551" w:type="dxa"/>
          </w:tcPr>
          <w:p w:rsidR="00220FB0" w:rsidRPr="00C96594" w:rsidRDefault="00220FB0" w:rsidP="00220FB0">
            <w:pPr>
              <w:pStyle w:val="TableText0"/>
              <w:jc w:val="center"/>
            </w:pPr>
            <w:r w:rsidRPr="00C96594">
              <w:t>NE (NE, NE)</w:t>
            </w:r>
          </w:p>
        </w:tc>
        <w:tc>
          <w:tcPr>
            <w:tcW w:w="2552" w:type="dxa"/>
          </w:tcPr>
          <w:p w:rsidR="00220FB0" w:rsidRPr="00C96594" w:rsidRDefault="00220FB0" w:rsidP="00220FB0">
            <w:pPr>
              <w:pStyle w:val="In-tableHeading"/>
              <w:jc w:val="center"/>
              <w:rPr>
                <w:b w:val="0"/>
                <w:lang w:val="en-AU"/>
              </w:rPr>
            </w:pPr>
            <w:r w:rsidRPr="00C96594">
              <w:rPr>
                <w:b w:val="0"/>
                <w:lang w:val="en-AU"/>
              </w:rPr>
              <w:t>NE (NE, NE)</w:t>
            </w:r>
          </w:p>
        </w:tc>
        <w:tc>
          <w:tcPr>
            <w:tcW w:w="1509" w:type="dxa"/>
            <w:vAlign w:val="center"/>
          </w:tcPr>
          <w:p w:rsidR="00220FB0" w:rsidRPr="00C96594" w:rsidRDefault="00220FB0" w:rsidP="00220FB0">
            <w:pPr>
              <w:pStyle w:val="In-tableHeading"/>
              <w:rPr>
                <w:b w:val="0"/>
                <w:lang w:val="en-AU"/>
              </w:rPr>
            </w:pPr>
            <w:r w:rsidRPr="00C96594">
              <w:rPr>
                <w:b w:val="0"/>
                <w:lang w:val="en-AU"/>
              </w:rPr>
              <w:t>0.72 (0.41, 1.25)</w:t>
            </w:r>
          </w:p>
        </w:tc>
      </w:tr>
      <w:tr w:rsidR="00220FB0" w:rsidRPr="00C96594" w:rsidTr="00765199">
        <w:tc>
          <w:tcPr>
            <w:tcW w:w="9017" w:type="dxa"/>
            <w:gridSpan w:val="4"/>
            <w:vAlign w:val="center"/>
          </w:tcPr>
          <w:p w:rsidR="00220FB0" w:rsidRPr="00C96594" w:rsidRDefault="00220FB0" w:rsidP="00220FB0">
            <w:pPr>
              <w:pStyle w:val="In-tableHeading"/>
              <w:rPr>
                <w:lang w:val="en-AU"/>
              </w:rPr>
            </w:pPr>
            <w:r w:rsidRPr="00C96594">
              <w:rPr>
                <w:lang w:val="en-AU"/>
              </w:rPr>
              <w:t>ALEX (December 2017 cut-off</w:t>
            </w:r>
            <w:r w:rsidRPr="00C96594">
              <w:rPr>
                <w:vertAlign w:val="superscript"/>
                <w:lang w:val="en-AU"/>
              </w:rPr>
              <w:t xml:space="preserve"> b</w:t>
            </w:r>
            <w:r w:rsidRPr="00C96594">
              <w:rPr>
                <w:lang w:val="en-AU"/>
              </w:rPr>
              <w:t xml:space="preserve"> (alectinib)</w:t>
            </w:r>
          </w:p>
        </w:tc>
      </w:tr>
      <w:tr w:rsidR="00220FB0" w:rsidRPr="00C96594" w:rsidTr="00765199">
        <w:tc>
          <w:tcPr>
            <w:tcW w:w="2405" w:type="dxa"/>
            <w:vAlign w:val="center"/>
          </w:tcPr>
          <w:p w:rsidR="00220FB0" w:rsidRPr="00C96594" w:rsidRDefault="00220FB0" w:rsidP="00220FB0">
            <w:pPr>
              <w:pStyle w:val="In-tableHeading"/>
              <w:rPr>
                <w:lang w:val="en-AU"/>
              </w:rPr>
            </w:pPr>
            <w:r w:rsidRPr="00C96594">
              <w:rPr>
                <w:b w:val="0"/>
                <w:lang w:val="en-AU"/>
              </w:rPr>
              <w:t>Events, n/N (%)</w:t>
            </w:r>
          </w:p>
        </w:tc>
        <w:tc>
          <w:tcPr>
            <w:tcW w:w="2551" w:type="dxa"/>
          </w:tcPr>
          <w:p w:rsidR="00220FB0" w:rsidRPr="00C96594" w:rsidRDefault="00220FB0" w:rsidP="00220FB0">
            <w:pPr>
              <w:pStyle w:val="In-tableHeading"/>
              <w:jc w:val="center"/>
              <w:rPr>
                <w:b w:val="0"/>
                <w:lang w:val="en-AU"/>
              </w:rPr>
            </w:pPr>
            <w:r w:rsidRPr="00C96594">
              <w:rPr>
                <w:b w:val="0"/>
                <w:lang w:val="en-AU"/>
              </w:rPr>
              <w:t>43/152 (28.3)</w:t>
            </w:r>
          </w:p>
        </w:tc>
        <w:tc>
          <w:tcPr>
            <w:tcW w:w="2552" w:type="dxa"/>
          </w:tcPr>
          <w:p w:rsidR="00220FB0" w:rsidRPr="00C96594" w:rsidRDefault="00220FB0" w:rsidP="00220FB0">
            <w:pPr>
              <w:pStyle w:val="In-tableHeading"/>
              <w:jc w:val="center"/>
              <w:rPr>
                <w:b w:val="0"/>
                <w:lang w:val="en-AU"/>
              </w:rPr>
            </w:pPr>
            <w:r w:rsidRPr="00C96594">
              <w:rPr>
                <w:b w:val="0"/>
                <w:lang w:val="en-AU"/>
              </w:rPr>
              <w:t>48/151 (31.8)</w:t>
            </w:r>
          </w:p>
        </w:tc>
        <w:tc>
          <w:tcPr>
            <w:tcW w:w="1509" w:type="dxa"/>
          </w:tcPr>
          <w:p w:rsidR="00220FB0" w:rsidRPr="00C96594" w:rsidRDefault="00220FB0" w:rsidP="00220FB0">
            <w:pPr>
              <w:pStyle w:val="In-tableHeading"/>
              <w:rPr>
                <w:b w:val="0"/>
                <w:lang w:val="en-AU"/>
              </w:rPr>
            </w:pPr>
            <w:r w:rsidRPr="00C96594">
              <w:rPr>
                <w:b w:val="0"/>
                <w:lang w:val="en-AU"/>
              </w:rPr>
              <w:t>-</w:t>
            </w:r>
          </w:p>
        </w:tc>
      </w:tr>
      <w:tr w:rsidR="00220FB0" w:rsidRPr="00C96594" w:rsidTr="00765199">
        <w:tc>
          <w:tcPr>
            <w:tcW w:w="2405" w:type="dxa"/>
            <w:vAlign w:val="center"/>
          </w:tcPr>
          <w:p w:rsidR="00220FB0" w:rsidRPr="00C96594" w:rsidRDefault="00220FB0" w:rsidP="00220FB0">
            <w:pPr>
              <w:pStyle w:val="In-tableHeading"/>
              <w:rPr>
                <w:lang w:val="en-AU"/>
              </w:rPr>
            </w:pPr>
            <w:r w:rsidRPr="00C96594">
              <w:rPr>
                <w:b w:val="0"/>
                <w:lang w:val="en-AU"/>
              </w:rPr>
              <w:t>Median OS, months (95%CI)</w:t>
            </w:r>
          </w:p>
        </w:tc>
        <w:tc>
          <w:tcPr>
            <w:tcW w:w="2551" w:type="dxa"/>
          </w:tcPr>
          <w:p w:rsidR="00220FB0" w:rsidRPr="00C96594" w:rsidRDefault="00220FB0" w:rsidP="00220FB0">
            <w:pPr>
              <w:pStyle w:val="In-tableHeading"/>
              <w:jc w:val="center"/>
              <w:rPr>
                <w:b w:val="0"/>
                <w:lang w:val="en-AU"/>
              </w:rPr>
            </w:pPr>
            <w:r w:rsidRPr="00C96594">
              <w:rPr>
                <w:b w:val="0"/>
                <w:lang w:val="en-AU"/>
              </w:rPr>
              <w:t>NE (NR)</w:t>
            </w:r>
          </w:p>
        </w:tc>
        <w:tc>
          <w:tcPr>
            <w:tcW w:w="2552" w:type="dxa"/>
          </w:tcPr>
          <w:p w:rsidR="00220FB0" w:rsidRPr="00C96594" w:rsidRDefault="00220FB0" w:rsidP="00220FB0">
            <w:pPr>
              <w:pStyle w:val="In-tableHeading"/>
              <w:jc w:val="center"/>
              <w:rPr>
                <w:b w:val="0"/>
                <w:lang w:val="en-AU"/>
              </w:rPr>
            </w:pPr>
            <w:r w:rsidRPr="00C96594">
              <w:rPr>
                <w:b w:val="0"/>
                <w:lang w:val="en-AU"/>
              </w:rPr>
              <w:t>NE (NR)</w:t>
            </w:r>
          </w:p>
        </w:tc>
        <w:tc>
          <w:tcPr>
            <w:tcW w:w="1509" w:type="dxa"/>
          </w:tcPr>
          <w:p w:rsidR="00220FB0" w:rsidRPr="00C96594" w:rsidRDefault="00220FB0" w:rsidP="00220FB0">
            <w:pPr>
              <w:pStyle w:val="In-tableHeading"/>
              <w:rPr>
                <w:lang w:val="en-AU"/>
              </w:rPr>
            </w:pPr>
            <w:r w:rsidRPr="00C96594">
              <w:rPr>
                <w:b w:val="0"/>
                <w:lang w:val="en-AU"/>
              </w:rPr>
              <w:t>0.76 (0.50, 1.15</w:t>
            </w:r>
            <w:r w:rsidRPr="00C96594">
              <w:rPr>
                <w:lang w:val="en-AU"/>
              </w:rPr>
              <w:t>)</w:t>
            </w:r>
          </w:p>
        </w:tc>
      </w:tr>
      <w:tr w:rsidR="00220FB0" w:rsidRPr="00C96594" w:rsidTr="00765199">
        <w:tc>
          <w:tcPr>
            <w:tcW w:w="9017" w:type="dxa"/>
            <w:gridSpan w:val="4"/>
            <w:vAlign w:val="center"/>
          </w:tcPr>
          <w:p w:rsidR="00220FB0" w:rsidRPr="00C96594" w:rsidRDefault="00220FB0" w:rsidP="00220FB0">
            <w:pPr>
              <w:pStyle w:val="In-tableHeading"/>
              <w:rPr>
                <w:lang w:val="en-AU"/>
              </w:rPr>
            </w:pPr>
            <w:r w:rsidRPr="00C96594">
              <w:rPr>
                <w:lang w:val="en-AU"/>
              </w:rPr>
              <w:t>ALEX (November 2019 cut-off</w:t>
            </w:r>
            <w:r w:rsidRPr="00C96594">
              <w:rPr>
                <w:vertAlign w:val="superscript"/>
                <w:lang w:val="en-AU"/>
              </w:rPr>
              <w:t xml:space="preserve"> c</w:t>
            </w:r>
            <w:r w:rsidRPr="00C96594">
              <w:rPr>
                <w:lang w:val="en-AU"/>
              </w:rPr>
              <w:t xml:space="preserve"> (alectinib)</w:t>
            </w:r>
          </w:p>
        </w:tc>
      </w:tr>
      <w:tr w:rsidR="00220FB0" w:rsidRPr="00C96594" w:rsidTr="00765199">
        <w:tc>
          <w:tcPr>
            <w:tcW w:w="2405" w:type="dxa"/>
            <w:vAlign w:val="center"/>
          </w:tcPr>
          <w:p w:rsidR="00220FB0" w:rsidRPr="00C96594" w:rsidRDefault="00220FB0" w:rsidP="00220FB0">
            <w:pPr>
              <w:pStyle w:val="In-tableHeading"/>
              <w:rPr>
                <w:b w:val="0"/>
                <w:lang w:val="en-AU"/>
              </w:rPr>
            </w:pPr>
            <w:r w:rsidRPr="00C96594">
              <w:rPr>
                <w:b w:val="0"/>
                <w:lang w:val="en-AU"/>
              </w:rPr>
              <w:t>Events, n/N (%)</w:t>
            </w:r>
          </w:p>
        </w:tc>
        <w:tc>
          <w:tcPr>
            <w:tcW w:w="2551" w:type="dxa"/>
          </w:tcPr>
          <w:p w:rsidR="00220FB0" w:rsidRPr="00C96594" w:rsidRDefault="00220FB0" w:rsidP="00220FB0">
            <w:pPr>
              <w:keepNext/>
              <w:keepLines/>
              <w:jc w:val="center"/>
              <w:rPr>
                <w:rFonts w:ascii="Arial Narrow" w:hAnsi="Arial Narrow" w:cs="Times New Roman"/>
                <w:sz w:val="20"/>
              </w:rPr>
            </w:pPr>
            <w:r w:rsidRPr="00C96594">
              <w:rPr>
                <w:rFonts w:ascii="Arial Narrow" w:hAnsi="Arial Narrow" w:cs="Times New Roman"/>
                <w:sz w:val="20"/>
              </w:rPr>
              <w:t>51/152 (33.6)</w:t>
            </w:r>
          </w:p>
        </w:tc>
        <w:tc>
          <w:tcPr>
            <w:tcW w:w="2552" w:type="dxa"/>
          </w:tcPr>
          <w:p w:rsidR="00220FB0" w:rsidRPr="00C96594" w:rsidRDefault="00220FB0" w:rsidP="00220FB0">
            <w:pPr>
              <w:keepNext/>
              <w:keepLines/>
              <w:jc w:val="center"/>
              <w:rPr>
                <w:rFonts w:ascii="Arial Narrow" w:hAnsi="Arial Narrow" w:cs="Times New Roman"/>
                <w:sz w:val="20"/>
              </w:rPr>
            </w:pPr>
            <w:r w:rsidRPr="00C96594">
              <w:rPr>
                <w:rFonts w:ascii="Arial Narrow" w:hAnsi="Arial Narrow" w:cs="Times New Roman"/>
                <w:sz w:val="20"/>
              </w:rPr>
              <w:t>62/151 (41.1)</w:t>
            </w:r>
          </w:p>
        </w:tc>
        <w:tc>
          <w:tcPr>
            <w:tcW w:w="1509" w:type="dxa"/>
          </w:tcPr>
          <w:p w:rsidR="00220FB0" w:rsidRPr="00C96594" w:rsidRDefault="00220FB0" w:rsidP="00220FB0">
            <w:pPr>
              <w:pStyle w:val="In-tableHeading"/>
              <w:rPr>
                <w:lang w:val="en-AU"/>
              </w:rPr>
            </w:pPr>
            <w:r w:rsidRPr="00C96594">
              <w:rPr>
                <w:lang w:val="en-AU"/>
              </w:rPr>
              <w:t>-</w:t>
            </w:r>
          </w:p>
        </w:tc>
      </w:tr>
      <w:tr w:rsidR="00220FB0" w:rsidRPr="00C96594" w:rsidTr="00765199">
        <w:tc>
          <w:tcPr>
            <w:tcW w:w="2405" w:type="dxa"/>
            <w:vAlign w:val="center"/>
          </w:tcPr>
          <w:p w:rsidR="00220FB0" w:rsidRPr="00C96594" w:rsidRDefault="00220FB0" w:rsidP="00220FB0">
            <w:pPr>
              <w:pStyle w:val="In-tableHeading"/>
              <w:rPr>
                <w:b w:val="0"/>
                <w:lang w:val="en-AU"/>
              </w:rPr>
            </w:pPr>
            <w:r w:rsidRPr="00C96594">
              <w:rPr>
                <w:b w:val="0"/>
                <w:lang w:val="en-AU"/>
              </w:rPr>
              <w:t>Median OS, months (95%CI)</w:t>
            </w:r>
          </w:p>
        </w:tc>
        <w:tc>
          <w:tcPr>
            <w:tcW w:w="2551" w:type="dxa"/>
          </w:tcPr>
          <w:p w:rsidR="00220FB0" w:rsidRPr="00C96594" w:rsidRDefault="00220FB0" w:rsidP="00220FB0">
            <w:pPr>
              <w:pStyle w:val="In-tableHeading"/>
              <w:jc w:val="center"/>
              <w:rPr>
                <w:b w:val="0"/>
                <w:lang w:val="en-AU"/>
              </w:rPr>
            </w:pPr>
            <w:r w:rsidRPr="00C96594">
              <w:rPr>
                <w:b w:val="0"/>
                <w:lang w:val="en-AU"/>
              </w:rPr>
              <w:t>NE (NR)</w:t>
            </w:r>
          </w:p>
        </w:tc>
        <w:tc>
          <w:tcPr>
            <w:tcW w:w="2552" w:type="dxa"/>
          </w:tcPr>
          <w:p w:rsidR="00220FB0" w:rsidRPr="00C96594" w:rsidRDefault="00220FB0" w:rsidP="00220FB0">
            <w:pPr>
              <w:pStyle w:val="In-tableHeading"/>
              <w:jc w:val="center"/>
              <w:rPr>
                <w:b w:val="0"/>
                <w:lang w:val="en-AU"/>
              </w:rPr>
            </w:pPr>
            <w:r w:rsidRPr="00C96594">
              <w:rPr>
                <w:b w:val="0"/>
                <w:lang w:val="en-AU"/>
              </w:rPr>
              <w:t>57.4 (34.6, NE)</w:t>
            </w:r>
          </w:p>
        </w:tc>
        <w:tc>
          <w:tcPr>
            <w:tcW w:w="1509" w:type="dxa"/>
          </w:tcPr>
          <w:p w:rsidR="00220FB0" w:rsidRPr="00C96594" w:rsidRDefault="00220FB0" w:rsidP="00220FB0">
            <w:pPr>
              <w:pStyle w:val="In-tableHeading"/>
              <w:rPr>
                <w:lang w:val="en-AU"/>
              </w:rPr>
            </w:pPr>
            <w:r w:rsidRPr="00C96594">
              <w:rPr>
                <w:lang w:val="en-AU"/>
              </w:rPr>
              <w:t>0.67 (0.46, 0.98)</w:t>
            </w:r>
          </w:p>
        </w:tc>
      </w:tr>
      <w:tr w:rsidR="00220FB0" w:rsidRPr="00C96594" w:rsidTr="00765199">
        <w:tc>
          <w:tcPr>
            <w:tcW w:w="4956" w:type="dxa"/>
            <w:gridSpan w:val="2"/>
            <w:vAlign w:val="center"/>
          </w:tcPr>
          <w:p w:rsidR="00220FB0" w:rsidRPr="00C96594" w:rsidRDefault="00220FB0" w:rsidP="00220FB0">
            <w:pPr>
              <w:pStyle w:val="In-tableHeading"/>
              <w:rPr>
                <w:lang w:val="en-AU"/>
              </w:rPr>
            </w:pPr>
            <w:r w:rsidRPr="00C96594">
              <w:rPr>
                <w:lang w:val="en-AU"/>
              </w:rPr>
              <w:t>CROWN vs. ALEX (December 2017 cut-off)</w:t>
            </w:r>
            <w:r w:rsidRPr="00C96594">
              <w:rPr>
                <w:vertAlign w:val="superscript"/>
                <w:lang w:val="en-AU"/>
              </w:rPr>
              <w:t xml:space="preserve">  </w:t>
            </w:r>
          </w:p>
        </w:tc>
        <w:tc>
          <w:tcPr>
            <w:tcW w:w="2552" w:type="dxa"/>
          </w:tcPr>
          <w:p w:rsidR="00220FB0" w:rsidRPr="00C96594" w:rsidRDefault="00220FB0" w:rsidP="00220FB0">
            <w:pPr>
              <w:pStyle w:val="In-tableHeading"/>
              <w:rPr>
                <w:lang w:val="en-AU"/>
              </w:rPr>
            </w:pPr>
            <w:r w:rsidRPr="00C96594">
              <w:rPr>
                <w:b w:val="0"/>
                <w:lang w:val="en-AU"/>
              </w:rPr>
              <w:t>Lorlatinib vs. alectinib (indirect)</w:t>
            </w:r>
          </w:p>
        </w:tc>
        <w:tc>
          <w:tcPr>
            <w:tcW w:w="1509" w:type="dxa"/>
          </w:tcPr>
          <w:p w:rsidR="00220FB0" w:rsidRPr="00C96594" w:rsidRDefault="00220FB0" w:rsidP="00220FB0">
            <w:pPr>
              <w:pStyle w:val="In-tableHeading"/>
              <w:rPr>
                <w:b w:val="0"/>
                <w:lang w:val="en-AU"/>
              </w:rPr>
            </w:pPr>
            <w:r w:rsidRPr="00C96594">
              <w:rPr>
                <w:b w:val="0"/>
                <w:lang w:val="en-AU"/>
              </w:rPr>
              <w:t>0.95 (0.47, 1.90)</w:t>
            </w:r>
          </w:p>
        </w:tc>
      </w:tr>
      <w:tr w:rsidR="00220FB0" w:rsidRPr="00C96594" w:rsidTr="00765199">
        <w:tc>
          <w:tcPr>
            <w:tcW w:w="4956" w:type="dxa"/>
            <w:gridSpan w:val="2"/>
            <w:vAlign w:val="center"/>
          </w:tcPr>
          <w:p w:rsidR="00220FB0" w:rsidRPr="00C96594" w:rsidRDefault="00220FB0" w:rsidP="00220FB0">
            <w:pPr>
              <w:pStyle w:val="In-tableHeading"/>
              <w:rPr>
                <w:b w:val="0"/>
                <w:lang w:val="en-AU"/>
              </w:rPr>
            </w:pPr>
            <w:r w:rsidRPr="00C96594">
              <w:rPr>
                <w:lang w:val="en-AU"/>
              </w:rPr>
              <w:t>CROWN vs. ALEX (November 2019 cut-off</w:t>
            </w:r>
            <w:r w:rsidRPr="00C96594">
              <w:rPr>
                <w:vertAlign w:val="superscript"/>
                <w:lang w:val="en-AU"/>
              </w:rPr>
              <w:t xml:space="preserve"> ) </w:t>
            </w:r>
          </w:p>
        </w:tc>
        <w:tc>
          <w:tcPr>
            <w:tcW w:w="2552" w:type="dxa"/>
          </w:tcPr>
          <w:p w:rsidR="00220FB0" w:rsidRPr="00C96594" w:rsidRDefault="00220FB0" w:rsidP="00220FB0">
            <w:pPr>
              <w:pStyle w:val="In-tableHeading"/>
              <w:rPr>
                <w:b w:val="0"/>
                <w:lang w:val="en-AU"/>
              </w:rPr>
            </w:pPr>
            <w:r w:rsidRPr="00C96594">
              <w:rPr>
                <w:b w:val="0"/>
                <w:lang w:val="en-AU"/>
              </w:rPr>
              <w:t>Lorlatinib vs. alectinib (indirect)</w:t>
            </w:r>
          </w:p>
        </w:tc>
        <w:tc>
          <w:tcPr>
            <w:tcW w:w="1509" w:type="dxa"/>
          </w:tcPr>
          <w:p w:rsidR="00220FB0" w:rsidRPr="00C96594" w:rsidRDefault="00220FB0" w:rsidP="00220FB0">
            <w:pPr>
              <w:pStyle w:val="In-tableHeading"/>
              <w:rPr>
                <w:b w:val="0"/>
                <w:lang w:val="en-AU"/>
              </w:rPr>
            </w:pPr>
            <w:r w:rsidRPr="00C96594">
              <w:rPr>
                <w:b w:val="0"/>
                <w:lang w:val="en-AU"/>
              </w:rPr>
              <w:t>1.07 (0.55, 2.11)</w:t>
            </w:r>
          </w:p>
        </w:tc>
      </w:tr>
    </w:tbl>
    <w:p w:rsidR="00765199" w:rsidRPr="00C96594" w:rsidRDefault="00765199" w:rsidP="00765199">
      <w:pPr>
        <w:pStyle w:val="TableFooter"/>
      </w:pPr>
      <w:r w:rsidRPr="00C96594">
        <w:t xml:space="preserve">Source: Tables </w:t>
      </w:r>
      <w:r w:rsidR="00AC5693" w:rsidRPr="00C96594">
        <w:t xml:space="preserve">2.5.3, </w:t>
      </w:r>
      <w:r w:rsidRPr="00C96594">
        <w:t>2.6.6-7 of the submission, Camidge (2019), and Mok (2020)</w:t>
      </w:r>
    </w:p>
    <w:p w:rsidR="00765199" w:rsidRPr="00C96594" w:rsidRDefault="00765199" w:rsidP="00765199">
      <w:pPr>
        <w:pStyle w:val="TableFooter"/>
        <w:rPr>
          <w:b/>
        </w:rPr>
      </w:pPr>
      <w:r w:rsidRPr="00C96594">
        <w:rPr>
          <w:b/>
        </w:rPr>
        <w:t>Statistically significant results bolded.</w:t>
      </w:r>
    </w:p>
    <w:p w:rsidR="00765199" w:rsidRPr="00C96594" w:rsidRDefault="00765199" w:rsidP="00765199">
      <w:pPr>
        <w:pStyle w:val="TableFooter"/>
        <w:jc w:val="left"/>
      </w:pPr>
      <w:r w:rsidRPr="00C96594">
        <w:rPr>
          <w:vertAlign w:val="superscript"/>
        </w:rPr>
        <w:t>a</w:t>
      </w:r>
      <w:r w:rsidRPr="00C96594">
        <w:t xml:space="preserve">Median duration of follow up: 20.0 months for lorlatinib and 19.8 months for crizotinib. </w:t>
      </w:r>
    </w:p>
    <w:p w:rsidR="00765199" w:rsidRPr="00C96594" w:rsidRDefault="00765199" w:rsidP="00765199">
      <w:pPr>
        <w:pStyle w:val="TableFooter"/>
      </w:pPr>
      <w:r w:rsidRPr="00C96594">
        <w:rPr>
          <w:vertAlign w:val="superscript"/>
        </w:rPr>
        <w:t>b</w:t>
      </w:r>
      <w:r w:rsidRPr="00C96594">
        <w:t>Camidge (2019): Median duration of follow up: 27.8 months for alectinib and 22.8 months for crizotinib</w:t>
      </w:r>
    </w:p>
    <w:p w:rsidR="00765199" w:rsidRPr="00C96594" w:rsidRDefault="00765199" w:rsidP="00765199">
      <w:pPr>
        <w:pStyle w:val="TableFooter"/>
      </w:pPr>
      <w:r w:rsidRPr="00C96594">
        <w:rPr>
          <w:vertAlign w:val="superscript"/>
        </w:rPr>
        <w:t>c</w:t>
      </w:r>
      <w:r w:rsidRPr="00C96594">
        <w:t>Mok (2020): Median duration of follow-up for OS was 48.2 months with alectinib and 23.3 months with crizotinib</w:t>
      </w:r>
    </w:p>
    <w:p w:rsidR="00765199" w:rsidRPr="00C96594" w:rsidRDefault="00765199" w:rsidP="00765199">
      <w:pPr>
        <w:pStyle w:val="TableFooter"/>
      </w:pPr>
      <w:r w:rsidRPr="00C96594">
        <w:t>NE = not estimable; NR = not reported; HR=Hazard ratio; CI=Confidence interval</w:t>
      </w:r>
    </w:p>
    <w:p w:rsidR="00A2510E" w:rsidRPr="00C96594" w:rsidRDefault="00A2510E" w:rsidP="00A2510E"/>
    <w:p w:rsidR="00A2510E" w:rsidRPr="00C96594" w:rsidRDefault="00A2510E" w:rsidP="00A2510E">
      <w:pPr>
        <w:pStyle w:val="3-BodyText"/>
      </w:pPr>
      <w:r w:rsidRPr="00C96594">
        <w:t xml:space="preserve">The indirect comparisons indicated there was a statistically significant PFS benefit associated with lorlatinib compared with alectinib. Caution is required in the interpretation of these results given 1) the indirect nature of the comparisons, 2) noted differences in patient/disease characteristics between the CROWN and ALEX trial populations (baseline CNS metastases, previous brain radiotherapy and performance status), and 3) the relatively immature lorlatinib data compared to that for alectinib. </w:t>
      </w:r>
    </w:p>
    <w:p w:rsidR="00F12A15" w:rsidRPr="00C96594" w:rsidRDefault="00D61AD4" w:rsidP="00D61AD4">
      <w:pPr>
        <w:pStyle w:val="3-BodyText"/>
      </w:pPr>
      <w:r w:rsidRPr="00C96594">
        <w:t>The OS data remained immature for both the CROWN and ALEX studies</w:t>
      </w:r>
      <w:r w:rsidR="00F12A15" w:rsidRPr="00C96594">
        <w:t>,</w:t>
      </w:r>
      <w:r w:rsidRPr="00C96594">
        <w:t xml:space="preserve"> although the </w:t>
      </w:r>
      <w:r w:rsidR="0036072C" w:rsidRPr="00C96594">
        <w:t>data from CROWN were</w:t>
      </w:r>
      <w:r w:rsidRPr="00C96594">
        <w:t xml:space="preserve"> relatively less mature</w:t>
      </w:r>
      <w:r w:rsidR="00F12A15" w:rsidRPr="00C96594">
        <w:t xml:space="preserve">. For the CROWN </w:t>
      </w:r>
      <w:r w:rsidRPr="00C96594">
        <w:t>interim data cut</w:t>
      </w:r>
      <w:r w:rsidR="00F12A15" w:rsidRPr="00C96594">
        <w:t>-off</w:t>
      </w:r>
      <w:r w:rsidRPr="00C96594">
        <w:t xml:space="preserve"> March 2020</w:t>
      </w:r>
      <w:r w:rsidR="00F12A15" w:rsidRPr="00C96594">
        <w:t>, m</w:t>
      </w:r>
      <w:r w:rsidRPr="00C96594">
        <w:t xml:space="preserve">edian OS duration </w:t>
      </w:r>
      <w:r w:rsidR="00F12A15" w:rsidRPr="00C96594">
        <w:t xml:space="preserve">was </w:t>
      </w:r>
      <w:r w:rsidRPr="00C96594">
        <w:t>not reached</w:t>
      </w:r>
      <w:r w:rsidR="00F12A15" w:rsidRPr="00C96594">
        <w:t xml:space="preserve"> with </w:t>
      </w:r>
      <w:r w:rsidRPr="00C96594">
        <w:t>17.2% of events (51/296) across the lorlatinib and crizotinib arms</w:t>
      </w:r>
      <w:r w:rsidR="00F12A15" w:rsidRPr="00C96594">
        <w:t xml:space="preserve">. For the </w:t>
      </w:r>
      <w:r w:rsidRPr="00C96594">
        <w:t xml:space="preserve">most updated </w:t>
      </w:r>
      <w:r w:rsidR="00F12A15" w:rsidRPr="00C96594">
        <w:t xml:space="preserve">ALEX </w:t>
      </w:r>
      <w:r w:rsidRPr="00C96594">
        <w:t>data cut-off November 2019</w:t>
      </w:r>
      <w:r w:rsidR="00F12A15" w:rsidRPr="00C96594">
        <w:t>, m</w:t>
      </w:r>
      <w:r w:rsidRPr="00C96594">
        <w:t>edian OS duration not reached</w:t>
      </w:r>
      <w:r w:rsidR="00F12A15" w:rsidRPr="00C96594">
        <w:t xml:space="preserve"> with </w:t>
      </w:r>
      <w:r w:rsidRPr="00C96594">
        <w:t>37.0% of events (113/303) across the alectinib and crizotinib arms</w:t>
      </w:r>
      <w:r w:rsidR="00F12A15" w:rsidRPr="00C96594">
        <w:t>.</w:t>
      </w:r>
    </w:p>
    <w:p w:rsidR="00A2510E" w:rsidRPr="00C96594" w:rsidRDefault="00A2510E" w:rsidP="00D61AD4">
      <w:pPr>
        <w:pStyle w:val="3-BodyText"/>
      </w:pPr>
      <w:r w:rsidRPr="00C96594">
        <w:t>There w</w:t>
      </w:r>
      <w:r w:rsidR="009316D6" w:rsidRPr="00C96594">
        <w:t>as</w:t>
      </w:r>
      <w:r w:rsidRPr="00C96594">
        <w:t xml:space="preserve"> no </w:t>
      </w:r>
      <w:r w:rsidR="009316D6" w:rsidRPr="00C96594">
        <w:t xml:space="preserve">statistically significant </w:t>
      </w:r>
      <w:r w:rsidRPr="00C96594">
        <w:t xml:space="preserve">difference in OS benefit </w:t>
      </w:r>
      <w:r w:rsidR="009316D6" w:rsidRPr="00C96594">
        <w:t xml:space="preserve">observed </w:t>
      </w:r>
      <w:r w:rsidRPr="00C96594">
        <w:t>between lorlatinib and alectinib</w:t>
      </w:r>
      <w:r w:rsidR="00F12A15" w:rsidRPr="00C96594">
        <w:t xml:space="preserve">. </w:t>
      </w:r>
      <w:r w:rsidR="009316D6" w:rsidRPr="00C96594">
        <w:t>This comparison is problematic given 1) t</w:t>
      </w:r>
      <w:r w:rsidR="00F12A15" w:rsidRPr="00C96594">
        <w:t>he immature OS data</w:t>
      </w:r>
      <w:r w:rsidR="008F6589" w:rsidRPr="00C96594">
        <w:t xml:space="preserve"> from the studies</w:t>
      </w:r>
      <w:r w:rsidR="009316D6" w:rsidRPr="00C96594">
        <w:t xml:space="preserve">, 2) </w:t>
      </w:r>
      <w:r w:rsidRPr="00C96594">
        <w:t>notable difference</w:t>
      </w:r>
      <w:r w:rsidR="00F12A15" w:rsidRPr="00C96594">
        <w:t>s</w:t>
      </w:r>
      <w:r w:rsidRPr="00C96594">
        <w:t xml:space="preserve"> in follow-up durations between the </w:t>
      </w:r>
      <w:r w:rsidR="008F6589" w:rsidRPr="00C96594">
        <w:t>studies</w:t>
      </w:r>
      <w:r w:rsidRPr="00C96594">
        <w:t xml:space="preserve"> (</w:t>
      </w:r>
      <w:r w:rsidR="00F12A15" w:rsidRPr="00C96594">
        <w:t xml:space="preserve">March 2020 cut-off for </w:t>
      </w:r>
      <w:r w:rsidRPr="00C96594">
        <w:t xml:space="preserve">CROWN 20 months, </w:t>
      </w:r>
      <w:r w:rsidR="00F12A15" w:rsidRPr="00C96594">
        <w:t xml:space="preserve">November 2019 data cut-off for </w:t>
      </w:r>
      <w:r w:rsidRPr="00C96594">
        <w:t>ALEX 48.2 months)</w:t>
      </w:r>
      <w:r w:rsidR="009316D6" w:rsidRPr="00C96594">
        <w:t xml:space="preserve">, and 3) </w:t>
      </w:r>
      <w:r w:rsidR="00F12A15" w:rsidRPr="00C96594">
        <w:t xml:space="preserve">the potential for confounding </w:t>
      </w:r>
      <w:r w:rsidR="00741455" w:rsidRPr="00C96594">
        <w:t>from any differences between the trials in terms of c</w:t>
      </w:r>
      <w:r w:rsidRPr="00C96594">
        <w:t>linical practice, baseline prognostic risk, and the types and durations of treatments used post progression.</w:t>
      </w:r>
      <w:r w:rsidR="009316D6" w:rsidRPr="00C96594">
        <w:t xml:space="preserve"> </w:t>
      </w:r>
    </w:p>
    <w:p w:rsidR="00A2510E" w:rsidRPr="00C96594" w:rsidRDefault="00A2510E" w:rsidP="00A2510E">
      <w:pPr>
        <w:pStyle w:val="3-BodyText"/>
      </w:pPr>
      <w:r w:rsidRPr="00C96594">
        <w:t>The submission also present</w:t>
      </w:r>
      <w:r w:rsidR="00B32CF5" w:rsidRPr="00C96594">
        <w:t>ed</w:t>
      </w:r>
      <w:r w:rsidRPr="00C96594">
        <w:t xml:space="preserve"> indirect comparison</w:t>
      </w:r>
      <w:r w:rsidR="00B32CF5" w:rsidRPr="00C96594">
        <w:t>s</w:t>
      </w:r>
      <w:r w:rsidRPr="00C96594">
        <w:t xml:space="preserve"> of investigator assessed objective response rate, intracranial objective response rate and the proportion of patients with a duration of response greater than 12 months. </w:t>
      </w:r>
      <w:r w:rsidR="00F4194E" w:rsidRPr="00C96594">
        <w:t>The indirect results favoured lorlatinib over alectinib</w:t>
      </w:r>
      <w:r w:rsidR="009316D6" w:rsidRPr="00C96594">
        <w:t xml:space="preserve"> </w:t>
      </w:r>
      <w:r w:rsidR="00F4194E" w:rsidRPr="00C96594">
        <w:t xml:space="preserve">although there is need for caution when interpreting these results given different treatment effects in the common reference arms. </w:t>
      </w:r>
    </w:p>
    <w:p w:rsidR="00A2510E" w:rsidRPr="00C96594" w:rsidRDefault="00A2510E" w:rsidP="00A2510E">
      <w:pPr>
        <w:pStyle w:val="4-SubsectionHeading"/>
      </w:pPr>
      <w:bookmarkStart w:id="15" w:name="_Toc22897642"/>
      <w:bookmarkStart w:id="16" w:name="_Toc72307085"/>
      <w:r w:rsidRPr="00C96594">
        <w:t>Comparative harms</w:t>
      </w:r>
      <w:bookmarkEnd w:id="15"/>
      <w:bookmarkEnd w:id="16"/>
    </w:p>
    <w:p w:rsidR="00A2510E" w:rsidRPr="00C96594" w:rsidRDefault="00A2510E" w:rsidP="00A2510E">
      <w:pPr>
        <w:pStyle w:val="3-BodyText"/>
      </w:pPr>
      <w:r w:rsidRPr="00C96594">
        <w:t xml:space="preserve">The submission presented adjusted indirect comparisons of safety between lorlatinib and alectinib for any adverse event (AE), discontinuations due to AEs, and serious AEs. </w:t>
      </w:r>
      <w:r w:rsidR="002B0BAC" w:rsidRPr="00C96594">
        <w:t>Relative risks (RRs) and odds ratios (ORs) were presented as comparative treatment effect measures.</w:t>
      </w:r>
    </w:p>
    <w:p w:rsidR="00A2510E" w:rsidRPr="00C96594" w:rsidRDefault="00A2510E" w:rsidP="00A2510E">
      <w:pPr>
        <w:pStyle w:val="3-BodyText"/>
      </w:pPr>
      <w:r w:rsidRPr="00C96594">
        <w:t xml:space="preserve">Overall, there were no </w:t>
      </w:r>
      <w:r w:rsidR="00F4194E" w:rsidRPr="00C96594">
        <w:t xml:space="preserve">statistically </w:t>
      </w:r>
      <w:r w:rsidRPr="00C96594">
        <w:t xml:space="preserve">significant differences </w:t>
      </w:r>
      <w:r w:rsidR="00F4194E" w:rsidRPr="00C96594">
        <w:t xml:space="preserve">between lorlatinib and alectinib for </w:t>
      </w:r>
      <w:r w:rsidRPr="00C96594">
        <w:t>study treatment discontinuation</w:t>
      </w:r>
      <w:r w:rsidR="00F4194E" w:rsidRPr="00C96594">
        <w:t xml:space="preserve"> </w:t>
      </w:r>
      <w:r w:rsidRPr="00C96594">
        <w:t xml:space="preserve">and serious AEs, </w:t>
      </w:r>
      <w:r w:rsidR="00F4194E" w:rsidRPr="00C96594">
        <w:t xml:space="preserve">although there was a trend towards an increased risk associated with lorlatinib. </w:t>
      </w:r>
      <w:r w:rsidRPr="00C96594">
        <w:t>More mature data for lorlatinib are required to inform on longer-term comparative safety.</w:t>
      </w:r>
    </w:p>
    <w:p w:rsidR="00A2510E" w:rsidRPr="00C96594" w:rsidRDefault="00213A38" w:rsidP="008F4C5D">
      <w:pPr>
        <w:pStyle w:val="3-BodyText"/>
        <w:rPr>
          <w:i/>
        </w:rPr>
      </w:pPr>
      <w:r w:rsidRPr="00C96594">
        <w:t xml:space="preserve">To further explore comparative safety, additional indirect comparisons were conducted during the evaluation for Grade </w:t>
      </w:r>
      <w:r w:rsidRPr="00C96594">
        <w:rPr>
          <w:rFonts w:cs="Calibri"/>
        </w:rPr>
        <w:t>≥</w:t>
      </w:r>
      <w:r w:rsidRPr="00C96594">
        <w:t xml:space="preserve"> 3 AEs, treatment-related AEs, dose reductions due to AEs, and dose interruptions due to AEs.</w:t>
      </w:r>
      <w:r w:rsidR="002B0BAC" w:rsidRPr="00C96594">
        <w:t xml:space="preserve"> </w:t>
      </w:r>
      <w:r w:rsidR="00A2510E" w:rsidRPr="00C96594">
        <w:t xml:space="preserve">Results </w:t>
      </w:r>
      <w:r w:rsidRPr="00C96594">
        <w:t xml:space="preserve">for </w:t>
      </w:r>
      <w:r w:rsidR="00A2510E" w:rsidRPr="00C96594">
        <w:t xml:space="preserve">Grade ≥ 3 AEs and treatment-related AEs </w:t>
      </w:r>
      <w:r w:rsidR="002B0BAC" w:rsidRPr="00C96594">
        <w:t xml:space="preserve">of any grade </w:t>
      </w:r>
      <w:r w:rsidR="00A2510E" w:rsidRPr="00C96594">
        <w:t>are summarised below.</w:t>
      </w:r>
      <w:r w:rsidR="008F4C5D" w:rsidRPr="00C96594">
        <w:t xml:space="preserve"> The </w:t>
      </w:r>
      <w:r w:rsidR="004770D9">
        <w:t>P</w:t>
      </w:r>
      <w:r w:rsidR="008F4C5D" w:rsidRPr="00C96594">
        <w:t>re</w:t>
      </w:r>
      <w:r w:rsidR="0085686D" w:rsidRPr="00C96594">
        <w:noBreakHyphen/>
      </w:r>
      <w:r w:rsidR="004770D9">
        <w:t>S</w:t>
      </w:r>
      <w:r w:rsidR="008F4C5D" w:rsidRPr="00C96594">
        <w:t>ub</w:t>
      </w:r>
      <w:r w:rsidR="004770D9">
        <w:t>-Committee R</w:t>
      </w:r>
      <w:r w:rsidR="008F4C5D" w:rsidRPr="00C96594">
        <w:t xml:space="preserve">esponse (PSCR) stated a formal ITC for Grade </w:t>
      </w:r>
      <w:r w:rsidR="006540F7" w:rsidRPr="00C96594">
        <w:rPr>
          <w:rFonts w:cstheme="minorHAnsi"/>
        </w:rPr>
        <w:t>≥</w:t>
      </w:r>
      <w:r w:rsidR="008F4C5D" w:rsidRPr="00C96594">
        <w:t xml:space="preserve"> 3 AEs was not performed for the submission since the CROWN study presented Grade 3-4 AEs combined and Grade 5 AEs separately, while the available reporting of the ALEX study presented Grades 3-5 AEs as a combined endpoint. The PSCR stated that given the potential for double counting of AEs when combining the reported Grade 3-4 and Grade 5 from the CROWN study, the ITC performed by the evaluation may be biased in</w:t>
      </w:r>
      <w:r w:rsidR="008F4C5D" w:rsidRPr="00C96594">
        <w:rPr>
          <w:i/>
        </w:rPr>
        <w:t xml:space="preserve"> </w:t>
      </w:r>
      <w:r w:rsidR="008F4C5D" w:rsidRPr="00C96594">
        <w:t>favour of alectinib. The ESC considered it was reasonable to combine Grade 3-4 and Grade 5 AEs as it would be expected that they would be mutually exclusive events.</w:t>
      </w:r>
      <w:r w:rsidR="008F4C5D" w:rsidRPr="00C96594">
        <w:rPr>
          <w:i/>
        </w:rPr>
        <w:t xml:space="preserve"> </w:t>
      </w:r>
    </w:p>
    <w:p w:rsidR="00A2510E" w:rsidRPr="00C96594" w:rsidRDefault="00A2510E" w:rsidP="00A2510E">
      <w:pPr>
        <w:pStyle w:val="TableFigureHeading"/>
      </w:pPr>
      <w:r w:rsidRPr="00C96594">
        <w:t xml:space="preserve">Table </w:t>
      </w:r>
      <w:r w:rsidR="007E358B" w:rsidRPr="00C96594">
        <w:t>6</w:t>
      </w:r>
      <w:r w:rsidRPr="00C96594">
        <w:t>: Lorlatinib versus alectinib via crizotinib as the common reference arm - Patients with Grade ≥ 3 adverse events</w:t>
      </w:r>
    </w:p>
    <w:tbl>
      <w:tblPr>
        <w:tblStyle w:val="TableGrid14"/>
        <w:tblW w:w="0" w:type="auto"/>
        <w:tblLook w:val="04A0" w:firstRow="1" w:lastRow="0" w:firstColumn="1" w:lastColumn="0" w:noHBand="0" w:noVBand="1"/>
        <w:tblCaption w:val="Table 6: Lorlatinib versus alectinib via crizotinib as the common reference arm - Patients with Grade ≥ 3 adverse events"/>
      </w:tblPr>
      <w:tblGrid>
        <w:gridCol w:w="1555"/>
        <w:gridCol w:w="1464"/>
        <w:gridCol w:w="1501"/>
        <w:gridCol w:w="1500"/>
        <w:gridCol w:w="1498"/>
        <w:gridCol w:w="1499"/>
      </w:tblGrid>
      <w:tr w:rsidR="00A2510E" w:rsidRPr="00C96594" w:rsidTr="00CA41D0">
        <w:trPr>
          <w:tblHeader/>
        </w:trPr>
        <w:tc>
          <w:tcPr>
            <w:tcW w:w="1555" w:type="dxa"/>
          </w:tcPr>
          <w:p w:rsidR="00A2510E" w:rsidRPr="00C96594" w:rsidRDefault="00A2510E" w:rsidP="00213A38">
            <w:pPr>
              <w:pStyle w:val="TableText0"/>
              <w:rPr>
                <w:b/>
              </w:rPr>
            </w:pPr>
            <w:r w:rsidRPr="00C96594">
              <w:rPr>
                <w:b/>
              </w:rPr>
              <w:t>Study</w:t>
            </w:r>
          </w:p>
          <w:p w:rsidR="00A2510E" w:rsidRPr="00C96594" w:rsidRDefault="00A2510E" w:rsidP="00213A38">
            <w:pPr>
              <w:pStyle w:val="TableText0"/>
              <w:rPr>
                <w:b/>
              </w:rPr>
            </w:pPr>
            <w:r w:rsidRPr="00C96594">
              <w:rPr>
                <w:b/>
              </w:rPr>
              <w:t>(data cut-off)</w:t>
            </w:r>
          </w:p>
        </w:tc>
        <w:tc>
          <w:tcPr>
            <w:tcW w:w="1464" w:type="dxa"/>
          </w:tcPr>
          <w:p w:rsidR="00A2510E" w:rsidRPr="00C96594" w:rsidRDefault="00A2510E" w:rsidP="00213A38">
            <w:pPr>
              <w:pStyle w:val="TableText0"/>
              <w:rPr>
                <w:b/>
              </w:rPr>
            </w:pPr>
            <w:r w:rsidRPr="00C96594">
              <w:rPr>
                <w:b/>
              </w:rPr>
              <w:t>Comparison</w:t>
            </w:r>
          </w:p>
        </w:tc>
        <w:tc>
          <w:tcPr>
            <w:tcW w:w="1501" w:type="dxa"/>
          </w:tcPr>
          <w:p w:rsidR="00A2510E" w:rsidRPr="00C96594" w:rsidRDefault="00A2510E" w:rsidP="00213A38">
            <w:pPr>
              <w:pStyle w:val="TableText0"/>
              <w:rPr>
                <w:b/>
              </w:rPr>
            </w:pPr>
            <w:r w:rsidRPr="00C96594">
              <w:rPr>
                <w:b/>
              </w:rPr>
              <w:t>Experimental Treatment</w:t>
            </w:r>
          </w:p>
          <w:p w:rsidR="00A2510E" w:rsidRPr="00C96594" w:rsidRDefault="00A2510E" w:rsidP="00213A38">
            <w:pPr>
              <w:pStyle w:val="TableText0"/>
              <w:rPr>
                <w:b/>
              </w:rPr>
            </w:pPr>
            <w:r w:rsidRPr="00C96594">
              <w:rPr>
                <w:b/>
              </w:rPr>
              <w:t>n/N (%)</w:t>
            </w:r>
          </w:p>
        </w:tc>
        <w:tc>
          <w:tcPr>
            <w:tcW w:w="1500" w:type="dxa"/>
          </w:tcPr>
          <w:p w:rsidR="00A2510E" w:rsidRPr="00C96594" w:rsidRDefault="00A2510E" w:rsidP="00213A38">
            <w:pPr>
              <w:pStyle w:val="TableText0"/>
              <w:rPr>
                <w:b/>
              </w:rPr>
            </w:pPr>
            <w:r w:rsidRPr="00C96594">
              <w:rPr>
                <w:b/>
              </w:rPr>
              <w:t>Crizotinib</w:t>
            </w:r>
          </w:p>
          <w:p w:rsidR="00A2510E" w:rsidRPr="00C96594" w:rsidRDefault="00A2510E" w:rsidP="00213A38">
            <w:pPr>
              <w:pStyle w:val="TableText0"/>
              <w:rPr>
                <w:b/>
              </w:rPr>
            </w:pPr>
            <w:r w:rsidRPr="00C96594">
              <w:rPr>
                <w:b/>
              </w:rPr>
              <w:t>n/N (%)</w:t>
            </w:r>
          </w:p>
        </w:tc>
        <w:tc>
          <w:tcPr>
            <w:tcW w:w="1498" w:type="dxa"/>
          </w:tcPr>
          <w:p w:rsidR="00A2510E" w:rsidRPr="00C96594" w:rsidRDefault="00A2510E" w:rsidP="00213A38">
            <w:pPr>
              <w:pStyle w:val="TableText0"/>
              <w:rPr>
                <w:b/>
              </w:rPr>
            </w:pPr>
            <w:r w:rsidRPr="00C96594">
              <w:rPr>
                <w:b/>
              </w:rPr>
              <w:t>Odds Ratio</w:t>
            </w:r>
          </w:p>
          <w:p w:rsidR="00A2510E" w:rsidRPr="00C96594" w:rsidRDefault="00A2510E" w:rsidP="00213A38">
            <w:pPr>
              <w:pStyle w:val="TableText0"/>
              <w:rPr>
                <w:b/>
              </w:rPr>
            </w:pPr>
            <w:r w:rsidRPr="00C96594">
              <w:rPr>
                <w:b/>
              </w:rPr>
              <w:t>(95% CI)</w:t>
            </w:r>
          </w:p>
        </w:tc>
        <w:tc>
          <w:tcPr>
            <w:tcW w:w="1499" w:type="dxa"/>
          </w:tcPr>
          <w:p w:rsidR="00A2510E" w:rsidRPr="00C96594" w:rsidRDefault="00A2510E" w:rsidP="00213A38">
            <w:pPr>
              <w:pStyle w:val="TableText0"/>
              <w:rPr>
                <w:b/>
              </w:rPr>
            </w:pPr>
            <w:r w:rsidRPr="00C96594">
              <w:rPr>
                <w:b/>
              </w:rPr>
              <w:t>Relative Risk  (95% CI)</w:t>
            </w:r>
          </w:p>
        </w:tc>
      </w:tr>
      <w:tr w:rsidR="00A2510E" w:rsidRPr="00C96594" w:rsidTr="00213A38">
        <w:tc>
          <w:tcPr>
            <w:tcW w:w="1555" w:type="dxa"/>
          </w:tcPr>
          <w:p w:rsidR="00A2510E" w:rsidRPr="00C96594" w:rsidRDefault="00A2510E" w:rsidP="00213A38">
            <w:pPr>
              <w:pStyle w:val="TableText0"/>
              <w:rPr>
                <w:vertAlign w:val="superscript"/>
              </w:rPr>
            </w:pPr>
            <w:r w:rsidRPr="00C96594">
              <w:t>CROWN</w:t>
            </w:r>
            <w:r w:rsidRPr="00C96594">
              <w:rPr>
                <w:vertAlign w:val="superscript"/>
              </w:rPr>
              <w:t>a</w:t>
            </w:r>
          </w:p>
        </w:tc>
        <w:tc>
          <w:tcPr>
            <w:tcW w:w="1464" w:type="dxa"/>
          </w:tcPr>
          <w:p w:rsidR="00A2510E" w:rsidRPr="00C96594" w:rsidRDefault="00A2510E" w:rsidP="00213A38">
            <w:pPr>
              <w:pStyle w:val="TableText0"/>
            </w:pPr>
            <w:r w:rsidRPr="00C96594">
              <w:t>Lorlatinib vs crizotinib</w:t>
            </w:r>
          </w:p>
        </w:tc>
        <w:tc>
          <w:tcPr>
            <w:tcW w:w="1501" w:type="dxa"/>
          </w:tcPr>
          <w:p w:rsidR="00A2510E" w:rsidRPr="00C96594" w:rsidRDefault="00A2510E" w:rsidP="00213A38">
            <w:pPr>
              <w:pStyle w:val="TableText0"/>
            </w:pPr>
            <w:r w:rsidRPr="00C96594">
              <w:t>115 / 149 (77.2)</w:t>
            </w:r>
          </w:p>
        </w:tc>
        <w:tc>
          <w:tcPr>
            <w:tcW w:w="1500" w:type="dxa"/>
          </w:tcPr>
          <w:p w:rsidR="00A2510E" w:rsidRPr="00C96594" w:rsidRDefault="00A2510E" w:rsidP="00213A38">
            <w:pPr>
              <w:pStyle w:val="TableText0"/>
            </w:pPr>
            <w:r w:rsidRPr="00C96594">
              <w:t>86 / 142 (60.5)</w:t>
            </w:r>
          </w:p>
        </w:tc>
        <w:tc>
          <w:tcPr>
            <w:tcW w:w="1498" w:type="dxa"/>
          </w:tcPr>
          <w:p w:rsidR="00A2510E" w:rsidRPr="00C96594" w:rsidRDefault="00A2510E" w:rsidP="00213A38">
            <w:pPr>
              <w:pStyle w:val="TableText0"/>
            </w:pPr>
            <w:r w:rsidRPr="00C96594">
              <w:t>2.20 (1.32, 3.67)</w:t>
            </w:r>
          </w:p>
        </w:tc>
        <w:tc>
          <w:tcPr>
            <w:tcW w:w="1499" w:type="dxa"/>
          </w:tcPr>
          <w:p w:rsidR="00A2510E" w:rsidRPr="00C96594" w:rsidRDefault="00A2510E" w:rsidP="00213A38">
            <w:pPr>
              <w:pStyle w:val="TableText0"/>
            </w:pPr>
            <w:r w:rsidRPr="00C96594">
              <w:t>1.27 (1.09, 1.49)</w:t>
            </w:r>
          </w:p>
        </w:tc>
      </w:tr>
      <w:tr w:rsidR="00A2510E" w:rsidRPr="00C96594" w:rsidTr="00213A38">
        <w:tc>
          <w:tcPr>
            <w:tcW w:w="1555" w:type="dxa"/>
          </w:tcPr>
          <w:p w:rsidR="00A2510E" w:rsidRPr="00C96594" w:rsidRDefault="00A2510E" w:rsidP="00213A38">
            <w:pPr>
              <w:pStyle w:val="TableText0"/>
            </w:pPr>
            <w:r w:rsidRPr="00C96594">
              <w:t>ALEX</w:t>
            </w:r>
          </w:p>
          <w:p w:rsidR="00A2510E" w:rsidRPr="00C96594" w:rsidRDefault="00A2510E" w:rsidP="00213A38">
            <w:pPr>
              <w:pStyle w:val="TableText0"/>
              <w:rPr>
                <w:vertAlign w:val="superscript"/>
              </w:rPr>
            </w:pPr>
            <w:r w:rsidRPr="00C96594">
              <w:t>(February 2017)</w:t>
            </w:r>
            <w:r w:rsidRPr="00C96594">
              <w:rPr>
                <w:vertAlign w:val="superscript"/>
              </w:rPr>
              <w:t>b</w:t>
            </w:r>
          </w:p>
        </w:tc>
        <w:tc>
          <w:tcPr>
            <w:tcW w:w="1464" w:type="dxa"/>
          </w:tcPr>
          <w:p w:rsidR="00A2510E" w:rsidRPr="00C96594" w:rsidRDefault="00A2510E" w:rsidP="00213A38">
            <w:pPr>
              <w:pStyle w:val="TableText0"/>
            </w:pPr>
            <w:r w:rsidRPr="00C96594">
              <w:t>Alectinib vs. crizotinib</w:t>
            </w:r>
          </w:p>
        </w:tc>
        <w:tc>
          <w:tcPr>
            <w:tcW w:w="1501" w:type="dxa"/>
          </w:tcPr>
          <w:p w:rsidR="00A2510E" w:rsidRPr="00C96594" w:rsidRDefault="00A2510E" w:rsidP="00213A38">
            <w:pPr>
              <w:pStyle w:val="TableText0"/>
              <w:rPr>
                <w:vertAlign w:val="superscript"/>
              </w:rPr>
            </w:pPr>
            <w:r w:rsidRPr="00C96594">
              <w:t>63 / 152 (41.0)</w:t>
            </w:r>
          </w:p>
        </w:tc>
        <w:tc>
          <w:tcPr>
            <w:tcW w:w="1500" w:type="dxa"/>
          </w:tcPr>
          <w:p w:rsidR="00A2510E" w:rsidRPr="00C96594" w:rsidRDefault="00A2510E" w:rsidP="00213A38">
            <w:pPr>
              <w:pStyle w:val="TableText0"/>
              <w:rPr>
                <w:vertAlign w:val="superscript"/>
              </w:rPr>
            </w:pPr>
            <w:r w:rsidRPr="00C96594">
              <w:t>76 / 151 (50.0)</w:t>
            </w:r>
          </w:p>
        </w:tc>
        <w:tc>
          <w:tcPr>
            <w:tcW w:w="1498" w:type="dxa"/>
          </w:tcPr>
          <w:p w:rsidR="00A2510E" w:rsidRPr="00C96594" w:rsidRDefault="00A2510E" w:rsidP="00213A38">
            <w:pPr>
              <w:pStyle w:val="TableText0"/>
              <w:rPr>
                <w:highlight w:val="yellow"/>
              </w:rPr>
            </w:pPr>
            <w:r w:rsidRPr="00C96594">
              <w:t>0.70 (0.44, 1.10)</w:t>
            </w:r>
          </w:p>
        </w:tc>
        <w:tc>
          <w:tcPr>
            <w:tcW w:w="1499" w:type="dxa"/>
          </w:tcPr>
          <w:p w:rsidR="00A2510E" w:rsidRPr="00C96594" w:rsidRDefault="00A2510E" w:rsidP="00213A38">
            <w:pPr>
              <w:pStyle w:val="TableText0"/>
            </w:pPr>
            <w:r w:rsidRPr="00C96594">
              <w:t>0.82 (0.64 1.05)</w:t>
            </w:r>
          </w:p>
        </w:tc>
      </w:tr>
      <w:tr w:rsidR="00A2510E" w:rsidRPr="00C96594" w:rsidTr="00213A38">
        <w:tc>
          <w:tcPr>
            <w:tcW w:w="1555" w:type="dxa"/>
          </w:tcPr>
          <w:p w:rsidR="00A2510E" w:rsidRPr="00C96594" w:rsidRDefault="00A2510E" w:rsidP="00213A38">
            <w:pPr>
              <w:pStyle w:val="TableText0"/>
            </w:pPr>
            <w:r w:rsidRPr="00C96594">
              <w:t>ALEX</w:t>
            </w:r>
          </w:p>
          <w:p w:rsidR="00A2510E" w:rsidRPr="00C96594" w:rsidRDefault="00A2510E" w:rsidP="00213A38">
            <w:pPr>
              <w:pStyle w:val="TableText0"/>
              <w:rPr>
                <w:vertAlign w:val="superscript"/>
              </w:rPr>
            </w:pPr>
            <w:r w:rsidRPr="00C96594">
              <w:t>(November 2019)</w:t>
            </w:r>
            <w:r w:rsidRPr="00C96594">
              <w:rPr>
                <w:vertAlign w:val="superscript"/>
              </w:rPr>
              <w:t>c</w:t>
            </w:r>
          </w:p>
        </w:tc>
        <w:tc>
          <w:tcPr>
            <w:tcW w:w="1464" w:type="dxa"/>
          </w:tcPr>
          <w:p w:rsidR="00A2510E" w:rsidRPr="00C96594" w:rsidRDefault="00A2510E" w:rsidP="00213A38">
            <w:pPr>
              <w:pStyle w:val="TableText0"/>
            </w:pPr>
            <w:r w:rsidRPr="00C96594">
              <w:t>Alectinib vs. crizotinib</w:t>
            </w:r>
          </w:p>
        </w:tc>
        <w:tc>
          <w:tcPr>
            <w:tcW w:w="1501" w:type="dxa"/>
          </w:tcPr>
          <w:p w:rsidR="00A2510E" w:rsidRPr="00C96594" w:rsidRDefault="00A2510E" w:rsidP="00213A38">
            <w:pPr>
              <w:pStyle w:val="TableText0"/>
            </w:pPr>
            <w:r w:rsidRPr="00C96594">
              <w:rPr>
                <w:szCs w:val="20"/>
                <w:lang w:bidi="th-TH"/>
              </w:rPr>
              <w:t>79 / 152 (52.0.)</w:t>
            </w:r>
          </w:p>
        </w:tc>
        <w:tc>
          <w:tcPr>
            <w:tcW w:w="1500" w:type="dxa"/>
          </w:tcPr>
          <w:p w:rsidR="00A2510E" w:rsidRPr="00C96594" w:rsidRDefault="00A2510E" w:rsidP="00213A38">
            <w:pPr>
              <w:pStyle w:val="TableText0"/>
            </w:pPr>
            <w:r w:rsidRPr="00C96594">
              <w:rPr>
                <w:szCs w:val="20"/>
                <w:lang w:bidi="th-TH"/>
              </w:rPr>
              <w:t>85/ 151 (56.3)</w:t>
            </w:r>
          </w:p>
        </w:tc>
        <w:tc>
          <w:tcPr>
            <w:tcW w:w="1498" w:type="dxa"/>
          </w:tcPr>
          <w:p w:rsidR="00A2510E" w:rsidRPr="00C96594" w:rsidRDefault="00A2510E" w:rsidP="00213A38">
            <w:pPr>
              <w:pStyle w:val="TableText0"/>
            </w:pPr>
            <w:r w:rsidRPr="00C96594">
              <w:t>0.84 (0.54, 1.32)</w:t>
            </w:r>
          </w:p>
        </w:tc>
        <w:tc>
          <w:tcPr>
            <w:tcW w:w="1499" w:type="dxa"/>
          </w:tcPr>
          <w:p w:rsidR="00A2510E" w:rsidRPr="00C96594" w:rsidRDefault="00A2510E" w:rsidP="00213A38">
            <w:pPr>
              <w:pStyle w:val="TableText0"/>
            </w:pPr>
            <w:r w:rsidRPr="00C96594">
              <w:t>0.92 (0.75, 1.14)</w:t>
            </w:r>
          </w:p>
        </w:tc>
      </w:tr>
      <w:tr w:rsidR="00A2510E" w:rsidRPr="00C96594" w:rsidTr="00213A38">
        <w:tc>
          <w:tcPr>
            <w:tcW w:w="1555" w:type="dxa"/>
          </w:tcPr>
          <w:p w:rsidR="00A2510E" w:rsidRPr="00C96594" w:rsidRDefault="00A2510E" w:rsidP="00213A38">
            <w:pPr>
              <w:pStyle w:val="TableText0"/>
            </w:pPr>
            <w:r w:rsidRPr="00C96594">
              <w:t>CROWN vs. ALEX (February 2017)</w:t>
            </w:r>
          </w:p>
        </w:tc>
        <w:tc>
          <w:tcPr>
            <w:tcW w:w="4465" w:type="dxa"/>
            <w:gridSpan w:val="3"/>
          </w:tcPr>
          <w:p w:rsidR="00A2510E" w:rsidRPr="00C96594" w:rsidRDefault="00A2510E" w:rsidP="00213A38">
            <w:pPr>
              <w:pStyle w:val="TableText0"/>
            </w:pPr>
            <w:r w:rsidRPr="00C96594">
              <w:rPr>
                <w:b/>
              </w:rPr>
              <w:t>Indirect comparison</w:t>
            </w:r>
            <w:r w:rsidRPr="00C96594">
              <w:t xml:space="preserve"> Lorlatinib vs. alectinib</w:t>
            </w:r>
          </w:p>
        </w:tc>
        <w:tc>
          <w:tcPr>
            <w:tcW w:w="1498" w:type="dxa"/>
          </w:tcPr>
          <w:p w:rsidR="00A2510E" w:rsidRPr="00C96594" w:rsidRDefault="00A2510E" w:rsidP="00213A38">
            <w:pPr>
              <w:pStyle w:val="TableText0"/>
            </w:pPr>
            <w:r w:rsidRPr="00C96594">
              <w:t>3.15 (1.59, 6.24)</w:t>
            </w:r>
          </w:p>
        </w:tc>
        <w:tc>
          <w:tcPr>
            <w:tcW w:w="1499" w:type="dxa"/>
          </w:tcPr>
          <w:p w:rsidR="00A2510E" w:rsidRPr="00C96594" w:rsidRDefault="00A2510E" w:rsidP="00213A38">
            <w:pPr>
              <w:pStyle w:val="TableText0"/>
            </w:pPr>
            <w:r w:rsidRPr="00C96594">
              <w:t>1.55 (1.15, 2.08)</w:t>
            </w:r>
          </w:p>
        </w:tc>
      </w:tr>
      <w:tr w:rsidR="00A2510E" w:rsidRPr="00C96594" w:rsidTr="00213A38">
        <w:tc>
          <w:tcPr>
            <w:tcW w:w="1555" w:type="dxa"/>
          </w:tcPr>
          <w:p w:rsidR="00A2510E" w:rsidRPr="00C96594" w:rsidRDefault="00A2510E" w:rsidP="00213A38">
            <w:pPr>
              <w:pStyle w:val="TableText0"/>
            </w:pPr>
            <w:r w:rsidRPr="00C96594">
              <w:t>CROWN vs. ALEX (November 2019)</w:t>
            </w:r>
          </w:p>
        </w:tc>
        <w:tc>
          <w:tcPr>
            <w:tcW w:w="4465" w:type="dxa"/>
            <w:gridSpan w:val="3"/>
          </w:tcPr>
          <w:p w:rsidR="00A2510E" w:rsidRPr="00C96594" w:rsidRDefault="00A2510E" w:rsidP="00213A38">
            <w:pPr>
              <w:pStyle w:val="TableText0"/>
            </w:pPr>
            <w:r w:rsidRPr="00C96594">
              <w:rPr>
                <w:b/>
              </w:rPr>
              <w:t>Indirect comparison</w:t>
            </w:r>
            <w:r w:rsidRPr="00C96594">
              <w:t xml:space="preserve"> Lorlatinib vs. alectinib</w:t>
            </w:r>
          </w:p>
        </w:tc>
        <w:tc>
          <w:tcPr>
            <w:tcW w:w="1498" w:type="dxa"/>
          </w:tcPr>
          <w:p w:rsidR="00A2510E" w:rsidRPr="00C96594" w:rsidRDefault="00A2510E" w:rsidP="00213A38">
            <w:pPr>
              <w:pStyle w:val="TableText0"/>
            </w:pPr>
            <w:r w:rsidRPr="00C96594">
              <w:t>2.62 (1.33, 5.18)</w:t>
            </w:r>
          </w:p>
        </w:tc>
        <w:tc>
          <w:tcPr>
            <w:tcW w:w="1499" w:type="dxa"/>
          </w:tcPr>
          <w:p w:rsidR="00A2510E" w:rsidRPr="00C96594" w:rsidRDefault="00A2510E" w:rsidP="00213A38">
            <w:pPr>
              <w:pStyle w:val="TableText0"/>
            </w:pPr>
            <w:r w:rsidRPr="00C96594">
              <w:t>1.38 (1.06, 1.79)</w:t>
            </w:r>
          </w:p>
        </w:tc>
      </w:tr>
    </w:tbl>
    <w:p w:rsidR="00A2510E" w:rsidRPr="00C96594" w:rsidRDefault="00A2510E" w:rsidP="00A2510E">
      <w:pPr>
        <w:keepNext/>
        <w:rPr>
          <w:rFonts w:ascii="Arial Narrow" w:hAnsi="Arial Narrow"/>
          <w:sz w:val="18"/>
          <w:szCs w:val="18"/>
        </w:rPr>
      </w:pPr>
      <w:r w:rsidRPr="00C96594">
        <w:rPr>
          <w:rFonts w:ascii="Arial Narrow" w:hAnsi="Arial Narrow"/>
          <w:sz w:val="18"/>
          <w:szCs w:val="18"/>
        </w:rPr>
        <w:t xml:space="preserve">Source: Table 2.5.19 of the submission, Section 2.5.3 of the submission, and Peters (2017) and Mok (2020) publications for the ALEX 2017 and 2019 data cut-offs, respectively. </w:t>
      </w:r>
    </w:p>
    <w:p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a</w:t>
      </w:r>
      <w:r w:rsidRPr="00C96594">
        <w:rPr>
          <w:rFonts w:ascii="Arial Narrow" w:hAnsi="Arial Narrow"/>
          <w:sz w:val="18"/>
          <w:szCs w:val="18"/>
        </w:rPr>
        <w:t>March 2020 interim data cut-off: The median duration of treatment with lorlatinib not been reached and was therefore not estimable and was 9.6 months in the crizotinib treatment arm.</w:t>
      </w:r>
    </w:p>
    <w:p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b</w:t>
      </w:r>
      <w:r w:rsidRPr="00C96594">
        <w:rPr>
          <w:rFonts w:ascii="Arial Narrow" w:hAnsi="Arial Narrow"/>
          <w:sz w:val="18"/>
          <w:szCs w:val="18"/>
        </w:rPr>
        <w:t>February 2017 data cut-off: The median duration of treatment was 17.9 months with alectinib and 10.7 months with crizotinib.</w:t>
      </w:r>
    </w:p>
    <w:p w:rsidR="00A2510E" w:rsidRPr="00C96594" w:rsidRDefault="00A2510E" w:rsidP="00A2510E">
      <w:pPr>
        <w:rPr>
          <w:rFonts w:ascii="Arial Narrow" w:hAnsi="Arial Narrow"/>
          <w:i/>
          <w:sz w:val="18"/>
          <w:szCs w:val="18"/>
        </w:rPr>
      </w:pPr>
      <w:r w:rsidRPr="00C96594">
        <w:rPr>
          <w:rFonts w:ascii="Arial Narrow" w:hAnsi="Arial Narrow"/>
          <w:sz w:val="18"/>
          <w:szCs w:val="18"/>
          <w:vertAlign w:val="superscript"/>
        </w:rPr>
        <w:t>c</w:t>
      </w:r>
      <w:r w:rsidRPr="00C96594">
        <w:rPr>
          <w:rFonts w:ascii="Arial Narrow" w:hAnsi="Arial Narrow"/>
          <w:sz w:val="18"/>
          <w:szCs w:val="18"/>
        </w:rPr>
        <w:t>November 2019 data cut-off: median treatment duration was 28.1 months with alectinib and 10.8 months with crizotinib</w:t>
      </w:r>
      <w:r w:rsidRPr="00C96594">
        <w:rPr>
          <w:rFonts w:ascii="Arial Narrow" w:hAnsi="Arial Narrow"/>
          <w:i/>
          <w:sz w:val="18"/>
          <w:szCs w:val="18"/>
        </w:rPr>
        <w:t>.</w:t>
      </w:r>
    </w:p>
    <w:p w:rsidR="00A2510E" w:rsidRPr="00C96594" w:rsidRDefault="00A2510E" w:rsidP="00A2510E"/>
    <w:p w:rsidR="00A2510E" w:rsidRPr="00C96594" w:rsidRDefault="00A2510E" w:rsidP="00A2510E">
      <w:pPr>
        <w:pStyle w:val="TableFigureHeading"/>
      </w:pPr>
      <w:r w:rsidRPr="00C96594">
        <w:t xml:space="preserve">Table </w:t>
      </w:r>
      <w:r w:rsidR="007E358B" w:rsidRPr="00C96594">
        <w:t>7</w:t>
      </w:r>
      <w:r w:rsidRPr="00C96594">
        <w:t xml:space="preserve">: Lorlatinib versus alectinib via crizotinib as the common reference arm - Patients with </w:t>
      </w:r>
      <w:r w:rsidR="00357911" w:rsidRPr="00C96594">
        <w:t>treatment-related</w:t>
      </w:r>
      <w:r w:rsidRPr="00C96594">
        <w:t xml:space="preserve"> adverse events (any grade)</w:t>
      </w:r>
    </w:p>
    <w:tbl>
      <w:tblPr>
        <w:tblStyle w:val="TableGrid14"/>
        <w:tblW w:w="0" w:type="auto"/>
        <w:tblLook w:val="04A0" w:firstRow="1" w:lastRow="0" w:firstColumn="1" w:lastColumn="0" w:noHBand="0" w:noVBand="1"/>
        <w:tblCaption w:val="Table 7: Lorlatinib versus alectinib via crizotinib as the common reference arm - Patients with treatment-related adverse events (any grade)"/>
      </w:tblPr>
      <w:tblGrid>
        <w:gridCol w:w="1688"/>
        <w:gridCol w:w="1173"/>
        <w:gridCol w:w="1684"/>
        <w:gridCol w:w="1423"/>
        <w:gridCol w:w="1558"/>
        <w:gridCol w:w="1491"/>
      </w:tblGrid>
      <w:tr w:rsidR="00A2510E" w:rsidRPr="00C96594" w:rsidTr="00CA41D0">
        <w:trPr>
          <w:tblHeader/>
        </w:trPr>
        <w:tc>
          <w:tcPr>
            <w:tcW w:w="1688" w:type="dxa"/>
          </w:tcPr>
          <w:p w:rsidR="00A2510E" w:rsidRPr="00C96594" w:rsidRDefault="00A2510E" w:rsidP="00213A38">
            <w:pPr>
              <w:pStyle w:val="TableText0"/>
              <w:rPr>
                <w:b/>
              </w:rPr>
            </w:pPr>
            <w:r w:rsidRPr="00C96594">
              <w:rPr>
                <w:b/>
              </w:rPr>
              <w:t>Study</w:t>
            </w:r>
          </w:p>
          <w:p w:rsidR="00A2510E" w:rsidRPr="00C96594" w:rsidRDefault="00A2510E" w:rsidP="00213A38">
            <w:pPr>
              <w:pStyle w:val="TableText0"/>
              <w:rPr>
                <w:b/>
              </w:rPr>
            </w:pPr>
            <w:r w:rsidRPr="00C96594">
              <w:rPr>
                <w:b/>
              </w:rPr>
              <w:t>(data cut-off)</w:t>
            </w:r>
          </w:p>
        </w:tc>
        <w:tc>
          <w:tcPr>
            <w:tcW w:w="1173" w:type="dxa"/>
          </w:tcPr>
          <w:p w:rsidR="00A2510E" w:rsidRPr="00C96594" w:rsidRDefault="00A2510E" w:rsidP="00213A38">
            <w:pPr>
              <w:pStyle w:val="TableText0"/>
              <w:rPr>
                <w:b/>
              </w:rPr>
            </w:pPr>
            <w:r w:rsidRPr="00C96594">
              <w:rPr>
                <w:b/>
              </w:rPr>
              <w:t>Comparison</w:t>
            </w:r>
          </w:p>
        </w:tc>
        <w:tc>
          <w:tcPr>
            <w:tcW w:w="1684" w:type="dxa"/>
          </w:tcPr>
          <w:p w:rsidR="00A2510E" w:rsidRPr="00C96594" w:rsidRDefault="00A2510E" w:rsidP="00213A38">
            <w:pPr>
              <w:pStyle w:val="TableText0"/>
              <w:rPr>
                <w:b/>
              </w:rPr>
            </w:pPr>
            <w:r w:rsidRPr="00C96594">
              <w:rPr>
                <w:b/>
              </w:rPr>
              <w:t>Experimental Treatment</w:t>
            </w:r>
          </w:p>
          <w:p w:rsidR="00A2510E" w:rsidRPr="00C96594" w:rsidRDefault="00A2510E" w:rsidP="00213A38">
            <w:pPr>
              <w:pStyle w:val="TableText0"/>
              <w:rPr>
                <w:b/>
              </w:rPr>
            </w:pPr>
            <w:r w:rsidRPr="00C96594">
              <w:rPr>
                <w:b/>
              </w:rPr>
              <w:t>n/N (%)</w:t>
            </w:r>
          </w:p>
        </w:tc>
        <w:tc>
          <w:tcPr>
            <w:tcW w:w="1423" w:type="dxa"/>
          </w:tcPr>
          <w:p w:rsidR="00A2510E" w:rsidRPr="00C96594" w:rsidRDefault="00A2510E" w:rsidP="00213A38">
            <w:pPr>
              <w:pStyle w:val="TableText0"/>
              <w:rPr>
                <w:b/>
              </w:rPr>
            </w:pPr>
            <w:r w:rsidRPr="00C96594">
              <w:rPr>
                <w:b/>
              </w:rPr>
              <w:t>Crizotinib</w:t>
            </w:r>
          </w:p>
          <w:p w:rsidR="00A2510E" w:rsidRPr="00C96594" w:rsidRDefault="00A2510E" w:rsidP="00213A38">
            <w:pPr>
              <w:pStyle w:val="TableText0"/>
              <w:rPr>
                <w:b/>
              </w:rPr>
            </w:pPr>
            <w:r w:rsidRPr="00C96594">
              <w:rPr>
                <w:b/>
              </w:rPr>
              <w:t>n/N (%)</w:t>
            </w:r>
          </w:p>
        </w:tc>
        <w:tc>
          <w:tcPr>
            <w:tcW w:w="1558" w:type="dxa"/>
          </w:tcPr>
          <w:p w:rsidR="00A2510E" w:rsidRPr="00C96594" w:rsidRDefault="00A2510E" w:rsidP="00213A38">
            <w:pPr>
              <w:pStyle w:val="TableText0"/>
              <w:rPr>
                <w:b/>
              </w:rPr>
            </w:pPr>
            <w:r w:rsidRPr="00C96594">
              <w:rPr>
                <w:b/>
              </w:rPr>
              <w:t>Odds Ratio</w:t>
            </w:r>
          </w:p>
          <w:p w:rsidR="00A2510E" w:rsidRPr="00C96594" w:rsidRDefault="00A2510E" w:rsidP="00213A38">
            <w:pPr>
              <w:pStyle w:val="TableText0"/>
              <w:rPr>
                <w:b/>
              </w:rPr>
            </w:pPr>
            <w:r w:rsidRPr="00C96594">
              <w:rPr>
                <w:b/>
              </w:rPr>
              <w:t>(95% CI)</w:t>
            </w:r>
          </w:p>
        </w:tc>
        <w:tc>
          <w:tcPr>
            <w:tcW w:w="1491" w:type="dxa"/>
          </w:tcPr>
          <w:p w:rsidR="00A2510E" w:rsidRPr="00C96594" w:rsidRDefault="00A2510E" w:rsidP="00213A38">
            <w:pPr>
              <w:pStyle w:val="TableText0"/>
              <w:rPr>
                <w:b/>
              </w:rPr>
            </w:pPr>
            <w:r w:rsidRPr="00C96594">
              <w:rPr>
                <w:b/>
              </w:rPr>
              <w:t>Relative Risk  (95% CI)</w:t>
            </w:r>
          </w:p>
        </w:tc>
      </w:tr>
      <w:tr w:rsidR="00A2510E" w:rsidRPr="00C96594" w:rsidTr="00213A38">
        <w:tc>
          <w:tcPr>
            <w:tcW w:w="1688" w:type="dxa"/>
          </w:tcPr>
          <w:p w:rsidR="00A2510E" w:rsidRPr="00C96594" w:rsidRDefault="00A2510E" w:rsidP="00213A38">
            <w:pPr>
              <w:pStyle w:val="TableText0"/>
              <w:rPr>
                <w:vertAlign w:val="superscript"/>
              </w:rPr>
            </w:pPr>
            <w:r w:rsidRPr="00C96594">
              <w:t>CROWN</w:t>
            </w:r>
            <w:r w:rsidRPr="00C96594">
              <w:rPr>
                <w:vertAlign w:val="superscript"/>
              </w:rPr>
              <w:t>a</w:t>
            </w:r>
          </w:p>
        </w:tc>
        <w:tc>
          <w:tcPr>
            <w:tcW w:w="1173" w:type="dxa"/>
          </w:tcPr>
          <w:p w:rsidR="00A2510E" w:rsidRPr="00C96594" w:rsidRDefault="00A2510E" w:rsidP="00213A38">
            <w:pPr>
              <w:pStyle w:val="TableText0"/>
            </w:pPr>
            <w:r w:rsidRPr="00C96594">
              <w:t>Lorlatinib vs crizotinib</w:t>
            </w:r>
          </w:p>
        </w:tc>
        <w:tc>
          <w:tcPr>
            <w:tcW w:w="1684" w:type="dxa"/>
          </w:tcPr>
          <w:p w:rsidR="00A2510E" w:rsidRPr="00C96594" w:rsidRDefault="00A2510E" w:rsidP="00213A38">
            <w:pPr>
              <w:pStyle w:val="TableText0"/>
            </w:pPr>
            <w:r w:rsidRPr="00C96594">
              <w:t>144 / 149 (96.6)</w:t>
            </w:r>
          </w:p>
        </w:tc>
        <w:tc>
          <w:tcPr>
            <w:tcW w:w="1423" w:type="dxa"/>
          </w:tcPr>
          <w:p w:rsidR="00A2510E" w:rsidRPr="00C96594" w:rsidRDefault="00A2510E" w:rsidP="00213A38">
            <w:pPr>
              <w:pStyle w:val="TableText0"/>
            </w:pPr>
            <w:r w:rsidRPr="00C96594">
              <w:t>133 / 142 (93.7)</w:t>
            </w:r>
          </w:p>
        </w:tc>
        <w:tc>
          <w:tcPr>
            <w:tcW w:w="1558" w:type="dxa"/>
          </w:tcPr>
          <w:p w:rsidR="00A2510E" w:rsidRPr="00C96594" w:rsidRDefault="00A2510E" w:rsidP="00213A38">
            <w:pPr>
              <w:pStyle w:val="TableText0"/>
            </w:pPr>
            <w:r w:rsidRPr="00C96594">
              <w:t>1.95 (0.64, 5.96)</w:t>
            </w:r>
          </w:p>
        </w:tc>
        <w:tc>
          <w:tcPr>
            <w:tcW w:w="1491" w:type="dxa"/>
          </w:tcPr>
          <w:p w:rsidR="00A2510E" w:rsidRPr="00C96594" w:rsidRDefault="00A2510E" w:rsidP="00213A38">
            <w:pPr>
              <w:pStyle w:val="TableText0"/>
            </w:pPr>
            <w:r w:rsidRPr="00C96594">
              <w:t>1.03 (0.98, 1.09)</w:t>
            </w:r>
          </w:p>
        </w:tc>
      </w:tr>
      <w:tr w:rsidR="00A2510E" w:rsidRPr="00C96594" w:rsidTr="00213A38">
        <w:tc>
          <w:tcPr>
            <w:tcW w:w="1688" w:type="dxa"/>
          </w:tcPr>
          <w:p w:rsidR="00A2510E" w:rsidRPr="00C96594" w:rsidRDefault="00A2510E" w:rsidP="00213A38">
            <w:pPr>
              <w:pStyle w:val="TableText0"/>
            </w:pPr>
            <w:r w:rsidRPr="00C96594">
              <w:t>ALEX</w:t>
            </w:r>
          </w:p>
          <w:p w:rsidR="00A2510E" w:rsidRPr="00C96594" w:rsidRDefault="00A2510E" w:rsidP="00213A38">
            <w:pPr>
              <w:pStyle w:val="TableText0"/>
              <w:rPr>
                <w:vertAlign w:val="superscript"/>
              </w:rPr>
            </w:pPr>
            <w:r w:rsidRPr="00C96594">
              <w:t>(November 2019)</w:t>
            </w:r>
            <w:r w:rsidRPr="00C96594">
              <w:rPr>
                <w:vertAlign w:val="superscript"/>
              </w:rPr>
              <w:t xml:space="preserve"> b</w:t>
            </w:r>
          </w:p>
        </w:tc>
        <w:tc>
          <w:tcPr>
            <w:tcW w:w="1173" w:type="dxa"/>
          </w:tcPr>
          <w:p w:rsidR="00A2510E" w:rsidRPr="00C96594" w:rsidRDefault="00A2510E" w:rsidP="00213A38">
            <w:pPr>
              <w:pStyle w:val="TableText0"/>
            </w:pPr>
            <w:r w:rsidRPr="00C96594">
              <w:t>Alectinib vs. crizotinib</w:t>
            </w:r>
          </w:p>
        </w:tc>
        <w:tc>
          <w:tcPr>
            <w:tcW w:w="1684" w:type="dxa"/>
          </w:tcPr>
          <w:p w:rsidR="00A2510E" w:rsidRPr="00C96594" w:rsidRDefault="00A2510E" w:rsidP="00213A38">
            <w:pPr>
              <w:pStyle w:val="TableText0"/>
            </w:pPr>
            <w:r w:rsidRPr="00C96594">
              <w:rPr>
                <w:szCs w:val="20"/>
                <w:lang w:bidi="th-TH"/>
              </w:rPr>
              <w:t>123 / 152 (80.9)</w:t>
            </w:r>
            <w:r w:rsidRPr="00C96594">
              <w:rPr>
                <w:vertAlign w:val="superscript"/>
              </w:rPr>
              <w:t xml:space="preserve"> </w:t>
            </w:r>
          </w:p>
        </w:tc>
        <w:tc>
          <w:tcPr>
            <w:tcW w:w="1423" w:type="dxa"/>
          </w:tcPr>
          <w:p w:rsidR="00A2510E" w:rsidRPr="00C96594" w:rsidRDefault="00A2510E" w:rsidP="00213A38">
            <w:pPr>
              <w:pStyle w:val="TableText0"/>
            </w:pPr>
            <w:r w:rsidRPr="00C96594">
              <w:rPr>
                <w:szCs w:val="20"/>
                <w:lang w:bidi="th-TH"/>
              </w:rPr>
              <w:t>134/ 151 (88.7)</w:t>
            </w:r>
          </w:p>
        </w:tc>
        <w:tc>
          <w:tcPr>
            <w:tcW w:w="1558" w:type="dxa"/>
          </w:tcPr>
          <w:p w:rsidR="00A2510E" w:rsidRPr="00C96594" w:rsidRDefault="00A2510E" w:rsidP="00213A38">
            <w:pPr>
              <w:pStyle w:val="TableText0"/>
            </w:pPr>
            <w:r w:rsidRPr="00C96594">
              <w:t>0.54 (0.28, 1.03)</w:t>
            </w:r>
          </w:p>
        </w:tc>
        <w:tc>
          <w:tcPr>
            <w:tcW w:w="1491" w:type="dxa"/>
          </w:tcPr>
          <w:p w:rsidR="00A2510E" w:rsidRPr="00C96594" w:rsidRDefault="00A2510E" w:rsidP="00213A38">
            <w:pPr>
              <w:pStyle w:val="TableText0"/>
              <w:rPr>
                <w:highlight w:val="yellow"/>
              </w:rPr>
            </w:pPr>
            <w:r w:rsidRPr="00C96594">
              <w:t>0.91 (0.83, 1.00)</w:t>
            </w:r>
          </w:p>
        </w:tc>
      </w:tr>
      <w:tr w:rsidR="00A2510E" w:rsidRPr="00C96594" w:rsidTr="00213A38">
        <w:tc>
          <w:tcPr>
            <w:tcW w:w="1688" w:type="dxa"/>
          </w:tcPr>
          <w:p w:rsidR="00A2510E" w:rsidRPr="00C96594" w:rsidRDefault="00A2510E" w:rsidP="00213A38">
            <w:pPr>
              <w:pStyle w:val="TableText0"/>
            </w:pPr>
            <w:r w:rsidRPr="00C96594">
              <w:t>CROWN vs. ALEX (November 2019)</w:t>
            </w:r>
          </w:p>
        </w:tc>
        <w:tc>
          <w:tcPr>
            <w:tcW w:w="4280" w:type="dxa"/>
            <w:gridSpan w:val="3"/>
          </w:tcPr>
          <w:p w:rsidR="00A2510E" w:rsidRPr="00C96594" w:rsidRDefault="00A2510E" w:rsidP="00213A38">
            <w:pPr>
              <w:pStyle w:val="TableText0"/>
            </w:pPr>
            <w:r w:rsidRPr="00C96594">
              <w:rPr>
                <w:b/>
              </w:rPr>
              <w:t>Indirect comparison</w:t>
            </w:r>
            <w:r w:rsidRPr="00C96594">
              <w:t xml:space="preserve"> Lorlatinib vs. alectinib</w:t>
            </w:r>
          </w:p>
        </w:tc>
        <w:tc>
          <w:tcPr>
            <w:tcW w:w="1558" w:type="dxa"/>
          </w:tcPr>
          <w:p w:rsidR="00A2510E" w:rsidRPr="00C96594" w:rsidRDefault="00A2510E" w:rsidP="00213A38">
            <w:pPr>
              <w:pStyle w:val="TableText0"/>
            </w:pPr>
            <w:r w:rsidRPr="00C96594">
              <w:t>3.62 (1.00, 13.18)</w:t>
            </w:r>
          </w:p>
        </w:tc>
        <w:tc>
          <w:tcPr>
            <w:tcW w:w="1491" w:type="dxa"/>
          </w:tcPr>
          <w:p w:rsidR="00A2510E" w:rsidRPr="00C96594" w:rsidRDefault="00A2510E" w:rsidP="00213A38">
            <w:pPr>
              <w:pStyle w:val="TableText0"/>
            </w:pPr>
            <w:r w:rsidRPr="00C96594">
              <w:t>1.13 (1.02, 1.26)</w:t>
            </w:r>
          </w:p>
        </w:tc>
      </w:tr>
    </w:tbl>
    <w:p w:rsidR="00A2510E" w:rsidRPr="00C96594" w:rsidRDefault="00A2510E" w:rsidP="00A2510E">
      <w:pPr>
        <w:keepNext/>
        <w:rPr>
          <w:rFonts w:ascii="Arial Narrow" w:hAnsi="Arial Narrow"/>
          <w:sz w:val="18"/>
          <w:szCs w:val="18"/>
        </w:rPr>
      </w:pPr>
      <w:r w:rsidRPr="00C96594">
        <w:rPr>
          <w:rFonts w:ascii="Arial Narrow" w:hAnsi="Arial Narrow"/>
          <w:sz w:val="18"/>
          <w:szCs w:val="18"/>
        </w:rPr>
        <w:t xml:space="preserve">Source: Table 2.5.19 of the submission, Section 2.5.3 of the submission, and Mok (2020) publication for the ALEX </w:t>
      </w:r>
      <w:r w:rsidR="00DF7F4E" w:rsidRPr="00C96594">
        <w:rPr>
          <w:rFonts w:ascii="Arial Narrow" w:hAnsi="Arial Narrow"/>
          <w:sz w:val="18"/>
          <w:szCs w:val="18"/>
        </w:rPr>
        <w:t>November</w:t>
      </w:r>
      <w:r w:rsidRPr="00C96594">
        <w:rPr>
          <w:rFonts w:ascii="Arial Narrow" w:hAnsi="Arial Narrow"/>
          <w:sz w:val="18"/>
          <w:szCs w:val="18"/>
        </w:rPr>
        <w:t xml:space="preserve"> 2019 data cut-off. </w:t>
      </w:r>
    </w:p>
    <w:p w:rsidR="00A2510E" w:rsidRPr="00C96594" w:rsidRDefault="00A2510E" w:rsidP="00A2510E">
      <w:pPr>
        <w:keepNext/>
        <w:rPr>
          <w:rFonts w:ascii="Arial Narrow" w:hAnsi="Arial Narrow"/>
          <w:sz w:val="18"/>
          <w:szCs w:val="18"/>
        </w:rPr>
      </w:pPr>
      <w:r w:rsidRPr="00C96594">
        <w:rPr>
          <w:rFonts w:ascii="Arial Narrow" w:hAnsi="Arial Narrow"/>
          <w:sz w:val="18"/>
          <w:szCs w:val="18"/>
          <w:vertAlign w:val="superscript"/>
        </w:rPr>
        <w:t>a</w:t>
      </w:r>
      <w:r w:rsidRPr="00C96594">
        <w:rPr>
          <w:rFonts w:ascii="Arial Narrow" w:hAnsi="Arial Narrow"/>
          <w:sz w:val="18"/>
          <w:szCs w:val="18"/>
        </w:rPr>
        <w:t>March 2020 interim data cut-off</w:t>
      </w:r>
      <w:r w:rsidR="00DF7F4E" w:rsidRPr="00C96594">
        <w:rPr>
          <w:rFonts w:ascii="Arial Narrow" w:hAnsi="Arial Narrow"/>
          <w:sz w:val="18"/>
          <w:szCs w:val="18"/>
        </w:rPr>
        <w:t xml:space="preserve"> for CROWN</w:t>
      </w:r>
      <w:r w:rsidRPr="00C96594">
        <w:rPr>
          <w:rFonts w:ascii="Arial Narrow" w:hAnsi="Arial Narrow"/>
          <w:sz w:val="18"/>
          <w:szCs w:val="18"/>
        </w:rPr>
        <w:t xml:space="preserve">: The median duration of treatment with lorlatinib not been reached </w:t>
      </w:r>
      <w:r w:rsidR="00DF7F4E" w:rsidRPr="00C96594">
        <w:rPr>
          <w:rFonts w:ascii="Arial Narrow" w:hAnsi="Arial Narrow"/>
          <w:sz w:val="18"/>
          <w:szCs w:val="18"/>
        </w:rPr>
        <w:t>(</w:t>
      </w:r>
      <w:r w:rsidRPr="00C96594">
        <w:rPr>
          <w:rFonts w:ascii="Arial Narrow" w:hAnsi="Arial Narrow"/>
          <w:sz w:val="18"/>
          <w:szCs w:val="18"/>
        </w:rPr>
        <w:t>not estimable</w:t>
      </w:r>
      <w:r w:rsidR="00DF7F4E" w:rsidRPr="00C96594">
        <w:rPr>
          <w:rFonts w:ascii="Arial Narrow" w:hAnsi="Arial Narrow"/>
          <w:sz w:val="18"/>
          <w:szCs w:val="18"/>
        </w:rPr>
        <w:t>)</w:t>
      </w:r>
      <w:r w:rsidRPr="00C96594">
        <w:rPr>
          <w:rFonts w:ascii="Arial Narrow" w:hAnsi="Arial Narrow"/>
          <w:sz w:val="18"/>
          <w:szCs w:val="18"/>
        </w:rPr>
        <w:t xml:space="preserve"> and was 9.6 months in the crizotinib treatment arm.</w:t>
      </w:r>
    </w:p>
    <w:p w:rsidR="00A2510E" w:rsidRPr="00C96594" w:rsidRDefault="00A2510E" w:rsidP="00A2510E">
      <w:pPr>
        <w:rPr>
          <w:rFonts w:ascii="Arial Narrow" w:hAnsi="Arial Narrow"/>
          <w:sz w:val="18"/>
          <w:szCs w:val="18"/>
        </w:rPr>
      </w:pPr>
      <w:r w:rsidRPr="00C96594">
        <w:rPr>
          <w:rFonts w:ascii="Arial Narrow" w:hAnsi="Arial Narrow"/>
          <w:sz w:val="18"/>
          <w:szCs w:val="18"/>
          <w:vertAlign w:val="superscript"/>
        </w:rPr>
        <w:t>b</w:t>
      </w:r>
      <w:r w:rsidRPr="00C96594">
        <w:rPr>
          <w:rFonts w:ascii="Arial Narrow" w:hAnsi="Arial Narrow"/>
          <w:sz w:val="18"/>
          <w:szCs w:val="18"/>
        </w:rPr>
        <w:t xml:space="preserve">November 2019 data cut-off: median treatment duration was 28.1 months with alectinib and 10.8 months with crizotinib. </w:t>
      </w:r>
      <w:r w:rsidR="00DF7F4E" w:rsidRPr="00C96594">
        <w:rPr>
          <w:rFonts w:ascii="Arial Narrow" w:hAnsi="Arial Narrow"/>
          <w:sz w:val="18"/>
          <w:szCs w:val="18"/>
        </w:rPr>
        <w:t xml:space="preserve">Treatment-related adverse events from ALEX were only reported for the extended November 2019 data cut-off </w:t>
      </w:r>
      <w:r w:rsidRPr="00C96594">
        <w:rPr>
          <w:rFonts w:ascii="Arial Narrow" w:hAnsi="Arial Narrow"/>
          <w:sz w:val="18"/>
          <w:szCs w:val="18"/>
        </w:rPr>
        <w:t>reported in Mok (2020)</w:t>
      </w:r>
      <w:r w:rsidR="00DF7F4E" w:rsidRPr="00C96594">
        <w:rPr>
          <w:rFonts w:ascii="Arial Narrow" w:hAnsi="Arial Narrow"/>
          <w:sz w:val="18"/>
          <w:szCs w:val="18"/>
        </w:rPr>
        <w:t>.</w:t>
      </w:r>
      <w:r w:rsidRPr="00C96594">
        <w:rPr>
          <w:rFonts w:ascii="Arial Narrow" w:hAnsi="Arial Narrow"/>
          <w:sz w:val="18"/>
          <w:szCs w:val="18"/>
        </w:rPr>
        <w:t xml:space="preserve"> </w:t>
      </w:r>
    </w:p>
    <w:p w:rsidR="00A2510E" w:rsidRPr="00C96594" w:rsidRDefault="00A2510E" w:rsidP="00A2510E"/>
    <w:p w:rsidR="00A2510E" w:rsidRPr="00C96594" w:rsidRDefault="00A2510E" w:rsidP="00A2510E">
      <w:pPr>
        <w:pStyle w:val="3-BodyText"/>
        <w:rPr>
          <w:i/>
        </w:rPr>
      </w:pPr>
      <w:r w:rsidRPr="00C96594">
        <w:rPr>
          <w:rFonts w:cs="Calibri"/>
        </w:rPr>
        <w:t>The indirect comparison</w:t>
      </w:r>
      <w:r w:rsidR="00213A38" w:rsidRPr="00C96594">
        <w:rPr>
          <w:rFonts w:cs="Calibri"/>
        </w:rPr>
        <w:t>s</w:t>
      </w:r>
      <w:r w:rsidRPr="00C96594">
        <w:rPr>
          <w:rFonts w:cs="Calibri"/>
        </w:rPr>
        <w:t xml:space="preserve"> </w:t>
      </w:r>
      <w:r w:rsidR="00BC5742" w:rsidRPr="00C96594">
        <w:rPr>
          <w:rFonts w:cs="Calibri"/>
        </w:rPr>
        <w:t>indicated an</w:t>
      </w:r>
      <w:r w:rsidR="00E13675" w:rsidRPr="00C96594">
        <w:rPr>
          <w:rFonts w:cs="Calibri"/>
        </w:rPr>
        <w:t xml:space="preserve"> </w:t>
      </w:r>
      <w:r w:rsidRPr="00C96594">
        <w:rPr>
          <w:rFonts w:cs="Calibri"/>
        </w:rPr>
        <w:t xml:space="preserve">increased risk of Grade ≥ 3 AEs associated with lorlatinib compared with alectinib. </w:t>
      </w:r>
      <w:r w:rsidR="008F4C5D" w:rsidRPr="00C96594">
        <w:rPr>
          <w:rFonts w:cs="Calibri"/>
        </w:rPr>
        <w:t xml:space="preserve">The ESC noted </w:t>
      </w:r>
      <w:r w:rsidR="00A92ED0" w:rsidRPr="00C96594">
        <w:rPr>
          <w:rFonts w:cs="Calibri"/>
        </w:rPr>
        <w:t xml:space="preserve">the </w:t>
      </w:r>
      <w:r w:rsidR="002D488D" w:rsidRPr="00C96594">
        <w:rPr>
          <w:rFonts w:cs="Calibri"/>
        </w:rPr>
        <w:t xml:space="preserve">most common </w:t>
      </w:r>
      <w:r w:rsidR="008F4C5D" w:rsidRPr="00C96594">
        <w:rPr>
          <w:rFonts w:cs="Calibri"/>
        </w:rPr>
        <w:t xml:space="preserve">Grade </w:t>
      </w:r>
      <w:r w:rsidR="00A92ED0" w:rsidRPr="00C96594">
        <w:rPr>
          <w:rFonts w:cs="Calibri"/>
        </w:rPr>
        <w:t xml:space="preserve">3-5 AEs reported </w:t>
      </w:r>
      <w:r w:rsidR="002D488D" w:rsidRPr="00C96594">
        <w:rPr>
          <w:rFonts w:cs="Calibri"/>
        </w:rPr>
        <w:t>in patients treated with alectinib were laboratory abnormalities (Peters 2017) and the most common Grade 3-4 AEs reported in patients treated with lorlatinib were hypertriglyceridaemia (20%) hypercholesterolaemia (16%), increased weight (17%) and hypertension (10%) (Shaw 2020).</w:t>
      </w:r>
      <w:r w:rsidR="002D488D" w:rsidRPr="00C96594">
        <w:rPr>
          <w:rFonts w:cs="Calibri"/>
          <w:i/>
        </w:rPr>
        <w:t xml:space="preserve"> </w:t>
      </w:r>
    </w:p>
    <w:p w:rsidR="00E94644" w:rsidRPr="00C96594" w:rsidRDefault="00E94644" w:rsidP="00E94644">
      <w:pPr>
        <w:pStyle w:val="3-BodyText"/>
      </w:pPr>
      <w:r w:rsidRPr="00C96594">
        <w:rPr>
          <w:rFonts w:cs="Calibri"/>
        </w:rPr>
        <w:t>The ESC noted central nervous system effects have been observed in patients treated with lorlatinib including psychotic effects, changes in cognitive function (including memory impairment, disturbance in attention and amnesia), mood (including anxiety, depression and affect lability), speech and mental status changes. The ESC acknowledged these events are generally mild and manageable with dose delay and/ or reduction but noted they were not AEs generally associated with other ALK TKIs and they were likely to be highly clinically significant in some patients.</w:t>
      </w:r>
      <w:r w:rsidR="00F06D67" w:rsidRPr="00C96594">
        <w:rPr>
          <w:rFonts w:cs="Calibri"/>
        </w:rPr>
        <w:t xml:space="preserve"> In the CROWN trial, 2% (n=3/149) of patients had Grade 3 cognitive and 1% (n=2/149) had Grade 3 mood A</w:t>
      </w:r>
      <w:r w:rsidR="0085686D" w:rsidRPr="00C96594">
        <w:rPr>
          <w:rFonts w:cs="Calibri"/>
        </w:rPr>
        <w:t>Es, compared to none in the cri</w:t>
      </w:r>
      <w:r w:rsidR="00F06D67" w:rsidRPr="00C96594">
        <w:rPr>
          <w:rFonts w:cs="Calibri"/>
        </w:rPr>
        <w:t>zotinib arm, nor any reported in the ALEX trial.</w:t>
      </w:r>
    </w:p>
    <w:p w:rsidR="00E94644" w:rsidRPr="00C96594" w:rsidRDefault="00E94644" w:rsidP="00E94644">
      <w:pPr>
        <w:pStyle w:val="3-BodyText"/>
      </w:pPr>
      <w:r w:rsidRPr="00C96594">
        <w:rPr>
          <w:rFonts w:cs="Calibri"/>
        </w:rPr>
        <w:t xml:space="preserve">The PSCR noted that the PBAC had previously considered </w:t>
      </w:r>
      <w:r w:rsidRPr="00C96594">
        <w:t>that all ALK TKIs have different safety profiles and accepted that there are likely no substantive differences in safety between them</w:t>
      </w:r>
      <w:r w:rsidRPr="00C96594">
        <w:rPr>
          <w:rFonts w:cs="Calibri"/>
        </w:rPr>
        <w:t>. The ESC considered the additional data provided by the CROWN study for the first line use of lorlatinib indicated there were important differences in the safety profile of lorlatinib compared to the other ALK TKIs.</w:t>
      </w:r>
    </w:p>
    <w:p w:rsidR="00A2510E" w:rsidRPr="00C96594" w:rsidRDefault="00A2510E" w:rsidP="00A92ED0">
      <w:pPr>
        <w:pStyle w:val="3-BodyText"/>
      </w:pPr>
      <w:r w:rsidRPr="00C96594">
        <w:rPr>
          <w:rFonts w:cs="Calibri"/>
        </w:rPr>
        <w:t xml:space="preserve">The indirect comparison indicated </w:t>
      </w:r>
      <w:r w:rsidR="00573E16" w:rsidRPr="00C96594">
        <w:rPr>
          <w:rFonts w:cs="Calibri"/>
        </w:rPr>
        <w:t xml:space="preserve">there was </w:t>
      </w:r>
      <w:r w:rsidRPr="00C96594">
        <w:rPr>
          <w:rFonts w:cs="Calibri"/>
        </w:rPr>
        <w:t>a</w:t>
      </w:r>
      <w:r w:rsidR="00E13675" w:rsidRPr="00C96594">
        <w:rPr>
          <w:rFonts w:cs="Calibri"/>
        </w:rPr>
        <w:t>n</w:t>
      </w:r>
      <w:r w:rsidRPr="00C96594">
        <w:rPr>
          <w:rFonts w:cs="Calibri"/>
        </w:rPr>
        <w:t xml:space="preserve"> increased risk of </w:t>
      </w:r>
      <w:r w:rsidR="00357911" w:rsidRPr="00C96594">
        <w:rPr>
          <w:rFonts w:cs="Calibri"/>
        </w:rPr>
        <w:t>treatment-related</w:t>
      </w:r>
      <w:r w:rsidRPr="00C96594">
        <w:rPr>
          <w:rFonts w:cs="Calibri"/>
        </w:rPr>
        <w:t xml:space="preserve"> AEs (any grade) associated with lorlatinib compared with alectinib (RR = 1.13 (95% CI: 1.02, 1.26). </w:t>
      </w:r>
    </w:p>
    <w:p w:rsidR="00A2510E" w:rsidRPr="00C96594" w:rsidRDefault="00A2510E" w:rsidP="00A2510E">
      <w:pPr>
        <w:pStyle w:val="3-BodyText"/>
      </w:pPr>
      <w:r w:rsidRPr="00C96594">
        <w:t>The</w:t>
      </w:r>
      <w:r w:rsidR="00573E16" w:rsidRPr="00C96594">
        <w:t xml:space="preserve">re was a trend towards </w:t>
      </w:r>
      <w:r w:rsidR="00001B51" w:rsidRPr="00C96594">
        <w:t xml:space="preserve">a higher risk of dose interruptions due to an AE </w:t>
      </w:r>
      <w:r w:rsidR="00001B51" w:rsidRPr="00C96594">
        <w:rPr>
          <w:rFonts w:cs="Calibri"/>
        </w:rPr>
        <w:t>(RR = 1.37 (95% CI: 0.84, 2.24) and dose reductions due to an AE (RR = 1.59 (95% CI: 0.85, 2.98), associated with lorlatinib compared with alectinib</w:t>
      </w:r>
      <w:r w:rsidR="00E13675" w:rsidRPr="00C96594">
        <w:rPr>
          <w:rFonts w:cs="Calibri"/>
        </w:rPr>
        <w:t xml:space="preserve">. </w:t>
      </w:r>
      <w:r w:rsidR="00112FD4" w:rsidRPr="00C96594">
        <w:rPr>
          <w:rFonts w:cs="Calibri"/>
        </w:rPr>
        <w:t>The pre-PBAC response noted the dose intensities observed in the clinical studies for lorlatinib (94.5%) and alectinib (95.6%) were similar which suggests the trend towards a higher freq</w:t>
      </w:r>
      <w:r w:rsidR="00E022A8" w:rsidRPr="00C96594">
        <w:rPr>
          <w:rFonts w:cs="Calibri"/>
        </w:rPr>
        <w:t>ue</w:t>
      </w:r>
      <w:r w:rsidR="00112FD4" w:rsidRPr="00C96594">
        <w:rPr>
          <w:rFonts w:cs="Calibri"/>
        </w:rPr>
        <w:t>ncy of dose inter</w:t>
      </w:r>
      <w:r w:rsidR="00E022A8" w:rsidRPr="00C96594">
        <w:rPr>
          <w:rFonts w:cs="Calibri"/>
        </w:rPr>
        <w:t>r</w:t>
      </w:r>
      <w:r w:rsidR="00112FD4" w:rsidRPr="00C96594">
        <w:rPr>
          <w:rFonts w:cs="Calibri"/>
        </w:rPr>
        <w:t xml:space="preserve">uptions for lorlatinib is not clinically meaningful. </w:t>
      </w:r>
    </w:p>
    <w:p w:rsidR="00A2510E" w:rsidRPr="00C96594" w:rsidRDefault="00A2510E" w:rsidP="00A2510E">
      <w:pPr>
        <w:pStyle w:val="4-SubsectionHeading"/>
      </w:pPr>
      <w:bookmarkStart w:id="17" w:name="_Toc22897644"/>
      <w:bookmarkStart w:id="18" w:name="_Toc72307086"/>
      <w:r w:rsidRPr="00C96594">
        <w:t>Clinical claim</w:t>
      </w:r>
      <w:bookmarkEnd w:id="17"/>
      <w:bookmarkEnd w:id="18"/>
    </w:p>
    <w:p w:rsidR="00A2510E" w:rsidRPr="00C96594" w:rsidRDefault="00A2510E" w:rsidP="00A2510E">
      <w:pPr>
        <w:pStyle w:val="3-BodyText"/>
      </w:pPr>
      <w:r w:rsidRPr="00C96594">
        <w:t>The submission described lorlatinib as non-inferior to alectinib in terms of both effectiveness and safety.</w:t>
      </w:r>
    </w:p>
    <w:p w:rsidR="00A2510E" w:rsidRPr="00C96594" w:rsidRDefault="00A2510E" w:rsidP="00932A1A">
      <w:pPr>
        <w:pStyle w:val="3-BodyText"/>
      </w:pPr>
      <w:r w:rsidRPr="00C96594">
        <w:t>Notwithstanding the limitations of indirect comparisons</w:t>
      </w:r>
      <w:r w:rsidR="002B0BAC" w:rsidRPr="00C96594">
        <w:t xml:space="preserve">, and noting the </w:t>
      </w:r>
      <w:r w:rsidR="003405FD" w:rsidRPr="00C96594">
        <w:t xml:space="preserve">potential for confounding from varying </w:t>
      </w:r>
      <w:r w:rsidRPr="00C96594">
        <w:t xml:space="preserve">follow up durations across the CROWN and ALEX trials, the </w:t>
      </w:r>
      <w:r w:rsidR="00932A1A" w:rsidRPr="00C96594">
        <w:t xml:space="preserve">ESC considered the </w:t>
      </w:r>
      <w:r w:rsidRPr="00C96594">
        <w:t xml:space="preserve">clinical claim presented in the submission appeared reasonable in terms of PFS. For OS, </w:t>
      </w:r>
      <w:r w:rsidR="003405FD" w:rsidRPr="00C96594">
        <w:t xml:space="preserve">the </w:t>
      </w:r>
      <w:r w:rsidR="00DD5D0B" w:rsidRPr="00C96594">
        <w:t xml:space="preserve">evaluation considered the </w:t>
      </w:r>
      <w:r w:rsidR="003405FD" w:rsidRPr="00C96594">
        <w:t>non-inferiority claim could not be substantiated. T</w:t>
      </w:r>
      <w:r w:rsidRPr="00C96594">
        <w:t xml:space="preserve">he data </w:t>
      </w:r>
      <w:r w:rsidR="003405FD" w:rsidRPr="00C96594">
        <w:t>from CROWN were based on an interim analysis and were immature. Only 17.2% of events (51/296) had occurred across the treatment arms by the March 2020 interim data cut-off.</w:t>
      </w:r>
      <w:r w:rsidR="00932A1A" w:rsidRPr="00C96594">
        <w:t xml:space="preserve"> The ESC considered the claim of non-inferiority for OS was uncertain due to the immaturity of the data but acknowledged lorlatinib was unlikely to be inferior to alectinib.</w:t>
      </w:r>
    </w:p>
    <w:p w:rsidR="005F7588" w:rsidRPr="00C96594" w:rsidRDefault="00A2510E" w:rsidP="00AB24EE">
      <w:pPr>
        <w:pStyle w:val="3-BodyText"/>
        <w:rPr>
          <w:rFonts w:eastAsia="Calibri"/>
        </w:rPr>
      </w:pPr>
      <w:r w:rsidRPr="00C96594">
        <w:t xml:space="preserve">The </w:t>
      </w:r>
      <w:r w:rsidR="00932A1A" w:rsidRPr="00C96594">
        <w:t>ESC</w:t>
      </w:r>
      <w:r w:rsidR="00932A1A" w:rsidRPr="00C96594">
        <w:rPr>
          <w:i/>
        </w:rPr>
        <w:t xml:space="preserve"> </w:t>
      </w:r>
      <w:r w:rsidR="00932A1A" w:rsidRPr="00C96594">
        <w:t xml:space="preserve">considered the </w:t>
      </w:r>
      <w:r w:rsidRPr="00C96594">
        <w:t xml:space="preserve">clinical claim </w:t>
      </w:r>
      <w:r w:rsidR="00F6047B" w:rsidRPr="00C96594">
        <w:t xml:space="preserve">of non-inferiority for safety </w:t>
      </w:r>
      <w:r w:rsidRPr="00C96594">
        <w:t xml:space="preserve">was not adequately supported by the evidence. </w:t>
      </w:r>
      <w:r w:rsidR="003405FD" w:rsidRPr="00C96594">
        <w:t>Noting the indirect nature of the comparisons</w:t>
      </w:r>
      <w:r w:rsidR="00001B51" w:rsidRPr="00C96594">
        <w:t xml:space="preserve"> and varying follow-up durations across the CROWN and ALEX studies, </w:t>
      </w:r>
      <w:r w:rsidRPr="00C96594">
        <w:t>the</w:t>
      </w:r>
      <w:r w:rsidR="00F6047B" w:rsidRPr="00C96594">
        <w:t xml:space="preserve"> results </w:t>
      </w:r>
      <w:r w:rsidR="003405FD" w:rsidRPr="00C96594">
        <w:t>indicated</w:t>
      </w:r>
      <w:r w:rsidRPr="00C96594">
        <w:t xml:space="preserve"> that lorlatinib may </w:t>
      </w:r>
      <w:r w:rsidR="003405FD" w:rsidRPr="00C96594">
        <w:t>be associated with an increased risk of some AEs compared to alectinib</w:t>
      </w:r>
      <w:r w:rsidR="00001B51" w:rsidRPr="00C96594">
        <w:t>.</w:t>
      </w:r>
      <w:r w:rsidR="00AB24EE" w:rsidRPr="00C96594">
        <w:t xml:space="preserve"> The pre-PBAC response maintained that first-line treatment with lorlatinib is generally tolerable and adverse events may be manageable with dose reduction, temporary discontinuation, and/or standard supportive medical therapy, when needed.</w:t>
      </w:r>
    </w:p>
    <w:p w:rsidR="005C6CC9" w:rsidRPr="00C96594" w:rsidRDefault="004F61C2" w:rsidP="005C6CC9">
      <w:pPr>
        <w:pStyle w:val="3-BodyText"/>
        <w:rPr>
          <w:rFonts w:eastAsia="Calibri"/>
        </w:rPr>
      </w:pPr>
      <w:r w:rsidRPr="00C96594">
        <w:rPr>
          <w:rFonts w:eastAsia="Calibri"/>
        </w:rPr>
        <w:t xml:space="preserve">The </w:t>
      </w:r>
      <w:r w:rsidR="00F24E2D" w:rsidRPr="00C96594">
        <w:rPr>
          <w:rFonts w:eastAsia="Calibri"/>
        </w:rPr>
        <w:t xml:space="preserve">PBAC </w:t>
      </w:r>
      <w:r w:rsidRPr="00C96594">
        <w:rPr>
          <w:rFonts w:eastAsia="Calibri"/>
        </w:rPr>
        <w:t xml:space="preserve">considered the claim that lorlatinib was non-inferior to alectinib in terms of PFS was reasonable. The PBAC noted other outcomes (i.e., objective response rate, intracranial objective response rate) also supported the non-inferiority claim. The PBAC considered the claim of non-inferior OS was uncertain due to the immaturity of the clinical data. However, the PBAC </w:t>
      </w:r>
      <w:r w:rsidR="005C6CC9" w:rsidRPr="00C96594">
        <w:rPr>
          <w:rFonts w:eastAsia="Calibri"/>
        </w:rPr>
        <w:t>considered that</w:t>
      </w:r>
      <w:r w:rsidR="00F24E2D" w:rsidRPr="00C96594">
        <w:rPr>
          <w:rFonts w:eastAsia="Calibri"/>
        </w:rPr>
        <w:t xml:space="preserve">, overall, </w:t>
      </w:r>
      <w:r w:rsidR="005C6CC9" w:rsidRPr="00C96594">
        <w:rPr>
          <w:rFonts w:eastAsia="Calibri"/>
        </w:rPr>
        <w:t>the claim of non-inferio</w:t>
      </w:r>
      <w:r w:rsidR="00AD380A" w:rsidRPr="00C96594">
        <w:rPr>
          <w:rFonts w:eastAsia="Calibri"/>
        </w:rPr>
        <w:t>r</w:t>
      </w:r>
      <w:r w:rsidR="005C6CC9" w:rsidRPr="00C96594">
        <w:rPr>
          <w:rFonts w:eastAsia="Calibri"/>
        </w:rPr>
        <w:t xml:space="preserve"> comparative effectiveness was reasonable.</w:t>
      </w:r>
    </w:p>
    <w:p w:rsidR="005C6CC9" w:rsidRPr="00C96594" w:rsidRDefault="005C6CC9" w:rsidP="005C6CC9">
      <w:pPr>
        <w:pStyle w:val="3-BodyText"/>
        <w:rPr>
          <w:rFonts w:eastAsia="Calibri"/>
        </w:rPr>
      </w:pPr>
      <w:r w:rsidRPr="00C96594">
        <w:rPr>
          <w:rFonts w:eastAsia="Calibri"/>
        </w:rPr>
        <w:t xml:space="preserve">The PBAC considered that the claim of non-inferior comparative safety was </w:t>
      </w:r>
      <w:r w:rsidR="004F61C2" w:rsidRPr="00C96594">
        <w:rPr>
          <w:rFonts w:eastAsia="Calibri"/>
        </w:rPr>
        <w:t>uncertain given the different AE profile of lorlatinib. However, the PBAC considered the safety profile of lorlatinib was manageable with dose inte</w:t>
      </w:r>
      <w:r w:rsidR="00E022A8" w:rsidRPr="00C96594">
        <w:rPr>
          <w:rFonts w:eastAsia="Calibri"/>
        </w:rPr>
        <w:t>r</w:t>
      </w:r>
      <w:r w:rsidR="004F61C2" w:rsidRPr="00C96594">
        <w:rPr>
          <w:rFonts w:eastAsia="Calibri"/>
        </w:rPr>
        <w:t>ruptions</w:t>
      </w:r>
      <w:r w:rsidR="00AB24EE" w:rsidRPr="00C96594">
        <w:rPr>
          <w:rFonts w:eastAsia="Calibri"/>
        </w:rPr>
        <w:t xml:space="preserve">, </w:t>
      </w:r>
      <w:r w:rsidR="004F61C2" w:rsidRPr="00C96594">
        <w:rPr>
          <w:rFonts w:eastAsia="Calibri"/>
        </w:rPr>
        <w:t>dose reduction</w:t>
      </w:r>
      <w:r w:rsidR="00AB24EE" w:rsidRPr="00C96594">
        <w:rPr>
          <w:rFonts w:eastAsia="Calibri"/>
        </w:rPr>
        <w:t xml:space="preserve"> and standard medical management</w:t>
      </w:r>
      <w:r w:rsidRPr="00C96594">
        <w:rPr>
          <w:rFonts w:eastAsia="Calibri"/>
        </w:rPr>
        <w:t>.</w:t>
      </w:r>
    </w:p>
    <w:p w:rsidR="003F0E31" w:rsidRPr="00C96594" w:rsidRDefault="003F0E31" w:rsidP="003F0E31">
      <w:pPr>
        <w:pStyle w:val="4-SubsectionHeading"/>
      </w:pPr>
      <w:bookmarkStart w:id="19" w:name="_Toc22897645"/>
      <w:bookmarkStart w:id="20" w:name="_Toc72307087"/>
      <w:r w:rsidRPr="00C96594">
        <w:t>Economic analysis</w:t>
      </w:r>
      <w:bookmarkEnd w:id="19"/>
      <w:bookmarkEnd w:id="20"/>
      <w:r w:rsidRPr="00C96594">
        <w:t xml:space="preserve"> </w:t>
      </w:r>
    </w:p>
    <w:p w:rsidR="003F0E31" w:rsidRPr="00C96594" w:rsidRDefault="003F0E31" w:rsidP="003F0E31">
      <w:pPr>
        <w:pStyle w:val="3-BodyText"/>
        <w:rPr>
          <w:b/>
          <w:bCs/>
        </w:rPr>
      </w:pPr>
      <w:r w:rsidRPr="00C96594">
        <w:t>The submission presented a cost-minimisation analysis (CMA) comparing lorlatinib with alectinib based on the assumption of non-inferiority in terms of effectiveness and safety</w:t>
      </w:r>
      <w:r w:rsidRPr="00C96594">
        <w:rPr>
          <w:i/>
        </w:rPr>
        <w:t xml:space="preserve">. </w:t>
      </w:r>
      <w:r w:rsidRPr="00C96594">
        <w:t>The key components and assumptions of the cost-minimisation analysis are summarised below.</w:t>
      </w:r>
    </w:p>
    <w:p w:rsidR="003F0E31" w:rsidRPr="00C96594" w:rsidRDefault="003F0E31" w:rsidP="003F0E31">
      <w:pPr>
        <w:pStyle w:val="TableFigureHeading"/>
        <w:rPr>
          <w:rStyle w:val="CommentReference"/>
          <w:b/>
          <w:szCs w:val="20"/>
        </w:rPr>
      </w:pPr>
      <w:r w:rsidRPr="00C96594">
        <w:t xml:space="preserve">Table </w:t>
      </w:r>
      <w:r w:rsidR="007E358B" w:rsidRPr="00C96594">
        <w:t>8</w:t>
      </w:r>
      <w:r w:rsidRPr="00C96594">
        <w:t xml:space="preserve">: </w:t>
      </w:r>
      <w:r w:rsidRPr="00C96594">
        <w:rPr>
          <w:rStyle w:val="CommentReference"/>
          <w:b/>
          <w:szCs w:val="20"/>
        </w:rPr>
        <w:t>Summary of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key components and assumptions of the cost-minimisation analysis"/>
      </w:tblPr>
      <w:tblGrid>
        <w:gridCol w:w="2518"/>
        <w:gridCol w:w="6499"/>
      </w:tblGrid>
      <w:tr w:rsidR="003F0E31" w:rsidRPr="00C96594" w:rsidTr="003A0240">
        <w:trPr>
          <w:tblHeader/>
        </w:trPr>
        <w:tc>
          <w:tcPr>
            <w:tcW w:w="1396" w:type="pct"/>
            <w:shd w:val="clear" w:color="auto" w:fill="auto"/>
            <w:vAlign w:val="center"/>
          </w:tcPr>
          <w:p w:rsidR="003F0E31" w:rsidRPr="00C96594" w:rsidRDefault="003F0E31" w:rsidP="003A0240">
            <w:pPr>
              <w:pStyle w:val="Tabletext"/>
              <w:keepNext/>
              <w:keepLines/>
              <w:rPr>
                <w:b/>
              </w:rPr>
            </w:pPr>
            <w:r w:rsidRPr="00C96594">
              <w:rPr>
                <w:b/>
              </w:rPr>
              <w:t>Component</w:t>
            </w:r>
          </w:p>
        </w:tc>
        <w:tc>
          <w:tcPr>
            <w:tcW w:w="3604" w:type="pct"/>
            <w:shd w:val="clear" w:color="auto" w:fill="auto"/>
            <w:vAlign w:val="center"/>
          </w:tcPr>
          <w:p w:rsidR="003F0E31" w:rsidRPr="00C96594" w:rsidRDefault="003F0E31" w:rsidP="003A0240">
            <w:pPr>
              <w:pStyle w:val="Tabletext"/>
              <w:keepNext/>
              <w:keepLines/>
              <w:jc w:val="center"/>
              <w:rPr>
                <w:b/>
              </w:rPr>
            </w:pPr>
            <w:r w:rsidRPr="00C96594">
              <w:rPr>
                <w:b/>
              </w:rPr>
              <w:t>Summary</w:t>
            </w:r>
          </w:p>
        </w:tc>
      </w:tr>
      <w:tr w:rsidR="003F0E31" w:rsidRPr="00C96594" w:rsidTr="003A0240">
        <w:tc>
          <w:tcPr>
            <w:tcW w:w="1396" w:type="pct"/>
            <w:vAlign w:val="center"/>
          </w:tcPr>
          <w:p w:rsidR="003F0E31" w:rsidRPr="00C96594" w:rsidRDefault="003F0E31" w:rsidP="003A0240">
            <w:pPr>
              <w:pStyle w:val="Tabletext"/>
              <w:keepNext/>
              <w:keepLines/>
            </w:pPr>
            <w:r w:rsidRPr="00C96594">
              <w:t>Therapeutic claim: effectiveness</w:t>
            </w:r>
          </w:p>
        </w:tc>
        <w:tc>
          <w:tcPr>
            <w:tcW w:w="3604" w:type="pct"/>
          </w:tcPr>
          <w:p w:rsidR="003F0E31" w:rsidRPr="00C96594" w:rsidRDefault="003F0E31" w:rsidP="003A0240">
            <w:pPr>
              <w:pStyle w:val="Tabletext"/>
              <w:keepNext/>
              <w:keepLines/>
            </w:pPr>
            <w:r w:rsidRPr="00C96594">
              <w:t>Based on evidence presented, effectiveness is assumed to be non-inferior to alectinib</w:t>
            </w:r>
          </w:p>
        </w:tc>
      </w:tr>
      <w:tr w:rsidR="003F0E31" w:rsidRPr="00C96594" w:rsidTr="003A0240">
        <w:tc>
          <w:tcPr>
            <w:tcW w:w="1396" w:type="pct"/>
            <w:vAlign w:val="center"/>
          </w:tcPr>
          <w:p w:rsidR="003F0E31" w:rsidRPr="00C96594" w:rsidRDefault="003F0E31" w:rsidP="003A0240">
            <w:pPr>
              <w:pStyle w:val="Tabletext"/>
              <w:keepNext/>
              <w:keepLines/>
            </w:pPr>
            <w:r w:rsidRPr="00C96594">
              <w:t>Therapeutic claim: safety</w:t>
            </w:r>
          </w:p>
        </w:tc>
        <w:tc>
          <w:tcPr>
            <w:tcW w:w="3604" w:type="pct"/>
          </w:tcPr>
          <w:p w:rsidR="003F0E31" w:rsidRPr="00C96594" w:rsidRDefault="003F0E31" w:rsidP="003A0240">
            <w:pPr>
              <w:pStyle w:val="Tabletext"/>
              <w:keepNext/>
              <w:keepLines/>
            </w:pPr>
            <w:r w:rsidRPr="00C96594">
              <w:t>Based on evidence presented, safety is assumed to be non-inferior to alectinib</w:t>
            </w:r>
          </w:p>
        </w:tc>
      </w:tr>
      <w:tr w:rsidR="003F0E31" w:rsidRPr="00C96594" w:rsidTr="003A0240">
        <w:tc>
          <w:tcPr>
            <w:tcW w:w="1396" w:type="pct"/>
            <w:vAlign w:val="center"/>
          </w:tcPr>
          <w:p w:rsidR="003F0E31" w:rsidRPr="00C96594" w:rsidRDefault="003F0E31" w:rsidP="003A0240">
            <w:pPr>
              <w:pStyle w:val="Tabletext"/>
              <w:keepNext/>
              <w:keepLines/>
            </w:pPr>
            <w:r w:rsidRPr="00C96594">
              <w:t>Evidence base</w:t>
            </w:r>
          </w:p>
        </w:tc>
        <w:tc>
          <w:tcPr>
            <w:tcW w:w="3604" w:type="pct"/>
          </w:tcPr>
          <w:p w:rsidR="003F0E31" w:rsidRPr="00C96594" w:rsidRDefault="003F0E31" w:rsidP="003A0240">
            <w:pPr>
              <w:pStyle w:val="Tabletext"/>
              <w:keepNext/>
              <w:keepLines/>
            </w:pPr>
            <w:r w:rsidRPr="00C96594">
              <w:t>Indirect comparison of randomised trials for the outcomes: OS and PFS</w:t>
            </w:r>
          </w:p>
        </w:tc>
      </w:tr>
      <w:tr w:rsidR="003F0E31" w:rsidRPr="00C96594" w:rsidTr="003A0240">
        <w:tc>
          <w:tcPr>
            <w:tcW w:w="1396" w:type="pct"/>
            <w:vAlign w:val="center"/>
          </w:tcPr>
          <w:p w:rsidR="003F0E31" w:rsidRPr="00C96594" w:rsidRDefault="003F0E31" w:rsidP="003A0240">
            <w:pPr>
              <w:pStyle w:val="Tabletext"/>
              <w:keepNext/>
              <w:keepLines/>
            </w:pPr>
            <w:r w:rsidRPr="00C96594">
              <w:t>Equi-effective doses</w:t>
            </w:r>
          </w:p>
        </w:tc>
        <w:tc>
          <w:tcPr>
            <w:tcW w:w="3604" w:type="pct"/>
          </w:tcPr>
          <w:p w:rsidR="003F0E31" w:rsidRPr="00C96594" w:rsidRDefault="003F0E31" w:rsidP="003A0240">
            <w:pPr>
              <w:pStyle w:val="Tabletext"/>
              <w:keepNext/>
              <w:keepLines/>
            </w:pPr>
            <w:r w:rsidRPr="00C96594">
              <w:t>Lorlatinib 100 mg daily is equivalent to alectinib 600 mg twice daily</w:t>
            </w:r>
          </w:p>
        </w:tc>
      </w:tr>
      <w:tr w:rsidR="003F0E31" w:rsidRPr="00C96594" w:rsidTr="003A0240">
        <w:tc>
          <w:tcPr>
            <w:tcW w:w="1396" w:type="pct"/>
            <w:vAlign w:val="center"/>
          </w:tcPr>
          <w:p w:rsidR="003F0E31" w:rsidRPr="00C96594" w:rsidRDefault="003F0E31" w:rsidP="003A0240">
            <w:pPr>
              <w:pStyle w:val="Tabletext"/>
              <w:keepNext/>
              <w:keepLines/>
            </w:pPr>
            <w:r w:rsidRPr="00C96594">
              <w:t>Direct medicine costs</w:t>
            </w:r>
          </w:p>
        </w:tc>
        <w:tc>
          <w:tcPr>
            <w:tcW w:w="3604" w:type="pct"/>
          </w:tcPr>
          <w:p w:rsidR="003F0E31" w:rsidRPr="00C96594" w:rsidRDefault="003F0E31" w:rsidP="003A0240">
            <w:pPr>
              <w:pStyle w:val="Tabletext"/>
              <w:keepNext/>
              <w:keepLines/>
            </w:pPr>
            <w:r w:rsidRPr="00C96594">
              <w:t>Equivalent costs of lorlatinib and alectinib per patient per day</w:t>
            </w:r>
          </w:p>
        </w:tc>
      </w:tr>
      <w:tr w:rsidR="003F0E31" w:rsidRPr="00C96594" w:rsidTr="003A0240">
        <w:tc>
          <w:tcPr>
            <w:tcW w:w="1396" w:type="pct"/>
            <w:vAlign w:val="center"/>
          </w:tcPr>
          <w:p w:rsidR="003F0E31" w:rsidRPr="00C96594" w:rsidRDefault="003F0E31" w:rsidP="003A0240">
            <w:pPr>
              <w:pStyle w:val="Tabletext"/>
              <w:keepNext/>
              <w:keepLines/>
            </w:pPr>
            <w:r w:rsidRPr="00C96594">
              <w:t>Other costs or cost offsets</w:t>
            </w:r>
          </w:p>
        </w:tc>
        <w:tc>
          <w:tcPr>
            <w:tcW w:w="3604" w:type="pct"/>
          </w:tcPr>
          <w:p w:rsidR="003F0E31" w:rsidRPr="00C96594" w:rsidRDefault="003F0E31" w:rsidP="003A0240">
            <w:pPr>
              <w:pStyle w:val="Tabletext"/>
              <w:keepNext/>
              <w:keepLines/>
            </w:pPr>
            <w:r w:rsidRPr="00C96594">
              <w:t>There are no additional costs or cost offsets</w:t>
            </w:r>
          </w:p>
        </w:tc>
      </w:tr>
    </w:tbl>
    <w:p w:rsidR="003F0E31" w:rsidRPr="00C96594" w:rsidRDefault="003F0E31" w:rsidP="003F0E31">
      <w:pPr>
        <w:pStyle w:val="TableFigureFooter"/>
        <w:rPr>
          <w:rFonts w:eastAsiaTheme="majorEastAsia"/>
        </w:rPr>
      </w:pPr>
      <w:r w:rsidRPr="00C96594">
        <w:rPr>
          <w:rFonts w:eastAsiaTheme="majorEastAsia"/>
        </w:rPr>
        <w:t>Source: Table 3-1 of the submission</w:t>
      </w:r>
    </w:p>
    <w:p w:rsidR="003F0E31" w:rsidRPr="00C96594" w:rsidRDefault="003F0E31" w:rsidP="003F0E31">
      <w:pPr>
        <w:pStyle w:val="TableFigureFooter"/>
      </w:pPr>
      <w:r w:rsidRPr="00C96594">
        <w:t>OS = overall survival; PFS = progression free survival</w:t>
      </w:r>
    </w:p>
    <w:p w:rsidR="003F0E31" w:rsidRPr="00C96594" w:rsidRDefault="003F0E31" w:rsidP="003F0E31">
      <w:pPr>
        <w:pStyle w:val="3-BodyText"/>
      </w:pPr>
      <w:r w:rsidRPr="00C96594">
        <w:t>The equi-effective doses were estimated as lorlatinib 100</w:t>
      </w:r>
      <w:r w:rsidR="00B8403C" w:rsidRPr="00C96594">
        <w:t xml:space="preserve"> </w:t>
      </w:r>
      <w:r w:rsidRPr="00C96594">
        <w:t>mg daily and alectinib 600</w:t>
      </w:r>
      <w:r w:rsidR="00B8403C" w:rsidRPr="00C96594">
        <w:t xml:space="preserve"> </w:t>
      </w:r>
      <w:r w:rsidRPr="00C96594">
        <w:t xml:space="preserve">mg twice daily, assuming the same mean duration of treatment for the two drugs. The equi-effective doses for lorlatinib and alectinib proposed in the submission represent the daily doses used in the CROWN and ALEX studies, respectively, and </w:t>
      </w:r>
      <w:r w:rsidR="00FA6AFC" w:rsidRPr="00C96594">
        <w:t xml:space="preserve">are </w:t>
      </w:r>
      <w:r w:rsidRPr="00C96594">
        <w:t>the doses recommended in the corresponding Product Information for the two medicines. There is uncertainty regarding the submission’s assumption that the treatment duration of lorlatinib will be the same as that for alectinib</w:t>
      </w:r>
      <w:r w:rsidR="00FA6AFC" w:rsidRPr="00C96594">
        <w:t>.</w:t>
      </w:r>
      <w:r w:rsidRPr="00C96594">
        <w:t xml:space="preserve"> </w:t>
      </w:r>
      <w:r w:rsidR="00FA6AFC" w:rsidRPr="00C96594">
        <w:t>P</w:t>
      </w:r>
      <w:r w:rsidRPr="00C96594">
        <w:t xml:space="preserve">otential differences in PFS durations and toxicity/tolerability profiles </w:t>
      </w:r>
      <w:r w:rsidR="00FA6AFC" w:rsidRPr="00C96594">
        <w:t>between</w:t>
      </w:r>
      <w:r w:rsidRPr="00C96594">
        <w:t xml:space="preserve"> the two medicines </w:t>
      </w:r>
      <w:r w:rsidR="00FA6AFC" w:rsidRPr="00C96594">
        <w:t>may</w:t>
      </w:r>
      <w:r w:rsidRPr="00C96594">
        <w:t xml:space="preserve"> differentially </w:t>
      </w:r>
      <w:r w:rsidR="00FA6AFC" w:rsidRPr="00C96594">
        <w:t>affect</w:t>
      </w:r>
      <w:r w:rsidRPr="00C96594">
        <w:t xml:space="preserve"> their respective mean </w:t>
      </w:r>
      <w:r w:rsidR="00FA6AFC" w:rsidRPr="00C96594">
        <w:t xml:space="preserve">treatment </w:t>
      </w:r>
      <w:r w:rsidRPr="00C96594">
        <w:t>durations.</w:t>
      </w:r>
      <w:r w:rsidRPr="00C96594">
        <w:rPr>
          <w:color w:val="3366FF"/>
        </w:rPr>
        <w:t xml:space="preserve"> </w:t>
      </w:r>
    </w:p>
    <w:p w:rsidR="003F0E31" w:rsidRPr="00C96594" w:rsidRDefault="003F0E31" w:rsidP="003F0E31">
      <w:pPr>
        <w:pStyle w:val="3-BodyText"/>
      </w:pPr>
      <w:r w:rsidRPr="00C96594">
        <w:t xml:space="preserve">The submission did not consider any additional cost or cost offsets in the CMA. </w:t>
      </w:r>
      <w:r w:rsidR="00B8403C" w:rsidRPr="00C96594">
        <w:t>T</w:t>
      </w:r>
      <w:r w:rsidRPr="00C96594">
        <w:t xml:space="preserve">he </w:t>
      </w:r>
      <w:r w:rsidR="00FB186A" w:rsidRPr="00C96594">
        <w:t xml:space="preserve">evaluation considered the </w:t>
      </w:r>
      <w:r w:rsidRPr="00C96594">
        <w:t xml:space="preserve">indirect comparison results indicated the safety profile of lorlatinib could be worse than that of alectinib, and hence the omission of costs associated with the management of AEs may favour lorlatinib. </w:t>
      </w:r>
    </w:p>
    <w:p w:rsidR="003F0E31" w:rsidRPr="00C96594" w:rsidRDefault="003F0E31" w:rsidP="003F0E31">
      <w:pPr>
        <w:pStyle w:val="3-BodyText"/>
        <w:rPr>
          <w:i/>
        </w:rPr>
      </w:pPr>
      <w:r w:rsidRPr="00C96594">
        <w:t>The results of the CMA are presented below.</w:t>
      </w:r>
    </w:p>
    <w:p w:rsidR="003F0E31" w:rsidRPr="00C96594" w:rsidRDefault="003F0E31" w:rsidP="003F0E31">
      <w:pPr>
        <w:pStyle w:val="TableFigureHeading"/>
      </w:pPr>
      <w:r w:rsidRPr="00C96594">
        <w:t xml:space="preserve">Table </w:t>
      </w:r>
      <w:r w:rsidR="007E358B" w:rsidRPr="00C96594">
        <w:t>9</w:t>
      </w:r>
      <w:r w:rsidRPr="00C96594">
        <w:t>: Results of the CMA</w:t>
      </w:r>
      <w:r w:rsidR="003435E4" w:rsidRPr="00C96594">
        <w:t xml:space="preserve"> at effective prices</w:t>
      </w:r>
    </w:p>
    <w:tbl>
      <w:tblPr>
        <w:tblStyle w:val="TableGrid14"/>
        <w:tblW w:w="5000" w:type="pct"/>
        <w:jc w:val="center"/>
        <w:tblLook w:val="04A0" w:firstRow="1" w:lastRow="0" w:firstColumn="1" w:lastColumn="0" w:noHBand="0" w:noVBand="1"/>
        <w:tblCaption w:val="Table 9: Results of the CMA at effective prices"/>
      </w:tblPr>
      <w:tblGrid>
        <w:gridCol w:w="2185"/>
        <w:gridCol w:w="854"/>
        <w:gridCol w:w="1383"/>
        <w:gridCol w:w="1532"/>
        <w:gridCol w:w="1533"/>
        <w:gridCol w:w="1530"/>
      </w:tblGrid>
      <w:tr w:rsidR="007A1D11" w:rsidRPr="00C96594" w:rsidTr="00CA41D0">
        <w:trPr>
          <w:trHeight w:val="1150"/>
          <w:tblHeader/>
          <w:jc w:val="center"/>
        </w:trPr>
        <w:tc>
          <w:tcPr>
            <w:tcW w:w="1255" w:type="pct"/>
          </w:tcPr>
          <w:p w:rsidR="007A1D11" w:rsidRPr="00C96594" w:rsidRDefault="007A1D11" w:rsidP="003A0240">
            <w:pPr>
              <w:pStyle w:val="TableText0"/>
              <w:rPr>
                <w:b/>
              </w:rPr>
            </w:pPr>
            <w:r w:rsidRPr="00C96594">
              <w:rPr>
                <w:b/>
              </w:rPr>
              <w:t>Name, manner of administration, form</w:t>
            </w:r>
          </w:p>
        </w:tc>
        <w:tc>
          <w:tcPr>
            <w:tcW w:w="302" w:type="pct"/>
          </w:tcPr>
          <w:p w:rsidR="007A1D11" w:rsidRPr="00C96594" w:rsidRDefault="007A1D11" w:rsidP="003A0240">
            <w:pPr>
              <w:pStyle w:val="TableText0"/>
              <w:rPr>
                <w:b/>
              </w:rPr>
            </w:pPr>
            <w:r w:rsidRPr="00C96594">
              <w:rPr>
                <w:b/>
              </w:rPr>
              <w:t>Max quantity (units)</w:t>
            </w:r>
          </w:p>
        </w:tc>
        <w:tc>
          <w:tcPr>
            <w:tcW w:w="767" w:type="pct"/>
          </w:tcPr>
          <w:p w:rsidR="007A1D11" w:rsidRPr="00C96594" w:rsidRDefault="007A1D11" w:rsidP="00BC5742">
            <w:pPr>
              <w:pStyle w:val="TableText0"/>
              <w:jc w:val="center"/>
              <w:rPr>
                <w:b/>
              </w:rPr>
            </w:pPr>
            <w:r w:rsidRPr="00C96594">
              <w:rPr>
                <w:b/>
              </w:rPr>
              <w:t>Days of treatment/pack</w:t>
            </w:r>
          </w:p>
        </w:tc>
        <w:tc>
          <w:tcPr>
            <w:tcW w:w="892" w:type="pct"/>
          </w:tcPr>
          <w:p w:rsidR="007A1D11" w:rsidRPr="00C96594" w:rsidRDefault="007A1D11" w:rsidP="00BC5742">
            <w:pPr>
              <w:pStyle w:val="TableText0"/>
              <w:jc w:val="center"/>
              <w:rPr>
                <w:b/>
              </w:rPr>
            </w:pPr>
            <w:r w:rsidRPr="00C96594">
              <w:rPr>
                <w:b/>
              </w:rPr>
              <w:t>DPMQ</w:t>
            </w:r>
          </w:p>
        </w:tc>
        <w:tc>
          <w:tcPr>
            <w:tcW w:w="893" w:type="pct"/>
          </w:tcPr>
          <w:p w:rsidR="007A1D11" w:rsidRPr="00C96594" w:rsidRDefault="007A1D11" w:rsidP="00BC5742">
            <w:pPr>
              <w:pStyle w:val="TableText0"/>
              <w:jc w:val="center"/>
              <w:rPr>
                <w:b/>
              </w:rPr>
            </w:pPr>
            <w:r w:rsidRPr="00C96594">
              <w:rPr>
                <w:b/>
              </w:rPr>
              <w:t>AEMP</w:t>
            </w:r>
          </w:p>
        </w:tc>
        <w:tc>
          <w:tcPr>
            <w:tcW w:w="892" w:type="pct"/>
          </w:tcPr>
          <w:p w:rsidR="007A1D11" w:rsidRPr="00C96594" w:rsidRDefault="007A1D11" w:rsidP="00BC5742">
            <w:pPr>
              <w:pStyle w:val="TableText0"/>
              <w:jc w:val="center"/>
              <w:rPr>
                <w:b/>
              </w:rPr>
            </w:pPr>
            <w:r w:rsidRPr="00C96594">
              <w:rPr>
                <w:b/>
              </w:rPr>
              <w:t>Treatment Cost (daily) based on AEMP</w:t>
            </w:r>
            <w:r w:rsidRPr="00C96594">
              <w:rPr>
                <w:b/>
                <w:vertAlign w:val="superscript"/>
              </w:rPr>
              <w:t>a</w:t>
            </w:r>
          </w:p>
        </w:tc>
      </w:tr>
      <w:tr w:rsidR="007A1D11" w:rsidRPr="00C96594" w:rsidTr="00BC5742">
        <w:trPr>
          <w:trHeight w:val="283"/>
          <w:jc w:val="center"/>
        </w:trPr>
        <w:tc>
          <w:tcPr>
            <w:tcW w:w="1255" w:type="pct"/>
          </w:tcPr>
          <w:p w:rsidR="007A1D11" w:rsidRPr="00C96594" w:rsidRDefault="007A1D11" w:rsidP="003A0240">
            <w:pPr>
              <w:pStyle w:val="TableText0"/>
            </w:pPr>
            <w:r w:rsidRPr="00C96594">
              <w:t>Alectinib Capsule 150 mg</w:t>
            </w:r>
          </w:p>
        </w:tc>
        <w:tc>
          <w:tcPr>
            <w:tcW w:w="302" w:type="pct"/>
          </w:tcPr>
          <w:p w:rsidR="007A1D11" w:rsidRPr="00C96594" w:rsidRDefault="007A1D11" w:rsidP="00BC5742">
            <w:pPr>
              <w:pStyle w:val="TableText0"/>
              <w:jc w:val="center"/>
            </w:pPr>
            <w:r w:rsidRPr="00C96594">
              <w:t>224</w:t>
            </w:r>
          </w:p>
        </w:tc>
        <w:tc>
          <w:tcPr>
            <w:tcW w:w="767" w:type="pct"/>
          </w:tcPr>
          <w:p w:rsidR="007A1D11" w:rsidRPr="00C96594" w:rsidRDefault="007A1D11" w:rsidP="00BC5742">
            <w:pPr>
              <w:pStyle w:val="TableText0"/>
              <w:jc w:val="center"/>
            </w:pPr>
            <w:r w:rsidRPr="00C96594">
              <w:t>28</w:t>
            </w:r>
          </w:p>
        </w:tc>
        <w:tc>
          <w:tcPr>
            <w:tcW w:w="892" w:type="pct"/>
          </w:tcPr>
          <w:p w:rsidR="007A1D11" w:rsidRPr="00C96594" w:rsidRDefault="007A1D11" w:rsidP="00BC5742">
            <w:pPr>
              <w:pStyle w:val="TableText0"/>
              <w:jc w:val="center"/>
              <w:rPr>
                <w:highlight w:val="yellow"/>
              </w:rPr>
            </w:pPr>
            <w:r w:rsidRPr="00C96594">
              <w:t>$</w:t>
            </w:r>
            <w:r w:rsidR="00B04959">
              <w:rPr>
                <w:noProof/>
                <w:color w:val="000000"/>
                <w:highlight w:val="black"/>
              </w:rPr>
              <w:t>'''''''''''''''''''''</w:t>
            </w:r>
          </w:p>
        </w:tc>
        <w:tc>
          <w:tcPr>
            <w:tcW w:w="893" w:type="pct"/>
          </w:tcPr>
          <w:p w:rsidR="007A1D11" w:rsidRPr="00C96594" w:rsidRDefault="007A1D11" w:rsidP="00BC5742">
            <w:pPr>
              <w:pStyle w:val="TableText0"/>
              <w:jc w:val="center"/>
            </w:pPr>
            <w:r w:rsidRPr="00C96594">
              <w:t>$</w:t>
            </w:r>
            <w:r w:rsidR="00B04959">
              <w:rPr>
                <w:noProof/>
                <w:color w:val="000000"/>
                <w:highlight w:val="black"/>
              </w:rPr>
              <w:t>'''''''''''''''''''''''</w:t>
            </w:r>
          </w:p>
        </w:tc>
        <w:tc>
          <w:tcPr>
            <w:tcW w:w="892" w:type="pct"/>
          </w:tcPr>
          <w:p w:rsidR="007A1D11" w:rsidRPr="00C96594" w:rsidRDefault="007A1D11" w:rsidP="00BC5742">
            <w:pPr>
              <w:pStyle w:val="TableText0"/>
              <w:jc w:val="center"/>
            </w:pPr>
            <w:r w:rsidRPr="00C96594">
              <w:t>$</w:t>
            </w:r>
            <w:r w:rsidR="00B04959">
              <w:rPr>
                <w:noProof/>
                <w:color w:val="000000"/>
                <w:highlight w:val="black"/>
              </w:rPr>
              <w:t>'''''''''''''</w:t>
            </w:r>
          </w:p>
        </w:tc>
      </w:tr>
      <w:tr w:rsidR="007A1D11" w:rsidRPr="00C96594" w:rsidTr="00BC5742">
        <w:trPr>
          <w:jc w:val="center"/>
        </w:trPr>
        <w:tc>
          <w:tcPr>
            <w:tcW w:w="1255" w:type="pct"/>
          </w:tcPr>
          <w:p w:rsidR="007A1D11" w:rsidRPr="00C96594" w:rsidRDefault="007A1D11" w:rsidP="003A0240">
            <w:pPr>
              <w:pStyle w:val="TableText0"/>
            </w:pPr>
            <w:r w:rsidRPr="00C96594">
              <w:t xml:space="preserve">Lorlatinib 100 mg tablet </w:t>
            </w:r>
          </w:p>
        </w:tc>
        <w:tc>
          <w:tcPr>
            <w:tcW w:w="302" w:type="pct"/>
          </w:tcPr>
          <w:p w:rsidR="007A1D11" w:rsidRPr="00C96594" w:rsidRDefault="007A1D11" w:rsidP="00BC5742">
            <w:pPr>
              <w:pStyle w:val="TableText0"/>
              <w:jc w:val="center"/>
            </w:pPr>
            <w:r w:rsidRPr="00C96594">
              <w:t>30</w:t>
            </w:r>
          </w:p>
        </w:tc>
        <w:tc>
          <w:tcPr>
            <w:tcW w:w="767" w:type="pct"/>
          </w:tcPr>
          <w:p w:rsidR="007A1D11" w:rsidRPr="00C96594" w:rsidRDefault="007A1D11" w:rsidP="00BC5742">
            <w:pPr>
              <w:pStyle w:val="TableText0"/>
              <w:jc w:val="center"/>
            </w:pPr>
            <w:r w:rsidRPr="00C96594">
              <w:t>30</w:t>
            </w:r>
          </w:p>
        </w:tc>
        <w:tc>
          <w:tcPr>
            <w:tcW w:w="892" w:type="pct"/>
          </w:tcPr>
          <w:p w:rsidR="007A1D11" w:rsidRPr="00C96594" w:rsidRDefault="007A1D11" w:rsidP="00BC5742">
            <w:pPr>
              <w:pStyle w:val="TableText0"/>
              <w:jc w:val="center"/>
              <w:rPr>
                <w:highlight w:val="yellow"/>
              </w:rPr>
            </w:pPr>
            <w:r w:rsidRPr="00C96594">
              <w:t>$</w:t>
            </w:r>
            <w:r w:rsidR="00B04959">
              <w:rPr>
                <w:noProof/>
                <w:color w:val="000000"/>
                <w:highlight w:val="black"/>
              </w:rPr>
              <w:t>'''''''''''''''''''''</w:t>
            </w:r>
          </w:p>
        </w:tc>
        <w:tc>
          <w:tcPr>
            <w:tcW w:w="893" w:type="pct"/>
          </w:tcPr>
          <w:p w:rsidR="007A1D11" w:rsidRPr="00C96594" w:rsidRDefault="007A1D11" w:rsidP="00BC5742">
            <w:pPr>
              <w:pStyle w:val="TableText0"/>
              <w:jc w:val="center"/>
            </w:pPr>
            <w:r w:rsidRPr="00C96594">
              <w:t>$</w:t>
            </w:r>
            <w:r w:rsidR="00B04959">
              <w:rPr>
                <w:noProof/>
                <w:color w:val="000000"/>
                <w:highlight w:val="black"/>
              </w:rPr>
              <w:t>'''''''''''''''''''''</w:t>
            </w:r>
          </w:p>
        </w:tc>
        <w:tc>
          <w:tcPr>
            <w:tcW w:w="892" w:type="pct"/>
          </w:tcPr>
          <w:p w:rsidR="007A1D11" w:rsidRPr="00C96594" w:rsidRDefault="007A1D11" w:rsidP="00BC5742">
            <w:pPr>
              <w:pStyle w:val="TableText0"/>
              <w:jc w:val="center"/>
            </w:pPr>
            <w:r w:rsidRPr="00C96594">
              <w:t>$</w:t>
            </w:r>
            <w:r w:rsidR="00B04959">
              <w:rPr>
                <w:noProof/>
                <w:color w:val="000000"/>
                <w:highlight w:val="black"/>
              </w:rPr>
              <w:t>''''''''''''</w:t>
            </w:r>
          </w:p>
        </w:tc>
      </w:tr>
      <w:tr w:rsidR="007A1D11" w:rsidRPr="00C96594" w:rsidTr="00BC5742">
        <w:trPr>
          <w:jc w:val="center"/>
        </w:trPr>
        <w:tc>
          <w:tcPr>
            <w:tcW w:w="1255" w:type="pct"/>
          </w:tcPr>
          <w:p w:rsidR="007A1D11" w:rsidRPr="00C96594" w:rsidRDefault="007A1D11" w:rsidP="003A0240">
            <w:pPr>
              <w:pStyle w:val="TableText0"/>
            </w:pPr>
            <w:r w:rsidRPr="00C96594">
              <w:t xml:space="preserve">Lorlatinib 25 mg tablet </w:t>
            </w:r>
          </w:p>
        </w:tc>
        <w:tc>
          <w:tcPr>
            <w:tcW w:w="302" w:type="pct"/>
          </w:tcPr>
          <w:p w:rsidR="007A1D11" w:rsidRPr="00C96594" w:rsidRDefault="007A1D11" w:rsidP="00BC5742">
            <w:pPr>
              <w:pStyle w:val="TableText0"/>
              <w:jc w:val="center"/>
            </w:pPr>
            <w:r w:rsidRPr="00C96594">
              <w:t>90</w:t>
            </w:r>
          </w:p>
        </w:tc>
        <w:tc>
          <w:tcPr>
            <w:tcW w:w="767" w:type="pct"/>
          </w:tcPr>
          <w:p w:rsidR="007A1D11" w:rsidRPr="00C96594" w:rsidRDefault="007A1D11" w:rsidP="00BC5742">
            <w:pPr>
              <w:pStyle w:val="TableText0"/>
              <w:jc w:val="center"/>
            </w:pPr>
            <w:r w:rsidRPr="00C96594">
              <w:t>30</w:t>
            </w:r>
          </w:p>
        </w:tc>
        <w:tc>
          <w:tcPr>
            <w:tcW w:w="892" w:type="pct"/>
          </w:tcPr>
          <w:p w:rsidR="007A1D11" w:rsidRPr="00C96594" w:rsidRDefault="007A1D11" w:rsidP="00BC5742">
            <w:pPr>
              <w:pStyle w:val="TableText0"/>
              <w:jc w:val="center"/>
            </w:pPr>
            <w:r w:rsidRPr="00C96594">
              <w:t>$</w:t>
            </w:r>
            <w:r w:rsidR="00B04959">
              <w:rPr>
                <w:noProof/>
                <w:color w:val="000000"/>
                <w:highlight w:val="black"/>
              </w:rPr>
              <w:t>'''''''''''''''''''''</w:t>
            </w:r>
          </w:p>
        </w:tc>
        <w:tc>
          <w:tcPr>
            <w:tcW w:w="893" w:type="pct"/>
          </w:tcPr>
          <w:p w:rsidR="007A1D11" w:rsidRPr="00C96594" w:rsidRDefault="007A1D11" w:rsidP="00BC5742">
            <w:pPr>
              <w:pStyle w:val="TableText0"/>
              <w:jc w:val="center"/>
            </w:pPr>
            <w:r w:rsidRPr="00C96594">
              <w:t>$</w:t>
            </w:r>
            <w:r w:rsidR="00B04959">
              <w:rPr>
                <w:noProof/>
                <w:color w:val="000000"/>
                <w:highlight w:val="black"/>
              </w:rPr>
              <w:t>''''''''''''''''''''</w:t>
            </w:r>
          </w:p>
        </w:tc>
        <w:tc>
          <w:tcPr>
            <w:tcW w:w="892" w:type="pct"/>
          </w:tcPr>
          <w:p w:rsidR="007A1D11" w:rsidRPr="00C96594" w:rsidRDefault="007A1D11" w:rsidP="00BC5742">
            <w:pPr>
              <w:pStyle w:val="TableText0"/>
              <w:jc w:val="center"/>
            </w:pPr>
            <w:r w:rsidRPr="00C96594">
              <w:t>$</w:t>
            </w:r>
            <w:r w:rsidR="00B04959">
              <w:rPr>
                <w:noProof/>
                <w:color w:val="000000"/>
                <w:highlight w:val="black"/>
              </w:rPr>
              <w:t>'''''''''''''</w:t>
            </w:r>
          </w:p>
        </w:tc>
      </w:tr>
    </w:tbl>
    <w:p w:rsidR="003F0E31" w:rsidRPr="00C96594" w:rsidRDefault="006A3A41" w:rsidP="003F0E31">
      <w:pPr>
        <w:pStyle w:val="TableFooter"/>
      </w:pPr>
      <w:r>
        <w:t xml:space="preserve">Source: Table 3.4.1 </w:t>
      </w:r>
      <w:r w:rsidR="003F0E31" w:rsidRPr="00C96594">
        <w:t>of the submission</w:t>
      </w:r>
    </w:p>
    <w:p w:rsidR="008F6589" w:rsidRPr="00C96594" w:rsidRDefault="008F6589" w:rsidP="008F6589">
      <w:pPr>
        <w:pStyle w:val="TableFooter"/>
      </w:pPr>
      <w:r w:rsidRPr="00C96594">
        <w:t>AEMP = Approved Ex-Manufacturer Price; DPMQ = Dispensed Price for Maximum Quantity.</w:t>
      </w:r>
    </w:p>
    <w:p w:rsidR="003F0E31" w:rsidRPr="00C96594" w:rsidRDefault="003F0E31" w:rsidP="003F0E31">
      <w:pPr>
        <w:pStyle w:val="TableFooter"/>
      </w:pPr>
      <w:r w:rsidRPr="00C96594">
        <w:rPr>
          <w:vertAlign w:val="superscript"/>
        </w:rPr>
        <w:t>a</w:t>
      </w:r>
      <w:r w:rsidRPr="00C96594">
        <w:t>Treatment costs per day were calculated using the AEMP divided by days of treatment per pack. The AEMP rather than the DPMQ was used as pricing agreements are made by Government under the National Health Act 1953 at the ex-manufacturer level; pharmacy and wholesaler mark-ups were not considered as they do not relate to the cost of the medicine.</w:t>
      </w:r>
    </w:p>
    <w:p w:rsidR="003F0E31" w:rsidRPr="00C96594" w:rsidRDefault="003F0E31" w:rsidP="003F0E31">
      <w:pPr>
        <w:pStyle w:val="TableFooter"/>
      </w:pPr>
      <w:r w:rsidRPr="00C96594">
        <w:t>DPMQ = AEMP + $54.14 + $99.28 +$7.74</w:t>
      </w:r>
    </w:p>
    <w:p w:rsidR="00FB186A" w:rsidRPr="00C96594" w:rsidRDefault="00FB186A" w:rsidP="003F0E31">
      <w:pPr>
        <w:pStyle w:val="TableFooter"/>
      </w:pPr>
    </w:p>
    <w:p w:rsidR="00FB186A" w:rsidRPr="00C96594" w:rsidRDefault="002D70A3" w:rsidP="002D70A3">
      <w:pPr>
        <w:pStyle w:val="3-BodyText"/>
        <w:rPr>
          <w:i/>
        </w:rPr>
      </w:pPr>
      <w:bookmarkStart w:id="21" w:name="_Toc22897646"/>
      <w:bookmarkStart w:id="22" w:name="_Toc72307088"/>
      <w:r w:rsidRPr="00C96594">
        <w:t>The ESC considered a CMA to be an appropriate approach although noted that the potential additional costs associated with the increased incidence of AEs with lorlatinib compared with alectinib had not been a</w:t>
      </w:r>
      <w:bookmarkStart w:id="23" w:name="_GoBack"/>
      <w:bookmarkEnd w:id="23"/>
      <w:r w:rsidRPr="00C96594">
        <w:t>ccounted for</w:t>
      </w:r>
      <w:r w:rsidRPr="00C96594">
        <w:rPr>
          <w:i/>
        </w:rPr>
        <w:t>.</w:t>
      </w:r>
      <w:r w:rsidR="00FB186A" w:rsidRPr="00C96594">
        <w:rPr>
          <w:i/>
        </w:rPr>
        <w:t xml:space="preserve"> </w:t>
      </w:r>
    </w:p>
    <w:p w:rsidR="005D478E" w:rsidRPr="00C96594" w:rsidRDefault="00C25D9C" w:rsidP="005D478E">
      <w:pPr>
        <w:pStyle w:val="4-SubsectionHeading"/>
      </w:pPr>
      <w:r w:rsidRPr="00C96594">
        <w:t>Drug cost/patient/course</w:t>
      </w:r>
      <w:bookmarkEnd w:id="21"/>
      <w:bookmarkEnd w:id="22"/>
    </w:p>
    <w:p w:rsidR="00CB7D9E" w:rsidRPr="00C96594" w:rsidRDefault="00514A74" w:rsidP="00353B51">
      <w:pPr>
        <w:pStyle w:val="3-BodyText"/>
        <w:rPr>
          <w:snapToGrid/>
        </w:rPr>
      </w:pPr>
      <w:r w:rsidRPr="00C96594">
        <w:t>Applying the submission’s proposed effective DPMQ, the cost/patient for lorlatinib in the first-line setting was $</w:t>
      </w:r>
      <w:r w:rsidR="00B04959">
        <w:rPr>
          <w:noProof/>
          <w:color w:val="000000"/>
          <w:highlight w:val="black"/>
        </w:rPr>
        <w:t>''''''''''''''''</w:t>
      </w:r>
      <w:r w:rsidRPr="00C96594">
        <w:t xml:space="preserve"> for a 30-day treatment duration, while the cost/patient for alectinib in the first-line setting was $</w:t>
      </w:r>
      <w:r w:rsidR="00B04959">
        <w:rPr>
          <w:noProof/>
          <w:color w:val="000000"/>
          <w:highlight w:val="black"/>
        </w:rPr>
        <w:t>''''''''''''''''</w:t>
      </w:r>
      <w:r w:rsidRPr="00C96594">
        <w:t xml:space="preserve"> for a 30-day treatment duration (based on a DPMQ of $</w:t>
      </w:r>
      <w:r w:rsidR="00B04959">
        <w:rPr>
          <w:noProof/>
          <w:color w:val="000000"/>
          <w:highlight w:val="black"/>
        </w:rPr>
        <w:t xml:space="preserve">'''''''''''''''' </w:t>
      </w:r>
      <w:r w:rsidRPr="00C96594">
        <w:t xml:space="preserve">for 28-days of treatment). The treatment duration of lorlatinib cannot be reliably determined based on available data. </w:t>
      </w:r>
      <w:r w:rsidR="004D064A" w:rsidRPr="00C96594">
        <w:t>For b</w:t>
      </w:r>
      <w:r w:rsidRPr="00C96594">
        <w:t>oth lorlatinib and alectinib</w:t>
      </w:r>
      <w:r w:rsidR="00FA6AFC" w:rsidRPr="00C96594">
        <w:t xml:space="preserve">, patients </w:t>
      </w:r>
      <w:r w:rsidRPr="00C96594">
        <w:t>are to be treated until disease progression</w:t>
      </w:r>
      <w:r w:rsidR="00CB7D9E" w:rsidRPr="00C96594">
        <w:t>.</w:t>
      </w:r>
      <w:r w:rsidR="001C3B95" w:rsidRPr="00C96594">
        <w:t xml:space="preserve"> </w:t>
      </w:r>
    </w:p>
    <w:p w:rsidR="00983118" w:rsidRPr="00C96594" w:rsidRDefault="00983118" w:rsidP="00983118">
      <w:pPr>
        <w:pStyle w:val="4-SubsectionHeading"/>
      </w:pPr>
      <w:bookmarkStart w:id="24" w:name="_Toc22897647"/>
      <w:bookmarkStart w:id="25" w:name="_Toc72307089"/>
      <w:r w:rsidRPr="00C96594">
        <w:t>Estimated PBS usage &amp; financial implications</w:t>
      </w:r>
      <w:bookmarkEnd w:id="24"/>
      <w:bookmarkEnd w:id="25"/>
    </w:p>
    <w:p w:rsidR="00983118" w:rsidRPr="00C96594" w:rsidRDefault="00983118" w:rsidP="00983118">
      <w:pPr>
        <w:pStyle w:val="3-BodyText"/>
      </w:pPr>
      <w:r w:rsidRPr="00C96594">
        <w:t>This submission w</w:t>
      </w:r>
      <w:r w:rsidR="003435E4" w:rsidRPr="00C96594">
        <w:t xml:space="preserve">as not </w:t>
      </w:r>
      <w:r w:rsidRPr="00C96594">
        <w:t>considered by DUSC</w:t>
      </w:r>
      <w:r w:rsidRPr="00C96594">
        <w:rPr>
          <w:color w:val="0070C0"/>
        </w:rPr>
        <w:t xml:space="preserve">. </w:t>
      </w:r>
      <w:r w:rsidRPr="00C96594">
        <w:t xml:space="preserve">The submission </w:t>
      </w:r>
      <w:r w:rsidR="002F0922" w:rsidRPr="00C96594">
        <w:t xml:space="preserve">used </w:t>
      </w:r>
      <w:r w:rsidRPr="00C96594">
        <w:t>a market share approach to estimating the extent of use and financial impact of listing lorlatinib on the PBS. The key inputs for the financial estimates are summarised below.</w:t>
      </w:r>
    </w:p>
    <w:p w:rsidR="00983118" w:rsidRPr="00C96594" w:rsidRDefault="00983118" w:rsidP="00873E03">
      <w:pPr>
        <w:pStyle w:val="TableFigureHeading"/>
        <w:keepLines/>
      </w:pPr>
      <w:r w:rsidRPr="00C96594">
        <w:t xml:space="preserve">Table </w:t>
      </w:r>
      <w:r w:rsidR="007E358B" w:rsidRPr="00C96594">
        <w:t>10</w:t>
      </w:r>
      <w:r w:rsidRPr="00C96594">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832"/>
        <w:gridCol w:w="4934"/>
      </w:tblGrid>
      <w:tr w:rsidR="00983118" w:rsidRPr="00C96594" w:rsidTr="00A55F72">
        <w:trPr>
          <w:tblHeader/>
        </w:trPr>
        <w:tc>
          <w:tcPr>
            <w:tcW w:w="1248" w:type="pct"/>
            <w:vAlign w:val="center"/>
          </w:tcPr>
          <w:p w:rsidR="00983118" w:rsidRPr="00C96594" w:rsidRDefault="00983118" w:rsidP="00873E03">
            <w:pPr>
              <w:pStyle w:val="In-tableHeading"/>
              <w:keepLines/>
              <w:jc w:val="center"/>
              <w:rPr>
                <w:lang w:val="en-AU"/>
              </w:rPr>
            </w:pPr>
            <w:r w:rsidRPr="00C96594">
              <w:rPr>
                <w:lang w:val="en-AU"/>
              </w:rPr>
              <w:t>Data</w:t>
            </w:r>
          </w:p>
        </w:tc>
        <w:tc>
          <w:tcPr>
            <w:tcW w:w="1016" w:type="pct"/>
            <w:vAlign w:val="center"/>
          </w:tcPr>
          <w:p w:rsidR="00983118" w:rsidRPr="00C96594" w:rsidRDefault="00983118" w:rsidP="00873E03">
            <w:pPr>
              <w:pStyle w:val="In-tableHeading"/>
              <w:keepLines/>
              <w:jc w:val="center"/>
              <w:rPr>
                <w:lang w:val="en-AU"/>
              </w:rPr>
            </w:pPr>
            <w:r w:rsidRPr="00C96594">
              <w:rPr>
                <w:lang w:val="en-AU"/>
              </w:rPr>
              <w:t>Value</w:t>
            </w:r>
          </w:p>
        </w:tc>
        <w:tc>
          <w:tcPr>
            <w:tcW w:w="2736" w:type="pct"/>
            <w:vAlign w:val="center"/>
          </w:tcPr>
          <w:p w:rsidR="00983118" w:rsidRPr="00C96594" w:rsidRDefault="00983118" w:rsidP="00873E03">
            <w:pPr>
              <w:pStyle w:val="In-tableHeading"/>
              <w:keepLines/>
              <w:jc w:val="center"/>
              <w:rPr>
                <w:lang w:val="en-AU"/>
              </w:rPr>
            </w:pPr>
            <w:r w:rsidRPr="00C96594">
              <w:rPr>
                <w:lang w:val="en-AU"/>
              </w:rPr>
              <w:t>Source/comment</w:t>
            </w:r>
          </w:p>
        </w:tc>
      </w:tr>
      <w:tr w:rsidR="00983118" w:rsidRPr="00C96594" w:rsidTr="00A55F72">
        <w:tc>
          <w:tcPr>
            <w:tcW w:w="5000" w:type="pct"/>
            <w:gridSpan w:val="3"/>
            <w:vAlign w:val="center"/>
          </w:tcPr>
          <w:p w:rsidR="00983118" w:rsidRPr="00C96594" w:rsidRDefault="00983118" w:rsidP="00873E03">
            <w:pPr>
              <w:pStyle w:val="TableText0"/>
              <w:keepLines/>
              <w:rPr>
                <w:b/>
              </w:rPr>
            </w:pPr>
            <w:r w:rsidRPr="00C96594">
              <w:rPr>
                <w:b/>
              </w:rPr>
              <w:t>Market Share Model (primary an</w:t>
            </w:r>
            <w:r w:rsidR="00353B51" w:rsidRPr="00C96594">
              <w:rPr>
                <w:b/>
              </w:rPr>
              <w:t>a</w:t>
            </w:r>
            <w:r w:rsidRPr="00C96594">
              <w:rPr>
                <w:b/>
              </w:rPr>
              <w:t>lysis)</w:t>
            </w:r>
          </w:p>
        </w:tc>
      </w:tr>
      <w:tr w:rsidR="00983118" w:rsidRPr="00C96594" w:rsidTr="00A55F72">
        <w:tc>
          <w:tcPr>
            <w:tcW w:w="1248" w:type="pct"/>
            <w:vAlign w:val="center"/>
          </w:tcPr>
          <w:p w:rsidR="00983118" w:rsidRPr="00C96594" w:rsidRDefault="00983118" w:rsidP="00873E03">
            <w:pPr>
              <w:pStyle w:val="TableText0"/>
              <w:keepLines/>
            </w:pPr>
            <w:r w:rsidRPr="00C96594">
              <w:t>Market growth with existing listings</w:t>
            </w:r>
          </w:p>
        </w:tc>
        <w:tc>
          <w:tcPr>
            <w:tcW w:w="1016" w:type="pct"/>
            <w:vAlign w:val="center"/>
          </w:tcPr>
          <w:p w:rsidR="00983118" w:rsidRPr="00C96594" w:rsidRDefault="00983118" w:rsidP="00873E03">
            <w:pPr>
              <w:pStyle w:val="TableText0"/>
              <w:keepLines/>
            </w:pPr>
            <w:r w:rsidRPr="00C96594">
              <w:t>Yr 1: 16%</w:t>
            </w:r>
          </w:p>
          <w:p w:rsidR="00983118" w:rsidRPr="00C96594" w:rsidRDefault="00983118" w:rsidP="00873E03">
            <w:pPr>
              <w:pStyle w:val="TableText0"/>
              <w:keepLines/>
            </w:pPr>
            <w:r w:rsidRPr="00C96594">
              <w:t>Yr 2: 8%</w:t>
            </w:r>
          </w:p>
          <w:p w:rsidR="00983118" w:rsidRPr="00C96594" w:rsidRDefault="00983118" w:rsidP="00873E03">
            <w:pPr>
              <w:pStyle w:val="TableText0"/>
              <w:keepLines/>
            </w:pPr>
            <w:r w:rsidRPr="00C96594">
              <w:t>Yr 3: 4%</w:t>
            </w:r>
          </w:p>
          <w:p w:rsidR="00983118" w:rsidRPr="00C96594" w:rsidRDefault="00983118" w:rsidP="00873E03">
            <w:pPr>
              <w:pStyle w:val="TableText0"/>
              <w:keepLines/>
            </w:pPr>
            <w:r w:rsidRPr="00C96594">
              <w:t>Yr 4 +: 1.6%</w:t>
            </w:r>
          </w:p>
        </w:tc>
        <w:tc>
          <w:tcPr>
            <w:tcW w:w="2736" w:type="pct"/>
            <w:vAlign w:val="center"/>
          </w:tcPr>
          <w:p w:rsidR="000F2DCA" w:rsidRPr="00C96594" w:rsidRDefault="000F2DCA" w:rsidP="00873E03">
            <w:pPr>
              <w:pStyle w:val="TableText0"/>
              <w:keepLines/>
            </w:pPr>
            <w:r w:rsidRPr="00C96594">
              <w:t>Assumption based on PBS statistics.</w:t>
            </w:r>
          </w:p>
          <w:p w:rsidR="00983118" w:rsidRPr="00C96594" w:rsidRDefault="000F2DCA" w:rsidP="00873E03">
            <w:pPr>
              <w:pStyle w:val="TableText0"/>
              <w:keepLines/>
            </w:pPr>
            <w:r w:rsidRPr="00C96594">
              <w:t xml:space="preserve">Growth in PBS services for ALK inhibitors observed in 2020 (30%) was at least partly attributable to patients being grandfathered onto the PBS following the PBS listings of brigatinib (May 2020) and lorlatinib (August 2020), and assumed to steadily decline to population growth (1.6%) by Year 4. </w:t>
            </w:r>
          </w:p>
        </w:tc>
      </w:tr>
      <w:tr w:rsidR="00983118" w:rsidRPr="00C96594" w:rsidTr="00A55F72">
        <w:tc>
          <w:tcPr>
            <w:tcW w:w="1248" w:type="pct"/>
            <w:vAlign w:val="center"/>
          </w:tcPr>
          <w:p w:rsidR="00983118" w:rsidRPr="00C96594" w:rsidRDefault="00983118" w:rsidP="00873E03">
            <w:pPr>
              <w:pStyle w:val="TableText0"/>
              <w:keepLines/>
            </w:pPr>
            <w:r w:rsidRPr="00C96594">
              <w:t>Additional market growth with requested listing of lorlatinib</w:t>
            </w:r>
          </w:p>
        </w:tc>
        <w:tc>
          <w:tcPr>
            <w:tcW w:w="1016" w:type="pct"/>
            <w:vAlign w:val="center"/>
          </w:tcPr>
          <w:p w:rsidR="00983118" w:rsidRPr="006A174A" w:rsidRDefault="00983118" w:rsidP="00873E03">
            <w:pPr>
              <w:pStyle w:val="TableText0"/>
              <w:keepLines/>
            </w:pPr>
            <w:r w:rsidRPr="00C96594">
              <w:t xml:space="preserve">Yr 1: </w:t>
            </w:r>
            <w:r w:rsidR="00B04959">
              <w:rPr>
                <w:noProof/>
                <w:color w:val="000000"/>
                <w:highlight w:val="black"/>
              </w:rPr>
              <w:t>''''</w:t>
            </w:r>
            <w:r w:rsidRPr="006A174A">
              <w:t>%</w:t>
            </w:r>
          </w:p>
          <w:p w:rsidR="00983118" w:rsidRPr="006A174A" w:rsidRDefault="00983118" w:rsidP="00873E03">
            <w:pPr>
              <w:pStyle w:val="TableText0"/>
              <w:keepLines/>
            </w:pPr>
            <w:r w:rsidRPr="006A174A">
              <w:t xml:space="preserve">Yr 2: </w:t>
            </w:r>
            <w:r w:rsidR="00B04959">
              <w:rPr>
                <w:noProof/>
                <w:color w:val="000000"/>
                <w:highlight w:val="black"/>
              </w:rPr>
              <w:t>'''</w:t>
            </w:r>
            <w:r w:rsidRPr="006A174A">
              <w:t>%</w:t>
            </w:r>
          </w:p>
          <w:p w:rsidR="00983118" w:rsidRPr="006A174A" w:rsidRDefault="00983118" w:rsidP="00873E03">
            <w:pPr>
              <w:pStyle w:val="TableText0"/>
              <w:keepLines/>
            </w:pPr>
            <w:r w:rsidRPr="006A174A">
              <w:t xml:space="preserve">Yr 3: </w:t>
            </w:r>
            <w:r w:rsidR="00B04959">
              <w:rPr>
                <w:noProof/>
                <w:color w:val="000000"/>
                <w:highlight w:val="black"/>
              </w:rPr>
              <w:t>''''</w:t>
            </w:r>
            <w:r w:rsidRPr="006A174A">
              <w:t>%</w:t>
            </w:r>
          </w:p>
          <w:p w:rsidR="00983118" w:rsidRPr="00C96594" w:rsidRDefault="00983118" w:rsidP="00873E03">
            <w:pPr>
              <w:pStyle w:val="TableText0"/>
              <w:keepLines/>
            </w:pPr>
            <w:r w:rsidRPr="006A174A">
              <w:t xml:space="preserve">Yr 4 +: </w:t>
            </w:r>
            <w:r w:rsidR="00B04959">
              <w:rPr>
                <w:noProof/>
                <w:color w:val="000000"/>
                <w:highlight w:val="black"/>
              </w:rPr>
              <w:t>'''</w:t>
            </w:r>
            <w:r w:rsidRPr="006A174A">
              <w:t>%</w:t>
            </w:r>
          </w:p>
        </w:tc>
        <w:tc>
          <w:tcPr>
            <w:tcW w:w="2736" w:type="pct"/>
            <w:vAlign w:val="center"/>
          </w:tcPr>
          <w:p w:rsidR="00983118" w:rsidRPr="00C96594" w:rsidRDefault="00983118" w:rsidP="00873E03">
            <w:pPr>
              <w:pStyle w:val="TableText0"/>
              <w:keepLines/>
            </w:pPr>
            <w:r w:rsidRPr="00C96594">
              <w:t xml:space="preserve">The submission assumed a small increase in overall market as lorlatinib is expected to optimise treatment outcomes in the first-line setting for some patients with brain metastases at diagnosis. Additional growth is expected to be minimal. </w:t>
            </w:r>
            <w:r w:rsidR="000F2DCA" w:rsidRPr="00C96594">
              <w:t>A</w:t>
            </w:r>
            <w:r w:rsidR="004D064A" w:rsidRPr="00C96594">
              <w:t xml:space="preserve">n increase in displaced subsequent lines of therapy, from the introduction of lorlatinib as first line therapy, is likely to be limited given the poor prognosis </w:t>
            </w:r>
            <w:r w:rsidRPr="00C96594">
              <w:t xml:space="preserve">of patients </w:t>
            </w:r>
            <w:r w:rsidR="004D064A" w:rsidRPr="00C96594">
              <w:t>who progress on second line or third line therapy.</w:t>
            </w:r>
          </w:p>
        </w:tc>
      </w:tr>
      <w:tr w:rsidR="00983118" w:rsidRPr="00C96594" w:rsidTr="00A55F72">
        <w:tc>
          <w:tcPr>
            <w:tcW w:w="1248" w:type="pct"/>
            <w:vAlign w:val="center"/>
          </w:tcPr>
          <w:p w:rsidR="00983118" w:rsidRPr="00C96594" w:rsidRDefault="00983118" w:rsidP="00873E03">
            <w:pPr>
              <w:pStyle w:val="TableText0"/>
              <w:keepLines/>
            </w:pPr>
            <w:r w:rsidRPr="00C96594">
              <w:t>Script equivalence</w:t>
            </w:r>
          </w:p>
        </w:tc>
        <w:tc>
          <w:tcPr>
            <w:tcW w:w="1016" w:type="pct"/>
            <w:vAlign w:val="center"/>
          </w:tcPr>
          <w:p w:rsidR="00983118" w:rsidRPr="00C96594" w:rsidRDefault="00983118" w:rsidP="00873E03">
            <w:pPr>
              <w:pStyle w:val="TableText0"/>
              <w:keepLines/>
              <w:rPr>
                <w:vertAlign w:val="superscript"/>
              </w:rPr>
            </w:pPr>
            <w:r w:rsidRPr="00C96594">
              <w:t>1 script lorlatinib = : 1.07 scripts alectinib/brigatinib</w:t>
            </w:r>
            <w:r w:rsidRPr="00C96594">
              <w:rPr>
                <w:vertAlign w:val="superscript"/>
              </w:rPr>
              <w:t>a</w:t>
            </w:r>
          </w:p>
        </w:tc>
        <w:tc>
          <w:tcPr>
            <w:tcW w:w="2736" w:type="pct"/>
            <w:vAlign w:val="center"/>
          </w:tcPr>
          <w:p w:rsidR="00983118" w:rsidRPr="00C96594" w:rsidRDefault="00983118" w:rsidP="00873E03">
            <w:pPr>
              <w:pStyle w:val="TableText0"/>
              <w:keepLines/>
            </w:pPr>
            <w:r w:rsidRPr="00C96594">
              <w:t>Brigatinib PSD, November 2019</w:t>
            </w:r>
          </w:p>
          <w:p w:rsidR="00983118" w:rsidRPr="00C96594" w:rsidRDefault="00983118" w:rsidP="00873E03">
            <w:pPr>
              <w:pStyle w:val="TableText0"/>
              <w:keepLines/>
            </w:pPr>
            <w:r w:rsidRPr="00C96594">
              <w:t>TGA-approved PIs for lorlatinib, alectinib and brigatinib</w:t>
            </w:r>
          </w:p>
        </w:tc>
      </w:tr>
      <w:tr w:rsidR="000F2DCA" w:rsidRPr="00C96594" w:rsidTr="00A55F72">
        <w:tc>
          <w:tcPr>
            <w:tcW w:w="1248" w:type="pct"/>
            <w:vAlign w:val="center"/>
          </w:tcPr>
          <w:p w:rsidR="000F2DCA" w:rsidRPr="00C96594" w:rsidRDefault="000F2DCA" w:rsidP="00873E03">
            <w:pPr>
              <w:pStyle w:val="TableText0"/>
              <w:keepLines/>
            </w:pPr>
            <w:r w:rsidRPr="00C96594">
              <w:t>Utilisation of ALK inhibitors by line of therapy</w:t>
            </w:r>
          </w:p>
        </w:tc>
        <w:tc>
          <w:tcPr>
            <w:tcW w:w="1016" w:type="pct"/>
            <w:vAlign w:val="center"/>
          </w:tcPr>
          <w:p w:rsidR="000F2DCA" w:rsidRPr="006A174A" w:rsidRDefault="00B04959" w:rsidP="00873E03">
            <w:pPr>
              <w:pStyle w:val="TableText0"/>
              <w:keepLines/>
            </w:pPr>
            <w:r>
              <w:rPr>
                <w:noProof/>
                <w:color w:val="000000"/>
                <w:highlight w:val="black"/>
              </w:rPr>
              <w:t>''''''</w:t>
            </w:r>
            <w:r w:rsidR="000F2DCA" w:rsidRPr="006A174A">
              <w:t>% first-line</w:t>
            </w:r>
          </w:p>
          <w:p w:rsidR="000F2DCA" w:rsidRPr="006A174A" w:rsidRDefault="00B04959" w:rsidP="00873E03">
            <w:pPr>
              <w:pStyle w:val="TableText0"/>
              <w:keepLines/>
            </w:pPr>
            <w:r>
              <w:rPr>
                <w:noProof/>
                <w:color w:val="000000"/>
                <w:highlight w:val="black"/>
              </w:rPr>
              <w:t>''''''</w:t>
            </w:r>
            <w:r w:rsidR="000F2DCA" w:rsidRPr="006A174A">
              <w:t>% subsequent lines</w:t>
            </w:r>
          </w:p>
        </w:tc>
        <w:tc>
          <w:tcPr>
            <w:tcW w:w="2736" w:type="pct"/>
            <w:vAlign w:val="center"/>
          </w:tcPr>
          <w:p w:rsidR="000F2DCA" w:rsidRPr="00C96594" w:rsidRDefault="000F2DCA" w:rsidP="00873E03">
            <w:pPr>
              <w:pStyle w:val="TableText0"/>
              <w:keepLines/>
            </w:pPr>
            <w:r w:rsidRPr="00C96594">
              <w:t xml:space="preserve">Based on the relative duration of first-line treatment to duration of second line treatment. First line lorlatinib median duration of treatment assumed to be similar to that of alectinib from updated analyses of ALEX (median 28.1 months). Subsequent treatment duration of lorlatinib of 8 months appears to have been based on the median PFS for lorlatinib as second line use in Study 1001 </w:t>
            </w:r>
          </w:p>
        </w:tc>
      </w:tr>
      <w:tr w:rsidR="000F2DCA" w:rsidRPr="00C96594" w:rsidTr="00A55F72">
        <w:tc>
          <w:tcPr>
            <w:tcW w:w="1248" w:type="pct"/>
            <w:vAlign w:val="center"/>
          </w:tcPr>
          <w:p w:rsidR="000F2DCA" w:rsidRPr="00C96594" w:rsidRDefault="000F2DCA" w:rsidP="00873E03">
            <w:pPr>
              <w:pStyle w:val="TableText0"/>
              <w:keepLines/>
            </w:pPr>
            <w:r w:rsidRPr="00C96594">
              <w:t>Utilisation of lorlatinib for current PBS listing (% of total ALK inhibitor market)</w:t>
            </w:r>
          </w:p>
        </w:tc>
        <w:tc>
          <w:tcPr>
            <w:tcW w:w="1016" w:type="pct"/>
            <w:vAlign w:val="center"/>
          </w:tcPr>
          <w:p w:rsidR="000F2DCA" w:rsidRPr="00C96594" w:rsidRDefault="000F2DCA" w:rsidP="00873E03">
            <w:pPr>
              <w:pStyle w:val="TableText0"/>
              <w:keepLines/>
            </w:pPr>
            <w:r w:rsidRPr="00C96594">
              <w:t xml:space="preserve">Year 1: </w:t>
            </w:r>
            <w:r w:rsidR="00B04959">
              <w:rPr>
                <w:noProof/>
                <w:color w:val="000000"/>
                <w:highlight w:val="black"/>
              </w:rPr>
              <w:t>'''''''</w:t>
            </w:r>
            <w:r w:rsidRPr="00C96594">
              <w:t xml:space="preserve">%, </w:t>
            </w:r>
          </w:p>
          <w:p w:rsidR="000F2DCA" w:rsidRPr="00C96594" w:rsidRDefault="000F2DCA" w:rsidP="00873E03">
            <w:pPr>
              <w:pStyle w:val="TableText0"/>
              <w:keepLines/>
              <w:rPr>
                <w:vertAlign w:val="superscript"/>
              </w:rPr>
            </w:pPr>
            <w:r w:rsidRPr="00C96594">
              <w:t xml:space="preserve">Years 2+: </w:t>
            </w:r>
            <w:r w:rsidR="00B04959">
              <w:rPr>
                <w:noProof/>
                <w:color w:val="000000"/>
                <w:highlight w:val="black"/>
              </w:rPr>
              <w:t>''''''</w:t>
            </w:r>
            <w:r w:rsidRPr="00C96594">
              <w:t>%</w:t>
            </w:r>
          </w:p>
        </w:tc>
        <w:tc>
          <w:tcPr>
            <w:tcW w:w="2736" w:type="pct"/>
            <w:vAlign w:val="center"/>
          </w:tcPr>
          <w:p w:rsidR="000F2DCA" w:rsidRPr="00C96594" w:rsidRDefault="002E6511" w:rsidP="00873E03">
            <w:pPr>
              <w:pStyle w:val="TableText0"/>
              <w:keepLines/>
            </w:pPr>
            <w:r w:rsidRPr="00C96594">
              <w:t xml:space="preserve">Assumed to peak at </w:t>
            </w:r>
            <w:r w:rsidR="00B04959">
              <w:rPr>
                <w:noProof/>
                <w:color w:val="000000"/>
                <w:highlight w:val="black"/>
              </w:rPr>
              <w:t>''''''</w:t>
            </w:r>
            <w:r w:rsidRPr="00C96594">
              <w:t>% share of subsequent treatment in Years 2-6 (</w:t>
            </w:r>
            <w:r w:rsidR="00B04959">
              <w:rPr>
                <w:noProof/>
                <w:color w:val="000000"/>
                <w:highlight w:val="black"/>
              </w:rPr>
              <w:t>'''''''</w:t>
            </w:r>
            <w:r w:rsidRPr="00C96594">
              <w:t>% x</w:t>
            </w:r>
            <w:r w:rsidR="00B04959">
              <w:rPr>
                <w:noProof/>
                <w:color w:val="000000"/>
                <w:highlight w:val="black"/>
              </w:rPr>
              <w:t xml:space="preserve"> ''''''</w:t>
            </w:r>
            <w:r w:rsidRPr="00C96594">
              <w:t xml:space="preserve">% = </w:t>
            </w:r>
            <w:r w:rsidR="00B04959">
              <w:rPr>
                <w:noProof/>
                <w:color w:val="000000"/>
                <w:highlight w:val="black"/>
              </w:rPr>
              <w:t>'''''''</w:t>
            </w:r>
            <w:r w:rsidRPr="00C96594">
              <w:t>%). This is consistent with the estimate used for lorlatinib PBAC submission for use as subsequent therapy (November 2019 PBAC submission for lorlatinib).</w:t>
            </w:r>
          </w:p>
        </w:tc>
      </w:tr>
      <w:tr w:rsidR="002E6511" w:rsidRPr="00C96594" w:rsidTr="00A55F72">
        <w:tc>
          <w:tcPr>
            <w:tcW w:w="1248" w:type="pct"/>
            <w:vAlign w:val="center"/>
          </w:tcPr>
          <w:p w:rsidR="002E6511" w:rsidRPr="00C96594" w:rsidRDefault="002E6511" w:rsidP="00873E03">
            <w:pPr>
              <w:pStyle w:val="TableText0"/>
              <w:keepLines/>
            </w:pPr>
            <w:r w:rsidRPr="00C96594">
              <w:t>Substitution of lorlatinib for alectinib and brigatinib in first-line setting (A)</w:t>
            </w:r>
          </w:p>
        </w:tc>
        <w:tc>
          <w:tcPr>
            <w:tcW w:w="1016" w:type="pct"/>
            <w:vAlign w:val="center"/>
          </w:tcPr>
          <w:p w:rsidR="002E6511" w:rsidRPr="00C96594" w:rsidRDefault="00B04959" w:rsidP="00873E03">
            <w:pPr>
              <w:pStyle w:val="TableText0"/>
              <w:keepLines/>
            </w:pPr>
            <w:r>
              <w:rPr>
                <w:noProof/>
                <w:color w:val="000000"/>
                <w:highlight w:val="black"/>
              </w:rPr>
              <w:t>''''''</w:t>
            </w:r>
            <w:r w:rsidR="002E6511" w:rsidRPr="006A174A">
              <w:t xml:space="preserve">% in Yr 1, increasing to </w:t>
            </w:r>
            <w:r>
              <w:rPr>
                <w:noProof/>
                <w:color w:val="000000"/>
                <w:highlight w:val="black"/>
              </w:rPr>
              <w:t>''''''</w:t>
            </w:r>
            <w:r w:rsidR="002E6511" w:rsidRPr="006A174A">
              <w:t>% in</w:t>
            </w:r>
            <w:r w:rsidR="002E6511" w:rsidRPr="00C96594">
              <w:t xml:space="preserve"> Yr 6</w:t>
            </w:r>
          </w:p>
        </w:tc>
        <w:tc>
          <w:tcPr>
            <w:tcW w:w="2736" w:type="pct"/>
            <w:vAlign w:val="center"/>
          </w:tcPr>
          <w:p w:rsidR="002E6511" w:rsidRPr="00C96594" w:rsidRDefault="002E6511" w:rsidP="003435E4">
            <w:pPr>
              <w:pStyle w:val="TableText0"/>
              <w:keepLines/>
            </w:pPr>
            <w:r w:rsidRPr="00C96594">
              <w:t>Assumption was informed by expert opinion. Use is likely to be displaced, rather than substituted.</w:t>
            </w:r>
          </w:p>
        </w:tc>
      </w:tr>
      <w:tr w:rsidR="002E6511" w:rsidRPr="00C96594" w:rsidTr="00A55F72">
        <w:tc>
          <w:tcPr>
            <w:tcW w:w="1248" w:type="pct"/>
            <w:vAlign w:val="center"/>
          </w:tcPr>
          <w:p w:rsidR="002E6511" w:rsidRPr="00C96594" w:rsidRDefault="002E6511" w:rsidP="00873E03">
            <w:pPr>
              <w:pStyle w:val="TableText0"/>
              <w:keepLines/>
            </w:pPr>
            <w:r w:rsidRPr="00C96594">
              <w:t>Reduction in lorlatinib share of the overall market in subsequent lines of treatment (B)</w:t>
            </w:r>
          </w:p>
        </w:tc>
        <w:tc>
          <w:tcPr>
            <w:tcW w:w="1016" w:type="pct"/>
            <w:vAlign w:val="center"/>
          </w:tcPr>
          <w:p w:rsidR="002E6511" w:rsidRPr="00C96594" w:rsidRDefault="00B04959" w:rsidP="00873E03">
            <w:pPr>
              <w:pStyle w:val="TableText0"/>
              <w:keepLines/>
            </w:pPr>
            <w:r>
              <w:rPr>
                <w:noProof/>
                <w:color w:val="000000"/>
                <w:highlight w:val="black"/>
              </w:rPr>
              <w:t>''''</w:t>
            </w:r>
            <w:r w:rsidR="002E6511" w:rsidRPr="006A174A">
              <w:t xml:space="preserve">% in Yr 1, increasing to </w:t>
            </w:r>
            <w:r>
              <w:rPr>
                <w:noProof/>
                <w:color w:val="000000"/>
                <w:highlight w:val="black"/>
              </w:rPr>
              <w:t>'''</w:t>
            </w:r>
            <w:r w:rsidR="002E6511" w:rsidRPr="006A174A">
              <w:t>%</w:t>
            </w:r>
            <w:r w:rsidR="002E6511" w:rsidRPr="00C96594">
              <w:t xml:space="preserve"> in Yr 6</w:t>
            </w:r>
          </w:p>
        </w:tc>
        <w:tc>
          <w:tcPr>
            <w:tcW w:w="2736" w:type="pct"/>
            <w:vAlign w:val="center"/>
          </w:tcPr>
          <w:p w:rsidR="002E6511" w:rsidRPr="00C96594" w:rsidRDefault="002E6511" w:rsidP="00873E03">
            <w:pPr>
              <w:pStyle w:val="TableText0"/>
              <w:keepLines/>
            </w:pPr>
            <w:r w:rsidRPr="00C96594">
              <w:t>The submission assumed a two-year delay in impact of 1L uptake on lorlatinib market share on subsequent treatment, based on the median DoT of 28 months reported for alectinib (Mok, 2020).</w:t>
            </w:r>
          </w:p>
        </w:tc>
      </w:tr>
      <w:tr w:rsidR="000F2DCA" w:rsidRPr="00C96594" w:rsidTr="00A55F72">
        <w:tc>
          <w:tcPr>
            <w:tcW w:w="1248" w:type="pct"/>
            <w:vAlign w:val="center"/>
          </w:tcPr>
          <w:p w:rsidR="000F2DCA" w:rsidRPr="00C96594" w:rsidRDefault="000F2DCA" w:rsidP="00873E03">
            <w:pPr>
              <w:pStyle w:val="TableText0"/>
              <w:keepLines/>
            </w:pPr>
            <w:r w:rsidRPr="00C96594">
              <w:t>Net increase in lorlatinib share of overall market due to expanded listing</w:t>
            </w:r>
          </w:p>
        </w:tc>
        <w:tc>
          <w:tcPr>
            <w:tcW w:w="1016" w:type="pct"/>
            <w:vAlign w:val="center"/>
          </w:tcPr>
          <w:p w:rsidR="002E6511" w:rsidRPr="006A174A" w:rsidRDefault="000F2DCA" w:rsidP="00873E03">
            <w:pPr>
              <w:pStyle w:val="TableText0"/>
              <w:keepLines/>
            </w:pPr>
            <w:r w:rsidRPr="006A174A">
              <w:t xml:space="preserve">Yr 1: </w:t>
            </w:r>
            <w:r w:rsidR="00B04959">
              <w:rPr>
                <w:noProof/>
                <w:color w:val="000000"/>
                <w:highlight w:val="black"/>
              </w:rPr>
              <w:t>''''''</w:t>
            </w:r>
            <w:r w:rsidRPr="006A174A">
              <w:t>%</w:t>
            </w:r>
          </w:p>
          <w:p w:rsidR="002E6511" w:rsidRPr="006A174A" w:rsidRDefault="000F2DCA" w:rsidP="00873E03">
            <w:pPr>
              <w:pStyle w:val="TableText0"/>
              <w:keepLines/>
            </w:pPr>
            <w:r w:rsidRPr="006A174A">
              <w:t xml:space="preserve">Yr 2: </w:t>
            </w:r>
            <w:r w:rsidR="00B04959">
              <w:rPr>
                <w:noProof/>
                <w:color w:val="000000"/>
                <w:highlight w:val="black"/>
              </w:rPr>
              <w:t>'''''''</w:t>
            </w:r>
            <w:r w:rsidRPr="006A174A">
              <w:t>%</w:t>
            </w:r>
          </w:p>
          <w:p w:rsidR="002E6511" w:rsidRPr="006A174A" w:rsidRDefault="000F2DCA" w:rsidP="00873E03">
            <w:pPr>
              <w:pStyle w:val="TableText0"/>
              <w:keepLines/>
            </w:pPr>
            <w:r w:rsidRPr="006A174A">
              <w:t xml:space="preserve">Yr 3: </w:t>
            </w:r>
            <w:r w:rsidR="00B04959">
              <w:rPr>
                <w:noProof/>
                <w:color w:val="000000"/>
                <w:highlight w:val="black"/>
              </w:rPr>
              <w:t>'''''''</w:t>
            </w:r>
            <w:r w:rsidRPr="006A174A">
              <w:t>%</w:t>
            </w:r>
          </w:p>
          <w:p w:rsidR="002E6511" w:rsidRPr="006A174A" w:rsidRDefault="000F2DCA" w:rsidP="00873E03">
            <w:pPr>
              <w:pStyle w:val="TableText0"/>
              <w:keepLines/>
            </w:pPr>
            <w:r w:rsidRPr="006A174A">
              <w:t xml:space="preserve">Yr 4: </w:t>
            </w:r>
            <w:r w:rsidR="00B04959">
              <w:rPr>
                <w:noProof/>
                <w:color w:val="000000"/>
                <w:highlight w:val="black"/>
              </w:rPr>
              <w:t>''''''</w:t>
            </w:r>
            <w:r w:rsidRPr="006A174A">
              <w:t>%</w:t>
            </w:r>
          </w:p>
          <w:p w:rsidR="002E6511" w:rsidRPr="006A174A" w:rsidRDefault="000F2DCA" w:rsidP="00873E03">
            <w:pPr>
              <w:pStyle w:val="TableText0"/>
              <w:keepLines/>
            </w:pPr>
            <w:r w:rsidRPr="006A174A">
              <w:t xml:space="preserve">Yr 5: </w:t>
            </w:r>
            <w:r w:rsidR="00B04959">
              <w:rPr>
                <w:noProof/>
                <w:color w:val="000000"/>
                <w:highlight w:val="black"/>
              </w:rPr>
              <w:t>''''''</w:t>
            </w:r>
            <w:r w:rsidRPr="006A174A">
              <w:t>%</w:t>
            </w:r>
          </w:p>
          <w:p w:rsidR="000F2DCA" w:rsidRPr="006A174A" w:rsidRDefault="000F2DCA" w:rsidP="00873E03">
            <w:pPr>
              <w:pStyle w:val="TableText0"/>
              <w:keepLines/>
            </w:pPr>
            <w:r w:rsidRPr="006A174A">
              <w:t xml:space="preserve">Yr 6: </w:t>
            </w:r>
            <w:r w:rsidR="00B04959">
              <w:rPr>
                <w:noProof/>
                <w:color w:val="000000"/>
                <w:highlight w:val="black"/>
              </w:rPr>
              <w:t>''''''</w:t>
            </w:r>
            <w:r w:rsidRPr="006A174A">
              <w:t>%</w:t>
            </w:r>
          </w:p>
        </w:tc>
        <w:tc>
          <w:tcPr>
            <w:tcW w:w="2736" w:type="pct"/>
            <w:vAlign w:val="center"/>
          </w:tcPr>
          <w:p w:rsidR="000F2DCA" w:rsidRPr="00C96594" w:rsidRDefault="000F2DCA" w:rsidP="00873E03">
            <w:pPr>
              <w:pStyle w:val="TableText0"/>
              <w:keepLines/>
            </w:pPr>
            <w:r w:rsidRPr="00C96594">
              <w:t>Calculation: Substitution in first-line minus reduction in market share as subsequent treatment (A-B)</w:t>
            </w:r>
          </w:p>
        </w:tc>
      </w:tr>
    </w:tbl>
    <w:p w:rsidR="00983118" w:rsidRPr="00C96594" w:rsidRDefault="00983118" w:rsidP="00873E03">
      <w:pPr>
        <w:pStyle w:val="TableFigureFooter"/>
        <w:keepNext/>
        <w:keepLines/>
      </w:pPr>
      <w:r w:rsidRPr="00C96594">
        <w:t>So</w:t>
      </w:r>
      <w:r w:rsidR="006A3A41">
        <w:t>urce: Table 4.1.1</w:t>
      </w:r>
      <w:r w:rsidRPr="00C96594">
        <w:t xml:space="preserve"> of the submission; Excel workbook ‘Att5_Section 4_Lorlatinib’.</w:t>
      </w:r>
    </w:p>
    <w:p w:rsidR="00983118" w:rsidRPr="00C96594" w:rsidRDefault="00983118" w:rsidP="00873E03">
      <w:pPr>
        <w:pStyle w:val="TableFigureFooter"/>
        <w:keepNext/>
        <w:keepLines/>
      </w:pPr>
      <w:r w:rsidRPr="00C96594">
        <w:t>1L = first line; ALK = Anaplastic lymphoma kinase; AIHW = Australian Institute of Health and Welfare; PBS = Pharmaceutical Benefits Scheme; MSAC = Medicare Services Advisory Committee; PBAC = Pharmaceutical Benefits Advisory Committee; DoT = duration of treatment; NSCLC = non-small cell lung cancer; Q4 = fourth quarter; PI = Product Information; PSD = Public Summary Document.</w:t>
      </w:r>
    </w:p>
    <w:p w:rsidR="00983118" w:rsidRPr="00C96594" w:rsidRDefault="00983118" w:rsidP="00873E03">
      <w:pPr>
        <w:pStyle w:val="TableFigureFooter"/>
        <w:keepNext/>
        <w:keepLines/>
        <w:spacing w:after="0"/>
      </w:pPr>
      <w:r w:rsidRPr="00C96594">
        <w:rPr>
          <w:vertAlign w:val="superscript"/>
        </w:rPr>
        <w:t>a</w:t>
      </w:r>
      <w:r w:rsidRPr="00C96594">
        <w:t xml:space="preserve"> One script of lorlatinib provides 30 days’ supply, while one script of alectinib and brigatinib provides 28 days’ supply, giving a script equivalence of 1:1.07 (30/28).</w:t>
      </w:r>
    </w:p>
    <w:p w:rsidR="00983118" w:rsidRPr="00C96594" w:rsidRDefault="00983118" w:rsidP="00873E03">
      <w:pPr>
        <w:pStyle w:val="TableFigureFooter"/>
        <w:keepNext/>
        <w:keepLines/>
      </w:pPr>
      <w:r w:rsidRPr="00C96594">
        <w:rPr>
          <w:vertAlign w:val="superscript"/>
        </w:rPr>
        <w:t>b</w:t>
      </w:r>
      <w:r w:rsidRPr="00C96594">
        <w:t xml:space="preserve"> The effective </w:t>
      </w:r>
      <w:r w:rsidR="002E6511" w:rsidRPr="00C96594">
        <w:t>dispensed price for maximum quantity (</w:t>
      </w:r>
      <w:r w:rsidRPr="00C96594">
        <w:t>DPMQ</w:t>
      </w:r>
      <w:r w:rsidR="002E6511" w:rsidRPr="00C96594">
        <w:t>)</w:t>
      </w:r>
      <w:r w:rsidRPr="00C96594">
        <w:t xml:space="preserve"> for PBS item 11980M was incorrect in the Excel workbook for Section 4 ($</w:t>
      </w:r>
      <w:r w:rsidR="00B04959">
        <w:rPr>
          <w:noProof/>
          <w:color w:val="000000"/>
          <w:highlight w:val="black"/>
        </w:rPr>
        <w:t>'''''''''''''''''''</w:t>
      </w:r>
      <w:r w:rsidRPr="00C96594">
        <w:t>). The calculated price to pharmacy did not include the wholesale mark</w:t>
      </w:r>
      <w:r w:rsidR="00E022A8" w:rsidRPr="00C96594">
        <w:t>-</w:t>
      </w:r>
      <w:r w:rsidRPr="00C96594">
        <w:t>up. The wholesale mark</w:t>
      </w:r>
      <w:r w:rsidR="00E022A8" w:rsidRPr="00C96594">
        <w:t>-</w:t>
      </w:r>
      <w:r w:rsidRPr="00C96594">
        <w:t>up calculated for this item ($46.27) was also incorrect, as it was based on the AEMP for one pack, rather than the AEMP for the maximum quantity of 4 packs ($</w:t>
      </w:r>
      <w:r w:rsidR="00B04959">
        <w:rPr>
          <w:noProof/>
          <w:color w:val="000000"/>
          <w:highlight w:val="black"/>
        </w:rPr>
        <w:t>'''''''''''''''''''</w:t>
      </w:r>
      <w:r w:rsidRPr="00C96594">
        <w:t>), for which the wholesale mark</w:t>
      </w:r>
      <w:r w:rsidR="00E022A8" w:rsidRPr="00C96594">
        <w:t>-</w:t>
      </w:r>
      <w:r w:rsidRPr="00C96594">
        <w:t>up would be $54.14. This was corrected during the evaluation</w:t>
      </w:r>
      <w:r w:rsidR="003435E4" w:rsidRPr="00C96594">
        <w:t>.</w:t>
      </w:r>
      <w:r w:rsidRPr="00C96594">
        <w:t xml:space="preserve"> </w:t>
      </w:r>
    </w:p>
    <w:p w:rsidR="00983118" w:rsidRPr="00C96594" w:rsidRDefault="00983118" w:rsidP="00983118">
      <w:pPr>
        <w:pStyle w:val="3-BodyText"/>
      </w:pPr>
      <w:r w:rsidRPr="00C96594">
        <w:t xml:space="preserve">The submission assumed </w:t>
      </w:r>
      <w:r w:rsidR="00662F61" w:rsidRPr="00C96594">
        <w:t xml:space="preserve">the </w:t>
      </w:r>
      <w:r w:rsidRPr="00C96594">
        <w:t xml:space="preserve">ALK TKI market would grow with the existing ALK TKIs and with the requested expansion of lorlatinib listing. </w:t>
      </w:r>
      <w:r w:rsidR="0073521D" w:rsidRPr="00C96594">
        <w:rPr>
          <w:iCs/>
        </w:rPr>
        <w:t>T</w:t>
      </w:r>
      <w:r w:rsidR="0073521D" w:rsidRPr="00C96594">
        <w:t xml:space="preserve">he PBAC previously considered that the market growth due to listing another ALK TKI would be minimal </w:t>
      </w:r>
      <w:r w:rsidR="0073521D" w:rsidRPr="00C96594">
        <w:rPr>
          <w:iCs/>
        </w:rPr>
        <w:t>(</w:t>
      </w:r>
      <w:r w:rsidR="0073521D" w:rsidRPr="00C96594">
        <w:t>paragraph 7.12, brigatinib, PSD, November 2019 PBAC Meeting).</w:t>
      </w:r>
    </w:p>
    <w:p w:rsidR="00F6594D" w:rsidRPr="00C96594" w:rsidRDefault="00983118" w:rsidP="00F6594D">
      <w:pPr>
        <w:pStyle w:val="3-BodyText"/>
      </w:pPr>
      <w:r w:rsidRPr="00C96594">
        <w:t>The market share of lorlatinib in the first line setting was based on expert opinion</w:t>
      </w:r>
      <w:r w:rsidR="00E022A8" w:rsidRPr="00C96594">
        <w:t>. The</w:t>
      </w:r>
      <w:r w:rsidRPr="00C96594">
        <w:t xml:space="preserve"> overall market share of lorlatinib </w:t>
      </w:r>
      <w:r w:rsidR="002F0922" w:rsidRPr="00C96594">
        <w:t>considered</w:t>
      </w:r>
      <w:r w:rsidRPr="00C96594">
        <w:t xml:space="preserve"> the increase in use of lorlatinib in the first-line setting and the reduction in lorlatinib market share in later-line settings. The submission </w:t>
      </w:r>
      <w:r w:rsidR="0073521D" w:rsidRPr="00C96594">
        <w:t xml:space="preserve">also </w:t>
      </w:r>
      <w:r w:rsidRPr="00C96594">
        <w:t xml:space="preserve">assumed that lorlatinib </w:t>
      </w:r>
      <w:r w:rsidR="00E022A8" w:rsidRPr="00C96594">
        <w:t>will</w:t>
      </w:r>
      <w:r w:rsidRPr="00C96594">
        <w:t xml:space="preserve"> substitute equally for alectinib and brigatinib.</w:t>
      </w:r>
      <w:r w:rsidR="00477A87" w:rsidRPr="00C96594">
        <w:t xml:space="preserve"> The ESC considered the market share of lorlatinib in the first line setting (</w:t>
      </w:r>
      <w:r w:rsidR="00B04959">
        <w:rPr>
          <w:noProof/>
          <w:color w:val="000000"/>
          <w:highlight w:val="black"/>
        </w:rPr>
        <w:t>'''''</w:t>
      </w:r>
      <w:r w:rsidR="00477A87" w:rsidRPr="00C96594">
        <w:t xml:space="preserve">% in Year 1 increasing to </w:t>
      </w:r>
      <w:r w:rsidR="00B04959">
        <w:rPr>
          <w:noProof/>
          <w:color w:val="000000"/>
          <w:highlight w:val="black"/>
        </w:rPr>
        <w:t>'''''</w:t>
      </w:r>
      <w:r w:rsidR="00477A87" w:rsidRPr="00C96594">
        <w:t>% in Year 6) was likely an overestimate given the safety profile of lorlatinib.</w:t>
      </w:r>
      <w:r w:rsidR="00C922D0" w:rsidRPr="00C96594">
        <w:t xml:space="preserve"> </w:t>
      </w:r>
      <w:r w:rsidR="00F6594D" w:rsidRPr="00C96594">
        <w:t xml:space="preserve">The pre-PBAC response stated the CNS penetration of lorlatinib will make it the treatment of choice in the 25 to 40% of patients with brain metastases at presentation which supported the market share assumptions. </w:t>
      </w:r>
      <w:r w:rsidR="00E835F2" w:rsidRPr="00C96594">
        <w:t xml:space="preserve">The PBAC agreed with the ESC that </w:t>
      </w:r>
      <w:r w:rsidR="00B04959">
        <w:rPr>
          <w:noProof/>
          <w:color w:val="000000"/>
          <w:highlight w:val="black"/>
        </w:rPr>
        <w:t>'''''</w:t>
      </w:r>
      <w:r w:rsidR="00E835F2" w:rsidRPr="00C96594">
        <w:t>% was likely an overestimate and 35% was a more reasonable assumption.</w:t>
      </w:r>
    </w:p>
    <w:p w:rsidR="00983118" w:rsidRPr="00C96594" w:rsidRDefault="00983118" w:rsidP="00983118">
      <w:pPr>
        <w:pStyle w:val="3-BodyText"/>
      </w:pPr>
      <w:r w:rsidRPr="00C96594">
        <w:t>The estimated use of lorlatinib and financial implications of the requested expansion of PBS listing of lorlatinib are summarised below.</w:t>
      </w:r>
    </w:p>
    <w:p w:rsidR="00983118" w:rsidRPr="00C96594" w:rsidRDefault="00983118" w:rsidP="00983118">
      <w:pPr>
        <w:pStyle w:val="TableFigureHeading"/>
      </w:pPr>
      <w:r w:rsidRPr="00C96594">
        <w:t xml:space="preserve">Table </w:t>
      </w:r>
      <w:r w:rsidR="007E358B" w:rsidRPr="00C96594">
        <w:t>11</w:t>
      </w:r>
      <w:r w:rsidRPr="00C96594">
        <w:t xml:space="preserve">: </w:t>
      </w:r>
      <w:r w:rsidRPr="00C96594">
        <w:rPr>
          <w:rStyle w:val="CommentReference"/>
          <w:b/>
          <w:szCs w:val="24"/>
        </w:rPr>
        <w:t>Estimated use and financial implications</w:t>
      </w:r>
      <w:r w:rsidRPr="00C96594">
        <w:t xml:space="preserve"> of the requested expansion of PBS listing of lorlatinib</w:t>
      </w:r>
      <w:r w:rsidR="00477A87" w:rsidRPr="00C965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983118" w:rsidRPr="00C96594" w:rsidTr="00A55F72">
        <w:trPr>
          <w:tblHeader/>
        </w:trPr>
        <w:tc>
          <w:tcPr>
            <w:tcW w:w="1116" w:type="pct"/>
            <w:shd w:val="clear" w:color="auto" w:fill="auto"/>
            <w:vAlign w:val="center"/>
          </w:tcPr>
          <w:p w:rsidR="00983118" w:rsidRPr="00C96594" w:rsidRDefault="00983118" w:rsidP="00A55F72">
            <w:pPr>
              <w:pStyle w:val="In-tableHeading"/>
              <w:jc w:val="center"/>
              <w:rPr>
                <w:lang w:val="en-AU"/>
              </w:rPr>
            </w:pPr>
          </w:p>
        </w:tc>
        <w:tc>
          <w:tcPr>
            <w:tcW w:w="647" w:type="pct"/>
            <w:shd w:val="clear" w:color="auto" w:fill="auto"/>
            <w:vAlign w:val="center"/>
          </w:tcPr>
          <w:p w:rsidR="00983118" w:rsidRPr="00C96594" w:rsidRDefault="00983118" w:rsidP="00A55F72">
            <w:pPr>
              <w:pStyle w:val="In-tableHeading"/>
              <w:jc w:val="center"/>
              <w:rPr>
                <w:lang w:val="en-AU"/>
              </w:rPr>
            </w:pPr>
            <w:r w:rsidRPr="00C96594">
              <w:rPr>
                <w:lang w:val="en-AU"/>
              </w:rPr>
              <w:t>Year 1</w:t>
            </w:r>
          </w:p>
        </w:tc>
        <w:tc>
          <w:tcPr>
            <w:tcW w:w="647" w:type="pct"/>
            <w:shd w:val="clear" w:color="auto" w:fill="auto"/>
            <w:vAlign w:val="center"/>
          </w:tcPr>
          <w:p w:rsidR="00983118" w:rsidRPr="00C96594" w:rsidRDefault="00983118" w:rsidP="00A55F72">
            <w:pPr>
              <w:pStyle w:val="In-tableHeading"/>
              <w:jc w:val="center"/>
              <w:rPr>
                <w:lang w:val="en-AU"/>
              </w:rPr>
            </w:pPr>
            <w:r w:rsidRPr="00C96594">
              <w:rPr>
                <w:lang w:val="en-AU"/>
              </w:rPr>
              <w:t>Year 2</w:t>
            </w:r>
          </w:p>
        </w:tc>
        <w:tc>
          <w:tcPr>
            <w:tcW w:w="647" w:type="pct"/>
            <w:shd w:val="clear" w:color="auto" w:fill="auto"/>
            <w:vAlign w:val="center"/>
          </w:tcPr>
          <w:p w:rsidR="00983118" w:rsidRPr="00C96594" w:rsidRDefault="00983118" w:rsidP="00A55F72">
            <w:pPr>
              <w:pStyle w:val="In-tableHeading"/>
              <w:jc w:val="center"/>
              <w:rPr>
                <w:lang w:val="en-AU"/>
              </w:rPr>
            </w:pPr>
            <w:r w:rsidRPr="00C96594">
              <w:rPr>
                <w:lang w:val="en-AU"/>
              </w:rPr>
              <w:t>Year 3</w:t>
            </w:r>
          </w:p>
        </w:tc>
        <w:tc>
          <w:tcPr>
            <w:tcW w:w="647" w:type="pct"/>
            <w:shd w:val="clear" w:color="auto" w:fill="auto"/>
            <w:vAlign w:val="center"/>
          </w:tcPr>
          <w:p w:rsidR="00983118" w:rsidRPr="00C96594" w:rsidRDefault="00983118" w:rsidP="00A55F72">
            <w:pPr>
              <w:pStyle w:val="In-tableHeading"/>
              <w:jc w:val="center"/>
              <w:rPr>
                <w:lang w:val="en-AU"/>
              </w:rPr>
            </w:pPr>
            <w:r w:rsidRPr="00C96594">
              <w:rPr>
                <w:lang w:val="en-AU"/>
              </w:rPr>
              <w:t>Year 4</w:t>
            </w:r>
          </w:p>
        </w:tc>
        <w:tc>
          <w:tcPr>
            <w:tcW w:w="647" w:type="pct"/>
            <w:shd w:val="clear" w:color="auto" w:fill="auto"/>
            <w:vAlign w:val="center"/>
          </w:tcPr>
          <w:p w:rsidR="00983118" w:rsidRPr="00C96594" w:rsidRDefault="00983118" w:rsidP="00A55F72">
            <w:pPr>
              <w:pStyle w:val="In-tableHeading"/>
              <w:jc w:val="center"/>
              <w:rPr>
                <w:lang w:val="en-AU"/>
              </w:rPr>
            </w:pPr>
            <w:r w:rsidRPr="00C96594">
              <w:rPr>
                <w:lang w:val="en-AU"/>
              </w:rPr>
              <w:t>Year 5</w:t>
            </w:r>
          </w:p>
        </w:tc>
        <w:tc>
          <w:tcPr>
            <w:tcW w:w="649" w:type="pct"/>
          </w:tcPr>
          <w:p w:rsidR="00983118" w:rsidRPr="00C96594" w:rsidRDefault="00983118" w:rsidP="00A55F72">
            <w:pPr>
              <w:pStyle w:val="In-tableHeading"/>
              <w:jc w:val="center"/>
              <w:rPr>
                <w:lang w:val="en-AU"/>
              </w:rPr>
            </w:pPr>
            <w:r w:rsidRPr="00C96594">
              <w:rPr>
                <w:lang w:val="en-AU"/>
              </w:rPr>
              <w:t>Year 6</w:t>
            </w:r>
          </w:p>
        </w:tc>
      </w:tr>
      <w:tr w:rsidR="00983118" w:rsidRPr="00C96594" w:rsidTr="00A55F72">
        <w:tc>
          <w:tcPr>
            <w:tcW w:w="5000" w:type="pct"/>
            <w:gridSpan w:val="7"/>
            <w:shd w:val="clear" w:color="auto" w:fill="auto"/>
            <w:vAlign w:val="center"/>
          </w:tcPr>
          <w:p w:rsidR="00983118" w:rsidRPr="00C96594" w:rsidRDefault="00983118" w:rsidP="00A55F72">
            <w:pPr>
              <w:pStyle w:val="In-tableHeading"/>
              <w:rPr>
                <w:bCs/>
                <w:color w:val="000000"/>
                <w:lang w:val="en-AU"/>
              </w:rPr>
            </w:pPr>
            <w:r w:rsidRPr="00C96594">
              <w:rPr>
                <w:bCs/>
                <w:color w:val="000000"/>
                <w:lang w:val="en-AU"/>
              </w:rPr>
              <w:t>Estimated extent of use of lorla</w:t>
            </w:r>
            <w:r w:rsidR="0085686D" w:rsidRPr="00C96594">
              <w:rPr>
                <w:bCs/>
                <w:color w:val="000000"/>
                <w:lang w:val="en-AU"/>
              </w:rPr>
              <w:t>t</w:t>
            </w:r>
            <w:r w:rsidRPr="00C96594">
              <w:rPr>
                <w:bCs/>
                <w:color w:val="000000"/>
                <w:lang w:val="en-AU"/>
              </w:rPr>
              <w:t>inib</w:t>
            </w:r>
          </w:p>
        </w:tc>
      </w:tr>
      <w:tr w:rsidR="00FA6AFC" w:rsidRPr="00C96594" w:rsidTr="00A55F72">
        <w:tc>
          <w:tcPr>
            <w:tcW w:w="1116" w:type="pct"/>
            <w:shd w:val="clear" w:color="auto" w:fill="auto"/>
            <w:vAlign w:val="center"/>
          </w:tcPr>
          <w:p w:rsidR="00FA6AFC" w:rsidRPr="00C96594" w:rsidRDefault="00FA6AFC" w:rsidP="00FA6AFC">
            <w:pPr>
              <w:pStyle w:val="TableText0"/>
              <w:rPr>
                <w:rFonts w:ascii="Times" w:hAnsi="Times"/>
              </w:rPr>
            </w:pPr>
            <w:r w:rsidRPr="00C96594">
              <w:t>Number of scripts dispensed</w:t>
            </w:r>
          </w:p>
        </w:tc>
        <w:tc>
          <w:tcPr>
            <w:tcW w:w="647" w:type="pct"/>
            <w:shd w:val="clear" w:color="auto" w:fill="auto"/>
            <w:vAlign w:val="center"/>
          </w:tcPr>
          <w:p w:rsidR="00FA6AFC" w:rsidRPr="00B04959" w:rsidRDefault="00B04959" w:rsidP="00FA6AFC">
            <w:pPr>
              <w:pStyle w:val="TableText0"/>
              <w:jc w:val="center"/>
              <w:rPr>
                <w:color w:val="000000"/>
                <w:vertAlign w:val="superscript"/>
              </w:rPr>
            </w:pPr>
            <w:r>
              <w:rPr>
                <w:rFonts w:cs="Arial"/>
                <w:noProof/>
                <w:color w:val="000000"/>
                <w:highlight w:val="black"/>
              </w:rPr>
              <w:t>'''''''''</w:t>
            </w:r>
            <w:r w:rsidR="003C7C84" w:rsidRPr="003C7C84">
              <w:rPr>
                <w:rFonts w:cs="Arial"/>
                <w:color w:val="000000"/>
                <w:vertAlign w:val="superscript"/>
              </w:rPr>
              <w:t>1</w:t>
            </w:r>
          </w:p>
        </w:tc>
        <w:tc>
          <w:tcPr>
            <w:tcW w:w="647" w:type="pct"/>
            <w:shd w:val="clear" w:color="auto" w:fill="auto"/>
            <w:vAlign w:val="center"/>
          </w:tcPr>
          <w:p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FA6AFC" w:rsidRPr="003C7C84">
              <w:rPr>
                <w:rFonts w:cs="Arial"/>
                <w:color w:val="000000"/>
              </w:rPr>
              <w:t xml:space="preserve"> </w:t>
            </w:r>
          </w:p>
        </w:tc>
        <w:tc>
          <w:tcPr>
            <w:tcW w:w="647" w:type="pct"/>
            <w:shd w:val="clear" w:color="auto" w:fill="auto"/>
            <w:vAlign w:val="center"/>
          </w:tcPr>
          <w:p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c>
          <w:tcPr>
            <w:tcW w:w="647" w:type="pct"/>
            <w:shd w:val="clear" w:color="auto" w:fill="auto"/>
            <w:vAlign w:val="center"/>
          </w:tcPr>
          <w:p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c>
          <w:tcPr>
            <w:tcW w:w="647" w:type="pct"/>
            <w:shd w:val="clear" w:color="auto" w:fill="auto"/>
            <w:vAlign w:val="center"/>
          </w:tcPr>
          <w:p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p>
        </w:tc>
        <w:tc>
          <w:tcPr>
            <w:tcW w:w="649" w:type="pct"/>
            <w:shd w:val="clear" w:color="auto" w:fill="auto"/>
            <w:vAlign w:val="center"/>
          </w:tcPr>
          <w:p w:rsidR="00FA6AFC" w:rsidRPr="00B04959" w:rsidRDefault="00B04959" w:rsidP="00FA6AFC">
            <w:pPr>
              <w:pStyle w:val="TableText0"/>
              <w:jc w:val="center"/>
              <w:rPr>
                <w:color w:val="000000"/>
              </w:rPr>
            </w:pPr>
            <w:r>
              <w:rPr>
                <w:rFonts w:cs="Arial"/>
                <w:noProof/>
                <w:color w:val="000000"/>
                <w:highlight w:val="black"/>
              </w:rPr>
              <w:t>'''''''''''''</w:t>
            </w:r>
            <w:r w:rsidR="003C7C84" w:rsidRPr="003C7C84">
              <w:rPr>
                <w:rFonts w:cs="Arial"/>
                <w:color w:val="000000"/>
                <w:vertAlign w:val="superscript"/>
              </w:rPr>
              <w:t>2</w:t>
            </w:r>
            <w:r w:rsidR="003C7C84" w:rsidRPr="003C7C84">
              <w:rPr>
                <w:rFonts w:cs="Arial"/>
                <w:color w:val="000000"/>
              </w:rPr>
              <w:t xml:space="preserve"> </w:t>
            </w:r>
            <w:r>
              <w:rPr>
                <w:rFonts w:cs="Arial"/>
                <w:noProof/>
                <w:color w:val="000000"/>
                <w:highlight w:val="black"/>
              </w:rPr>
              <w:t xml:space="preserve"> </w:t>
            </w:r>
          </w:p>
        </w:tc>
      </w:tr>
      <w:tr w:rsidR="00983118" w:rsidRPr="00C96594" w:rsidTr="00A55F72">
        <w:tc>
          <w:tcPr>
            <w:tcW w:w="5000" w:type="pct"/>
            <w:gridSpan w:val="7"/>
            <w:shd w:val="clear" w:color="auto" w:fill="auto"/>
            <w:vAlign w:val="center"/>
          </w:tcPr>
          <w:p w:rsidR="00983118" w:rsidRPr="00C96594" w:rsidRDefault="00983118" w:rsidP="00A55F72">
            <w:pPr>
              <w:pStyle w:val="In-tableHeading"/>
              <w:rPr>
                <w:lang w:val="en-AU"/>
              </w:rPr>
            </w:pPr>
            <w:r w:rsidRPr="00C96594">
              <w:rPr>
                <w:lang w:val="en-AU"/>
              </w:rPr>
              <w:t>Estimated financial implications of lorlatinib</w:t>
            </w:r>
            <w:r w:rsidR="00477A87" w:rsidRPr="00C96594">
              <w:rPr>
                <w:lang w:val="en-AU"/>
              </w:rPr>
              <w:t xml:space="preserve"> (effective price)</w:t>
            </w:r>
          </w:p>
        </w:tc>
      </w:tr>
      <w:tr w:rsidR="00FA6AFC" w:rsidRPr="00C96594" w:rsidTr="00A55F72">
        <w:tc>
          <w:tcPr>
            <w:tcW w:w="1116" w:type="pct"/>
            <w:shd w:val="clear" w:color="auto" w:fill="auto"/>
            <w:vAlign w:val="center"/>
          </w:tcPr>
          <w:p w:rsidR="00FA6AFC" w:rsidRPr="00C96594" w:rsidRDefault="00FA6AFC" w:rsidP="00FA6AFC">
            <w:pPr>
              <w:pStyle w:val="TableText0"/>
              <w:rPr>
                <w:sz w:val="19"/>
                <w:szCs w:val="19"/>
              </w:rPr>
            </w:pPr>
            <w:r w:rsidRPr="00C96594">
              <w:rPr>
                <w:sz w:val="19"/>
                <w:szCs w:val="19"/>
              </w:rPr>
              <w:t>Cost to PBS/RPBS less copayments</w:t>
            </w:r>
          </w:p>
        </w:tc>
        <w:tc>
          <w:tcPr>
            <w:tcW w:w="647" w:type="pct"/>
            <w:shd w:val="clear" w:color="auto" w:fill="auto"/>
            <w:vAlign w:val="center"/>
          </w:tcPr>
          <w:p w:rsidR="00FA6AFC" w:rsidRPr="00727D20"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7" w:type="pct"/>
            <w:shd w:val="clear" w:color="auto" w:fill="auto"/>
            <w:vAlign w:val="center"/>
          </w:tcPr>
          <w:p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c>
          <w:tcPr>
            <w:tcW w:w="649" w:type="pct"/>
            <w:shd w:val="clear" w:color="auto" w:fill="auto"/>
            <w:vAlign w:val="center"/>
          </w:tcPr>
          <w:p w:rsidR="00FA6AFC" w:rsidRPr="00C96594" w:rsidRDefault="00FA6AFC" w:rsidP="00FA6AFC">
            <w:pPr>
              <w:pStyle w:val="TableText0"/>
              <w:jc w:val="center"/>
            </w:pPr>
            <w:r w:rsidRPr="00C96594">
              <w:rPr>
                <w:rFonts w:cs="Arial"/>
                <w:color w:val="000000"/>
              </w:rPr>
              <w:t>$</w:t>
            </w:r>
            <w:r w:rsidR="00B04959">
              <w:rPr>
                <w:rFonts w:cs="Arial"/>
                <w:noProof/>
                <w:color w:val="000000"/>
                <w:highlight w:val="black"/>
              </w:rPr>
              <w:t>'''''''''''''''''''''''''</w:t>
            </w:r>
            <w:r w:rsidR="00727D20" w:rsidRPr="00727D20">
              <w:rPr>
                <w:rFonts w:cs="Arial"/>
                <w:color w:val="000000"/>
                <w:vertAlign w:val="superscript"/>
              </w:rPr>
              <w:t>3</w:t>
            </w:r>
          </w:p>
        </w:tc>
      </w:tr>
      <w:tr w:rsidR="00983118" w:rsidRPr="00C96594" w:rsidTr="00A55F72">
        <w:tc>
          <w:tcPr>
            <w:tcW w:w="5000" w:type="pct"/>
            <w:gridSpan w:val="7"/>
            <w:shd w:val="clear" w:color="auto" w:fill="auto"/>
            <w:vAlign w:val="center"/>
          </w:tcPr>
          <w:p w:rsidR="00983118" w:rsidRPr="00C96594" w:rsidRDefault="00983118" w:rsidP="00A55F72">
            <w:pPr>
              <w:pStyle w:val="TableText0"/>
              <w:rPr>
                <w:b/>
              </w:rPr>
            </w:pPr>
            <w:r w:rsidRPr="00C96594">
              <w:rPr>
                <w:b/>
              </w:rPr>
              <w:t>Estimated financial implications for alectinib and brigatinib</w:t>
            </w:r>
            <w:r w:rsidR="00477A87" w:rsidRPr="00C96594">
              <w:rPr>
                <w:b/>
              </w:rPr>
              <w:t xml:space="preserve"> (effective prices)</w:t>
            </w:r>
          </w:p>
        </w:tc>
      </w:tr>
      <w:tr w:rsidR="00983118" w:rsidRPr="00C96594" w:rsidTr="00A55F72">
        <w:tc>
          <w:tcPr>
            <w:tcW w:w="1116" w:type="pct"/>
            <w:shd w:val="clear" w:color="auto" w:fill="auto"/>
            <w:vAlign w:val="center"/>
          </w:tcPr>
          <w:p w:rsidR="00983118" w:rsidRPr="00C96594" w:rsidRDefault="00983118" w:rsidP="00A55F72">
            <w:pPr>
              <w:pStyle w:val="TableText0"/>
              <w:rPr>
                <w:sz w:val="19"/>
                <w:szCs w:val="19"/>
              </w:rPr>
            </w:pPr>
            <w:r w:rsidRPr="00C96594">
              <w:rPr>
                <w:sz w:val="19"/>
                <w:szCs w:val="19"/>
              </w:rPr>
              <w:t>Cost to PBS/RPBS less copayments</w:t>
            </w:r>
          </w:p>
        </w:tc>
        <w:tc>
          <w:tcPr>
            <w:tcW w:w="647"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c>
          <w:tcPr>
            <w:tcW w:w="649" w:type="pct"/>
            <w:vAlign w:val="center"/>
          </w:tcPr>
          <w:p w:rsidR="00983118" w:rsidRPr="00C96594" w:rsidRDefault="00983118" w:rsidP="00A55F72">
            <w:pPr>
              <w:pStyle w:val="TableText0"/>
              <w:jc w:val="center"/>
            </w:pPr>
            <w:r w:rsidRPr="00C96594">
              <w:t>-$</w:t>
            </w:r>
            <w:r w:rsidR="00B04959">
              <w:rPr>
                <w:noProof/>
                <w:color w:val="000000"/>
                <w:highlight w:val="black"/>
              </w:rPr>
              <w:t>'''''''''''''''''''''</w:t>
            </w:r>
            <w:r w:rsidR="00727D20" w:rsidRPr="00727D20">
              <w:rPr>
                <w:rFonts w:cs="Arial"/>
                <w:color w:val="000000"/>
                <w:vertAlign w:val="superscript"/>
              </w:rPr>
              <w:t>3</w:t>
            </w:r>
          </w:p>
        </w:tc>
      </w:tr>
      <w:tr w:rsidR="00983118" w:rsidRPr="00C96594" w:rsidTr="00A55F72">
        <w:tc>
          <w:tcPr>
            <w:tcW w:w="5000" w:type="pct"/>
            <w:gridSpan w:val="7"/>
            <w:shd w:val="clear" w:color="auto" w:fill="auto"/>
            <w:vAlign w:val="center"/>
          </w:tcPr>
          <w:p w:rsidR="00983118" w:rsidRPr="00C96594" w:rsidRDefault="00983118" w:rsidP="00A55F72">
            <w:pPr>
              <w:pStyle w:val="In-tableHeading"/>
              <w:rPr>
                <w:lang w:val="en-AU"/>
              </w:rPr>
            </w:pPr>
            <w:r w:rsidRPr="00C96594">
              <w:rPr>
                <w:lang w:val="en-AU"/>
              </w:rPr>
              <w:t>Net financial implications</w:t>
            </w:r>
            <w:r w:rsidRPr="00C96594">
              <w:rPr>
                <w:color w:val="4BACC6" w:themeColor="accent5"/>
                <w:lang w:val="en-AU"/>
              </w:rPr>
              <w:t xml:space="preserve"> </w:t>
            </w:r>
          </w:p>
        </w:tc>
      </w:tr>
      <w:tr w:rsidR="00983118" w:rsidRPr="00C96594" w:rsidTr="00A55F72">
        <w:tc>
          <w:tcPr>
            <w:tcW w:w="1116" w:type="pct"/>
            <w:shd w:val="clear" w:color="auto" w:fill="auto"/>
            <w:vAlign w:val="center"/>
          </w:tcPr>
          <w:p w:rsidR="00983118" w:rsidRPr="00C96594" w:rsidRDefault="00983118" w:rsidP="00A55F72">
            <w:pPr>
              <w:pStyle w:val="TableText0"/>
              <w:rPr>
                <w:sz w:val="19"/>
                <w:szCs w:val="19"/>
              </w:rPr>
            </w:pPr>
            <w:r w:rsidRPr="00C96594">
              <w:rPr>
                <w:sz w:val="19"/>
                <w:szCs w:val="19"/>
              </w:rPr>
              <w:t>Net cost to PBS/RPBS</w:t>
            </w:r>
          </w:p>
        </w:tc>
        <w:tc>
          <w:tcPr>
            <w:tcW w:w="647"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7"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c>
          <w:tcPr>
            <w:tcW w:w="649" w:type="pct"/>
            <w:vAlign w:val="center"/>
          </w:tcPr>
          <w:p w:rsidR="00983118" w:rsidRPr="00C96594" w:rsidRDefault="00983118" w:rsidP="00A55F72">
            <w:pPr>
              <w:pStyle w:val="TableText0"/>
              <w:jc w:val="center"/>
            </w:pPr>
            <w:r w:rsidRPr="00C96594">
              <w:rPr>
                <w:b/>
              </w:rPr>
              <w:t>-$</w:t>
            </w:r>
            <w:r w:rsidR="00B04959">
              <w:rPr>
                <w:b/>
                <w:noProof/>
                <w:color w:val="000000"/>
                <w:highlight w:val="black"/>
              </w:rPr>
              <w:t>'''''''''''''''</w:t>
            </w:r>
            <w:r w:rsidR="00727D20" w:rsidRPr="00727D20">
              <w:rPr>
                <w:rFonts w:cs="Arial"/>
                <w:color w:val="000000"/>
                <w:vertAlign w:val="superscript"/>
              </w:rPr>
              <w:t>3</w:t>
            </w:r>
          </w:p>
        </w:tc>
      </w:tr>
    </w:tbl>
    <w:p w:rsidR="00983118" w:rsidRDefault="00D50D27" w:rsidP="00983118">
      <w:pPr>
        <w:pStyle w:val="TableFigureFooter"/>
      </w:pPr>
      <w:r>
        <w:t>Source: Table 4.2.11</w:t>
      </w:r>
      <w:r w:rsidR="00983118" w:rsidRPr="00C96594">
        <w:t xml:space="preserve">; </w:t>
      </w:r>
      <w:r>
        <w:rPr>
          <w:lang w:eastAsia="en-GB"/>
        </w:rPr>
        <w:t>Table 4.3.2, Table 4.4.2</w:t>
      </w:r>
      <w:r w:rsidR="00983118" w:rsidRPr="00C96594">
        <w:rPr>
          <w:lang w:eastAsia="en-GB"/>
        </w:rPr>
        <w:t xml:space="preserve"> of the submission</w:t>
      </w:r>
      <w:r w:rsidR="00983118" w:rsidRPr="00C96594">
        <w:t xml:space="preserve"> and Excel workbook ‘Att5_Section 4_Lorlatinib’</w:t>
      </w:r>
    </w:p>
    <w:p w:rsidR="003C7C84" w:rsidRPr="00727D20" w:rsidRDefault="003C7C84" w:rsidP="00983118">
      <w:pPr>
        <w:pStyle w:val="TableFigureFooter"/>
        <w:rPr>
          <w:i/>
        </w:rPr>
      </w:pPr>
      <w:r w:rsidRPr="00727D20">
        <w:rPr>
          <w:i/>
        </w:rPr>
        <w:t>The redacted values correspond to the following ranges:</w:t>
      </w:r>
    </w:p>
    <w:p w:rsidR="003C7C84" w:rsidRPr="00727D20" w:rsidRDefault="003C7C84" w:rsidP="00983118">
      <w:pPr>
        <w:pStyle w:val="TableFigureFooter"/>
        <w:rPr>
          <w:i/>
        </w:rPr>
      </w:pPr>
      <w:r w:rsidRPr="00727D20">
        <w:rPr>
          <w:i/>
          <w:vertAlign w:val="superscript"/>
        </w:rPr>
        <w:t>1</w:t>
      </w:r>
      <w:r w:rsidRPr="00727D20">
        <w:rPr>
          <w:i/>
        </w:rPr>
        <w:t xml:space="preserve"> &lt; 500</w:t>
      </w:r>
    </w:p>
    <w:p w:rsidR="003C7C84" w:rsidRPr="00727D20" w:rsidRDefault="003C7C84" w:rsidP="00983118">
      <w:pPr>
        <w:pStyle w:val="TableFigureFooter"/>
        <w:rPr>
          <w:i/>
        </w:rPr>
      </w:pPr>
      <w:r w:rsidRPr="00727D20">
        <w:rPr>
          <w:i/>
          <w:vertAlign w:val="superscript"/>
        </w:rPr>
        <w:t>2</w:t>
      </w:r>
      <w:r w:rsidRPr="00727D20">
        <w:rPr>
          <w:i/>
        </w:rPr>
        <w:t xml:space="preserve"> 500 to &lt; 5,000</w:t>
      </w:r>
    </w:p>
    <w:p w:rsidR="003C7C84" w:rsidRPr="00727D20" w:rsidRDefault="003C7C84" w:rsidP="00983118">
      <w:pPr>
        <w:pStyle w:val="TableFigureFooter"/>
        <w:rPr>
          <w:i/>
        </w:rPr>
      </w:pPr>
      <w:r w:rsidRPr="00727D20">
        <w:rPr>
          <w:i/>
          <w:vertAlign w:val="superscript"/>
        </w:rPr>
        <w:t>3</w:t>
      </w:r>
      <w:r w:rsidRPr="00727D20">
        <w:rPr>
          <w:i/>
        </w:rPr>
        <w:t xml:space="preserve"> </w:t>
      </w:r>
      <w:r w:rsidR="00727D20" w:rsidRPr="00727D20">
        <w:rPr>
          <w:i/>
        </w:rPr>
        <w:t xml:space="preserve">$0 to &lt; $10 million </w:t>
      </w:r>
    </w:p>
    <w:p w:rsidR="00983118" w:rsidRPr="00C96594" w:rsidRDefault="00983118" w:rsidP="00983118">
      <w:pPr>
        <w:pStyle w:val="TableFigureFooter"/>
        <w:rPr>
          <w:rStyle w:val="CommentReference"/>
        </w:rPr>
      </w:pPr>
    </w:p>
    <w:p w:rsidR="00983118" w:rsidRPr="00C96594" w:rsidRDefault="00983118" w:rsidP="00983118">
      <w:pPr>
        <w:pStyle w:val="3-BodyText"/>
      </w:pPr>
      <w:r w:rsidRPr="00C96594">
        <w:t xml:space="preserve">The submission concluded that the cost impact </w:t>
      </w:r>
      <w:r w:rsidR="00E022A8" w:rsidRPr="00C96594">
        <w:t>to</w:t>
      </w:r>
      <w:r w:rsidRPr="00C96594">
        <w:t xml:space="preserve"> the PBS of the expansion </w:t>
      </w:r>
      <w:r w:rsidR="00E022A8" w:rsidRPr="00C96594">
        <w:t xml:space="preserve">of the </w:t>
      </w:r>
      <w:r w:rsidRPr="00C96594">
        <w:t xml:space="preserve">for lorlatinib </w:t>
      </w:r>
      <w:r w:rsidR="00E022A8" w:rsidRPr="00C96594">
        <w:t xml:space="preserve">listing will </w:t>
      </w:r>
      <w:r w:rsidRPr="00C96594">
        <w:t>be minimal, as it will primarily replace the use of the existing PBS-listed ALK inhibitors for first-line treatment of advanced ALK-positive NSCLC, with the substituted medicines having the same cost per day of treatment as lorlatinib.</w:t>
      </w:r>
      <w:r w:rsidR="00946269" w:rsidRPr="00C96594">
        <w:t xml:space="preserve"> The substitution of lorlatinib for alectinib and brigatinib resulted in small cost savings to the PBS/RPBS. These savings resulted from the</w:t>
      </w:r>
      <w:r w:rsidR="00E022A8" w:rsidRPr="00C96594">
        <w:t xml:space="preserve"> difference in </w:t>
      </w:r>
      <w:r w:rsidR="00946269" w:rsidRPr="00C96594">
        <w:t>dispensed cost per patient per year ($</w:t>
      </w:r>
      <w:r w:rsidR="00B04959">
        <w:rPr>
          <w:noProof/>
          <w:color w:val="000000"/>
          <w:highlight w:val="black"/>
        </w:rPr>
        <w:t>''''''''''''''</w:t>
      </w:r>
      <w:r w:rsidR="00946269" w:rsidRPr="00C96594">
        <w:t xml:space="preserve">) and the number of patient copayments per year (13.0) for lorlatinib </w:t>
      </w:r>
      <w:r w:rsidR="00E022A8" w:rsidRPr="00C96594">
        <w:t>compared to</w:t>
      </w:r>
      <w:r w:rsidR="00946269" w:rsidRPr="00C96594">
        <w:t xml:space="preserve"> alectinib and brigatinib (cost/patient/year $</w:t>
      </w:r>
      <w:r w:rsidR="00B04959">
        <w:rPr>
          <w:noProof/>
          <w:color w:val="000000"/>
          <w:highlight w:val="black"/>
        </w:rPr>
        <w:t>'''''''''''''</w:t>
      </w:r>
      <w:r w:rsidR="00946269" w:rsidRPr="00C96594">
        <w:t>, 12.2 copayments/year).</w:t>
      </w:r>
    </w:p>
    <w:p w:rsidR="00983118" w:rsidRPr="00C96594" w:rsidRDefault="00983118" w:rsidP="00983118">
      <w:pPr>
        <w:pStyle w:val="4-SubsectionHeading"/>
      </w:pPr>
      <w:bookmarkStart w:id="26" w:name="_Toc22897648"/>
      <w:bookmarkStart w:id="27" w:name="_Toc72307090"/>
      <w:r w:rsidRPr="00C96594">
        <w:t>Quality Use of Medicines</w:t>
      </w:r>
      <w:bookmarkEnd w:id="26"/>
      <w:bookmarkEnd w:id="27"/>
    </w:p>
    <w:p w:rsidR="00983118" w:rsidRPr="00C96594" w:rsidRDefault="00983118" w:rsidP="00983118">
      <w:pPr>
        <w:pStyle w:val="3-BodyText"/>
      </w:pPr>
      <w:r w:rsidRPr="00C96594">
        <w:t>The submission presented a discussion of quality use of medicine issues summarised as follows:</w:t>
      </w:r>
    </w:p>
    <w:p w:rsidR="00983118" w:rsidRPr="00C96594" w:rsidRDefault="00983118" w:rsidP="00560E94">
      <w:pPr>
        <w:pStyle w:val="ListParagraph"/>
        <w:numPr>
          <w:ilvl w:val="0"/>
          <w:numId w:val="10"/>
        </w:numPr>
        <w:ind w:left="1080"/>
      </w:pPr>
      <w:r w:rsidRPr="00C96594">
        <w:t xml:space="preserve">Provision of educational materials for lorlatinib which will include the </w:t>
      </w:r>
      <w:r w:rsidR="00DC3AE4" w:rsidRPr="00C96594">
        <w:t>Product Information</w:t>
      </w:r>
      <w:r w:rsidRPr="00C96594">
        <w:t>, consumer medicine information, patient management and therapeutic guides, and diagnostic testing information and educational programs for oncologists.</w:t>
      </w:r>
    </w:p>
    <w:p w:rsidR="00983118" w:rsidRPr="00C96594" w:rsidRDefault="00983118" w:rsidP="00560E94">
      <w:pPr>
        <w:pStyle w:val="ListParagraph"/>
        <w:numPr>
          <w:ilvl w:val="0"/>
          <w:numId w:val="10"/>
        </w:numPr>
        <w:ind w:left="1080"/>
      </w:pPr>
      <w:r w:rsidRPr="00C96594">
        <w:t>Engagement with relevant stakeholders, including the Thoracic Oncology Group Australasia, Rare Cancers Australia, and the Lung Foundation, to ensure appropriate targeting and implementation.</w:t>
      </w:r>
    </w:p>
    <w:p w:rsidR="00983118" w:rsidRPr="00C96594" w:rsidRDefault="00983118" w:rsidP="00560E94">
      <w:pPr>
        <w:pStyle w:val="ListParagraph"/>
        <w:numPr>
          <w:ilvl w:val="0"/>
          <w:numId w:val="10"/>
        </w:numPr>
        <w:ind w:left="1080"/>
      </w:pPr>
      <w:r w:rsidRPr="00C96594">
        <w:t>Provision of routine Periodic Safety Update Report and use of the Pfizer Pharmacovigilance System for the collection and notification of any adverse reaction occurring around the world.</w:t>
      </w:r>
    </w:p>
    <w:p w:rsidR="00983118" w:rsidRPr="00C96594" w:rsidRDefault="00983118" w:rsidP="00983118">
      <w:pPr>
        <w:pStyle w:val="4-SubsectionHeading"/>
      </w:pPr>
      <w:bookmarkStart w:id="28" w:name="_Toc22897649"/>
      <w:bookmarkStart w:id="29" w:name="_Toc72307091"/>
      <w:r w:rsidRPr="00C96594">
        <w:t>Financial Management – Risk Sharing Arrangements</w:t>
      </w:r>
      <w:bookmarkEnd w:id="28"/>
      <w:bookmarkEnd w:id="29"/>
    </w:p>
    <w:p w:rsidR="00576972" w:rsidRPr="00C96594" w:rsidRDefault="00983118" w:rsidP="00983118">
      <w:pPr>
        <w:pStyle w:val="ListParagraph"/>
        <w:numPr>
          <w:ilvl w:val="1"/>
          <w:numId w:val="1"/>
        </w:numPr>
        <w:rPr>
          <w:i/>
        </w:rPr>
      </w:pPr>
      <w:r w:rsidRPr="00C96594">
        <w:t xml:space="preserve">The submission stated that, the sponsor anticipates that the proposed listing will be subject to a Risk Sharing Arrangement (RSA). </w:t>
      </w:r>
      <w:r w:rsidR="007F0357" w:rsidRPr="00C96594">
        <w:t xml:space="preserve">The PBAC noted there </w:t>
      </w:r>
      <w:r w:rsidR="00740856" w:rsidRPr="00C96594">
        <w:t>is currently an RSA in place for lorlatinib</w:t>
      </w:r>
      <w:r w:rsidR="00F24E2D" w:rsidRPr="00C96594">
        <w:t>, alectinib and brigatinib</w:t>
      </w:r>
      <w:r w:rsidR="00740856" w:rsidRPr="00C96594">
        <w:rPr>
          <w:i/>
        </w:rPr>
        <w:t>.</w:t>
      </w:r>
      <w:r w:rsidR="00075596" w:rsidRPr="00C96594">
        <w:rPr>
          <w:i/>
        </w:rPr>
        <w:t xml:space="preserve"> </w:t>
      </w:r>
    </w:p>
    <w:p w:rsidR="00B964B0" w:rsidRPr="00C96594" w:rsidRDefault="00C31A06" w:rsidP="00C31A06">
      <w:pPr>
        <w:pStyle w:val="ListBullet"/>
        <w:numPr>
          <w:ilvl w:val="0"/>
          <w:numId w:val="0"/>
        </w:numPr>
        <w:ind w:left="1080" w:hanging="360"/>
        <w:rPr>
          <w:i/>
        </w:rPr>
      </w:pPr>
      <w:r w:rsidRPr="00C96594">
        <w:rPr>
          <w:i/>
        </w:rPr>
        <w:t>For more detail on PBAC’s view, see section 7 PBAC outcome.</w:t>
      </w:r>
    </w:p>
    <w:p w:rsidR="005C6CC9" w:rsidRPr="00C96594" w:rsidRDefault="005C6CC9" w:rsidP="006E30CF">
      <w:pPr>
        <w:pStyle w:val="2-SectionHeading"/>
      </w:pPr>
      <w:r w:rsidRPr="00C96594">
        <w:t>PBAC Outcome</w:t>
      </w:r>
    </w:p>
    <w:p w:rsidR="00DD37C4" w:rsidRPr="00C96594" w:rsidRDefault="00DD37C4" w:rsidP="00F66C30">
      <w:pPr>
        <w:pStyle w:val="3-BodyText"/>
      </w:pPr>
      <w:r w:rsidRPr="00C96594">
        <w:t>The PBAC deferred making a recommendation for the</w:t>
      </w:r>
      <w:r w:rsidR="00D0671D" w:rsidRPr="00C96594">
        <w:t xml:space="preserve"> </w:t>
      </w:r>
      <w:r w:rsidR="00614C08" w:rsidRPr="00C96594">
        <w:t xml:space="preserve">line-agnostic </w:t>
      </w:r>
      <w:r w:rsidRPr="00C96594">
        <w:t xml:space="preserve">listing of lorlatinib for the treatment of patients with Stage IIIB (locally advanced) or Stage IV (metastatic) </w:t>
      </w:r>
      <w:r w:rsidR="00D0671D" w:rsidRPr="00C96594">
        <w:t>non-squamous or not otherwise specified type</w:t>
      </w:r>
      <w:r w:rsidR="00D0671D" w:rsidRPr="00C96594">
        <w:rPr>
          <w:rFonts w:ascii="Arial Narrow" w:hAnsi="Arial Narrow"/>
          <w:sz w:val="20"/>
          <w:szCs w:val="20"/>
        </w:rPr>
        <w:t xml:space="preserve"> </w:t>
      </w:r>
      <w:r w:rsidRPr="00C96594">
        <w:t xml:space="preserve">non-small cell lung cancer (NSCLC) with evidence of an anaplastic lymphoma kinase (ALK) gene rearrangement in tumour material as the TGA Delegate’s Overview was not available at the time of consideration. However, the PBAC was of a mind to recommend the Authority Required </w:t>
      </w:r>
      <w:r w:rsidR="00614C08" w:rsidRPr="00C96594">
        <w:t xml:space="preserve">line-agnostic </w:t>
      </w:r>
      <w:r w:rsidRPr="00C96594">
        <w:t>listing of lorlatinib</w:t>
      </w:r>
      <w:r w:rsidR="00D0671D" w:rsidRPr="00C96594">
        <w:t xml:space="preserve"> </w:t>
      </w:r>
      <w:r w:rsidR="00F66C30" w:rsidRPr="00C96594">
        <w:t>based on, among other matters, its assessment that the cost-effectiveness of</w:t>
      </w:r>
      <w:r w:rsidR="006E30CF" w:rsidRPr="00C96594">
        <w:t xml:space="preserve"> lorlatinib</w:t>
      </w:r>
      <w:r w:rsidR="00F66C30" w:rsidRPr="00C96594">
        <w:t xml:space="preserve"> would be acceptable if it were cost-minimised against</w:t>
      </w:r>
      <w:r w:rsidR="00FC3267" w:rsidRPr="00C96594">
        <w:t xml:space="preserve"> the least costly alternative</w:t>
      </w:r>
      <w:r w:rsidR="008D6171" w:rsidRPr="00C96594">
        <w:t xml:space="preserve"> therapy</w:t>
      </w:r>
      <w:r w:rsidR="00FC3267" w:rsidRPr="00C96594">
        <w:t>.</w:t>
      </w:r>
      <w:r w:rsidR="00F66C30" w:rsidRPr="00C96594">
        <w:t xml:space="preserve"> </w:t>
      </w:r>
    </w:p>
    <w:p w:rsidR="0068214F" w:rsidRPr="00C96594" w:rsidRDefault="00BC5742" w:rsidP="00BC5742">
      <w:pPr>
        <w:pStyle w:val="3-BodyText"/>
      </w:pPr>
      <w:r w:rsidRPr="00C96594">
        <w:t xml:space="preserve">The PBAC recalled brigatinib received a positive recommendation for a line agnostic PBS listing prior to having a TGA Delegate’s Overview for the first line indication, however </w:t>
      </w:r>
      <w:r w:rsidR="0068214F" w:rsidRPr="00C96594">
        <w:t>considered that, as lorlatinib was currently available on the PBS in the second line setting and there was not an urgent clinical need to list in the first line setting, a deferral was appropriate in the absence of a TGA Delegate’s Overv</w:t>
      </w:r>
      <w:r w:rsidR="00C96594">
        <w:t>i</w:t>
      </w:r>
      <w:r w:rsidR="0068214F" w:rsidRPr="00C96594">
        <w:t>ew.</w:t>
      </w:r>
    </w:p>
    <w:p w:rsidR="00FC3267" w:rsidRPr="00C96594" w:rsidRDefault="00FC3267" w:rsidP="0068214F">
      <w:pPr>
        <w:pStyle w:val="3-BodyText"/>
      </w:pPr>
      <w:r w:rsidRPr="00C96594">
        <w:t xml:space="preserve">The PBAC considered </w:t>
      </w:r>
      <w:r w:rsidR="008D6171" w:rsidRPr="00C96594">
        <w:t xml:space="preserve">the nominated main comparator of </w:t>
      </w:r>
      <w:r w:rsidRPr="00C96594">
        <w:t xml:space="preserve">alectinib </w:t>
      </w:r>
      <w:r w:rsidR="008D6171" w:rsidRPr="00C96594">
        <w:t xml:space="preserve">was reasonable; however, noted brigatinib and ceritinib were alternative therapies. The PBAC noted no evidence </w:t>
      </w:r>
      <w:r w:rsidR="0068214F" w:rsidRPr="00C96594">
        <w:t xml:space="preserve">was provided in the submission to support the </w:t>
      </w:r>
      <w:r w:rsidR="008D6171" w:rsidRPr="00C96594">
        <w:t xml:space="preserve">superiority </w:t>
      </w:r>
      <w:r w:rsidR="0068214F" w:rsidRPr="00C96594">
        <w:t xml:space="preserve">of lorlatinib </w:t>
      </w:r>
      <w:r w:rsidR="008D6171" w:rsidRPr="00C96594">
        <w:t>against any of the other alternative therapies</w:t>
      </w:r>
      <w:r w:rsidR="000E5158" w:rsidRPr="00C96594">
        <w:t>; therefore, lorlati</w:t>
      </w:r>
      <w:r w:rsidR="0068214F" w:rsidRPr="00C96594">
        <w:t>nib could not be more costly tha</w:t>
      </w:r>
      <w:r w:rsidR="006E30CF" w:rsidRPr="00C96594">
        <w:t>n</w:t>
      </w:r>
      <w:r w:rsidR="0068214F" w:rsidRPr="00C96594">
        <w:t xml:space="preserve"> the alternative therapies. </w:t>
      </w:r>
    </w:p>
    <w:p w:rsidR="008D6171" w:rsidRPr="00C96594" w:rsidRDefault="000E5158" w:rsidP="00210C2D">
      <w:pPr>
        <w:pStyle w:val="3-BodyText"/>
      </w:pPr>
      <w:r w:rsidRPr="00C96594">
        <w:t>For the purpose of the CMA, t</w:t>
      </w:r>
      <w:r w:rsidR="008D6171" w:rsidRPr="00C96594">
        <w:t xml:space="preserve">he PBAC considered the equi-effective doses are: </w:t>
      </w:r>
      <w:r w:rsidR="007471AB" w:rsidRPr="00C96594">
        <w:t>lorlatinib 100 mg once daily</w:t>
      </w:r>
      <w:r w:rsidR="004B1A0F" w:rsidRPr="00C96594">
        <w:t xml:space="preserve">, </w:t>
      </w:r>
      <w:r w:rsidR="007471AB" w:rsidRPr="00C96594">
        <w:t>alectinib 600 mg twice daily</w:t>
      </w:r>
      <w:r w:rsidR="004B1A0F" w:rsidRPr="00C96594">
        <w:t xml:space="preserve">, brigatinib </w:t>
      </w:r>
      <w:r w:rsidR="008C5190" w:rsidRPr="00C96594">
        <w:t>180 mg once daily and cer</w:t>
      </w:r>
      <w:r w:rsidR="00C96594">
        <w:t>i</w:t>
      </w:r>
      <w:r w:rsidR="008C5190" w:rsidRPr="00C96594">
        <w:t>tinib 750 mg once daily</w:t>
      </w:r>
      <w:r w:rsidR="007471AB" w:rsidRPr="00C96594">
        <w:t>.</w:t>
      </w:r>
      <w:r w:rsidR="008C5190" w:rsidRPr="00C96594">
        <w:t xml:space="preserve"> The PBAC noted the equi-effective dose of ceritinib is consistent with previous recommendations for lorlatinib (paragraph 7.9, lorlatinib PSD, November 2019 PBAC meeting) and brigatinib (paragraph 7.11, brigatinib PSD, November 2019 PBAC meeting). </w:t>
      </w:r>
      <w:r w:rsidRPr="00C96594">
        <w:t xml:space="preserve">The PBAC </w:t>
      </w:r>
      <w:r w:rsidR="004A6BA2" w:rsidRPr="00C96594">
        <w:t>noted the CMA presented in the submission assumed the treatment durations for lorlatinib and alectinib would be the same</w:t>
      </w:r>
      <w:r w:rsidR="00F37891" w:rsidRPr="00C96594">
        <w:t xml:space="preserve">. </w:t>
      </w:r>
      <w:r w:rsidR="00210C2D" w:rsidRPr="00C96594">
        <w:t>The PBAC considered this was uncertain, however noted there was no altern</w:t>
      </w:r>
      <w:r w:rsidR="001B3998" w:rsidRPr="00C96594">
        <w:t>a</w:t>
      </w:r>
      <w:r w:rsidR="00210C2D" w:rsidRPr="00C96594">
        <w:t xml:space="preserve">tive reliable estimates of the likely treatment durations, and therefore recommended that, after adjustment for equi-effective doses, lorlatinib should be listed on the PBS at a cost per day that is no higher than the cost per day of </w:t>
      </w:r>
      <w:r w:rsidR="00F37891" w:rsidRPr="00C96594">
        <w:t>the alternative therapies.</w:t>
      </w:r>
    </w:p>
    <w:p w:rsidR="007F0357" w:rsidRPr="00C96594" w:rsidRDefault="00092B58" w:rsidP="005C6CC9">
      <w:pPr>
        <w:pStyle w:val="3-BodyText"/>
      </w:pPr>
      <w:r w:rsidRPr="00C96594">
        <w:t>The PBAC noted the submission was based on</w:t>
      </w:r>
      <w:r w:rsidR="004E2719" w:rsidRPr="00C96594">
        <w:t xml:space="preserve"> an indirect treatment comparison of lorlatinib </w:t>
      </w:r>
      <w:r w:rsidRPr="00C96594">
        <w:t>(CROWN study)</w:t>
      </w:r>
      <w:r w:rsidR="004E2719" w:rsidRPr="00C96594">
        <w:t xml:space="preserve"> and alectinib (ALEX study, n=303), using crizotinib as a common reference in the first-line setting.</w:t>
      </w:r>
      <w:r w:rsidR="00807009" w:rsidRPr="00C96594">
        <w:t xml:space="preserve"> The PBAC noted the hazard ratio </w:t>
      </w:r>
      <w:r w:rsidR="00652B19" w:rsidRPr="00C96594">
        <w:t xml:space="preserve">for the indirect comparison of </w:t>
      </w:r>
      <w:r w:rsidR="00807009" w:rsidRPr="00C96594">
        <w:t xml:space="preserve">PFS (based on independent review assessment) was 0.56 (95%CI: 0.34, 0.93) favouring lorlatinib. The PBAC noted the hazard ratio </w:t>
      </w:r>
      <w:r w:rsidR="00652B19" w:rsidRPr="00C96594">
        <w:t xml:space="preserve">for the indirect comparison of </w:t>
      </w:r>
      <w:r w:rsidR="00807009" w:rsidRPr="00C96594">
        <w:t xml:space="preserve">OS was </w:t>
      </w:r>
      <w:r w:rsidR="00E72C26" w:rsidRPr="00C96594">
        <w:t xml:space="preserve">0.95 (95%CI: 0.47, 1.90) </w:t>
      </w:r>
      <w:r w:rsidR="00807009" w:rsidRPr="00C96594">
        <w:t xml:space="preserve">favouring </w:t>
      </w:r>
      <w:r w:rsidR="00E72C26" w:rsidRPr="00C96594">
        <w:t xml:space="preserve">lorlatinib (using the December 2017 cut off for the ALEX study). </w:t>
      </w:r>
      <w:r w:rsidR="00933899" w:rsidRPr="00C96594">
        <w:t>The PBAC noted there were a number of transitivity issues across the trials</w:t>
      </w:r>
      <w:r w:rsidR="00652B19" w:rsidRPr="00C96594">
        <w:t>,</w:t>
      </w:r>
      <w:r w:rsidR="00933899" w:rsidRPr="00C96594">
        <w:t xml:space="preserve"> including different follow-up durations and different patient/ disease characteristics between the CROWN and ALEX trial populations</w:t>
      </w:r>
      <w:r w:rsidR="00B31FF7" w:rsidRPr="00C96594">
        <w:t xml:space="preserve"> </w:t>
      </w:r>
      <w:r w:rsidR="00652B19" w:rsidRPr="00C96594">
        <w:t>that may impact on interpretation of the indirect comparison</w:t>
      </w:r>
      <w:r w:rsidR="00933899" w:rsidRPr="00C96594">
        <w:t>.</w:t>
      </w:r>
      <w:r w:rsidR="007F0357" w:rsidRPr="00C96594">
        <w:t xml:space="preserve"> </w:t>
      </w:r>
      <w:r w:rsidR="00BD1E1F" w:rsidRPr="00C96594">
        <w:t>However, o</w:t>
      </w:r>
      <w:r w:rsidR="007F0357" w:rsidRPr="00C96594">
        <w:t xml:space="preserve">verall, the PBAC considered the claim that lorlatinib is non-inferior to alectinib was reasonable. </w:t>
      </w:r>
    </w:p>
    <w:p w:rsidR="005C6CC9" w:rsidRPr="00C96594" w:rsidRDefault="00AB24EE" w:rsidP="00AB24EE">
      <w:pPr>
        <w:pStyle w:val="3-BodyText"/>
      </w:pPr>
      <w:r w:rsidRPr="00C96594">
        <w:t>The PBAC</w:t>
      </w:r>
      <w:r w:rsidR="009268E7" w:rsidRPr="00C96594">
        <w:t xml:space="preserve"> noted lorlatinib has a different toxicity profile than alectinib with hyperlipidaemia and </w:t>
      </w:r>
      <w:r w:rsidR="00D42A07" w:rsidRPr="00C96594">
        <w:t xml:space="preserve">adverse </w:t>
      </w:r>
      <w:r w:rsidR="009268E7" w:rsidRPr="00C96594">
        <w:t>central nervous system effects occurring more frequently in patient</w:t>
      </w:r>
      <w:r w:rsidR="00C80B12" w:rsidRPr="00C96594">
        <w:t>s</w:t>
      </w:r>
      <w:r w:rsidR="009268E7" w:rsidRPr="00C96594">
        <w:t xml:space="preserve"> treated with lorlatinib. </w:t>
      </w:r>
      <w:r w:rsidR="00A86316" w:rsidRPr="00C96594">
        <w:t xml:space="preserve">Not withstanding the consumer comments referred to above, the PBAC </w:t>
      </w:r>
      <w:r w:rsidR="001B3998" w:rsidRPr="00C96594">
        <w:t>considered</w:t>
      </w:r>
      <w:r w:rsidR="00D42A07" w:rsidRPr="00C96594">
        <w:t xml:space="preserve"> that adverse cognitive effects and </w:t>
      </w:r>
      <w:r w:rsidR="00002780" w:rsidRPr="00C96594">
        <w:t xml:space="preserve">visual changes would be the most clinically significant. </w:t>
      </w:r>
      <w:r w:rsidR="009268E7" w:rsidRPr="00C96594">
        <w:t xml:space="preserve">However, the PBAC considered the safety profile </w:t>
      </w:r>
      <w:r w:rsidR="00C80B12" w:rsidRPr="00C96594">
        <w:t xml:space="preserve">of lorlatinib </w:t>
      </w:r>
      <w:r w:rsidR="009268E7" w:rsidRPr="00C96594">
        <w:t>was manageable with dose inter</w:t>
      </w:r>
      <w:r w:rsidR="001B3998" w:rsidRPr="00C96594">
        <w:t>r</w:t>
      </w:r>
      <w:r w:rsidR="009268E7" w:rsidRPr="00C96594">
        <w:t>uptions, dose reductions and standard medical management.</w:t>
      </w:r>
    </w:p>
    <w:p w:rsidR="008040C6" w:rsidRPr="00C96594" w:rsidRDefault="00C80B12" w:rsidP="005C6CC9">
      <w:pPr>
        <w:pStyle w:val="3-BodyText"/>
      </w:pPr>
      <w:r w:rsidRPr="00C96594">
        <w:t xml:space="preserve">The PBAC noted the line agnostic listing of lorlatinib will allow its use in the first line setting which will displace </w:t>
      </w:r>
      <w:r w:rsidR="008D512A" w:rsidRPr="00C96594">
        <w:t xml:space="preserve">the other ALK TKIs </w:t>
      </w:r>
      <w:r w:rsidRPr="00C96594">
        <w:t xml:space="preserve">to subsequent treatment lines. </w:t>
      </w:r>
      <w:r w:rsidR="009268E7" w:rsidRPr="00C96594">
        <w:t xml:space="preserve">The PBAC considered </w:t>
      </w:r>
      <w:r w:rsidRPr="00C96594">
        <w:t xml:space="preserve">the line-agnostic listing of lorlatinib on a cost minimisation basis with the least costly alternative therapy should result in no increase in net cost to the PBS. </w:t>
      </w:r>
    </w:p>
    <w:p w:rsidR="007F0357" w:rsidRPr="00C96594" w:rsidRDefault="007F0357" w:rsidP="006760AB">
      <w:pPr>
        <w:pStyle w:val="3-BodyText"/>
        <w:keepNext/>
      </w:pPr>
      <w:r w:rsidRPr="00C96594">
        <w:t>The PBAC considered it would be appropriate for expenditure associated with a line agnostic listing of lorlatinib to be included in the current RSA with no increase in expenditure caps as the listing would result in a change in treatment sequence rather than an increase in utilisation.</w:t>
      </w:r>
    </w:p>
    <w:p w:rsidR="005C6CC9" w:rsidRPr="00C96594" w:rsidRDefault="005C6CC9" w:rsidP="005C6CC9">
      <w:pPr>
        <w:spacing w:before="240"/>
        <w:rPr>
          <w:rFonts w:asciiTheme="minorHAnsi" w:hAnsiTheme="minorHAnsi"/>
          <w:b/>
          <w:bCs/>
          <w:snapToGrid w:val="0"/>
        </w:rPr>
      </w:pPr>
      <w:r w:rsidRPr="00C96594">
        <w:rPr>
          <w:rFonts w:asciiTheme="minorHAnsi" w:hAnsiTheme="minorHAnsi"/>
          <w:b/>
          <w:bCs/>
          <w:snapToGrid w:val="0"/>
        </w:rPr>
        <w:t>Outcome:</w:t>
      </w:r>
    </w:p>
    <w:p w:rsidR="005C6CC9" w:rsidRPr="00C96594" w:rsidRDefault="00DF05F7" w:rsidP="005C6CC9">
      <w:pPr>
        <w:rPr>
          <w:rFonts w:asciiTheme="minorHAnsi" w:hAnsiTheme="minorHAnsi"/>
          <w:bCs/>
          <w:snapToGrid w:val="0"/>
        </w:rPr>
      </w:pPr>
      <w:r w:rsidRPr="00C96594">
        <w:rPr>
          <w:rFonts w:asciiTheme="minorHAnsi" w:hAnsiTheme="minorHAnsi"/>
          <w:bCs/>
          <w:snapToGrid w:val="0"/>
        </w:rPr>
        <w:t>Deferred</w:t>
      </w:r>
    </w:p>
    <w:p w:rsidR="00DF05F7" w:rsidRPr="00C96594" w:rsidRDefault="00DF05F7">
      <w:pPr>
        <w:jc w:val="left"/>
        <w:rPr>
          <w:rFonts w:asciiTheme="minorHAnsi" w:hAnsiTheme="minorHAnsi"/>
          <w:snapToGrid w:val="0"/>
        </w:rPr>
      </w:pPr>
    </w:p>
    <w:p w:rsidR="003C6865" w:rsidRPr="003C6865" w:rsidRDefault="003C6865" w:rsidP="003C6865">
      <w:pPr>
        <w:pStyle w:val="2-SectionHeading"/>
      </w:pPr>
      <w:r w:rsidRPr="00C07617">
        <w:t>Context for Decision</w:t>
      </w:r>
    </w:p>
    <w:p w:rsidR="003C6865" w:rsidRPr="007129F2" w:rsidRDefault="003C6865" w:rsidP="003C686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C6865" w:rsidRPr="003C6865" w:rsidRDefault="003C6865" w:rsidP="003C6865">
      <w:pPr>
        <w:pStyle w:val="2-SectionHeading"/>
      </w:pPr>
      <w:r>
        <w:t>Sponsor’s Comment</w:t>
      </w:r>
    </w:p>
    <w:p w:rsidR="00EC127E" w:rsidRPr="00C42B75" w:rsidRDefault="00EC127E" w:rsidP="00EC127E">
      <w:pPr>
        <w:spacing w:after="120"/>
        <w:ind w:left="720"/>
        <w:rPr>
          <w:rFonts w:asciiTheme="minorHAnsi" w:hAnsiTheme="minorHAnsi"/>
          <w:lang w:val="en-GB"/>
        </w:rPr>
      </w:pPr>
      <w:r w:rsidRPr="00C42B75">
        <w:rPr>
          <w:rFonts w:asciiTheme="minorHAnsi" w:hAnsiTheme="minorHAnsi"/>
          <w:lang w:val="en-GB"/>
        </w:rPr>
        <w:t>Pfizer Australia is committed to working with the PBAC and the Department of Health to make lorlatinib available for the first-line treatment of locally advanced or metastatic ALK-positive non-small cell lung cancer at the earliest opportunity.</w:t>
      </w:r>
    </w:p>
    <w:p w:rsidR="005C6CC9" w:rsidRPr="00C96594" w:rsidRDefault="005C6CC9" w:rsidP="001A4385">
      <w:pPr>
        <w:pStyle w:val="3-BodyText"/>
        <w:numPr>
          <w:ilvl w:val="0"/>
          <w:numId w:val="0"/>
        </w:numPr>
      </w:pPr>
    </w:p>
    <w:sectPr w:rsidR="005C6CC9" w:rsidRPr="00C96594" w:rsidSect="00C31A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32A4B" w16cex:dateUtc="2021-06-15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9FA55" w16cid:durableId="24BE5D73"/>
  <w16cid:commentId w16cid:paraId="17447AC5" w16cid:durableId="24BE5DF7"/>
  <w16cid:commentId w16cid:paraId="3145D12F" w16cid:durableId="24BE5D74"/>
  <w16cid:commentId w16cid:paraId="3195607B" w16cid:durableId="24BE5E98"/>
  <w16cid:commentId w16cid:paraId="316A68EE" w16cid:durableId="24BE5D75"/>
  <w16cid:commentId w16cid:paraId="7700683B" w16cid:durableId="24BE5EA5"/>
  <w16cid:commentId w16cid:paraId="1A98528C" w16cid:durableId="24BE5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59" w:rsidRDefault="00B04959" w:rsidP="00124A51">
      <w:r>
        <w:separator/>
      </w:r>
    </w:p>
    <w:p w:rsidR="00B04959" w:rsidRDefault="00B04959"/>
  </w:endnote>
  <w:endnote w:type="continuationSeparator" w:id="0">
    <w:p w:rsidR="00B04959" w:rsidRDefault="00B04959" w:rsidP="00124A51">
      <w:r>
        <w:continuationSeparator/>
      </w:r>
    </w:p>
    <w:p w:rsidR="00B04959" w:rsidRDefault="00B0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59" w:rsidRDefault="00B04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7" w:rsidRDefault="00374717" w:rsidP="00C710CE">
    <w:pPr>
      <w:pStyle w:val="Footer"/>
      <w:jc w:val="center"/>
    </w:pPr>
  </w:p>
  <w:p w:rsidR="00374717" w:rsidRPr="00C31A06" w:rsidRDefault="00374717" w:rsidP="00C710CE">
    <w:pPr>
      <w:pStyle w:val="Footer"/>
      <w:jc w:val="center"/>
      <w:rPr>
        <w:b/>
      </w:rPr>
    </w:pPr>
    <w:r w:rsidRPr="00C31A06">
      <w:rPr>
        <w:b/>
      </w:rPr>
      <w:fldChar w:fldCharType="begin"/>
    </w:r>
    <w:r w:rsidRPr="00C31A06">
      <w:rPr>
        <w:b/>
      </w:rPr>
      <w:instrText xml:space="preserve"> PAGE   \* MERGEFORMAT </w:instrText>
    </w:r>
    <w:r w:rsidRPr="00C31A06">
      <w:rPr>
        <w:b/>
      </w:rPr>
      <w:fldChar w:fldCharType="separate"/>
    </w:r>
    <w:r w:rsidR="00B75782">
      <w:rPr>
        <w:b/>
        <w:noProof/>
      </w:rPr>
      <w:t>13</w:t>
    </w:r>
    <w:r w:rsidRPr="00C31A06">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59" w:rsidRDefault="00B0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59" w:rsidRDefault="00B04959" w:rsidP="00124A51">
      <w:r>
        <w:separator/>
      </w:r>
    </w:p>
    <w:p w:rsidR="00B04959" w:rsidRDefault="00B04959"/>
  </w:footnote>
  <w:footnote w:type="continuationSeparator" w:id="0">
    <w:p w:rsidR="00B04959" w:rsidRDefault="00B04959" w:rsidP="00124A51">
      <w:r>
        <w:continuationSeparator/>
      </w:r>
    </w:p>
    <w:p w:rsidR="00B04959" w:rsidRDefault="00B04959"/>
  </w:footnote>
  <w:footnote w:id="1">
    <w:p w:rsidR="00374717" w:rsidRDefault="00374717">
      <w:pPr>
        <w:pStyle w:val="FootnoteText"/>
      </w:pPr>
      <w:r>
        <w:rPr>
          <w:rStyle w:val="FootnoteReference"/>
        </w:rPr>
        <w:footnoteRef/>
      </w:r>
      <w:r>
        <w:t xml:space="preserve"> </w:t>
      </w:r>
      <w:r w:rsidRPr="00525B39">
        <w:rPr>
          <w:bCs/>
          <w:sz w:val="16"/>
        </w:rPr>
        <w:t>Cherny NI, Dafni U, Bogaerts J, et al: ESMO-Magnitude of Clinical Benefit Scale version 1.1. Annals of Oncology 28:2340-2366, 2017</w:t>
      </w:r>
    </w:p>
  </w:footnote>
  <w:footnote w:id="2">
    <w:p w:rsidR="00374717" w:rsidRDefault="00374717">
      <w:pPr>
        <w:pStyle w:val="FootnoteText"/>
      </w:pPr>
      <w:r>
        <w:rPr>
          <w:rStyle w:val="FootnoteReference"/>
        </w:rPr>
        <w:footnoteRef/>
      </w:r>
      <w:r>
        <w:t xml:space="preserve"> </w:t>
      </w:r>
      <w:r w:rsidRPr="00241244">
        <w:t xml:space="preserve">Bucher, H. C., et al. (1997). The results of direct and indirect treatment comparisons in meta-analysis of randomized controlled trials. </w:t>
      </w:r>
      <w:r w:rsidRPr="00241244">
        <w:rPr>
          <w:i/>
        </w:rPr>
        <w:t>Journal of clinical epidemiology</w:t>
      </w:r>
      <w:r w:rsidRPr="00241244">
        <w:t xml:space="preserve"> 50(6): 683-691.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59" w:rsidRDefault="00B04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7" w:rsidRPr="00081F33" w:rsidRDefault="00374717" w:rsidP="00C31A06">
    <w:pPr>
      <w:pStyle w:val="Header"/>
      <w:ind w:left="360"/>
      <w:rPr>
        <w:rFonts w:asciiTheme="minorHAnsi" w:hAnsiTheme="minorHAnsi"/>
        <w:i/>
      </w:rPr>
    </w:pPr>
    <w:r>
      <w:rPr>
        <w:rFonts w:asciiTheme="minorHAnsi" w:hAnsiTheme="minorHAnsi"/>
        <w:i/>
      </w:rPr>
      <w:t>Public Summary Document</w:t>
    </w:r>
    <w:r w:rsidRPr="00081F33">
      <w:rPr>
        <w:rFonts w:asciiTheme="minorHAnsi" w:hAnsiTheme="minorHAnsi"/>
        <w:i/>
      </w:rPr>
      <w:t xml:space="preserve"> – July 2021 PBAC Meeting</w:t>
    </w:r>
  </w:p>
  <w:p w:rsidR="00374717" w:rsidRPr="00081F33" w:rsidRDefault="00374717" w:rsidP="00C31A06">
    <w:pPr>
      <w:pStyle w:val="Header"/>
      <w:ind w:left="360"/>
      <w:rPr>
        <w:rFonts w:asciiTheme="minorHAnsi" w:hAnsi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59" w:rsidRDefault="00B0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5E12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D23A5"/>
    <w:multiLevelType w:val="hybridMultilevel"/>
    <w:tmpl w:val="1A70AC8C"/>
    <w:lvl w:ilvl="0" w:tplc="0C090001">
      <w:start w:val="1"/>
      <w:numFmt w:val="bullet"/>
      <w:lvlText w:val=""/>
      <w:lvlJc w:val="left"/>
      <w:pPr>
        <w:ind w:left="668" w:hanging="360"/>
      </w:pPr>
      <w:rPr>
        <w:rFonts w:ascii="Symbol" w:hAnsi="Symbol" w:hint="default"/>
      </w:rPr>
    </w:lvl>
    <w:lvl w:ilvl="1" w:tplc="0C090003">
      <w:start w:val="1"/>
      <w:numFmt w:val="bullet"/>
      <w:lvlText w:val="o"/>
      <w:lvlJc w:val="left"/>
      <w:pPr>
        <w:ind w:left="1388" w:hanging="360"/>
      </w:pPr>
      <w:rPr>
        <w:rFonts w:ascii="Courier New" w:hAnsi="Courier New" w:cs="Courier New" w:hint="default"/>
      </w:rPr>
    </w:lvl>
    <w:lvl w:ilvl="2" w:tplc="0C090005" w:tentative="1">
      <w:start w:val="1"/>
      <w:numFmt w:val="bullet"/>
      <w:lvlText w:val=""/>
      <w:lvlJc w:val="left"/>
      <w:pPr>
        <w:ind w:left="2108" w:hanging="360"/>
      </w:pPr>
      <w:rPr>
        <w:rFonts w:ascii="Wingdings" w:hAnsi="Wingdings" w:hint="default"/>
      </w:rPr>
    </w:lvl>
    <w:lvl w:ilvl="3" w:tplc="0C090001" w:tentative="1">
      <w:start w:val="1"/>
      <w:numFmt w:val="bullet"/>
      <w:lvlText w:val=""/>
      <w:lvlJc w:val="left"/>
      <w:pPr>
        <w:ind w:left="2828" w:hanging="360"/>
      </w:pPr>
      <w:rPr>
        <w:rFonts w:ascii="Symbol" w:hAnsi="Symbol" w:hint="default"/>
      </w:rPr>
    </w:lvl>
    <w:lvl w:ilvl="4" w:tplc="0C090003" w:tentative="1">
      <w:start w:val="1"/>
      <w:numFmt w:val="bullet"/>
      <w:lvlText w:val="o"/>
      <w:lvlJc w:val="left"/>
      <w:pPr>
        <w:ind w:left="3548" w:hanging="360"/>
      </w:pPr>
      <w:rPr>
        <w:rFonts w:ascii="Courier New" w:hAnsi="Courier New" w:cs="Courier New" w:hint="default"/>
      </w:rPr>
    </w:lvl>
    <w:lvl w:ilvl="5" w:tplc="0C090005" w:tentative="1">
      <w:start w:val="1"/>
      <w:numFmt w:val="bullet"/>
      <w:lvlText w:val=""/>
      <w:lvlJc w:val="left"/>
      <w:pPr>
        <w:ind w:left="4268" w:hanging="360"/>
      </w:pPr>
      <w:rPr>
        <w:rFonts w:ascii="Wingdings" w:hAnsi="Wingdings" w:hint="default"/>
      </w:rPr>
    </w:lvl>
    <w:lvl w:ilvl="6" w:tplc="0C090001" w:tentative="1">
      <w:start w:val="1"/>
      <w:numFmt w:val="bullet"/>
      <w:lvlText w:val=""/>
      <w:lvlJc w:val="left"/>
      <w:pPr>
        <w:ind w:left="4988" w:hanging="360"/>
      </w:pPr>
      <w:rPr>
        <w:rFonts w:ascii="Symbol" w:hAnsi="Symbol" w:hint="default"/>
      </w:rPr>
    </w:lvl>
    <w:lvl w:ilvl="7" w:tplc="0C090003" w:tentative="1">
      <w:start w:val="1"/>
      <w:numFmt w:val="bullet"/>
      <w:lvlText w:val="o"/>
      <w:lvlJc w:val="left"/>
      <w:pPr>
        <w:ind w:left="5708" w:hanging="360"/>
      </w:pPr>
      <w:rPr>
        <w:rFonts w:ascii="Courier New" w:hAnsi="Courier New" w:cs="Courier New" w:hint="default"/>
      </w:rPr>
    </w:lvl>
    <w:lvl w:ilvl="8" w:tplc="0C090005" w:tentative="1">
      <w:start w:val="1"/>
      <w:numFmt w:val="bullet"/>
      <w:lvlText w:val=""/>
      <w:lvlJc w:val="left"/>
      <w:pPr>
        <w:ind w:left="6428" w:hanging="360"/>
      </w:pPr>
      <w:rPr>
        <w:rFonts w:ascii="Wingdings" w:hAnsi="Wingdings" w:hint="default"/>
      </w:rPr>
    </w:lvl>
  </w:abstractNum>
  <w:abstractNum w:abstractNumId="2"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563C21"/>
    <w:multiLevelType w:val="hybridMultilevel"/>
    <w:tmpl w:val="0E3A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F6FA9BCC"/>
    <w:lvl w:ilvl="0" w:tplc="04090001">
      <w:start w:val="1"/>
      <w:numFmt w:val="bullet"/>
      <w:pStyle w:val="ListParagraph"/>
      <w:lvlText w:val=""/>
      <w:lvlJc w:val="left"/>
      <w:pPr>
        <w:ind w:left="720" w:hanging="360"/>
      </w:pPr>
      <w:rPr>
        <w:rFonts w:ascii="Symbol" w:hAnsi="Symbol" w:hint="default"/>
      </w:rPr>
    </w:lvl>
    <w:lvl w:ilvl="1" w:tplc="4F2498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C424C"/>
    <w:multiLevelType w:val="hybridMultilevel"/>
    <w:tmpl w:val="9E046B7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B6C0AF0"/>
    <w:multiLevelType w:val="hybridMultilevel"/>
    <w:tmpl w:val="81CA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84D033C"/>
    <w:multiLevelType w:val="multilevel"/>
    <w:tmpl w:val="A176A73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10"/>
  </w:num>
  <w:num w:numId="6">
    <w:abstractNumId w:val="11"/>
  </w:num>
  <w:num w:numId="7">
    <w:abstractNumId w:val="6"/>
  </w:num>
  <w:num w:numId="8">
    <w:abstractNumId w:val="2"/>
  </w:num>
  <w:num w:numId="9">
    <w:abstractNumId w:val="8"/>
    <w:lvlOverride w:ilvl="0">
      <w:startOverride w:val="1"/>
    </w:lvlOverride>
  </w:num>
  <w:num w:numId="10">
    <w:abstractNumId w:val="3"/>
  </w:num>
  <w:num w:numId="11">
    <w:abstractNumId w:val="1"/>
  </w:num>
  <w:num w:numId="12">
    <w:abstractNumId w:val="7"/>
  </w:num>
  <w:num w:numId="13">
    <w:abstractNumId w:val="9"/>
  </w:num>
  <w:num w:numId="14">
    <w:abstractNumId w:val="10"/>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a0wwvzofsatpe5557pd5vd59s9sf9wpeax&quot;&gt;Lorlatinib&lt;record-ids&gt;&lt;item&gt;1&lt;/item&gt;&lt;item&gt;3&lt;/item&gt;&lt;item&gt;7&lt;/item&gt;&lt;/record-ids&gt;&lt;/item&gt;&lt;/Libraries&gt;"/>
  </w:docVars>
  <w:rsids>
    <w:rsidRoot w:val="00E65E79"/>
    <w:rsid w:val="00000790"/>
    <w:rsid w:val="00000CAF"/>
    <w:rsid w:val="00000F00"/>
    <w:rsid w:val="0000110B"/>
    <w:rsid w:val="00001B51"/>
    <w:rsid w:val="00002780"/>
    <w:rsid w:val="00003499"/>
    <w:rsid w:val="000039B7"/>
    <w:rsid w:val="00005160"/>
    <w:rsid w:val="00005DC8"/>
    <w:rsid w:val="0000639A"/>
    <w:rsid w:val="000100C7"/>
    <w:rsid w:val="000102C1"/>
    <w:rsid w:val="0001094B"/>
    <w:rsid w:val="00011AC9"/>
    <w:rsid w:val="000122D7"/>
    <w:rsid w:val="00012868"/>
    <w:rsid w:val="00012AB5"/>
    <w:rsid w:val="00013247"/>
    <w:rsid w:val="000136A9"/>
    <w:rsid w:val="00013FC1"/>
    <w:rsid w:val="00014C96"/>
    <w:rsid w:val="00015886"/>
    <w:rsid w:val="00015DBE"/>
    <w:rsid w:val="000162EF"/>
    <w:rsid w:val="00016687"/>
    <w:rsid w:val="00016B30"/>
    <w:rsid w:val="000176D9"/>
    <w:rsid w:val="000207C9"/>
    <w:rsid w:val="0002225F"/>
    <w:rsid w:val="00022B08"/>
    <w:rsid w:val="00022FCD"/>
    <w:rsid w:val="0002354D"/>
    <w:rsid w:val="00023578"/>
    <w:rsid w:val="00023763"/>
    <w:rsid w:val="00024326"/>
    <w:rsid w:val="00024B41"/>
    <w:rsid w:val="00024CEC"/>
    <w:rsid w:val="000274B8"/>
    <w:rsid w:val="000279BD"/>
    <w:rsid w:val="000310DD"/>
    <w:rsid w:val="00033863"/>
    <w:rsid w:val="00034BDE"/>
    <w:rsid w:val="00035DC0"/>
    <w:rsid w:val="00035E93"/>
    <w:rsid w:val="00036829"/>
    <w:rsid w:val="00040895"/>
    <w:rsid w:val="00040E18"/>
    <w:rsid w:val="000411AB"/>
    <w:rsid w:val="000423E4"/>
    <w:rsid w:val="000435EE"/>
    <w:rsid w:val="00043C37"/>
    <w:rsid w:val="00045017"/>
    <w:rsid w:val="00045244"/>
    <w:rsid w:val="00045A2B"/>
    <w:rsid w:val="00045FA7"/>
    <w:rsid w:val="0004698F"/>
    <w:rsid w:val="00047AF1"/>
    <w:rsid w:val="000538C0"/>
    <w:rsid w:val="000539D0"/>
    <w:rsid w:val="00054621"/>
    <w:rsid w:val="00054655"/>
    <w:rsid w:val="000546D7"/>
    <w:rsid w:val="00055E0F"/>
    <w:rsid w:val="000568D2"/>
    <w:rsid w:val="00056ECF"/>
    <w:rsid w:val="00057C35"/>
    <w:rsid w:val="000604DF"/>
    <w:rsid w:val="00061DF6"/>
    <w:rsid w:val="00062830"/>
    <w:rsid w:val="000653B5"/>
    <w:rsid w:val="00066360"/>
    <w:rsid w:val="00066AF8"/>
    <w:rsid w:val="0006790C"/>
    <w:rsid w:val="00070879"/>
    <w:rsid w:val="00070D30"/>
    <w:rsid w:val="00071248"/>
    <w:rsid w:val="000720B9"/>
    <w:rsid w:val="000737F7"/>
    <w:rsid w:val="00075596"/>
    <w:rsid w:val="000760E9"/>
    <w:rsid w:val="0007672F"/>
    <w:rsid w:val="00076B54"/>
    <w:rsid w:val="000774F0"/>
    <w:rsid w:val="00080909"/>
    <w:rsid w:val="000812CA"/>
    <w:rsid w:val="00081E63"/>
    <w:rsid w:val="00081F33"/>
    <w:rsid w:val="0008258D"/>
    <w:rsid w:val="00083E99"/>
    <w:rsid w:val="00084FA8"/>
    <w:rsid w:val="000856C5"/>
    <w:rsid w:val="0008575E"/>
    <w:rsid w:val="00085C31"/>
    <w:rsid w:val="00086773"/>
    <w:rsid w:val="000902D9"/>
    <w:rsid w:val="00090C7E"/>
    <w:rsid w:val="0009182C"/>
    <w:rsid w:val="00092600"/>
    <w:rsid w:val="0009262B"/>
    <w:rsid w:val="00092B58"/>
    <w:rsid w:val="00093310"/>
    <w:rsid w:val="0009445C"/>
    <w:rsid w:val="00095200"/>
    <w:rsid w:val="0009559F"/>
    <w:rsid w:val="00095FE5"/>
    <w:rsid w:val="00096284"/>
    <w:rsid w:val="000A0177"/>
    <w:rsid w:val="000A0D60"/>
    <w:rsid w:val="000A1BC0"/>
    <w:rsid w:val="000A3A37"/>
    <w:rsid w:val="000A56F1"/>
    <w:rsid w:val="000A6039"/>
    <w:rsid w:val="000A7396"/>
    <w:rsid w:val="000A7453"/>
    <w:rsid w:val="000A7D08"/>
    <w:rsid w:val="000B0121"/>
    <w:rsid w:val="000B0670"/>
    <w:rsid w:val="000B0E75"/>
    <w:rsid w:val="000B100D"/>
    <w:rsid w:val="000B2DCB"/>
    <w:rsid w:val="000B2E9C"/>
    <w:rsid w:val="000B36CB"/>
    <w:rsid w:val="000B5B7A"/>
    <w:rsid w:val="000B5CE0"/>
    <w:rsid w:val="000B6417"/>
    <w:rsid w:val="000B6CAC"/>
    <w:rsid w:val="000B7612"/>
    <w:rsid w:val="000B78AE"/>
    <w:rsid w:val="000C0621"/>
    <w:rsid w:val="000C1CDC"/>
    <w:rsid w:val="000C2156"/>
    <w:rsid w:val="000C3DF9"/>
    <w:rsid w:val="000C6713"/>
    <w:rsid w:val="000C7F51"/>
    <w:rsid w:val="000D074A"/>
    <w:rsid w:val="000D12B3"/>
    <w:rsid w:val="000D1BFC"/>
    <w:rsid w:val="000D1D5D"/>
    <w:rsid w:val="000D281A"/>
    <w:rsid w:val="000D2848"/>
    <w:rsid w:val="000D28C8"/>
    <w:rsid w:val="000D326A"/>
    <w:rsid w:val="000D51FB"/>
    <w:rsid w:val="000D7BE2"/>
    <w:rsid w:val="000E0640"/>
    <w:rsid w:val="000E0FED"/>
    <w:rsid w:val="000E135D"/>
    <w:rsid w:val="000E3F7D"/>
    <w:rsid w:val="000E4C45"/>
    <w:rsid w:val="000E4C70"/>
    <w:rsid w:val="000E5158"/>
    <w:rsid w:val="000E7F01"/>
    <w:rsid w:val="000F00BA"/>
    <w:rsid w:val="000F1168"/>
    <w:rsid w:val="000F2DCA"/>
    <w:rsid w:val="000F316A"/>
    <w:rsid w:val="000F3C74"/>
    <w:rsid w:val="000F4BB8"/>
    <w:rsid w:val="000F4FA9"/>
    <w:rsid w:val="000F535F"/>
    <w:rsid w:val="000F53FB"/>
    <w:rsid w:val="000F7127"/>
    <w:rsid w:val="000F7B54"/>
    <w:rsid w:val="0010013B"/>
    <w:rsid w:val="00100F8A"/>
    <w:rsid w:val="0010452E"/>
    <w:rsid w:val="00104A61"/>
    <w:rsid w:val="00105AE2"/>
    <w:rsid w:val="00105C78"/>
    <w:rsid w:val="001060C6"/>
    <w:rsid w:val="001065A8"/>
    <w:rsid w:val="00106B80"/>
    <w:rsid w:val="0011032E"/>
    <w:rsid w:val="001124A1"/>
    <w:rsid w:val="00112DE2"/>
    <w:rsid w:val="00112FD4"/>
    <w:rsid w:val="0011348B"/>
    <w:rsid w:val="00115982"/>
    <w:rsid w:val="00116C53"/>
    <w:rsid w:val="00120E06"/>
    <w:rsid w:val="00121799"/>
    <w:rsid w:val="001222FC"/>
    <w:rsid w:val="00123902"/>
    <w:rsid w:val="00124A51"/>
    <w:rsid w:val="00125A02"/>
    <w:rsid w:val="00125CD6"/>
    <w:rsid w:val="00126621"/>
    <w:rsid w:val="00126A50"/>
    <w:rsid w:val="00126B1D"/>
    <w:rsid w:val="001276F8"/>
    <w:rsid w:val="00127A3D"/>
    <w:rsid w:val="001301E9"/>
    <w:rsid w:val="00130EC5"/>
    <w:rsid w:val="00131D82"/>
    <w:rsid w:val="00132B22"/>
    <w:rsid w:val="00132CE8"/>
    <w:rsid w:val="00133D36"/>
    <w:rsid w:val="00134A33"/>
    <w:rsid w:val="00137645"/>
    <w:rsid w:val="0014015A"/>
    <w:rsid w:val="00140E99"/>
    <w:rsid w:val="00141FF9"/>
    <w:rsid w:val="00142534"/>
    <w:rsid w:val="001425DB"/>
    <w:rsid w:val="00143F67"/>
    <w:rsid w:val="001444F0"/>
    <w:rsid w:val="00145540"/>
    <w:rsid w:val="001456B0"/>
    <w:rsid w:val="00145EDF"/>
    <w:rsid w:val="001475A3"/>
    <w:rsid w:val="00150BE9"/>
    <w:rsid w:val="0015168E"/>
    <w:rsid w:val="00151FB4"/>
    <w:rsid w:val="00152D41"/>
    <w:rsid w:val="00156F8F"/>
    <w:rsid w:val="00157130"/>
    <w:rsid w:val="001576B1"/>
    <w:rsid w:val="0016003D"/>
    <w:rsid w:val="00160253"/>
    <w:rsid w:val="00160441"/>
    <w:rsid w:val="0016047B"/>
    <w:rsid w:val="0016078E"/>
    <w:rsid w:val="00160A4C"/>
    <w:rsid w:val="0016183B"/>
    <w:rsid w:val="00162913"/>
    <w:rsid w:val="00163EFF"/>
    <w:rsid w:val="00163F66"/>
    <w:rsid w:val="0016477D"/>
    <w:rsid w:val="001661FB"/>
    <w:rsid w:val="00166492"/>
    <w:rsid w:val="001671A0"/>
    <w:rsid w:val="0016767F"/>
    <w:rsid w:val="0017070C"/>
    <w:rsid w:val="001709E6"/>
    <w:rsid w:val="00171DEF"/>
    <w:rsid w:val="00173565"/>
    <w:rsid w:val="00173B07"/>
    <w:rsid w:val="001751FA"/>
    <w:rsid w:val="00176116"/>
    <w:rsid w:val="001763F3"/>
    <w:rsid w:val="001778A6"/>
    <w:rsid w:val="001801E1"/>
    <w:rsid w:val="00181487"/>
    <w:rsid w:val="00181D9C"/>
    <w:rsid w:val="00183072"/>
    <w:rsid w:val="00183353"/>
    <w:rsid w:val="00184B0E"/>
    <w:rsid w:val="0018543C"/>
    <w:rsid w:val="00185DD9"/>
    <w:rsid w:val="0018651A"/>
    <w:rsid w:val="001866BB"/>
    <w:rsid w:val="0018752F"/>
    <w:rsid w:val="0018761E"/>
    <w:rsid w:val="00187E92"/>
    <w:rsid w:val="00187EA8"/>
    <w:rsid w:val="00190853"/>
    <w:rsid w:val="00191CE0"/>
    <w:rsid w:val="00191DBE"/>
    <w:rsid w:val="00193838"/>
    <w:rsid w:val="00194363"/>
    <w:rsid w:val="001943E8"/>
    <w:rsid w:val="001947E8"/>
    <w:rsid w:val="00194AD8"/>
    <w:rsid w:val="00195222"/>
    <w:rsid w:val="00195278"/>
    <w:rsid w:val="00196916"/>
    <w:rsid w:val="001975D8"/>
    <w:rsid w:val="001A063B"/>
    <w:rsid w:val="001A06D5"/>
    <w:rsid w:val="001A093C"/>
    <w:rsid w:val="001A0F55"/>
    <w:rsid w:val="001A1179"/>
    <w:rsid w:val="001A12E0"/>
    <w:rsid w:val="001A178E"/>
    <w:rsid w:val="001A35C3"/>
    <w:rsid w:val="001A4385"/>
    <w:rsid w:val="001A43FA"/>
    <w:rsid w:val="001A47C5"/>
    <w:rsid w:val="001A59FB"/>
    <w:rsid w:val="001A5E9E"/>
    <w:rsid w:val="001A6354"/>
    <w:rsid w:val="001A6366"/>
    <w:rsid w:val="001A7AE8"/>
    <w:rsid w:val="001B1172"/>
    <w:rsid w:val="001B204E"/>
    <w:rsid w:val="001B2372"/>
    <w:rsid w:val="001B3443"/>
    <w:rsid w:val="001B3998"/>
    <w:rsid w:val="001B3BE1"/>
    <w:rsid w:val="001B49CC"/>
    <w:rsid w:val="001B4D20"/>
    <w:rsid w:val="001C13F1"/>
    <w:rsid w:val="001C2493"/>
    <w:rsid w:val="001C2A9B"/>
    <w:rsid w:val="001C3B95"/>
    <w:rsid w:val="001C4299"/>
    <w:rsid w:val="001C4874"/>
    <w:rsid w:val="001C4995"/>
    <w:rsid w:val="001C539B"/>
    <w:rsid w:val="001C5BBA"/>
    <w:rsid w:val="001C5F94"/>
    <w:rsid w:val="001C6E66"/>
    <w:rsid w:val="001C73AB"/>
    <w:rsid w:val="001D08D7"/>
    <w:rsid w:val="001D0E1D"/>
    <w:rsid w:val="001D1100"/>
    <w:rsid w:val="001D1391"/>
    <w:rsid w:val="001D1874"/>
    <w:rsid w:val="001D25D7"/>
    <w:rsid w:val="001D3161"/>
    <w:rsid w:val="001D3524"/>
    <w:rsid w:val="001D50B2"/>
    <w:rsid w:val="001D56AC"/>
    <w:rsid w:val="001D60B8"/>
    <w:rsid w:val="001D7645"/>
    <w:rsid w:val="001D7C2F"/>
    <w:rsid w:val="001E1E86"/>
    <w:rsid w:val="001E238E"/>
    <w:rsid w:val="001E2483"/>
    <w:rsid w:val="001E2B1E"/>
    <w:rsid w:val="001E2CFF"/>
    <w:rsid w:val="001E2F24"/>
    <w:rsid w:val="001E30D4"/>
    <w:rsid w:val="001E34DF"/>
    <w:rsid w:val="001E52EB"/>
    <w:rsid w:val="001E61D2"/>
    <w:rsid w:val="001E740C"/>
    <w:rsid w:val="001F0C7D"/>
    <w:rsid w:val="001F1235"/>
    <w:rsid w:val="001F1CB3"/>
    <w:rsid w:val="001F2632"/>
    <w:rsid w:val="001F2950"/>
    <w:rsid w:val="001F3669"/>
    <w:rsid w:val="001F38B5"/>
    <w:rsid w:val="001F4081"/>
    <w:rsid w:val="001F4CD4"/>
    <w:rsid w:val="001F4F4D"/>
    <w:rsid w:val="001F7361"/>
    <w:rsid w:val="00200982"/>
    <w:rsid w:val="002011B0"/>
    <w:rsid w:val="00201DEA"/>
    <w:rsid w:val="00202015"/>
    <w:rsid w:val="002027C7"/>
    <w:rsid w:val="00203181"/>
    <w:rsid w:val="00203783"/>
    <w:rsid w:val="0020385F"/>
    <w:rsid w:val="0020396E"/>
    <w:rsid w:val="00204E7C"/>
    <w:rsid w:val="002058E2"/>
    <w:rsid w:val="0020642A"/>
    <w:rsid w:val="002068A0"/>
    <w:rsid w:val="00207021"/>
    <w:rsid w:val="0020732F"/>
    <w:rsid w:val="00207D00"/>
    <w:rsid w:val="002105C1"/>
    <w:rsid w:val="00210C2D"/>
    <w:rsid w:val="0021131D"/>
    <w:rsid w:val="002114EC"/>
    <w:rsid w:val="00211DEA"/>
    <w:rsid w:val="00212146"/>
    <w:rsid w:val="00212A3E"/>
    <w:rsid w:val="00213A38"/>
    <w:rsid w:val="00213EF5"/>
    <w:rsid w:val="002143CD"/>
    <w:rsid w:val="00214B3D"/>
    <w:rsid w:val="00215159"/>
    <w:rsid w:val="00215A60"/>
    <w:rsid w:val="00216123"/>
    <w:rsid w:val="002165DD"/>
    <w:rsid w:val="00216A92"/>
    <w:rsid w:val="00216BF5"/>
    <w:rsid w:val="0022036A"/>
    <w:rsid w:val="00220FB0"/>
    <w:rsid w:val="00223B49"/>
    <w:rsid w:val="00223D5A"/>
    <w:rsid w:val="00224188"/>
    <w:rsid w:val="002244B7"/>
    <w:rsid w:val="00224DD4"/>
    <w:rsid w:val="002255B8"/>
    <w:rsid w:val="00225A5F"/>
    <w:rsid w:val="002278A0"/>
    <w:rsid w:val="002309CC"/>
    <w:rsid w:val="002319C7"/>
    <w:rsid w:val="0023209F"/>
    <w:rsid w:val="00233C01"/>
    <w:rsid w:val="002340EE"/>
    <w:rsid w:val="0023413C"/>
    <w:rsid w:val="002346F0"/>
    <w:rsid w:val="00235351"/>
    <w:rsid w:val="0023588E"/>
    <w:rsid w:val="0023629D"/>
    <w:rsid w:val="00237255"/>
    <w:rsid w:val="00240AF0"/>
    <w:rsid w:val="00241244"/>
    <w:rsid w:val="00241DD0"/>
    <w:rsid w:val="002424AF"/>
    <w:rsid w:val="002429BA"/>
    <w:rsid w:val="00242E74"/>
    <w:rsid w:val="002439DC"/>
    <w:rsid w:val="002441D2"/>
    <w:rsid w:val="00244DC8"/>
    <w:rsid w:val="00244FBD"/>
    <w:rsid w:val="002458BA"/>
    <w:rsid w:val="00245CE9"/>
    <w:rsid w:val="0024636C"/>
    <w:rsid w:val="00246D36"/>
    <w:rsid w:val="00246D73"/>
    <w:rsid w:val="00246D84"/>
    <w:rsid w:val="0024750C"/>
    <w:rsid w:val="00247925"/>
    <w:rsid w:val="00251006"/>
    <w:rsid w:val="002524D5"/>
    <w:rsid w:val="0025389F"/>
    <w:rsid w:val="00253B1D"/>
    <w:rsid w:val="00254DCF"/>
    <w:rsid w:val="0025534B"/>
    <w:rsid w:val="00255A26"/>
    <w:rsid w:val="00255BB7"/>
    <w:rsid w:val="0025720B"/>
    <w:rsid w:val="00257512"/>
    <w:rsid w:val="00257541"/>
    <w:rsid w:val="00257A39"/>
    <w:rsid w:val="00257AC4"/>
    <w:rsid w:val="00260C8B"/>
    <w:rsid w:val="00260D19"/>
    <w:rsid w:val="00261EEF"/>
    <w:rsid w:val="00262A1A"/>
    <w:rsid w:val="00262A81"/>
    <w:rsid w:val="00262A87"/>
    <w:rsid w:val="002634A8"/>
    <w:rsid w:val="00263988"/>
    <w:rsid w:val="00264002"/>
    <w:rsid w:val="00264404"/>
    <w:rsid w:val="00264D26"/>
    <w:rsid w:val="002655AE"/>
    <w:rsid w:val="00266DBC"/>
    <w:rsid w:val="00267642"/>
    <w:rsid w:val="00267AEA"/>
    <w:rsid w:val="002700E6"/>
    <w:rsid w:val="00270DD8"/>
    <w:rsid w:val="00271EA5"/>
    <w:rsid w:val="0027294B"/>
    <w:rsid w:val="00273EB4"/>
    <w:rsid w:val="00274682"/>
    <w:rsid w:val="00275A01"/>
    <w:rsid w:val="00275C5A"/>
    <w:rsid w:val="00280CB5"/>
    <w:rsid w:val="00281014"/>
    <w:rsid w:val="00281A6E"/>
    <w:rsid w:val="0028228D"/>
    <w:rsid w:val="00284D64"/>
    <w:rsid w:val="0028665D"/>
    <w:rsid w:val="0028733D"/>
    <w:rsid w:val="00293A73"/>
    <w:rsid w:val="002A14AB"/>
    <w:rsid w:val="002A1B3F"/>
    <w:rsid w:val="002A2ADE"/>
    <w:rsid w:val="002A2F50"/>
    <w:rsid w:val="002A4C7C"/>
    <w:rsid w:val="002A6D44"/>
    <w:rsid w:val="002B05A1"/>
    <w:rsid w:val="002B09A4"/>
    <w:rsid w:val="002B0BAC"/>
    <w:rsid w:val="002B113F"/>
    <w:rsid w:val="002B169A"/>
    <w:rsid w:val="002B1C1F"/>
    <w:rsid w:val="002B3330"/>
    <w:rsid w:val="002B40ED"/>
    <w:rsid w:val="002B432F"/>
    <w:rsid w:val="002B62B3"/>
    <w:rsid w:val="002B6754"/>
    <w:rsid w:val="002B6C77"/>
    <w:rsid w:val="002B6CCE"/>
    <w:rsid w:val="002B7A84"/>
    <w:rsid w:val="002C07EB"/>
    <w:rsid w:val="002C23D6"/>
    <w:rsid w:val="002C2510"/>
    <w:rsid w:val="002C2775"/>
    <w:rsid w:val="002C27C1"/>
    <w:rsid w:val="002C2835"/>
    <w:rsid w:val="002C4249"/>
    <w:rsid w:val="002C43BB"/>
    <w:rsid w:val="002C5099"/>
    <w:rsid w:val="002C5889"/>
    <w:rsid w:val="002C6EE4"/>
    <w:rsid w:val="002C71CE"/>
    <w:rsid w:val="002D08F8"/>
    <w:rsid w:val="002D32C5"/>
    <w:rsid w:val="002D3399"/>
    <w:rsid w:val="002D47D7"/>
    <w:rsid w:val="002D488D"/>
    <w:rsid w:val="002D498C"/>
    <w:rsid w:val="002D571F"/>
    <w:rsid w:val="002D577C"/>
    <w:rsid w:val="002D70A3"/>
    <w:rsid w:val="002D7273"/>
    <w:rsid w:val="002E1071"/>
    <w:rsid w:val="002E15B9"/>
    <w:rsid w:val="002E2158"/>
    <w:rsid w:val="002E2BB4"/>
    <w:rsid w:val="002E4C3F"/>
    <w:rsid w:val="002E4D61"/>
    <w:rsid w:val="002E4F02"/>
    <w:rsid w:val="002E64C1"/>
    <w:rsid w:val="002E6511"/>
    <w:rsid w:val="002E667F"/>
    <w:rsid w:val="002E7722"/>
    <w:rsid w:val="002F07BA"/>
    <w:rsid w:val="002F0922"/>
    <w:rsid w:val="002F0DA9"/>
    <w:rsid w:val="002F1014"/>
    <w:rsid w:val="002F643C"/>
    <w:rsid w:val="002F71C0"/>
    <w:rsid w:val="002F74F1"/>
    <w:rsid w:val="00301017"/>
    <w:rsid w:val="0030155F"/>
    <w:rsid w:val="00301B37"/>
    <w:rsid w:val="00301D76"/>
    <w:rsid w:val="00302F84"/>
    <w:rsid w:val="00302FC7"/>
    <w:rsid w:val="0030587B"/>
    <w:rsid w:val="00306D98"/>
    <w:rsid w:val="00307477"/>
    <w:rsid w:val="0030786C"/>
    <w:rsid w:val="00307FF1"/>
    <w:rsid w:val="0031031A"/>
    <w:rsid w:val="00310981"/>
    <w:rsid w:val="00310ED7"/>
    <w:rsid w:val="00310ED8"/>
    <w:rsid w:val="003118CE"/>
    <w:rsid w:val="003124D9"/>
    <w:rsid w:val="00312594"/>
    <w:rsid w:val="00314482"/>
    <w:rsid w:val="003150FE"/>
    <w:rsid w:val="00315195"/>
    <w:rsid w:val="00315498"/>
    <w:rsid w:val="00315A11"/>
    <w:rsid w:val="00316474"/>
    <w:rsid w:val="00321E44"/>
    <w:rsid w:val="00322107"/>
    <w:rsid w:val="00322355"/>
    <w:rsid w:val="0032261A"/>
    <w:rsid w:val="00322846"/>
    <w:rsid w:val="00325803"/>
    <w:rsid w:val="00326DA7"/>
    <w:rsid w:val="003270E4"/>
    <w:rsid w:val="0032778D"/>
    <w:rsid w:val="00327A36"/>
    <w:rsid w:val="0033046D"/>
    <w:rsid w:val="00330BFB"/>
    <w:rsid w:val="00330DAA"/>
    <w:rsid w:val="00330F5C"/>
    <w:rsid w:val="00333784"/>
    <w:rsid w:val="0033413B"/>
    <w:rsid w:val="00335084"/>
    <w:rsid w:val="003366C9"/>
    <w:rsid w:val="003371B0"/>
    <w:rsid w:val="00340439"/>
    <w:rsid w:val="003405FD"/>
    <w:rsid w:val="00340DF1"/>
    <w:rsid w:val="003435E4"/>
    <w:rsid w:val="00343C66"/>
    <w:rsid w:val="00343F36"/>
    <w:rsid w:val="00344131"/>
    <w:rsid w:val="00347DFC"/>
    <w:rsid w:val="003517F9"/>
    <w:rsid w:val="00351A72"/>
    <w:rsid w:val="00351BA9"/>
    <w:rsid w:val="00351C83"/>
    <w:rsid w:val="00353294"/>
    <w:rsid w:val="00353B51"/>
    <w:rsid w:val="00353E9B"/>
    <w:rsid w:val="00354F64"/>
    <w:rsid w:val="0035573C"/>
    <w:rsid w:val="0035620E"/>
    <w:rsid w:val="00357123"/>
    <w:rsid w:val="00357911"/>
    <w:rsid w:val="00357B91"/>
    <w:rsid w:val="00360345"/>
    <w:rsid w:val="0036072C"/>
    <w:rsid w:val="00360B89"/>
    <w:rsid w:val="00361A05"/>
    <w:rsid w:val="0036245A"/>
    <w:rsid w:val="003624C4"/>
    <w:rsid w:val="003632E9"/>
    <w:rsid w:val="0036375F"/>
    <w:rsid w:val="00363A8F"/>
    <w:rsid w:val="00363B00"/>
    <w:rsid w:val="003654AC"/>
    <w:rsid w:val="003671F1"/>
    <w:rsid w:val="003710CF"/>
    <w:rsid w:val="00371F81"/>
    <w:rsid w:val="00372AEB"/>
    <w:rsid w:val="0037301B"/>
    <w:rsid w:val="0037358A"/>
    <w:rsid w:val="00374717"/>
    <w:rsid w:val="003750F6"/>
    <w:rsid w:val="003760FC"/>
    <w:rsid w:val="00381B2E"/>
    <w:rsid w:val="003825DA"/>
    <w:rsid w:val="0038365C"/>
    <w:rsid w:val="0038369B"/>
    <w:rsid w:val="00383B78"/>
    <w:rsid w:val="00385A9D"/>
    <w:rsid w:val="00386FE7"/>
    <w:rsid w:val="003902B1"/>
    <w:rsid w:val="0039179C"/>
    <w:rsid w:val="00391E5A"/>
    <w:rsid w:val="00392F6B"/>
    <w:rsid w:val="003944C8"/>
    <w:rsid w:val="00394A9B"/>
    <w:rsid w:val="00395D53"/>
    <w:rsid w:val="00396896"/>
    <w:rsid w:val="00396FD0"/>
    <w:rsid w:val="003A0240"/>
    <w:rsid w:val="003A11A5"/>
    <w:rsid w:val="003A188D"/>
    <w:rsid w:val="003A1A7A"/>
    <w:rsid w:val="003A2392"/>
    <w:rsid w:val="003A2831"/>
    <w:rsid w:val="003A2FB5"/>
    <w:rsid w:val="003A301F"/>
    <w:rsid w:val="003A3CB6"/>
    <w:rsid w:val="003A3ED1"/>
    <w:rsid w:val="003A44DB"/>
    <w:rsid w:val="003A66BD"/>
    <w:rsid w:val="003B3971"/>
    <w:rsid w:val="003B4705"/>
    <w:rsid w:val="003B55D1"/>
    <w:rsid w:val="003B5B61"/>
    <w:rsid w:val="003B630D"/>
    <w:rsid w:val="003B6ABF"/>
    <w:rsid w:val="003C1654"/>
    <w:rsid w:val="003C171D"/>
    <w:rsid w:val="003C2A1A"/>
    <w:rsid w:val="003C2DBB"/>
    <w:rsid w:val="003C472F"/>
    <w:rsid w:val="003C5542"/>
    <w:rsid w:val="003C5E58"/>
    <w:rsid w:val="003C6865"/>
    <w:rsid w:val="003C7C84"/>
    <w:rsid w:val="003C7D19"/>
    <w:rsid w:val="003C7D2F"/>
    <w:rsid w:val="003D1828"/>
    <w:rsid w:val="003D194C"/>
    <w:rsid w:val="003D1DE4"/>
    <w:rsid w:val="003D1E9A"/>
    <w:rsid w:val="003D2422"/>
    <w:rsid w:val="003D2D80"/>
    <w:rsid w:val="003D39A1"/>
    <w:rsid w:val="003D3FBF"/>
    <w:rsid w:val="003D47B9"/>
    <w:rsid w:val="003D4A30"/>
    <w:rsid w:val="003D4A5E"/>
    <w:rsid w:val="003D4DE8"/>
    <w:rsid w:val="003D6C26"/>
    <w:rsid w:val="003D7452"/>
    <w:rsid w:val="003D79BB"/>
    <w:rsid w:val="003D7C98"/>
    <w:rsid w:val="003D7D9D"/>
    <w:rsid w:val="003E0543"/>
    <w:rsid w:val="003E1CC1"/>
    <w:rsid w:val="003E295F"/>
    <w:rsid w:val="003E4AED"/>
    <w:rsid w:val="003E5C73"/>
    <w:rsid w:val="003E6623"/>
    <w:rsid w:val="003E6EDD"/>
    <w:rsid w:val="003E6F5C"/>
    <w:rsid w:val="003E749E"/>
    <w:rsid w:val="003F0E31"/>
    <w:rsid w:val="003F2101"/>
    <w:rsid w:val="003F2186"/>
    <w:rsid w:val="003F2E9A"/>
    <w:rsid w:val="003F4156"/>
    <w:rsid w:val="003F55DF"/>
    <w:rsid w:val="003F56B7"/>
    <w:rsid w:val="003F5ADF"/>
    <w:rsid w:val="003F73B9"/>
    <w:rsid w:val="004003CA"/>
    <w:rsid w:val="00400B29"/>
    <w:rsid w:val="00402B87"/>
    <w:rsid w:val="00403247"/>
    <w:rsid w:val="0040504B"/>
    <w:rsid w:val="004059F4"/>
    <w:rsid w:val="00406A84"/>
    <w:rsid w:val="00407B43"/>
    <w:rsid w:val="00407FE5"/>
    <w:rsid w:val="004101B0"/>
    <w:rsid w:val="00410229"/>
    <w:rsid w:val="00410326"/>
    <w:rsid w:val="0041065E"/>
    <w:rsid w:val="00410708"/>
    <w:rsid w:val="00410EC7"/>
    <w:rsid w:val="00411B39"/>
    <w:rsid w:val="004127A7"/>
    <w:rsid w:val="00413A1E"/>
    <w:rsid w:val="00414476"/>
    <w:rsid w:val="00414C2E"/>
    <w:rsid w:val="004151CF"/>
    <w:rsid w:val="00415AFD"/>
    <w:rsid w:val="00416295"/>
    <w:rsid w:val="00416364"/>
    <w:rsid w:val="00416858"/>
    <w:rsid w:val="00417FCC"/>
    <w:rsid w:val="0042047F"/>
    <w:rsid w:val="00420AA6"/>
    <w:rsid w:val="00420B9F"/>
    <w:rsid w:val="00420D10"/>
    <w:rsid w:val="0042192C"/>
    <w:rsid w:val="00422260"/>
    <w:rsid w:val="00423E85"/>
    <w:rsid w:val="0042413F"/>
    <w:rsid w:val="004265A6"/>
    <w:rsid w:val="004319F8"/>
    <w:rsid w:val="00431E55"/>
    <w:rsid w:val="004321F6"/>
    <w:rsid w:val="00433044"/>
    <w:rsid w:val="00433541"/>
    <w:rsid w:val="00434088"/>
    <w:rsid w:val="004351B7"/>
    <w:rsid w:val="00436880"/>
    <w:rsid w:val="00436AF5"/>
    <w:rsid w:val="004375B9"/>
    <w:rsid w:val="004405C6"/>
    <w:rsid w:val="00440EEB"/>
    <w:rsid w:val="0044219E"/>
    <w:rsid w:val="004428D0"/>
    <w:rsid w:val="00443466"/>
    <w:rsid w:val="00444185"/>
    <w:rsid w:val="004443A7"/>
    <w:rsid w:val="0044442C"/>
    <w:rsid w:val="00445941"/>
    <w:rsid w:val="00446027"/>
    <w:rsid w:val="00446133"/>
    <w:rsid w:val="004464EB"/>
    <w:rsid w:val="00446886"/>
    <w:rsid w:val="00447D26"/>
    <w:rsid w:val="00447DFC"/>
    <w:rsid w:val="00450169"/>
    <w:rsid w:val="004507B5"/>
    <w:rsid w:val="00450DCC"/>
    <w:rsid w:val="00451780"/>
    <w:rsid w:val="00455D45"/>
    <w:rsid w:val="00456503"/>
    <w:rsid w:val="004578E8"/>
    <w:rsid w:val="0046042E"/>
    <w:rsid w:val="00461B13"/>
    <w:rsid w:val="00461FD9"/>
    <w:rsid w:val="00462B58"/>
    <w:rsid w:val="00463B33"/>
    <w:rsid w:val="00463DEE"/>
    <w:rsid w:val="0046420B"/>
    <w:rsid w:val="00464595"/>
    <w:rsid w:val="004658B5"/>
    <w:rsid w:val="004664E1"/>
    <w:rsid w:val="00471EA5"/>
    <w:rsid w:val="00472549"/>
    <w:rsid w:val="00472A79"/>
    <w:rsid w:val="004730E0"/>
    <w:rsid w:val="00473F19"/>
    <w:rsid w:val="00474579"/>
    <w:rsid w:val="00475380"/>
    <w:rsid w:val="00475E22"/>
    <w:rsid w:val="004770D9"/>
    <w:rsid w:val="004777EF"/>
    <w:rsid w:val="00477A87"/>
    <w:rsid w:val="0048088E"/>
    <w:rsid w:val="00480F2B"/>
    <w:rsid w:val="00481032"/>
    <w:rsid w:val="00482720"/>
    <w:rsid w:val="00483236"/>
    <w:rsid w:val="004835E7"/>
    <w:rsid w:val="0048624A"/>
    <w:rsid w:val="00486687"/>
    <w:rsid w:val="004867E2"/>
    <w:rsid w:val="004868A5"/>
    <w:rsid w:val="00490B17"/>
    <w:rsid w:val="00491B3A"/>
    <w:rsid w:val="00492CFD"/>
    <w:rsid w:val="00494160"/>
    <w:rsid w:val="00494207"/>
    <w:rsid w:val="004946EB"/>
    <w:rsid w:val="0049481B"/>
    <w:rsid w:val="00494DD5"/>
    <w:rsid w:val="004952ED"/>
    <w:rsid w:val="004962D2"/>
    <w:rsid w:val="00496339"/>
    <w:rsid w:val="00497785"/>
    <w:rsid w:val="00497C23"/>
    <w:rsid w:val="004A0A17"/>
    <w:rsid w:val="004A0DA1"/>
    <w:rsid w:val="004A130B"/>
    <w:rsid w:val="004A13D6"/>
    <w:rsid w:val="004A2757"/>
    <w:rsid w:val="004A3C35"/>
    <w:rsid w:val="004A52E9"/>
    <w:rsid w:val="004A58C7"/>
    <w:rsid w:val="004A6040"/>
    <w:rsid w:val="004A6597"/>
    <w:rsid w:val="004A6BA2"/>
    <w:rsid w:val="004A72C2"/>
    <w:rsid w:val="004A7848"/>
    <w:rsid w:val="004B0978"/>
    <w:rsid w:val="004B1A0F"/>
    <w:rsid w:val="004B1CB4"/>
    <w:rsid w:val="004B297E"/>
    <w:rsid w:val="004B2F18"/>
    <w:rsid w:val="004B3DDB"/>
    <w:rsid w:val="004B44FD"/>
    <w:rsid w:val="004B5CFC"/>
    <w:rsid w:val="004B5F25"/>
    <w:rsid w:val="004B6F79"/>
    <w:rsid w:val="004B7273"/>
    <w:rsid w:val="004B774D"/>
    <w:rsid w:val="004C0620"/>
    <w:rsid w:val="004C335A"/>
    <w:rsid w:val="004C362B"/>
    <w:rsid w:val="004C4AED"/>
    <w:rsid w:val="004C4D5C"/>
    <w:rsid w:val="004D064A"/>
    <w:rsid w:val="004D2C2D"/>
    <w:rsid w:val="004D343E"/>
    <w:rsid w:val="004D3B8E"/>
    <w:rsid w:val="004D5385"/>
    <w:rsid w:val="004D542E"/>
    <w:rsid w:val="004D69B5"/>
    <w:rsid w:val="004D7227"/>
    <w:rsid w:val="004E0E7F"/>
    <w:rsid w:val="004E0EB8"/>
    <w:rsid w:val="004E18E9"/>
    <w:rsid w:val="004E2719"/>
    <w:rsid w:val="004E2ADC"/>
    <w:rsid w:val="004E3031"/>
    <w:rsid w:val="004E3A8E"/>
    <w:rsid w:val="004E43B2"/>
    <w:rsid w:val="004E68CE"/>
    <w:rsid w:val="004E6B75"/>
    <w:rsid w:val="004F1A75"/>
    <w:rsid w:val="004F1D02"/>
    <w:rsid w:val="004F2679"/>
    <w:rsid w:val="004F2F21"/>
    <w:rsid w:val="004F3DE5"/>
    <w:rsid w:val="004F4E00"/>
    <w:rsid w:val="004F61C2"/>
    <w:rsid w:val="004F6913"/>
    <w:rsid w:val="004F7865"/>
    <w:rsid w:val="005016A9"/>
    <w:rsid w:val="0050174E"/>
    <w:rsid w:val="00501854"/>
    <w:rsid w:val="00501E0B"/>
    <w:rsid w:val="0050219B"/>
    <w:rsid w:val="0050283C"/>
    <w:rsid w:val="00503F17"/>
    <w:rsid w:val="00504BAB"/>
    <w:rsid w:val="00506928"/>
    <w:rsid w:val="005077EF"/>
    <w:rsid w:val="0051081A"/>
    <w:rsid w:val="00511AD5"/>
    <w:rsid w:val="00511DC7"/>
    <w:rsid w:val="00513B2E"/>
    <w:rsid w:val="005142C5"/>
    <w:rsid w:val="00514A74"/>
    <w:rsid w:val="0051501B"/>
    <w:rsid w:val="005152B5"/>
    <w:rsid w:val="00515606"/>
    <w:rsid w:val="00515A5B"/>
    <w:rsid w:val="0052123C"/>
    <w:rsid w:val="00521319"/>
    <w:rsid w:val="00521B97"/>
    <w:rsid w:val="005229AF"/>
    <w:rsid w:val="00522BC8"/>
    <w:rsid w:val="00522E9A"/>
    <w:rsid w:val="00523C28"/>
    <w:rsid w:val="0052724C"/>
    <w:rsid w:val="005277B6"/>
    <w:rsid w:val="00530D46"/>
    <w:rsid w:val="0053126E"/>
    <w:rsid w:val="0053176B"/>
    <w:rsid w:val="005324E9"/>
    <w:rsid w:val="005336D5"/>
    <w:rsid w:val="005346DD"/>
    <w:rsid w:val="00536DA1"/>
    <w:rsid w:val="00536F42"/>
    <w:rsid w:val="00537182"/>
    <w:rsid w:val="00541100"/>
    <w:rsid w:val="00541EDD"/>
    <w:rsid w:val="00542743"/>
    <w:rsid w:val="00542C2D"/>
    <w:rsid w:val="005448D3"/>
    <w:rsid w:val="005454E3"/>
    <w:rsid w:val="00545753"/>
    <w:rsid w:val="005478BD"/>
    <w:rsid w:val="005479E3"/>
    <w:rsid w:val="00551066"/>
    <w:rsid w:val="00551985"/>
    <w:rsid w:val="00551B5F"/>
    <w:rsid w:val="00552BD3"/>
    <w:rsid w:val="005532A0"/>
    <w:rsid w:val="00554495"/>
    <w:rsid w:val="00555109"/>
    <w:rsid w:val="00556327"/>
    <w:rsid w:val="00556773"/>
    <w:rsid w:val="00556B35"/>
    <w:rsid w:val="0055741A"/>
    <w:rsid w:val="00557C44"/>
    <w:rsid w:val="00557EEF"/>
    <w:rsid w:val="00560E94"/>
    <w:rsid w:val="005611B7"/>
    <w:rsid w:val="005618D4"/>
    <w:rsid w:val="005620CE"/>
    <w:rsid w:val="00563FD6"/>
    <w:rsid w:val="00565DF0"/>
    <w:rsid w:val="0056696F"/>
    <w:rsid w:val="005708E2"/>
    <w:rsid w:val="0057097E"/>
    <w:rsid w:val="0057154D"/>
    <w:rsid w:val="005720CE"/>
    <w:rsid w:val="00572269"/>
    <w:rsid w:val="0057244A"/>
    <w:rsid w:val="00572F26"/>
    <w:rsid w:val="00573E16"/>
    <w:rsid w:val="005750C5"/>
    <w:rsid w:val="005752DE"/>
    <w:rsid w:val="00575758"/>
    <w:rsid w:val="00575D8D"/>
    <w:rsid w:val="00576972"/>
    <w:rsid w:val="00576D70"/>
    <w:rsid w:val="00577A42"/>
    <w:rsid w:val="00583699"/>
    <w:rsid w:val="00584193"/>
    <w:rsid w:val="00585CDD"/>
    <w:rsid w:val="00586A71"/>
    <w:rsid w:val="00587058"/>
    <w:rsid w:val="0059168A"/>
    <w:rsid w:val="00591957"/>
    <w:rsid w:val="00593986"/>
    <w:rsid w:val="00594DC9"/>
    <w:rsid w:val="00597BF9"/>
    <w:rsid w:val="005A309A"/>
    <w:rsid w:val="005A373D"/>
    <w:rsid w:val="005A3869"/>
    <w:rsid w:val="005A51E7"/>
    <w:rsid w:val="005A72ED"/>
    <w:rsid w:val="005B0B58"/>
    <w:rsid w:val="005B0C9D"/>
    <w:rsid w:val="005B213E"/>
    <w:rsid w:val="005B3C23"/>
    <w:rsid w:val="005B3C80"/>
    <w:rsid w:val="005B4E53"/>
    <w:rsid w:val="005B53C7"/>
    <w:rsid w:val="005B5857"/>
    <w:rsid w:val="005B5DCE"/>
    <w:rsid w:val="005B62A7"/>
    <w:rsid w:val="005C1B83"/>
    <w:rsid w:val="005C2084"/>
    <w:rsid w:val="005C24A5"/>
    <w:rsid w:val="005C25FF"/>
    <w:rsid w:val="005C2D55"/>
    <w:rsid w:val="005C346B"/>
    <w:rsid w:val="005C403B"/>
    <w:rsid w:val="005C5788"/>
    <w:rsid w:val="005C6CC9"/>
    <w:rsid w:val="005D044D"/>
    <w:rsid w:val="005D0ABD"/>
    <w:rsid w:val="005D0F0E"/>
    <w:rsid w:val="005D18AD"/>
    <w:rsid w:val="005D26B4"/>
    <w:rsid w:val="005D2B9D"/>
    <w:rsid w:val="005D317A"/>
    <w:rsid w:val="005D34F0"/>
    <w:rsid w:val="005D3934"/>
    <w:rsid w:val="005D4581"/>
    <w:rsid w:val="005D478E"/>
    <w:rsid w:val="005D5716"/>
    <w:rsid w:val="005D60DB"/>
    <w:rsid w:val="005D7E54"/>
    <w:rsid w:val="005E2B7A"/>
    <w:rsid w:val="005E3EEA"/>
    <w:rsid w:val="005E4DDE"/>
    <w:rsid w:val="005E6CBC"/>
    <w:rsid w:val="005E72FF"/>
    <w:rsid w:val="005E73C0"/>
    <w:rsid w:val="005E7E87"/>
    <w:rsid w:val="005F2452"/>
    <w:rsid w:val="005F2706"/>
    <w:rsid w:val="005F3F77"/>
    <w:rsid w:val="005F6A8F"/>
    <w:rsid w:val="005F6BB7"/>
    <w:rsid w:val="005F7588"/>
    <w:rsid w:val="00600AF4"/>
    <w:rsid w:val="00601736"/>
    <w:rsid w:val="00603DB9"/>
    <w:rsid w:val="00605A9A"/>
    <w:rsid w:val="0060635B"/>
    <w:rsid w:val="00606FBA"/>
    <w:rsid w:val="006074E3"/>
    <w:rsid w:val="00607669"/>
    <w:rsid w:val="006076F4"/>
    <w:rsid w:val="00607AFD"/>
    <w:rsid w:val="006112D3"/>
    <w:rsid w:val="00612F97"/>
    <w:rsid w:val="006133B9"/>
    <w:rsid w:val="0061345D"/>
    <w:rsid w:val="00614C08"/>
    <w:rsid w:val="0061549B"/>
    <w:rsid w:val="00616802"/>
    <w:rsid w:val="00617E12"/>
    <w:rsid w:val="00620C25"/>
    <w:rsid w:val="00621477"/>
    <w:rsid w:val="00621ADA"/>
    <w:rsid w:val="00622D7F"/>
    <w:rsid w:val="006237B8"/>
    <w:rsid w:val="00623F7B"/>
    <w:rsid w:val="00624C00"/>
    <w:rsid w:val="0062723D"/>
    <w:rsid w:val="0062786A"/>
    <w:rsid w:val="00630ABD"/>
    <w:rsid w:val="0063158F"/>
    <w:rsid w:val="00631D6B"/>
    <w:rsid w:val="00632183"/>
    <w:rsid w:val="006330A1"/>
    <w:rsid w:val="006335EE"/>
    <w:rsid w:val="0063479F"/>
    <w:rsid w:val="00634FBB"/>
    <w:rsid w:val="006353F0"/>
    <w:rsid w:val="006357B5"/>
    <w:rsid w:val="006364A1"/>
    <w:rsid w:val="0063678E"/>
    <w:rsid w:val="00636DC2"/>
    <w:rsid w:val="00637BFD"/>
    <w:rsid w:val="00640B23"/>
    <w:rsid w:val="00641C4E"/>
    <w:rsid w:val="00641FB3"/>
    <w:rsid w:val="00642875"/>
    <w:rsid w:val="00643B87"/>
    <w:rsid w:val="0064434C"/>
    <w:rsid w:val="006448DE"/>
    <w:rsid w:val="006471CC"/>
    <w:rsid w:val="00647A29"/>
    <w:rsid w:val="00647CAB"/>
    <w:rsid w:val="0065079F"/>
    <w:rsid w:val="006515BF"/>
    <w:rsid w:val="00651910"/>
    <w:rsid w:val="00652A28"/>
    <w:rsid w:val="00652B19"/>
    <w:rsid w:val="0065379F"/>
    <w:rsid w:val="006540F7"/>
    <w:rsid w:val="00654290"/>
    <w:rsid w:val="0065434A"/>
    <w:rsid w:val="00655D80"/>
    <w:rsid w:val="00656188"/>
    <w:rsid w:val="00656A1F"/>
    <w:rsid w:val="00656F66"/>
    <w:rsid w:val="0065715A"/>
    <w:rsid w:val="00657E9E"/>
    <w:rsid w:val="00660E47"/>
    <w:rsid w:val="006610F1"/>
    <w:rsid w:val="00661C6B"/>
    <w:rsid w:val="00661E0B"/>
    <w:rsid w:val="00662975"/>
    <w:rsid w:val="00662F61"/>
    <w:rsid w:val="00663FFB"/>
    <w:rsid w:val="0066504C"/>
    <w:rsid w:val="00665638"/>
    <w:rsid w:val="0066635B"/>
    <w:rsid w:val="006664A7"/>
    <w:rsid w:val="0066669E"/>
    <w:rsid w:val="00666CD7"/>
    <w:rsid w:val="00671004"/>
    <w:rsid w:val="0067206C"/>
    <w:rsid w:val="00672646"/>
    <w:rsid w:val="00674E42"/>
    <w:rsid w:val="006760AB"/>
    <w:rsid w:val="006761B7"/>
    <w:rsid w:val="00676735"/>
    <w:rsid w:val="0067735F"/>
    <w:rsid w:val="006813F8"/>
    <w:rsid w:val="00682112"/>
    <w:rsid w:val="0068214F"/>
    <w:rsid w:val="00682BA6"/>
    <w:rsid w:val="006837EA"/>
    <w:rsid w:val="00683BCE"/>
    <w:rsid w:val="00684542"/>
    <w:rsid w:val="006851A7"/>
    <w:rsid w:val="0068528E"/>
    <w:rsid w:val="0068600C"/>
    <w:rsid w:val="00686184"/>
    <w:rsid w:val="00686957"/>
    <w:rsid w:val="006872BA"/>
    <w:rsid w:val="00690795"/>
    <w:rsid w:val="0069146D"/>
    <w:rsid w:val="00691648"/>
    <w:rsid w:val="006917D7"/>
    <w:rsid w:val="00692077"/>
    <w:rsid w:val="0069434C"/>
    <w:rsid w:val="00694F44"/>
    <w:rsid w:val="0069530A"/>
    <w:rsid w:val="0069541F"/>
    <w:rsid w:val="00696F51"/>
    <w:rsid w:val="00697339"/>
    <w:rsid w:val="006979A5"/>
    <w:rsid w:val="006A174A"/>
    <w:rsid w:val="006A2AFF"/>
    <w:rsid w:val="006A3A41"/>
    <w:rsid w:val="006A4BC7"/>
    <w:rsid w:val="006A509B"/>
    <w:rsid w:val="006A5E54"/>
    <w:rsid w:val="006A6B99"/>
    <w:rsid w:val="006A7BAA"/>
    <w:rsid w:val="006A7E5F"/>
    <w:rsid w:val="006B15DF"/>
    <w:rsid w:val="006B1713"/>
    <w:rsid w:val="006B261B"/>
    <w:rsid w:val="006B2A86"/>
    <w:rsid w:val="006B2C90"/>
    <w:rsid w:val="006B35E6"/>
    <w:rsid w:val="006B388E"/>
    <w:rsid w:val="006B465A"/>
    <w:rsid w:val="006B6DD0"/>
    <w:rsid w:val="006B7757"/>
    <w:rsid w:val="006C0399"/>
    <w:rsid w:val="006C0FFF"/>
    <w:rsid w:val="006C2944"/>
    <w:rsid w:val="006C2A8E"/>
    <w:rsid w:val="006C3255"/>
    <w:rsid w:val="006C3F26"/>
    <w:rsid w:val="006C4C7B"/>
    <w:rsid w:val="006C6429"/>
    <w:rsid w:val="006C6D39"/>
    <w:rsid w:val="006D0D17"/>
    <w:rsid w:val="006D2363"/>
    <w:rsid w:val="006D264B"/>
    <w:rsid w:val="006D3C7D"/>
    <w:rsid w:val="006D4659"/>
    <w:rsid w:val="006D583C"/>
    <w:rsid w:val="006D5D25"/>
    <w:rsid w:val="006D5D5F"/>
    <w:rsid w:val="006D674B"/>
    <w:rsid w:val="006D68FB"/>
    <w:rsid w:val="006E081F"/>
    <w:rsid w:val="006E15DA"/>
    <w:rsid w:val="006E2868"/>
    <w:rsid w:val="006E30CF"/>
    <w:rsid w:val="006E78E6"/>
    <w:rsid w:val="006E7D46"/>
    <w:rsid w:val="006F306C"/>
    <w:rsid w:val="006F3EC5"/>
    <w:rsid w:val="006F454E"/>
    <w:rsid w:val="006F4794"/>
    <w:rsid w:val="006F5D8A"/>
    <w:rsid w:val="006F5E6C"/>
    <w:rsid w:val="006F63A5"/>
    <w:rsid w:val="0070142B"/>
    <w:rsid w:val="0070276E"/>
    <w:rsid w:val="00702F8F"/>
    <w:rsid w:val="00704486"/>
    <w:rsid w:val="007054CC"/>
    <w:rsid w:val="007058AB"/>
    <w:rsid w:val="00706163"/>
    <w:rsid w:val="007062AA"/>
    <w:rsid w:val="00706487"/>
    <w:rsid w:val="00706915"/>
    <w:rsid w:val="0070720B"/>
    <w:rsid w:val="007079FC"/>
    <w:rsid w:val="00710E5A"/>
    <w:rsid w:val="00711A36"/>
    <w:rsid w:val="007136B5"/>
    <w:rsid w:val="00714774"/>
    <w:rsid w:val="00714AB9"/>
    <w:rsid w:val="00714C26"/>
    <w:rsid w:val="0071529C"/>
    <w:rsid w:val="00716647"/>
    <w:rsid w:val="007170DA"/>
    <w:rsid w:val="007172AD"/>
    <w:rsid w:val="007176FE"/>
    <w:rsid w:val="00720801"/>
    <w:rsid w:val="00722B1B"/>
    <w:rsid w:val="0072301F"/>
    <w:rsid w:val="007235C9"/>
    <w:rsid w:val="0072416F"/>
    <w:rsid w:val="00727C94"/>
    <w:rsid w:val="00727D20"/>
    <w:rsid w:val="007309F8"/>
    <w:rsid w:val="00730DB6"/>
    <w:rsid w:val="00731B0A"/>
    <w:rsid w:val="00731EAE"/>
    <w:rsid w:val="00732C4D"/>
    <w:rsid w:val="00733073"/>
    <w:rsid w:val="00733A36"/>
    <w:rsid w:val="00735033"/>
    <w:rsid w:val="0073521D"/>
    <w:rsid w:val="00735328"/>
    <w:rsid w:val="00735A5D"/>
    <w:rsid w:val="00735C62"/>
    <w:rsid w:val="007366D0"/>
    <w:rsid w:val="0073685B"/>
    <w:rsid w:val="00737E3C"/>
    <w:rsid w:val="00740856"/>
    <w:rsid w:val="00741455"/>
    <w:rsid w:val="00741C18"/>
    <w:rsid w:val="007449BF"/>
    <w:rsid w:val="00744B7F"/>
    <w:rsid w:val="007452EC"/>
    <w:rsid w:val="00745A9F"/>
    <w:rsid w:val="00745E64"/>
    <w:rsid w:val="0074619A"/>
    <w:rsid w:val="0074624E"/>
    <w:rsid w:val="00746BC0"/>
    <w:rsid w:val="007471AB"/>
    <w:rsid w:val="00747612"/>
    <w:rsid w:val="00747B08"/>
    <w:rsid w:val="007510B4"/>
    <w:rsid w:val="00752142"/>
    <w:rsid w:val="007523F9"/>
    <w:rsid w:val="007529B8"/>
    <w:rsid w:val="00753429"/>
    <w:rsid w:val="0075357E"/>
    <w:rsid w:val="00754DF7"/>
    <w:rsid w:val="007552A3"/>
    <w:rsid w:val="007573E8"/>
    <w:rsid w:val="007574E4"/>
    <w:rsid w:val="00760C4E"/>
    <w:rsid w:val="00760F9E"/>
    <w:rsid w:val="00761737"/>
    <w:rsid w:val="00761834"/>
    <w:rsid w:val="00761C97"/>
    <w:rsid w:val="007627BE"/>
    <w:rsid w:val="00764667"/>
    <w:rsid w:val="00764F03"/>
    <w:rsid w:val="00765199"/>
    <w:rsid w:val="00765B1A"/>
    <w:rsid w:val="007714C0"/>
    <w:rsid w:val="00773EFE"/>
    <w:rsid w:val="00774734"/>
    <w:rsid w:val="00776205"/>
    <w:rsid w:val="00777335"/>
    <w:rsid w:val="00781A13"/>
    <w:rsid w:val="00781D3D"/>
    <w:rsid w:val="00782D1A"/>
    <w:rsid w:val="00783A12"/>
    <w:rsid w:val="007843F2"/>
    <w:rsid w:val="00785203"/>
    <w:rsid w:val="00785A9F"/>
    <w:rsid w:val="007925DF"/>
    <w:rsid w:val="007A08AA"/>
    <w:rsid w:val="007A0A12"/>
    <w:rsid w:val="007A0C73"/>
    <w:rsid w:val="007A101B"/>
    <w:rsid w:val="007A132D"/>
    <w:rsid w:val="007A1345"/>
    <w:rsid w:val="007A1D11"/>
    <w:rsid w:val="007A2877"/>
    <w:rsid w:val="007A2DDB"/>
    <w:rsid w:val="007A6578"/>
    <w:rsid w:val="007A7074"/>
    <w:rsid w:val="007A70BA"/>
    <w:rsid w:val="007B0A66"/>
    <w:rsid w:val="007B0D68"/>
    <w:rsid w:val="007B17B2"/>
    <w:rsid w:val="007B251D"/>
    <w:rsid w:val="007B43EA"/>
    <w:rsid w:val="007B4F58"/>
    <w:rsid w:val="007B528D"/>
    <w:rsid w:val="007B63CA"/>
    <w:rsid w:val="007B77D1"/>
    <w:rsid w:val="007B7AE6"/>
    <w:rsid w:val="007C07C7"/>
    <w:rsid w:val="007C0AE1"/>
    <w:rsid w:val="007C112D"/>
    <w:rsid w:val="007C1CD9"/>
    <w:rsid w:val="007C260C"/>
    <w:rsid w:val="007C2B02"/>
    <w:rsid w:val="007C306F"/>
    <w:rsid w:val="007C32EF"/>
    <w:rsid w:val="007C361D"/>
    <w:rsid w:val="007C3B48"/>
    <w:rsid w:val="007C4B84"/>
    <w:rsid w:val="007C4E39"/>
    <w:rsid w:val="007C611F"/>
    <w:rsid w:val="007C6B28"/>
    <w:rsid w:val="007C70FF"/>
    <w:rsid w:val="007C7C25"/>
    <w:rsid w:val="007D004F"/>
    <w:rsid w:val="007D0280"/>
    <w:rsid w:val="007D0B38"/>
    <w:rsid w:val="007D2CFB"/>
    <w:rsid w:val="007D4A52"/>
    <w:rsid w:val="007D5440"/>
    <w:rsid w:val="007D59EA"/>
    <w:rsid w:val="007D69EB"/>
    <w:rsid w:val="007D7FCD"/>
    <w:rsid w:val="007E128F"/>
    <w:rsid w:val="007E25B3"/>
    <w:rsid w:val="007E2EDF"/>
    <w:rsid w:val="007E358B"/>
    <w:rsid w:val="007E444D"/>
    <w:rsid w:val="007E5A11"/>
    <w:rsid w:val="007E5ADD"/>
    <w:rsid w:val="007E627C"/>
    <w:rsid w:val="007E6FE0"/>
    <w:rsid w:val="007F0357"/>
    <w:rsid w:val="007F05D9"/>
    <w:rsid w:val="007F1017"/>
    <w:rsid w:val="007F14C3"/>
    <w:rsid w:val="007F1FE2"/>
    <w:rsid w:val="007F225B"/>
    <w:rsid w:val="007F4A3F"/>
    <w:rsid w:val="007F4A61"/>
    <w:rsid w:val="007F5255"/>
    <w:rsid w:val="007F56CC"/>
    <w:rsid w:val="007F61C2"/>
    <w:rsid w:val="008014D2"/>
    <w:rsid w:val="008040C6"/>
    <w:rsid w:val="00805142"/>
    <w:rsid w:val="00805FCE"/>
    <w:rsid w:val="00806885"/>
    <w:rsid w:val="00806E07"/>
    <w:rsid w:val="00806F13"/>
    <w:rsid w:val="00807009"/>
    <w:rsid w:val="00807A8B"/>
    <w:rsid w:val="00811383"/>
    <w:rsid w:val="00811858"/>
    <w:rsid w:val="00811AC6"/>
    <w:rsid w:val="00812149"/>
    <w:rsid w:val="00812CAC"/>
    <w:rsid w:val="00813438"/>
    <w:rsid w:val="00816361"/>
    <w:rsid w:val="008166EF"/>
    <w:rsid w:val="00816FEF"/>
    <w:rsid w:val="00820A8C"/>
    <w:rsid w:val="008215FB"/>
    <w:rsid w:val="0082239C"/>
    <w:rsid w:val="00823174"/>
    <w:rsid w:val="00823195"/>
    <w:rsid w:val="008232C9"/>
    <w:rsid w:val="00825751"/>
    <w:rsid w:val="00825C0F"/>
    <w:rsid w:val="008264EB"/>
    <w:rsid w:val="00826918"/>
    <w:rsid w:val="00826D70"/>
    <w:rsid w:val="00826F52"/>
    <w:rsid w:val="00827D75"/>
    <w:rsid w:val="00827F27"/>
    <w:rsid w:val="0083137B"/>
    <w:rsid w:val="00831A14"/>
    <w:rsid w:val="00832A2A"/>
    <w:rsid w:val="00833960"/>
    <w:rsid w:val="00833B05"/>
    <w:rsid w:val="00834A2F"/>
    <w:rsid w:val="008362B4"/>
    <w:rsid w:val="00837767"/>
    <w:rsid w:val="008409C2"/>
    <w:rsid w:val="00840CA2"/>
    <w:rsid w:val="0084374F"/>
    <w:rsid w:val="008441BB"/>
    <w:rsid w:val="00844A22"/>
    <w:rsid w:val="00844CEB"/>
    <w:rsid w:val="0084748E"/>
    <w:rsid w:val="00847703"/>
    <w:rsid w:val="00847DF5"/>
    <w:rsid w:val="0085096B"/>
    <w:rsid w:val="00850B7E"/>
    <w:rsid w:val="0085218D"/>
    <w:rsid w:val="00852DDD"/>
    <w:rsid w:val="0085309D"/>
    <w:rsid w:val="0085405D"/>
    <w:rsid w:val="008540E7"/>
    <w:rsid w:val="00854AF2"/>
    <w:rsid w:val="0085686D"/>
    <w:rsid w:val="00856897"/>
    <w:rsid w:val="00856E9A"/>
    <w:rsid w:val="00857307"/>
    <w:rsid w:val="00857843"/>
    <w:rsid w:val="0086075D"/>
    <w:rsid w:val="00862502"/>
    <w:rsid w:val="00862CC1"/>
    <w:rsid w:val="008640C7"/>
    <w:rsid w:val="008660D4"/>
    <w:rsid w:val="008668D7"/>
    <w:rsid w:val="00867F7C"/>
    <w:rsid w:val="00871393"/>
    <w:rsid w:val="00871FA9"/>
    <w:rsid w:val="008728E9"/>
    <w:rsid w:val="00873E03"/>
    <w:rsid w:val="00875519"/>
    <w:rsid w:val="008756A3"/>
    <w:rsid w:val="00881926"/>
    <w:rsid w:val="00882874"/>
    <w:rsid w:val="00882E3C"/>
    <w:rsid w:val="00883787"/>
    <w:rsid w:val="00883FD2"/>
    <w:rsid w:val="0088510E"/>
    <w:rsid w:val="008855E4"/>
    <w:rsid w:val="00885F6C"/>
    <w:rsid w:val="0088626B"/>
    <w:rsid w:val="00886344"/>
    <w:rsid w:val="00886CD2"/>
    <w:rsid w:val="00886EB6"/>
    <w:rsid w:val="00887FDF"/>
    <w:rsid w:val="0089088E"/>
    <w:rsid w:val="008910A2"/>
    <w:rsid w:val="008915A2"/>
    <w:rsid w:val="0089180D"/>
    <w:rsid w:val="00891E6F"/>
    <w:rsid w:val="0089275D"/>
    <w:rsid w:val="00892A36"/>
    <w:rsid w:val="00893239"/>
    <w:rsid w:val="00894489"/>
    <w:rsid w:val="008948B9"/>
    <w:rsid w:val="008963A5"/>
    <w:rsid w:val="00896D5D"/>
    <w:rsid w:val="00897921"/>
    <w:rsid w:val="00897EEF"/>
    <w:rsid w:val="008A01F9"/>
    <w:rsid w:val="008A117E"/>
    <w:rsid w:val="008A11D4"/>
    <w:rsid w:val="008A3363"/>
    <w:rsid w:val="008A3371"/>
    <w:rsid w:val="008A3C3E"/>
    <w:rsid w:val="008A6B3B"/>
    <w:rsid w:val="008A79DE"/>
    <w:rsid w:val="008B0A3C"/>
    <w:rsid w:val="008B103A"/>
    <w:rsid w:val="008B1757"/>
    <w:rsid w:val="008B192F"/>
    <w:rsid w:val="008B19E7"/>
    <w:rsid w:val="008B2F20"/>
    <w:rsid w:val="008B31F3"/>
    <w:rsid w:val="008B379D"/>
    <w:rsid w:val="008B4D6C"/>
    <w:rsid w:val="008B7992"/>
    <w:rsid w:val="008B7D7E"/>
    <w:rsid w:val="008C00D9"/>
    <w:rsid w:val="008C03C8"/>
    <w:rsid w:val="008C0983"/>
    <w:rsid w:val="008C5190"/>
    <w:rsid w:val="008C538E"/>
    <w:rsid w:val="008C5610"/>
    <w:rsid w:val="008C5739"/>
    <w:rsid w:val="008C669E"/>
    <w:rsid w:val="008C7ECB"/>
    <w:rsid w:val="008D1AEE"/>
    <w:rsid w:val="008D1EE7"/>
    <w:rsid w:val="008D3971"/>
    <w:rsid w:val="008D3B86"/>
    <w:rsid w:val="008D4755"/>
    <w:rsid w:val="008D4C3D"/>
    <w:rsid w:val="008D512A"/>
    <w:rsid w:val="008D57A4"/>
    <w:rsid w:val="008D6171"/>
    <w:rsid w:val="008D64E3"/>
    <w:rsid w:val="008D743C"/>
    <w:rsid w:val="008D7484"/>
    <w:rsid w:val="008D76FA"/>
    <w:rsid w:val="008D7F10"/>
    <w:rsid w:val="008E0057"/>
    <w:rsid w:val="008E0074"/>
    <w:rsid w:val="008E0D3C"/>
    <w:rsid w:val="008E1B9E"/>
    <w:rsid w:val="008E2ED2"/>
    <w:rsid w:val="008E3DC5"/>
    <w:rsid w:val="008E55AB"/>
    <w:rsid w:val="008E59AA"/>
    <w:rsid w:val="008E6971"/>
    <w:rsid w:val="008E75DE"/>
    <w:rsid w:val="008F0655"/>
    <w:rsid w:val="008F120A"/>
    <w:rsid w:val="008F27E0"/>
    <w:rsid w:val="008F3260"/>
    <w:rsid w:val="008F3892"/>
    <w:rsid w:val="008F48EB"/>
    <w:rsid w:val="008F4C5D"/>
    <w:rsid w:val="008F4F0B"/>
    <w:rsid w:val="008F6589"/>
    <w:rsid w:val="0090025C"/>
    <w:rsid w:val="00900EE5"/>
    <w:rsid w:val="00904021"/>
    <w:rsid w:val="009046C4"/>
    <w:rsid w:val="009055DA"/>
    <w:rsid w:val="009062A5"/>
    <w:rsid w:val="009065F1"/>
    <w:rsid w:val="0090675C"/>
    <w:rsid w:val="009075A5"/>
    <w:rsid w:val="00910FA7"/>
    <w:rsid w:val="00911272"/>
    <w:rsid w:val="00911501"/>
    <w:rsid w:val="0091266C"/>
    <w:rsid w:val="009135D6"/>
    <w:rsid w:val="00914C77"/>
    <w:rsid w:val="00921ACB"/>
    <w:rsid w:val="009234BB"/>
    <w:rsid w:val="00923684"/>
    <w:rsid w:val="0092369B"/>
    <w:rsid w:val="009249AD"/>
    <w:rsid w:val="009268E7"/>
    <w:rsid w:val="00926E45"/>
    <w:rsid w:val="00926F36"/>
    <w:rsid w:val="0093006A"/>
    <w:rsid w:val="00930D45"/>
    <w:rsid w:val="009316D6"/>
    <w:rsid w:val="00932A1A"/>
    <w:rsid w:val="00933899"/>
    <w:rsid w:val="009338E1"/>
    <w:rsid w:val="00933D9B"/>
    <w:rsid w:val="00934988"/>
    <w:rsid w:val="00934FCD"/>
    <w:rsid w:val="00935006"/>
    <w:rsid w:val="009361CE"/>
    <w:rsid w:val="00936978"/>
    <w:rsid w:val="00936C3F"/>
    <w:rsid w:val="00937089"/>
    <w:rsid w:val="00944F8A"/>
    <w:rsid w:val="00946177"/>
    <w:rsid w:val="00946269"/>
    <w:rsid w:val="00950B3E"/>
    <w:rsid w:val="009510A2"/>
    <w:rsid w:val="00953251"/>
    <w:rsid w:val="00953257"/>
    <w:rsid w:val="0095474C"/>
    <w:rsid w:val="009551BB"/>
    <w:rsid w:val="0095595E"/>
    <w:rsid w:val="009565DA"/>
    <w:rsid w:val="009566B0"/>
    <w:rsid w:val="00962C6C"/>
    <w:rsid w:val="00962CB9"/>
    <w:rsid w:val="00963B72"/>
    <w:rsid w:val="00964312"/>
    <w:rsid w:val="00965B8A"/>
    <w:rsid w:val="00967BA7"/>
    <w:rsid w:val="0097071F"/>
    <w:rsid w:val="009712D8"/>
    <w:rsid w:val="00971512"/>
    <w:rsid w:val="009717AC"/>
    <w:rsid w:val="00972B51"/>
    <w:rsid w:val="00973442"/>
    <w:rsid w:val="00973BF4"/>
    <w:rsid w:val="009751C1"/>
    <w:rsid w:val="009760C0"/>
    <w:rsid w:val="00976452"/>
    <w:rsid w:val="0097676C"/>
    <w:rsid w:val="009811F1"/>
    <w:rsid w:val="0098197F"/>
    <w:rsid w:val="00982E28"/>
    <w:rsid w:val="00983118"/>
    <w:rsid w:val="00983E57"/>
    <w:rsid w:val="00985DE2"/>
    <w:rsid w:val="0098675D"/>
    <w:rsid w:val="009919E5"/>
    <w:rsid w:val="00991AA1"/>
    <w:rsid w:val="009926E0"/>
    <w:rsid w:val="00993C03"/>
    <w:rsid w:val="0099451E"/>
    <w:rsid w:val="00995CBA"/>
    <w:rsid w:val="00996B1A"/>
    <w:rsid w:val="00996D69"/>
    <w:rsid w:val="009A0621"/>
    <w:rsid w:val="009A0B19"/>
    <w:rsid w:val="009A2DCC"/>
    <w:rsid w:val="009A5404"/>
    <w:rsid w:val="009A5A46"/>
    <w:rsid w:val="009A5ABC"/>
    <w:rsid w:val="009A6931"/>
    <w:rsid w:val="009A6E64"/>
    <w:rsid w:val="009A7F10"/>
    <w:rsid w:val="009B0E3B"/>
    <w:rsid w:val="009B3E26"/>
    <w:rsid w:val="009C0E61"/>
    <w:rsid w:val="009C17B6"/>
    <w:rsid w:val="009C1BBB"/>
    <w:rsid w:val="009C1CAA"/>
    <w:rsid w:val="009C3706"/>
    <w:rsid w:val="009C3A3A"/>
    <w:rsid w:val="009C569C"/>
    <w:rsid w:val="009C63D1"/>
    <w:rsid w:val="009C6CEA"/>
    <w:rsid w:val="009C7A38"/>
    <w:rsid w:val="009C7B85"/>
    <w:rsid w:val="009D0254"/>
    <w:rsid w:val="009D1752"/>
    <w:rsid w:val="009D1A64"/>
    <w:rsid w:val="009D34AF"/>
    <w:rsid w:val="009D4463"/>
    <w:rsid w:val="009D44F9"/>
    <w:rsid w:val="009D4AA0"/>
    <w:rsid w:val="009D5B91"/>
    <w:rsid w:val="009D6D9F"/>
    <w:rsid w:val="009D792E"/>
    <w:rsid w:val="009E0CF3"/>
    <w:rsid w:val="009E0DFE"/>
    <w:rsid w:val="009E18D2"/>
    <w:rsid w:val="009E31F6"/>
    <w:rsid w:val="009E4C07"/>
    <w:rsid w:val="009E6A8E"/>
    <w:rsid w:val="009F00CE"/>
    <w:rsid w:val="009F1CA5"/>
    <w:rsid w:val="009F1D32"/>
    <w:rsid w:val="009F4398"/>
    <w:rsid w:val="009F4E44"/>
    <w:rsid w:val="009F73F3"/>
    <w:rsid w:val="00A00295"/>
    <w:rsid w:val="00A01184"/>
    <w:rsid w:val="00A037C2"/>
    <w:rsid w:val="00A03D43"/>
    <w:rsid w:val="00A0408D"/>
    <w:rsid w:val="00A04380"/>
    <w:rsid w:val="00A04D0A"/>
    <w:rsid w:val="00A05472"/>
    <w:rsid w:val="00A05C32"/>
    <w:rsid w:val="00A0653F"/>
    <w:rsid w:val="00A077B4"/>
    <w:rsid w:val="00A11CD0"/>
    <w:rsid w:val="00A133D6"/>
    <w:rsid w:val="00A13948"/>
    <w:rsid w:val="00A1555B"/>
    <w:rsid w:val="00A155C5"/>
    <w:rsid w:val="00A16AD8"/>
    <w:rsid w:val="00A173D8"/>
    <w:rsid w:val="00A20176"/>
    <w:rsid w:val="00A2127E"/>
    <w:rsid w:val="00A21C95"/>
    <w:rsid w:val="00A21CF3"/>
    <w:rsid w:val="00A21E25"/>
    <w:rsid w:val="00A24813"/>
    <w:rsid w:val="00A2510E"/>
    <w:rsid w:val="00A251E7"/>
    <w:rsid w:val="00A25413"/>
    <w:rsid w:val="00A26069"/>
    <w:rsid w:val="00A27AEC"/>
    <w:rsid w:val="00A27DDD"/>
    <w:rsid w:val="00A320DB"/>
    <w:rsid w:val="00A33310"/>
    <w:rsid w:val="00A33675"/>
    <w:rsid w:val="00A33935"/>
    <w:rsid w:val="00A35C2C"/>
    <w:rsid w:val="00A35D16"/>
    <w:rsid w:val="00A37AC4"/>
    <w:rsid w:val="00A37BCD"/>
    <w:rsid w:val="00A37F8D"/>
    <w:rsid w:val="00A41689"/>
    <w:rsid w:val="00A42205"/>
    <w:rsid w:val="00A42454"/>
    <w:rsid w:val="00A42592"/>
    <w:rsid w:val="00A42840"/>
    <w:rsid w:val="00A429FF"/>
    <w:rsid w:val="00A43C59"/>
    <w:rsid w:val="00A447F6"/>
    <w:rsid w:val="00A44E50"/>
    <w:rsid w:val="00A44E79"/>
    <w:rsid w:val="00A450C0"/>
    <w:rsid w:val="00A45813"/>
    <w:rsid w:val="00A4674D"/>
    <w:rsid w:val="00A50ECD"/>
    <w:rsid w:val="00A51208"/>
    <w:rsid w:val="00A518F3"/>
    <w:rsid w:val="00A51DB8"/>
    <w:rsid w:val="00A52729"/>
    <w:rsid w:val="00A527E7"/>
    <w:rsid w:val="00A53675"/>
    <w:rsid w:val="00A541BA"/>
    <w:rsid w:val="00A548CD"/>
    <w:rsid w:val="00A55F72"/>
    <w:rsid w:val="00A56441"/>
    <w:rsid w:val="00A564D7"/>
    <w:rsid w:val="00A56B6A"/>
    <w:rsid w:val="00A578DC"/>
    <w:rsid w:val="00A60B3D"/>
    <w:rsid w:val="00A6324C"/>
    <w:rsid w:val="00A640E2"/>
    <w:rsid w:val="00A64D65"/>
    <w:rsid w:val="00A6725B"/>
    <w:rsid w:val="00A70082"/>
    <w:rsid w:val="00A70605"/>
    <w:rsid w:val="00A70A32"/>
    <w:rsid w:val="00A719C5"/>
    <w:rsid w:val="00A719D2"/>
    <w:rsid w:val="00A72F3A"/>
    <w:rsid w:val="00A73134"/>
    <w:rsid w:val="00A73A5A"/>
    <w:rsid w:val="00A76001"/>
    <w:rsid w:val="00A777B2"/>
    <w:rsid w:val="00A825D4"/>
    <w:rsid w:val="00A828F6"/>
    <w:rsid w:val="00A82B73"/>
    <w:rsid w:val="00A836A7"/>
    <w:rsid w:val="00A838C5"/>
    <w:rsid w:val="00A83A2E"/>
    <w:rsid w:val="00A8499B"/>
    <w:rsid w:val="00A85B0F"/>
    <w:rsid w:val="00A85B65"/>
    <w:rsid w:val="00A85FEF"/>
    <w:rsid w:val="00A86316"/>
    <w:rsid w:val="00A8669A"/>
    <w:rsid w:val="00A86E8B"/>
    <w:rsid w:val="00A87164"/>
    <w:rsid w:val="00A876BE"/>
    <w:rsid w:val="00A90F86"/>
    <w:rsid w:val="00A92ED0"/>
    <w:rsid w:val="00A93072"/>
    <w:rsid w:val="00A938BD"/>
    <w:rsid w:val="00A93953"/>
    <w:rsid w:val="00A959D8"/>
    <w:rsid w:val="00AA09AE"/>
    <w:rsid w:val="00AA113D"/>
    <w:rsid w:val="00AA296A"/>
    <w:rsid w:val="00AA33EA"/>
    <w:rsid w:val="00AA56DE"/>
    <w:rsid w:val="00AA6BD5"/>
    <w:rsid w:val="00AA6BD8"/>
    <w:rsid w:val="00AA6C7D"/>
    <w:rsid w:val="00AA739B"/>
    <w:rsid w:val="00AA7B51"/>
    <w:rsid w:val="00AA7FD6"/>
    <w:rsid w:val="00AB02D7"/>
    <w:rsid w:val="00AB042A"/>
    <w:rsid w:val="00AB19EF"/>
    <w:rsid w:val="00AB24EE"/>
    <w:rsid w:val="00AB2D34"/>
    <w:rsid w:val="00AB3430"/>
    <w:rsid w:val="00AB37B9"/>
    <w:rsid w:val="00AB4AD1"/>
    <w:rsid w:val="00AB5DF6"/>
    <w:rsid w:val="00AB5E07"/>
    <w:rsid w:val="00AB67D0"/>
    <w:rsid w:val="00AB71B9"/>
    <w:rsid w:val="00AB7816"/>
    <w:rsid w:val="00AB7CFA"/>
    <w:rsid w:val="00AC04CF"/>
    <w:rsid w:val="00AC093E"/>
    <w:rsid w:val="00AC09DE"/>
    <w:rsid w:val="00AC186A"/>
    <w:rsid w:val="00AC1CB6"/>
    <w:rsid w:val="00AC5693"/>
    <w:rsid w:val="00AC5B48"/>
    <w:rsid w:val="00AC5CCD"/>
    <w:rsid w:val="00AC74D8"/>
    <w:rsid w:val="00AD1450"/>
    <w:rsid w:val="00AD17A8"/>
    <w:rsid w:val="00AD380A"/>
    <w:rsid w:val="00AD3A47"/>
    <w:rsid w:val="00AD45C9"/>
    <w:rsid w:val="00AD5652"/>
    <w:rsid w:val="00AD5AA9"/>
    <w:rsid w:val="00AD6502"/>
    <w:rsid w:val="00AE0695"/>
    <w:rsid w:val="00AE0C07"/>
    <w:rsid w:val="00AE1130"/>
    <w:rsid w:val="00AE1FF9"/>
    <w:rsid w:val="00AE2274"/>
    <w:rsid w:val="00AE2994"/>
    <w:rsid w:val="00AE2E06"/>
    <w:rsid w:val="00AE3910"/>
    <w:rsid w:val="00AE3E7E"/>
    <w:rsid w:val="00AE5B04"/>
    <w:rsid w:val="00AF0399"/>
    <w:rsid w:val="00AF0AAA"/>
    <w:rsid w:val="00AF1315"/>
    <w:rsid w:val="00AF14C5"/>
    <w:rsid w:val="00AF1972"/>
    <w:rsid w:val="00AF19BF"/>
    <w:rsid w:val="00AF2263"/>
    <w:rsid w:val="00AF23CE"/>
    <w:rsid w:val="00AF2C9D"/>
    <w:rsid w:val="00AF2D75"/>
    <w:rsid w:val="00AF2DC3"/>
    <w:rsid w:val="00AF3BFB"/>
    <w:rsid w:val="00AF41A4"/>
    <w:rsid w:val="00AF49EE"/>
    <w:rsid w:val="00B007AD"/>
    <w:rsid w:val="00B02226"/>
    <w:rsid w:val="00B033E5"/>
    <w:rsid w:val="00B03A2C"/>
    <w:rsid w:val="00B03A63"/>
    <w:rsid w:val="00B04959"/>
    <w:rsid w:val="00B072E2"/>
    <w:rsid w:val="00B102F7"/>
    <w:rsid w:val="00B11504"/>
    <w:rsid w:val="00B122DE"/>
    <w:rsid w:val="00B12F4E"/>
    <w:rsid w:val="00B1387E"/>
    <w:rsid w:val="00B13DAB"/>
    <w:rsid w:val="00B13F78"/>
    <w:rsid w:val="00B158F6"/>
    <w:rsid w:val="00B201A4"/>
    <w:rsid w:val="00B201D1"/>
    <w:rsid w:val="00B213A6"/>
    <w:rsid w:val="00B22601"/>
    <w:rsid w:val="00B22B0B"/>
    <w:rsid w:val="00B235B0"/>
    <w:rsid w:val="00B241BA"/>
    <w:rsid w:val="00B2476E"/>
    <w:rsid w:val="00B24DF6"/>
    <w:rsid w:val="00B25C0D"/>
    <w:rsid w:val="00B26179"/>
    <w:rsid w:val="00B2626A"/>
    <w:rsid w:val="00B27692"/>
    <w:rsid w:val="00B27DD3"/>
    <w:rsid w:val="00B31FF7"/>
    <w:rsid w:val="00B32979"/>
    <w:rsid w:val="00B32CF5"/>
    <w:rsid w:val="00B34299"/>
    <w:rsid w:val="00B34FE2"/>
    <w:rsid w:val="00B35166"/>
    <w:rsid w:val="00B357D8"/>
    <w:rsid w:val="00B360F4"/>
    <w:rsid w:val="00B36A00"/>
    <w:rsid w:val="00B37BFC"/>
    <w:rsid w:val="00B37CF0"/>
    <w:rsid w:val="00B40324"/>
    <w:rsid w:val="00B40358"/>
    <w:rsid w:val="00B41614"/>
    <w:rsid w:val="00B41B7A"/>
    <w:rsid w:val="00B42851"/>
    <w:rsid w:val="00B42F80"/>
    <w:rsid w:val="00B43023"/>
    <w:rsid w:val="00B434B3"/>
    <w:rsid w:val="00B435CB"/>
    <w:rsid w:val="00B47E6B"/>
    <w:rsid w:val="00B505C8"/>
    <w:rsid w:val="00B50DB8"/>
    <w:rsid w:val="00B53654"/>
    <w:rsid w:val="00B53905"/>
    <w:rsid w:val="00B54211"/>
    <w:rsid w:val="00B54B5B"/>
    <w:rsid w:val="00B5562E"/>
    <w:rsid w:val="00B55D65"/>
    <w:rsid w:val="00B565D9"/>
    <w:rsid w:val="00B57000"/>
    <w:rsid w:val="00B57CBB"/>
    <w:rsid w:val="00B60939"/>
    <w:rsid w:val="00B60AFD"/>
    <w:rsid w:val="00B60BDA"/>
    <w:rsid w:val="00B60CDF"/>
    <w:rsid w:val="00B60F5A"/>
    <w:rsid w:val="00B62715"/>
    <w:rsid w:val="00B63AEE"/>
    <w:rsid w:val="00B63E10"/>
    <w:rsid w:val="00B64C60"/>
    <w:rsid w:val="00B65611"/>
    <w:rsid w:val="00B70E8E"/>
    <w:rsid w:val="00B74164"/>
    <w:rsid w:val="00B75782"/>
    <w:rsid w:val="00B75ABF"/>
    <w:rsid w:val="00B76C92"/>
    <w:rsid w:val="00B774D6"/>
    <w:rsid w:val="00B808CC"/>
    <w:rsid w:val="00B818A4"/>
    <w:rsid w:val="00B81A94"/>
    <w:rsid w:val="00B8269C"/>
    <w:rsid w:val="00B831DF"/>
    <w:rsid w:val="00B8403C"/>
    <w:rsid w:val="00B84117"/>
    <w:rsid w:val="00B857AF"/>
    <w:rsid w:val="00B858F0"/>
    <w:rsid w:val="00B85AA2"/>
    <w:rsid w:val="00B86212"/>
    <w:rsid w:val="00B8649C"/>
    <w:rsid w:val="00B8695D"/>
    <w:rsid w:val="00B87A25"/>
    <w:rsid w:val="00B87F0A"/>
    <w:rsid w:val="00B87FA3"/>
    <w:rsid w:val="00B92D0B"/>
    <w:rsid w:val="00B931A4"/>
    <w:rsid w:val="00B94945"/>
    <w:rsid w:val="00B94DD6"/>
    <w:rsid w:val="00B94E40"/>
    <w:rsid w:val="00B95D1C"/>
    <w:rsid w:val="00B964B0"/>
    <w:rsid w:val="00BA322D"/>
    <w:rsid w:val="00BA4C36"/>
    <w:rsid w:val="00BA5B33"/>
    <w:rsid w:val="00BA63FA"/>
    <w:rsid w:val="00BB00B3"/>
    <w:rsid w:val="00BB0BDD"/>
    <w:rsid w:val="00BB176C"/>
    <w:rsid w:val="00BB2A73"/>
    <w:rsid w:val="00BB3A45"/>
    <w:rsid w:val="00BB3EFF"/>
    <w:rsid w:val="00BB4ACC"/>
    <w:rsid w:val="00BB703E"/>
    <w:rsid w:val="00BB732D"/>
    <w:rsid w:val="00BB7405"/>
    <w:rsid w:val="00BB7AB7"/>
    <w:rsid w:val="00BB7E37"/>
    <w:rsid w:val="00BC0991"/>
    <w:rsid w:val="00BC2E3C"/>
    <w:rsid w:val="00BC30A0"/>
    <w:rsid w:val="00BC3631"/>
    <w:rsid w:val="00BC4AF0"/>
    <w:rsid w:val="00BC5257"/>
    <w:rsid w:val="00BC5742"/>
    <w:rsid w:val="00BC591F"/>
    <w:rsid w:val="00BC69F2"/>
    <w:rsid w:val="00BC6A06"/>
    <w:rsid w:val="00BC6BD4"/>
    <w:rsid w:val="00BC7D6D"/>
    <w:rsid w:val="00BD0FF2"/>
    <w:rsid w:val="00BD18CE"/>
    <w:rsid w:val="00BD193E"/>
    <w:rsid w:val="00BD1CA7"/>
    <w:rsid w:val="00BD1E1F"/>
    <w:rsid w:val="00BD2108"/>
    <w:rsid w:val="00BD24C0"/>
    <w:rsid w:val="00BD38EA"/>
    <w:rsid w:val="00BD4CFC"/>
    <w:rsid w:val="00BD4E82"/>
    <w:rsid w:val="00BD68A3"/>
    <w:rsid w:val="00BD6938"/>
    <w:rsid w:val="00BD6CF3"/>
    <w:rsid w:val="00BE0ECA"/>
    <w:rsid w:val="00BE2180"/>
    <w:rsid w:val="00BE21F2"/>
    <w:rsid w:val="00BE2BED"/>
    <w:rsid w:val="00BE4275"/>
    <w:rsid w:val="00BE5D92"/>
    <w:rsid w:val="00BF06AE"/>
    <w:rsid w:val="00BF0F95"/>
    <w:rsid w:val="00BF2433"/>
    <w:rsid w:val="00BF5118"/>
    <w:rsid w:val="00BF5ECF"/>
    <w:rsid w:val="00BF61C9"/>
    <w:rsid w:val="00BF6545"/>
    <w:rsid w:val="00BF6C94"/>
    <w:rsid w:val="00BF6F95"/>
    <w:rsid w:val="00C00424"/>
    <w:rsid w:val="00C0098A"/>
    <w:rsid w:val="00C00A02"/>
    <w:rsid w:val="00C042DD"/>
    <w:rsid w:val="00C0555D"/>
    <w:rsid w:val="00C06FEF"/>
    <w:rsid w:val="00C1030A"/>
    <w:rsid w:val="00C10F58"/>
    <w:rsid w:val="00C1179F"/>
    <w:rsid w:val="00C1251E"/>
    <w:rsid w:val="00C12C14"/>
    <w:rsid w:val="00C132E4"/>
    <w:rsid w:val="00C135C0"/>
    <w:rsid w:val="00C15F04"/>
    <w:rsid w:val="00C16F5B"/>
    <w:rsid w:val="00C179B3"/>
    <w:rsid w:val="00C17E3F"/>
    <w:rsid w:val="00C20045"/>
    <w:rsid w:val="00C200AA"/>
    <w:rsid w:val="00C218D7"/>
    <w:rsid w:val="00C237ED"/>
    <w:rsid w:val="00C24200"/>
    <w:rsid w:val="00C24632"/>
    <w:rsid w:val="00C25418"/>
    <w:rsid w:val="00C25D9C"/>
    <w:rsid w:val="00C2708A"/>
    <w:rsid w:val="00C2778B"/>
    <w:rsid w:val="00C30B93"/>
    <w:rsid w:val="00C31649"/>
    <w:rsid w:val="00C31943"/>
    <w:rsid w:val="00C31A06"/>
    <w:rsid w:val="00C31C0E"/>
    <w:rsid w:val="00C328A0"/>
    <w:rsid w:val="00C3382C"/>
    <w:rsid w:val="00C3434C"/>
    <w:rsid w:val="00C3510B"/>
    <w:rsid w:val="00C36D50"/>
    <w:rsid w:val="00C3716C"/>
    <w:rsid w:val="00C37730"/>
    <w:rsid w:val="00C37FB1"/>
    <w:rsid w:val="00C40385"/>
    <w:rsid w:val="00C40704"/>
    <w:rsid w:val="00C40EB1"/>
    <w:rsid w:val="00C41768"/>
    <w:rsid w:val="00C422E1"/>
    <w:rsid w:val="00C42388"/>
    <w:rsid w:val="00C42B75"/>
    <w:rsid w:val="00C42BBE"/>
    <w:rsid w:val="00C44888"/>
    <w:rsid w:val="00C4623C"/>
    <w:rsid w:val="00C46A95"/>
    <w:rsid w:val="00C475AA"/>
    <w:rsid w:val="00C50A03"/>
    <w:rsid w:val="00C52052"/>
    <w:rsid w:val="00C5231B"/>
    <w:rsid w:val="00C5239A"/>
    <w:rsid w:val="00C52E9E"/>
    <w:rsid w:val="00C53C98"/>
    <w:rsid w:val="00C54E4E"/>
    <w:rsid w:val="00C5577E"/>
    <w:rsid w:val="00C558F1"/>
    <w:rsid w:val="00C564F3"/>
    <w:rsid w:val="00C56FCF"/>
    <w:rsid w:val="00C57B6C"/>
    <w:rsid w:val="00C57C67"/>
    <w:rsid w:val="00C6089A"/>
    <w:rsid w:val="00C628A6"/>
    <w:rsid w:val="00C629AB"/>
    <w:rsid w:val="00C639EE"/>
    <w:rsid w:val="00C63A12"/>
    <w:rsid w:val="00C64344"/>
    <w:rsid w:val="00C64514"/>
    <w:rsid w:val="00C65108"/>
    <w:rsid w:val="00C65576"/>
    <w:rsid w:val="00C656AE"/>
    <w:rsid w:val="00C65C10"/>
    <w:rsid w:val="00C65FD3"/>
    <w:rsid w:val="00C66165"/>
    <w:rsid w:val="00C7060A"/>
    <w:rsid w:val="00C710CE"/>
    <w:rsid w:val="00C7151A"/>
    <w:rsid w:val="00C717E3"/>
    <w:rsid w:val="00C71F60"/>
    <w:rsid w:val="00C72241"/>
    <w:rsid w:val="00C726C5"/>
    <w:rsid w:val="00C72BBF"/>
    <w:rsid w:val="00C72BC4"/>
    <w:rsid w:val="00C7313F"/>
    <w:rsid w:val="00C750C8"/>
    <w:rsid w:val="00C7560F"/>
    <w:rsid w:val="00C76B1E"/>
    <w:rsid w:val="00C801ED"/>
    <w:rsid w:val="00C80A0E"/>
    <w:rsid w:val="00C80B12"/>
    <w:rsid w:val="00C81E88"/>
    <w:rsid w:val="00C8213F"/>
    <w:rsid w:val="00C83ADA"/>
    <w:rsid w:val="00C84A88"/>
    <w:rsid w:val="00C85154"/>
    <w:rsid w:val="00C851B0"/>
    <w:rsid w:val="00C8594B"/>
    <w:rsid w:val="00C86906"/>
    <w:rsid w:val="00C87247"/>
    <w:rsid w:val="00C8797A"/>
    <w:rsid w:val="00C900B8"/>
    <w:rsid w:val="00C90C71"/>
    <w:rsid w:val="00C91FD1"/>
    <w:rsid w:val="00C922D0"/>
    <w:rsid w:val="00C92406"/>
    <w:rsid w:val="00C92501"/>
    <w:rsid w:val="00C928D3"/>
    <w:rsid w:val="00C931CF"/>
    <w:rsid w:val="00C938CF"/>
    <w:rsid w:val="00C94053"/>
    <w:rsid w:val="00C95F61"/>
    <w:rsid w:val="00C9624D"/>
    <w:rsid w:val="00C96594"/>
    <w:rsid w:val="00C9687D"/>
    <w:rsid w:val="00C969DA"/>
    <w:rsid w:val="00C97065"/>
    <w:rsid w:val="00C972B2"/>
    <w:rsid w:val="00CA26E4"/>
    <w:rsid w:val="00CA2C77"/>
    <w:rsid w:val="00CA2DC2"/>
    <w:rsid w:val="00CA3350"/>
    <w:rsid w:val="00CA41D0"/>
    <w:rsid w:val="00CA4427"/>
    <w:rsid w:val="00CA444F"/>
    <w:rsid w:val="00CA5245"/>
    <w:rsid w:val="00CA6853"/>
    <w:rsid w:val="00CA6D03"/>
    <w:rsid w:val="00CA71F4"/>
    <w:rsid w:val="00CA7B09"/>
    <w:rsid w:val="00CB0628"/>
    <w:rsid w:val="00CB12A5"/>
    <w:rsid w:val="00CB1CAC"/>
    <w:rsid w:val="00CB2F2A"/>
    <w:rsid w:val="00CB30DB"/>
    <w:rsid w:val="00CB3CB6"/>
    <w:rsid w:val="00CB496E"/>
    <w:rsid w:val="00CB4BB3"/>
    <w:rsid w:val="00CB5B1A"/>
    <w:rsid w:val="00CB6B22"/>
    <w:rsid w:val="00CB7D9E"/>
    <w:rsid w:val="00CB7F5F"/>
    <w:rsid w:val="00CC02E6"/>
    <w:rsid w:val="00CC1B39"/>
    <w:rsid w:val="00CC23B4"/>
    <w:rsid w:val="00CC35EA"/>
    <w:rsid w:val="00CC373C"/>
    <w:rsid w:val="00CC3848"/>
    <w:rsid w:val="00CC46F7"/>
    <w:rsid w:val="00CC71CC"/>
    <w:rsid w:val="00CC755B"/>
    <w:rsid w:val="00CD1452"/>
    <w:rsid w:val="00CD1F6E"/>
    <w:rsid w:val="00CD3F77"/>
    <w:rsid w:val="00CD5EBB"/>
    <w:rsid w:val="00CD6ADC"/>
    <w:rsid w:val="00CD7193"/>
    <w:rsid w:val="00CE0370"/>
    <w:rsid w:val="00CE38C8"/>
    <w:rsid w:val="00CE5833"/>
    <w:rsid w:val="00CE6274"/>
    <w:rsid w:val="00CE6E07"/>
    <w:rsid w:val="00CE77B6"/>
    <w:rsid w:val="00CF2B8D"/>
    <w:rsid w:val="00CF456B"/>
    <w:rsid w:val="00CF5A22"/>
    <w:rsid w:val="00CF65EE"/>
    <w:rsid w:val="00CF7161"/>
    <w:rsid w:val="00D00166"/>
    <w:rsid w:val="00D0262E"/>
    <w:rsid w:val="00D038EF"/>
    <w:rsid w:val="00D059D4"/>
    <w:rsid w:val="00D05E3D"/>
    <w:rsid w:val="00D06139"/>
    <w:rsid w:val="00D0671D"/>
    <w:rsid w:val="00D06972"/>
    <w:rsid w:val="00D078C3"/>
    <w:rsid w:val="00D10F6B"/>
    <w:rsid w:val="00D110BD"/>
    <w:rsid w:val="00D11102"/>
    <w:rsid w:val="00D13675"/>
    <w:rsid w:val="00D13CC3"/>
    <w:rsid w:val="00D141E1"/>
    <w:rsid w:val="00D14DF7"/>
    <w:rsid w:val="00D15314"/>
    <w:rsid w:val="00D15696"/>
    <w:rsid w:val="00D15AF8"/>
    <w:rsid w:val="00D166F9"/>
    <w:rsid w:val="00D17D6C"/>
    <w:rsid w:val="00D2155B"/>
    <w:rsid w:val="00D22FF9"/>
    <w:rsid w:val="00D23D11"/>
    <w:rsid w:val="00D244B6"/>
    <w:rsid w:val="00D250E0"/>
    <w:rsid w:val="00D2705A"/>
    <w:rsid w:val="00D2754D"/>
    <w:rsid w:val="00D27B27"/>
    <w:rsid w:val="00D30EAE"/>
    <w:rsid w:val="00D3256E"/>
    <w:rsid w:val="00D32BBE"/>
    <w:rsid w:val="00D33BE9"/>
    <w:rsid w:val="00D33F93"/>
    <w:rsid w:val="00D357FF"/>
    <w:rsid w:val="00D377CB"/>
    <w:rsid w:val="00D37A54"/>
    <w:rsid w:val="00D403D6"/>
    <w:rsid w:val="00D407E3"/>
    <w:rsid w:val="00D41AA3"/>
    <w:rsid w:val="00D424C7"/>
    <w:rsid w:val="00D42A07"/>
    <w:rsid w:val="00D43B2A"/>
    <w:rsid w:val="00D43D83"/>
    <w:rsid w:val="00D45554"/>
    <w:rsid w:val="00D4734E"/>
    <w:rsid w:val="00D47575"/>
    <w:rsid w:val="00D50D27"/>
    <w:rsid w:val="00D5243B"/>
    <w:rsid w:val="00D5249D"/>
    <w:rsid w:val="00D52B59"/>
    <w:rsid w:val="00D533EC"/>
    <w:rsid w:val="00D54DD0"/>
    <w:rsid w:val="00D55B83"/>
    <w:rsid w:val="00D56453"/>
    <w:rsid w:val="00D56A95"/>
    <w:rsid w:val="00D60C15"/>
    <w:rsid w:val="00D61AD4"/>
    <w:rsid w:val="00D65BDE"/>
    <w:rsid w:val="00D65E08"/>
    <w:rsid w:val="00D70F16"/>
    <w:rsid w:val="00D72F57"/>
    <w:rsid w:val="00D74008"/>
    <w:rsid w:val="00D74917"/>
    <w:rsid w:val="00D76078"/>
    <w:rsid w:val="00D76A44"/>
    <w:rsid w:val="00D815EF"/>
    <w:rsid w:val="00D81F26"/>
    <w:rsid w:val="00D82B4E"/>
    <w:rsid w:val="00D84C18"/>
    <w:rsid w:val="00D86231"/>
    <w:rsid w:val="00D870FB"/>
    <w:rsid w:val="00D90EED"/>
    <w:rsid w:val="00D9106A"/>
    <w:rsid w:val="00D9160F"/>
    <w:rsid w:val="00D91923"/>
    <w:rsid w:val="00D92D14"/>
    <w:rsid w:val="00D93753"/>
    <w:rsid w:val="00D937C2"/>
    <w:rsid w:val="00D942F8"/>
    <w:rsid w:val="00D94521"/>
    <w:rsid w:val="00D94C51"/>
    <w:rsid w:val="00D9675E"/>
    <w:rsid w:val="00D96FA3"/>
    <w:rsid w:val="00D9728F"/>
    <w:rsid w:val="00DA140A"/>
    <w:rsid w:val="00DA18EC"/>
    <w:rsid w:val="00DA25BE"/>
    <w:rsid w:val="00DA2612"/>
    <w:rsid w:val="00DA2A83"/>
    <w:rsid w:val="00DA3167"/>
    <w:rsid w:val="00DA4DC3"/>
    <w:rsid w:val="00DA5E84"/>
    <w:rsid w:val="00DA68E3"/>
    <w:rsid w:val="00DA77A5"/>
    <w:rsid w:val="00DB391E"/>
    <w:rsid w:val="00DB3DBF"/>
    <w:rsid w:val="00DB484F"/>
    <w:rsid w:val="00DB5841"/>
    <w:rsid w:val="00DB5CCE"/>
    <w:rsid w:val="00DB6367"/>
    <w:rsid w:val="00DB6543"/>
    <w:rsid w:val="00DC04F6"/>
    <w:rsid w:val="00DC0690"/>
    <w:rsid w:val="00DC1D65"/>
    <w:rsid w:val="00DC2017"/>
    <w:rsid w:val="00DC3334"/>
    <w:rsid w:val="00DC3AE4"/>
    <w:rsid w:val="00DC3C14"/>
    <w:rsid w:val="00DC3C57"/>
    <w:rsid w:val="00DC3D77"/>
    <w:rsid w:val="00DC402D"/>
    <w:rsid w:val="00DC5501"/>
    <w:rsid w:val="00DC70FF"/>
    <w:rsid w:val="00DC7154"/>
    <w:rsid w:val="00DC72CD"/>
    <w:rsid w:val="00DC7E8A"/>
    <w:rsid w:val="00DD0D33"/>
    <w:rsid w:val="00DD0F78"/>
    <w:rsid w:val="00DD1BE6"/>
    <w:rsid w:val="00DD273C"/>
    <w:rsid w:val="00DD37C4"/>
    <w:rsid w:val="00DD3F28"/>
    <w:rsid w:val="00DD4537"/>
    <w:rsid w:val="00DD4620"/>
    <w:rsid w:val="00DD4E15"/>
    <w:rsid w:val="00DD556F"/>
    <w:rsid w:val="00DD5D0B"/>
    <w:rsid w:val="00DD6383"/>
    <w:rsid w:val="00DD6532"/>
    <w:rsid w:val="00DE1A68"/>
    <w:rsid w:val="00DE2304"/>
    <w:rsid w:val="00DE2642"/>
    <w:rsid w:val="00DE3138"/>
    <w:rsid w:val="00DE37F8"/>
    <w:rsid w:val="00DE4FCB"/>
    <w:rsid w:val="00DE5289"/>
    <w:rsid w:val="00DE560D"/>
    <w:rsid w:val="00DE5D07"/>
    <w:rsid w:val="00DE67CF"/>
    <w:rsid w:val="00DE72A7"/>
    <w:rsid w:val="00DE7832"/>
    <w:rsid w:val="00DF004F"/>
    <w:rsid w:val="00DF05F7"/>
    <w:rsid w:val="00DF18FC"/>
    <w:rsid w:val="00DF5B50"/>
    <w:rsid w:val="00DF5D2B"/>
    <w:rsid w:val="00DF6695"/>
    <w:rsid w:val="00DF7F4E"/>
    <w:rsid w:val="00E00E8E"/>
    <w:rsid w:val="00E022A8"/>
    <w:rsid w:val="00E02AE0"/>
    <w:rsid w:val="00E05630"/>
    <w:rsid w:val="00E06DBB"/>
    <w:rsid w:val="00E07C27"/>
    <w:rsid w:val="00E10149"/>
    <w:rsid w:val="00E112CF"/>
    <w:rsid w:val="00E11340"/>
    <w:rsid w:val="00E122A1"/>
    <w:rsid w:val="00E13675"/>
    <w:rsid w:val="00E16312"/>
    <w:rsid w:val="00E16372"/>
    <w:rsid w:val="00E17B1E"/>
    <w:rsid w:val="00E20E4D"/>
    <w:rsid w:val="00E20ED6"/>
    <w:rsid w:val="00E21358"/>
    <w:rsid w:val="00E216CC"/>
    <w:rsid w:val="00E21C00"/>
    <w:rsid w:val="00E21DDB"/>
    <w:rsid w:val="00E2249B"/>
    <w:rsid w:val="00E22A0D"/>
    <w:rsid w:val="00E22EA6"/>
    <w:rsid w:val="00E23E8B"/>
    <w:rsid w:val="00E244F6"/>
    <w:rsid w:val="00E24C1A"/>
    <w:rsid w:val="00E252BB"/>
    <w:rsid w:val="00E25DD0"/>
    <w:rsid w:val="00E266AD"/>
    <w:rsid w:val="00E26AD3"/>
    <w:rsid w:val="00E273AC"/>
    <w:rsid w:val="00E2771E"/>
    <w:rsid w:val="00E30838"/>
    <w:rsid w:val="00E311EF"/>
    <w:rsid w:val="00E32180"/>
    <w:rsid w:val="00E32456"/>
    <w:rsid w:val="00E33206"/>
    <w:rsid w:val="00E3356C"/>
    <w:rsid w:val="00E34948"/>
    <w:rsid w:val="00E34AEA"/>
    <w:rsid w:val="00E34D3A"/>
    <w:rsid w:val="00E359CD"/>
    <w:rsid w:val="00E37569"/>
    <w:rsid w:val="00E401B2"/>
    <w:rsid w:val="00E414D9"/>
    <w:rsid w:val="00E41732"/>
    <w:rsid w:val="00E41E30"/>
    <w:rsid w:val="00E42F73"/>
    <w:rsid w:val="00E43D70"/>
    <w:rsid w:val="00E447D5"/>
    <w:rsid w:val="00E45271"/>
    <w:rsid w:val="00E45F4D"/>
    <w:rsid w:val="00E46277"/>
    <w:rsid w:val="00E462F6"/>
    <w:rsid w:val="00E466F3"/>
    <w:rsid w:val="00E46783"/>
    <w:rsid w:val="00E47B2C"/>
    <w:rsid w:val="00E51560"/>
    <w:rsid w:val="00E5188A"/>
    <w:rsid w:val="00E52897"/>
    <w:rsid w:val="00E53FC8"/>
    <w:rsid w:val="00E54347"/>
    <w:rsid w:val="00E54D92"/>
    <w:rsid w:val="00E55424"/>
    <w:rsid w:val="00E55915"/>
    <w:rsid w:val="00E55BB5"/>
    <w:rsid w:val="00E55CCF"/>
    <w:rsid w:val="00E57341"/>
    <w:rsid w:val="00E57DE4"/>
    <w:rsid w:val="00E6053C"/>
    <w:rsid w:val="00E6226F"/>
    <w:rsid w:val="00E6311A"/>
    <w:rsid w:val="00E63167"/>
    <w:rsid w:val="00E65E79"/>
    <w:rsid w:val="00E663A5"/>
    <w:rsid w:val="00E66717"/>
    <w:rsid w:val="00E66BA2"/>
    <w:rsid w:val="00E67416"/>
    <w:rsid w:val="00E70C21"/>
    <w:rsid w:val="00E71130"/>
    <w:rsid w:val="00E718B6"/>
    <w:rsid w:val="00E723BA"/>
    <w:rsid w:val="00E72C26"/>
    <w:rsid w:val="00E73581"/>
    <w:rsid w:val="00E75AB2"/>
    <w:rsid w:val="00E75F7F"/>
    <w:rsid w:val="00E81972"/>
    <w:rsid w:val="00E81EB7"/>
    <w:rsid w:val="00E825E0"/>
    <w:rsid w:val="00E82E9F"/>
    <w:rsid w:val="00E833F7"/>
    <w:rsid w:val="00E835F2"/>
    <w:rsid w:val="00E83BDF"/>
    <w:rsid w:val="00E8488B"/>
    <w:rsid w:val="00E85234"/>
    <w:rsid w:val="00E87A1D"/>
    <w:rsid w:val="00E9094A"/>
    <w:rsid w:val="00E91D35"/>
    <w:rsid w:val="00E926A5"/>
    <w:rsid w:val="00E92D85"/>
    <w:rsid w:val="00E937BB"/>
    <w:rsid w:val="00E93D45"/>
    <w:rsid w:val="00E942F8"/>
    <w:rsid w:val="00E94644"/>
    <w:rsid w:val="00EA0B8D"/>
    <w:rsid w:val="00EA0D72"/>
    <w:rsid w:val="00EA17C3"/>
    <w:rsid w:val="00EA226D"/>
    <w:rsid w:val="00EA2A9C"/>
    <w:rsid w:val="00EA2CAA"/>
    <w:rsid w:val="00EA3864"/>
    <w:rsid w:val="00EA3FE0"/>
    <w:rsid w:val="00EA623D"/>
    <w:rsid w:val="00EA74DE"/>
    <w:rsid w:val="00EA7F1C"/>
    <w:rsid w:val="00EB15B6"/>
    <w:rsid w:val="00EB2DEA"/>
    <w:rsid w:val="00EB3743"/>
    <w:rsid w:val="00EB3BA5"/>
    <w:rsid w:val="00EB3D06"/>
    <w:rsid w:val="00EB4916"/>
    <w:rsid w:val="00EB4ACF"/>
    <w:rsid w:val="00EB4D3B"/>
    <w:rsid w:val="00EB5F76"/>
    <w:rsid w:val="00EB6C85"/>
    <w:rsid w:val="00EB771A"/>
    <w:rsid w:val="00EC00C9"/>
    <w:rsid w:val="00EC0DD9"/>
    <w:rsid w:val="00EC127E"/>
    <w:rsid w:val="00EC2649"/>
    <w:rsid w:val="00EC2FC6"/>
    <w:rsid w:val="00EC31ED"/>
    <w:rsid w:val="00EC3D29"/>
    <w:rsid w:val="00EC4107"/>
    <w:rsid w:val="00EC5836"/>
    <w:rsid w:val="00EC688C"/>
    <w:rsid w:val="00ED0A4E"/>
    <w:rsid w:val="00ED0C72"/>
    <w:rsid w:val="00ED24D6"/>
    <w:rsid w:val="00ED3BA6"/>
    <w:rsid w:val="00ED57EA"/>
    <w:rsid w:val="00ED5BD4"/>
    <w:rsid w:val="00ED5D98"/>
    <w:rsid w:val="00EE07D3"/>
    <w:rsid w:val="00EE0B88"/>
    <w:rsid w:val="00EE191F"/>
    <w:rsid w:val="00EE1996"/>
    <w:rsid w:val="00EE1C01"/>
    <w:rsid w:val="00EE22AF"/>
    <w:rsid w:val="00EE3BB8"/>
    <w:rsid w:val="00EE606A"/>
    <w:rsid w:val="00EE6514"/>
    <w:rsid w:val="00EF0171"/>
    <w:rsid w:val="00EF0233"/>
    <w:rsid w:val="00EF1B25"/>
    <w:rsid w:val="00EF1DA0"/>
    <w:rsid w:val="00EF439A"/>
    <w:rsid w:val="00EF4747"/>
    <w:rsid w:val="00EF4BF8"/>
    <w:rsid w:val="00EF4DF7"/>
    <w:rsid w:val="00EF6D7B"/>
    <w:rsid w:val="00F004B2"/>
    <w:rsid w:val="00F01B15"/>
    <w:rsid w:val="00F02253"/>
    <w:rsid w:val="00F03C2E"/>
    <w:rsid w:val="00F04162"/>
    <w:rsid w:val="00F04A66"/>
    <w:rsid w:val="00F04B4B"/>
    <w:rsid w:val="00F0516C"/>
    <w:rsid w:val="00F067A2"/>
    <w:rsid w:val="00F06BEF"/>
    <w:rsid w:val="00F06D67"/>
    <w:rsid w:val="00F07B9E"/>
    <w:rsid w:val="00F1116F"/>
    <w:rsid w:val="00F1263A"/>
    <w:rsid w:val="00F12A15"/>
    <w:rsid w:val="00F12AC2"/>
    <w:rsid w:val="00F1323E"/>
    <w:rsid w:val="00F135DB"/>
    <w:rsid w:val="00F13A1F"/>
    <w:rsid w:val="00F14D49"/>
    <w:rsid w:val="00F15B77"/>
    <w:rsid w:val="00F17355"/>
    <w:rsid w:val="00F22666"/>
    <w:rsid w:val="00F233E7"/>
    <w:rsid w:val="00F240DE"/>
    <w:rsid w:val="00F24837"/>
    <w:rsid w:val="00F24E2D"/>
    <w:rsid w:val="00F2575F"/>
    <w:rsid w:val="00F27565"/>
    <w:rsid w:val="00F2781E"/>
    <w:rsid w:val="00F27FC3"/>
    <w:rsid w:val="00F30036"/>
    <w:rsid w:val="00F30749"/>
    <w:rsid w:val="00F310D4"/>
    <w:rsid w:val="00F31D5A"/>
    <w:rsid w:val="00F33975"/>
    <w:rsid w:val="00F33DE9"/>
    <w:rsid w:val="00F35E6D"/>
    <w:rsid w:val="00F3619A"/>
    <w:rsid w:val="00F37059"/>
    <w:rsid w:val="00F37891"/>
    <w:rsid w:val="00F401FF"/>
    <w:rsid w:val="00F40AAA"/>
    <w:rsid w:val="00F40BA7"/>
    <w:rsid w:val="00F40F9D"/>
    <w:rsid w:val="00F4194E"/>
    <w:rsid w:val="00F41ACD"/>
    <w:rsid w:val="00F41B5D"/>
    <w:rsid w:val="00F41E61"/>
    <w:rsid w:val="00F420BC"/>
    <w:rsid w:val="00F4222F"/>
    <w:rsid w:val="00F45873"/>
    <w:rsid w:val="00F46813"/>
    <w:rsid w:val="00F46CB6"/>
    <w:rsid w:val="00F4756D"/>
    <w:rsid w:val="00F47CE6"/>
    <w:rsid w:val="00F47DE8"/>
    <w:rsid w:val="00F500C9"/>
    <w:rsid w:val="00F50609"/>
    <w:rsid w:val="00F527A2"/>
    <w:rsid w:val="00F52F00"/>
    <w:rsid w:val="00F542C1"/>
    <w:rsid w:val="00F542D4"/>
    <w:rsid w:val="00F5459A"/>
    <w:rsid w:val="00F54824"/>
    <w:rsid w:val="00F55E73"/>
    <w:rsid w:val="00F55EDA"/>
    <w:rsid w:val="00F56C80"/>
    <w:rsid w:val="00F571EA"/>
    <w:rsid w:val="00F60092"/>
    <w:rsid w:val="00F6047B"/>
    <w:rsid w:val="00F6191D"/>
    <w:rsid w:val="00F61C18"/>
    <w:rsid w:val="00F63096"/>
    <w:rsid w:val="00F642E7"/>
    <w:rsid w:val="00F65080"/>
    <w:rsid w:val="00F6525D"/>
    <w:rsid w:val="00F65643"/>
    <w:rsid w:val="00F6584C"/>
    <w:rsid w:val="00F6594D"/>
    <w:rsid w:val="00F65F4B"/>
    <w:rsid w:val="00F66C30"/>
    <w:rsid w:val="00F66E44"/>
    <w:rsid w:val="00F67A69"/>
    <w:rsid w:val="00F70054"/>
    <w:rsid w:val="00F70BFF"/>
    <w:rsid w:val="00F70C8B"/>
    <w:rsid w:val="00F70C9D"/>
    <w:rsid w:val="00F7180E"/>
    <w:rsid w:val="00F72310"/>
    <w:rsid w:val="00F74CD9"/>
    <w:rsid w:val="00F80A7B"/>
    <w:rsid w:val="00F80E5D"/>
    <w:rsid w:val="00F81613"/>
    <w:rsid w:val="00F81B17"/>
    <w:rsid w:val="00F81E78"/>
    <w:rsid w:val="00F851CE"/>
    <w:rsid w:val="00F87CD8"/>
    <w:rsid w:val="00F90B96"/>
    <w:rsid w:val="00F91219"/>
    <w:rsid w:val="00F91A28"/>
    <w:rsid w:val="00F91E31"/>
    <w:rsid w:val="00F921C1"/>
    <w:rsid w:val="00F92444"/>
    <w:rsid w:val="00F9393E"/>
    <w:rsid w:val="00F94F80"/>
    <w:rsid w:val="00F96FD0"/>
    <w:rsid w:val="00F97A78"/>
    <w:rsid w:val="00FA0B20"/>
    <w:rsid w:val="00FA1123"/>
    <w:rsid w:val="00FA24E7"/>
    <w:rsid w:val="00FA2BDB"/>
    <w:rsid w:val="00FA3B11"/>
    <w:rsid w:val="00FA459D"/>
    <w:rsid w:val="00FA51F2"/>
    <w:rsid w:val="00FA5D74"/>
    <w:rsid w:val="00FA5EE6"/>
    <w:rsid w:val="00FA5F36"/>
    <w:rsid w:val="00FA6AFC"/>
    <w:rsid w:val="00FA7956"/>
    <w:rsid w:val="00FB0F76"/>
    <w:rsid w:val="00FB0FF4"/>
    <w:rsid w:val="00FB186A"/>
    <w:rsid w:val="00FB2FCB"/>
    <w:rsid w:val="00FB539A"/>
    <w:rsid w:val="00FB6DFF"/>
    <w:rsid w:val="00FB7C55"/>
    <w:rsid w:val="00FB7CA0"/>
    <w:rsid w:val="00FC015C"/>
    <w:rsid w:val="00FC0349"/>
    <w:rsid w:val="00FC1074"/>
    <w:rsid w:val="00FC1884"/>
    <w:rsid w:val="00FC293F"/>
    <w:rsid w:val="00FC3267"/>
    <w:rsid w:val="00FC371D"/>
    <w:rsid w:val="00FC5F0B"/>
    <w:rsid w:val="00FC6EF0"/>
    <w:rsid w:val="00FD1C4A"/>
    <w:rsid w:val="00FD2100"/>
    <w:rsid w:val="00FD221B"/>
    <w:rsid w:val="00FD293D"/>
    <w:rsid w:val="00FD3230"/>
    <w:rsid w:val="00FD436C"/>
    <w:rsid w:val="00FD446D"/>
    <w:rsid w:val="00FD4F2C"/>
    <w:rsid w:val="00FD5DEC"/>
    <w:rsid w:val="00FD5EFE"/>
    <w:rsid w:val="00FD6154"/>
    <w:rsid w:val="00FD6394"/>
    <w:rsid w:val="00FE0E6C"/>
    <w:rsid w:val="00FE1CDC"/>
    <w:rsid w:val="00FE26A0"/>
    <w:rsid w:val="00FE3431"/>
    <w:rsid w:val="00FE7023"/>
    <w:rsid w:val="00FE70C3"/>
    <w:rsid w:val="00FF0799"/>
    <w:rsid w:val="00FF2AD9"/>
    <w:rsid w:val="00FF2DE0"/>
    <w:rsid w:val="00FF359F"/>
    <w:rsid w:val="00FF3DCF"/>
    <w:rsid w:val="00FF492C"/>
    <w:rsid w:val="00FF4A21"/>
    <w:rsid w:val="00FF536F"/>
    <w:rsid w:val="00FF5AA3"/>
    <w:rsid w:val="00FF5AD8"/>
    <w:rsid w:val="00FF6B29"/>
    <w:rsid w:val="00FF6FDB"/>
    <w:rsid w:val="00FF7012"/>
    <w:rsid w:val="00FF78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83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E9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L,Bullet Point,Bulletr List Paragraph,Content descriptions,FooterText,List Bullet 1,List Paragraph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L Char,Bullet Point Char,Content descriptions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MainBodyText">
    <w:name w:val="Main Body Text"/>
    <w:basedOn w:val="Normal"/>
    <w:link w:val="MainBodyTextChar"/>
    <w:rsid w:val="0070720B"/>
    <w:pPr>
      <w:spacing w:after="160" w:line="276" w:lineRule="auto"/>
    </w:pPr>
    <w:rPr>
      <w:rFonts w:ascii="Arial" w:hAnsi="Arial" w:cs="Times New Roman"/>
      <w:sz w:val="22"/>
      <w:szCs w:val="22"/>
    </w:rPr>
  </w:style>
  <w:style w:type="character" w:customStyle="1" w:styleId="MainBodyTextChar">
    <w:name w:val="Main Body Text Char"/>
    <w:link w:val="MainBodyText"/>
    <w:rsid w:val="0070720B"/>
    <w:rPr>
      <w:rFonts w:ascii="Arial" w:hAnsi="Arial"/>
      <w:sz w:val="22"/>
      <w:szCs w:val="22"/>
    </w:rPr>
  </w:style>
  <w:style w:type="paragraph" w:styleId="FootnoteText">
    <w:name w:val="footnote text"/>
    <w:basedOn w:val="Normal"/>
    <w:link w:val="FootnoteTextChar"/>
    <w:unhideWhenUsed/>
    <w:rsid w:val="0052724C"/>
    <w:rPr>
      <w:sz w:val="20"/>
      <w:szCs w:val="20"/>
    </w:rPr>
  </w:style>
  <w:style w:type="character" w:customStyle="1" w:styleId="FootnoteTextChar">
    <w:name w:val="Footnote Text Char"/>
    <w:basedOn w:val="DefaultParagraphFont"/>
    <w:link w:val="FootnoteText"/>
    <w:rsid w:val="0052724C"/>
    <w:rPr>
      <w:rFonts w:ascii="Calibri" w:hAnsi="Calibri" w:cs="Arial"/>
    </w:rPr>
  </w:style>
  <w:style w:type="character" w:styleId="FootnoteReference">
    <w:name w:val="footnote reference"/>
    <w:basedOn w:val="DefaultParagraphFont"/>
    <w:semiHidden/>
    <w:unhideWhenUsed/>
    <w:rsid w:val="0052724C"/>
    <w:rPr>
      <w:vertAlign w:val="superscript"/>
    </w:rPr>
  </w:style>
  <w:style w:type="paragraph" w:customStyle="1" w:styleId="FigureCaption">
    <w:name w:val="FigureCaption"/>
    <w:basedOn w:val="Caption"/>
    <w:next w:val="MainBodyText"/>
    <w:qFormat/>
    <w:rsid w:val="00045FA7"/>
    <w:pPr>
      <w:keepNext/>
      <w:tabs>
        <w:tab w:val="left" w:pos="1701"/>
      </w:tabs>
      <w:spacing w:before="120" w:after="60" w:line="276" w:lineRule="auto"/>
      <w:ind w:left="1701" w:hanging="1701"/>
      <w:jc w:val="left"/>
      <w:outlineLvl w:val="3"/>
    </w:pPr>
    <w:rPr>
      <w:rFonts w:ascii="Arial" w:hAnsi="Arial" w:cs="Times New Roman"/>
      <w:color w:val="auto"/>
      <w:sz w:val="20"/>
      <w:szCs w:val="20"/>
    </w:rPr>
  </w:style>
  <w:style w:type="paragraph" w:customStyle="1" w:styleId="TableText1">
    <w:name w:val="TableText"/>
    <w:basedOn w:val="Normal"/>
    <w:link w:val="TableTextChar1"/>
    <w:qFormat/>
    <w:rsid w:val="00ED5D98"/>
    <w:pPr>
      <w:spacing w:before="60" w:after="60"/>
      <w:jc w:val="left"/>
    </w:pPr>
    <w:rPr>
      <w:rFonts w:ascii="Arial" w:hAnsi="Arial" w:cs="Times New Roman"/>
      <w:sz w:val="18"/>
      <w:szCs w:val="22"/>
    </w:rPr>
  </w:style>
  <w:style w:type="character" w:customStyle="1" w:styleId="TableTextChar1">
    <w:name w:val="TableText Char"/>
    <w:link w:val="TableText1"/>
    <w:rsid w:val="00ED5D98"/>
    <w:rPr>
      <w:rFonts w:ascii="Arial" w:hAnsi="Arial"/>
      <w:sz w:val="18"/>
      <w:szCs w:val="22"/>
    </w:rPr>
  </w:style>
  <w:style w:type="paragraph" w:customStyle="1" w:styleId="Default">
    <w:name w:val="Default"/>
    <w:rsid w:val="008E75DE"/>
    <w:pPr>
      <w:autoSpaceDE w:val="0"/>
      <w:autoSpaceDN w:val="0"/>
      <w:adjustRightInd w:val="0"/>
    </w:pPr>
    <w:rPr>
      <w:rFonts w:ascii="Calibri" w:hAnsi="Calibri" w:cs="Calibri"/>
      <w:color w:val="000000"/>
      <w:sz w:val="24"/>
      <w:szCs w:val="24"/>
    </w:rPr>
  </w:style>
  <w:style w:type="paragraph" w:customStyle="1" w:styleId="LastLineundertable">
    <w:name w:val="Last Line under table"/>
    <w:basedOn w:val="Normal"/>
    <w:next w:val="MainBodyText"/>
    <w:qFormat/>
    <w:rsid w:val="007176FE"/>
    <w:pPr>
      <w:spacing w:before="60" w:after="200" w:line="276" w:lineRule="auto"/>
      <w:contextualSpacing/>
      <w:jc w:val="left"/>
    </w:pPr>
    <w:rPr>
      <w:rFonts w:ascii="Arial" w:hAnsi="Arial" w:cs="Times New Roman"/>
      <w:i/>
      <w:sz w:val="16"/>
      <w:szCs w:val="22"/>
    </w:rPr>
  </w:style>
  <w:style w:type="paragraph" w:customStyle="1" w:styleId="TableBullet">
    <w:name w:val="Table Bullet"/>
    <w:basedOn w:val="TableText0"/>
    <w:qFormat/>
    <w:rsid w:val="007176FE"/>
    <w:pPr>
      <w:keepNext w:val="0"/>
      <w:numPr>
        <w:numId w:val="8"/>
      </w:numPr>
      <w:spacing w:before="60" w:after="60"/>
      <w:ind w:left="357" w:hanging="357"/>
    </w:pPr>
    <w:rPr>
      <w:rFonts w:ascii="Arial" w:eastAsiaTheme="minorHAnsi" w:hAnsi="Arial" w:cstheme="minorBidi"/>
      <w:bCs w:val="0"/>
      <w:sz w:val="18"/>
      <w:szCs w:val="22"/>
      <w:lang w:eastAsia="en-US"/>
    </w:rPr>
  </w:style>
  <w:style w:type="paragraph" w:customStyle="1" w:styleId="TableLeft">
    <w:name w:val="Table Left"/>
    <w:basedOn w:val="Normal"/>
    <w:link w:val="TableLeftChar"/>
    <w:uiPriority w:val="99"/>
    <w:qFormat/>
    <w:rsid w:val="0041065E"/>
    <w:pPr>
      <w:jc w:val="left"/>
    </w:pPr>
    <w:rPr>
      <w:rFonts w:ascii="Candara" w:hAnsi="Candara" w:cs="Times New Roman"/>
      <w:sz w:val="20"/>
      <w:szCs w:val="22"/>
      <w:lang w:eastAsia="en-US"/>
    </w:rPr>
  </w:style>
  <w:style w:type="character" w:customStyle="1" w:styleId="TableLeftChar">
    <w:name w:val="Table Left Char"/>
    <w:basedOn w:val="DefaultParagraphFont"/>
    <w:link w:val="TableLeft"/>
    <w:uiPriority w:val="99"/>
    <w:locked/>
    <w:rsid w:val="0041065E"/>
    <w:rPr>
      <w:rFonts w:ascii="Candara" w:hAnsi="Candara"/>
      <w:szCs w:val="22"/>
      <w:lang w:eastAsia="en-US"/>
    </w:rPr>
  </w:style>
  <w:style w:type="paragraph" w:customStyle="1" w:styleId="TableTextnospacing">
    <w:name w:val="Table Text no spacing"/>
    <w:basedOn w:val="Tabletext"/>
    <w:qFormat/>
    <w:rsid w:val="00B64C60"/>
    <w:rPr>
      <w:rFonts w:ascii="Calibri" w:eastAsiaTheme="minorHAnsi" w:hAnsi="Calibri" w:cstheme="minorBidi"/>
      <w:b/>
      <w:snapToGrid/>
      <w:szCs w:val="22"/>
      <w:lang w:eastAsia="en-US"/>
    </w:rPr>
  </w:style>
  <w:style w:type="character" w:customStyle="1" w:styleId="Small">
    <w:name w:val="Small"/>
    <w:basedOn w:val="DefaultParagraphFont"/>
    <w:uiPriority w:val="4"/>
    <w:qFormat/>
    <w:rsid w:val="00B64C60"/>
    <w:rPr>
      <w:rFonts w:ascii="Candara" w:hAnsi="Candara"/>
      <w:sz w:val="20"/>
    </w:rPr>
  </w:style>
  <w:style w:type="paragraph" w:customStyle="1" w:styleId="TextUnderTable">
    <w:name w:val="Text Under Table"/>
    <w:basedOn w:val="Normal"/>
    <w:link w:val="TextUnderTableChar"/>
    <w:qFormat/>
    <w:rsid w:val="00661E0B"/>
    <w:pPr>
      <w:spacing w:before="120" w:after="120" w:line="276" w:lineRule="auto"/>
      <w:contextualSpacing/>
      <w:jc w:val="left"/>
    </w:pPr>
    <w:rPr>
      <w:rFonts w:ascii="Arial" w:hAnsi="Arial" w:cs="Times New Roman"/>
      <w:i/>
      <w:sz w:val="16"/>
      <w:szCs w:val="22"/>
    </w:rPr>
  </w:style>
  <w:style w:type="character" w:customStyle="1" w:styleId="TextUnderTableChar">
    <w:name w:val="Text Under Table Char"/>
    <w:link w:val="TextUnderTable"/>
    <w:rsid w:val="00661E0B"/>
    <w:rPr>
      <w:rFonts w:ascii="Arial" w:hAnsi="Arial"/>
      <w:i/>
      <w:sz w:val="16"/>
      <w:szCs w:val="22"/>
    </w:rPr>
  </w:style>
  <w:style w:type="paragraph" w:customStyle="1" w:styleId="TableCaption">
    <w:name w:val="TableCaption"/>
    <w:basedOn w:val="Caption"/>
    <w:next w:val="MainBodyText"/>
    <w:qFormat/>
    <w:rsid w:val="00661E0B"/>
    <w:pPr>
      <w:keepNext/>
      <w:tabs>
        <w:tab w:val="left" w:pos="1701"/>
      </w:tabs>
      <w:spacing w:before="180" w:after="120" w:line="276" w:lineRule="auto"/>
      <w:ind w:left="1701" w:hanging="1701"/>
      <w:jc w:val="left"/>
      <w:outlineLvl w:val="2"/>
    </w:pPr>
    <w:rPr>
      <w:rFonts w:ascii="Arial" w:hAnsi="Arial" w:cs="Times New Roman"/>
      <w:color w:val="auto"/>
      <w:sz w:val="22"/>
      <w:szCs w:val="20"/>
    </w:rPr>
  </w:style>
  <w:style w:type="paragraph" w:customStyle="1" w:styleId="Tabletextnospacing0">
    <w:name w:val="Table text no spacing"/>
    <w:basedOn w:val="Tabletext"/>
    <w:qFormat/>
    <w:rsid w:val="003825DA"/>
    <w:pPr>
      <w:contextualSpacing/>
    </w:pPr>
    <w:rPr>
      <w:rFonts w:ascii="Calibri" w:eastAsiaTheme="minorHAnsi" w:hAnsi="Calibri" w:cstheme="minorBidi"/>
      <w:b/>
      <w:snapToGrid/>
      <w:color w:val="000000"/>
      <w:sz w:val="18"/>
      <w:szCs w:val="22"/>
      <w:lang w:val="en-GB" w:eastAsia="en-GB"/>
      <w14:textFill>
        <w14:solidFill>
          <w14:srgbClr w14:val="000000">
            <w14:lumMod w14:val="95000"/>
          </w14:srgbClr>
        </w14:solidFill>
      </w14:textFill>
    </w:rPr>
  </w:style>
  <w:style w:type="table" w:styleId="PlainTable2">
    <w:name w:val="Plain Table 2"/>
    <w:basedOn w:val="TableNormal"/>
    <w:uiPriority w:val="42"/>
    <w:rsid w:val="00E414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Bulletlvl3">
    <w:name w:val="List Bullet lvl 3"/>
    <w:basedOn w:val="ListBullet"/>
    <w:qFormat/>
    <w:rsid w:val="006B7757"/>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6B7757"/>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6B7757"/>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6B7757"/>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6B7757"/>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6B7757"/>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6B7757"/>
    <w:pPr>
      <w:numPr>
        <w:numId w:val="0"/>
      </w:numPr>
      <w:spacing w:after="120" w:line="276" w:lineRule="auto"/>
      <w:ind w:left="6480" w:hanging="360"/>
      <w:contextualSpacing w:val="0"/>
      <w:jc w:val="left"/>
    </w:pPr>
    <w:rPr>
      <w:rFonts w:eastAsiaTheme="minorHAnsi" w:cstheme="minorBidi"/>
      <w:szCs w:val="22"/>
      <w:lang w:eastAsia="en-US"/>
    </w:rPr>
  </w:style>
  <w:style w:type="table" w:customStyle="1" w:styleId="TableGrid14">
    <w:name w:val="Table Grid14"/>
    <w:basedOn w:val="TableNormal"/>
    <w:next w:val="TableGrid"/>
    <w:rsid w:val="00BF6F9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Source">
    <w:name w:val="Source"/>
    <w:basedOn w:val="Normal"/>
    <w:qFormat/>
    <w:rsid w:val="00E21C00"/>
    <w:pPr>
      <w:keepNext/>
      <w:spacing w:before="60"/>
      <w:contextualSpacing/>
      <w:jc w:val="left"/>
    </w:pPr>
    <w:rPr>
      <w:rFonts w:eastAsiaTheme="minorHAnsi" w:cstheme="minorBidi"/>
      <w:sz w:val="18"/>
      <w:szCs w:val="22"/>
      <w:lang w:eastAsia="en-US"/>
    </w:rPr>
  </w:style>
  <w:style w:type="table" w:customStyle="1" w:styleId="TableGridLight1">
    <w:name w:val="Table Grid Light1"/>
    <w:basedOn w:val="TableNormal"/>
    <w:uiPriority w:val="40"/>
    <w:rsid w:val="00515A5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name0">
    <w:name w:val="Table name"/>
    <w:basedOn w:val="Normal"/>
    <w:uiPriority w:val="4"/>
    <w:qFormat/>
    <w:rsid w:val="00235351"/>
    <w:pPr>
      <w:keepNext/>
      <w:tabs>
        <w:tab w:val="left" w:pos="1418"/>
      </w:tabs>
      <w:spacing w:before="120" w:after="120"/>
      <w:ind w:left="1418" w:hanging="1418"/>
      <w:jc w:val="left"/>
    </w:pPr>
    <w:rPr>
      <w:rFonts w:cs="Times New Roman"/>
      <w:b/>
      <w:bCs/>
      <w:sz w:val="22"/>
      <w:szCs w:val="20"/>
      <w:lang w:eastAsia="en-US"/>
    </w:rPr>
  </w:style>
  <w:style w:type="table" w:customStyle="1" w:styleId="TableStyle">
    <w:name w:val="Table Style"/>
    <w:basedOn w:val="TableNormal"/>
    <w:rsid w:val="005E2B7A"/>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EndNoteBibliographyTitle">
    <w:name w:val="EndNote Bibliography Title"/>
    <w:basedOn w:val="Normal"/>
    <w:link w:val="EndNoteBibliographyTitleChar"/>
    <w:rsid w:val="00241244"/>
    <w:pPr>
      <w:jc w:val="center"/>
    </w:pPr>
    <w:rPr>
      <w:rFonts w:cs="Calibri"/>
      <w:noProof/>
    </w:rPr>
  </w:style>
  <w:style w:type="character" w:customStyle="1" w:styleId="EndNoteBibliographyTitleChar">
    <w:name w:val="EndNote Bibliography Title Char"/>
    <w:basedOn w:val="3-BodyTextChar"/>
    <w:link w:val="EndNoteBibliographyTitle"/>
    <w:rsid w:val="00241244"/>
    <w:rPr>
      <w:rFonts w:ascii="Calibri" w:hAnsi="Calibri" w:cs="Calibri"/>
      <w:noProof/>
      <w:snapToGrid/>
      <w:sz w:val="24"/>
      <w:szCs w:val="24"/>
    </w:rPr>
  </w:style>
  <w:style w:type="paragraph" w:customStyle="1" w:styleId="EndNoteBibliography">
    <w:name w:val="EndNote Bibliography"/>
    <w:basedOn w:val="Normal"/>
    <w:link w:val="EndNoteBibliographyChar"/>
    <w:rsid w:val="00241244"/>
    <w:rPr>
      <w:rFonts w:cs="Calibri"/>
      <w:noProof/>
    </w:rPr>
  </w:style>
  <w:style w:type="character" w:customStyle="1" w:styleId="EndNoteBibliographyChar">
    <w:name w:val="EndNote Bibliography Char"/>
    <w:basedOn w:val="3-BodyTextChar"/>
    <w:link w:val="EndNoteBibliography"/>
    <w:rsid w:val="00241244"/>
    <w:rPr>
      <w:rFonts w:ascii="Calibri" w:hAnsi="Calibri" w:cs="Calibri"/>
      <w:noProof/>
      <w:snapToGrid/>
      <w:sz w:val="24"/>
      <w:szCs w:val="24"/>
    </w:rPr>
  </w:style>
  <w:style w:type="table" w:customStyle="1" w:styleId="TableGrid1">
    <w:name w:val="Table Grid1"/>
    <w:basedOn w:val="TableNormal"/>
    <w:next w:val="TableGrid"/>
    <w:uiPriority w:val="59"/>
    <w:rsid w:val="008A6B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81A13"/>
    <w:pPr>
      <w:numPr>
        <w:numId w:val="13"/>
      </w:numPr>
    </w:pPr>
    <w:rPr>
      <w:rFonts w:ascii="Calibri" w:hAnsi="Calibri" w:cstheme="minorBidi"/>
      <w: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17246233">
      <w:bodyDiv w:val="1"/>
      <w:marLeft w:val="0"/>
      <w:marRight w:val="0"/>
      <w:marTop w:val="0"/>
      <w:marBottom w:val="0"/>
      <w:divBdr>
        <w:top w:val="none" w:sz="0" w:space="0" w:color="auto"/>
        <w:left w:val="none" w:sz="0" w:space="0" w:color="auto"/>
        <w:bottom w:val="none" w:sz="0" w:space="0" w:color="auto"/>
        <w:right w:val="none" w:sz="0" w:space="0" w:color="auto"/>
      </w:divBdr>
      <w:divsChild>
        <w:div w:id="483857464">
          <w:marLeft w:val="360"/>
          <w:marRight w:val="0"/>
          <w:marTop w:val="200"/>
          <w:marBottom w:val="0"/>
          <w:divBdr>
            <w:top w:val="none" w:sz="0" w:space="0" w:color="auto"/>
            <w:left w:val="none" w:sz="0" w:space="0" w:color="auto"/>
            <w:bottom w:val="none" w:sz="0" w:space="0" w:color="auto"/>
            <w:right w:val="none" w:sz="0" w:space="0" w:color="auto"/>
          </w:divBdr>
        </w:div>
      </w:divsChild>
    </w:div>
    <w:div w:id="910164270">
      <w:bodyDiv w:val="1"/>
      <w:marLeft w:val="0"/>
      <w:marRight w:val="0"/>
      <w:marTop w:val="0"/>
      <w:marBottom w:val="0"/>
      <w:divBdr>
        <w:top w:val="none" w:sz="0" w:space="0" w:color="auto"/>
        <w:left w:val="none" w:sz="0" w:space="0" w:color="auto"/>
        <w:bottom w:val="none" w:sz="0" w:space="0" w:color="auto"/>
        <w:right w:val="none" w:sz="0" w:space="0" w:color="auto"/>
      </w:divBdr>
      <w:divsChild>
        <w:div w:id="146483181">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254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531E-9C25-4212-AF67-FFF18BCB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7169</Words>
  <Characters>41324</Characters>
  <Application>Microsoft Office Word</Application>
  <DocSecurity>0</DocSecurity>
  <Lines>344</Lines>
  <Paragraphs>96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6.04	LORLATINIB, </vt:lpstr>
      <vt:lpstr>Purpose of 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vt:lpstr>
      <vt:lpstr>    Consumer comments</vt:lpstr>
      <vt:lpstr>    Clinical studies</vt:lpstr>
      <vt:lpstr>    Comparative effectiveness</vt:lpstr>
      <vt:lpstr>    Comparative harms</vt:lpstr>
      <vt:lpstr>    Clinical claim</vt:lpstr>
      <vt:lpstr>    Economic analysis </vt:lpstr>
      <vt:lpstr>    Drug cost/patient/course</vt:lpstr>
      <vt:lpstr>    Estimated PBS usage &amp; financial implications</vt:lpstr>
      <vt:lpstr>    Quality Use of Medicines</vt:lpstr>
      <vt:lpstr>    Financial Management – Risk Sharing Arrangements</vt:lpstr>
      <vt:lpstr>PBAC Outcome</vt:lpstr>
      <vt:lpstr>Context for Decision</vt:lpstr>
      <vt:lpstr>Sponsor’s Comment</vt:lpstr>
    </vt:vector>
  </TitlesOfParts>
  <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2021-10-28T02:15:00Z</dcterms:created>
  <dcterms:modified xsi:type="dcterms:W3CDTF">2021-10-28T02:15:00Z</dcterms:modified>
</cp:coreProperties>
</file>